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ackground w:color="FFFFFF"/>
  <w:body>
    <w:p>
      <w:pPr>
        <w:pStyle w:val="P5"/>
      </w:pPr>
    </w:p>
    <w:p/>
    <w:p/>
    <w:p>
      <w:pPr>
        <w:pStyle w:val="P16"/>
        <w:ind w:left="0"/>
      </w:pPr>
    </w:p>
    <w:p>
      <w:pPr>
        <w:ind w:firstLine="360"/>
        <w:rPr>
          <w:bCs w:val="1"/>
          <w:sz w:val="36"/>
          <w:szCs w:val="36"/>
          <w:spacing w:val="20"/>
        </w:rPr>
      </w:pPr>
    </w:p>
    <w:p>
      <w:pPr>
        <w:ind w:firstLine="360"/>
        <w:rPr>
          <w:rFonts w:ascii="Arial" w:hAnsi="Arial" w:cs="Arial"/>
        </w:rPr>
      </w:pPr>
    </w:p>
    <w:p>
      <w:pPr>
        <w:pStyle w:val="P1"/>
      </w:pPr>
      <w:r>
        <w:t>Detaljplan för</w:t>
      </w:r>
    </w:p>
    <w:p>
      <w:pPr>
        <w:pStyle w:val="P1"/>
        <w:rPr>
          <w:szCs w:val="36"/>
        </w:rPr>
      </w:pPr>
      <w:r>
        <w:rPr>
          <w:szCs w:val="36"/>
        </w:rPr>
        <w:t>småhusområde vid Övre Gruvrisvägen</w:t>
      </w:r>
    </w:p>
    <w:p>
      <w:pPr>
        <w:pStyle w:val="P1"/>
      </w:pPr>
      <w:r>
        <w:t>i Falu kommun, Dalarnas län</w:t>
      </w:r>
    </w:p>
    <w:p>
      <w:pPr>
        <w:pStyle w:val="P4"/>
        <w:numPr>
          <w:ilvl w:val="0"/>
          <w:numId w:val="0"/>
        </w:numPr>
        <w:ind w:firstLine="0" w:left="142" w:right="810"/>
        <w:rPr>
          <w:sz w:val="32"/>
        </w:rPr>
      </w:pPr>
    </w:p>
    <w:p>
      <w:pPr>
        <w:pStyle w:val="P1"/>
      </w:pPr>
      <w:r>
        <w:t xml:space="preserve">Planbeskrivning </w:t>
        <w:tab/>
      </w:r>
    </w:p>
    <w:p>
      <w:r>
        <w:rPr>
          <w:noProof w:val="1"/>
        </w:rPr>
        <mc:AlternateContent>
          <mc:Choice Requires="wps">
            <w:drawing>
              <wp:anchor xmlns:wp="http://schemas.openxmlformats.org/drawingml/2006/wordprocessingDrawing" distT="0" distB="0" distL="114300" distR="114300" simplePos="0" relativeHeight="5" behindDoc="0" locked="0" layoutInCell="1" allowOverlap="1">
                <wp:simplePos x="0" y="0"/>
                <wp:positionH relativeFrom="column">
                  <wp:posOffset>1733550</wp:posOffset>
                </wp:positionH>
                <wp:positionV relativeFrom="paragraph">
                  <wp:posOffset>2460625</wp:posOffset>
                </wp:positionV>
                <wp:extent cx="292100" cy="197485"/>
                <wp:effectExtent l="0" t="0" r="69850" b="50165"/>
                <wp:wrapNone/>
                <wp:docPr id="5" name="Rak pilkoppling 5"/>
                <wp:cNvGraphicFramePr/>
                <a:graphic xmlns:a="http://schemas.openxmlformats.org/drawingml/2006/main">
                  <a:graphicData uri="http://schemas.microsoft.com/office/word/2010/wordprocessingShape">
                    <wps:wsp>
                      <wps:cNvCnPr>
                        <a:stCxn id="0" idx="0"/>
                        <a:endCxn id="0" idx="0"/>
                      </wps:cNvCnPr>
                      <wps:spPr>
                        <a:xfrm>
                          <a:off x="0" y="0"/>
                          <a:ext cx="292608" cy="197510"/>
                        </a:xfrm>
                        <a:prstGeom prst="straightConnector1"/>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xmlns:o="urn:schemas-microsoft-com:office:office" id="_x0000_t32" coordsize="21600,21600" o:spt="32" path="m,l21600,21600e" filled="f">
                <v:path fillok="f" o:connecttype="none"/>
                <o:lock v:ext="edit" shapetype="t"/>
              </v:shapetype>
              <v:shape xmlns:o="urn:schemas-microsoft-com:office:office" type="#_x0000_t32" id="Rak pilkoppling 5" o:spid="_x0000_s1026" style="position:absolute;width:23pt;height:15.55pt;z-index:5;mso-wrap-distance-left:9pt;mso-wrap-distance-top:0pt;mso-wrap-distance-right:9pt;mso-wrap-distance-bottom:0pt;margin-left:136.5pt;margin-top:193.75pt;mso-position-horizontal:absolute;mso-position-horizontal-relative:text;mso-position-vertical:absolute;mso-position-vertical-relative:text" strokecolor="#FF0000" strokeweight="1pt" stroked="t" o:allowincell="t">
                <v:stroke endarrow="block"/>
              </v:shape>
            </w:pict>
          </mc:Fallback>
        </mc:AlternateContent>
      </w:r>
      <w:r>
        <w:rPr>
          <w:noProof w:val="1"/>
        </w:rPr>
        <mc:AlternateContent>
          <mc:Choice Requires="wps">
            <w:drawing>
              <wp:anchor xmlns:wp="http://schemas.openxmlformats.org/drawingml/2006/wordprocessingDrawing" distT="0" distB="0" distL="114300" distR="114300" simplePos="0" relativeHeight="3" behindDoc="0" locked="0" layoutInCell="1" allowOverlap="1">
                <wp:simplePos x="0" y="0"/>
                <wp:positionH relativeFrom="column">
                  <wp:posOffset>1982470</wp:posOffset>
                </wp:positionH>
                <wp:positionV relativeFrom="paragraph">
                  <wp:posOffset>2621280</wp:posOffset>
                </wp:positionV>
                <wp:extent cx="277495" cy="131445"/>
                <wp:effectExtent l="19050" t="19050" r="27305" b="20955"/>
                <wp:wrapNone/>
                <wp:docPr id="4" name="Ellips 4"/>
                <wp:cNvGraphicFramePr/>
                <a:graphic xmlns:a="http://schemas.openxmlformats.org/drawingml/2006/main">
                  <a:graphicData uri="http://schemas.microsoft.com/office/word/2010/wordprocessingShape">
                    <wps:wsp>
                      <wps:cNvSpPr/>
                      <wps:spPr>
                        <a:xfrm>
                          <a:off x="0" y="0"/>
                          <a:ext cx="277928" cy="131674"/>
                        </a:xfrm>
                        <a:prstGeom prst="ellipse"/>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4" o:spid="_x0000_s1027" style="position:absolute;width:21.85pt;height:10.35pt;z-index:3;mso-wrap-distance-left:9pt;mso-wrap-distance-top:0pt;mso-wrap-distance-right:9pt;mso-wrap-distance-bottom:0pt;margin-left:156.1pt;margin-top:206.4pt;mso-position-horizontal:absolute;mso-position-horizontal-relative:text;mso-position-vertical:absolute;mso-position-vertical-relative:text;v-text-anchor:middle" o:allowincell="t" filled="f" strokecolor="#FF0000" strokeweight="3pt" stroked="t">
                <v:textbox inset="3mm,1mm,3mm,1mm">
                  <w:txbxContent>
                    <w:p/>
                  </w:txbxContent>
                </v:textbox>
              </v:oval>
            </w:pict>
          </mc:Fallback>
        </mc:AlternateContent>
      </w:r>
      <w:r>
        <w:rPr>
          <w:noProof w:val="1"/>
        </w:rPr>
        <w:drawing>
          <wp:inline xmlns:wp="http://schemas.openxmlformats.org/drawingml/2006/wordprocessingDrawing" distT="0" distB="0" distL="0" distR="0">
            <wp:extent cx="5244465" cy="4180205"/>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8"/>
                    <pic:cNvPicPr/>
                  </pic:nvPicPr>
                  <pic:blipFill dpi="0">
                    <a:blip xmlns:r="http://schemas.openxmlformats.org/officeDocument/2006/relationships" r:embed="Relimage1"/>
                    <a:srcRect/>
                    <a:stretch>
                      <a:fillRect/>
                    </a:stretch>
                  </pic:blipFill>
                  <pic:spPr>
                    <a:xfrm>
                      <a:off x="0" y="0"/>
                      <a:ext cx="5252761" cy="4186933"/>
                    </a:xfrm>
                    <a:prstGeom prst="rect"/>
                  </pic:spPr>
                </pic:pic>
              </a:graphicData>
            </a:graphic>
          </wp:inline>
        </w:drawing>
      </w:r>
    </w:p>
    <w:p>
      <w:pPr>
        <w:pStyle w:val="P34"/>
      </w:pPr>
    </w:p>
    <w:p>
      <w:pPr>
        <w:pStyle w:val="P23"/>
        <w:tabs>
          <w:tab w:val="left" w:pos="7371" w:leader="none"/>
        </w:tabs>
        <w:spacing w:after="120" w:beforeAutospacing="0" w:afterAutospacing="0"/>
        <w:ind w:right="1914"/>
        <w:outlineLvl w:val="1"/>
      </w:pPr>
      <w:r>
        <w:br w:type="page"/>
      </w:r>
    </w:p>
    <w:p>
      <w:pPr>
        <w:pStyle w:val="P2"/>
        <w:numPr>
          <w:ilvl w:val="0"/>
          <w:numId w:val="0"/>
        </w:numPr>
        <w:ind w:firstLine="0" w:left="0"/>
      </w:pPr>
      <w:r>
        <w:t>Handlingar</w:t>
      </w:r>
    </w:p>
    <w:p>
      <w:pPr>
        <w:numPr>
          <w:ilvl w:val="0"/>
          <w:numId w:val="6"/>
        </w:numPr>
        <w:spacing w:after="120" w:beforeAutospacing="0" w:afterAutospacing="0"/>
      </w:pPr>
      <w:bookmarkStart w:id="0" w:name="be_ärendeinformation01"/>
      <w:r>
        <w:t>plankarta, skala 1:1000, med planbestämmelser</w:t>
      </w:r>
    </w:p>
    <w:p>
      <w:pPr>
        <w:numPr>
          <w:ilvl w:val="0"/>
          <w:numId w:val="6"/>
        </w:numPr>
        <w:spacing w:after="120" w:beforeAutospacing="0" w:afterAutospacing="0"/>
      </w:pPr>
      <w:r>
        <w:t>planbeskrivning</w:t>
      </w:r>
    </w:p>
    <w:p>
      <w:pPr>
        <w:pStyle w:val="P2"/>
      </w:pPr>
      <w:bookmarkEnd w:id="0"/>
      <w:r>
        <w:t>Planförfarande</w:t>
      </w:r>
    </w:p>
    <w:p>
      <w:bookmarkStart w:id="1" w:name="be_ärendeinformation02"/>
      <w:r>
        <w:t>Detaljplanen hanteras enligt reglerna om utökat förfarande.</w:t>
      </w:r>
    </w:p>
    <w:p>
      <w:pPr>
        <w:pStyle w:val="P2"/>
      </w:pPr>
      <w:bookmarkEnd w:id="1"/>
      <w:r>
        <w:t>Planens syfte och huvuddrag</w:t>
      </w:r>
    </w:p>
    <w:p>
      <w:bookmarkStart w:id="2" w:name="sy_syfte01"/>
      <w:r>
        <w:t xml:space="preserve">Syftet är att möjliggöra plats för ytterligare bostadsbebyggelse i Falu tätort. Detta sker genom att ett 40-tal tomter för småhus kan skapas i området. Detaljplanen möjliggör även för sammankopplad bebyggelse genom parhus, radhus och kedjehus. Tomterna är placerade efter en spegelvänd E-formad gatustruktur med två gator med vändplan i slutet. I söder ansluts området mot en framtida matargata som ansluter till Övre Gruvrisvägen och Tunavägen längre söder ut. Syftet med detaljplanen är också att säkerställa den färdväg som är en fornlämning. Färdvägen ska bibehållas till sin utformning. Detaljplanen omfattar även viss naturmark för att säkerställa dagvattenhanteringen i området, för att avsätta mark för massor från avtäckning och för att bevara naturen kring färdvägen. </w:t>
      </w:r>
    </w:p>
    <w:p>
      <w:pPr>
        <w:pStyle w:val="P2"/>
      </w:pPr>
      <w:bookmarkEnd w:id="2"/>
      <w:r>
        <w:t>Förenligt med 3, 4 och 5 kap miljöbalken</w:t>
      </w:r>
    </w:p>
    <w:p>
      <w:pPr>
        <w:spacing w:after="120" w:beforeAutospacing="0" w:afterAutospacing="0"/>
      </w:pPr>
      <w:bookmarkStart w:id="3" w:name="ko_hushållningsbestämmelserenl3kap_mb01"/>
      <w:bookmarkStart w:id="4" w:name="ko_riksintresse01"/>
      <w:bookmarkStart w:id="5" w:name="ko_miljökvalitetsnormer01"/>
      <w:r>
        <w:t>Detaljplanen bedöms vara förenlig med miljöbalkens grundläggande bestämmelser för hushållning med mark- och vattenområden. Planens genomförande innebär inga åtgärder som berör något riksintresse. Inga miljökvalitetsnormer bedöms överskridas inom planområdet.</w:t>
      </w:r>
    </w:p>
    <w:p>
      <w:pPr>
        <w:pStyle w:val="P2"/>
        <w:rPr>
          <w:rFonts w:ascii="Garamond" w:hAnsi="Garamond"/>
        </w:rPr>
      </w:pPr>
      <w:bookmarkEnd w:id="3"/>
      <w:bookmarkEnd w:id="4"/>
      <w:bookmarkEnd w:id="5"/>
      <w:r>
        <w:t>Undersökning av betydande miljöpåverkan</w:t>
      </w:r>
    </w:p>
    <w:p>
      <w:pPr>
        <w:spacing w:after="120" w:beforeAutospacing="0" w:afterAutospacing="0"/>
      </w:pPr>
      <w:bookmarkStart w:id="6" w:name="pu_särskiltbeslutombetydandemiljöpåver01"/>
      <w:r>
        <w:t>En undersökning om planen antas medföra betydande miljöpåverkan har gjorts. Planens genomförande bedöms inte innebära en sådan betydande påverkan på miljön, hälsan och hushållningen med naturresurser att en miljökonsekvensbeskrivning enligt 4 kap. 34 § plan- och bygglagen, PBL behöver upprättas.</w:t>
      </w:r>
    </w:p>
    <w:p>
      <w:pPr>
        <w:rPr>
          <w:color w:val="FF0000"/>
        </w:rPr>
      </w:pPr>
      <w:r>
        <w:t>Kommunens bedömning är att detaljplanen inte medför någon betydande miljöpåverkan med hänsyn till de kriterier som anges i Miljöbedömningsförordningen (2017:966) 5 §. Någon miljökonsekvensbeskrivning enligt 6 kap 11 § miljöbalken behöver därför inte upprättas. Länsstyrelsen delar kommunens bedömning, att planen inte antas medföra betydande miljöpåverkan.</w:t>
      </w:r>
      <w:r>
        <w:rPr>
          <w:color w:val="FF0000"/>
        </w:rPr>
        <w:t xml:space="preserve"> </w:t>
      </w:r>
    </w:p>
    <w:p>
      <w:pPr>
        <w:rPr>
          <w:color w:val="FF0000"/>
        </w:rPr>
      </w:pPr>
    </w:p>
    <w:p>
      <w:pPr>
        <w:spacing w:after="120" w:beforeAutospacing="0" w:afterAutospacing="0"/>
      </w:pPr>
      <w:r>
        <w:t xml:space="preserve">All exploatering innebär viss påverkan på miljön och klimatet, dock bedöms inte detaljplanen medföra miljöpåverkan utöver detta. De områden som planeras tas i anspråk för utvecklingen sker till största delen inom områden som saknar utpekade värden. </w:t>
      </w:r>
    </w:p>
    <w:p>
      <w:pPr>
        <w:pStyle w:val="P2"/>
      </w:pPr>
      <w:bookmarkEnd w:id="6"/>
      <w:r>
        <w:t>Plandata</w:t>
      </w:r>
    </w:p>
    <w:p>
      <w:pPr>
        <w:pStyle w:val="P3"/>
      </w:pPr>
      <w:r>
        <w:t>Lägesbestämning</w:t>
      </w:r>
    </w:p>
    <w:p>
      <w:pPr>
        <w:tabs>
          <w:tab w:val="left" w:pos="7371" w:leader="none"/>
        </w:tabs>
        <w:spacing w:after="120" w:beforeAutospacing="0" w:afterAutospacing="0"/>
        <w:ind w:right="1914"/>
      </w:pPr>
      <w:bookmarkStart w:id="7" w:name="be_heladetaljplan01"/>
      <w:r>
        <w:t>Planområdet ligger i den sydvästra delen av Falu tätort, cirka 700 meter nordväst om Tallens trafikplats. Området gränsar i sydost till Övre Gruvrisvägen och i öster till befintlig bebyggelse längs Övre Gruvrisbacken.</w:t>
      </w:r>
    </w:p>
    <w:p>
      <w:pPr>
        <w:pStyle w:val="P3"/>
      </w:pPr>
      <w:bookmarkEnd w:id="7"/>
      <w:r>
        <w:t>Areal</w:t>
      </w:r>
    </w:p>
    <w:p>
      <w:pPr>
        <w:tabs>
          <w:tab w:val="left" w:pos="7371" w:leader="none"/>
        </w:tabs>
        <w:spacing w:after="120" w:beforeAutospacing="0" w:afterAutospacing="0"/>
        <w:ind w:right="1914"/>
      </w:pPr>
      <w:bookmarkStart w:id="8" w:name="be_heladetaljplan02"/>
      <w:r>
        <w:t>Planområdets areal är ca 8 hektar.</w:t>
      </w:r>
    </w:p>
    <w:p>
      <w:pPr>
        <w:pStyle w:val="P2"/>
        <w:numPr>
          <w:ilvl w:val="0"/>
          <w:numId w:val="0"/>
        </w:numPr>
        <w:ind w:firstLine="0" w:left="0"/>
      </w:pPr>
      <w:bookmarkEnd w:id="8"/>
      <w:r>
        <w:t>Tidigare ställningstaganden</w:t>
      </w:r>
    </w:p>
    <w:p>
      <w:pPr>
        <w:pStyle w:val="P3"/>
      </w:pPr>
      <w:r>
        <w:t>Riksintressen</w:t>
      </w:r>
    </w:p>
    <w:p>
      <w:pPr>
        <w:tabs>
          <w:tab w:val="left" w:pos="7371" w:leader="none"/>
        </w:tabs>
        <w:spacing w:after="120" w:beforeAutospacing="0" w:afterAutospacing="0"/>
        <w:ind w:right="1914"/>
      </w:pPr>
      <w:bookmarkStart w:id="9" w:name="pf_övrigt01"/>
      <w:r>
        <w:t xml:space="preserve">Planområdet berörs inte av något riksintresse. </w:t>
      </w:r>
    </w:p>
    <w:p>
      <w:pPr>
        <w:pStyle w:val="P3"/>
      </w:pPr>
      <w:bookmarkEnd w:id="9"/>
      <w:r>
        <w:t>Översiktliga planer</w:t>
      </w:r>
    </w:p>
    <w:p>
      <w:pPr>
        <w:pStyle w:val="P4"/>
      </w:pPr>
      <w:bookmarkStart w:id="10" w:name="pu_översiktsplan01"/>
      <w:r>
        <w:t xml:space="preserve">Översiktsplan FalunBorlänge 2014 </w:t>
      </w:r>
    </w:p>
    <w:p>
      <w:pPr>
        <w:tabs>
          <w:tab w:val="left" w:pos="7371" w:leader="none"/>
        </w:tabs>
        <w:spacing w:after="120" w:beforeAutospacing="0" w:afterAutospacing="0"/>
        <w:ind w:right="1914"/>
      </w:pPr>
      <w:r>
        <w:t xml:space="preserve">I översiktsplan FalunBorlänge, antagen av kommunfullmäktige 2014-06-12, återfinns den aktuella platsen inom ett större område betecknat </w:t>
      </w:r>
      <w:r>
        <w:rPr>
          <w:i w:val="1"/>
          <w:iCs w:val="1"/>
        </w:rPr>
        <w:t>Planerat bostadsområde inom 10 år</w:t>
      </w:r>
      <w:r>
        <w:t xml:space="preserve">. Följande riktlinjer och rekommendationer i översiktsplan FalunBorlänge är särskilt relevanta vid detaljplaneläggningen: </w:t>
      </w:r>
    </w:p>
    <w:p>
      <w:pPr>
        <w:pStyle w:val="P42"/>
        <w:numPr>
          <w:ilvl w:val="0"/>
          <w:numId w:val="11"/>
        </w:numPr>
        <w:tabs>
          <w:tab w:val="left" w:pos="7371" w:leader="none"/>
        </w:tabs>
        <w:spacing w:after="120" w:beforeAutospacing="0" w:afterAutospacing="0"/>
        <w:ind w:right="1914"/>
      </w:pPr>
      <w:r>
        <w:t>Utbyggnad av städerna med helt nya planerade bebyggelseområden ska ske i riktning mot varandra, väster om Runn och nära och bra och effektiva kollektivtrafikhuvudstråk.</w:t>
      </w:r>
    </w:p>
    <w:p>
      <w:pPr>
        <w:pStyle w:val="P42"/>
        <w:numPr>
          <w:ilvl w:val="0"/>
          <w:numId w:val="11"/>
        </w:numPr>
        <w:tabs>
          <w:tab w:val="left" w:pos="7371" w:leader="none"/>
        </w:tabs>
        <w:spacing w:after="120" w:beforeAutospacing="0" w:afterAutospacing="0"/>
        <w:ind w:right="1914"/>
      </w:pPr>
      <w:r>
        <w:t>Tillkommande bebyggelse ska alltid bedömas med hänsyn till störningar, risker, natur- och kulturmiljövärden, landskapsbild, rekreation, möjligheten att ordna vatten och avlopp samt annan hänsyn som behöver tas</w:t>
      </w:r>
    </w:p>
    <w:p>
      <w:pPr>
        <w:pStyle w:val="P42"/>
        <w:numPr>
          <w:ilvl w:val="0"/>
          <w:numId w:val="11"/>
        </w:numPr>
        <w:tabs>
          <w:tab w:val="left" w:pos="7371" w:leader="none"/>
        </w:tabs>
        <w:spacing w:after="120" w:beforeAutospacing="0" w:afterAutospacing="0"/>
        <w:ind w:right="1914"/>
      </w:pPr>
      <w:r>
        <w:t>Nya planerade bostads- och arbetsplatsområden ska alltid anslutas till allmänt VA, placeras och utformas vackert och väl utifrån ekologiska principer och inpassas i stads- och landskapsbilden.</w:t>
      </w:r>
    </w:p>
    <w:p>
      <w:pPr>
        <w:pStyle w:val="P42"/>
        <w:numPr>
          <w:ilvl w:val="0"/>
          <w:numId w:val="11"/>
        </w:numPr>
        <w:tabs>
          <w:tab w:val="left" w:pos="7371" w:leader="none"/>
        </w:tabs>
        <w:spacing w:after="120" w:beforeAutospacing="0" w:afterAutospacing="0"/>
        <w:ind w:right="1914"/>
      </w:pPr>
      <w:r>
        <w:t>Den lokala bebyggelse- och byggnadshistorien, dess utseende och struktur är viktig att värna (och bör särskilt uppmärksammas vid byggande inom världsarvet).</w:t>
      </w:r>
    </w:p>
    <w:p>
      <w:pPr>
        <w:pStyle w:val="P42"/>
        <w:tabs>
          <w:tab w:val="left" w:pos="7371" w:leader="none"/>
        </w:tabs>
        <w:spacing w:after="120" w:beforeAutospacing="0" w:afterAutospacing="0"/>
        <w:ind w:right="1914"/>
      </w:pPr>
      <w:bookmarkEnd w:id="10"/>
    </w:p>
    <w:p>
      <w:pPr>
        <w:pStyle w:val="P4"/>
      </w:pPr>
      <w:bookmarkStart w:id="11" w:name="pu_översiktsplan02"/>
      <w:r>
        <w:t>Fördjupad översiktsplan för Falu tätort och området runt Varpan 2018</w:t>
      </w:r>
    </w:p>
    <w:p>
      <w:pPr>
        <w:pStyle w:val="P5"/>
      </w:pPr>
      <w:r>
        <w:t>Markanvändning</w:t>
      </w:r>
    </w:p>
    <w:p>
      <w:pPr>
        <w:tabs>
          <w:tab w:val="left" w:pos="7371" w:leader="none"/>
        </w:tabs>
        <w:spacing w:after="120" w:beforeAutospacing="0" w:afterAutospacing="0"/>
        <w:ind w:right="1914"/>
      </w:pPr>
      <w:r>
        <w:t xml:space="preserve">I den fördjupade översiktsplanen, antagen 2018-09-13, återfinns planområdet inom ett större område betecknat Stadsbygd, inom 0–10 år. I beskrivningen sägs att en utbyggnad ska föregås av detaljplanering och att tillfartsfrågan är viktig att lösa. </w:t>
      </w:r>
    </w:p>
    <w:p>
      <w:pPr>
        <w:tabs>
          <w:tab w:val="left" w:pos="7371" w:leader="none"/>
        </w:tabs>
        <w:spacing w:after="120" w:beforeAutospacing="0" w:afterAutospacing="0"/>
        <w:ind w:right="1914"/>
      </w:pPr>
      <w:bookmarkEnd w:id="11"/>
      <w:r>
        <w:rPr>
          <w:noProof w:val="1"/>
        </w:rPr>
        <mc:AlternateContent>
          <mc:Choice Requires="wps">
            <w:drawing>
              <wp:anchor xmlns:wp="http://schemas.openxmlformats.org/drawingml/2006/wordprocessingDrawing" distT="0" distB="0" distL="114300" distR="114300" simplePos="0" relativeHeight="9" behindDoc="0" locked="0" layoutInCell="1" allowOverlap="1">
                <wp:simplePos x="0" y="0"/>
                <wp:positionH relativeFrom="column">
                  <wp:posOffset>0</wp:posOffset>
                </wp:positionH>
                <wp:positionV relativeFrom="paragraph">
                  <wp:posOffset>2756535</wp:posOffset>
                </wp:positionV>
                <wp:extent cx="5325110" cy="321310"/>
                <wp:effectExtent l="0" t="0" r="8890" b="2540"/>
                <wp:wrapNone/>
                <wp:docPr id="6" name="Textruta 6"/>
                <wp:cNvGraphicFramePr/>
                <a:graphic xmlns:a="http://schemas.openxmlformats.org/drawingml/2006/main">
                  <a:graphicData uri="http://schemas.microsoft.com/office/word/2010/wordprocessingShape">
                    <wps:wsp>
                      <wps:cNvSpPr txBox="1"/>
                      <wps:spPr>
                        <a:xfrm>
                          <a:off x="0" y="0"/>
                          <a:ext cx="5325465" cy="321869"/>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43"/>
                              <w:rPr>
                                <w:color w:val="auto"/>
                                <w:sz w:val="24"/>
                                <w:szCs w:val="24"/>
                              </w:rPr>
                            </w:pPr>
                            <w:r>
                              <w:rPr>
                                <w:color w:val="auto"/>
                              </w:rPr>
                              <w:t>Figur 1: Fastigheten Övre Gruvriset 10:2 markerad på ett utsnitt ur användningskartan till förslaget till fördjupad översiktsplan för Falu tätort om området runt Varpan</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6" o:spid="_x0000_s1028" style="position:absolute;width:419.3pt;height:25.3pt;z-index:9;mso-wrap-distance-left:9pt;mso-wrap-distance-top:0pt;mso-wrap-distance-right:9pt;mso-wrap-distance-bottom:0pt;margin-left:0pt;margin-top:217.05pt;mso-position-horizontal:absolute;mso-position-horizontal-relative:text;mso-position-vertical:absolute;mso-position-vertical-relative:text" o:allowincell="t" fillcolor="#FFFFFF" stroked="f">
                <v:textbox inset="0mm,0mm,0mm,0mm">
                  <w:txbxContent>
                    <w:p>
                      <w:pPr>
                        <w:pStyle w:val="P43"/>
                        <w:rPr>
                          <w:color w:val="auto"/>
                          <w:sz w:val="24"/>
                          <w:szCs w:val="24"/>
                        </w:rPr>
                      </w:pPr>
                      <w:r>
                        <w:rPr>
                          <w:color w:val="auto"/>
                        </w:rPr>
                        <w:t>Figur 1: Fastigheten Övre Gruvriset 10:2 markerad på ett utsnitt ur användningskartan till förslaget till fördjupad översiktsplan för Falu tätort om området runt Varpan</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8" behindDoc="0" locked="0" layoutInCell="1" allowOverlap="1">
                <wp:simplePos x="0" y="0"/>
                <wp:positionH relativeFrom="column">
                  <wp:posOffset>2616200</wp:posOffset>
                </wp:positionH>
                <wp:positionV relativeFrom="paragraph">
                  <wp:posOffset>364490</wp:posOffset>
                </wp:positionV>
                <wp:extent cx="779780" cy="646430"/>
                <wp:effectExtent l="19050" t="19050" r="39370" b="39370"/>
                <wp:wrapNone/>
                <wp:docPr id="21" name="Frihandsfigur: Form 21"/>
                <wp:cNvGraphicFramePr/>
                <a:graphic xmlns:a="http://schemas.openxmlformats.org/drawingml/2006/main">
                  <a:graphicData uri="http://schemas.microsoft.com/office/word/2010/wordprocessingShape">
                    <wps:wsp>
                      <wps:cNvSpPr/>
                      <wps:spPr>
                        <a:xfrm>
                          <a:off x="0" y="0"/>
                          <a:ext cx="779784" cy="646635"/>
                        </a:xfrm>
                        <a:custGeom>
                          <a:gdLst>
                            <a:gd name="connsiteX0" fmla="*/ 1611923 w 2749062"/>
                            <a:gd name="connsiteY0" fmla="*/ 0 h 2350477"/>
                            <a:gd name="connsiteX1" fmla="*/ 1699847 w 2749062"/>
                            <a:gd name="connsiteY1" fmla="*/ 128954 h 2350477"/>
                            <a:gd name="connsiteX2" fmla="*/ 2157047 w 2749062"/>
                            <a:gd name="connsiteY2" fmla="*/ 17585 h 2350477"/>
                            <a:gd name="connsiteX3" fmla="*/ 2409093 w 2749062"/>
                            <a:gd name="connsiteY3" fmla="*/ 984739 h 2350477"/>
                            <a:gd name="connsiteX4" fmla="*/ 2637693 w 2749062"/>
                            <a:gd name="connsiteY4" fmla="*/ 1055077 h 2350477"/>
                            <a:gd name="connsiteX5" fmla="*/ 2749062 w 2749062"/>
                            <a:gd name="connsiteY5" fmla="*/ 1312985 h 2350477"/>
                            <a:gd name="connsiteX6" fmla="*/ 2321170 w 2749062"/>
                            <a:gd name="connsiteY6" fmla="*/ 1881554 h 2350477"/>
                            <a:gd name="connsiteX7" fmla="*/ 1101970 w 2749062"/>
                            <a:gd name="connsiteY7" fmla="*/ 2350477 h 2350477"/>
                            <a:gd name="connsiteX8" fmla="*/ 773723 w 2749062"/>
                            <a:gd name="connsiteY8" fmla="*/ 2127739 h 2350477"/>
                            <a:gd name="connsiteX9" fmla="*/ 808893 w 2749062"/>
                            <a:gd name="connsiteY9" fmla="*/ 1957754 h 2350477"/>
                            <a:gd name="connsiteX10" fmla="*/ 293077 w 2749062"/>
                            <a:gd name="connsiteY10" fmla="*/ 1647092 h 2350477"/>
                            <a:gd name="connsiteX11" fmla="*/ 0 w 2749062"/>
                            <a:gd name="connsiteY11" fmla="*/ 1359877 h 2350477"/>
                            <a:gd name="connsiteX12" fmla="*/ 216877 w 2749062"/>
                            <a:gd name="connsiteY12" fmla="*/ 474785 h 2350477"/>
                            <a:gd name="connsiteX13" fmla="*/ 1166447 w 2749062"/>
                            <a:gd name="connsiteY13" fmla="*/ 363415 h 2350477"/>
                            <a:gd name="connsiteX14" fmla="*/ 1611923 w 2749062"/>
                            <a:gd name="connsiteY14" fmla="*/ 0 h 2350477"/>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49062" h="2350477">
                              <a:moveTo>
                                <a:pt x="1611923" y="0"/>
                              </a:moveTo>
                              <a:lnTo>
                                <a:pt x="1699847" y="128954"/>
                              </a:lnTo>
                              <a:lnTo>
                                <a:pt x="2157047" y="17585"/>
                              </a:lnTo>
                              <a:lnTo>
                                <a:pt x="2409093" y="984739"/>
                              </a:lnTo>
                              <a:lnTo>
                                <a:pt x="2637693" y="1055077"/>
                              </a:lnTo>
                              <a:lnTo>
                                <a:pt x="2749062" y="1312985"/>
                              </a:lnTo>
                              <a:lnTo>
                                <a:pt x="2321170" y="1881554"/>
                              </a:lnTo>
                              <a:lnTo>
                                <a:pt x="1101970" y="2350477"/>
                              </a:lnTo>
                              <a:lnTo>
                                <a:pt x="773723" y="2127739"/>
                              </a:lnTo>
                              <a:lnTo>
                                <a:pt x="808893" y="1957754"/>
                              </a:lnTo>
                              <a:lnTo>
                                <a:pt x="293077" y="1647092"/>
                              </a:lnTo>
                              <a:lnTo>
                                <a:pt x="0" y="1359877"/>
                              </a:lnTo>
                              <a:lnTo>
                                <a:pt x="216877" y="474785"/>
                              </a:lnTo>
                              <a:lnTo>
                                <a:pt x="1166447" y="363415"/>
                              </a:lnTo>
                              <a:lnTo>
                                <a:pt x="1611923" y="0"/>
                              </a:lnTo>
                              <a:close/>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21" o:spid="_x0000_s1029" style="position:absolute;width:61.4pt;height:50.9pt;z-index:8;mso-wrap-distance-left:9pt;mso-wrap-distance-top:0pt;mso-wrap-distance-right:9pt;mso-wrap-distance-bottom:0pt;margin-left:206pt;margin-top:28.7pt;mso-position-horizontal:absolute;mso-position-horizontal-relative:text;mso-position-vertical:absolute;mso-position-vertical-relative:text;v-text-anchor:middle" o:allowincell="t" filled="f" strokecolor="#FF0000" strokeweight="1pt" stroked="t" coordsize="1228,1018" path="m1611923,0l1699847,128954,2157047,17585,2409093,984739,2637693,1055077,2749062,1312985,2321170,1881554,1101970,2350477,773723,2127739,808893,1957754,293077,1647092,,1359877,216877,474785,1166447,363415,1611923,,xe">
                <v:textbox inset="3mm,1mm,3mm,1mm">
                  <w:txbxContent>
                    <w:p/>
                  </w:txbxContent>
                </v:textbox>
              </v:shape>
            </w:pict>
          </mc:Fallback>
        </mc:AlternateContent>
      </w:r>
      <w:bookmarkStart w:id="12" w:name="pu_översiktsplan04"/>
      <w:r>
        <w:rPr>
          <w:noProof w:val="1"/>
        </w:rPr>
        <w:drawing>
          <wp:inline xmlns:wp="http://schemas.openxmlformats.org/drawingml/2006/wordprocessingDrawing" distT="0" distB="0" distL="0" distR="0">
            <wp:extent cx="4352290" cy="2757805"/>
            <wp:effectExtent l="0" t="0" r="0" b="4445"/>
            <wp:docPr id="23" name="Bildobjekt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9"/>
                    <pic:cNvPicPr/>
                  </pic:nvPicPr>
                  <pic:blipFill dpi="0">
                    <a:blip xmlns:r="http://schemas.openxmlformats.org/officeDocument/2006/relationships" r:embed="Relimage2"/>
                    <a:srcRect/>
                    <a:stretch>
                      <a:fillRect/>
                    </a:stretch>
                  </pic:blipFill>
                  <pic:spPr>
                    <a:xfrm>
                      <a:off x="0" y="0"/>
                      <a:ext cx="4366100" cy="2766767"/>
                    </a:xfrm>
                    <a:prstGeom prst="rect"/>
                  </pic:spPr>
                </pic:pic>
              </a:graphicData>
            </a:graphic>
          </wp:inline>
        </w:drawing>
      </w:r>
      <w:bookmarkEnd w:id="12"/>
    </w:p>
    <w:p>
      <w:pPr>
        <w:pStyle w:val="P5"/>
      </w:pPr>
    </w:p>
    <w:p>
      <w:pPr>
        <w:pStyle w:val="P5"/>
      </w:pPr>
    </w:p>
    <w:p>
      <w:pPr>
        <w:pStyle w:val="P5"/>
      </w:pPr>
      <w:bookmarkStart w:id="13" w:name="pu_översiktsplan03"/>
      <w:r>
        <w:t>Ekosystemtjänster</w:t>
      </w:r>
    </w:p>
    <w:p>
      <w:pPr>
        <w:tabs>
          <w:tab w:val="left" w:pos="7371" w:leader="none"/>
        </w:tabs>
        <w:spacing w:after="120" w:beforeAutospacing="0" w:afterAutospacing="0"/>
        <w:ind w:right="1914"/>
      </w:pPr>
      <w:r>
        <w:t xml:space="preserve">En översiktlig kartering av områdets ekosystemtjänster har gjorts inom arbetet med den fördjupade översiktsplanen för Falu tätort. Med ekosystemtjänster menas den nytta vi människor har av naturen. Karteringen visar att det inom detaljplaneområdet finns försörjande (levererar produkter till människor), reglerande (regeringsprocesser som människor har nytta av) och stödjande (tjänster som är nödvändiga för produktionen av andra ekosystemtjänster, exempelvis biologisk mångfald) ekosystemtjänster. </w:t>
      </w:r>
    </w:p>
    <w:p>
      <w:pPr>
        <w:pStyle w:val="P3"/>
      </w:pPr>
      <w:bookmarkEnd w:id="13"/>
      <w:r>
        <w:t>Detaljplaner</w:t>
      </w:r>
    </w:p>
    <w:p>
      <w:pPr>
        <w:tabs>
          <w:tab w:val="left" w:pos="7371" w:leader="none"/>
        </w:tabs>
        <w:spacing w:after="120" w:beforeAutospacing="0" w:afterAutospacing="0"/>
        <w:ind w:right="1914"/>
      </w:pPr>
      <w:bookmarkStart w:id="14" w:name="pu_detaljplan01"/>
      <w:r>
        <w:t>Området är inte tidigare detaljplanelagt.</w:t>
      </w:r>
    </w:p>
    <w:p>
      <w:pPr>
        <w:pStyle w:val="P3"/>
      </w:pPr>
      <w:bookmarkEnd w:id="14"/>
      <w:r>
        <w:t>Kommunala beslut i övrigt</w:t>
      </w:r>
    </w:p>
    <w:p>
      <w:pPr>
        <w:pStyle w:val="P4"/>
      </w:pPr>
      <w:bookmarkStart w:id="15" w:name="pf_bostadsprogram01"/>
      <w:r>
        <w:t>Bostadsförsörjningsprogram</w:t>
      </w:r>
    </w:p>
    <w:p>
      <w:pPr>
        <w:tabs>
          <w:tab w:val="left" w:pos="7371" w:leader="none"/>
        </w:tabs>
        <w:spacing w:after="120" w:beforeAutospacing="0" w:afterAutospacing="0"/>
        <w:ind w:right="1914"/>
      </w:pPr>
      <w:r>
        <w:t xml:space="preserve">I kommunens bostadsprogram 2018–2021 finns en vision: </w:t>
      </w:r>
      <w:r>
        <w:rPr>
          <w:i w:val="1"/>
          <w:iCs w:val="1"/>
        </w:rPr>
        <w:t>Bostäder åt alla i en trygg och hälsosam miljö till en överkomlig kostnad</w:t>
      </w:r>
      <w:r>
        <w:t>. Vidare finns mål och riktlinjer för tre fokusområden: bostadsutbud, boendemiljö samt lokalisering utformning/planering och exploatering. Här återges de riktlinjer och mål som är relevanta för den nu aktuella detaljplanen.</w:t>
      </w:r>
    </w:p>
    <w:p>
      <w:pPr>
        <w:pStyle w:val="P5"/>
      </w:pPr>
      <w:r>
        <w:t>Ett varierat bostadsutbud</w:t>
      </w:r>
    </w:p>
    <w:p>
      <w:pPr>
        <w:tabs>
          <w:tab w:val="left" w:pos="7371" w:leader="none"/>
        </w:tabs>
        <w:spacing w:after="120" w:beforeAutospacing="0" w:afterAutospacing="0"/>
        <w:ind w:right="1914"/>
      </w:pPr>
      <w:r>
        <w:t xml:space="preserve">Mål: </w:t>
      </w:r>
    </w:p>
    <w:p>
      <w:pPr>
        <w:pStyle w:val="P42"/>
        <w:numPr>
          <w:ilvl w:val="0"/>
          <w:numId w:val="11"/>
        </w:numPr>
        <w:tabs>
          <w:tab w:val="left" w:pos="7371" w:leader="none"/>
        </w:tabs>
        <w:spacing w:after="120" w:beforeAutospacing="0" w:afterAutospacing="0"/>
        <w:ind w:right="1914"/>
      </w:pPr>
      <w:r>
        <w:t>Minst 20 småhustomter per år ska kunna erbjudas tomtkön.</w:t>
      </w:r>
    </w:p>
    <w:p>
      <w:pPr>
        <w:pStyle w:val="P5"/>
      </w:pPr>
      <w:r>
        <w:t>Boendemiljö</w:t>
      </w:r>
    </w:p>
    <w:p>
      <w:pPr>
        <w:tabs>
          <w:tab w:val="left" w:pos="7371" w:leader="none"/>
        </w:tabs>
        <w:spacing w:after="120" w:beforeAutospacing="0" w:afterAutospacing="0"/>
        <w:ind w:right="1914"/>
      </w:pPr>
      <w:r>
        <w:t>Riktlinjer:</w:t>
      </w:r>
    </w:p>
    <w:p>
      <w:pPr>
        <w:pStyle w:val="P42"/>
        <w:numPr>
          <w:ilvl w:val="0"/>
          <w:numId w:val="12"/>
        </w:numPr>
        <w:tabs>
          <w:tab w:val="left" w:pos="7371" w:leader="none"/>
        </w:tabs>
        <w:spacing w:after="120" w:beforeAutospacing="0" w:afterAutospacing="0"/>
        <w:ind w:right="1914"/>
      </w:pPr>
      <w:r>
        <w:t xml:space="preserve">Boendemiljöerna ska vara trygga och säkra, ha en hög grad av fysisk tillgänglighet. </w:t>
      </w:r>
    </w:p>
    <w:p>
      <w:pPr>
        <w:pStyle w:val="P42"/>
        <w:numPr>
          <w:ilvl w:val="0"/>
          <w:numId w:val="12"/>
        </w:numPr>
        <w:tabs>
          <w:tab w:val="left" w:pos="7371" w:leader="none"/>
        </w:tabs>
        <w:spacing w:after="120" w:beforeAutospacing="0" w:afterAutospacing="0"/>
        <w:ind w:right="1914"/>
      </w:pPr>
      <w:r>
        <w:t>Boendemiljöerna ska ha möjlighet till utevistelse, social gemenskap, fritidsaktiviteter och lek i attraktiva och anpassade miljöer.</w:t>
      </w:r>
    </w:p>
    <w:p>
      <w:pPr>
        <w:tabs>
          <w:tab w:val="left" w:pos="7371" w:leader="none"/>
        </w:tabs>
        <w:spacing w:after="120" w:beforeAutospacing="0" w:afterAutospacing="0"/>
        <w:ind w:right="1914"/>
      </w:pPr>
      <w:r>
        <w:t>Mål:</w:t>
      </w:r>
    </w:p>
    <w:p>
      <w:pPr>
        <w:pStyle w:val="P42"/>
        <w:numPr>
          <w:ilvl w:val="0"/>
          <w:numId w:val="12"/>
        </w:numPr>
        <w:tabs>
          <w:tab w:val="left" w:pos="7371" w:leader="none"/>
        </w:tabs>
        <w:spacing w:after="120" w:beforeAutospacing="0" w:afterAutospacing="0"/>
        <w:ind w:right="1914"/>
      </w:pPr>
      <w:r>
        <w:t xml:space="preserve">Möjlighet till utevistelse, social gemenskap, fritidsaktiviteter och lek kännetecknar kommunens bostadsområden genom att alla boende ska ha tillgång till grönområde inom 300 m. </w:t>
      </w:r>
    </w:p>
    <w:p>
      <w:pPr>
        <w:pStyle w:val="P5"/>
      </w:pPr>
      <w:r>
        <w:t>Lokalisering utformning/planering och exploatering</w:t>
      </w:r>
    </w:p>
    <w:p>
      <w:pPr>
        <w:tabs>
          <w:tab w:val="left" w:pos="7371" w:leader="none"/>
        </w:tabs>
        <w:spacing w:after="120" w:beforeAutospacing="0" w:afterAutospacing="0"/>
        <w:ind w:right="1914"/>
      </w:pPr>
      <w:r>
        <w:t>Riktlinjer:</w:t>
      </w:r>
    </w:p>
    <w:p>
      <w:pPr>
        <w:pStyle w:val="P42"/>
        <w:numPr>
          <w:ilvl w:val="0"/>
          <w:numId w:val="12"/>
        </w:numPr>
        <w:tabs>
          <w:tab w:val="left" w:pos="7371" w:leader="none"/>
        </w:tabs>
        <w:spacing w:after="120" w:beforeAutospacing="0" w:afterAutospacing="0"/>
        <w:ind w:right="1914"/>
      </w:pPr>
      <w:r>
        <w:t xml:space="preserve">Nyproduktion, både i stad och på landsbygd, ska i första hand ske genom komplettering och förtätning, så att redan genomförda investeringar i skolor, kollektivtrafik, gator och annan infrastruktur och service utnyttjas. </w:t>
      </w:r>
    </w:p>
    <w:p>
      <w:pPr>
        <w:pStyle w:val="P42"/>
        <w:numPr>
          <w:ilvl w:val="0"/>
          <w:numId w:val="12"/>
        </w:numPr>
        <w:tabs>
          <w:tab w:val="left" w:pos="7371" w:leader="none"/>
        </w:tabs>
        <w:spacing w:after="120" w:beforeAutospacing="0" w:afterAutospacing="0"/>
        <w:ind w:right="1914"/>
        <w:rPr>
          <w:b w:val="1"/>
          <w:bCs w:val="1"/>
        </w:rPr>
      </w:pPr>
      <w:r>
        <w:t>Förtätning ska ske med hänsyn till kulturmiljö och Världsarvet Falu gruva.</w:t>
      </w:r>
    </w:p>
    <w:p>
      <w:pPr>
        <w:tabs>
          <w:tab w:val="left" w:pos="7371" w:leader="none"/>
        </w:tabs>
        <w:spacing w:after="120" w:beforeAutospacing="0" w:afterAutospacing="0"/>
        <w:ind w:right="1914"/>
        <w:rPr>
          <w:b w:val="1"/>
          <w:bCs w:val="1"/>
        </w:rPr>
      </w:pPr>
      <w:r>
        <w:t>Mål:</w:t>
      </w:r>
    </w:p>
    <w:p>
      <w:pPr>
        <w:pStyle w:val="P42"/>
        <w:numPr>
          <w:ilvl w:val="0"/>
          <w:numId w:val="14"/>
        </w:numPr>
        <w:tabs>
          <w:tab w:val="left" w:pos="7371" w:leader="none"/>
        </w:tabs>
        <w:spacing w:after="120" w:beforeAutospacing="0" w:afterAutospacing="0"/>
        <w:ind w:right="1914"/>
      </w:pPr>
      <w:r>
        <w:t>Minst 20 småhustomter per år ska kunna erbjudas tomtkön.</w:t>
      </w:r>
    </w:p>
    <w:p>
      <w:pPr>
        <w:numPr>
          <w:ilvl w:val="4"/>
          <w:numId w:val="4"/>
        </w:numPr>
        <w:spacing w:after="120" w:beforeAutospacing="0" w:afterAutospacing="0"/>
        <w:ind w:right="1914"/>
        <w:rPr>
          <w:lang w:eastAsia="sv-SE"/>
        </w:rPr>
      </w:pPr>
      <w:r>
        <w:rPr>
          <w:lang w:eastAsia="sv-SE"/>
        </w:rPr>
        <w:t xml:space="preserve">I bostadsprogrammets utbyggnadsplan 2022 – 2024 sägs att områdets tomter kan börja bjudas ut till försäljning år 2023. </w:t>
      </w:r>
    </w:p>
    <w:p>
      <w:pPr>
        <w:pStyle w:val="P4"/>
      </w:pPr>
      <w:bookmarkEnd w:id="15"/>
      <w:bookmarkStart w:id="16" w:name="pf_trafikätsplan01"/>
      <w:r>
        <w:t>Trafiknätsplan, 2018</w:t>
      </w:r>
    </w:p>
    <w:p>
      <w:pPr>
        <w:tabs>
          <w:tab w:val="left" w:pos="7371" w:leader="none"/>
        </w:tabs>
        <w:spacing w:after="120" w:beforeAutospacing="0" w:afterAutospacing="0"/>
        <w:ind w:right="1914"/>
      </w:pPr>
      <w:r>
        <w:t xml:space="preserve">I trafiknätsplanens funktionsindelning för biltrafiknätet är Tunavägen och Övre Gruvrisvägen, båda utanför planområdet, klassade som uppsamlingsgator. Den tillkommande gatan i detaljplaneområdet är klassad som lokalgata. </w:t>
      </w:r>
    </w:p>
    <w:p>
      <w:pPr>
        <w:pStyle w:val="P4"/>
      </w:pPr>
      <w:bookmarkEnd w:id="16"/>
      <w:bookmarkStart w:id="17" w:name="pf_dagvattenstrategi01"/>
      <w:r>
        <w:t>Dagvattenstrategi</w:t>
      </w:r>
    </w:p>
    <w:p>
      <w:pPr>
        <w:tabs>
          <w:tab w:val="left" w:pos="7371" w:leader="none"/>
        </w:tabs>
        <w:spacing w:after="120" w:beforeAutospacing="0" w:afterAutospacing="0"/>
        <w:ind w:right="1914"/>
      </w:pPr>
      <w:r>
        <w:rPr>
          <w:i w:val="1"/>
          <w:iCs w:val="1"/>
        </w:rPr>
        <w:t xml:space="preserve">Dagvattenstrategi för Falu kommun </w:t>
      </w:r>
      <w:r>
        <w:t>antogs av kommunfullmäktige 2020-02-06 och innehåller bland annat kommunens riktlinjer för hållbar dagvattenhantering. Enligt strategin ska dagvattenhantering planeras på ett sätt som tar hänsyn till klimatförändringar och risken att nederbörden kan bli kraftigare i framtiden. Dagvatten ska fördröjas på ett sätt så att recipientens flöde inte förorenas eller förändras och som undviker att dagvatten orsakar skador på byggnader och anläggningar. Dagvatten ska i första hand tas om hand och fördröjas lokalt på kvartersmark. Dagvattenhanteringen ska vara långsiktigt hållbar och dagvattnet ska omhändertas på ett säkert, miljöanpassat och kostnadseffektivt sätt där dagvatten ses som en resurs.</w:t>
      </w:r>
    </w:p>
    <w:p>
      <w:pPr>
        <w:pStyle w:val="P2"/>
      </w:pPr>
      <w:bookmarkEnd w:id="17"/>
      <w:r>
        <w:t xml:space="preserve">Förutsättningar och förändringar </w:t>
      </w:r>
    </w:p>
    <w:p>
      <w:pPr>
        <w:pStyle w:val="P3"/>
      </w:pPr>
      <w:r>
        <w:t>Natur</w:t>
      </w:r>
    </w:p>
    <w:p>
      <w:pPr>
        <w:pStyle w:val="P4"/>
        <w:rPr>
          <w:b w:val="1"/>
        </w:rPr>
      </w:pPr>
      <w:bookmarkStart w:id="18" w:name="pf_natur01"/>
      <w:r>
        <w:t>Mark och vegetation</w:t>
      </w:r>
    </w:p>
    <w:p>
      <w:pPr>
        <w:numPr>
          <w:ilvl w:val="4"/>
          <w:numId w:val="4"/>
        </w:numPr>
        <w:spacing w:after="120" w:beforeAutospacing="0" w:afterAutospacing="0"/>
        <w:ind w:right="1914"/>
        <w:rPr>
          <w:lang w:eastAsia="sv-SE"/>
        </w:rPr>
      </w:pPr>
      <w:r>
        <w:rPr>
          <w:lang w:eastAsia="sv-SE"/>
        </w:rPr>
        <w:t>Området lutar i huvudsak mot söder och är särskilt i de östra och västra delarna förhållandevis brant. Det består främst av brukad skogsmark. Största delen är bevuxen med tall med inslag av lövträd. Närmast kraftledningen i väster är det gles tallskog.</w:t>
      </w:r>
    </w:p>
    <w:p>
      <w:pPr>
        <w:numPr>
          <w:ilvl w:val="4"/>
          <w:numId w:val="4"/>
        </w:numPr>
        <w:spacing w:after="120" w:beforeAutospacing="0" w:afterAutospacing="0"/>
        <w:ind w:right="1914"/>
        <w:rPr>
          <w:lang w:eastAsia="sv-SE"/>
        </w:rPr>
      </w:pPr>
      <w:r>
        <w:rPr>
          <w:lang w:eastAsia="sv-SE"/>
        </w:rPr>
        <w:t>Enligt den odlingslandskapsanalys som hör till den fördjupade översiktsplanen omfattar det aktuella området inte något äldre, idag igenväxt, odlingslandskap.</w:t>
      </w:r>
    </w:p>
    <w:p>
      <w:pPr>
        <w:keepNext w:val="1"/>
        <w:numPr>
          <w:ilvl w:val="4"/>
          <w:numId w:val="4"/>
        </w:numPr>
        <w:ind w:right="1914"/>
      </w:pPr>
      <w:bookmarkEnd w:id="18"/>
      <w:bookmarkStart w:id="19" w:name="pf_natur05"/>
      <w:r>
        <w:rPr>
          <w:noProof w:val="1"/>
          <w:lang w:eastAsia="sv-SE"/>
        </w:rPr>
        <w:drawing>
          <wp:inline xmlns:wp="http://schemas.openxmlformats.org/drawingml/2006/wordprocessingDrawing" distT="0" distB="0" distL="0" distR="0">
            <wp:extent cx="2611120" cy="3128645"/>
            <wp:effectExtent l="7620" t="0" r="6350" b="6350"/>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3" cstate="print"/>
                    <a:srcRect l="-1" t="634" r="37783"/>
                    <a:stretch>
                      <a:fillRect/>
                    </a:stretch>
                  </pic:blipFill>
                  <pic:spPr bwMode="auto">
                    <a:xfrm rot="5400000">
                      <a:off x="0" y="0"/>
                      <a:ext cx="2733089" cy="3274851"/>
                    </a:xfrm>
                    <a:prstGeom prst="rect"/>
                    <a:noFill/>
                    <a:ln>
                      <a:noFill/>
                    </a:ln>
                  </pic:spPr>
                </pic:pic>
              </a:graphicData>
            </a:graphic>
          </wp:inline>
        </w:drawing>
      </w:r>
      <w:bookmarkEnd w:id="19"/>
    </w:p>
    <w:p>
      <w:pPr>
        <w:pStyle w:val="P43"/>
        <w:rPr>
          <w:color w:val="auto"/>
        </w:rPr>
      </w:pPr>
      <w:r>
        <w:rPr>
          <w:color w:val="auto"/>
        </w:rPr>
        <w:t>Figur 2: Bild från platsbesök 2018-06-25, 100-årig tallskog</w:t>
      </w:r>
    </w:p>
    <w:p>
      <w:pPr>
        <w:spacing w:after="120" w:beforeAutospacing="0" w:afterAutospacing="0"/>
      </w:pPr>
      <w:bookmarkStart w:id="20" w:name="pf_natur02"/>
      <w:r>
        <w:t xml:space="preserve">En utredning kring ekosystemtjänster har gjorts för området och därmed en bedömning av lämpligheten av ett genomförande av detaljplanen. Under förutsättning att antal tomter och planering av markanvändning inklusive dragning av tillfartsväg anpassas till ekosystemtjänster enligt förslag som utredningen har tagit fram bedöms förslaget kunna genomföras utan negativa konsekvenser för de viktigaste ekosystemtjänsterna inom området. De markerade områdena i utredningen som inte bör exploateras kommer markeras som naturmark i plankartan. Vissa delar av de markerade ekosystemtjänstområdena ligger utanför planområdet. Dessa områden är natur idag och avsikten är att dessa områden ska bevaras som naturområden även i framtiden. Markerade områden som är viktiga att bevara utifrån ett ekosystemtjänstperspektiv med plankartan som bakgrund, visas nedan. </w:t>
      </w:r>
    </w:p>
    <w:p>
      <w:pPr>
        <w:spacing w:after="120" w:beforeAutospacing="0" w:afterAutospacing="0"/>
      </w:pPr>
      <w:r>
        <w:t>Vid utformning av det nya bostadsområdet är det viktigt att ekosystemtjänster tas till vara och ses som en tillgång för områdets utveckling. Utformningen ska ta hänsyn till befintliga äldre strukturer och närliggande kulturmiljöer för att förbättra landskapet, boendekvaliteten och upplevelsen i området. För att bevara en attraktiv landskapsbild behöver nivåförhållanden och lutningar studeras, och tomterna anpassas till terrängens lutning och omgivande miljö.</w:t>
      </w:r>
    </w:p>
    <w:p>
      <w:pPr>
        <w:spacing w:after="120" w:beforeAutospacing="0" w:afterAutospacing="0"/>
      </w:pPr>
      <w:r>
        <w:t xml:space="preserve">Detaljplanen ger liten påverkan på sin omgivning och alla effekter är lokala. </w:t>
      </w:r>
      <w:bookmarkStart w:id="21" w:name="_Hlk94508291"/>
      <w:r>
        <w:t xml:space="preserve">Detaljplanen ger möjlighet till att använda befintlig infrastruktur därigenom sparas resurser. Planområdets läge och närhet till kommersiell och offentlig service ger även möjlighet att använda kollektivtrafik samt gå eller cykla. </w:t>
      </w:r>
      <w:bookmarkEnd w:id="21"/>
      <w:r>
        <w:t xml:space="preserve">Detaljplanens positiva konsekvenser tillsammans med att det bara bedöms bli små negativa effekter väger tyngre än de generella negativa konsekvenserna av den nya bebyggelsen. </w:t>
      </w:r>
    </w:p>
    <w:p>
      <w:pPr>
        <w:keepNext w:val="1"/>
      </w:pPr>
      <w:bookmarkEnd w:id="20"/>
      <w:bookmarkStart w:id="22" w:name="pf_natur06"/>
      <w:r>
        <w:rPr>
          <w:noProof w:val="1"/>
          <w:vertAlign w:val="superscript"/>
        </w:rPr>
        <w:drawing>
          <wp:inline xmlns:wp="http://schemas.openxmlformats.org/drawingml/2006/wordprocessingDrawing" distT="0" distB="0" distL="0" distR="0">
            <wp:extent cx="4878705" cy="3601720"/>
            <wp:effectExtent l="0" t="0" r="0" b="0"/>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objekt 20"/>
                    <pic:cNvPicPr/>
                  </pic:nvPicPr>
                  <pic:blipFill dpi="0">
                    <a:blip xmlns:r="http://schemas.openxmlformats.org/officeDocument/2006/relationships" r:embed="Relimage4" cstate="print"/>
                    <a:srcRect t="2799" b="2799"/>
                    <a:stretch>
                      <a:fillRect/>
                    </a:stretch>
                  </pic:blipFill>
                  <pic:spPr bwMode="auto">
                    <a:xfrm>
                      <a:off x="0" y="0"/>
                      <a:ext cx="5110170" cy="3772620"/>
                    </a:xfrm>
                    <a:prstGeom prst="rect"/>
                    <a:ln>
                      <a:noFill/>
                    </a:ln>
                  </pic:spPr>
                </pic:pic>
              </a:graphicData>
            </a:graphic>
          </wp:inline>
        </w:drawing>
      </w:r>
      <w:bookmarkEnd w:id="22"/>
    </w:p>
    <w:p>
      <w:pPr>
        <w:pStyle w:val="P43"/>
        <w:spacing w:after="0" w:beforeAutospacing="0" w:afterAutospacing="0"/>
        <w:ind w:right="1587"/>
        <w:rPr>
          <w:color w:val="auto"/>
        </w:rPr>
      </w:pPr>
      <w:r>
        <w:rPr>
          <w:color w:val="auto"/>
        </w:rPr>
        <w:t>Figur 3: Åtgärdsförslag, ur ekosystemtjänstutredningen. Områden som ej bör exploateras med hänsyn till de ekosystemtjänster som identifierats - markeras med grönt och rött i kartan.</w:t>
      </w:r>
    </w:p>
    <w:p/>
    <w:p>
      <w:bookmarkStart w:id="23" w:name="pf_natur03"/>
      <w:r>
        <w:t xml:space="preserve">Väst och sydväst om planområdet har orkidén fläckigt nyckelblomster hittats. Alla orkidéer är fridlysta. Orkidén hittas framförallt i fuktstråk och på myrar och i det här området finns de framförallt i två våtmarksområden som är inringade på kartan nedan. Kartan visar markens fuktighet där gulbrunt är torrt medan grönt till blått visar allt högre markfuktighet. Båda våtmarkerna identifieras som biologiskt värdefulla inför att planen skulle tas fram. Vid utformningen av planen lämnades våtmarken utanför planområdet. Även om våtmarken är en del av dagvattenhanteringen ska ingen extra avrinning ske till våtmarksområdena jämfört med idag. Våtmarken och orkidéerna ska därmed inte påverkas av planens genomförande. </w:t>
      </w:r>
    </w:p>
    <w:p>
      <w:bookmarkEnd w:id="23"/>
    </w:p>
    <w:p>
      <w:pPr>
        <w:keepNext w:val="1"/>
      </w:pPr>
      <w:r>
        <w:t xml:space="preserve"> </w:t>
      </w:r>
      <w:bookmarkStart w:id="24" w:name="pf_natur07"/>
      <w:r>
        <w:rPr>
          <w:noProof w:val="1"/>
        </w:rPr>
        <w:drawing>
          <wp:inline xmlns:wp="http://schemas.openxmlformats.org/drawingml/2006/wordprocessingDrawing" distT="0" distB="0" distL="0" distR="0">
            <wp:extent cx="3731895" cy="2962275"/>
            <wp:effectExtent l="0" t="0" r="1905"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5"/>
                    <a:srcRect/>
                    <a:stretch>
                      <a:fillRect/>
                    </a:stretch>
                  </pic:blipFill>
                  <pic:spPr bwMode="auto">
                    <a:xfrm>
                      <a:off x="0" y="0"/>
                      <a:ext cx="3747908" cy="2974691"/>
                    </a:xfrm>
                    <a:prstGeom prst="rect"/>
                    <a:noFill/>
                  </pic:spPr>
                </pic:pic>
              </a:graphicData>
            </a:graphic>
          </wp:inline>
        </w:drawing>
      </w:r>
      <w:bookmarkEnd w:id="24"/>
    </w:p>
    <w:p>
      <w:pPr>
        <w:pStyle w:val="P43"/>
        <w:ind w:right="1531"/>
        <w:rPr>
          <w:color w:val="auto"/>
        </w:rPr>
      </w:pPr>
      <w:r>
        <w:rPr>
          <w:color w:val="auto"/>
        </w:rPr>
        <w:t xml:space="preserve">Figur 4: Våtmarksområden med där orkidén fläckigt nyckelblomster, blommor </w:t>
        <w:br w:type="textWrapping"/>
        <w:t>(markeras med röda ovaler)</w:t>
      </w:r>
    </w:p>
    <w:p>
      <w:pPr>
        <w:pStyle w:val="P4"/>
      </w:pPr>
      <w:bookmarkStart w:id="25" w:name="pf_markbeskaffenhet01"/>
      <w:r>
        <w:t>Markbeskaffenhet och geotekniska förhållanden</w:t>
      </w:r>
    </w:p>
    <w:p>
      <w:pPr>
        <w:tabs>
          <w:tab w:val="left" w:pos="7371" w:leader="none"/>
        </w:tabs>
        <w:spacing w:after="120" w:beforeAutospacing="0" w:afterAutospacing="0"/>
        <w:ind w:right="1914"/>
      </w:pPr>
      <w:r>
        <w:t>Enligt den geologiska kartan består marken av sandig morän. På detta finns ett tunt täcke med mull. Mull är en form av humus och bidras vid nerbrytning av döda växt- och djurvävnader.</w:t>
      </w:r>
    </w:p>
    <w:p>
      <w:pPr>
        <w:tabs>
          <w:tab w:val="left" w:pos="7371" w:leader="none"/>
        </w:tabs>
        <w:spacing w:after="120" w:beforeAutospacing="0" w:afterAutospacing="0"/>
        <w:ind w:right="1914"/>
      </w:pPr>
      <w:r>
        <w:t xml:space="preserve">I planområdets östra del finns en källa där grundvatten tränger fram. Detta indikerar att grundvattennivån kan vara hög i stora delar av området. </w:t>
      </w:r>
    </w:p>
    <w:p>
      <w:pPr>
        <w:tabs>
          <w:tab w:val="left" w:pos="7371" w:leader="none"/>
        </w:tabs>
        <w:spacing w:after="120" w:beforeAutospacing="0" w:afterAutospacing="0"/>
        <w:ind w:right="1914"/>
      </w:pPr>
      <w:r>
        <w:t>De geotekniska förhållandena bedöms vara gynnsamma med avseende på sättnings- och stabilitetsförhållanden. Geotekniska bedömningar görs vid projekteringen om behovet finns. Schakt- och fyllningsarbete behöver planeras innan för att undvika eventuella stabilitetsproblem.</w:t>
      </w:r>
    </w:p>
    <w:p>
      <w:pPr>
        <w:pStyle w:val="P4"/>
        <w:rPr>
          <w:b w:val="1"/>
        </w:rPr>
      </w:pPr>
      <w:bookmarkEnd w:id="25"/>
      <w:bookmarkStart w:id="26" w:name="pf_förorenadmark01"/>
      <w:r>
        <w:t>Förorenad mark</w:t>
      </w:r>
    </w:p>
    <w:p>
      <w:pPr>
        <w:numPr>
          <w:ilvl w:val="4"/>
          <w:numId w:val="4"/>
        </w:numPr>
        <w:spacing w:after="120" w:beforeAutospacing="0" w:afterAutospacing="0"/>
        <w:ind w:right="1914"/>
        <w:rPr>
          <w:b w:val="1"/>
        </w:rPr>
      </w:pPr>
      <w:r>
        <w:rPr>
          <w:lang w:eastAsia="sv-SE"/>
        </w:rPr>
        <w:t>Genom påverkan från gruvdriften i Falu koppargruva har höga halter av tungmetaller samlats i stora delar av marken inom Falu tätort. Mest föroreningar finns i det översta markskiktet, ca 10 cm djupt. Med anledning av detta finns så kallade platsspecifika riktvärden för Falu tätort, fastställda av kommunfullmäktige (1999-05-20), som gäller inom områden där blyhalterna kan förväntas ligga över 300 mg/kg.</w:t>
      </w:r>
      <w:r>
        <w:rPr>
          <w:b w:val="1"/>
        </w:rPr>
        <w:t xml:space="preserve"> </w:t>
      </w:r>
    </w:p>
    <w:p>
      <w:pPr>
        <w:numPr>
          <w:ilvl w:val="4"/>
          <w:numId w:val="4"/>
        </w:numPr>
        <w:spacing w:after="120" w:beforeAutospacing="0" w:afterAutospacing="0"/>
        <w:ind w:right="1914"/>
        <w:rPr>
          <w:lang w:eastAsia="sv-SE"/>
        </w:rPr>
      </w:pPr>
      <w:r>
        <w:rPr>
          <w:lang w:eastAsia="sv-SE"/>
        </w:rPr>
        <w:t>Sweco har utfört en markprovtagning av vegetationsskiktet inom planområdet 2022-05-11 som omfattade åtta punkter. Till stöd för bedömning av föroreningshalter i mark har Naturvårdsverket tagit fram generella riktvärden för förorenad mark. De framtagna riktvärdena anger den halt som kan finnas i jorden utan att den bedöms utgöra någon risk för människors hälsa eller miljön.</w:t>
      </w:r>
    </w:p>
    <w:p>
      <w:pPr>
        <w:numPr>
          <w:ilvl w:val="4"/>
          <w:numId w:val="4"/>
        </w:numPr>
        <w:spacing w:after="120" w:beforeAutospacing="0" w:afterAutospacing="0"/>
        <w:ind w:right="1914"/>
        <w:rPr>
          <w:lang w:eastAsia="sv-SE"/>
        </w:rPr>
      </w:pPr>
      <w:r>
        <w:rPr>
          <w:lang w:eastAsia="sv-SE"/>
        </w:rPr>
        <w:t>De generella riktvärdena är framtagna för två olika markanvändningstyper:</w:t>
      </w:r>
    </w:p>
    <w:p>
      <w:pPr>
        <w:pStyle w:val="P42"/>
        <w:numPr>
          <w:ilvl w:val="0"/>
          <w:numId w:val="14"/>
        </w:numPr>
        <w:spacing w:after="120" w:beforeAutospacing="0" w:afterAutospacing="0"/>
        <w:ind w:right="1914"/>
      </w:pPr>
      <w:r>
        <w:t>Känslig markanvändning (KM) – bostäder, daghem etc.</w:t>
      </w:r>
    </w:p>
    <w:p>
      <w:pPr>
        <w:pStyle w:val="P42"/>
        <w:numPr>
          <w:ilvl w:val="0"/>
          <w:numId w:val="14"/>
        </w:numPr>
        <w:spacing w:after="120" w:beforeAutospacing="0" w:afterAutospacing="0"/>
        <w:ind w:right="1914"/>
      </w:pPr>
      <w:r>
        <w:t>Mindre känslig markanvändning (MKM) – kontor, industrier etc.</w:t>
      </w:r>
    </w:p>
    <w:p>
      <w:pPr>
        <w:numPr>
          <w:ilvl w:val="4"/>
          <w:numId w:val="4"/>
        </w:numPr>
        <w:spacing w:after="120" w:beforeAutospacing="0" w:afterAutospacing="0"/>
        <w:ind w:right="1914"/>
        <w:rPr>
          <w:lang w:eastAsia="sv-SE"/>
        </w:rPr>
      </w:pPr>
      <w:r>
        <w:rPr>
          <w:lang w:eastAsia="sv-SE"/>
        </w:rPr>
        <w:t xml:space="preserve">Utifrån den genomförda undersökningen kan det konstateras att det aktuella området är påverkat av förhöjda halter av bly och kvicksilver. Ursprunget för blyet är troligtvis stoftnedfall från gruvverksamheten som tidigare pågått i Falun. Kvicksilvrets ursprung är troligtvis den luftburna deposition som skett på många platser i Sverige från industrier. Inga uppmätta halter är så pass höga att de enligt Falu kommuns platsspecifika riktvärden behöver åtgärdas innan byggnation av bostäder. </w:t>
      </w:r>
    </w:p>
    <w:p>
      <w:pPr>
        <w:numPr>
          <w:ilvl w:val="4"/>
          <w:numId w:val="4"/>
        </w:numPr>
        <w:spacing w:after="120" w:beforeAutospacing="0" w:afterAutospacing="0"/>
        <w:ind w:right="1914"/>
        <w:rPr>
          <w:lang w:eastAsia="sv-SE"/>
        </w:rPr>
      </w:pPr>
      <w:r>
        <w:rPr>
          <w:lang w:eastAsia="sv-SE"/>
        </w:rPr>
        <w:t xml:space="preserve">Övriga metaller som arsenik, kadmium, koppar och zink ingår också i de föroreningar som finns på grund av gruvverksamheten. Provtagningsresultat visar att det inte finns några förhöjda halter av dessa metaller både utifrån de platsspecifika riktvärdena och Naturvårdsverkets generella riktvärde för känslig markanvändning. </w:t>
      </w:r>
    </w:p>
    <w:p>
      <w:pPr>
        <w:pStyle w:val="P42"/>
        <w:numPr>
          <w:ilvl w:val="4"/>
          <w:numId w:val="4"/>
        </w:numPr>
        <w:spacing w:after="120" w:beforeAutospacing="0" w:afterAutospacing="0"/>
        <w:ind w:right="1916"/>
      </w:pPr>
      <w:r>
        <w:t>Åtgärder som görs i detaljplanen är att avsätta en yta i planområdet för att eventuellt kunna flytta avtäckningsmassor. Massorna från bostadsområdena tas direkt hand om inom kvartersmarken. Avtäckningsmassor från allmän plats – gata, tas om hand inom naturområdet (NATUR) i den västra delen närmast kraftledningarna. En planbestämmelse för utformning av allmän plats (avtäckningsmassor</w:t>
      </w:r>
      <w:r>
        <w:rPr>
          <w:vertAlign w:val="subscript"/>
        </w:rPr>
        <w:t>1</w:t>
      </w:r>
      <w:r>
        <w:t xml:space="preserve">) införs i plankartan för att koncentrera ett lämpligt område för avtäckningsmassor. Området reserverar plats för massor från avtäckning som finns inom allmän plats, gata. Placering av massor ska göras med hänsyn till områdets natur och fungera som utfyllnad av mark vid höjdskillnader och insynsskydd. Träd kommer sannolikt att behöva fällas på dessa platser. Ytor för massor får inte påverka färdvägen som är en fornlämning. </w:t>
      </w:r>
    </w:p>
    <w:p>
      <w:pPr>
        <w:pStyle w:val="P4"/>
        <w:rPr>
          <w:b w:val="1"/>
        </w:rPr>
      </w:pPr>
      <w:bookmarkEnd w:id="26"/>
      <w:bookmarkStart w:id="27" w:name="pf_radon01"/>
      <w:r>
        <w:t>Radon</w:t>
      </w:r>
    </w:p>
    <w:p>
      <w:pPr>
        <w:numPr>
          <w:ilvl w:val="4"/>
          <w:numId w:val="4"/>
        </w:numPr>
        <w:spacing w:after="120" w:beforeAutospacing="0" w:afterAutospacing="0"/>
        <w:ind w:right="1914"/>
        <w:rPr>
          <w:lang w:eastAsia="sv-SE"/>
        </w:rPr>
      </w:pPr>
      <w:r>
        <w:rPr>
          <w:lang w:eastAsia="sv-SE"/>
        </w:rPr>
        <w:t>Fastigheten ligger inte inom högriskområde för radon. Generellt gäller att alla bostäder, lokaler som allmänheten har tillträde till samt rum i byggnader där människor vistas mer än tillfälligt ska klara gällande referens och gränsvärden för radongashalt i inomhusluften. Detta innebär att inom Falu kommun ska nybyggnationer uppföras i radonsäkert utförande eller föregås av en radonundersökning.</w:t>
      </w:r>
    </w:p>
    <w:p>
      <w:pPr>
        <w:pStyle w:val="P4"/>
        <w:rPr>
          <w:b w:val="1"/>
        </w:rPr>
      </w:pPr>
      <w:bookmarkEnd w:id="27"/>
      <w:bookmarkStart w:id="28" w:name="pf_riskföröversvämning01"/>
      <w:bookmarkStart w:id="29" w:name="pf_riskförskred01"/>
      <w:r>
        <w:t>Höga vattenstånd/risk för skred</w:t>
      </w:r>
    </w:p>
    <w:p>
      <w:pPr>
        <w:spacing w:after="120" w:beforeAutospacing="0" w:afterAutospacing="0"/>
        <w:ind w:right="1914"/>
      </w:pPr>
      <w:r>
        <w:t>Området är beläget över +112,7 meters-nivån, som är nuvarande planeringsnivå för höga vattenflöden runt Runn. (Koordinatsystem i höjd RH2000)</w:t>
      </w:r>
    </w:p>
    <w:p>
      <w:pPr>
        <w:pStyle w:val="P4"/>
        <w:rPr>
          <w:b w:val="1"/>
        </w:rPr>
      </w:pPr>
      <w:bookmarkEnd w:id="28"/>
      <w:bookmarkEnd w:id="29"/>
      <w:bookmarkStart w:id="30" w:name="pf_fornlämningar01"/>
      <w:r>
        <w:t>Fornlämningar</w:t>
      </w:r>
    </w:p>
    <w:p>
      <w:pPr>
        <w:spacing w:after="120" w:beforeAutospacing="0" w:afterAutospacing="0"/>
        <w:ind w:right="1914"/>
      </w:pPr>
      <w:r>
        <w:t xml:space="preserve">En arkeologisk utredning har genomförts för planområdet 2021 (Dalarnas Museum Arkivrapport dnr 26/21). Den visar att det i områdets norra del finns en färdväg som klassats som fornlämning. </w:t>
      </w:r>
      <w:bookmarkStart w:id="31" w:name="_Hlk87358710"/>
      <w:r>
        <w:t>Den är därmed skyddad enligt Kulturmiljölagen.</w:t>
      </w:r>
      <w:bookmarkEnd w:id="31"/>
    </w:p>
    <w:p>
      <w:pPr>
        <w:spacing w:after="120" w:beforeAutospacing="0" w:afterAutospacing="0"/>
        <w:ind w:right="1914"/>
      </w:pPr>
      <w:r>
        <w:t xml:space="preserve">Vidare finns i den södra delen ett brott för glimmerskiffer. Brottet är betecknat </w:t>
      </w:r>
      <w:r>
        <w:rPr>
          <w:i w:val="1"/>
          <w:iCs w:val="1"/>
        </w:rPr>
        <w:t>Övrig kulturhistorisk lämning</w:t>
      </w:r>
      <w:r>
        <w:t xml:space="preserve"> och </w:t>
      </w:r>
      <w:bookmarkStart w:id="32" w:name="_Hlk87358743"/>
      <w:r>
        <w:t>är därmed inte skyddat enligt Kulturmiljölagen.</w:t>
      </w:r>
    </w:p>
    <w:p>
      <w:pPr>
        <w:keepNext w:val="1"/>
        <w:ind w:right="1914"/>
      </w:pPr>
      <w:bookmarkEnd w:id="30"/>
      <w:bookmarkEnd w:id="32"/>
      <w:bookmarkStart w:id="33" w:name="pf_fornlämningar03"/>
      <w:r>
        <w:rPr>
          <w:noProof w:val="1"/>
          <w:lang w:eastAsia="sv-SE"/>
        </w:rPr>
        <w:drawing>
          <wp:inline xmlns:wp="http://schemas.openxmlformats.org/drawingml/2006/wordprocessingDrawing" distT="0" distB="0" distL="0" distR="0">
            <wp:extent cx="3977640" cy="2983230"/>
            <wp:effectExtent l="0" t="0" r="3810" b="7620"/>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objekt 16"/>
                    <pic:cNvPicPr>
                      <a:picLocks noChangeAspect="1" noChangeArrowheads="1"/>
                    </pic:cNvPicPr>
                  </pic:nvPicPr>
                  <pic:blipFill dpi="0">
                    <a:blip xmlns:r="http://schemas.openxmlformats.org/officeDocument/2006/relationships" r:embed="Relimage6" cstate="print"/>
                    <a:srcRect/>
                    <a:stretch>
                      <a:fillRect/>
                    </a:stretch>
                  </pic:blipFill>
                  <pic:spPr bwMode="auto">
                    <a:xfrm>
                      <a:off x="0" y="0"/>
                      <a:ext cx="3980599" cy="2985451"/>
                    </a:xfrm>
                    <a:prstGeom prst="rect"/>
                    <a:noFill/>
                    <a:ln>
                      <a:noFill/>
                    </a:ln>
                  </pic:spPr>
                </pic:pic>
              </a:graphicData>
            </a:graphic>
          </wp:inline>
        </w:drawing>
      </w:r>
      <w:bookmarkEnd w:id="33"/>
    </w:p>
    <w:p>
      <w:pPr>
        <w:pStyle w:val="P43"/>
        <w:rPr>
          <w:color w:val="auto"/>
        </w:rPr>
      </w:pPr>
      <w:r>
        <w:rPr>
          <w:color w:val="auto"/>
        </w:rPr>
        <w:t>Figur 5: Färdvägen - bilden är tagen vid platsbesök sommaren 2018</w:t>
      </w:r>
    </w:p>
    <w:p>
      <w:pPr>
        <w:pStyle w:val="P3"/>
      </w:pPr>
      <w:r>
        <w:t xml:space="preserve">Bebyggelse </w:t>
      </w:r>
    </w:p>
    <w:p>
      <w:pPr>
        <w:spacing w:after="120" w:beforeAutospacing="0" w:afterAutospacing="0"/>
        <w:ind w:right="1914"/>
        <w:rPr>
          <w:lang w:eastAsia="sv-SE"/>
        </w:rPr>
      </w:pPr>
      <w:bookmarkStart w:id="34" w:name="pf_bebyggelse01"/>
      <w:r>
        <w:rPr>
          <w:lang w:eastAsia="sv-SE"/>
        </w:rPr>
        <w:t xml:space="preserve">Området är idag obebyggt. Direkt öster och nordost om området ligger den kulturhistoriskt intressanta bymiljön Gruvriset. </w:t>
      </w:r>
    </w:p>
    <w:p>
      <w:pPr>
        <w:spacing w:after="120" w:beforeAutospacing="0" w:afterAutospacing="0"/>
        <w:ind w:right="1914"/>
        <w:rPr>
          <w:lang w:eastAsia="sv-SE"/>
        </w:rPr>
      </w:pPr>
      <w:r>
        <w:rPr>
          <w:lang w:eastAsia="sv-SE"/>
        </w:rPr>
        <w:t xml:space="preserve">Söder om planområdet och Övre Gruvrisvägen planeras för bostäder, 17 tomter för i första hand friliggande småhus, och verksamheter samt detaljhandel med skrymmande varor. </w:t>
      </w:r>
    </w:p>
    <w:p>
      <w:pPr>
        <w:pStyle w:val="P4"/>
      </w:pPr>
      <w:bookmarkStart w:id="35" w:name="Kartlänk_01"/>
      <w:r>
        <w:t>Bostäder</w:t>
      </w:r>
    </w:p>
    <w:p>
      <w:pPr>
        <w:spacing w:after="120" w:beforeAutospacing="0" w:afterAutospacing="0"/>
        <w:ind w:right="1914"/>
      </w:pPr>
      <w:r>
        <w:t>Om tomtstorlekarna är mellan 750 m</w:t>
      </w:r>
      <w:r>
        <w:rPr>
          <w:vertAlign w:val="superscript"/>
        </w:rPr>
        <w:t>2</w:t>
      </w:r>
      <w:r>
        <w:t xml:space="preserve"> och 1500 m</w:t>
      </w:r>
      <w:r>
        <w:rPr>
          <w:vertAlign w:val="superscript"/>
        </w:rPr>
        <w:t xml:space="preserve">2 </w:t>
      </w:r>
      <w:r>
        <w:t>kan cirka 40 tomter för enfamiljshus tillskapas. Detaljplanen möjliggör även för sammankopplad bebyggelse genom parhus, radhus och kedjehus. Storleken och antalet tomter kan därmed ändras.</w:t>
      </w:r>
    </w:p>
    <w:p>
      <w:pPr>
        <w:spacing w:after="120" w:beforeAutospacing="0" w:afterAutospacing="0"/>
        <w:ind w:right="1914"/>
      </w:pPr>
      <w:r>
        <w:t>Största byggnadsarea är 25 % av fastighetsarean inom användningsområdet (e</w:t>
      </w:r>
      <w:r>
        <w:rPr>
          <w:vertAlign w:val="subscript"/>
        </w:rPr>
        <w:t>1</w:t>
      </w:r>
      <w:r>
        <w:t xml:space="preserve">). </w:t>
      </w:r>
    </w:p>
    <w:p>
      <w:pPr>
        <w:pStyle w:val="P4"/>
      </w:pPr>
      <w:bookmarkEnd w:id="34"/>
      <w:bookmarkEnd w:id="35"/>
      <w:bookmarkStart w:id="36" w:name="pf_service01"/>
      <w:r>
        <w:t>Service</w:t>
      </w:r>
    </w:p>
    <w:p>
      <w:pPr>
        <w:spacing w:after="120" w:beforeAutospacing="0" w:afterAutospacing="0"/>
        <w:ind w:right="1914"/>
      </w:pPr>
      <w:r>
        <w:t xml:space="preserve">Närmaste livsmedelsbutik finns i Tallens köpcentrum ca 1 km från planområdet. </w:t>
      </w:r>
    </w:p>
    <w:p>
      <w:pPr>
        <w:spacing w:after="120" w:beforeAutospacing="0" w:afterAutospacing="0"/>
        <w:ind w:right="1914"/>
      </w:pPr>
      <w:r>
        <w:t>Närmaste grundskola, Gruvrisskolan, finns på Galgberget och dit är det cirka 2 km. Närmaste förskola finns i Samuelsdal och dit är det cirka 2 km.</w:t>
      </w:r>
    </w:p>
    <w:p>
      <w:pPr>
        <w:pStyle w:val="P4"/>
      </w:pPr>
      <w:bookmarkEnd w:id="36"/>
      <w:bookmarkStart w:id="37" w:name="pf_sociala01"/>
      <w:r>
        <w:t>Tillgänglighet</w:t>
      </w:r>
    </w:p>
    <w:p>
      <w:pPr>
        <w:tabs>
          <w:tab w:val="left" w:pos="7371" w:leader="none"/>
        </w:tabs>
        <w:spacing w:after="120" w:beforeAutospacing="0" w:afterAutospacing="0"/>
        <w:ind w:right="1914"/>
      </w:pPr>
      <w:r>
        <w:t xml:space="preserve">Kommunen bevakar i samband med hanteringen av bygglov att byggnaders och tomters tillgänglighet är god. Kommunens ambition är att rekommendationerna i skriften </w:t>
      </w:r>
      <w:r>
        <w:rPr>
          <w:i w:val="1"/>
        </w:rPr>
        <w:t>Bygg ikapp</w:t>
      </w:r>
      <w:r>
        <w:t xml:space="preserve"> ska tillämpas.</w:t>
      </w:r>
    </w:p>
    <w:p>
      <w:pPr>
        <w:pStyle w:val="P4"/>
        <w:rPr>
          <w:b w:val="1"/>
        </w:rPr>
      </w:pPr>
      <w:bookmarkEnd w:id="37"/>
      <w:r>
        <w:t>Byggnadskultur och gestaltning</w:t>
      </w:r>
    </w:p>
    <w:p>
      <w:pPr>
        <w:tabs>
          <w:tab w:val="left" w:pos="7371" w:leader="none"/>
        </w:tabs>
        <w:spacing w:after="120" w:beforeAutospacing="0" w:afterAutospacing="0"/>
        <w:ind w:right="1914"/>
      </w:pPr>
      <w:bookmarkStart w:id="38" w:name="pf_kulturmiljö01"/>
      <w:r>
        <w:t>Gruvriset har höga kulturmiljövärden men ingår inte i område av riksintresse för kulturmiljövård eller i Världsarvet Falun. I arbetet med den fördjupade översiktsplanen för Falu tätort har en kulturmiljöanalys tagits fram. Det aktuella området ligger precis utanför Gruvriset som beskrivs som en intressant bergsmansby med karaktär av radby längs den medeltida vägen till Tuna. Flera bevarade äldre gårdar och ett äldre, småbrutet odlingslandskap med stora stenrösen, terrasseringar, murar och äldre husgrunder</w:t>
      </w:r>
      <w:r>
        <w:rPr>
          <w:i w:val="1"/>
          <w:iCs w:val="1"/>
        </w:rPr>
        <w:t xml:space="preserve">. </w:t>
      </w:r>
    </w:p>
    <w:p>
      <w:pPr>
        <w:spacing w:after="120" w:beforeAutospacing="0" w:afterAutospacing="0"/>
        <w:ind w:right="1914"/>
        <w:rPr>
          <w:lang w:eastAsia="sv-SE"/>
        </w:rPr>
      </w:pPr>
      <w:bookmarkEnd w:id="38"/>
      <w:bookmarkStart w:id="39" w:name="be_bostäder01"/>
      <w:r>
        <w:rPr>
          <w:lang w:eastAsia="sv-SE"/>
        </w:rPr>
        <w:t>Den tillkommande bebyggelse som detaljplanen tillåter bildar en egen bebyggelsegrupp som avskärmas från Övre Gruvriset genom att ett skogsområde sparas.</w:t>
      </w:r>
    </w:p>
    <w:p>
      <w:pPr>
        <w:tabs>
          <w:tab w:val="left" w:pos="7371" w:leader="none"/>
        </w:tabs>
        <w:spacing w:after="120" w:beforeAutospacing="0" w:afterAutospacing="0"/>
        <w:ind w:right="1914"/>
      </w:pPr>
      <w:bookmarkStart w:id="40" w:name="Kartlänk_02"/>
      <w:r>
        <w:t>Högsta nockhöjd är 8 meter. Huvudbyggnad ska placeras minst 4 meter från fastighetsgräns vid fristående bebyggelse (p</w:t>
      </w:r>
      <w:r>
        <w:rPr>
          <w:vertAlign w:val="subscript"/>
        </w:rPr>
        <w:t>1</w:t>
      </w:r>
      <w:r>
        <w:t>) och uthus och garage minst 2 meter från fastighetsgräns vid fristående bebyggelse och 6 meter mot gatan (p</w:t>
      </w:r>
      <w:r>
        <w:rPr>
          <w:vertAlign w:val="subscript"/>
        </w:rPr>
        <w:t>2</w:t>
      </w:r>
      <w:r>
        <w:t xml:space="preserve">). </w:t>
      </w:r>
    </w:p>
    <w:p>
      <w:pPr>
        <w:tabs>
          <w:tab w:val="left" w:pos="7371" w:leader="none"/>
        </w:tabs>
        <w:spacing w:after="120" w:beforeAutospacing="0" w:afterAutospacing="0"/>
        <w:ind w:right="1914"/>
      </w:pPr>
      <w:bookmarkEnd w:id="40"/>
      <w:bookmarkStart w:id="41" w:name="Kartlänk_04"/>
      <w:r>
        <w:t>Mot gatan är det ett prickmarksområde som antingen är 4 eller 6 meter brett och som inte får förses med byggnad. Delar av kvartersmarken som ligger på södra sidan om lokalgatan har 4 meter bred prickmark medan resten av kvartersmarken som ligger mot gata har 6 meter bred prickmark. För den kvartersmark som har 4 meter bred prickmark ska det vara möjligt att placera huvudbyggnaden 4 meter från gatan.</w:t>
      </w:r>
      <w:bookmarkEnd w:id="41"/>
      <w:r>
        <w:t xml:space="preserve"> </w:t>
      </w:r>
      <w:bookmarkStart w:id="42" w:name="Kartlänk_03"/>
      <w:r>
        <w:t>Garage ska alltid placeras 6 meter från gatan, detta regleras med en placeringsbestämmelse (p</w:t>
      </w:r>
      <w:r>
        <w:rPr>
          <w:vertAlign w:val="subscript"/>
        </w:rPr>
        <w:t>2</w:t>
      </w:r>
      <w:r>
        <w:t xml:space="preserve">). Anledningen till att huvudbyggnaderna på södra sidan av lokalgatan ska kunna placeras närmare vägen är för att massbalansera tomterna på ett mer effektivt sätt. Husets indrag från gatan påverkar karaktären där en närmare placering ger ett mer intimt och smalare gaturum. Se exempel på gatusektion inklusive tomtmark framför byggnaderna i kapitlet </w:t>
      </w:r>
      <w:r>
        <w:rPr>
          <w:i w:val="1"/>
          <w:iCs w:val="1"/>
        </w:rPr>
        <w:t>Gator och trafik – biltrafik</w:t>
      </w:r>
      <w:r>
        <w:t xml:space="preserve">. </w:t>
      </w:r>
    </w:p>
    <w:p>
      <w:pPr>
        <w:tabs>
          <w:tab w:val="left" w:pos="7371" w:leader="none"/>
        </w:tabs>
        <w:spacing w:after="120" w:beforeAutospacing="0" w:afterAutospacing="0"/>
        <w:ind w:right="1914"/>
      </w:pPr>
      <w:r>
        <w:t xml:space="preserve">Bostäderna i nordost, närmast färdvägen (se text om </w:t>
      </w:r>
      <w:r>
        <w:rPr>
          <w:i w:val="1"/>
          <w:iCs w:val="1"/>
        </w:rPr>
        <w:t>fornlämning</w:t>
      </w:r>
      <w:r>
        <w:t xml:space="preserve"> nedan) ska harmonisera med befintlig bebyggelse i nordost. I kulturmiljöanalysen står det för Gruvrisets område att ny bebyggelse ska följa områdets struktur samt byggnadernas skala, utseende och material. Byggnader ska placeras traditionellt på tomt och ha ett traditionellt utseende. </w:t>
      </w:r>
    </w:p>
    <w:p>
      <w:pPr>
        <w:tabs>
          <w:tab w:val="left" w:pos="7371" w:leader="none"/>
        </w:tabs>
        <w:spacing w:after="120" w:beforeAutospacing="0" w:afterAutospacing="0"/>
        <w:ind w:right="1914"/>
      </w:pPr>
      <w:r>
        <w:t>För att se till så att den nya bebyggelsen i nordöstra delen av planområdet i stora drag speglar den befintliga bebyggelsen har detta delområde en utformningsbestämmelse och en takvinkelbestämmelse i plankartan. Planbestämmelserna anger vad som är viktigt för att anpassa den nya bebyggelsen till den befintliga bebyggelsen. Husens fasad ska bestå av trä och färgsättas med dova kulörer. Svart, vitt eller maximala kulörtoner är inte tillåtna (f</w:t>
      </w:r>
      <w:r>
        <w:rPr>
          <w:vertAlign w:val="subscript"/>
        </w:rPr>
        <w:t>1</w:t>
      </w:r>
      <w:r>
        <w:t>). Med maximala kulörtoner menas att en färg har största möjliga styrka eller intensitet, det finns inga svärta eller vithet i färgen och den ligger så långt bort från gråskalan som det är möjligt. Kulörthetsbeteckningen säger ingenting om ifall färgen är ljus eller mörk, och inte heller vilken kulörton (gul, röd, blå etc.) som den har. Taken ska ha en taklutning på 27–34 grader (planbestämmelse: takvinkeln får vara mellan de angivna gradtalen).</w:t>
      </w:r>
    </w:p>
    <w:p>
      <w:pPr>
        <w:tabs>
          <w:tab w:val="left" w:pos="7371" w:leader="none"/>
        </w:tabs>
        <w:spacing w:after="120" w:beforeAutospacing="0" w:afterAutospacing="0"/>
        <w:ind w:right="1914"/>
      </w:pPr>
      <w:bookmarkEnd w:id="42"/>
      <w:r>
        <w:t xml:space="preserve">Då Stora Vällan inte uppnår god status med avseende på zink så ska tillkommande bebyggelse undvika att ytterligare zink tillförs till recipienten. </w:t>
      </w:r>
    </w:p>
    <w:p>
      <w:pPr>
        <w:pStyle w:val="P3"/>
      </w:pPr>
      <w:bookmarkEnd w:id="39"/>
      <w:r>
        <w:t>Fornlämning</w:t>
      </w:r>
    </w:p>
    <w:p>
      <w:pPr>
        <w:tabs>
          <w:tab w:val="left" w:pos="7371" w:leader="none"/>
        </w:tabs>
        <w:spacing w:after="120" w:beforeAutospacing="0" w:afterAutospacing="0"/>
        <w:ind w:right="1914"/>
      </w:pPr>
      <w:bookmarkStart w:id="43" w:name="Kartlänk_05"/>
      <w:bookmarkStart w:id="44" w:name="pf_fornlämningar02"/>
      <w:r>
        <w:t>I planområdets nordligaste del går en äldre färdväg som förbundit Gruvriset och Götgården. Den består av en vägbank uppbyggd av grus och sten och med flera små täktgropar utmed den nordöstra övre kanten vilket ger den en ålderdomlig karaktär. Färdvägen finns dokumenterad på kartor före 1850. Den är fornlämning och ska bibehållas till sin utformning (q-skydd</w:t>
      </w:r>
      <w:r>
        <w:rPr>
          <w:vertAlign w:val="subscript"/>
        </w:rPr>
        <w:t>1</w:t>
      </w:r>
      <w:r>
        <w:t>)</w:t>
      </w:r>
      <w:bookmarkEnd w:id="43"/>
      <w:r>
        <w:t>. I plankartan skrafferas även fornlämningen för att tydliggöra den och dess skydd enligt kulturmiljölagen 2 kap 1§.</w:t>
      </w:r>
    </w:p>
    <w:p>
      <w:pPr>
        <w:tabs>
          <w:tab w:val="left" w:pos="7371" w:leader="none"/>
        </w:tabs>
        <w:spacing w:after="120" w:beforeAutospacing="0" w:afterAutospacing="0"/>
        <w:ind w:right="1914"/>
      </w:pPr>
      <w:r>
        <w:t xml:space="preserve">Glimmerskiffersbrotten som har hittats inom och i närheten av detaljplaneområdet och som är kulturhistoriska lämningar, markeras även i plankartan. Dessa har inget skydd av kulturmiljölagen och skyddas inte av en planbestämmelse. Brottet som finns innanför planområdet ligger inom naturmark och den bör bibehållas till sin utformning. </w:t>
      </w:r>
    </w:p>
    <w:p>
      <w:pPr>
        <w:pStyle w:val="P3"/>
      </w:pPr>
      <w:bookmarkEnd w:id="44"/>
      <w:r>
        <w:t>Friytor</w:t>
      </w:r>
    </w:p>
    <w:p>
      <w:pPr>
        <w:pStyle w:val="P4"/>
        <w:rPr>
          <w:b w:val="1"/>
        </w:rPr>
      </w:pPr>
      <w:bookmarkStart w:id="45" w:name="pf_sociala02"/>
      <w:r>
        <w:t>Lek och rekreation</w:t>
      </w:r>
    </w:p>
    <w:p>
      <w:pPr>
        <w:spacing w:after="120" w:beforeAutospacing="0" w:afterAutospacing="0"/>
        <w:ind w:right="1914"/>
      </w:pPr>
      <w:r>
        <w:t xml:space="preserve">Norr om området ligger Gruvrisberget som är ett betydelsefullt rekreationsområde. I den närliggande sjön Vällan finns en badplats. </w:t>
      </w:r>
    </w:p>
    <w:p>
      <w:pPr>
        <w:spacing w:after="120" w:beforeAutospacing="0" w:afterAutospacing="0"/>
        <w:ind w:right="1914"/>
      </w:pPr>
      <w:bookmarkEnd w:id="45"/>
      <w:bookmarkStart w:id="46" w:name="ko_barn01"/>
      <w:r>
        <w:t>I områdets östra del finns en källa och vid den skapas plats för en områdeslekplats (lek</w:t>
      </w:r>
      <w:r>
        <w:rPr>
          <w:vertAlign w:val="subscript"/>
        </w:rPr>
        <w:t>1</w:t>
      </w:r>
      <w:r>
        <w:t xml:space="preserve">). En områdeslekplats är främst anpassad för yngre barn som inte bör ha för långt mellan bostad och lekplats. </w:t>
      </w:r>
    </w:p>
    <w:p>
      <w:pPr>
        <w:pStyle w:val="P4"/>
        <w:rPr>
          <w:b w:val="1"/>
        </w:rPr>
      </w:pPr>
      <w:bookmarkEnd w:id="46"/>
      <w:r>
        <w:t>Naturmiljö</w:t>
      </w:r>
    </w:p>
    <w:p>
      <w:pPr>
        <w:spacing w:after="120" w:beforeAutospacing="0" w:afterAutospacing="0"/>
        <w:ind w:right="1914"/>
      </w:pPr>
      <w:bookmarkStart w:id="47" w:name="pf_natur04"/>
      <w:r>
        <w:t>Övre Gruvrisvägen är en del av den så kallade Kåres väg och används som cykelstråk och vandringsled.</w:t>
      </w:r>
    </w:p>
    <w:p>
      <w:pPr>
        <w:spacing w:after="120" w:beforeAutospacing="0" w:afterAutospacing="0"/>
        <w:ind w:right="1914"/>
      </w:pPr>
      <w:bookmarkEnd w:id="47"/>
      <w:bookmarkStart w:id="48" w:name="ko_grönområde01"/>
      <w:r>
        <w:t>De delar som inte är kvartersmark eller gatumark ska bevaras som naturmark. Detta regleras med bestämmelsen (NATUR).</w:t>
      </w:r>
    </w:p>
    <w:p>
      <w:pPr>
        <w:pStyle w:val="P4"/>
        <w:rPr>
          <w:b w:val="1"/>
        </w:rPr>
      </w:pPr>
      <w:bookmarkEnd w:id="48"/>
      <w:r>
        <w:t>Trygghet och jämställdhet</w:t>
      </w:r>
    </w:p>
    <w:p>
      <w:pPr>
        <w:tabs>
          <w:tab w:val="left" w:pos="7371" w:leader="none"/>
        </w:tabs>
        <w:spacing w:after="120" w:beforeAutospacing="0" w:afterAutospacing="0"/>
        <w:ind w:right="1914"/>
      </w:pPr>
      <w:bookmarkStart w:id="49" w:name="pf_sociala03"/>
      <w:r>
        <w:t>Det är viktigt att området upplevs som tryggt att röra sig i under dygnets alla timmar. Belysning, planteringar och gestaltningen av den yttre miljön bör utformas med detta som utgångspunkt.</w:t>
      </w:r>
    </w:p>
    <w:p>
      <w:pPr>
        <w:tabs>
          <w:tab w:val="left" w:pos="7371" w:leader="none"/>
        </w:tabs>
        <w:spacing w:after="120" w:beforeAutospacing="0" w:afterAutospacing="0"/>
        <w:ind w:right="1914"/>
      </w:pPr>
      <w:r>
        <w:t>Området ligger relativt nära kollektivtrafik vilket gör det möjlighet till bra kommunikationer utan bil. Detaljhandel finns inom gångavstånd.</w:t>
      </w:r>
    </w:p>
    <w:p>
      <w:pPr>
        <w:pStyle w:val="P3"/>
      </w:pPr>
      <w:bookmarkEnd w:id="49"/>
      <w:r>
        <w:t>Gator och trafik</w:t>
      </w:r>
    </w:p>
    <w:p>
      <w:pPr>
        <w:pStyle w:val="P4"/>
        <w:rPr>
          <w:b w:val="1"/>
        </w:rPr>
      </w:pPr>
      <w:bookmarkStart w:id="50" w:name="ko_gångochcykeltrafik01"/>
      <w:r>
        <w:t>Gång- och cykeltrafik</w:t>
      </w:r>
    </w:p>
    <w:p>
      <w:pPr>
        <w:tabs>
          <w:tab w:val="left" w:pos="7371" w:leader="none"/>
        </w:tabs>
        <w:spacing w:after="120" w:beforeAutospacing="0" w:afterAutospacing="0"/>
        <w:ind w:right="1914"/>
      </w:pPr>
      <w:r>
        <w:t>På lokalgatorna delar gång- och cykeltrafiken utrymme med biltrafiken. Längs den uppsamlingsgata som kommer att byggas söder om Övre Gruvrisvägen byggs en separat gång- och cykelbana. Vid Tunavägen ansluter den till det övergripande gång- och cykelnätet.</w:t>
      </w:r>
    </w:p>
    <w:p>
      <w:pPr>
        <w:pStyle w:val="P4"/>
      </w:pPr>
      <w:bookmarkEnd w:id="50"/>
      <w:bookmarkStart w:id="51" w:name="pf_kollektivtrafik01"/>
      <w:r>
        <w:t>Kollektivtrafik</w:t>
      </w:r>
    </w:p>
    <w:p>
      <w:pPr>
        <w:tabs>
          <w:tab w:val="left" w:pos="7371" w:leader="none"/>
        </w:tabs>
        <w:spacing w:after="120" w:beforeAutospacing="0" w:afterAutospacing="0"/>
        <w:ind w:right="1914"/>
      </w:pPr>
      <w:r>
        <w:t>Närmaste busshållplats finns vid Tallens Trafikplats. Här angör en av busslinjerna mellan Falun och Borlänge som också är en del av stadstrafiken i de två städerna. Gångavståndet från bostäderna till närmaste hållplatsläge är ca 900 meter.</w:t>
      </w:r>
    </w:p>
    <w:p>
      <w:pPr>
        <w:pStyle w:val="P4"/>
      </w:pPr>
      <w:bookmarkEnd w:id="51"/>
      <w:bookmarkStart w:id="52" w:name="ko_motortrafik01"/>
      <w:r>
        <w:t>Biltrafik</w:t>
      </w:r>
    </w:p>
    <w:p>
      <w:pPr>
        <w:tabs>
          <w:tab w:val="left" w:pos="7371" w:leader="none"/>
        </w:tabs>
        <w:spacing w:after="120" w:beforeAutospacing="0" w:afterAutospacing="0"/>
        <w:ind w:right="1914"/>
      </w:pPr>
      <w:bookmarkStart w:id="53" w:name="Kartlänk_06"/>
      <w:r>
        <w:t>För att leda biltrafik till och från området samt till ytterligare bostadsbebyggelse norr och nordväst om området byggs en ny uppsamlingsgata (GATA</w:t>
      </w:r>
      <w:r>
        <w:rPr>
          <w:vertAlign w:val="subscript"/>
        </w:rPr>
        <w:t>1</w:t>
      </w:r>
      <w:r>
        <w:t xml:space="preserve">) som ansluter till Övre Gruvrisvägen och Tunavägen. Uppsamlingsgatan kommer att få en körbanebredd på 8 meter. I denna detaljplan ingår endast en bit av uppsamlingsgatan, alltså den delen från Övre Gruvrisvägen till infarten till planområdet. </w:t>
      </w:r>
    </w:p>
    <w:p>
      <w:pPr>
        <w:tabs>
          <w:tab w:val="left" w:pos="7371" w:leader="none"/>
        </w:tabs>
        <w:spacing w:after="120" w:beforeAutospacing="0" w:afterAutospacing="0"/>
        <w:ind w:right="1914"/>
      </w:pPr>
      <w:bookmarkEnd w:id="53"/>
      <w:r>
        <w:t>Tillkommande och befintlig trafik planeras till stora delar omfördelas till uppsamlingsgatan för att avlasta Övre Gruvrisvägen som är en enskild väg.</w:t>
      </w:r>
    </w:p>
    <w:p>
      <w:pPr>
        <w:tabs>
          <w:tab w:val="left" w:pos="7371" w:leader="none"/>
        </w:tabs>
        <w:spacing w:after="120" w:beforeAutospacing="0" w:afterAutospacing="0"/>
        <w:ind w:right="1914"/>
      </w:pPr>
      <w:bookmarkStart w:id="54" w:name="Kartlänk_07"/>
      <w:r>
        <w:t>Småhustomterna trafikmatas via lokalgator (GATA</w:t>
      </w:r>
      <w:r>
        <w:rPr>
          <w:vertAlign w:val="subscript"/>
        </w:rPr>
        <w:t>2</w:t>
      </w:r>
      <w:r>
        <w:t xml:space="preserve">). Lokalgatan ges ett gatuområde på 10 meter. Av dessa asfalteras 7 meter och 1,5 meter är till för vinge och stödremsa. Nedan visas exempel på gatusektion för lokalgatan. </w:t>
      </w:r>
    </w:p>
    <w:p>
      <w:pPr>
        <w:keepNext w:val="1"/>
        <w:tabs>
          <w:tab w:val="left" w:pos="7371" w:leader="none"/>
        </w:tabs>
        <w:ind w:right="1914"/>
      </w:pPr>
      <w:bookmarkEnd w:id="54"/>
      <w:r>
        <w:rPr>
          <w:noProof w:val="1"/>
        </w:rPr>
        <w:drawing>
          <wp:inline xmlns:wp="http://schemas.openxmlformats.org/drawingml/2006/wordprocessingDrawing" distT="0" distB="0" distL="0" distR="0">
            <wp:extent cx="4925695" cy="1303655"/>
            <wp:effectExtent l="0" t="0" r="8255" b="0"/>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0"/>
                    <pic:cNvPicPr/>
                  </pic:nvPicPr>
                  <pic:blipFill dpi="0">
                    <a:blip xmlns:r="http://schemas.openxmlformats.org/officeDocument/2006/relationships" r:embed="Relimage7"/>
                    <a:srcRect/>
                    <a:stretch>
                      <a:fillRect/>
                    </a:stretch>
                  </pic:blipFill>
                  <pic:spPr>
                    <a:xfrm>
                      <a:off x="0" y="0"/>
                      <a:ext cx="4952765" cy="1311136"/>
                    </a:xfrm>
                    <a:prstGeom prst="rect"/>
                  </pic:spPr>
                </pic:pic>
              </a:graphicData>
            </a:graphic>
          </wp:inline>
        </w:drawing>
      </w:r>
    </w:p>
    <w:p>
      <w:pPr>
        <w:pStyle w:val="P43"/>
        <w:rPr>
          <w:color w:val="auto"/>
        </w:rPr>
      </w:pPr>
      <w:r>
        <w:rPr>
          <w:color w:val="auto"/>
        </w:rPr>
        <w:t>Figur 6: Exempel på gatusektion för lokalgatan</w:t>
      </w:r>
      <w:r>
        <w:rPr>
          <w:color w:val="auto"/>
        </w:rPr>
        <w:softHyphen/>
      </w:r>
      <w:r>
        <w:rPr>
          <w:color w:val="auto"/>
        </w:rPr>
        <w:softHyphen/>
      </w:r>
    </w:p>
    <w:p>
      <w:pPr>
        <w:pStyle w:val="P4"/>
        <w:rPr>
          <w:b w:val="1"/>
        </w:rPr>
      </w:pPr>
      <w:r>
        <w:t>Parkering, utfarter</w:t>
      </w:r>
    </w:p>
    <w:p>
      <w:pPr>
        <w:tabs>
          <w:tab w:val="left" w:pos="7371" w:leader="none"/>
        </w:tabs>
        <w:spacing w:after="120" w:beforeAutospacing="0" w:afterAutospacing="0"/>
        <w:ind w:right="1914"/>
      </w:pPr>
      <w:r>
        <w:t xml:space="preserve">Parkering ska lösas på respektive fastighet. Småhustomterna längs lokalgatorna har utfart direkt mot dem. Naturmarken i södra delen av plankartan hindrar direktutfarter till Övre Gruvrisvägen. </w:t>
      </w:r>
    </w:p>
    <w:p>
      <w:pPr>
        <w:pStyle w:val="P3"/>
      </w:pPr>
      <w:bookmarkEnd w:id="52"/>
      <w:r>
        <w:t>Störningar och risker</w:t>
      </w:r>
    </w:p>
    <w:p>
      <w:pPr>
        <w:tabs>
          <w:tab w:val="left" w:pos="7371" w:leader="none"/>
        </w:tabs>
        <w:spacing w:after="120" w:beforeAutospacing="0" w:afterAutospacing="0"/>
        <w:ind w:right="1914"/>
        <w:outlineLvl w:val="3"/>
      </w:pPr>
      <w:bookmarkStart w:id="55" w:name="pf_omgivningsbuller01"/>
      <w:bookmarkStart w:id="56" w:name="pf_buller01"/>
      <w:r>
        <w:rPr>
          <w:rFonts w:ascii="Arial" w:hAnsi="Arial"/>
          <w:i w:val="1"/>
          <w:iCs w:val="1"/>
          <w:sz w:val="22"/>
        </w:rPr>
        <w:t>Trafikbuller</w:t>
      </w:r>
    </w:p>
    <w:p>
      <w:pPr>
        <w:tabs>
          <w:tab w:val="left" w:pos="7371" w:leader="none"/>
        </w:tabs>
        <w:spacing w:after="120" w:beforeAutospacing="0" w:afterAutospacing="0"/>
        <w:ind w:right="1914"/>
      </w:pPr>
      <w:r>
        <w:t xml:space="preserve">Tänkbara bullerkällor är trafiken på E16, Tunavägen, Övre Gruvrisvägen och på den nya uppsamlingsgatan. </w:t>
      </w:r>
    </w:p>
    <w:p>
      <w:pPr>
        <w:tabs>
          <w:tab w:val="left" w:pos="7371" w:leader="none"/>
        </w:tabs>
        <w:spacing w:after="120" w:beforeAutospacing="0" w:afterAutospacing="0"/>
        <w:ind w:right="1914"/>
      </w:pPr>
      <w:r>
        <w:t xml:space="preserve">Enligt </w:t>
      </w:r>
      <w:r>
        <w:rPr>
          <w:i w:val="1"/>
          <w:iCs w:val="1"/>
        </w:rPr>
        <w:t>Förordning (2015:216) om trafikbuller vid bostadsbyggnader</w:t>
      </w:r>
      <w:r>
        <w:t> bör buller från spårtrafik och vägar inte överskrida:</w:t>
        <w:br w:type="textWrapping"/>
        <w:t>   1. 60 dBA ekvivalent ljudnivå vid en bostadsbyggnads fasad, och</w:t>
        <w:br w:type="textWrapping"/>
        <w:t>   2. 50 dBA ekvivalent ljudnivå samt 70 dBA maximal ljudnivå vid en uteplats om en sådan ska anordnas i anslutning till byggnaden.</w:t>
      </w:r>
    </w:p>
    <w:p>
      <w:pPr>
        <w:tabs>
          <w:tab w:val="left" w:pos="7371" w:leader="none"/>
        </w:tabs>
        <w:spacing w:after="120" w:beforeAutospacing="0" w:afterAutospacing="0"/>
        <w:ind w:right="1914"/>
        <w:rPr>
          <w:i w:val="1"/>
          <w:iCs w:val="1"/>
        </w:rPr>
      </w:pPr>
      <w:r>
        <w:t xml:space="preserve">En överslagsmässig bedömning har gjorts av bullernivåerna för den planerade bostadsbebyggelsen med hjälp av Boverkets och SKR:s modell </w:t>
      </w:r>
      <w:r>
        <w:rPr>
          <w:i w:val="1"/>
          <w:iCs w:val="1"/>
        </w:rPr>
        <w:t>Hur mycket bullrar vägtrafiken?</w:t>
      </w:r>
    </w:p>
    <w:p>
      <w:pPr>
        <w:tabs>
          <w:tab w:val="left" w:pos="7371" w:leader="none"/>
        </w:tabs>
        <w:spacing w:after="120" w:beforeAutospacing="0" w:afterAutospacing="0"/>
        <w:ind w:right="1914"/>
      </w:pPr>
      <w:r>
        <w:t>På E16 var trafikflödet 18 300 fordon ÅDT (årsdygnstrafik) 2018. Skyltad hastighet är 110 km/h. Enligt Trafikverkets trafikprognos beräknas flödet öka till 25 400 fordon år 2040. Om det är plan mark mellan E16, som är mjuk, blir det följande bullernivåer vid fasad mot vägen för planerat hus närmast vägen:</w:t>
      </w:r>
    </w:p>
    <w:p>
      <w:pPr>
        <w:pStyle w:val="P42"/>
        <w:numPr>
          <w:ilvl w:val="0"/>
          <w:numId w:val="15"/>
        </w:numPr>
        <w:tabs>
          <w:tab w:val="left" w:pos="7371" w:leader="none"/>
        </w:tabs>
        <w:spacing w:after="120" w:beforeAutospacing="0" w:afterAutospacing="0"/>
        <w:ind w:right="1914"/>
      </w:pPr>
      <w:r>
        <w:t>Våning 1, utomhus vid fasad; Ekvivalent bullernivå 54 dBA, maximal bullernivå 54 dBA</w:t>
      </w:r>
    </w:p>
    <w:p>
      <w:pPr>
        <w:pStyle w:val="P42"/>
        <w:numPr>
          <w:ilvl w:val="0"/>
          <w:numId w:val="15"/>
        </w:numPr>
        <w:tabs>
          <w:tab w:val="left" w:pos="7371" w:leader="none"/>
        </w:tabs>
        <w:spacing w:after="120" w:beforeAutospacing="0" w:afterAutospacing="0"/>
        <w:ind w:right="1914"/>
      </w:pPr>
      <w:r>
        <w:t>Våning 2, utomhus vid fasad; Ekvivalent bullernivå 56 dBA, maximal bullernivå 56 dBA</w:t>
      </w:r>
    </w:p>
    <w:p>
      <w:pPr>
        <w:tabs>
          <w:tab w:val="left" w:pos="7371" w:leader="none"/>
        </w:tabs>
        <w:spacing w:after="120" w:beforeAutospacing="0" w:afterAutospacing="0"/>
        <w:ind w:right="1914"/>
      </w:pPr>
      <w:r>
        <w:t>E16 ligger betydligt lägre än bostadstomterna och går delvis i en skärning. I den riktning där avståndet mellan bostadskvarteren och E16 är kortast (cirka 400 m), mot sydost, består marken av en skogsridå och ängsmark, det vill säga mjuk mark. Mot sydväst är avståndet till E16 500 meter eller mer. Bör-värdena i förordningen torde därför kunna klaras vid bostädernas fasader. De planerade småhustomterna är så pass stora att det bedöms gå att placera uteplatser i bullerskyddade lägen i förhållande till bostadshusen.</w:t>
      </w:r>
    </w:p>
    <w:p>
      <w:pPr>
        <w:tabs>
          <w:tab w:val="left" w:pos="7371" w:leader="none"/>
        </w:tabs>
        <w:spacing w:after="120" w:beforeAutospacing="0" w:afterAutospacing="0"/>
        <w:ind w:right="1914"/>
      </w:pPr>
      <w:r>
        <w:t>Trafiken på den nya uppsamlingsgatan söder om Övre Gruvrisvägen bedöms vid småhustomterna få ett flöde på ca 500 fordon ÅDT. Detta ger enligt Boverkets beräkningsmodell en bullernivå på 50 dBA 20 meter från vägmitt. Även i detta fall är de planerade småhustomterna så pass stora att det bedöms gå att placera uteplatser i bullerskyddade lägen i förhållande till bostadshusen.</w:t>
      </w:r>
    </w:p>
    <w:p>
      <w:pPr>
        <w:tabs>
          <w:tab w:val="left" w:pos="7371" w:leader="none"/>
        </w:tabs>
        <w:spacing w:after="120" w:beforeAutospacing="0" w:afterAutospacing="0"/>
        <w:ind w:right="1914"/>
      </w:pPr>
      <w:r>
        <w:t xml:space="preserve">En trafikmätning gjordes i april 2022 för Övre Gruvrisvägen som hade 181 fordon ÅDT och Tunavägen som hade fordon 868 ÅDT. </w:t>
      </w:r>
    </w:p>
    <w:p>
      <w:pPr>
        <w:tabs>
          <w:tab w:val="left" w:pos="7371" w:leader="none"/>
        </w:tabs>
        <w:spacing w:after="120" w:beforeAutospacing="0" w:afterAutospacing="0"/>
        <w:ind w:right="1914"/>
      </w:pPr>
      <w:bookmarkStart w:id="57" w:name="_Hlk106193727"/>
      <w:r>
        <w:t xml:space="preserve">För att räkna ut trafikprognos för 2040 för dessa gator har Falu kommun kommit fram till att kommunala gators trafik ökar med ungefär 1 procent varje år. Detta grundar sig i statistik från tidigare år där trafikmängden har ökat med ungefär 1 procent varje år. </w:t>
      </w:r>
    </w:p>
    <w:p>
      <w:pPr>
        <w:tabs>
          <w:tab w:val="left" w:pos="7371" w:leader="none"/>
        </w:tabs>
        <w:spacing w:after="120" w:beforeAutospacing="0" w:afterAutospacing="0"/>
        <w:ind w:right="1914"/>
      </w:pPr>
      <w:r>
        <w:t xml:space="preserve">Trafikprognos 2040 för Övre Gruvrisvägen resulterar därmed i 217 ÅDT och trafikprognos 2040 för Tunavägen 1038 ÅDT. Trafikbullret från Övre Gruvrisvägen är försumbart i sammanhanget. Buller från Tunavägen enligt Boverkets beräkningsmodell ger en bullernivå på 43 dBA, 400 meter från vägmitt för bostäderna. Trafik från de nya områdena beräknas köra via uppsamlingsgatan, som planeras i detaljplanen söder om detta område, vidare ut på E16. Viss trafik kan komma välja att köra via Övre Gruvrisvägen eller Tunavägen in till Falu centrum. </w:t>
      </w:r>
    </w:p>
    <w:p>
      <w:pPr>
        <w:pStyle w:val="P4"/>
      </w:pPr>
      <w:bookmarkEnd w:id="57"/>
      <w:r>
        <w:t>Buller från verksamheter</w:t>
      </w:r>
    </w:p>
    <w:p>
      <w:r>
        <w:t>Söder om planområdet, norr om Tunavägen finns och planeras det för verksamhetsbyggnader. De närmaste verksamheterna som finns i närområdet idag har begränsad omgivningspåverkan och i de gällande detaljplanerna finns planbestämmelserna industri (som ej får vara störande för omgivningen), kontor, handel med skrymmande varor och smådjursklinik med tillhörande handel. Även för verksamhetsområdet inom pågående detaljplan i söder tillåts endast verksamheter som har begränsad omgivningspåverkan. Detta innebär att riktlinjer för buller från industri ska följas och får ej överskridas. Buller från verksamheter ska därmed inte påverka denna detaljplans bebyggelse.</w:t>
      </w:r>
    </w:p>
    <w:p>
      <w:pPr>
        <w:pStyle w:val="P4"/>
      </w:pPr>
      <w:bookmarkStart w:id="58" w:name="_Hlk103342077"/>
      <w:r>
        <w:t>Buller från skjutbanor</w:t>
      </w:r>
    </w:p>
    <w:p>
      <w:r>
        <w:t xml:space="preserve">Ungefär 1,2 km från planområdet (fågelvägen) ligger en skjutbana. De som äger skjutbanan arrenderar marken och beslut om ett nytt avtal ska upprättas kommer ske år 2023. En bullerberäkning har tidigare gjorts för skjutbanan av Sweco år 2015. Rapportens resultat visar att skottbullernivåer från jaktmålsbanan uppfyller riktvärdena för buller vid skjutbanor. Skottbullernivåerna från trapp- och skeetbanorna överskrider riktvärdena vid några fastigheter och tangerar den övre gränsen för riktvärdet vid övriga fastigheter för vissa tidsperioder. De fastigheter som ingick i utredningen ligger 350–600 meter från jaktskyttebanan. Med ett avstånd på 1,2 km mellan detaljplaneområdet och skjutbanan samt skog och en verksamhetsbyggnad emellan bedöms detaljplanen inte påverkas av buller från skjutbanan. </w:t>
      </w:r>
    </w:p>
    <w:p>
      <w:pPr>
        <w:pStyle w:val="P4"/>
      </w:pPr>
      <w:bookmarkEnd w:id="55"/>
      <w:bookmarkEnd w:id="56"/>
      <w:bookmarkEnd w:id="58"/>
      <w:bookmarkStart w:id="59" w:name="pf_farligtgods01"/>
      <w:r>
        <w:t>Farligt gods</w:t>
      </w:r>
    </w:p>
    <w:p>
      <w:pPr>
        <w:tabs>
          <w:tab w:val="left" w:pos="7371" w:leader="none"/>
        </w:tabs>
        <w:spacing w:after="120" w:beforeAutospacing="0" w:afterAutospacing="0"/>
        <w:ind w:right="1914"/>
        <w:outlineLvl w:val="3"/>
      </w:pPr>
      <w:r>
        <w:t xml:space="preserve">E16 är transportled för farligt gods. Enligt Länsstyrelsens vägledning </w:t>
      </w:r>
      <w:r>
        <w:rPr>
          <w:i w:val="1"/>
          <w:iCs w:val="1"/>
        </w:rPr>
        <w:t xml:space="preserve">Farligt Gods – riskhantering i fysisk planering </w:t>
      </w:r>
      <w:r>
        <w:t xml:space="preserve">ska en riskhanteringsprocess genomföras när en detaljplan tas fram inom 150 meter från en farligt gods-led. </w:t>
      </w:r>
    </w:p>
    <w:p>
      <w:pPr>
        <w:tabs>
          <w:tab w:val="left" w:pos="7371" w:leader="none"/>
        </w:tabs>
        <w:spacing w:after="120" w:beforeAutospacing="0" w:afterAutospacing="0"/>
        <w:ind w:right="1914"/>
        <w:outlineLvl w:val="3"/>
      </w:pPr>
      <w:r>
        <w:t>Planområdet ligger som närmast 400 meter från E16. Den i planen föreslagna markanvändningen kan därmed ianspråktas utan ytterligare analyser eller skyddsåtgärder.</w:t>
      </w:r>
    </w:p>
    <w:p>
      <w:pPr>
        <w:pStyle w:val="P4"/>
      </w:pPr>
      <w:bookmarkEnd w:id="59"/>
      <w:bookmarkStart w:id="60" w:name="pf_riskförolyckor01"/>
      <w:r>
        <w:t>Räddningstjänstens insatstider</w:t>
      </w:r>
    </w:p>
    <w:p>
      <w:pPr>
        <w:tabs>
          <w:tab w:val="left" w:pos="7371" w:leader="none"/>
        </w:tabs>
        <w:spacing w:after="120" w:beforeAutospacing="0" w:afterAutospacing="0"/>
        <w:ind w:right="1914"/>
        <w:outlineLvl w:val="3"/>
      </w:pPr>
      <w:r>
        <w:t>Insatstiden för Räddningstjänsten beräknas understiga 10 minuter.</w:t>
      </w:r>
    </w:p>
    <w:p>
      <w:pPr>
        <w:pStyle w:val="P3"/>
      </w:pPr>
      <w:bookmarkEnd w:id="60"/>
      <w:r>
        <w:t>Teknisk försörjning</w:t>
      </w:r>
    </w:p>
    <w:p>
      <w:pPr>
        <w:pStyle w:val="P4"/>
      </w:pPr>
      <w:bookmarkStart w:id="61" w:name="pf_vattenochavloppp01"/>
      <w:r>
        <w:t>Vatten och avlopp</w:t>
      </w:r>
    </w:p>
    <w:p>
      <w:pPr>
        <w:tabs>
          <w:tab w:val="left" w:pos="7371" w:leader="none"/>
        </w:tabs>
        <w:spacing w:after="120" w:beforeAutospacing="0" w:afterAutospacing="0"/>
        <w:ind w:right="1914"/>
        <w:outlineLvl w:val="3"/>
      </w:pPr>
      <w:r>
        <w:t xml:space="preserve">Planområdet ligger utanför verksamhetsområdet för VA. Ett beslut om utvidgning av verksamhetsområde för spillvatten och vatten behöver tas av kommunfullmäktige. </w:t>
      </w:r>
    </w:p>
    <w:p>
      <w:pPr>
        <w:tabs>
          <w:tab w:val="left" w:pos="7371" w:leader="none"/>
        </w:tabs>
        <w:spacing w:after="120" w:beforeAutospacing="0" w:afterAutospacing="0"/>
        <w:ind w:right="1914"/>
        <w:outlineLvl w:val="3"/>
      </w:pPr>
      <w:r>
        <w:t>Ledningar för VA och el finns i Övre Gruvrisbacken. Falu Energi &amp; Vatten har meddelat att man har kapacitet att ansluta den tillkommande bebyggelsen till VA-systemet.</w:t>
      </w:r>
    </w:p>
    <w:p>
      <w:pPr>
        <w:tabs>
          <w:tab w:val="left" w:pos="7371" w:leader="none"/>
        </w:tabs>
        <w:spacing w:after="120" w:beforeAutospacing="0" w:afterAutospacing="0"/>
        <w:ind w:right="1914"/>
        <w:outlineLvl w:val="3"/>
        <w:rPr>
          <w:rFonts w:ascii="Arial" w:hAnsi="Arial"/>
          <w:i w:val="1"/>
          <w:iCs w:val="1"/>
          <w:sz w:val="22"/>
        </w:rPr>
      </w:pPr>
      <w:bookmarkEnd w:id="61"/>
      <w:bookmarkStart w:id="62" w:name="pf_dagvatte01"/>
      <w:r>
        <w:rPr>
          <w:rFonts w:ascii="Arial" w:hAnsi="Arial"/>
          <w:i w:val="1"/>
          <w:iCs w:val="1"/>
          <w:sz w:val="22"/>
        </w:rPr>
        <w:t>Dagvatten</w:t>
      </w:r>
    </w:p>
    <w:p>
      <w:r>
        <w:t xml:space="preserve">En dagvattenutredning har tagits fram av Mavacon för detaljplaneområdet, 2022-01-13. Falu kommuns dagvattensstrategi, antagen 2020-02-06, ligger till grund för beräkningar och val av dagvattenlösning. </w:t>
      </w:r>
    </w:p>
    <w:p/>
    <w:p>
      <w:r>
        <w:t>Området ingår inte i verksamhetsområde för dagvatten. Ett beslut om utvidgning av verksamhetsområdet behöver tas av kommunfullmäktige. Hela det planerade området och del av avrinningsområdet norr om planerat område faller mot söder och har den naturliga lågpunkten mot Övre Gruvrisvägen. Därifrån leds vatten via trummor mot befintliga släppunkter för dagvatten i ett befintligt skrådike. Avrinningsområdet är kopplat till Stora Vällan. Dagvattenflöde går till recipient Stora Vällan och sedan vidare via Norsbobäcken, Liljan och sedan till Runn.</w:t>
      </w:r>
    </w:p>
    <w:p/>
    <w:p>
      <w:r>
        <w:t>Ytan inom framtida planområde faller mot Övre Gruvrisvägen med relativ jämn lutning och det finns idag inga direkta, större, lågpunkter som stänger in eventuellt ytvatten. Befintlig lågpunkt, söder om planområde, kan nyttjas som buffert. Översvämningsrisker bedöms vara låga för området och nedströms området om inte lågpunkter byggs in.</w:t>
      </w:r>
    </w:p>
    <w:p/>
    <w:p>
      <w:r>
        <w:t>Dagvatten ska i första hand tas om hand och fördröjas på den egna tomten. Det dagvatten som behöver avledas från tomter tas om hand i ett lednings-system. I det fallet att brunnar och ledningar inte tar upp dagvattnet styrs det ut på naturmark, gatumark och fångas sen upp i områden för ytlig avledning. I mitten av planområdet finns ett område för NATUR</w:t>
      </w:r>
      <w:r>
        <w:rPr>
          <w:vertAlign w:val="subscript"/>
        </w:rPr>
        <w:t>1</w:t>
      </w:r>
      <w:r>
        <w:t xml:space="preserve"> – utrymme för omhändertagande av dagvatten, som samlar dagvattnet norrifrån ner till fördröjningsmagasinet i söder. För att göra marken lämplig för bebyggelse, så att inte ovanliggande avrinning från naturmark ska påverka fastigheter, så planeras ett avskärande dike som faller öster- och västerut runt fastigheterna. Diket kommer vara en gemensamhetsanläggning och ägas och skötas av fastighetsägarna i planområdet. Dagvattnet som rinner i diket i väster planeras fortsätta längs med uppsamlingsgatans framtida förlängning för att sedan samlas i en trumma under vägen och vidare mot recipienten. Innan den sträckan av uppsamlingsgatan byggs kommer dagvattnet rinna via naturområdet i sydväst vidare längs Övre Gruvrisvägen och sedan vidare mot recipienten. </w:t>
      </w:r>
    </w:p>
    <w:p/>
    <w:p>
      <w:r>
        <w:t>Området faller söderut och för att inte ligga lägre än gatan så kommer troligtvis fastigheterna på södra sidan om gatorna att fyllas upp. Antaget är då att hela området ansluts direkt eller indirekt till ett dagvattensystem. Från respektive fastighet leds takavvattning och dräneringsvatten till ett kulverterat system om inte dagvattnet kan direkt tas om hand inom den egna fastigheten. Ytvatten från hårdgjorda ytor som gator kulverteras och leds till öppna dikessystem. De kulverterade och öppna systemen mynnar i ett fördröjningsmagasin parallellt med Övre Gruvrisvägen. Fastigheter som ligger bredvid yta för dagvattenhantering kan ha sin dagvattenanslutning direkt kopplad dit.</w:t>
      </w:r>
    </w:p>
    <w:p/>
    <w:p>
      <w:r>
        <w:t>Viss fördröjning och rening bedöms kunna skapas i diken men yta för fördröjning måste avsättas i detaljplan. I plankartan avsätts ett område direkt norr om Övre Gruvrisvägen för fördröjningsmagasin. Dagvattenanläggning för fördröjning och rening inom planlagt område som ska avvattna flera fastigheter ska anmälas till kommunen. Dagvatten som avleds inom detaljplanelagt område likställs med avloppsvatten om det avvattnar mer än någon eller några specifika fastigheter, enligt 9 kapitlet 2 § i miljöbalken. Vid anläggningen av en ny dagvattenanläggning behövs en anmälan till kommunen utifrån bestämmelserna i 13 § eller 14 § i förordningen om miljöfarlig verksamhet och hälsoskydd.</w:t>
      </w:r>
    </w:p>
    <w:p/>
    <w:p>
      <w:pPr>
        <w:rPr>
          <w:sz w:val="22"/>
          <w:szCs w:val="22"/>
          <w:lang w:eastAsia="en-US"/>
        </w:rPr>
      </w:pPr>
      <w:r>
        <w:t>Höjdsättning medger möjlighet att bygga ut ett dagvattennät samt styra skyfall mot punkter utan risk för översvämning inom planområdet. Trummor inom och från planområdet kan behöva dimensioneras för ett 100-årsflöde utifrån hur diken och ytor för lågpunkter utformas. Detta behöver studeras mer i ett projekteringsskede för att få till en säker avledning av dagvatten som kan ske vid större regnmängder och för att uppfylla dagvattensstrategins mål och riktlinjer.</w:t>
      </w:r>
      <w:r>
        <w:rPr>
          <w:sz w:val="22"/>
          <w:szCs w:val="22"/>
          <w:lang w:eastAsia="en-US"/>
        </w:rPr>
        <w:t xml:space="preserve"> </w:t>
      </w:r>
      <w:r>
        <w:t>Nedströms bör en inventering av befintliga trummor utföras för att säkerställa deras status, funktion och kapacitet. Dagvattnet kan fördröjas och renas innan den når recipient. Utifrån föreslagen utformning och föreslagna åtgärder bedöms en hållbar dagvattenhantering för området kunna uppnås.</w:t>
      </w:r>
    </w:p>
    <w:p>
      <w:pPr>
        <w:pStyle w:val="P4"/>
      </w:pPr>
      <w:bookmarkEnd w:id="62"/>
      <w:bookmarkStart w:id="63" w:name="pf_fjärrvärme01"/>
      <w:r>
        <w:t>Värme</w:t>
      </w:r>
    </w:p>
    <w:p>
      <w:pPr>
        <w:tabs>
          <w:tab w:val="left" w:pos="7371" w:leader="none"/>
        </w:tabs>
        <w:spacing w:after="120" w:beforeAutospacing="0" w:afterAutospacing="0"/>
        <w:ind w:right="1914"/>
        <w:outlineLvl w:val="3"/>
      </w:pPr>
      <w:bookmarkStart w:id="64" w:name="_Hlk87970791"/>
      <w:r>
        <w:t>Fjärrvärme finns framdraget till Förlagssystem, beläget söder om området.</w:t>
      </w:r>
      <w:bookmarkEnd w:id="64"/>
    </w:p>
    <w:p>
      <w:pPr>
        <w:pStyle w:val="P4"/>
      </w:pPr>
      <w:bookmarkEnd w:id="63"/>
      <w:bookmarkStart w:id="65" w:name="pf_elitochtele01"/>
      <w:r>
        <w:t>El och IT</w:t>
      </w:r>
    </w:p>
    <w:p>
      <w:pPr>
        <w:tabs>
          <w:tab w:val="left" w:pos="7371" w:leader="none"/>
        </w:tabs>
        <w:spacing w:after="120" w:beforeAutospacing="0" w:afterAutospacing="0"/>
        <w:ind w:right="1914"/>
      </w:pPr>
      <w:r>
        <w:t xml:space="preserve">El- och optonät finns vid Tunavägen. Ett E-område för nätstation finns vid det centrala naturområdet i detaljplanen. </w:t>
      </w:r>
    </w:p>
    <w:p>
      <w:pPr>
        <w:tabs>
          <w:tab w:val="left" w:pos="7371" w:leader="none"/>
        </w:tabs>
        <w:spacing w:after="120" w:beforeAutospacing="0" w:afterAutospacing="0"/>
        <w:ind w:right="1914"/>
        <w:outlineLvl w:val="3"/>
      </w:pPr>
      <w:r>
        <w:t xml:space="preserve">Väster om planområdet går tre högspänningsledningar. Om avståndet mellan kraftledningar eller transformatorstationer och bostäder understiger 200 meter ska den elektromagnetiska fältstyrkan kartläggas. </w:t>
      </w:r>
    </w:p>
    <w:p>
      <w:pPr>
        <w:tabs>
          <w:tab w:val="left" w:pos="7371" w:leader="none"/>
        </w:tabs>
        <w:spacing w:after="120" w:beforeAutospacing="0" w:afterAutospacing="0"/>
        <w:ind w:right="1914"/>
        <w:outlineLvl w:val="3"/>
      </w:pPr>
      <w:r>
        <w:t>Med två 130 kV högspänningsledning och en 10 kV ledning i närheten av planområdet är ett rekommenderat avstånd till närmaste bostad minst 40 meter för att klara 0,4 mikrotesla, som används som utgångspunkt för Falu kommun och många andra kommuner. Högspänningsledningarna är belägna 50 meter från närmaste bostadskvarter, vilket bedöms tillräckligt.</w:t>
      </w:r>
      <w:bookmarkEnd w:id="65"/>
      <w:r>
        <w:t xml:space="preserve"> </w:t>
      </w:r>
    </w:p>
    <w:p>
      <w:pPr>
        <w:pStyle w:val="P4"/>
      </w:pPr>
      <w:bookmarkStart w:id="66" w:name="pf_avfall01"/>
      <w:r>
        <w:t>Avfall</w:t>
      </w:r>
    </w:p>
    <w:p>
      <w:pPr>
        <w:tabs>
          <w:tab w:val="left" w:pos="7371" w:leader="none"/>
        </w:tabs>
        <w:spacing w:after="120" w:beforeAutospacing="0" w:afterAutospacing="0"/>
        <w:ind w:right="1914"/>
        <w:outlineLvl w:val="3"/>
      </w:pPr>
      <w:r>
        <w:t>Avfallshantering ska ske enligt de regler som gäller i Falu kommun.</w:t>
      </w:r>
      <w:bookmarkEnd w:id="66"/>
      <w:r>
        <w:t xml:space="preserve"> </w:t>
      </w:r>
    </w:p>
    <w:p>
      <w:pPr>
        <w:pStyle w:val="P4"/>
      </w:pPr>
      <w:bookmarkStart w:id="67" w:name="pf_posthantering01"/>
      <w:r>
        <w:t>Posthantering</w:t>
      </w:r>
    </w:p>
    <w:p>
      <w:r>
        <w:t xml:space="preserve">Postlådesamlingar ska placeras på lämplig plats inom planområdet. Detta med hänsyn till tillgänglighet och omgivande bostadsbebyggelse. </w:t>
      </w:r>
    </w:p>
    <w:p>
      <w:pPr>
        <w:pStyle w:val="P2"/>
      </w:pPr>
      <w:bookmarkEnd w:id="67"/>
      <w:r>
        <w:t>Genomförande frågor</w:t>
      </w:r>
    </w:p>
    <w:p>
      <w:pPr>
        <w:pStyle w:val="P3"/>
      </w:pPr>
      <w:r>
        <w:t>Organisatoriska frågor</w:t>
      </w:r>
    </w:p>
    <w:p>
      <w:pPr>
        <w:pStyle w:val="P4"/>
      </w:pPr>
      <w:r>
        <w:t>Tidplan</w:t>
      </w:r>
    </w:p>
    <w:p>
      <w:pPr>
        <w:tabs>
          <w:tab w:val="left" w:pos="7371" w:leader="none"/>
        </w:tabs>
        <w:spacing w:after="120" w:beforeAutospacing="0" w:afterAutospacing="0"/>
        <w:ind w:right="1914"/>
        <w:outlineLvl w:val="3"/>
      </w:pPr>
      <w:bookmarkStart w:id="68" w:name="gf_tidplan01"/>
      <w:r>
        <w:t xml:space="preserve">Detaljplanen handläggs enligt reglerna om utökat förfarande. Detaljplanen beräknas kunna antas av kommunfullmäktige under 2022. </w:t>
      </w:r>
    </w:p>
    <w:p>
      <w:pPr>
        <w:pStyle w:val="P4"/>
      </w:pPr>
      <w:bookmarkEnd w:id="68"/>
      <w:r>
        <w:t>Genomförandetid</w:t>
      </w:r>
    </w:p>
    <w:p>
      <w:pPr>
        <w:tabs>
          <w:tab w:val="left" w:pos="7371" w:leader="none"/>
        </w:tabs>
        <w:spacing w:after="120" w:beforeAutospacing="0" w:afterAutospacing="0"/>
        <w:ind w:right="1914"/>
      </w:pPr>
      <w:bookmarkStart w:id="69" w:name="be_genomförandetid01"/>
      <w:r>
        <w:t xml:space="preserve">Genomförandetiden för detaljplanen är 10 år från den dag planen vinner laga kraft. </w:t>
      </w:r>
    </w:p>
    <w:p>
      <w:pPr>
        <w:tabs>
          <w:tab w:val="left" w:pos="7371" w:leader="none"/>
        </w:tabs>
        <w:spacing w:after="120" w:beforeAutospacing="0" w:afterAutospacing="0"/>
        <w:ind w:right="1914"/>
      </w:pPr>
      <w:r>
        <w:t>När genomförandetiden gått ut fortsätter planen att gälla tills den ersätts, ändras eller upphävs. När genomförandetiden gått ut har dock fastighetsägaren inte någon rätt att erhålla ersättning för förlorad byggrätt om detaljplanen ersätts, ändras eller upphävs.</w:t>
      </w:r>
    </w:p>
    <w:p>
      <w:pPr>
        <w:pStyle w:val="P4"/>
      </w:pPr>
      <w:bookmarkEnd w:id="69"/>
      <w:bookmarkStart w:id="70" w:name="be_huvudmannaskap01"/>
      <w:r>
        <w:t>Huvudmannaskap</w:t>
      </w:r>
    </w:p>
    <w:p>
      <w:pPr>
        <w:spacing w:after="120" w:beforeAutospacing="0" w:afterAutospacing="0"/>
        <w:ind w:right="1914"/>
        <w:rPr>
          <w:rFonts w:eastAsiaTheme="minorHAnsi"/>
        </w:rPr>
      </w:pPr>
      <w:r>
        <w:t>Kommunen är huvudman för allmän plats.</w:t>
      </w:r>
    </w:p>
    <w:p>
      <w:pPr>
        <w:pStyle w:val="P3"/>
      </w:pPr>
      <w:bookmarkEnd w:id="70"/>
      <w:r>
        <w:t>Fastighetsrättsliga frågor</w:t>
      </w:r>
    </w:p>
    <w:p>
      <w:pPr>
        <w:pStyle w:val="P4"/>
      </w:pPr>
      <w:bookmarkStart w:id="71" w:name="gf_fastighetsrättsligafrågor01"/>
      <w:r>
        <w:t>Fastighetsägare</w:t>
      </w:r>
    </w:p>
    <w:p>
      <w:pPr>
        <w:tabs>
          <w:tab w:val="left" w:pos="7371" w:leader="none"/>
        </w:tabs>
        <w:spacing w:after="120" w:beforeAutospacing="0" w:afterAutospacing="0"/>
        <w:ind w:right="1914"/>
      </w:pPr>
      <w:r>
        <w:t>Planområdet ligger inom fastigheterna Övre Gruvriset 10:2 och Övre Gruvriset 7:3 och är privatägt. Ägaren av Övre Gruvriset 10:2 kallas exploatören i den fortsatta texten.</w:t>
      </w:r>
    </w:p>
    <w:p>
      <w:pPr>
        <w:keepNext w:val="1"/>
        <w:tabs>
          <w:tab w:val="left" w:pos="10348" w:leader="none"/>
        </w:tabs>
        <w:spacing w:after="120" w:beforeAutospacing="0" w:afterAutospacing="0"/>
        <w:ind w:right="1914"/>
      </w:pPr>
      <w:bookmarkEnd w:id="71"/>
      <w:r>
        <w:rPr>
          <w:noProof w:val="1"/>
        </w:rPr>
        <mc:AlternateContent>
          <mc:Choice Requires="wps">
            <w:drawing>
              <wp:anchor xmlns:wp="http://schemas.openxmlformats.org/drawingml/2006/wordprocessingDrawing" distT="0" distB="0" distL="114300" distR="114300" simplePos="0" relativeHeight="7" behindDoc="0" locked="0" layoutInCell="1" allowOverlap="1">
                <wp:simplePos x="0" y="0"/>
                <wp:positionH relativeFrom="column">
                  <wp:posOffset>318135</wp:posOffset>
                </wp:positionH>
                <wp:positionV relativeFrom="paragraph">
                  <wp:posOffset>1076960</wp:posOffset>
                </wp:positionV>
                <wp:extent cx="2701290" cy="457200"/>
                <wp:effectExtent l="0" t="0" r="0" b="0"/>
                <wp:wrapNone/>
                <wp:docPr id="13" name="Textruta 13"/>
                <wp:cNvGraphicFramePr/>
                <a:graphic xmlns:a="http://schemas.openxmlformats.org/drawingml/2006/main">
                  <a:graphicData uri="http://schemas.microsoft.com/office/word/2010/wordprocessingShape">
                    <wps:wsp>
                      <wps:cNvSpPr txBox="1"/>
                      <wps:spPr>
                        <a:xfrm>
                          <a:off x="0" y="0"/>
                          <a:ext cx="2701637" cy="457200"/>
                        </a:xfrm>
                        <a:prstGeom prst="rect"/>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b w:val="1"/>
                                <w:bCs w:val="1"/>
                                <w:sz w:val="22"/>
                                <w:szCs w:val="22"/>
                              </w:rPr>
                            </w:pPr>
                            <w:r>
                              <w:rPr>
                                <w:b w:val="1"/>
                                <w:bCs w:val="1"/>
                                <w:sz w:val="22"/>
                                <w:szCs w:val="22"/>
                              </w:rPr>
                              <w:t xml:space="preserve">Övre Gruvriset 7:3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type="#_x0000_t202" id="Textruta 13" o:spid="_x0000_s1030" style="position:absolute;width:212.7pt;height:36pt;z-index:7;mso-wrap-distance-left:9pt;mso-wrap-distance-top:0pt;mso-wrap-distance-right:9pt;mso-wrap-distance-bottom:0pt;margin-left:25.05pt;margin-top:84.8pt;mso-position-horizontal:absolute;mso-position-horizontal-relative:text;mso-position-vertical:absolute;mso-position-vertical-relative:text;v-text-anchor:middle" o:allowincell="t" filled="f" strokeweight="0.5pt" stroked="f">
                <v:textbox inset="3mm,1mm,3mm,1mm">
                  <w:txbxContent>
                    <w:p>
                      <w:pPr>
                        <w:rPr>
                          <w:b w:val="1"/>
                          <w:bCs w:val="1"/>
                          <w:sz w:val="22"/>
                          <w:szCs w:val="22"/>
                        </w:rPr>
                      </w:pPr>
                      <w:r>
                        <w:rPr>
                          <w:b w:val="1"/>
                          <w:bCs w:val="1"/>
                          <w:sz w:val="22"/>
                          <w:szCs w:val="22"/>
                        </w:rPr>
                        <w:t xml:space="preserve">Övre Gruvriset 7:3 </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6" behindDoc="0" locked="0" layoutInCell="1" allowOverlap="1">
                <wp:simplePos x="0" y="0"/>
                <wp:positionH relativeFrom="column">
                  <wp:posOffset>2329180</wp:posOffset>
                </wp:positionH>
                <wp:positionV relativeFrom="paragraph">
                  <wp:posOffset>1624330</wp:posOffset>
                </wp:positionV>
                <wp:extent cx="2846705" cy="457200"/>
                <wp:effectExtent l="0" t="0" r="0" b="0"/>
                <wp:wrapNone/>
                <wp:docPr id="12" name="Textruta 12"/>
                <wp:cNvGraphicFramePr/>
                <a:graphic xmlns:a="http://schemas.openxmlformats.org/drawingml/2006/main">
                  <a:graphicData uri="http://schemas.microsoft.com/office/word/2010/wordprocessingShape">
                    <wps:wsp>
                      <wps:cNvSpPr txBox="1"/>
                      <wps:spPr>
                        <a:xfrm>
                          <a:off x="0" y="0"/>
                          <a:ext cx="2847110" cy="457200"/>
                        </a:xfrm>
                        <a:prstGeom prst="rect"/>
                        <a:no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b w:val="1"/>
                                <w:bCs w:val="1"/>
                                <w:sz w:val="22"/>
                                <w:szCs w:val="22"/>
                              </w:rPr>
                            </w:pPr>
                            <w:r>
                              <w:rPr>
                                <w:b w:val="1"/>
                                <w:bCs w:val="1"/>
                                <w:sz w:val="22"/>
                                <w:szCs w:val="22"/>
                              </w:rPr>
                              <w:t>Övre Gruvriset 10:2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type="#_x0000_t202" id="Textruta 12" o:spid="_x0000_s1031" style="position:absolute;width:224.15pt;height:36pt;z-index:6;mso-wrap-distance-left:9pt;mso-wrap-distance-top:0pt;mso-wrap-distance-right:9pt;mso-wrap-distance-bottom:0pt;margin-left:183.4pt;margin-top:127.9pt;mso-position-horizontal:absolute;mso-position-horizontal-relative:text;mso-position-vertical:absolute;mso-position-vertical-relative:text;v-text-anchor:middle" o:allowincell="t" filled="f" strokeweight="0.5pt" stroked="f">
                <v:textbox inset="3mm,1mm,3mm,1mm">
                  <w:txbxContent>
                    <w:p>
                      <w:pPr>
                        <w:rPr>
                          <w:b w:val="1"/>
                          <w:bCs w:val="1"/>
                          <w:sz w:val="22"/>
                          <w:szCs w:val="22"/>
                        </w:rPr>
                      </w:pPr>
                      <w:r>
                        <w:rPr>
                          <w:b w:val="1"/>
                          <w:bCs w:val="1"/>
                          <w:sz w:val="22"/>
                          <w:szCs w:val="22"/>
                        </w:rPr>
                        <w:t>Övre Gruvriset 10:2</w:t>
                      </w:r>
                    </w:p>
                  </w:txbxContent>
                </v:textbox>
              </v:shape>
            </w:pict>
          </mc:Fallback>
        </mc:AlternateContent>
      </w:r>
      <w:bookmarkStart w:id="72" w:name="gf_fastighetsrättsligafrågor02"/>
      <w:r>
        <w:rPr>
          <w:noProof w:val="1"/>
        </w:rPr>
        <w:drawing>
          <wp:inline xmlns:wp="http://schemas.openxmlformats.org/drawingml/2006/wordprocessingDrawing" distT="0" distB="0" distL="0" distR="0">
            <wp:extent cx="4828540" cy="3504565"/>
            <wp:effectExtent l="0" t="0" r="0" b="635"/>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1"/>
                    <pic:cNvPicPr/>
                  </pic:nvPicPr>
                  <pic:blipFill dpi="0">
                    <a:blip xmlns:r="http://schemas.openxmlformats.org/officeDocument/2006/relationships" r:embed="Relimage8"/>
                    <a:srcRect l="3641" t="10831" r="4077" b="4364"/>
                    <a:stretch>
                      <a:fillRect/>
                    </a:stretch>
                  </pic:blipFill>
                  <pic:spPr bwMode="auto">
                    <a:xfrm>
                      <a:off x="0" y="0"/>
                      <a:ext cx="4856627" cy="3524877"/>
                    </a:xfrm>
                    <a:prstGeom prst="rect"/>
                    <a:ln>
                      <a:noFill/>
                    </a:ln>
                  </pic:spPr>
                </pic:pic>
              </a:graphicData>
            </a:graphic>
          </wp:inline>
        </w:drawing>
      </w:r>
      <w:bookmarkEnd w:id="72"/>
    </w:p>
    <w:p>
      <w:pPr>
        <w:pStyle w:val="P43"/>
        <w:rPr>
          <w:color w:val="auto"/>
        </w:rPr>
      </w:pPr>
      <w:r>
        <w:rPr>
          <w:color w:val="auto"/>
        </w:rPr>
        <w:t>Figur 7: Planområdet med inkluderade fastigheter</w:t>
      </w:r>
    </w:p>
    <w:p>
      <w:pPr>
        <w:pStyle w:val="P4"/>
      </w:pPr>
      <w:bookmarkStart w:id="73" w:name="gf_förändradfastighetsindelning01"/>
      <w:r>
        <w:t>Fastighetsbildning m.m.</w:t>
      </w:r>
    </w:p>
    <w:p>
      <w:r>
        <w:t>Den del av fastigheten Övre Gruvriset 7:3 som ligger inom planområdet ska genom fastighetsreglering överföras till Övre Gruvriset 10:2. Detta sker i en lantmäteriförrättning. Vem som ansöker om och bekostar förrättningen är reglerat i avtal mellan ägarna av Övre Gruvriset 7:3 och exploatören.</w:t>
      </w:r>
    </w:p>
    <w:p/>
    <w:p>
      <w:r>
        <w:t>Mark inom planområdet som utgörs av allmän plats ska genom fastighetsreglering överföras till den kommunägda fastigheten Övre Gruvriset 9:1 Om marken ska överföras från både Övre Gruvriset 7:3 och Övre Gruvriset 10:2 eller bara Övre Gruvriset 10:2 beror på i vilken ordning fastighetsregleringarna genomförs. Denna fastighetsreglering ska regleras i exploateringsavtalet som ska upprättas mellan kommunen och exploatören inför antagandet av detaljplanen. Kommunen och exploatören ska gemensamt ansöka om fastighetsregleringen och lantmäteriförrättningen ska bekostas av exploatören.</w:t>
      </w:r>
    </w:p>
    <w:p/>
    <w:p>
      <w:r>
        <w:t>Fastigheter för småhusbebyggelse kommer att avstyckas från fastigheterna Övre Gruvriset 7:3 och Övre Gruvriset 10:2. Exploatören ska ansöka om och bekosta den lantmäteriförrättningen.</w:t>
      </w:r>
      <w:r>
        <w:rPr>
          <w:noProof w:val="1"/>
        </w:rPr>
        <w:t xml:space="preserve"> För det avskärnade diket kan en gemensamhetsanläggning inrättas. Ansökan om inrättande av gemensamhetsanläggningen kan göras av t.ex.  exploatören i samband med ansökan om avstyckning.</w:t>
      </w:r>
    </w:p>
    <w:p>
      <w:pPr>
        <w:pStyle w:val="P3"/>
        <w:numPr>
          <w:ilvl w:val="0"/>
          <w:numId w:val="0"/>
        </w:numPr>
        <w:ind w:firstLine="0" w:left="0"/>
      </w:pPr>
      <w:bookmarkEnd w:id="73"/>
      <w:r>
        <w:t>Tekniska frågor</w:t>
      </w:r>
    </w:p>
    <w:p>
      <w:pPr>
        <w:tabs>
          <w:tab w:val="left" w:pos="10348" w:leader="none"/>
        </w:tabs>
        <w:spacing w:after="120" w:beforeAutospacing="0" w:afterAutospacing="0"/>
        <w:ind w:right="1914"/>
      </w:pPr>
      <w:bookmarkStart w:id="74" w:name="gf_tekniskaåtgärder01"/>
      <w:r>
        <w:t>Kommunen ska utföra och bekosta de åtgärder som kan behövas på Övre Gruvrisvägen där anslutning av uppsamlingsgatan (GATA</w:t>
      </w:r>
      <w:r>
        <w:rPr>
          <w:vertAlign w:val="subscript"/>
        </w:rPr>
        <w:t>2</w:t>
      </w:r>
      <w:r>
        <w:t>) ska ske.</w:t>
      </w:r>
    </w:p>
    <w:p>
      <w:pPr>
        <w:pStyle w:val="P3"/>
      </w:pPr>
      <w:bookmarkEnd w:id="74"/>
      <w:r>
        <w:t>Ekonomiska frågor</w:t>
      </w:r>
    </w:p>
    <w:p>
      <w:pPr>
        <w:pStyle w:val="P4"/>
      </w:pPr>
      <w:r>
        <w:t>Planavgift</w:t>
      </w:r>
    </w:p>
    <w:p>
      <w:pPr>
        <w:tabs>
          <w:tab w:val="left" w:pos="7371" w:leader="none"/>
        </w:tabs>
        <w:spacing w:after="120" w:beforeAutospacing="0" w:afterAutospacing="0"/>
        <w:ind w:right="1914"/>
        <w:outlineLvl w:val="3"/>
      </w:pPr>
      <w:bookmarkStart w:id="75" w:name="gf_planavgift01"/>
      <w:r>
        <w:t>Detaljplanen bekostas av fastighetsägaren och därför ska det inte tas ut någon planavgift i samband med bygglov enligt denna detaljplan.</w:t>
      </w:r>
    </w:p>
    <w:p>
      <w:pPr>
        <w:pStyle w:val="P4"/>
      </w:pPr>
      <w:bookmarkEnd w:id="75"/>
      <w:bookmarkStart w:id="76" w:name="gf_avtal01"/>
      <w:r>
        <w:t>Avtal</w:t>
      </w:r>
    </w:p>
    <w:p>
      <w:r>
        <w:t>Ett avtal ska träffas mellan kommunen och förvaltarna av Övre Gruvriset s:1, Övre Gruvrisets skifteslag, och Nedre Gruvriset s:1, Nedre Gruvrisets skifteslag, vad gäller det åtgärder som kommunen ska utföra på Övre Gruvrisvägen där anslutningen av uppsamlingsgatan ska ske.</w:t>
      </w:r>
    </w:p>
    <w:p/>
    <w:p>
      <w:pPr>
        <w:pStyle w:val="P5"/>
      </w:pPr>
      <w:r>
        <w:t>Exploateringsavtal</w:t>
      </w:r>
    </w:p>
    <w:p>
      <w:r>
        <w:t>Ett exploateringsavtal ska upprättas mellan kommunen och exploatören innan detaljplanen antas och exploateringsavtalet ska reglera i huvudsak följande punkter:</w:t>
      </w:r>
    </w:p>
    <w:p>
      <w:pPr>
        <w:pStyle w:val="P42"/>
        <w:numPr>
          <w:ilvl w:val="0"/>
          <w:numId w:val="14"/>
        </w:numPr>
        <w:ind w:hanging="357" w:left="714" w:right="1916"/>
      </w:pPr>
      <w:r>
        <w:t>Exploateringsavtalet ska innehålla en överenskommelse om fastighetsreglering som innebär att exploatören genom fastighetsreglering ska överlåta allmän plats inom planområdet till kommunen utan ersättning. Exploatören ska svara för förrättningskostnaderna för den fastighetsregleringen.</w:t>
      </w:r>
    </w:p>
    <w:p>
      <w:pPr>
        <w:pStyle w:val="P42"/>
        <w:numPr>
          <w:ilvl w:val="0"/>
          <w:numId w:val="14"/>
        </w:numPr>
        <w:ind w:hanging="357" w:left="714" w:right="1916"/>
      </w:pPr>
      <w:r>
        <w:t>Exploatören ska bekosta utbyggnaden av allmän plats inom planområdet. Exploatören ska också svara för del av kostnaden för de åtgärder som erfordras på Övre Gruvrisvägen för anslutningen av uppsamlingsgatan.</w:t>
      </w:r>
    </w:p>
    <w:p>
      <w:pPr>
        <w:pStyle w:val="P42"/>
        <w:numPr>
          <w:ilvl w:val="0"/>
          <w:numId w:val="14"/>
        </w:numPr>
        <w:ind w:hanging="357" w:left="714" w:right="1916"/>
      </w:pPr>
      <w:r>
        <w:t>Exploatören ska ställa säkerhet till kommunen för de åtaganden som exploatören ska ansvara för enligt exploateringsavtalet.</w:t>
      </w:r>
    </w:p>
    <w:p>
      <w:pPr>
        <w:pStyle w:val="P42"/>
        <w:numPr>
          <w:ilvl w:val="0"/>
          <w:numId w:val="14"/>
        </w:numPr>
        <w:ind w:hanging="357" w:left="714" w:right="1916"/>
      </w:pPr>
      <w:r>
        <w:t>I exploateringsavtalet ska kommunen och exploatören komma överens om den tidsplan som ska gälla för utbyggnaden av allmän plats.</w:t>
      </w:r>
    </w:p>
    <w:p>
      <w:pPr>
        <w:pStyle w:val="P2"/>
        <w:numPr>
          <w:ilvl w:val="0"/>
          <w:numId w:val="0"/>
        </w:numPr>
        <w:ind w:firstLine="0" w:left="0"/>
      </w:pPr>
      <w:bookmarkEnd w:id="76"/>
      <w:r>
        <w:t>Konsekvenser av planens genomförande</w:t>
      </w:r>
    </w:p>
    <w:p>
      <w:pPr>
        <w:tabs>
          <w:tab w:val="left" w:pos="10348" w:leader="none"/>
        </w:tabs>
        <w:spacing w:after="120" w:beforeAutospacing="0" w:afterAutospacing="0"/>
        <w:ind w:right="1914"/>
      </w:pPr>
      <w:bookmarkStart w:id="77" w:name="ko_annat01"/>
      <w:r>
        <w:t>Ett genomförande av detaljplanen innebär att mark tillkommer för bostäder i ett läge som stämmer med målen i kommunens översiktsplaner.</w:t>
      </w:r>
    </w:p>
    <w:p>
      <w:pPr>
        <w:tabs>
          <w:tab w:val="left" w:pos="10348" w:leader="none"/>
        </w:tabs>
        <w:spacing w:after="120" w:beforeAutospacing="0" w:afterAutospacing="0"/>
        <w:ind w:right="1914"/>
      </w:pPr>
      <w:r>
        <w:t>En del av den framtida uppsamlingsgatan byggs från Övre Gruvrisvägen för att koppla ihop det nya området med befintligt gatunät. Lokalgator byggs inne i bostadsområdet. Den färdväg som finns i nordöstra delen av planområdet, som är en fornlämning, ska skyddas genom planbestämmelsen q-skydd och med omgivande natur. Färdvägen bedöms därmed inte påverkas av planförslaget. Bostadsområdet har utformats för att ta hänsyn till de ekosystemtjänster som finns i området idag genom inslag av natur i plankartan. Det görs också för att ta om hand om dagvattnet i området.</w:t>
      </w:r>
    </w:p>
    <w:p>
      <w:pPr>
        <w:tabs>
          <w:tab w:val="left" w:pos="10348" w:leader="none"/>
        </w:tabs>
        <w:spacing w:after="120" w:beforeAutospacing="0" w:afterAutospacing="0"/>
        <w:ind w:right="1914"/>
      </w:pPr>
      <w:r>
        <w:t xml:space="preserve">I samband med detaljplanens genomförande kommer Falu kommun ta över driften på den del av Övre Gruvrisvägen som är mellan korsningen vid Övre Gruvrisbacken och korsningen vid uppsamlingsgatan.  </w:t>
      </w:r>
    </w:p>
    <w:p>
      <w:pPr>
        <w:tabs>
          <w:tab w:val="left" w:pos="10348" w:leader="none"/>
        </w:tabs>
        <w:spacing w:after="120" w:beforeAutospacing="0" w:afterAutospacing="0"/>
        <w:ind w:right="1914"/>
      </w:pPr>
      <w:r>
        <w:t>Primär recipient för dagvattnet är Stora Vällan. Statusklassningen för denna är måttlig ekologisk status och ej god kemisk status. Den ekologiska statusen beror till stor del på näringsämnen, försurning, måttliga halter av zink samt vandringshinder för fiskar. Den kemiska statusen beror främst på att gränsvärden för kvicksilver ock polybromerade difenyletrar överskrids i landets alla ytvattenförekomster på grund av atmosfärisk deposition. Den föreslagna dagvattenlösningen bedöms inte påverka statusen negativt.</w:t>
      </w:r>
    </w:p>
    <w:p>
      <w:pPr>
        <w:pStyle w:val="P2"/>
        <w:tabs>
          <w:tab w:val="left" w:pos="0" w:leader="none"/>
        </w:tabs>
      </w:pPr>
      <w:bookmarkEnd w:id="77"/>
      <w:r>
        <w:t>Utredningar</w:t>
      </w:r>
    </w:p>
    <w:p>
      <w:bookmarkStart w:id="78" w:name="pu_arkeologiskutredning01"/>
      <w:r>
        <w:t>Arkeologisk utredning Övre Gruvriset, Dalarnas museum, 2021</w:t>
      </w:r>
    </w:p>
    <w:p>
      <w:bookmarkEnd w:id="78"/>
      <w:bookmarkStart w:id="79" w:name="pu_dagvattenutredning01"/>
      <w:r>
        <w:t>Dagvattenutredning, Mavacon, 2022-01-13</w:t>
      </w:r>
    </w:p>
    <w:p>
      <w:bookmarkEnd w:id="79"/>
      <w:bookmarkStart w:id="80" w:name="pu_förprojektering01"/>
      <w:r>
        <w:t>Förprojektering av gata, Mavacon, 2022-01-26</w:t>
      </w:r>
    </w:p>
    <w:p>
      <w:bookmarkEnd w:id="80"/>
      <w:bookmarkStart w:id="81" w:name="pu_provtagning01"/>
      <w:r>
        <w:t>PM provtagning, Sweco, 2022-06-10</w:t>
      </w:r>
    </w:p>
    <w:p>
      <w:pPr>
        <w:pStyle w:val="P2"/>
      </w:pPr>
      <w:bookmarkEnd w:id="81"/>
      <w:r>
        <w:t>Medverkande tjänstepersoner</w:t>
      </w:r>
    </w:p>
    <w:p>
      <w:pPr>
        <w:tabs>
          <w:tab w:val="left" w:pos="10348" w:leader="none"/>
        </w:tabs>
        <w:spacing w:after="120" w:beforeAutospacing="0" w:afterAutospacing="0"/>
        <w:ind w:right="1914"/>
      </w:pPr>
      <w:r>
        <w:t>Planhandlingarna har upprättats av Johanna Wemyss och Lars Gustafsson, miljö- och samhällsbyggnadsförvaltningen, i samråd med berörda inom kommunorganisationen.</w:t>
      </w:r>
    </w:p>
    <w:p>
      <w:pPr>
        <w:pStyle w:val="P2"/>
      </w:pPr>
      <w:r>
        <w:t>Tolkning av detaljplan</w:t>
      </w:r>
    </w:p>
    <w:p>
      <w:pPr>
        <w:tabs>
          <w:tab w:val="left" w:pos="7371" w:leader="none"/>
        </w:tabs>
        <w:spacing w:after="120" w:beforeAutospacing="0" w:afterAutospacing="0"/>
        <w:ind w:right="1914"/>
        <w:outlineLvl w:val="3"/>
      </w:pPr>
      <w:r>
        <w:t xml:space="preserve">För tolkning av planprocessen ska PBL Kunskapsbanken från 2015-01-02 användas och för tolkning av planbestämmelser Boverkets allmänna råd 2014:5 om planbestämmelser.  </w:t>
      </w:r>
    </w:p>
    <w:p>
      <w:pPr>
        <w:pStyle w:val="P2"/>
      </w:pPr>
      <w:r>
        <w:t>Planskeden</w:t>
      </w:r>
    </w:p>
    <w:tbl>
      <w:tblPr>
        <w:tblW w:w="0" w:type="auto"/>
        <w:tblInd w:w="55" w:type="dxa"/>
        <w:tblLayout w:type="fixed"/>
        <w:tblCellMar>
          <w:top w:w="55" w:type="dxa"/>
          <w:left w:w="55" w:type="dxa"/>
          <w:bottom w:w="55" w:type="dxa"/>
          <w:right w:w="55" w:type="dxa"/>
        </w:tblCellMar>
        <w:tblLook w:val="0000"/>
      </w:tblPr>
      <w:tblGrid/>
      <w:tr>
        <w:tc>
          <w:tcPr>
            <w:tcW w:w="2977"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Plan- och bygglagen: 2010:900</w:t>
            </w:r>
          </w:p>
        </w:tc>
        <w:tc>
          <w:tcPr>
            <w:tcW w:w="3260" w:type="dxa"/>
          </w:tcPr>
          <w:p>
            <w:pPr>
              <w:pStyle w:val="P21"/>
              <w:tabs>
                <w:tab w:val="left" w:pos="7371" w:leader="none"/>
              </w:tabs>
              <w:spacing w:after="120" w:beforeAutospacing="0" w:afterAutospacing="0"/>
              <w:ind w:right="0"/>
              <w:rPr>
                <w:rFonts w:ascii="Arial" w:hAnsi="Arial"/>
                <w:sz w:val="16"/>
                <w:szCs w:val="16"/>
              </w:rPr>
            </w:pPr>
          </w:p>
        </w:tc>
        <w:tc>
          <w:tcPr>
            <w:tcW w:w="1134" w:type="dxa"/>
          </w:tcPr>
          <w:p>
            <w:pPr>
              <w:pStyle w:val="P21"/>
              <w:tabs>
                <w:tab w:val="left" w:pos="7371" w:leader="none"/>
              </w:tabs>
              <w:spacing w:after="120" w:beforeAutospacing="0" w:afterAutospacing="0"/>
              <w:ind w:right="0"/>
              <w:rPr>
                <w:rFonts w:ascii="Arial" w:hAnsi="Arial"/>
                <w:sz w:val="16"/>
                <w:szCs w:val="16"/>
              </w:rPr>
            </w:pPr>
          </w:p>
        </w:tc>
      </w:tr>
      <w:tr>
        <w:tc>
          <w:tcPr>
            <w:tcW w:w="2977" w:type="dxa"/>
          </w:tcPr>
          <w:p>
            <w:pPr>
              <w:pStyle w:val="P21"/>
              <w:tabs>
                <w:tab w:val="left" w:pos="7371" w:leader="none"/>
              </w:tabs>
              <w:spacing w:after="120" w:beforeAutospacing="0" w:afterAutospacing="0"/>
              <w:ind w:right="0"/>
              <w:rPr>
                <w:rFonts w:ascii="Arial" w:hAnsi="Arial"/>
                <w:sz w:val="16"/>
                <w:szCs w:val="16"/>
              </w:rPr>
            </w:pPr>
          </w:p>
        </w:tc>
        <w:tc>
          <w:tcPr>
            <w:tcW w:w="3260"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Instans</w:t>
            </w:r>
          </w:p>
        </w:tc>
        <w:tc>
          <w:tcPr>
            <w:tcW w:w="1134"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Datum</w:t>
            </w:r>
          </w:p>
        </w:tc>
      </w:tr>
      <w:tr>
        <w:tc>
          <w:tcPr>
            <w:tcW w:w="2977"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 xml:space="preserve">Planbesked </w:t>
            </w:r>
          </w:p>
        </w:tc>
        <w:tc>
          <w:tcPr>
            <w:tcW w:w="3260" w:type="dxa"/>
          </w:tcPr>
          <w:p>
            <w:pPr>
              <w:pStyle w:val="P21"/>
              <w:tabs>
                <w:tab w:val="left" w:pos="7371" w:leader="none"/>
              </w:tabs>
              <w:spacing w:after="120" w:beforeAutospacing="0" w:afterAutospacing="0"/>
              <w:ind w:left="5" w:right="0"/>
              <w:rPr>
                <w:rFonts w:ascii="Arial" w:hAnsi="Arial"/>
                <w:sz w:val="16"/>
                <w:szCs w:val="16"/>
              </w:rPr>
            </w:pPr>
            <w:r>
              <w:rPr>
                <w:rFonts w:ascii="Arial" w:hAnsi="Arial"/>
                <w:sz w:val="16"/>
                <w:szCs w:val="16"/>
              </w:rPr>
              <w:t>Kommunstyrelsens utvecklingsutskott</w:t>
            </w:r>
          </w:p>
        </w:tc>
        <w:tc>
          <w:tcPr>
            <w:tcW w:w="1134"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2018-03-13</w:t>
            </w:r>
          </w:p>
        </w:tc>
      </w:tr>
      <w:tr>
        <w:tc>
          <w:tcPr>
            <w:tcW w:w="2977"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Godkänd för samråd</w:t>
            </w:r>
          </w:p>
        </w:tc>
        <w:tc>
          <w:tcPr>
            <w:tcW w:w="3260" w:type="dxa"/>
          </w:tcPr>
          <w:p>
            <w:pPr>
              <w:pStyle w:val="P21"/>
              <w:tabs>
                <w:tab w:val="left" w:pos="7371" w:leader="none"/>
              </w:tabs>
              <w:spacing w:after="120" w:beforeAutospacing="0" w:afterAutospacing="0"/>
              <w:ind w:left="5" w:right="0"/>
              <w:rPr>
                <w:rFonts w:ascii="Arial" w:hAnsi="Arial"/>
                <w:sz w:val="16"/>
                <w:szCs w:val="16"/>
              </w:rPr>
            </w:pPr>
            <w:r>
              <w:rPr>
                <w:rFonts w:ascii="Arial" w:hAnsi="Arial"/>
                <w:sz w:val="16"/>
                <w:szCs w:val="16"/>
              </w:rPr>
              <w:t>Miljö- och samhällsbyggnadsnämnden</w:t>
            </w:r>
          </w:p>
        </w:tc>
        <w:tc>
          <w:tcPr>
            <w:tcW w:w="1134" w:type="dxa"/>
          </w:tcPr>
          <w:p>
            <w:pPr>
              <w:pStyle w:val="P21"/>
              <w:tabs>
                <w:tab w:val="left" w:pos="7371" w:leader="none"/>
              </w:tabs>
              <w:spacing w:after="120" w:beforeAutospacing="0" w:afterAutospacing="0"/>
              <w:ind w:firstLine="10" w:left="-10" w:right="0"/>
              <w:rPr>
                <w:rFonts w:ascii="Arial" w:hAnsi="Arial"/>
                <w:sz w:val="16"/>
                <w:szCs w:val="16"/>
              </w:rPr>
            </w:pPr>
            <w:r>
              <w:rPr>
                <w:rFonts w:ascii="Arial" w:hAnsi="Arial"/>
                <w:sz w:val="16"/>
                <w:szCs w:val="16"/>
              </w:rPr>
              <w:t>2022-02-14</w:t>
            </w:r>
          </w:p>
        </w:tc>
      </w:tr>
      <w:tr>
        <w:tc>
          <w:tcPr>
            <w:tcW w:w="2977"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Godkänd för granskning</w:t>
            </w:r>
          </w:p>
        </w:tc>
        <w:tc>
          <w:tcPr>
            <w:tcW w:w="3260" w:type="dxa"/>
          </w:tcPr>
          <w:p>
            <w:pPr>
              <w:pStyle w:val="P21"/>
              <w:tabs>
                <w:tab w:val="left" w:pos="7371" w:leader="none"/>
              </w:tabs>
              <w:spacing w:after="120" w:beforeAutospacing="0" w:afterAutospacing="0"/>
              <w:ind w:left="5" w:right="0"/>
              <w:rPr>
                <w:rFonts w:ascii="Arial" w:hAnsi="Arial"/>
                <w:sz w:val="16"/>
                <w:szCs w:val="16"/>
              </w:rPr>
            </w:pPr>
            <w:r>
              <w:rPr>
                <w:rFonts w:ascii="Arial" w:hAnsi="Arial"/>
                <w:sz w:val="16"/>
                <w:szCs w:val="16"/>
              </w:rPr>
              <w:t>Miljö- och samhällsbyggnadsnämnden</w:t>
            </w:r>
          </w:p>
        </w:tc>
        <w:tc>
          <w:tcPr>
            <w:tcW w:w="1134" w:type="dxa"/>
          </w:tcPr>
          <w:p>
            <w:pPr>
              <w:pStyle w:val="P21"/>
              <w:tabs>
                <w:tab w:val="left" w:pos="7371" w:leader="none"/>
              </w:tabs>
              <w:spacing w:after="120" w:beforeAutospacing="0" w:afterAutospacing="0"/>
              <w:ind w:firstLine="10" w:left="-10" w:right="0"/>
              <w:rPr>
                <w:rFonts w:ascii="Arial" w:hAnsi="Arial"/>
                <w:sz w:val="16"/>
                <w:szCs w:val="16"/>
              </w:rPr>
            </w:pPr>
            <w:r>
              <w:rPr>
                <w:rFonts w:ascii="Arial" w:hAnsi="Arial"/>
                <w:sz w:val="16"/>
                <w:szCs w:val="16"/>
              </w:rPr>
              <w:t>2022-12-12</w:t>
            </w:r>
          </w:p>
        </w:tc>
      </w:tr>
      <w:tr>
        <w:tc>
          <w:tcPr>
            <w:tcW w:w="2977"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Godkänd för antagande</w:t>
            </w:r>
          </w:p>
        </w:tc>
        <w:tc>
          <w:tcPr>
            <w:tcW w:w="3260" w:type="dxa"/>
          </w:tcPr>
          <w:p>
            <w:pPr>
              <w:pStyle w:val="P21"/>
              <w:tabs>
                <w:tab w:val="left" w:pos="7371" w:leader="none"/>
              </w:tabs>
              <w:spacing w:after="120" w:beforeAutospacing="0" w:afterAutospacing="0"/>
              <w:ind w:left="5" w:right="0"/>
              <w:rPr>
                <w:rFonts w:ascii="Arial" w:hAnsi="Arial"/>
                <w:sz w:val="16"/>
                <w:szCs w:val="16"/>
              </w:rPr>
            </w:pPr>
            <w:r>
              <w:rPr>
                <w:rFonts w:ascii="Arial" w:hAnsi="Arial"/>
                <w:sz w:val="16"/>
                <w:szCs w:val="16"/>
              </w:rPr>
              <w:t>Miljö- och samhällsbyggnadsnämnden</w:t>
            </w:r>
          </w:p>
        </w:tc>
        <w:tc>
          <w:tcPr>
            <w:tcW w:w="1134" w:type="dxa"/>
          </w:tcPr>
          <w:p>
            <w:pPr>
              <w:pStyle w:val="P21"/>
              <w:tabs>
                <w:tab w:val="left" w:pos="7371" w:leader="none"/>
              </w:tabs>
              <w:spacing w:after="120" w:beforeAutospacing="0" w:afterAutospacing="0"/>
              <w:ind w:firstLine="10" w:left="-10" w:right="0"/>
              <w:rPr>
                <w:rFonts w:ascii="Arial" w:hAnsi="Arial"/>
                <w:sz w:val="16"/>
                <w:szCs w:val="16"/>
              </w:rPr>
            </w:pPr>
            <w:r>
              <w:rPr>
                <w:rFonts w:ascii="Arial" w:hAnsi="Arial"/>
                <w:sz w:val="16"/>
                <w:szCs w:val="16"/>
              </w:rPr>
              <w:t>2023-04-25</w:t>
            </w:r>
          </w:p>
        </w:tc>
      </w:tr>
      <w:tr>
        <w:tc>
          <w:tcPr>
            <w:tcW w:w="2977"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Antagen</w:t>
            </w:r>
          </w:p>
        </w:tc>
        <w:tc>
          <w:tcPr>
            <w:tcW w:w="3260" w:type="dxa"/>
          </w:tcPr>
          <w:p>
            <w:pPr>
              <w:pStyle w:val="P21"/>
              <w:tabs>
                <w:tab w:val="left" w:pos="7371" w:leader="none"/>
              </w:tabs>
              <w:spacing w:after="120" w:beforeAutospacing="0" w:afterAutospacing="0"/>
              <w:ind w:left="5" w:right="0"/>
              <w:rPr>
                <w:rFonts w:ascii="Arial" w:hAnsi="Arial"/>
                <w:sz w:val="16"/>
                <w:szCs w:val="16"/>
              </w:rPr>
            </w:pPr>
            <w:r>
              <w:rPr>
                <w:rFonts w:ascii="Arial" w:hAnsi="Arial"/>
                <w:sz w:val="16"/>
                <w:szCs w:val="16"/>
              </w:rPr>
              <w:t>Kommunfullmäktige</w:t>
            </w:r>
          </w:p>
        </w:tc>
        <w:tc>
          <w:tcPr>
            <w:tcW w:w="1134" w:type="dxa"/>
          </w:tcPr>
          <w:p>
            <w:pPr>
              <w:pStyle w:val="P21"/>
              <w:tabs>
                <w:tab w:val="left" w:pos="7371" w:leader="none"/>
              </w:tabs>
              <w:spacing w:after="120" w:beforeAutospacing="0" w:afterAutospacing="0"/>
              <w:ind w:firstLine="10" w:left="-10" w:right="0"/>
              <w:rPr>
                <w:rFonts w:ascii="Arial" w:hAnsi="Arial"/>
                <w:sz w:val="16"/>
                <w:szCs w:val="16"/>
              </w:rPr>
            </w:pPr>
            <w:r>
              <w:rPr>
                <w:rFonts w:ascii="Arial" w:hAnsi="Arial"/>
                <w:sz w:val="16"/>
                <w:szCs w:val="16"/>
              </w:rPr>
              <w:t>2023-06-15</w:t>
            </w:r>
          </w:p>
        </w:tc>
      </w:tr>
      <w:tr>
        <w:tc>
          <w:tcPr>
            <w:tcW w:w="2977"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Vunnit laga kraft</w:t>
            </w:r>
          </w:p>
        </w:tc>
        <w:tc>
          <w:tcPr>
            <w:tcW w:w="3260" w:type="dxa"/>
          </w:tcPr>
          <w:p>
            <w:pPr>
              <w:pStyle w:val="P21"/>
              <w:tabs>
                <w:tab w:val="left" w:pos="7371" w:leader="none"/>
              </w:tabs>
              <w:spacing w:after="120" w:beforeAutospacing="0" w:afterAutospacing="0"/>
              <w:ind w:left="5" w:right="0"/>
              <w:rPr>
                <w:rFonts w:ascii="Arial" w:hAnsi="Arial"/>
                <w:sz w:val="16"/>
                <w:szCs w:val="16"/>
              </w:rPr>
            </w:pPr>
          </w:p>
        </w:tc>
        <w:tc>
          <w:tcPr>
            <w:tcW w:w="1134" w:type="dxa"/>
          </w:tcPr>
          <w:p>
            <w:pPr>
              <w:pStyle w:val="P21"/>
              <w:tabs>
                <w:tab w:val="left" w:pos="7371" w:leader="none"/>
              </w:tabs>
              <w:spacing w:after="120" w:beforeAutospacing="0" w:afterAutospacing="0"/>
              <w:ind w:firstLine="10" w:left="-10" w:right="0"/>
              <w:rPr>
                <w:rFonts w:ascii="Arial" w:hAnsi="Arial"/>
                <w:sz w:val="16"/>
                <w:szCs w:val="16"/>
              </w:rPr>
            </w:pPr>
            <w:r>
              <w:rPr>
                <w:rFonts w:ascii="Arial" w:hAnsi="Arial"/>
                <w:sz w:val="16"/>
                <w:szCs w:val="16"/>
              </w:rPr>
              <w:t>2023-12-20</w:t>
            </w:r>
          </w:p>
        </w:tc>
      </w:tr>
    </w:tbl>
    <w:p>
      <w:pPr>
        <w:pStyle w:val="P23"/>
        <w:tabs>
          <w:tab w:val="left" w:pos="7371" w:leader="none"/>
        </w:tabs>
        <w:spacing w:after="120" w:beforeAutospacing="0" w:afterAutospacing="0"/>
        <w:ind w:right="0"/>
      </w:pPr>
    </w:p>
    <w:sectPr>
      <w:headerReference xmlns:r="http://schemas.openxmlformats.org/officeDocument/2006/relationships" w:type="first" r:id="RelHdr1"/>
      <w:footerReference xmlns:r="http://schemas.openxmlformats.org/officeDocument/2006/relationships" w:type="default" r:id="RelFtr1"/>
      <w:footerReference xmlns:r="http://schemas.openxmlformats.org/officeDocument/2006/relationships" w:type="even" r:id="RelFtr2"/>
      <w:footnotePr>
        <w:pos w:val="beneathText"/>
      </w:footnotePr>
      <w:endnotePr/>
      <w:type w:val="nextPage"/>
      <w:pgSz w:w="11905" w:h="16837" w:code="0"/>
      <w:pgMar w:left="2223" w:right="397" w:top="1701" w:bottom="1843" w:header="720" w:footer="1134" w:gutter="0"/>
      <w:pgNumType w:start="0" w:chapSep="period"/>
      <w:cols w:equalWidth="1" w:space="72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p/>
    <w:p/>
  </w:endnote>
  <w:endnote w:type="continuationSeparator" w:id="0">
    <w:p>
      <w:r>
        <w:continuationSeparator/>
      </w:r>
    </w:p>
    <w:p/>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8"/>
      <w:rPr>
        <w:rFonts w:ascii="Arial" w:hAnsi="Arial"/>
        <w:b w:val="1"/>
        <w:bCs w:val="1"/>
        <w:sz w:val="12"/>
        <w:szCs w:val="12"/>
      </w:rPr>
    </w:pPr>
  </w:p>
  <w:p>
    <w:pPr>
      <w:pStyle w:val="P18"/>
      <w:rPr>
        <w:rFonts w:ascii="Arial" w:hAnsi="Arial"/>
        <w:b w:val="1"/>
        <w:bCs w:val="1"/>
        <w:sz w:val="12"/>
        <w:szCs w:val="12"/>
      </w:rPr>
    </w:pPr>
  </w:p>
  <w:p>
    <w:pPr>
      <w:pStyle w:val="P18"/>
      <w:rPr>
        <w:rFonts w:ascii="Arial" w:hAnsi="Arial"/>
        <w:b w:val="1"/>
        <w:bCs w:val="1"/>
        <w:sz w:val="12"/>
        <w:szCs w:val="12"/>
      </w:rPr>
    </w:pPr>
  </w:p>
  <w:p>
    <w:pPr>
      <w:pStyle w:val="P18"/>
      <w:rPr>
        <w:rFonts w:ascii="Arial" w:hAnsi="Arial"/>
        <w:b w:val="1"/>
        <w:bCs w:val="1"/>
        <w:sz w:val="18"/>
        <w:szCs w:val="18"/>
      </w:rPr>
    </w:pPr>
    <w:r>
      <w:rPr>
        <w:noProof w:val="1"/>
      </w:rPr>
      <mc:AlternateContent>
        <mc:Choice Requires="wps">
          <w:drawing>
            <wp:anchor xmlns:wp="http://schemas.openxmlformats.org/drawingml/2006/wordprocessingDrawing" distT="0" distB="0" distL="114300" distR="114300" simplePos="0" relativeHeight="251655680" behindDoc="1" locked="0" layoutInCell="1" allowOverlap="1">
              <wp:simplePos x="0" y="0"/>
              <wp:positionH relativeFrom="column">
                <wp:posOffset>31115</wp:posOffset>
              </wp:positionH>
              <wp:positionV relativeFrom="paragraph">
                <wp:posOffset>1905</wp:posOffset>
              </wp:positionV>
              <wp:extent cx="5146675" cy="0"/>
              <wp:effectExtent l="0" t="0" r="0" b="0"/>
              <wp:wrapNone/>
              <wp:docPr id="9" name=" 3"/>
              <wp:cNvGraphicFramePr/>
              <a:graphic xmlns:a="http://schemas.openxmlformats.org/drawingml/2006/main">
                <a:graphicData uri="http://schemas.microsoft.com/office/word/2010/wordprocessingShape">
                  <wps:wsp>
                    <wps:cNvCnPr>
                      <a:stCxn id="0" idx="0"/>
                      <a:endCxn id="0" idx="0"/>
                    </wps:cNvCnPr>
                    <wps:spPr bwMode="auto">
                      <a:xfrm>
                        <a:off x="0" y="0"/>
                        <a:ext cx="5146675" cy="0"/>
                      </a:xfrm>
                      <a:prstGeom prst="line"/>
                      <a:noFill/>
                      <a:ln w="6350">
                        <a:solidFill>
                          <a:srgbClr val="000000"/>
                        </a:solidFill>
                        <a:round/>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ps:wsp>
                </a:graphicData>
              </a:graphic>
            </wp:anchor>
          </w:drawing>
        </mc:Choice>
        <mc:Fallback>
          <w:pict>
            <v:line xmlns:o="urn:schemas-microsoft-com:office:office" id=" 3" o:spid="_x0000_s1032" style="position:absolute;z-index:251655680;mso-wrap-distance-left:9pt;mso-wrap-distance-top:0pt;mso-wrap-distance-right:9pt;mso-wrap-distance-bottom:0pt;mso-position-horizontal:absolute;mso-position-horizontal-relative:text;mso-position-vertical:absolute;mso-position-vertical-relative:text" filled="f" strokecolor="#000000" strokeweight="0.5pt" stroked="t" o:allowincell="t" from="2.45pt,0.15pt" to="407.7pt,0.15pt"/>
          </w:pict>
        </mc:Fallback>
      </mc:AlternateContent>
    </w:r>
    <w:r>
      <w:rPr>
        <w:noProof w:val="1"/>
      </w:rPr>
      <mc:AlternateContent>
        <mc:Choice Requires="wps">
          <w:drawing>
            <wp:anchor xmlns:wp="http://schemas.openxmlformats.org/drawingml/2006/wordprocessingDrawing" distT="0" distB="0" distL="0" distR="0" simplePos="0" relativeHeight="1" behindDoc="0" locked="0" layoutInCell="1" allowOverlap="1">
              <wp:simplePos x="0" y="0"/>
              <wp:positionH relativeFrom="column">
                <wp:posOffset>2389505</wp:posOffset>
              </wp:positionH>
              <wp:positionV relativeFrom="paragraph">
                <wp:posOffset>109220</wp:posOffset>
              </wp:positionV>
              <wp:extent cx="207645" cy="215265"/>
              <wp:effectExtent l="0" t="0" r="1905" b="0"/>
              <wp:wrapNone/>
              <wp:docPr id="8" name=" 4"/>
              <wp:cNvGraphicFramePr/>
              <a:graphic xmlns:a="http://schemas.openxmlformats.org/drawingml/2006/main">
                <a:graphicData uri="http://schemas.microsoft.com/office/word/2010/wordprocessingShape">
                  <wps:wsp>
                    <wps:cNvSpPr txBox="1"/>
                    <wps:spPr bwMode="auto">
                      <a:xfrm>
                        <a:off x="0" y="0"/>
                        <a:ext cx="207645" cy="215265"/>
                      </a:xfrm>
                      <a:prstGeom prst="rect"/>
                      <a:solidFill>
                        <a:srgbClr val="FFFFFF"/>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9"/>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w:t>
                          </w:r>
                          <w:r>
                            <w:rPr>
                              <w:sz w:val="20"/>
                              <w:szCs w:val="20"/>
                            </w:rPr>
                            <w:fldChar w:fldCharType="end"/>
                          </w:r>
                        </w:p>
                      </w:txbxContent>
                    </wps:txbx>
                    <wps:bodyPr rot="0" vert="horz" wrap="square" lIns="0" tIns="0" rIns="0" bIns="0" anchor="t" anchorCtr="0" upright="1">
                      <a:noAutofit/>
                    </wps:bodyPr>
                  </wps:wsp>
                </a:graphicData>
              </a:graphic>
            </wp:anchor>
          </w:drawing>
        </mc:Choice>
        <mc:Fallback>
          <w:pict>
            <v:shape xmlns:o="urn:schemas-microsoft-com:office:office" type="#_x0000_t202" id=" 4" o:spid="_x0000_s1033" style="position:absolute;width:16.35pt;height:16.95pt;z-index:1;mso-wrap-distance-left:0pt;mso-wrap-distance-top:0pt;mso-wrap-distance-right:0pt;mso-wrap-distance-bottom:0pt;margin-left:188.15pt;margin-top:8.6pt;mso-position-horizontal:absolute;mso-position-horizontal-relative:text;mso-position-vertical:absolute;mso-position-vertical-relative:text" o:allowincell="t" fillcolor="#FFFFFF" stroked="f">
              <v:textbox inset="0mm,0mm,0mm,0mm">
                <w:txbxContent>
                  <w:p>
                    <w:pPr>
                      <w:pStyle w:val="P19"/>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w:t>
                    </w:r>
                    <w:r>
                      <w:rPr>
                        <w:sz w:val="20"/>
                        <w:szCs w:val="20"/>
                      </w:rPr>
                      <w:fldChar w:fldCharType="end"/>
                    </w:r>
                  </w:p>
                </w:txbxContent>
              </v:textbox>
            </v:shape>
          </w:pict>
        </mc:Fallback>
      </mc:AlternateContent>
    </w:r>
  </w:p>
  <w:p>
    <w:pPr>
      <w:pStyle w:val="P18"/>
      <w:tabs>
        <w:tab w:val="right" w:pos="8222" w:leader="none"/>
        <w:tab w:val="clear" w:pos="9072" w:leader="none"/>
      </w:tabs>
      <w:spacing w:lineRule="atLeast" w:line="100" w:beforeAutospacing="0" w:afterAutospacing="0"/>
      <w:rPr>
        <w:rFonts w:ascii="Arial" w:hAnsi="Arial"/>
        <w:b w:val="1"/>
        <w:bCs w:val="1"/>
        <w:sz w:val="18"/>
        <w:szCs w:val="18"/>
      </w:rPr>
    </w:pPr>
    <w:r>
      <w:rPr>
        <w:rFonts w:ascii="Arial" w:hAnsi="Arial"/>
        <w:bCs w:val="1"/>
        <w:sz w:val="18"/>
        <w:szCs w:val="18"/>
      </w:rPr>
      <w:t>Falu kommun</w:t>
    </w:r>
    <w:r>
      <w:rPr>
        <w:rFonts w:ascii="Arial" w:hAnsi="Arial"/>
        <w:b w:val="1"/>
        <w:bCs w:val="1"/>
        <w:sz w:val="18"/>
        <w:szCs w:val="18"/>
      </w:rPr>
      <w:t xml:space="preserve"> </w:t>
      <w:tab/>
    </w:r>
  </w:p>
  <w:p>
    <w:pPr>
      <w:pStyle w:val="P18"/>
      <w:tabs>
        <w:tab w:val="right" w:pos="8222" w:leader="none"/>
        <w:tab w:val="clear" w:pos="9072" w:leader="none"/>
      </w:tabs>
      <w:spacing w:lineRule="atLeast" w:line="100" w:beforeAutospacing="0" w:afterAutospacing="0"/>
      <w:rPr>
        <w:rFonts w:ascii="Arial" w:hAnsi="Arial"/>
        <w:sz w:val="18"/>
        <w:szCs w:val="18"/>
      </w:rPr>
    </w:pPr>
    <w:r>
      <w:rPr>
        <w:rFonts w:ascii="Arial" w:hAnsi="Arial"/>
        <w:sz w:val="18"/>
        <w:szCs w:val="18"/>
      </w:rPr>
      <w:t>Miljö- och samhällsbyggnadsförvaltningen</w:t>
      <w:tab/>
      <w:t>Planbeskrivning</w:t>
    </w:r>
  </w:p>
  <w:p>
    <w:pPr>
      <w:pStyle w:val="P18"/>
      <w:tabs>
        <w:tab w:val="right" w:pos="8222" w:leader="none"/>
        <w:tab w:val="clear" w:pos="9072" w:leader="none"/>
      </w:tabs>
      <w:spacing w:lineRule="atLeast" w:line="100" w:beforeAutospacing="0" w:afterAutospacing="0"/>
      <w:rPr>
        <w:rFonts w:ascii="Arial" w:hAnsi="Arial"/>
        <w:sz w:val="18"/>
        <w:szCs w:val="18"/>
      </w:rPr>
    </w:pPr>
    <w:r>
      <w:rPr>
        <w:rFonts w:ascii="Arial" w:hAnsi="Arial"/>
        <w:sz w:val="18"/>
        <w:szCs w:val="18"/>
      </w:rPr>
      <w:t>Hållbarhet och planering</w:t>
      <w:tab/>
    </w: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8"/>
      <w:rPr>
        <w:rFonts w:ascii="Arial" w:hAnsi="Arial"/>
        <w:b w:val="1"/>
        <w:bCs w:val="1"/>
        <w:sz w:val="12"/>
        <w:szCs w:val="12"/>
      </w:rPr>
    </w:pPr>
  </w:p>
  <w:p>
    <w:pPr>
      <w:pStyle w:val="P18"/>
      <w:rPr>
        <w:rFonts w:ascii="Arial" w:hAnsi="Arial"/>
        <w:b w:val="1"/>
        <w:bCs w:val="1"/>
        <w:sz w:val="12"/>
        <w:szCs w:val="12"/>
      </w:rPr>
    </w:pPr>
  </w:p>
  <w:p>
    <w:pPr>
      <w:pStyle w:val="P18"/>
      <w:rPr>
        <w:rFonts w:ascii="Arial" w:hAnsi="Arial"/>
        <w:b w:val="1"/>
        <w:bCs w:val="1"/>
        <w:sz w:val="12"/>
        <w:szCs w:val="12"/>
      </w:rPr>
    </w:pPr>
  </w:p>
  <w:p>
    <w:pPr>
      <w:pStyle w:val="P18"/>
      <w:rPr>
        <w:rFonts w:ascii="Arial" w:hAnsi="Arial"/>
        <w:b w:val="1"/>
        <w:bCs w:val="1"/>
        <w:sz w:val="18"/>
        <w:szCs w:val="18"/>
      </w:rPr>
    </w:pPr>
    <w:r>
      <w:rPr>
        <w:noProof w:val="1"/>
      </w:rPr>
      <mc:AlternateContent>
        <mc:Choice Requires="wps">
          <w:drawing>
            <wp:anchor xmlns:wp="http://schemas.openxmlformats.org/drawingml/2006/wordprocessingDrawing" distT="0" distB="0" distL="114300" distR="114300" simplePos="0" relativeHeight="251655681" behindDoc="1" locked="0" layoutInCell="1" allowOverlap="1">
              <wp:simplePos x="0" y="0"/>
              <wp:positionH relativeFrom="column">
                <wp:posOffset>31115</wp:posOffset>
              </wp:positionH>
              <wp:positionV relativeFrom="paragraph">
                <wp:posOffset>1905</wp:posOffset>
              </wp:positionV>
              <wp:extent cx="5146675" cy="0"/>
              <wp:effectExtent l="0" t="0" r="0" b="0"/>
              <wp:wrapNone/>
              <wp:docPr id="11" name=" 8"/>
              <wp:cNvGraphicFramePr/>
              <a:graphic xmlns:a="http://schemas.openxmlformats.org/drawingml/2006/main">
                <a:graphicData uri="http://schemas.microsoft.com/office/word/2010/wordprocessingShape">
                  <wps:wsp>
                    <wps:cNvCnPr>
                      <a:stCxn id="0" idx="0"/>
                      <a:endCxn id="0" idx="0"/>
                    </wps:cNvCnPr>
                    <wps:spPr bwMode="auto">
                      <a:xfrm>
                        <a:off x="0" y="0"/>
                        <a:ext cx="5146675" cy="0"/>
                      </a:xfrm>
                      <a:prstGeom prst="line"/>
                      <a:noFill/>
                      <a:ln w="6350">
                        <a:solidFill>
                          <a:srgbClr val="000000"/>
                        </a:solidFill>
                        <a:round/>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ps:wsp>
                </a:graphicData>
              </a:graphic>
            </wp:anchor>
          </w:drawing>
        </mc:Choice>
        <mc:Fallback>
          <w:pict>
            <v:line xmlns:o="urn:schemas-microsoft-com:office:office" id=" 8" o:spid="_x0000_s1034" style="position:absolute;z-index:251655681;mso-wrap-distance-left:9pt;mso-wrap-distance-top:0pt;mso-wrap-distance-right:9pt;mso-wrap-distance-bottom:0pt;mso-position-horizontal:absolute;mso-position-horizontal-relative:text;mso-position-vertical:absolute;mso-position-vertical-relative:text" filled="f" strokecolor="#000000" strokeweight="0.5pt" stroked="t" o:allowincell="t" from="2.45pt,0.15pt" to="407.7pt,0.15pt"/>
          </w:pict>
        </mc:Fallback>
      </mc:AlternateContent>
    </w:r>
    <w:r>
      <w:rPr>
        <w:noProof w:val="1"/>
      </w:rPr>
      <mc:AlternateContent>
        <mc:Choice Requires="wps">
          <w:drawing>
            <wp:anchor xmlns:wp="http://schemas.openxmlformats.org/drawingml/2006/wordprocessingDrawing" distT="0" distB="0" distL="0" distR="0" simplePos="0" relativeHeight="4" behindDoc="0" locked="0" layoutInCell="1" allowOverlap="1">
              <wp:simplePos x="0" y="0"/>
              <wp:positionH relativeFrom="column">
                <wp:posOffset>2389505</wp:posOffset>
              </wp:positionH>
              <wp:positionV relativeFrom="paragraph">
                <wp:posOffset>109220</wp:posOffset>
              </wp:positionV>
              <wp:extent cx="207645" cy="215265"/>
              <wp:effectExtent l="0" t="0" r="1905" b="0"/>
              <wp:wrapNone/>
              <wp:docPr id="10" name=" 9"/>
              <wp:cNvGraphicFramePr/>
              <a:graphic xmlns:a="http://schemas.openxmlformats.org/drawingml/2006/main">
                <a:graphicData uri="http://schemas.microsoft.com/office/word/2010/wordprocessingShape">
                  <wps:wsp>
                    <wps:cNvSpPr txBox="1"/>
                    <wps:spPr bwMode="auto">
                      <a:xfrm>
                        <a:off x="0" y="0"/>
                        <a:ext cx="207645" cy="215265"/>
                      </a:xfrm>
                      <a:prstGeom prst="rect"/>
                      <a:solidFill>
                        <a:srgbClr val="FFFFFF"/>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9"/>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w:t>
                          </w:r>
                          <w:r>
                            <w:rPr>
                              <w:sz w:val="20"/>
                              <w:szCs w:val="20"/>
                            </w:rPr>
                            <w:fldChar w:fldCharType="end"/>
                          </w:r>
                        </w:p>
                      </w:txbxContent>
                    </wps:txbx>
                    <wps:bodyPr rot="0" vert="horz" wrap="square" lIns="0" tIns="0" rIns="0" bIns="0" anchor="t" anchorCtr="0" upright="1">
                      <a:noAutofit/>
                    </wps:bodyPr>
                  </wps:wsp>
                </a:graphicData>
              </a:graphic>
            </wp:anchor>
          </w:drawing>
        </mc:Choice>
        <mc:Fallback>
          <w:pict>
            <v:shape xmlns:o="urn:schemas-microsoft-com:office:office" type="#_x0000_t202" id=" 9" o:spid="_x0000_s1035" style="position:absolute;width:16.35pt;height:16.95pt;z-index:4;mso-wrap-distance-left:0pt;mso-wrap-distance-top:0pt;mso-wrap-distance-right:0pt;mso-wrap-distance-bottom:0pt;margin-left:188.15pt;margin-top:8.6pt;mso-position-horizontal:absolute;mso-position-horizontal-relative:text;mso-position-vertical:absolute;mso-position-vertical-relative:text" o:allowincell="t" fillcolor="#FFFFFF" stroked="f">
              <v:textbox inset="0mm,0mm,0mm,0mm">
                <w:txbxContent>
                  <w:p>
                    <w:pPr>
                      <w:pStyle w:val="P19"/>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w:t>
                    </w:r>
                    <w:r>
                      <w:rPr>
                        <w:sz w:val="20"/>
                        <w:szCs w:val="20"/>
                      </w:rPr>
                      <w:fldChar w:fldCharType="end"/>
                    </w:r>
                  </w:p>
                </w:txbxContent>
              </v:textbox>
            </v:shape>
          </w:pict>
        </mc:Fallback>
      </mc:AlternateContent>
    </w:r>
  </w:p>
  <w:p>
    <w:pPr>
      <w:pStyle w:val="P18"/>
      <w:tabs>
        <w:tab w:val="right" w:pos="8222" w:leader="none"/>
        <w:tab w:val="clear" w:pos="9072" w:leader="none"/>
      </w:tabs>
      <w:spacing w:lineRule="atLeast" w:line="100" w:beforeAutospacing="0" w:afterAutospacing="0"/>
      <w:rPr>
        <w:rFonts w:ascii="Arial" w:hAnsi="Arial"/>
        <w:b w:val="1"/>
        <w:bCs w:val="1"/>
        <w:sz w:val="18"/>
        <w:szCs w:val="18"/>
      </w:rPr>
    </w:pPr>
    <w:r>
      <w:rPr>
        <w:rFonts w:ascii="Arial" w:hAnsi="Arial"/>
        <w:bCs w:val="1"/>
        <w:sz w:val="18"/>
        <w:szCs w:val="18"/>
      </w:rPr>
      <w:t>Falu kommun</w:t>
    </w:r>
    <w:r>
      <w:rPr>
        <w:rFonts w:ascii="Arial" w:hAnsi="Arial"/>
        <w:b w:val="1"/>
        <w:bCs w:val="1"/>
        <w:sz w:val="18"/>
        <w:szCs w:val="18"/>
      </w:rPr>
      <w:t xml:space="preserve"> </w:t>
      <w:tab/>
    </w:r>
  </w:p>
  <w:p>
    <w:pPr>
      <w:pStyle w:val="P18"/>
      <w:tabs>
        <w:tab w:val="right" w:pos="8222" w:leader="none"/>
        <w:tab w:val="clear" w:pos="9072" w:leader="none"/>
      </w:tabs>
      <w:spacing w:lineRule="atLeast" w:line="100" w:beforeAutospacing="0" w:afterAutospacing="0"/>
      <w:rPr>
        <w:rFonts w:ascii="Arial" w:hAnsi="Arial"/>
        <w:sz w:val="18"/>
        <w:szCs w:val="18"/>
      </w:rPr>
    </w:pPr>
    <w:r>
      <w:rPr>
        <w:rFonts w:ascii="Arial" w:hAnsi="Arial"/>
        <w:sz w:val="18"/>
        <w:szCs w:val="18"/>
      </w:rPr>
      <w:t>Miljö- och samhällsbyggnadsförvaltningen</w:t>
      <w:tab/>
      <w:t>Planbeskrivning</w:t>
    </w:r>
  </w:p>
  <w:p>
    <w:pPr>
      <w:pStyle w:val="P18"/>
      <w:tabs>
        <w:tab w:val="right" w:pos="8222" w:leader="none"/>
        <w:tab w:val="clear" w:pos="9072" w:leader="none"/>
      </w:tabs>
      <w:spacing w:lineRule="atLeast" w:line="100" w:beforeAutospacing="0" w:afterAutospacing="0"/>
      <w:rPr>
        <w:rFonts w:ascii="Arial" w:hAnsi="Arial"/>
        <w:sz w:val="18"/>
        <w:szCs w:val="18"/>
      </w:rPr>
    </w:pPr>
    <w:r>
      <w:rPr>
        <w:rFonts w:ascii="Arial" w:hAnsi="Arial"/>
        <w:sz w:val="18"/>
        <w:szCs w:val="18"/>
      </w:rPr>
      <w:t>Hållbarhet och planering</w:t>
      <w:tab/>
    </w: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p/>
    <w:p/>
  </w:footnote>
  <w:footnote w:type="continuationSeparator" w:id="0">
    <w:p>
      <w:r>
        <w:continuationSeparator/>
      </w:r>
    </w:p>
    <w:p/>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tabs>
        <w:tab w:val="right" w:pos="9072" w:leader="none"/>
      </w:tabs>
      <w:ind w:left="-709" w:right="0"/>
      <w:rPr>
        <w:rFonts w:ascii="Arial" w:hAnsi="Arial"/>
        <w:sz w:val="16"/>
        <w:lang w:eastAsia="sv-SE"/>
      </w:rPr>
    </w:pPr>
    <w:r>
      <w:rPr>
        <w:rFonts w:ascii="Arial" w:hAnsi="Arial"/>
        <w:noProof w:val="1"/>
        <w:sz w:val="16"/>
        <w:lang w:eastAsia="sv-SE"/>
      </w:rPr>
      <w:drawing>
        <wp:anchor xmlns:wp="http://schemas.openxmlformats.org/drawingml/2006/wordprocessingDrawing" distT="0" distB="0" distL="114300" distR="114300" simplePos="0" relativeHeight="2" behindDoc="0" locked="0" layoutInCell="1" allowOverlap="1">
          <wp:simplePos x="0" y="0"/>
          <wp:positionH relativeFrom="column">
            <wp:posOffset>-441325</wp:posOffset>
          </wp:positionH>
          <wp:positionV relativeFrom="paragraph">
            <wp:posOffset>-149860</wp:posOffset>
          </wp:positionV>
          <wp:extent cx="1478280" cy="295910"/>
          <wp:effectExtent l="0" t="0" r="0" b="0"/>
          <wp:wrapNone/>
          <wp:docPr id="37" name="Bild 6"/>
          <wp:cNvGraphicFramePr/>
          <a:graphic xmlns:a="http://schemas.openxmlformats.org/drawingml/2006/main">
            <a:graphicData uri="http://schemas.openxmlformats.org/drawingml/2006/picture">
              <pic:pic xmlns:pic="http://schemas.openxmlformats.org/drawingml/2006/picture">
                <pic:nvPicPr>
                  <pic:cNvPr id="37" name="Bild 6"/>
                  <pic:cNvPicPr/>
                </pic:nvPicPr>
                <pic:blipFill dpi="0">
                  <a:blip xmlns:r="http://schemas.openxmlformats.org/officeDocument/2006/relationships" r:embed="Relimage9"/>
                  <a:srcRect/>
                  <a:stretch>
                    <a:fillRect/>
                  </a:stretch>
                </pic:blipFill>
                <pic:spPr bwMode="auto">
                  <a:xfrm>
                    <a:off x="0" y="0"/>
                    <a:ext cx="1478280" cy="295910"/>
                  </a:xfrm>
                  <a:prstGeom prst="rect"/>
                  <a:noFill/>
                  <a:ln>
                    <a:noFill/>
                  </a:ln>
                </pic:spPr>
              </pic:pic>
            </a:graphicData>
          </a:graphic>
        </wp:anchor>
      </w:drawing>
    </w:r>
  </w:p>
  <w:p>
    <w:pPr>
      <w:tabs>
        <w:tab w:val="right" w:pos="9072" w:leader="none"/>
      </w:tabs>
      <w:ind w:left="-709" w:right="0"/>
      <w:rPr>
        <w:rFonts w:ascii="Arial" w:hAnsi="Arial"/>
        <w:sz w:val="16"/>
        <w:lang w:eastAsia="sv-SE"/>
      </w:rPr>
    </w:pPr>
  </w:p>
  <w:p>
    <w:pPr>
      <w:ind w:left="-709" w:right="0"/>
      <w:rPr>
        <w:rFonts w:ascii="Arial" w:hAnsi="Arial"/>
        <w:sz w:val="16"/>
        <w:lang w:eastAsia="sv-SE"/>
      </w:rPr>
    </w:pPr>
    <w:r>
      <w:rPr>
        <w:rFonts w:ascii="Arial" w:hAnsi="Arial"/>
        <w:sz w:val="16"/>
        <w:lang w:eastAsia="sv-SE"/>
      </w:rPr>
      <w:tab/>
      <w:tab/>
      <w:tab/>
      <w:tab/>
    </w:r>
  </w:p>
  <w:p>
    <w:pPr>
      <w:tabs>
        <w:tab w:val="right" w:pos="8222" w:leader="none"/>
      </w:tabs>
      <w:ind w:left="-709" w:right="0"/>
      <w:rPr>
        <w:rFonts w:ascii="Arial" w:hAnsi="Arial"/>
        <w:sz w:val="18"/>
        <w:szCs w:val="18"/>
        <w:lang w:eastAsia="sv-SE"/>
      </w:rPr>
    </w:pPr>
    <w:r>
      <w:rPr>
        <w:rFonts w:ascii="Arial" w:hAnsi="Arial"/>
        <w:sz w:val="18"/>
        <w:szCs w:val="18"/>
        <w:lang w:eastAsia="sv-SE"/>
      </w:rPr>
      <w:t xml:space="preserve">Falu kommun </w:t>
      <w:tab/>
      <w:t>Laga kraft 2023-12-20</w:t>
      <w:br w:type="textWrapping"/>
      <w:t>Miljö- och samhällsbyggnadsförvaltningen</w:t>
      <w:tab/>
      <w:t>MSN0179/18</w:t>
    </w:r>
  </w:p>
  <w:p>
    <w:pPr>
      <w:tabs>
        <w:tab w:val="center" w:pos="7513" w:leader="none"/>
        <w:tab w:val="right" w:pos="9356" w:leader="none"/>
      </w:tabs>
      <w:ind w:left="-709" w:right="0"/>
      <w:rPr>
        <w:rFonts w:ascii="Arial" w:hAnsi="Arial"/>
        <w:sz w:val="16"/>
        <w:szCs w:val="16"/>
        <w:lang w:eastAsia="sv-SE"/>
      </w:rPr>
    </w:pPr>
    <w:r>
      <w:rPr>
        <w:rFonts w:ascii="Arial" w:hAnsi="Arial"/>
        <w:sz w:val="18"/>
        <w:szCs w:val="18"/>
        <w:lang w:eastAsia="sv-SE"/>
      </w:rPr>
      <w:t>Hållbarhet och planering</w:t>
    </w:r>
  </w:p>
</w:hdr>
</file>

<file path=word/numbering.xml><?xml version="1.0" encoding="utf-8"?>
<w:numbering xmlns:w="http://schemas.openxmlformats.org/wordprocessingml/2006/main">
  <w:abstractNum w:abstractNumId="0">
    <w:nsid w:val="00000001"/>
    <w:multiLevelType w:val="multilevel"/>
    <w:lvl w:ilvl="0">
      <w:start w:val="1"/>
      <w:numFmt w:val="none"/>
      <w:pStyle w:val="P1"/>
      <w:suff w:val="nothing"/>
      <w:lvlText w:val=""/>
      <w:lvlJc w:val="left"/>
      <w:pPr>
        <w:ind w:firstLine="0" w:left="0"/>
        <w:tabs>
          <w:tab w:val="num" w:pos="0" w:leader="none"/>
        </w:tabs>
      </w:pPr>
      <w:rPr/>
    </w:lvl>
    <w:lvl w:ilvl="1">
      <w:start w:val="1"/>
      <w:numFmt w:val="none"/>
      <w:pStyle w:val="P2"/>
      <w:suff w:val="nothing"/>
      <w:lvlText w:val=""/>
      <w:lvlJc w:val="left"/>
      <w:pPr>
        <w:ind w:firstLine="0" w:left="0"/>
        <w:tabs>
          <w:tab w:val="num" w:pos="0" w:leader="none"/>
        </w:tabs>
      </w:pPr>
      <w:rPr/>
    </w:lvl>
    <w:lvl w:ilvl="2">
      <w:start w:val="1"/>
      <w:numFmt w:val="none"/>
      <w:pStyle w:val="P3"/>
      <w:suff w:val="nothing"/>
      <w:lvlText w:val=""/>
      <w:lvlJc w:val="left"/>
      <w:pPr>
        <w:ind w:firstLine="0" w:left="0"/>
        <w:tabs>
          <w:tab w:val="num" w:pos="0" w:leader="none"/>
        </w:tabs>
      </w:pPr>
      <w:rPr/>
    </w:lvl>
    <w:lvl w:ilvl="3">
      <w:start w:val="1"/>
      <w:numFmt w:val="none"/>
      <w:pStyle w:val="P4"/>
      <w:suff w:val="nothing"/>
      <w:lvlText w:val=""/>
      <w:lvlJc w:val="left"/>
      <w:pPr>
        <w:ind w:firstLine="0" w:left="0"/>
        <w:tabs>
          <w:tab w:val="num" w:pos="0" w:leader="none"/>
        </w:tabs>
      </w:pPr>
      <w:rPr/>
    </w:lvl>
    <w:lvl w:ilvl="4">
      <w:start w:val="1"/>
      <w:numFmt w:val="none"/>
      <w:pStyle w:val="P5"/>
      <w:suff w:val="nothing"/>
      <w:lvlText w:val=""/>
      <w:lvlJc w:val="left"/>
      <w:pPr>
        <w:ind w:firstLine="0" w:left="0"/>
        <w:tabs>
          <w:tab w:val="num" w:pos="0" w:leader="none"/>
        </w:tabs>
      </w:pPr>
      <w:rPr/>
    </w:lvl>
    <w:lvl w:ilvl="5">
      <w:start w:val="1"/>
      <w:numFmt w:val="none"/>
      <w:pStyle w:val="P6"/>
      <w:suff w:val="nothing"/>
      <w:lvlText w:val=""/>
      <w:lvlJc w:val="left"/>
      <w:pPr>
        <w:ind w:firstLine="0" w:left="0"/>
        <w:tabs>
          <w:tab w:val="num" w:pos="0" w:leader="none"/>
        </w:tabs>
      </w:pPr>
      <w:rPr/>
    </w:lvl>
    <w:lvl w:ilvl="6">
      <w:start w:val="1"/>
      <w:numFmt w:val="none"/>
      <w:pStyle w:val="P7"/>
      <w:suff w:val="nothing"/>
      <w:lvlText w:val=""/>
      <w:lvlJc w:val="left"/>
      <w:pPr>
        <w:ind w:firstLine="0" w:left="0"/>
        <w:tabs>
          <w:tab w:val="num" w:pos="0" w:leader="none"/>
        </w:tabs>
      </w:pPr>
      <w:rPr/>
    </w:lvl>
    <w:lvl w:ilvl="7">
      <w:start w:val="1"/>
      <w:numFmt w:val="none"/>
      <w:pStyle w:val="P8"/>
      <w:suff w:val="nothing"/>
      <w:lvlText w:val=""/>
      <w:lvlJc w:val="left"/>
      <w:pPr>
        <w:ind w:firstLine="0" w:left="0"/>
        <w:tabs>
          <w:tab w:val="num" w:pos="0" w:leader="none"/>
        </w:tabs>
      </w:pPr>
      <w:rPr/>
    </w:lvl>
    <w:lvl w:ilvl="8">
      <w:start w:val="1"/>
      <w:numFmt w:val="none"/>
      <w:pStyle w:val="P9"/>
      <w:suff w:val="nothing"/>
      <w:lvlText w:val=""/>
      <w:lvlJc w:val="left"/>
      <w:pPr>
        <w:ind w:firstLine="0" w:left="0"/>
        <w:tabs>
          <w:tab w:val="num" w:pos="0" w:leader="none"/>
        </w:tabs>
      </w:pPr>
      <w:rPr/>
    </w:lvl>
  </w:abstractNum>
  <w:abstractNum w:abstractNumId="1">
    <w:nsid w:val="00000002"/>
    <w:multiLevelType w:val="multilevel"/>
    <w:lvl w:ilvl="0">
      <w:start w:val="1"/>
      <w:numFmt w:val="none"/>
      <w:pStyle w:val="P30"/>
      <w:suff w:val="nothing"/>
      <w:lvlText w:val=""/>
      <w:lvlJc w:val="left"/>
      <w:pPr>
        <w:ind w:firstLine="0" w:left="0"/>
        <w:tabs>
          <w:tab w:val="num" w:pos="0" w:leader="none"/>
        </w:tabs>
      </w:pPr>
      <w:rPr/>
    </w:lvl>
    <w:lvl w:ilvl="1">
      <w:start w:val="1"/>
      <w:numFmt w:val="none"/>
      <w:suff w:val="nothing"/>
      <w:lvlText w:val=""/>
      <w:lvlJc w:val="left"/>
      <w:pPr>
        <w:ind w:firstLine="0" w:left="0"/>
        <w:tabs>
          <w:tab w:val="num" w:pos="0" w:leader="none"/>
        </w:tabs>
      </w:pPr>
      <w:rPr/>
    </w:lvl>
    <w:lvl w:ilvl="2">
      <w:start w:val="1"/>
      <w:numFmt w:val="none"/>
      <w:suff w:val="nothing"/>
      <w:lvlText w:val=""/>
      <w:lvlJc w:val="left"/>
      <w:pPr>
        <w:ind w:firstLine="0" w:left="0"/>
        <w:tabs>
          <w:tab w:val="num" w:pos="0" w:leader="none"/>
        </w:tabs>
      </w:pPr>
      <w:rPr/>
    </w:lvl>
    <w:lvl w:ilvl="3">
      <w:start w:val="1"/>
      <w:numFmt w:val="none"/>
      <w:suff w:val="nothing"/>
      <w:lvlText w:val=""/>
      <w:lvlJc w:val="left"/>
      <w:pPr>
        <w:ind w:firstLine="0" w:left="0"/>
        <w:tabs>
          <w:tab w:val="num" w:pos="0" w:leader="none"/>
        </w:tabs>
      </w:pPr>
      <w:rPr/>
    </w:lvl>
    <w:lvl w:ilvl="4">
      <w:start w:val="1"/>
      <w:numFmt w:val="none"/>
      <w:suff w:val="nothing"/>
      <w:lvlText w:val=""/>
      <w:lvlJc w:val="left"/>
      <w:pPr>
        <w:ind w:firstLine="0" w:left="0"/>
        <w:tabs>
          <w:tab w:val="num" w:pos="0" w:leader="none"/>
        </w:tabs>
      </w:pPr>
      <w:rPr/>
    </w:lvl>
    <w:lvl w:ilvl="5">
      <w:start w:val="1"/>
      <w:numFmt w:val="none"/>
      <w:suff w:val="nothing"/>
      <w:lvlText w:val=""/>
      <w:lvlJc w:val="left"/>
      <w:pPr>
        <w:ind w:firstLine="0" w:left="0"/>
        <w:tabs>
          <w:tab w:val="num" w:pos="0" w:leader="none"/>
        </w:tabs>
      </w:pPr>
      <w:rPr/>
    </w:lvl>
    <w:lvl w:ilvl="6">
      <w:start w:val="1"/>
      <w:numFmt w:val="none"/>
      <w:suff w:val="nothing"/>
      <w:lvlText w:val=""/>
      <w:lvlJc w:val="left"/>
      <w:pPr>
        <w:ind w:firstLine="0" w:left="0"/>
        <w:tabs>
          <w:tab w:val="num" w:pos="0" w:leader="none"/>
        </w:tabs>
      </w:pPr>
      <w:rPr/>
    </w:lvl>
    <w:lvl w:ilvl="7">
      <w:start w:val="1"/>
      <w:numFmt w:val="none"/>
      <w:suff w:val="nothing"/>
      <w:lvlText w:val=""/>
      <w:lvlJc w:val="left"/>
      <w:pPr>
        <w:ind w:firstLine="0" w:left="0"/>
        <w:tabs>
          <w:tab w:val="num" w:pos="0" w:leader="none"/>
        </w:tabs>
      </w:pPr>
      <w:rPr/>
    </w:lvl>
    <w:lvl w:ilvl="8">
      <w:start w:val="1"/>
      <w:numFmt w:val="none"/>
      <w:suff w:val="nothing"/>
      <w:lvlText w:val=""/>
      <w:lvlJc w:val="left"/>
      <w:pPr>
        <w:ind w:firstLine="0" w:left="0"/>
        <w:tabs>
          <w:tab w:val="num" w:pos="0" w:leader="none"/>
        </w:tabs>
      </w:pPr>
      <w:rPr/>
    </w:lvl>
  </w:abstractNum>
  <w:abstractNum w:abstractNumId="2">
    <w:nsid w:val="00000003"/>
    <w:multiLevelType w:val="multilevel"/>
    <w:lvl w:ilvl="0">
      <w:start w:val="1"/>
      <w:numFmt w:val="bullet"/>
      <w:suff w:val="tab"/>
      <w:lvlText w:val=""/>
      <w:lvlJc w:val="left"/>
      <w:pPr>
        <w:ind w:hanging="227" w:left="227"/>
        <w:tabs>
          <w:tab w:val="num" w:pos="709" w:leader="none"/>
        </w:tabs>
      </w:pPr>
      <w:rPr>
        <w:rFonts w:ascii="Symbol" w:hAnsi="Symbol"/>
      </w:rPr>
    </w:lvl>
    <w:lvl w:ilvl="1">
      <w:start w:val="1"/>
      <w:numFmt w:val="bullet"/>
      <w:suff w:val="tab"/>
      <w:lvlText w:val=""/>
      <w:lvlJc w:val="left"/>
      <w:pPr>
        <w:ind w:hanging="360" w:left="1080"/>
        <w:tabs>
          <w:tab w:val="num" w:pos="1080" w:leader="none"/>
        </w:tabs>
      </w:pPr>
      <w:rPr>
        <w:rFonts w:ascii="Symbol" w:hAnsi="Symbol"/>
      </w:rPr>
    </w:lvl>
    <w:lvl w:ilvl="2">
      <w:start w:val="1"/>
      <w:numFmt w:val="bullet"/>
      <w:suff w:val="tab"/>
      <w:lvlText w:val=""/>
      <w:lvlJc w:val="left"/>
      <w:pPr>
        <w:ind w:hanging="360" w:left="1440"/>
        <w:tabs>
          <w:tab w:val="num" w:pos="1440" w:leader="none"/>
        </w:tabs>
      </w:pPr>
      <w:rPr>
        <w:rFonts w:ascii="Symbol" w:hAnsi="Symbol"/>
      </w:rPr>
    </w:lvl>
    <w:lvl w:ilvl="3">
      <w:start w:val="1"/>
      <w:numFmt w:val="bullet"/>
      <w:suff w:val="tab"/>
      <w:lvlText w:val=""/>
      <w:lvlJc w:val="left"/>
      <w:pPr>
        <w:ind w:hanging="360" w:left="1800"/>
        <w:tabs>
          <w:tab w:val="num" w:pos="1800" w:leader="none"/>
        </w:tabs>
      </w:pPr>
      <w:rPr>
        <w:rFonts w:ascii="Symbol" w:hAnsi="Symbol"/>
      </w:rPr>
    </w:lvl>
    <w:lvl w:ilvl="4">
      <w:start w:val="1"/>
      <w:numFmt w:val="bullet"/>
      <w:suff w:val="tab"/>
      <w:lvlText w:val=""/>
      <w:lvlJc w:val="left"/>
      <w:pPr>
        <w:ind w:hanging="360" w:left="2160"/>
        <w:tabs>
          <w:tab w:val="num" w:pos="2160" w:leader="none"/>
        </w:tabs>
      </w:pPr>
      <w:rPr>
        <w:rFonts w:ascii="Symbol" w:hAnsi="Symbol"/>
      </w:rPr>
    </w:lvl>
    <w:lvl w:ilvl="5">
      <w:start w:val="1"/>
      <w:numFmt w:val="bullet"/>
      <w:suff w:val="tab"/>
      <w:lvlText w:val=""/>
      <w:lvlJc w:val="left"/>
      <w:pPr>
        <w:ind w:hanging="360" w:left="2520"/>
        <w:tabs>
          <w:tab w:val="num" w:pos="2520" w:leader="none"/>
        </w:tabs>
      </w:pPr>
      <w:rPr>
        <w:rFonts w:ascii="Symbol" w:hAnsi="Symbol"/>
      </w:rPr>
    </w:lvl>
    <w:lvl w:ilvl="6">
      <w:start w:val="1"/>
      <w:numFmt w:val="bullet"/>
      <w:suff w:val="tab"/>
      <w:lvlText w:val=""/>
      <w:lvlJc w:val="left"/>
      <w:pPr>
        <w:ind w:hanging="360" w:left="2880"/>
        <w:tabs>
          <w:tab w:val="num" w:pos="2880" w:leader="none"/>
        </w:tabs>
      </w:pPr>
      <w:rPr>
        <w:rFonts w:ascii="Symbol" w:hAnsi="Symbol"/>
      </w:rPr>
    </w:lvl>
    <w:lvl w:ilvl="7">
      <w:start w:val="1"/>
      <w:numFmt w:val="bullet"/>
      <w:suff w:val="tab"/>
      <w:lvlText w:val=""/>
      <w:lvlJc w:val="left"/>
      <w:pPr>
        <w:ind w:hanging="360" w:left="3240"/>
        <w:tabs>
          <w:tab w:val="num" w:pos="3240" w:leader="none"/>
        </w:tabs>
      </w:pPr>
      <w:rPr>
        <w:rFonts w:ascii="Symbol" w:hAnsi="Symbol"/>
      </w:rPr>
    </w:lvl>
    <w:lvl w:ilvl="8">
      <w:start w:val="1"/>
      <w:numFmt w:val="bullet"/>
      <w:suff w:val="tab"/>
      <w:lvlText w:val=""/>
      <w:lvlJc w:val="left"/>
      <w:pPr>
        <w:ind w:hanging="360" w:left="3600"/>
        <w:tabs>
          <w:tab w:val="num" w:pos="3600" w:leader="none"/>
        </w:tabs>
      </w:pPr>
      <w:rPr>
        <w:rFonts w:ascii="Symbol" w:hAnsi="Symbol"/>
      </w:rPr>
    </w:lvl>
  </w:abstractNum>
  <w:abstractNum w:abstractNumId="3">
    <w:nsid w:val="00000004"/>
    <w:multiLevelType w:val="multilevel"/>
    <w:lvl w:ilvl="0">
      <w:start w:val="1"/>
      <w:numFmt w:val="none"/>
      <w:suff w:val="nothing"/>
      <w:lvlText w:val=""/>
      <w:lvlJc w:val="left"/>
      <w:pPr>
        <w:ind w:firstLine="0" w:left="0"/>
        <w:tabs>
          <w:tab w:val="num" w:pos="0" w:leader="none"/>
        </w:tabs>
      </w:pPr>
      <w:rPr/>
    </w:lvl>
    <w:lvl w:ilvl="1">
      <w:start w:val="1"/>
      <w:numFmt w:val="bullet"/>
      <w:suff w:val="nothing"/>
      <w:lvlText w:val=""/>
      <w:lvlJc w:val="left"/>
      <w:pPr>
        <w:ind w:firstLine="0" w:left="0"/>
        <w:tabs>
          <w:tab w:val="num" w:pos="0" w:leader="none"/>
        </w:tabs>
      </w:pPr>
      <w:rPr>
        <w:rFonts w:ascii="Symbol" w:hAnsi="Symbol" w:cs="StarSymbol"/>
        <w:sz w:val="18"/>
        <w:szCs w:val="18"/>
      </w:rPr>
    </w:lvl>
    <w:lvl w:ilvl="2">
      <w:start w:val="1"/>
      <w:numFmt w:val="none"/>
      <w:suff w:val="nothing"/>
      <w:lvlText w:val=""/>
      <w:lvlJc w:val="left"/>
      <w:pPr>
        <w:ind w:firstLine="0" w:left="0"/>
        <w:tabs>
          <w:tab w:val="num" w:pos="0" w:leader="none"/>
        </w:tabs>
      </w:pPr>
      <w:rPr/>
    </w:lvl>
    <w:lvl w:ilvl="3">
      <w:start w:val="1"/>
      <w:numFmt w:val="none"/>
      <w:suff w:val="nothing"/>
      <w:lvlText w:val=""/>
      <w:lvlJc w:val="left"/>
      <w:pPr>
        <w:ind w:firstLine="0" w:left="0"/>
        <w:tabs>
          <w:tab w:val="num" w:pos="0" w:leader="none"/>
        </w:tabs>
      </w:pPr>
      <w:rPr/>
    </w:lvl>
    <w:lvl w:ilvl="4">
      <w:start w:val="1"/>
      <w:numFmt w:val="none"/>
      <w:suff w:val="nothing"/>
      <w:lvlText w:val=""/>
      <w:lvlJc w:val="left"/>
      <w:pPr>
        <w:ind w:firstLine="0" w:left="0"/>
        <w:tabs>
          <w:tab w:val="num" w:pos="0" w:leader="none"/>
        </w:tabs>
      </w:pPr>
      <w:rPr/>
    </w:lvl>
    <w:lvl w:ilvl="5">
      <w:start w:val="1"/>
      <w:numFmt w:val="none"/>
      <w:suff w:val="nothing"/>
      <w:lvlText w:val=""/>
      <w:lvlJc w:val="left"/>
      <w:pPr>
        <w:ind w:firstLine="0" w:left="0"/>
        <w:tabs>
          <w:tab w:val="num" w:pos="0" w:leader="none"/>
        </w:tabs>
      </w:pPr>
      <w:rPr/>
    </w:lvl>
    <w:lvl w:ilvl="6">
      <w:start w:val="1"/>
      <w:numFmt w:val="none"/>
      <w:suff w:val="nothing"/>
      <w:lvlText w:val=""/>
      <w:lvlJc w:val="left"/>
      <w:pPr>
        <w:ind w:firstLine="0" w:left="0"/>
        <w:tabs>
          <w:tab w:val="num" w:pos="0" w:leader="none"/>
        </w:tabs>
      </w:pPr>
      <w:rPr/>
    </w:lvl>
    <w:lvl w:ilvl="7">
      <w:start w:val="1"/>
      <w:numFmt w:val="none"/>
      <w:suff w:val="nothing"/>
      <w:lvlText w:val=""/>
      <w:lvlJc w:val="left"/>
      <w:pPr>
        <w:ind w:firstLine="0" w:left="0"/>
        <w:tabs>
          <w:tab w:val="num" w:pos="0" w:leader="none"/>
        </w:tabs>
      </w:pPr>
      <w:rPr/>
    </w:lvl>
    <w:lvl w:ilvl="8">
      <w:start w:val="1"/>
      <w:numFmt w:val="none"/>
      <w:suff w:val="nothing"/>
      <w:lvlText w:val=""/>
      <w:lvlJc w:val="left"/>
      <w:pPr>
        <w:ind w:firstLine="0" w:left="0"/>
        <w:tabs>
          <w:tab w:val="num" w:pos="0" w:leader="none"/>
        </w:tabs>
      </w:pPr>
      <w:rPr/>
    </w:lvl>
  </w:abstractNum>
  <w:abstractNum w:abstractNumId="4">
    <w:nsid w:val="058448C0"/>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5">
    <w:nsid w:val="094B2939"/>
    <w:multiLevelType w:val="hybridMultilevel"/>
    <w:lvl w:ilvl="0" w:tplc="041D0001">
      <w:start w:val="1"/>
      <w:numFmt w:val="bullet"/>
      <w:suff w:val="tab"/>
      <w:lvlText w:val=""/>
      <w:lvlJc w:val="left"/>
      <w:pPr>
        <w:ind w:hanging="360" w:left="720"/>
        <w:tabs>
          <w:tab w:val="num" w:pos="720" w:leader="none"/>
        </w:tabs>
      </w:pPr>
      <w:rPr>
        <w:rFonts w:ascii="Symbol" w:hAnsi="Symbol" w:hint="default"/>
      </w:rPr>
    </w:lvl>
    <w:lvl w:ilvl="1" w:tplc="041D0003">
      <w:start w:val="1"/>
      <w:numFmt w:val="bullet"/>
      <w:suff w:val="tab"/>
      <w:lvlText w:val="o"/>
      <w:lvlJc w:val="left"/>
      <w:pPr>
        <w:ind w:hanging="360" w:left="1440"/>
        <w:tabs>
          <w:tab w:val="num" w:pos="1440" w:leader="none"/>
        </w:tabs>
      </w:pPr>
      <w:rPr>
        <w:rFonts w:ascii="Courier New" w:hAnsi="Courier New" w:cs="Courier New" w:hint="default"/>
      </w:rPr>
    </w:lvl>
    <w:lvl w:ilvl="2" w:tplc="041D0005">
      <w:start w:val="1"/>
      <w:numFmt w:val="bullet"/>
      <w:suff w:val="tab"/>
      <w:lvlText w:val=""/>
      <w:lvlJc w:val="left"/>
      <w:pPr>
        <w:ind w:hanging="360" w:left="2160"/>
        <w:tabs>
          <w:tab w:val="num" w:pos="2160" w:leader="none"/>
        </w:tabs>
      </w:pPr>
      <w:rPr>
        <w:rFonts w:ascii="Wingdings" w:hAnsi="Wingdings" w:hint="default"/>
      </w:rPr>
    </w:lvl>
    <w:lvl w:ilvl="3" w:tplc="041D0001">
      <w:start w:val="1"/>
      <w:numFmt w:val="bullet"/>
      <w:suff w:val="tab"/>
      <w:lvlText w:val=""/>
      <w:lvlJc w:val="left"/>
      <w:pPr>
        <w:ind w:hanging="360" w:left="2880"/>
        <w:tabs>
          <w:tab w:val="num" w:pos="2880" w:leader="none"/>
        </w:tabs>
      </w:pPr>
      <w:rPr>
        <w:rFonts w:ascii="Symbol" w:hAnsi="Symbol" w:hint="default"/>
      </w:rPr>
    </w:lvl>
    <w:lvl w:ilvl="4" w:tplc="041D0003">
      <w:start w:val="1"/>
      <w:numFmt w:val="bullet"/>
      <w:suff w:val="tab"/>
      <w:lvlText w:val="o"/>
      <w:lvlJc w:val="left"/>
      <w:pPr>
        <w:ind w:hanging="360" w:left="3600"/>
        <w:tabs>
          <w:tab w:val="num" w:pos="3600" w:leader="none"/>
        </w:tabs>
      </w:pPr>
      <w:rPr>
        <w:rFonts w:ascii="Courier New" w:hAnsi="Courier New" w:cs="Courier New" w:hint="default"/>
      </w:rPr>
    </w:lvl>
    <w:lvl w:ilvl="5" w:tplc="041D0005">
      <w:start w:val="1"/>
      <w:numFmt w:val="bullet"/>
      <w:suff w:val="tab"/>
      <w:lvlText w:val=""/>
      <w:lvlJc w:val="left"/>
      <w:pPr>
        <w:ind w:hanging="360" w:left="4320"/>
        <w:tabs>
          <w:tab w:val="num" w:pos="4320" w:leader="none"/>
        </w:tabs>
      </w:pPr>
      <w:rPr>
        <w:rFonts w:ascii="Wingdings" w:hAnsi="Wingdings" w:hint="default"/>
      </w:rPr>
    </w:lvl>
    <w:lvl w:ilvl="6" w:tplc="041D0001">
      <w:start w:val="1"/>
      <w:numFmt w:val="bullet"/>
      <w:suff w:val="tab"/>
      <w:lvlText w:val=""/>
      <w:lvlJc w:val="left"/>
      <w:pPr>
        <w:ind w:hanging="360" w:left="5040"/>
        <w:tabs>
          <w:tab w:val="num" w:pos="5040" w:leader="none"/>
        </w:tabs>
      </w:pPr>
      <w:rPr>
        <w:rFonts w:ascii="Symbol" w:hAnsi="Symbol" w:hint="default"/>
      </w:rPr>
    </w:lvl>
    <w:lvl w:ilvl="7" w:tplc="041D0003">
      <w:start w:val="1"/>
      <w:numFmt w:val="bullet"/>
      <w:suff w:val="tab"/>
      <w:lvlText w:val="o"/>
      <w:lvlJc w:val="left"/>
      <w:pPr>
        <w:ind w:hanging="360" w:left="5760"/>
        <w:tabs>
          <w:tab w:val="num" w:pos="5760" w:leader="none"/>
        </w:tabs>
      </w:pPr>
      <w:rPr>
        <w:rFonts w:ascii="Courier New" w:hAnsi="Courier New" w:cs="Courier New" w:hint="default"/>
      </w:rPr>
    </w:lvl>
    <w:lvl w:ilvl="8" w:tplc="041D0005">
      <w:start w:val="1"/>
      <w:numFmt w:val="bullet"/>
      <w:suff w:val="tab"/>
      <w:lvlText w:val=""/>
      <w:lvlJc w:val="left"/>
      <w:pPr>
        <w:ind w:hanging="360" w:left="6480"/>
        <w:tabs>
          <w:tab w:val="num" w:pos="6480" w:leader="none"/>
        </w:tabs>
      </w:pPr>
      <w:rPr>
        <w:rFonts w:ascii="Wingdings" w:hAnsi="Wingdings" w:hint="default"/>
      </w:rPr>
    </w:lvl>
  </w:abstractNum>
  <w:abstractNum w:abstractNumId="6">
    <w:nsid w:val="23E82F21"/>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7">
    <w:nsid w:val="3E267E5C"/>
    <w:multiLevelType w:val="hybridMultilevel"/>
    <w:lvl w:ilvl="0" w:tplc="66625DAE">
      <w:start w:val="0"/>
      <w:numFmt w:val="bullet"/>
      <w:suff w:val="tab"/>
      <w:lvlText w:val="-"/>
      <w:lvlJc w:val="left"/>
      <w:pPr>
        <w:ind w:hanging="360" w:left="720"/>
      </w:pPr>
      <w:rPr>
        <w:rFonts w:ascii="Times New Roman" w:hAnsi="Times New Roman"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8">
    <w:nsid w:val="476520E8"/>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9">
    <w:nsid w:val="50EC21A0"/>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0">
    <w:nsid w:val="5C207594"/>
    <w:multiLevelType w:val="hybridMultilevel"/>
    <w:lvl w:ilvl="0" w:tplc="041D000F">
      <w:start w:val="1"/>
      <w:numFmt w:val="decimal"/>
      <w:suff w:val="tab"/>
      <w:lvlText w:val="%1."/>
      <w:lvlJc w:val="left"/>
      <w:pPr>
        <w:ind w:hanging="360" w:left="720"/>
        <w:tabs>
          <w:tab w:val="num" w:pos="720" w:leader="none"/>
        </w:tabs>
      </w:pPr>
      <w:rPr/>
    </w:lvl>
    <w:lvl w:ilvl="1" w:tplc="041D0019">
      <w:start w:val="1"/>
      <w:numFmt w:val="lowerLetter"/>
      <w:suff w:val="tab"/>
      <w:lvlText w:val="%2."/>
      <w:lvlJc w:val="left"/>
      <w:pPr>
        <w:ind w:hanging="360" w:left="1440"/>
        <w:tabs>
          <w:tab w:val="num" w:pos="1440" w:leader="none"/>
        </w:tabs>
      </w:pPr>
      <w:rPr/>
    </w:lvl>
    <w:lvl w:ilvl="2" w:tplc="041D001B">
      <w:start w:val="1"/>
      <w:numFmt w:val="lowerRoman"/>
      <w:suff w:val="tab"/>
      <w:lvlText w:val="%3."/>
      <w:lvlJc w:val="right"/>
      <w:pPr>
        <w:ind w:hanging="180" w:left="2160"/>
        <w:tabs>
          <w:tab w:val="num" w:pos="2160" w:leader="none"/>
        </w:tabs>
      </w:pPr>
      <w:rPr/>
    </w:lvl>
    <w:lvl w:ilvl="3" w:tplc="041D000F">
      <w:start w:val="1"/>
      <w:numFmt w:val="decimal"/>
      <w:suff w:val="tab"/>
      <w:lvlText w:val="%4."/>
      <w:lvlJc w:val="left"/>
      <w:pPr>
        <w:ind w:hanging="360" w:left="2880"/>
        <w:tabs>
          <w:tab w:val="num" w:pos="2880" w:leader="none"/>
        </w:tabs>
      </w:pPr>
      <w:rPr/>
    </w:lvl>
    <w:lvl w:ilvl="4" w:tplc="041D0019">
      <w:start w:val="1"/>
      <w:numFmt w:val="lowerLetter"/>
      <w:suff w:val="tab"/>
      <w:lvlText w:val="%5."/>
      <w:lvlJc w:val="left"/>
      <w:pPr>
        <w:ind w:hanging="360" w:left="3600"/>
        <w:tabs>
          <w:tab w:val="num" w:pos="3600" w:leader="none"/>
        </w:tabs>
      </w:pPr>
      <w:rPr/>
    </w:lvl>
    <w:lvl w:ilvl="5" w:tplc="041D001B">
      <w:start w:val="1"/>
      <w:numFmt w:val="lowerRoman"/>
      <w:suff w:val="tab"/>
      <w:lvlText w:val="%6."/>
      <w:lvlJc w:val="right"/>
      <w:pPr>
        <w:ind w:hanging="180" w:left="4320"/>
        <w:tabs>
          <w:tab w:val="num" w:pos="4320" w:leader="none"/>
        </w:tabs>
      </w:pPr>
      <w:rPr/>
    </w:lvl>
    <w:lvl w:ilvl="6" w:tplc="041D000F">
      <w:start w:val="1"/>
      <w:numFmt w:val="decimal"/>
      <w:suff w:val="tab"/>
      <w:lvlText w:val="%7."/>
      <w:lvlJc w:val="left"/>
      <w:pPr>
        <w:ind w:hanging="360" w:left="5040"/>
        <w:tabs>
          <w:tab w:val="num" w:pos="5040" w:leader="none"/>
        </w:tabs>
      </w:pPr>
      <w:rPr/>
    </w:lvl>
    <w:lvl w:ilvl="7" w:tplc="041D0019">
      <w:start w:val="1"/>
      <w:numFmt w:val="lowerLetter"/>
      <w:suff w:val="tab"/>
      <w:lvlText w:val="%8."/>
      <w:lvlJc w:val="left"/>
      <w:pPr>
        <w:ind w:hanging="360" w:left="5760"/>
        <w:tabs>
          <w:tab w:val="num" w:pos="5760" w:leader="none"/>
        </w:tabs>
      </w:pPr>
      <w:rPr/>
    </w:lvl>
    <w:lvl w:ilvl="8" w:tplc="041D001B">
      <w:start w:val="1"/>
      <w:numFmt w:val="lowerRoman"/>
      <w:suff w:val="tab"/>
      <w:lvlText w:val="%9."/>
      <w:lvlJc w:val="right"/>
      <w:pPr>
        <w:ind w:hanging="180" w:left="6480"/>
        <w:tabs>
          <w:tab w:val="num" w:pos="6480" w:leader="none"/>
        </w:tabs>
      </w:pPr>
      <w:rPr/>
    </w:lvl>
  </w:abstractNum>
  <w:num w:numId="1">
    <w:abstractNumId w:val="0"/>
  </w:num>
  <w:num w:numId="2">
    <w:abstractNumId w:val="1"/>
  </w:num>
  <w:num w:numId="3">
    <w:abstractNumId w:val="2"/>
  </w:num>
  <w:num w:numId="4">
    <w:abstractNumId w:val="3"/>
  </w:num>
  <w:num w:numId="5">
    <w:abstractNumId w:val="0"/>
  </w:num>
  <w:num w:numId="6">
    <w:abstractNumId w:val="5"/>
  </w:num>
  <w:num w:numId="7">
    <w:abstractNumId w:val="10"/>
  </w:num>
  <w:num w:numId="8">
    <w:abstractNumId w:val="0"/>
  </w:num>
  <w:num w:numId="9">
    <w:abstractNumId w:val="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6"/>
  </w:num>
  <w:num w:numId="13">
    <w:abstractNumId w:val="4"/>
  </w:num>
  <w:num w:numId="14">
    <w:abstractNumId w:val="8"/>
  </w:num>
  <w:num w:numId="15">
    <w:abstractNumId w:val="7"/>
  </w:num>
</w:numbering>
</file>

<file path=word/settings.xml><?xml version="1.0" encoding="utf-8"?>
<w:settings xmlns:w="http://schemas.openxmlformats.org/wordprocessingml/2006/main">
  <w:displayBackgroundShape w:val="0"/>
  <w:defaultTabStop w:val="1304"/>
  <w:autoHyphenation w:val="1"/>
  <w:hyphenationZone w:val="425"/>
  <w:evenAndOddHeaders w:val="1"/>
  <w:compat>
    <w:doNotExpandShiftReturn/>
    <w:balanceSingleByteDoubleByteWidth/>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footnotePr>
    <w:pos w:val="beneathText"/>
    <w:footnote w:id="-1"/>
    <w:footnote w:id="0"/>
  </w:footnotePr>
  <w:endnotePr>
    <w:endnote w:id="-1"/>
    <w:endnote w:id="0"/>
  </w:endnotePr>
</w:settings>
</file>

<file path=word/styles.xml><?xml version="1.0" encoding="utf-8"?>
<w:styles xmlns:w="http://schemas.openxmlformats.org/wordprocessingml/2006/main">
  <w:docDefaults>
    <w:rPrDefault>
      <w:rPr>
        <w:rFonts w:ascii="Times New Roman" w:hAnsi="Times New Roman" w:cs="Times New Roman" w:eastAsia="Times New Roman"/>
        <w:sz w:val="20"/>
        <w:szCs w:val="22"/>
        <w:lang w:val="sv-SE" w:bidi="ar-SA" w:eastAsia="sv-SE"/>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ind w:right="1916"/>
    </w:pPr>
    <w:rPr>
      <w:sz w:val="24"/>
      <w:szCs w:val="24"/>
      <w:lang w:eastAsia="ar-SA"/>
    </w:rPr>
  </w:style>
  <w:style w:type="paragraph" w:styleId="P1">
    <w:name w:val="Heading 1"/>
    <w:basedOn w:val="P0"/>
    <w:next w:val="P0"/>
    <w:qFormat/>
    <w:pPr>
      <w:keepNext w:val="1"/>
      <w:numPr>
        <w:numId w:val="1"/>
      </w:numPr>
      <w:spacing w:lineRule="auto" w:line="360" w:beforeAutospacing="0" w:afterAutospacing="0"/>
      <w:ind w:left="142" w:right="811"/>
      <w:outlineLvl w:val="0"/>
    </w:pPr>
    <w:rPr>
      <w:rFonts w:ascii="Arial" w:hAnsi="Arial" w:cs="Arial"/>
      <w:sz w:val="32"/>
      <w:spacing w:val="20"/>
    </w:rPr>
  </w:style>
  <w:style w:type="paragraph" w:styleId="P2">
    <w:name w:val="Heading 2"/>
    <w:basedOn w:val="P0"/>
    <w:next w:val="P0"/>
    <w:qFormat/>
    <w:pPr>
      <w:keepNext w:val="1"/>
      <w:numPr>
        <w:ilvl w:val="1"/>
        <w:numId w:val="1"/>
      </w:numPr>
      <w:tabs>
        <w:tab w:val="left" w:pos="7371" w:leader="none"/>
      </w:tabs>
      <w:spacing w:lineRule="atLeast" w:line="100" w:before="227" w:after="120" w:beforeAutospacing="0" w:afterAutospacing="0"/>
      <w:outlineLvl w:val="1"/>
    </w:pPr>
    <w:rPr>
      <w:rFonts w:ascii="Arial" w:hAnsi="Arial"/>
      <w:b w:val="1"/>
      <w:sz w:val="28"/>
    </w:rPr>
  </w:style>
  <w:style w:type="paragraph" w:styleId="P3">
    <w:name w:val="Heading 3"/>
    <w:basedOn w:val="P0"/>
    <w:next w:val="P0"/>
    <w:qFormat/>
    <w:pPr>
      <w:keepNext w:val="1"/>
      <w:numPr>
        <w:ilvl w:val="2"/>
        <w:numId w:val="1"/>
      </w:numPr>
      <w:tabs>
        <w:tab w:val="num" w:pos="7371" w:leader="none"/>
      </w:tabs>
      <w:spacing w:before="170" w:after="120" w:beforeAutospacing="0" w:afterAutospacing="0"/>
      <w:outlineLvl w:val="2"/>
    </w:pPr>
    <w:rPr>
      <w:rFonts w:ascii="Arial" w:hAnsi="Arial" w:cs="Arial"/>
      <w:b w:val="1"/>
      <w:bCs w:val="1"/>
    </w:rPr>
  </w:style>
  <w:style w:type="paragraph" w:styleId="P4">
    <w:name w:val="Heading 4"/>
    <w:basedOn w:val="P0"/>
    <w:next w:val="P0"/>
    <w:qFormat/>
    <w:pPr>
      <w:keepNext w:val="1"/>
      <w:numPr>
        <w:ilvl w:val="3"/>
        <w:numId w:val="1"/>
      </w:numPr>
      <w:tabs>
        <w:tab w:val="num" w:pos="7371" w:leader="none"/>
      </w:tabs>
      <w:spacing w:before="170" w:after="80" w:beforeAutospacing="0" w:afterAutospacing="0"/>
      <w:ind w:right="1871"/>
      <w:outlineLvl w:val="3"/>
    </w:pPr>
    <w:rPr>
      <w:rFonts w:ascii="Arial" w:hAnsi="Arial" w:cs="Arial"/>
      <w:i w:val="1"/>
      <w:sz w:val="22"/>
    </w:rPr>
  </w:style>
  <w:style w:type="paragraph" w:styleId="P5">
    <w:name w:val="Heading 5"/>
    <w:basedOn w:val="P0"/>
    <w:next w:val="P0"/>
    <w:qFormat/>
    <w:pPr>
      <w:keepNext w:val="1"/>
      <w:numPr>
        <w:ilvl w:val="4"/>
        <w:numId w:val="1"/>
      </w:numPr>
      <w:ind w:right="0"/>
      <w:outlineLvl w:val="4"/>
    </w:pPr>
    <w:rPr>
      <w:b w:val="1"/>
      <w:bCs w:val="1"/>
      <w:sz w:val="22"/>
    </w:rPr>
  </w:style>
  <w:style w:type="paragraph" w:styleId="P6">
    <w:name w:val="Heading 6"/>
    <w:basedOn w:val="P0"/>
    <w:next w:val="P0"/>
    <w:qFormat/>
    <w:pPr>
      <w:keepNext w:val="1"/>
      <w:numPr>
        <w:ilvl w:val="5"/>
        <w:numId w:val="1"/>
      </w:numPr>
      <w:ind w:right="0"/>
      <w:outlineLvl w:val="5"/>
    </w:pPr>
    <w:rPr>
      <w:i w:val="1"/>
      <w:iCs w:val="1"/>
      <w:sz w:val="20"/>
    </w:rPr>
  </w:style>
  <w:style w:type="paragraph" w:styleId="P7">
    <w:name w:val="Heading 7"/>
    <w:basedOn w:val="P0"/>
    <w:next w:val="P0"/>
    <w:qFormat/>
    <w:pPr>
      <w:keepNext w:val="1"/>
      <w:numPr>
        <w:ilvl w:val="6"/>
        <w:numId w:val="1"/>
      </w:numPr>
      <w:ind w:right="0"/>
      <w:jc w:val="center"/>
      <w:outlineLvl w:val="6"/>
    </w:pPr>
    <w:rPr>
      <w:rFonts w:ascii="Arial Narrow" w:hAnsi="Arial Narrow"/>
      <w:b w:val="1"/>
      <w:bCs w:val="1"/>
      <w:color w:val="FFFFFF"/>
    </w:rPr>
  </w:style>
  <w:style w:type="paragraph" w:styleId="P8">
    <w:name w:val="Heading 8"/>
    <w:basedOn w:val="P0"/>
    <w:next w:val="P0"/>
    <w:qFormat/>
    <w:pPr>
      <w:keepNext w:val="1"/>
      <w:numPr>
        <w:ilvl w:val="7"/>
        <w:numId w:val="1"/>
      </w:numPr>
      <w:ind w:right="0"/>
      <w:outlineLvl w:val="7"/>
    </w:pPr>
    <w:rPr>
      <w:rFonts w:ascii="Arial Narrow" w:hAnsi="Arial Narrow"/>
      <w:b w:val="1"/>
      <w:bCs w:val="1"/>
      <w:color w:val="FFFFFF"/>
    </w:rPr>
  </w:style>
  <w:style w:type="paragraph" w:styleId="P9">
    <w:name w:val="Heading 9"/>
    <w:basedOn w:val="P0"/>
    <w:next w:val="P0"/>
    <w:qFormat/>
    <w:pPr>
      <w:keepNext w:val="1"/>
      <w:numPr>
        <w:ilvl w:val="8"/>
        <w:numId w:val="1"/>
      </w:numPr>
      <w:ind w:right="0"/>
      <w:jc w:val="both"/>
      <w:outlineLvl w:val="8"/>
    </w:pPr>
    <w:rPr>
      <w:b w:val="1"/>
      <w:bCs w:val="1"/>
    </w:rPr>
  </w:style>
  <w:style w:type="paragraph" w:styleId="P10">
    <w:name w:val="No Spacing"/>
    <w:link w:val="C37"/>
    <w:qFormat/>
    <w:pPr/>
    <w:rPr>
      <w:rFonts w:ascii="Calibri" w:hAnsi="Calibri"/>
      <w:sz w:val="22"/>
      <w:szCs w:val="22"/>
    </w:rPr>
  </w:style>
  <w:style w:type="paragraph" w:styleId="P11">
    <w:name w:val="Rubrik1"/>
    <w:basedOn w:val="P0"/>
    <w:next w:val="P12"/>
    <w:pPr>
      <w:keepNext w:val="1"/>
      <w:spacing w:before="240" w:after="120" w:beforeAutospacing="0" w:afterAutospacing="0"/>
    </w:pPr>
    <w:rPr>
      <w:rFonts w:ascii="Arial" w:hAnsi="Arial" w:cs="Tahoma" w:eastAsia="MS Mincho"/>
      <w:sz w:val="28"/>
      <w:szCs w:val="28"/>
    </w:rPr>
  </w:style>
  <w:style w:type="paragraph" w:styleId="P12">
    <w:name w:val="Body Text"/>
    <w:basedOn w:val="P0"/>
    <w:pPr>
      <w:spacing w:after="119" w:beforeAutospacing="0" w:afterAutospacing="0"/>
    </w:pPr>
    <w:rPr>
      <w:rFonts w:cs="Arial"/>
      <w:bCs w:val="1"/>
      <w:color w:val="FFFFFF"/>
    </w:rPr>
  </w:style>
  <w:style w:type="paragraph" w:styleId="P13">
    <w:name w:val="List"/>
    <w:basedOn w:val="P12"/>
    <w:pPr/>
    <w:rPr>
      <w:rFonts w:cs="Tahoma"/>
    </w:rPr>
  </w:style>
  <w:style w:type="paragraph" w:styleId="P14">
    <w:name w:val="Bildtext"/>
    <w:basedOn w:val="P0"/>
    <w:pPr>
      <w:suppressLineNumbers w:val="1"/>
      <w:spacing w:before="120" w:after="120" w:beforeAutospacing="0" w:afterAutospacing="0"/>
    </w:pPr>
    <w:rPr>
      <w:rFonts w:cs="Tahoma"/>
      <w:i w:val="1"/>
      <w:iCs w:val="1"/>
    </w:rPr>
  </w:style>
  <w:style w:type="paragraph" w:styleId="P15">
    <w:name w:val="Förteckning"/>
    <w:basedOn w:val="P0"/>
    <w:pPr>
      <w:suppressLineNumbers w:val="1"/>
    </w:pPr>
    <w:rPr>
      <w:rFonts w:cs="Tahoma"/>
    </w:rPr>
  </w:style>
  <w:style w:type="paragraph" w:styleId="P16">
    <w:name w:val="Title"/>
    <w:basedOn w:val="P11"/>
    <w:next w:val="P17"/>
    <w:qFormat/>
    <w:pPr>
      <w:ind w:left="142" w:right="3941"/>
    </w:pPr>
    <w:rPr>
      <w:sz w:val="36"/>
      <w:spacing w:val="20"/>
    </w:rPr>
  </w:style>
  <w:style w:type="paragraph" w:styleId="P17">
    <w:name w:val="Subtitle"/>
    <w:basedOn w:val="P11"/>
    <w:next w:val="P12"/>
    <w:qFormat/>
    <w:pPr>
      <w:jc w:val="center"/>
    </w:pPr>
    <w:rPr>
      <w:i w:val="1"/>
      <w:iCs w:val="1"/>
    </w:rPr>
  </w:style>
  <w:style w:type="paragraph" w:styleId="P18">
    <w:name w:val="Footer"/>
    <w:basedOn w:val="P0"/>
    <w:pPr>
      <w:tabs>
        <w:tab w:val="right" w:pos="9072" w:leader="none"/>
      </w:tabs>
      <w:ind w:right="0"/>
    </w:pPr>
    <w:rPr/>
  </w:style>
  <w:style w:type="paragraph" w:styleId="P19">
    <w:name w:val="Raminnehåll"/>
    <w:basedOn w:val="P12"/>
    <w:pPr>
      <w:spacing w:before="57" w:after="57" w:beforeAutospacing="0" w:afterAutospacing="0"/>
      <w:ind w:left="57" w:right="57"/>
    </w:pPr>
    <w:rPr>
      <w:color w:val="000000"/>
    </w:rPr>
  </w:style>
  <w:style w:type="paragraph" w:styleId="P20">
    <w:name w:val="Header"/>
    <w:basedOn w:val="P0"/>
    <w:pPr>
      <w:suppressLineNumbers w:val="1"/>
      <w:tabs>
        <w:tab w:val="center" w:pos="4080" w:leader="none"/>
        <w:tab w:val="right" w:pos="8160" w:leader="none"/>
      </w:tabs>
    </w:pPr>
    <w:rPr/>
  </w:style>
  <w:style w:type="paragraph" w:styleId="P21">
    <w:name w:val="Tabellinnehåll"/>
    <w:basedOn w:val="P0"/>
    <w:pPr>
      <w:suppressLineNumbers w:val="1"/>
    </w:pPr>
    <w:rPr/>
  </w:style>
  <w:style w:type="paragraph" w:styleId="P22">
    <w:name w:val="Tabellrubrik"/>
    <w:basedOn w:val="P21"/>
    <w:pPr>
      <w:jc w:val="center"/>
    </w:pPr>
    <w:rPr>
      <w:b w:val="1"/>
      <w:bCs w:val="1"/>
    </w:rPr>
  </w:style>
  <w:style w:type="paragraph" w:styleId="P23">
    <w:name w:val="RUBRIK1"/>
    <w:basedOn w:val="P0"/>
    <w:pPr>
      <w:tabs>
        <w:tab w:val="left" w:pos="0" w:leader="none"/>
      </w:tabs>
      <w:spacing w:lineRule="atLeast" w:line="100" w:before="227" w:after="57" w:beforeAutospacing="0" w:afterAutospacing="0"/>
    </w:pPr>
    <w:rPr>
      <w:rFonts w:ascii="Arial" w:hAnsi="Arial"/>
      <w:b w:val="1"/>
      <w:bCs w:val="1"/>
      <w:sz w:val="28"/>
      <w:szCs w:val="28"/>
    </w:rPr>
  </w:style>
  <w:style w:type="paragraph" w:styleId="P24">
    <w:name w:val="SAMMANFATTNING"/>
    <w:basedOn w:val="P0"/>
    <w:pPr>
      <w:tabs>
        <w:tab w:val="left" w:pos="0" w:leader="none"/>
      </w:tabs>
      <w:spacing w:lineRule="atLeast" w:line="200" w:beforeAutospacing="0" w:afterAutospacing="0"/>
    </w:pPr>
    <w:rPr>
      <w:rFonts w:ascii="Garamond" w:hAnsi="Garamond"/>
      <w:i w:val="1"/>
      <w:iCs w:val="1"/>
    </w:rPr>
  </w:style>
  <w:style w:type="paragraph" w:styleId="P25">
    <w:name w:val="DOKUMENTTITEL"/>
    <w:basedOn w:val="P4"/>
    <w:pPr>
      <w:numPr>
        <w:numId w:val="0"/>
      </w:numPr>
      <w:tabs>
        <w:tab w:val="left" w:pos="0" w:leader="none"/>
      </w:tabs>
    </w:pPr>
    <w:rPr>
      <w:rFonts w:cs="Times New Roman"/>
      <w:sz w:val="36"/>
      <w:szCs w:val="56"/>
      <w:spacing w:val="80"/>
    </w:rPr>
  </w:style>
  <w:style w:type="paragraph" w:styleId="P26">
    <w:name w:val="DETALJPLANENAMN"/>
    <w:basedOn w:val="P2"/>
    <w:pPr>
      <w:numPr>
        <w:numId w:val="0"/>
      </w:numPr>
      <w:tabs>
        <w:tab w:val="left" w:pos="0" w:leader="none"/>
      </w:tabs>
      <w:spacing w:lineRule="auto" w:line="360" w:beforeAutospacing="0" w:afterAutospacing="0"/>
    </w:pPr>
    <w:rPr>
      <w:b w:val="0"/>
      <w:bCs w:val="1"/>
      <w:sz w:val="40"/>
      <w:szCs w:val="32"/>
      <w:spacing w:val="60"/>
    </w:rPr>
  </w:style>
  <w:style w:type="paragraph" w:styleId="P27">
    <w:name w:val="Balloon Text"/>
    <w:basedOn w:val="P0"/>
    <w:link w:val="C38"/>
    <w:pPr/>
    <w:rPr>
      <w:rFonts w:ascii="Tahoma" w:hAnsi="Tahoma" w:cs="Tahoma"/>
      <w:sz w:val="16"/>
      <w:szCs w:val="16"/>
    </w:rPr>
  </w:style>
  <w:style w:type="paragraph" w:styleId="P28">
    <w:name w:val="RUBRIK2"/>
    <w:basedOn w:val="P5"/>
    <w:pPr>
      <w:numPr>
        <w:numId w:val="0"/>
      </w:numPr>
      <w:tabs>
        <w:tab w:val="left" w:pos="0" w:leader="none"/>
      </w:tabs>
      <w:spacing w:before="170" w:after="57" w:beforeAutospacing="0" w:afterAutospacing="0"/>
    </w:pPr>
    <w:rPr>
      <w:rFonts w:ascii="Arial" w:hAnsi="Arial"/>
    </w:rPr>
  </w:style>
  <w:style w:type="paragraph" w:styleId="P29">
    <w:name w:val="RUBRIK3"/>
    <w:basedOn w:val="P0"/>
    <w:pPr>
      <w:spacing w:before="170" w:after="57" w:beforeAutospacing="0" w:afterAutospacing="0"/>
    </w:pPr>
    <w:rPr>
      <w:rFonts w:ascii="Arial" w:hAnsi="Arial"/>
      <w:b w:val="1"/>
      <w:i w:val="1"/>
      <w:iCs w:val="1"/>
      <w:sz w:val="22"/>
    </w:rPr>
  </w:style>
  <w:style w:type="paragraph" w:styleId="P30">
    <w:name w:val="Rubrik 10"/>
    <w:basedOn w:val="P11"/>
    <w:next w:val="P12"/>
    <w:pPr>
      <w:numPr>
        <w:numId w:val="2"/>
      </w:numPr>
    </w:pPr>
    <w:rPr>
      <w:b w:val="1"/>
      <w:bCs w:val="1"/>
      <w:sz w:val="21"/>
      <w:szCs w:val="21"/>
    </w:rPr>
  </w:style>
  <w:style w:type="paragraph" w:styleId="P31">
    <w:name w:val="DETALJPLANENS NAMN"/>
    <w:basedOn w:val="P2"/>
    <w:pPr>
      <w:numPr>
        <w:numId w:val="0"/>
      </w:numPr>
      <w:tabs>
        <w:tab w:val="left" w:pos="0" w:leader="none"/>
      </w:tabs>
      <w:spacing w:lineRule="auto" w:line="360" w:beforeAutospacing="0" w:afterAutospacing="0"/>
    </w:pPr>
    <w:rPr>
      <w:b w:val="0"/>
      <w:bCs w:val="1"/>
      <w:szCs w:val="32"/>
    </w:rPr>
  </w:style>
  <w:style w:type="paragraph" w:styleId="P32">
    <w:name w:val="Normal (Web)"/>
    <w:basedOn w:val="P0"/>
    <w:pPr>
      <w:spacing w:before="100" w:after="119" w:beforeAutospacing="1" w:afterAutospacing="0"/>
      <w:ind w:right="0"/>
    </w:pPr>
    <w:rPr>
      <w:lang w:eastAsia="sv-SE"/>
    </w:rPr>
  </w:style>
  <w:style w:type="paragraph" w:styleId="P33">
    <w:name w:val="SidhuvudSid1"/>
    <w:pPr/>
    <w:rPr>
      <w:rFonts w:ascii="Arial" w:hAnsi="Arial"/>
      <w:sz w:val="16"/>
      <w:szCs w:val="24"/>
    </w:rPr>
  </w:style>
  <w:style w:type="paragraph" w:styleId="P34">
    <w:name w:val="löptext"/>
    <w:basedOn w:val="P0"/>
    <w:pPr>
      <w:widowControl w:val="0"/>
      <w:spacing w:after="120" w:beforeAutospacing="0" w:afterAutospacing="0"/>
      <w:ind w:right="1701"/>
    </w:pPr>
    <w:rPr>
      <w:szCs w:val="16"/>
      <w:lang w:eastAsia="sv-SE"/>
    </w:rPr>
  </w:style>
  <w:style w:type="paragraph" w:styleId="P35">
    <w:name w:val="TOC Heading"/>
    <w:basedOn w:val="P1"/>
    <w:next w:val="P0"/>
    <w:qFormat/>
    <w:pPr>
      <w:keepLines w:val="1"/>
      <w:numPr>
        <w:numId w:val="0"/>
      </w:numPr>
      <w:spacing w:lineRule="auto" w:line="259" w:before="240" w:beforeAutospacing="0" w:afterAutospacing="0"/>
      <w:ind w:right="0"/>
      <w:outlineLvl w:val="9"/>
    </w:pPr>
    <w:rPr>
      <w:rFonts w:asciiTheme="majorHAnsi" w:hAnsiTheme="majorHAnsi" w:cstheme="majorBidi" w:eastAsiaTheme="majorEastAsia"/>
      <w:color w:val="2F5496" w:themeColor="accent1" w:themeShade="BF"/>
      <w:szCs w:val="32"/>
      <w:spacing w:val="0"/>
      <w:lang w:eastAsia="sv-SE"/>
    </w:rPr>
  </w:style>
  <w:style w:type="paragraph" w:styleId="P36">
    <w:name w:val="TOC 1"/>
    <w:basedOn w:val="P0"/>
    <w:next w:val="P0"/>
    <w:pPr>
      <w:tabs>
        <w:tab w:val="right" w:pos="9275" w:leader="dot"/>
      </w:tabs>
      <w:spacing w:after="100" w:beforeAutospacing="0" w:afterAutospacing="0"/>
      <w:ind w:right="3941"/>
    </w:pPr>
    <w:rPr/>
  </w:style>
  <w:style w:type="paragraph" w:styleId="P37">
    <w:name w:val="TOC 2"/>
    <w:basedOn w:val="P0"/>
    <w:next w:val="P0"/>
    <w:pPr>
      <w:tabs>
        <w:tab w:val="right" w:pos="9275" w:leader="dot"/>
      </w:tabs>
      <w:spacing w:after="100" w:beforeAutospacing="0" w:afterAutospacing="0"/>
      <w:ind w:left="238"/>
    </w:pPr>
    <w:rPr/>
  </w:style>
  <w:style w:type="paragraph" w:styleId="P38">
    <w:name w:val="TOC 3"/>
    <w:basedOn w:val="P0"/>
    <w:next w:val="P0"/>
    <w:pPr>
      <w:spacing w:after="100" w:beforeAutospacing="0" w:afterAutospacing="0"/>
      <w:ind w:left="480"/>
    </w:pPr>
    <w:rPr/>
  </w:style>
  <w:style w:type="paragraph" w:styleId="P39">
    <w:name w:val="annotation text"/>
    <w:basedOn w:val="P0"/>
    <w:link w:val="C40"/>
    <w:pPr/>
    <w:rPr>
      <w:sz w:val="20"/>
      <w:szCs w:val="20"/>
    </w:rPr>
  </w:style>
  <w:style w:type="paragraph" w:styleId="P40">
    <w:name w:val="annotation subject"/>
    <w:basedOn w:val="P39"/>
    <w:next w:val="P39"/>
    <w:link w:val="C41"/>
    <w:pPr/>
    <w:rPr>
      <w:b w:val="1"/>
      <w:bCs w:val="1"/>
    </w:rPr>
  </w:style>
  <w:style w:type="paragraph" w:styleId="P41">
    <w:name w:val="paragraph"/>
    <w:basedOn w:val="P0"/>
    <w:pPr>
      <w:spacing w:before="100" w:after="100" w:beforeAutospacing="1" w:afterAutospacing="1"/>
      <w:ind w:right="0"/>
    </w:pPr>
    <w:rPr>
      <w:lang w:eastAsia="sv-SE"/>
    </w:rPr>
  </w:style>
  <w:style w:type="paragraph" w:styleId="P42">
    <w:name w:val="List Paragraph"/>
    <w:basedOn w:val="P0"/>
    <w:qFormat/>
    <w:pPr>
      <w:ind w:left="720" w:right="0"/>
      <w:contextualSpacing w:val="1"/>
    </w:pPr>
    <w:rPr>
      <w:lang w:eastAsia="sv-SE"/>
    </w:rPr>
  </w:style>
  <w:style w:type="paragraph" w:styleId="P43">
    <w:name w:val="Caption"/>
    <w:basedOn w:val="P0"/>
    <w:next w:val="P0"/>
    <w:qFormat/>
    <w:pPr>
      <w:spacing w:after="200" w:beforeAutospacing="0" w:afterAutospacing="0"/>
    </w:pPr>
    <w:rPr>
      <w:i w:val="1"/>
      <w:iCs w:val="1"/>
      <w:color w:val="44546A" w:themeColor="text2"/>
      <w:sz w:val="18"/>
      <w:szCs w:val="18"/>
    </w:rPr>
  </w:style>
  <w:style w:type="paragraph" w:styleId="P44">
    <w:name w:val="Revision"/>
    <w:hidden/>
    <w:semiHidden/>
    <w:pPr/>
    <w:rPr>
      <w:sz w:val="24"/>
      <w:szCs w:val="24"/>
      <w:lang w:eastAsia="ar-SA"/>
    </w:rPr>
  </w:style>
  <w:style w:type="paragraph" w:styleId="P45">
    <w:name w:val="Footnote Text"/>
    <w:basedOn w:val="P0"/>
    <w:link w:val="C44"/>
    <w:pPr/>
    <w:rPr>
      <w:sz w:val="20"/>
      <w:szCs w:val="20"/>
    </w:rPr>
  </w:style>
  <w:style w:type="paragraph" w:styleId="P46">
    <w:name w:val="Endnote Text"/>
    <w:link w:val="C48"/>
    <w:semiHidden/>
    <w:pPr>
      <w:spacing w:lineRule="auto" w:line="240" w:after="0" w:beforeAutospacing="0" w:afterAutospacing="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563C1" w:themeColor="hyperlink"/>
      <w:u w:val="single"/>
    </w:rPr>
  </w:style>
  <w:style w:type="character" w:styleId="C3">
    <w:name w:val="WW8Num3z0"/>
    <w:rPr>
      <w:rFonts w:ascii="Symbol" w:hAnsi="Symbol"/>
    </w:rPr>
  </w:style>
  <w:style w:type="character" w:styleId="C4">
    <w:name w:val="WW8Num4z1"/>
    <w:rPr>
      <w:rFonts w:ascii="Symbol" w:hAnsi="Symbol" w:cs="StarSymbol"/>
      <w:sz w:val="18"/>
      <w:szCs w:val="18"/>
    </w:rPr>
  </w:style>
  <w:style w:type="character" w:styleId="C5">
    <w:name w:val="WW-Absatz-Standardschriftart"/>
    <w:rPr/>
  </w:style>
  <w:style w:type="character" w:styleId="C6">
    <w:name w:val="WW8Num2z0"/>
    <w:rPr>
      <w:rFonts w:ascii="Symbol" w:hAnsi="Symbol"/>
    </w:rPr>
  </w:style>
  <w:style w:type="character" w:styleId="C7">
    <w:name w:val="WW8Num3z1"/>
    <w:rPr>
      <w:rFonts w:ascii="Symbol" w:hAnsi="Symbol" w:cs="StarSymbol"/>
      <w:sz w:val="18"/>
      <w:szCs w:val="18"/>
    </w:rPr>
  </w:style>
  <w:style w:type="character" w:styleId="C8">
    <w:name w:val="WW-Absatz-Standardschriftart1"/>
    <w:rPr/>
  </w:style>
  <w:style w:type="character" w:styleId="C9">
    <w:name w:val="WW8Num1z1"/>
    <w:rPr>
      <w:rFonts w:ascii="Courier New" w:hAnsi="Courier New"/>
    </w:rPr>
  </w:style>
  <w:style w:type="character" w:styleId="C10">
    <w:name w:val="WW-Absatz-Standardschriftart11"/>
    <w:rPr/>
  </w:style>
  <w:style w:type="character" w:styleId="C11">
    <w:name w:val="WW-Absatz-Standardschriftart111"/>
    <w:rPr/>
  </w:style>
  <w:style w:type="character" w:styleId="C12">
    <w:name w:val="WW-Absatz-Standardschriftart1111"/>
    <w:rPr/>
  </w:style>
  <w:style w:type="character" w:styleId="C13">
    <w:name w:val="WW-Absatz-Standardschriftart11111"/>
    <w:rPr/>
  </w:style>
  <w:style w:type="character" w:styleId="C14">
    <w:name w:val="WW-Absatz-Standardschriftart111111"/>
    <w:rPr/>
  </w:style>
  <w:style w:type="character" w:styleId="C15">
    <w:name w:val="WW-Absatz-Standardschriftart1111111"/>
    <w:rPr/>
  </w:style>
  <w:style w:type="character" w:styleId="C16">
    <w:name w:val="WW-Absatz-Standardschriftart11111111"/>
    <w:rPr/>
  </w:style>
  <w:style w:type="character" w:styleId="C17">
    <w:name w:val="WW-Absatz-Standardschriftart111111111"/>
    <w:rPr/>
  </w:style>
  <w:style w:type="character" w:styleId="C18">
    <w:name w:val="WW-Absatz-Standardschriftart1111111111"/>
    <w:rPr/>
  </w:style>
  <w:style w:type="character" w:styleId="C19">
    <w:name w:val="WW-Absatz-Standardschriftart11111111111"/>
    <w:rPr/>
  </w:style>
  <w:style w:type="character" w:styleId="C20">
    <w:name w:val="WW-Absatz-Standardschriftart111111111111"/>
    <w:rPr/>
  </w:style>
  <w:style w:type="character" w:styleId="C21">
    <w:name w:val="WW-Absatz-Standardschriftart1111111111111"/>
    <w:rPr/>
  </w:style>
  <w:style w:type="character" w:styleId="C22">
    <w:name w:val="WW-Absatz-Standardschriftart11111111111111"/>
    <w:rPr/>
  </w:style>
  <w:style w:type="character" w:styleId="C23">
    <w:name w:val="WW-Absatz-Standardschriftart111111111111111"/>
    <w:rPr/>
  </w:style>
  <w:style w:type="character" w:styleId="C24">
    <w:name w:val="Standardstycketeckensnitt1"/>
    <w:rPr/>
  </w:style>
  <w:style w:type="character" w:styleId="C25">
    <w:name w:val="WW-Absatz-Standardschriftart1111111111111111"/>
    <w:rPr/>
  </w:style>
  <w:style w:type="character" w:styleId="C26">
    <w:name w:val="WW-Absatz-Standardschriftart11111111111111111"/>
    <w:rPr/>
  </w:style>
  <w:style w:type="character" w:styleId="C27">
    <w:name w:val="WW-Standardstycketeckensnitt"/>
    <w:rPr/>
  </w:style>
  <w:style w:type="character" w:styleId="C28">
    <w:name w:val="WW8Num1z0"/>
    <w:rPr>
      <w:rFonts w:ascii="Symbol" w:hAnsi="Symbol"/>
    </w:rPr>
  </w:style>
  <w:style w:type="character" w:styleId="C29">
    <w:name w:val="WW8Num1z2"/>
    <w:rPr>
      <w:rFonts w:ascii="Wingdings" w:hAnsi="Wingdings"/>
    </w:rPr>
  </w:style>
  <w:style w:type="character" w:styleId="C30">
    <w:name w:val="WW8Num2z1"/>
    <w:rPr>
      <w:rFonts w:ascii="Courier New" w:hAnsi="Courier New"/>
    </w:rPr>
  </w:style>
  <w:style w:type="character" w:styleId="C31">
    <w:name w:val="WW8Num2z2"/>
    <w:rPr>
      <w:rFonts w:ascii="Wingdings" w:hAnsi="Wingdings"/>
    </w:rPr>
  </w:style>
  <w:style w:type="character" w:styleId="C32">
    <w:name w:val="WW-Standardstycketeckensnitt1"/>
    <w:rPr/>
  </w:style>
  <w:style w:type="character" w:styleId="C33">
    <w:name w:val="Page Number"/>
    <w:basedOn w:val="C32"/>
    <w:rPr/>
  </w:style>
  <w:style w:type="character" w:styleId="C34">
    <w:name w:val="Punktuppställning"/>
    <w:rPr>
      <w:rFonts w:ascii="StarSymbol" w:hAnsi="StarSymbol" w:cs="StarSymbol" w:eastAsia="StarSymbol"/>
      <w:sz w:val="18"/>
      <w:szCs w:val="18"/>
    </w:rPr>
  </w:style>
  <w:style w:type="character" w:styleId="C35">
    <w:name w:val="Numreringstecken"/>
    <w:rPr/>
  </w:style>
  <w:style w:type="character" w:styleId="C36">
    <w:name w:val="Platshållare"/>
    <w:rPr>
      <w:smallCaps w:val="1"/>
      <w:color w:val="008080"/>
      <w:u w:val="dotted"/>
    </w:rPr>
  </w:style>
  <w:style w:type="character" w:styleId="C37">
    <w:name w:val="Inget avstånd Char"/>
    <w:link w:val="P10"/>
    <w:rPr>
      <w:rFonts w:ascii="Calibri" w:hAnsi="Calibri"/>
      <w:sz w:val="22"/>
      <w:szCs w:val="22"/>
    </w:rPr>
  </w:style>
  <w:style w:type="character" w:styleId="C38">
    <w:name w:val="Ballongtext Char"/>
    <w:link w:val="P27"/>
    <w:rPr>
      <w:rFonts w:ascii="Tahoma" w:hAnsi="Tahoma" w:cs="Tahoma"/>
      <w:sz w:val="16"/>
      <w:szCs w:val="16"/>
      <w:lang w:eastAsia="ar-SA"/>
    </w:rPr>
  </w:style>
  <w:style w:type="character" w:styleId="C39">
    <w:name w:val="annotation reference"/>
    <w:basedOn w:val="C0"/>
    <w:rPr>
      <w:sz w:val="16"/>
      <w:szCs w:val="16"/>
    </w:rPr>
  </w:style>
  <w:style w:type="character" w:styleId="C40">
    <w:name w:val="Kommentarer Char"/>
    <w:basedOn w:val="C0"/>
    <w:link w:val="P39"/>
    <w:rPr>
      <w:lang w:eastAsia="ar-SA"/>
    </w:rPr>
  </w:style>
  <w:style w:type="character" w:styleId="C41">
    <w:name w:val="Kommentarsämne Char"/>
    <w:basedOn w:val="C40"/>
    <w:link w:val="P40"/>
    <w:rPr>
      <w:b w:val="1"/>
      <w:bCs w:val="1"/>
      <w:lang w:eastAsia="ar-SA"/>
    </w:rPr>
  </w:style>
  <w:style w:type="character" w:styleId="C42">
    <w:name w:val="normaltextrun"/>
    <w:basedOn w:val="C0"/>
    <w:rPr/>
  </w:style>
  <w:style w:type="character" w:styleId="C43">
    <w:name w:val="eop"/>
    <w:basedOn w:val="C0"/>
    <w:rPr/>
  </w:style>
  <w:style w:type="character" w:styleId="C44">
    <w:name w:val="Fotnotstext Char"/>
    <w:basedOn w:val="C0"/>
    <w:link w:val="P45"/>
    <w:rPr>
      <w:lang w:eastAsia="ar-SA"/>
    </w:rPr>
  </w:style>
  <w:style w:type="character" w:styleId="C45">
    <w:name w:val="Footnote Reference"/>
    <w:basedOn w:val="C0"/>
    <w:rPr>
      <w:vertAlign w:val="superscript"/>
    </w:rPr>
  </w:style>
  <w:style w:type="character" w:styleId="C46">
    <w:name w:val="Footnote Text Char"/>
    <w:semiHidden/>
    <w:rPr>
      <w:sz w:val="20"/>
      <w:szCs w:val="20"/>
    </w:rPr>
  </w:style>
  <w:style w:type="character" w:styleId="C47">
    <w:name w:val="Endnote Reference"/>
    <w:semiHidden/>
    <w:rPr>
      <w:vertAlign w:val="superscript"/>
    </w:rPr>
  </w:style>
  <w:style w:type="character" w:styleId="C48">
    <w:name w:val="Endnote Text Char"/>
    <w:link w:val="P46"/>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pPr>
      <w:ind w:right="3940"/>
    </w:p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3" Type="http://schemas.openxmlformats.org/officeDocument/2006/relationships/image" Target="/media/image3.jp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jpg" /><Relationship Id="Relimage7" Type="http://schemas.openxmlformats.org/officeDocument/2006/relationships/image" Target="/media/image7.png" /><Relationship Id="Relimage8" Type="http://schemas.openxmlformats.org/officeDocument/2006/relationships/image" Target="/media/image8.png" /><Relationship Id="RelHdr1" Type="http://schemas.openxmlformats.org/officeDocument/2006/relationships/header" Target="header1.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9" Type="http://schemas.openxmlformats.org/officeDocument/2006/relationships/image" Target="/media/image9.jp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lanbeskrivning xmlns:lmg="http://namespace.lantmateriet.se/distribution/geometri/v1" xmlns:gml="http://www.opengis.net/gml/3.2" xmlns="http://namespace.lantmateriet.se/distribution/geodatakatalog/planbeskrivning/v1">
  <Omfattning>
    <identitet>sy_syfte01</identitet>
    <Indelning>
      <tema>Detaljplanens syfte</tema>
      <grupp>Syfte</grupp>
    </Indelning>
  </Omfattning>
  <Omfattning>
    <identitet>be_ärendeinformation01</identitet>
    <Indelning>
      <tema>Beskrivning av detaljplanen</tema>
      <grupp>Ärendeinformation</grupp>
    </Indelning>
  </Omfattning>
  <Omfattning>
    <identitet>be_ärendeinformation02</identitet>
    <Indelning>
      <tema>Beskrivning av detaljplanen</tema>
      <grupp>Ärendeinformation</grupp>
    </Indelning>
  </Omfattning>
  <Omfattning>
    <identitet>be_heladetaljplan01</identitet>
    <Indelning>
      <tema>Beskrivning av detaljplanen</tema>
      <grupp>Hela detaljplan</grupp>
    </Indelning>
  </Omfattning>
  <Omfattning>
    <identitet>be_heladetaljplan02</identitet>
    <Indelning>
      <tema>Beskrivning av detaljplanen</tema>
      <grupp>Hela detaljplan</grupp>
    </Indelning>
  </Omfattning>
  <Omfattning>
    <identitet>pf_övrigt01</identitet>
    <Indelning>
      <tema>Planeringsförutsättningar</tema>
      <grupp>Riksintressen</grupp>
      <undergrupp>Övrigt</undergrupp>
    </Indelning>
  </Omfattning>
  <Omfattning>
    <identitet>pu_översiktsplan01</identitet>
    <Indelning>
      <tema>Planeringsunderlag</tema>
      <grupp>Kommunala</grupp>
      <undergrupp>Översiktsplan</undergrupp>
    </Indelning>
  </Omfattning>
  <Omfattning>
    <identitet>pu_översiktsplan02</identitet>
    <Indelning>
      <tema>Planeringsunderlag</tema>
      <grupp>Kommunala</grupp>
      <undergrupp>Översiktsplan</undergrupp>
    </Indelning>
  </Omfattning>
  <Omfattning>
    <identitet>pu_översiktsplan03</identitet>
    <Indelning>
      <tema>Planeringsunderlag</tema>
      <grupp>Kommunala</grupp>
      <undergrupp>Översiktsplan</undergrupp>
    </Indelning>
  </Omfattning>
  <Omfattning>
    <identitet>pu_detaljplan01</identitet>
    <Indelning>
      <tema>Planeringsunderlag</tema>
      <grupp>Kommunala</grupp>
      <undergrupp>Detaljplan</undergrupp>
    </Indelning>
  </Omfattning>
  <Omfattning>
    <identitet>pu_särskiltbeslutombetydandemiljöpåver01</identitet>
    <Indelning>
      <tema>Planeringsunderlag</tema>
      <grupp>Kommunala</grupp>
      <undergrupp>Särskilt beslut om betydande miljöpåverkan</undergrupp>
    </Indelning>
  </Omfattning>
  <Omfattning>
    <identitet>pf_natur01</identitet>
    <Indelning>
      <tema>Planeringsförutsättningar</tema>
      <grupp>Fysisk miljö</grupp>
      <undergrupp>Natur</undergrupp>
    </Indelning>
  </Omfattning>
  <Omfattning>
    <identitet>pf_natur02</identitet>
    <Indelning>
      <tema>Planeringsförutsättningar</tema>
      <grupp>Fysisk miljö</grupp>
      <undergrupp>Natur</undergrupp>
    </Indelning>
  </Omfattning>
  <Omfattning>
    <identitet>pf_natur03</identitet>
    <Indelning>
      <tema>Planeringsförutsättningar</tema>
      <grupp>Fysisk miljö</grupp>
      <undergrupp>Natur</undergrupp>
    </Indelning>
  </Omfattning>
  <Omfattning>
    <identitet>pf_markbeskaffenhet01</identitet>
    <Indelning>
      <tema>Planeringsförutsättningar</tema>
      <grupp>Geotekniska förhållanden</grupp>
      <undergrupp>Markbeskaffenhet</undergrupp>
    </Indelning>
  </Omfattning>
  <Omfattning>
    <identitet>pf_förorenadmark01</identitet>
    <Indelning>
      <tema>Planeringsförutsättningar</tema>
      <grupp>Hälsa och säkerhet</grupp>
      <undergrupp>Förorenad mark</undergrupp>
    </Indelning>
  </Omfattning>
  <Omfattning>
    <identitet>pf_radon01</identitet>
    <Indelning>
      <tema>Planeringsförutsättningar</tema>
      <grupp>Geotekniska förhållanden</grupp>
      <undergrupp>Radon</undergrupp>
    </Indelning>
  </Omfattning>
  <Omfattning>
    <identitet>pf_riskföröversvämning01</identitet>
    <Indelning>
      <tema>Planeringsförutsättningar</tema>
      <grupp>Hälsa och säkerhet</grupp>
      <undergrupp>Risk för översvämning</undergrupp>
    </Indelning>
  </Omfattning>
  <Omfattning>
    <identitet>pf_riskförskred01</identitet>
    <Indelning>
      <tema>Planeringsförutsättningar</tema>
      <grupp>Hälsa och säkerhet</grupp>
      <undergrupp>Risk för skred</undergrupp>
    </Indelning>
  </Omfattning>
  <Omfattning>
    <identitet>pf_fornlämningar01</identitet>
    <Indelning>
      <tema>Planeringsförutsättningar</tema>
      <grupp>Kulturmiljö</grupp>
      <undergrupp>Fornlämningar</undergrupp>
    </Indelning>
  </Omfattning>
  <Omfattning>
    <identitet>pf_bebyggelse01</identitet>
    <Indelning>
      <tema>Planeringsförutsättningar</tema>
      <grupp>Fysisk miljö</grupp>
      <undergrupp>Bebyggelse</undergrupp>
    </Indelning>
  </Omfattning>
  <Omfattning>
    <identitet>pf_service01</identitet>
    <Indelning>
      <tema>Planeringsförutsättningar</tema>
      <grupp>Service</grupp>
    </Indelning>
  </Omfattning>
  <Omfattning>
    <identitet>pf_sociala01</identitet>
    <Indelning>
      <tema>Planeringsförutsättningar</tema>
      <grupp>Sociala</grupp>
    </Indelning>
  </Omfattning>
  <Omfattning>
    <identitet>pf_kulturmiljö01</identitet>
    <Indelning>
      <tema>Planeringsförutsättningar</tema>
      <grupp>Kulturmiljö</grupp>
    </Indelning>
  </Omfattning>
  <Omfattning>
    <identitet>pf_fornlämningar02</identitet>
    <Indelning>
      <tema>Planeringsförutsättningar</tema>
      <grupp>Kulturmiljö</grupp>
      <undergrupp>Fornlämningar</undergrupp>
    </Indelning>
  </Omfattning>
  <Omfattning>
    <identitet>pf_sociala03</identitet>
    <Indelning>
      <tema>Planeringsförutsättningar</tema>
      <grupp>Sociala</grupp>
    </Indelning>
  </Omfattning>
  <Omfattning>
    <identitet>pf_kollektivtrafik01</identitet>
    <Indelning>
      <tema>Planeringsförutsättningar</tema>
      <grupp>Trafik</grupp>
      <undergrupp>Kollektivtrafik</undergrupp>
    </Indelning>
  </Omfattning>
  <Omfattning>
    <identitet>pf_omgivningsbuller01</identitet>
    <Indelning>
      <tema>Planeringsförutsättningar</tema>
      <grupp>Hälsa och säkerhet</grupp>
      <undergrupp>Omgivningsbuller</undergrupp>
    </Indelning>
  </Omfattning>
  <Omfattning>
    <identitet>pf_buller01</identitet>
    <Indelning>
      <tema>Planeringsförutsättningar</tema>
      <grupp>Miljökvalitetsnormer</grupp>
      <undergrupp>Buller</undergrupp>
    </Indelning>
  </Omfattning>
  <Omfattning>
    <identitet>pf_farligtgods01</identitet>
    <Indelning>
      <tema>Planeringsförutsättningar</tema>
      <grupp>Hälsa och säkerhet</grupp>
      <undergrupp>Farligt gods</undergrupp>
    </Indelning>
  </Omfattning>
  <Omfattning>
    <identitet>pf_riskförolyckor01</identitet>
    <Indelning>
      <tema>Planeringsförutsättningar</tema>
      <grupp>Hälsa och säkerhet</grupp>
      <undergrupp>Risk för olyckor</undergrupp>
    </Indelning>
  </Omfattning>
  <Omfattning>
    <identitet>pf_vattenochavloppp01</identitet>
    <Indelning>
      <tema>Planeringsförutsättningar</tema>
      <grupp>Teknik</grupp>
      <undergrupp>Vatten och avloppp</undergrupp>
    </Indelning>
  </Omfattning>
  <Omfattning>
    <identitet>pf_dagvatte01</identitet>
    <Indelning>
      <tema>Planeringsförutsättningar</tema>
      <grupp>Teknik</grupp>
      <undergrupp>Dagvatte</undergrupp>
    </Indelning>
  </Omfattning>
  <Omfattning>
    <identitet>pf_fjärrvärme01</identitet>
    <Indelning>
      <tema>Planeringsförutsättningar</tema>
      <grupp>Teknik</grupp>
      <undergrupp>Fjärrvärme</undergrupp>
    </Indelning>
  </Omfattning>
  <Omfattning>
    <identitet>pf_elitochtele01</identitet>
    <Indelning>
      <tema>Planeringsförutsättningar</tema>
      <grupp>Teknik</grupp>
      <undergrupp>El, it och tele</undergrupp>
    </Indelning>
  </Omfattning>
  <Omfattning>
    <identitet>pf_avfall01</identitet>
    <Indelning>
      <tema>Planeringsförutsättningar</tema>
      <grupp>Teknik</grupp>
      <undergrupp>Avfall</undergrupp>
    </Indelning>
  </Omfattning>
  <Omfattning>
    <identitet>pf_posthantering01</identitet>
    <Indelning>
      <tema>Planeringsförutsättningar</tema>
      <grupp>Teknik</grupp>
      <undergrupp>Posthantering</undergrupp>
    </Indelning>
  </Omfattning>
  <Omfattning>
    <identitet>gf_tidplan01</identitet>
    <Indelning>
      <tema>Genomförandefrågor</tema>
      <grupp>Organisatoriska frågor</grupp>
      <undergrupp>Tidplan</undergrupp>
    </Indelning>
  </Omfattning>
  <Omfattning>
    <identitet>be_genomförandetid01</identitet>
    <Indelning>
      <tema>Beskrivning av detaljplanen</tema>
      <grupp>Genomförandetid</grupp>
    </Indelning>
  </Omfattning>
  <Omfattning>
    <identitet>be_huvudmannaskap01</identitet>
    <Indelning>
      <tema>Beskrivning av detaljplanen</tema>
      <grupp>Allmän plats</grupp>
      <undergrupp>Huvudmannaskap</undergrupp>
    </Indelning>
  </Omfattning>
  <Omfattning>
    <identitet>gf_fastighetsrättsligafrågor01</identitet>
    <Indelning>
      <tema>Genomförandefrågor</tema>
      <grupp>Fastighetsrättsliga frågor</grupp>
    </Indelning>
  </Omfattning>
  <Omfattning>
    <identitet>gf_förändradfastighetsindelning01</identitet>
    <Indelning>
      <tema>Genomförandefrågor</tema>
      <grupp>Fastighetsrättsliga frågor</grupp>
      <undergrupp>Förändrad fastighetsindelning</undergrupp>
    </Indelning>
  </Omfattning>
  <Omfattning>
    <identitet>gf_tekniskaåtgärder01</identitet>
    <Indelning>
      <tema>Genomförandefrågor</tema>
      <grupp>Tekniska frågor</grupp>
      <undergrupp>Tekniska åtgärder</undergrupp>
    </Indelning>
  </Omfattning>
  <Omfattning>
    <identitet>gf_planavgift01</identitet>
    <Indelning>
      <tema>Genomförandefrågor</tema>
      <grupp>Ekonomiska frågor</grupp>
      <undergrupp>Planavgift</undergrupp>
    </Indelning>
  </Omfattning>
  <Omfattning>
    <identitet>gf_avtal01</identitet>
    <Indelning>
      <tema>Genomförandefrågor</tema>
      <grupp>Ekonomiska frågor</grupp>
      <undergrupp>Avtal</undergrupp>
    </Indelning>
  </Omfattning>
  <Omfattning>
    <identitet>ko_annat01</identitet>
    <Indelning>
      <tema>Konsekvenser</tema>
      <grupp>Annat</grupp>
    </Indelning>
  </Omfattning>
  <Omfattning>
    <identitet>pu_arkeologiskutredning01</identitet>
    <Indelning>
      <tema>Planeringsunderlag</tema>
      <grupp>Utredningar</grupp>
      <undergrupp>Arkeologisk utredning</undergrupp>
    </Indelning>
  </Omfattning>
  <Omfattning>
    <identitet>pu_dagvattenutredning01</identitet>
    <Indelning>
      <tema>Planeringsunderlag</tema>
      <grupp>Utredningar</grupp>
      <undergrupp>Dagvattenutredning</undergrupp>
    </Indelning>
  </Omfattning>
  <Omfattning>
    <identitet>pu_förprojektering01</identitet>
    <Indelning>
      <tema>Planeringsunderlag</tema>
      <grupp>Utredningar</grupp>
      <undergrupp>Förprojektering</undergrupp>
    </Indelning>
  </Omfattning>
  <Omfattning>
    <identitet>pu_provtagning01</identitet>
    <Indelning>
      <tema>Planeringsunderlag</tema>
      <grupp>Utredningar</grupp>
      <undergrupp>Provtagning</undergrupp>
    </Indelning>
  </Omfattning>
  <Omfattning>
    <identitet>ko_hushållningsbestämmelserenl3kap_mb01</identitet>
    <Indelning>
      <tema>Konsekvenser</tema>
      <grupp>Hushållningsbestämmelser enligt 3 kap. miljöbalken</grupp>
    </Indelning>
  </Omfattning>
  <Omfattning>
    <identitet>ko_riksintresse01</identitet>
    <Indelning>
      <tema>Konsekvenser</tema>
      <grupp>Riksintresse</grupp>
    </Indelning>
  </Omfattning>
  <Omfattning>
    <identitet>ko_miljökvalitetsnormer01</identitet>
    <Indelning>
      <tema>Konsekvenser</tema>
      <grupp>Miljökvalitetsnormer</grupp>
    </Indelning>
  </Omfattning>
  <Omfattning>
    <identitet>be_bostäder01</identitet>
    <Indelning>
      <tema>Beskrivning av detaljplanen</tema>
      <grupp>Kvartersmark</grupp>
      <undergrupp>Bostäder (B)</undergrupp>
    </Indelning>
  </Omfattning>
  <Omfattning>
    <identitet>ko_motortrafik01</identitet>
    <Indelning>
      <tema>Konsekvenser</tema>
      <grupp>Trafik</grupp>
      <undergrupp>Motortrafik</undergrupp>
    </Indelning>
  </Omfattning>
  <Omfattning>
    <identitet>pu_översiktsplan04</identitet>
    <Indelning>
      <tema>Planeringsunderlag</tema>
      <grupp>Kommunala</grupp>
      <undergrupp>Översiktsplan</undergrupp>
    </Indelning>
  </Omfattning>
  <Omfattning>
    <identitet>pf_natur05</identitet>
    <Indelning>
      <tema>Planeringsförutsättningar</tema>
      <grupp>Fysisk miljö</grupp>
      <undergrupp>Natur</undergrupp>
    </Indelning>
  </Omfattning>
  <Omfattning>
    <identitet>pf_natur06</identitet>
    <Indelning>
      <tema>Planeringsförutsättningar</tema>
      <grupp>Fysisk miljö</grupp>
      <undergrupp>Natur</undergrupp>
    </Indelning>
  </Omfattning>
  <Omfattning>
    <identitet>pf_natur07</identitet>
    <Indelning>
      <tema>Planeringsförutsättningar</tema>
      <grupp>Fysisk miljö</grupp>
      <undergrupp>Natur</undergrupp>
    </Indelning>
  </Omfattning>
  <Omfattning>
    <identitet>pf_fornlämningar03</identitet>
    <Indelning>
      <tema>Planeringsförutsättningar</tema>
      <grupp>Kulturmiljö</grupp>
      <undergrupp>Fornlämningar</undergrupp>
    </Indelning>
  </Omfattning>
  <Omfattning>
    <identitet>gf_fastighetsrättsligafrågor02</identitet>
    <Indelning>
      <tema>Genomförandefrågor</tema>
      <grupp>Fastighetsrättsliga frågor</grupp>
    </Indelning>
  </Omfattning>
  <Omfattning>
    <identitet>pf_bostadsprogram01</identitet>
    <Indelning>
      <tema>Planeringsförutsättningar</tema>
      <grupp>Annat</grupp>
      <undergrupp>Bostadsprogram</undergrupp>
    </Indelning>
  </Omfattning>
  <Omfattning>
    <identitet>pf_trafikätsplan01</identitet>
    <Indelning>
      <tema>Planeringsförutsättningar</tema>
      <grupp>Annat</grupp>
      <undergrupp>Trafikätsplan</undergrupp>
    </Indelning>
  </Omfattning>
  <Omfattning>
    <identitet>pf_dagvattenstrategi01</identitet>
    <Indelning>
      <tema>Planeringsförutsättningar</tema>
      <grupp>Annat</grupp>
      <undergrupp>Dagvattenstrategi</undergrupp>
    </Indelning>
  </Omfattning>
  <Omfattning>
    <identitet>pf_natur04</identitet>
    <Indelning>
      <tema>Planeringsförutsättningar</tema>
      <grupp>Fysisk miljö</grupp>
      <undergrupp>Natur</undergrupp>
    </Indelning>
  </Omfattning>
  <Omfattning>
    <identitet>ko_grönområde01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1dcc7a4c-0380-43d4-ae96-a696dd8f88f4_f1">
          <gml:exterior>
            <gml:LinearRing>
              <gml:posList>6718985.677 141789.566 6718985.675 141789.563 6718991.223 141787.303 6719038.414 141768.085 6719045.179 141779.563 6719045.202 141779.603 6719057.48 141772.367 6719061.828 141775.796 6719062.139 141777.759 6719043.957 141804.591 6719038.198 141811.533 6719031.136 141816.333 6719023.018 141818.945 6719014.503 141819.162 6719006.263 141816.969 6718998.975 141812.541 6718993.212 141806.22 6718989.148 141798.089 6718985.677 141789.566</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3486431b-ad14-4235-b95b-304d059b5db5_f0">
          <gml:exterior>
            <gml:LinearRing>
              <gml:posList>6719027.777 141692.52 6719027.776 141692.516 6719033.324 141690.257 6719085.348 141669.071 6719089.054 141667.561 6719092.685 141675.792 6719093.665 141678.64 6719089.955 141680.151 6719037.85 141701.371 6719032.302 141703.63 6719027.777 141692.52</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1cf97726-df2c-42c0-8215-fbaea1ae3525_f0">
          <gml:exterior>
            <gml:LinearRing>
              <gml:posList>6719019.327 141708.914 6718967.839 141729.882 6718962.291 141732.142 6718957.766 141721.032 6718957.765 141721.027 6718963.313 141718.768 6719014.801 141697.8 6719018.505 141696.292 6719023.031 141707.406 6719019.327 141708.914</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4e473c13-e6ff-4b23-84a7-31e9126482e1_f0">
          <gml:exterior>
            <gml:LinearRing>
              <gml:posList>6719174.439 141671.483 6719145.24 141779.321 6719079.166 141867.476 6719078.354 141867.682 6719069.353 141905.616 6719061.571 141906.782 6719058.469 141908.174 6719042.515 141915.331 6719029.036 141921.377 6719026.949 141919.214 6718942.616 141858.524 6718939.029 141838.994 6718938.975 141838.806 6718931.636 141812.945 6718917.042 141780.462 6718900.396 141744.057 6718881.503 141690.567 6718882.768 141690.099 6718901.81 141674.874 6718892.464 141690.621 6718912.375 141739.513 6718944.79 141726.312 6718948.494 141724.803 6718953.021 141735.917 6718949.316 141737.426 6718916.901 141750.627 6718940.285 141808.048 6718972.7 141794.847 6718976.405 141793.338 6718980.021 141802.217 6718980.206 141802.588 6718974.633 141804.857 6718944.057 141817.309 6718949.512 141830.732 6718945.432 141837.588 6718965.073 141854.656 6718985.272 141869.003 6719009.005 141872.945 6719034.008 141874.297 6719060.707 141861.875 6719121.348 141772.383 6719121.437 141772.251 6719134.766 141748.037 6719145.706 141699.109 6719145.715 141699.068 6719145.717 141699.059 6719135.381 141661.093 6719130.853 141663.496 6719108.506 141672.597 6719102.948 141674.852 6719102.014 141672.14 6719101.352 141670.64 6719095.091 141656.468 6719095.09 141656.465 6719100.64 141654.205 6719125.216 141644.197 6719130.095 141645.287 6719150.663 141553.074 6719003.362 141521.403 6719022.167 141504.545 6719154.32 141532.959 6719157.442 141554.531 6719166.422 141616.575 6719171.122 141649.286 6719174.277 141671.244 6719174.439 141671.483</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5a7e762a-7e91-41a5-8dd7-7f67f1efdff2_f0">
          <gml:exterior>
            <gml:LinearRing>
              <gml:posList>6718953.068 141624.677 6718924.785 141636.167 6718926.334 141633.844 6718930.154 141626.935 6718941.842 141605.794 6718961.478 141570.955 6718971.04 141554.784 6718977.443 141544.459 6718961.082 141615.415 6718953.068 141624.677</gml:posList>
            </gml:LinearRing>
          </gml:exterior>
        </gml:Polygon>
      </lmg:Position>
    </lmg:Ytgeometri>
    <objektreferens>1dcc7a4c-0380-43d4-ae96-a696dd8f88f4</objektreferens>
    <objektreferens>3486431b-ad14-4235-b95b-304d059b5db5</objektreferens>
    <objektreferens>1cf97726-df2c-42c0-8215-fbaea1ae3525</objektreferens>
    <objektreferens>4e473c13-e6ff-4b23-84a7-31e9126482e1</objektreferens>
    <objektreferens>5a7e762a-7e91-41a5-8dd7-7f67f1efdff2</objektreferens>
    <Indelning>
      <tema>Konsekvenser</tema>
      <grupp>Natur</grupp>
      <undergrupp>Grönområde</undergrupp>
    </Indelning>
  </Omfattning>
  <Omfattning>
    <identitet>ko_gångochcykeltrafik01</identitet>
    <Indelning>
      <tema>Konsekvenser</tema>
      <grupp>Trafik</grupp>
      <undergrupp>Gång- och cykeltrafik</undergrupp>
    </Indelning>
  </Omfattning>
  <Omfattning>
    <identitet>pf_sociala02</identitet>
    <Indelning>
      <tema>Planeringsförutsättningar</tema>
      <grupp>Sociala</grupp>
    </Indelning>
  </Omfattning>
  <Omfattning>
    <identitet>ko_barn01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1dcc7a4c-0380-43d4-ae96-a696dd8f88f4_f0">
          <gml:exterior>
            <gml:LinearRing>
              <gml:posList>6718985.677 141789.566 6718985.675 141789.563 6718991.223 141787.303 6719038.414 141768.085 6719045.179 141779.563 6719045.202 141779.603 6719057.48 141772.367 6719061.828 141775.796 6719062.139 141777.759 6719043.957 141804.591 6719038.198 141811.533 6719031.136 141816.333 6719023.018 141818.945 6719014.503 141819.162 6719006.263 141816.969 6718998.975 141812.541 6718993.212 141806.22 6718989.148 141798.089 6718985.677 141789.566</gml:posList>
            </gml:LinearRing>
          </gml:exterior>
        </gml:Polygon>
      </lmg:Position>
    </lmg:Ytgeometri>
    <objektreferens>1dcc7a4c-0380-43d4-ae96-a696dd8f88f4</objektreferens>
    <Indelning>
      <tema>Konsekvenser</tema>
      <grupp>Sociala</grupp>
      <undergrupp>Barn</undergrupp>
    </Indelning>
  </Omfattning>
  <Omfattning>
    <identitet>Kartlänk_01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8fb01118-4790-48b3-be98-e519870fd6c6_f0">
          <gml:exterior>
            <gml:LinearRing>
              <gml:posList>6718912.375 141739.513 6718892.464 141690.621 6718901.81 141674.874 6718903.479 141672.062 6718905.519 141668.625 6718910.487 141671.411 6718912.262 141672.471 6718912.469 141672.594 6718913.566 141673.241 6718914.146 141673.677 6718914.148 141673.679 6718921.139 141678.83 6718927.844 141685.311 6718933.628 141692.626 6718938.4 141700.665 6718942.255 141709.483 6718948.494 141724.803 6718944.79 141726.312 6718912.375 141739.513</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689b7c4f-ae59-4586-abe3-22330b55b1de_f0">
          <gml:exterior>
            <gml:LinearRing>
              <gml:posList>6719121.348 141772.383 6719060.707 141861.875 6719034.008 141874.297 6719009.005 141872.945 6718985.272 141869.003 6718965.073 141854.656 6718945.432 141837.588 6718949.512 141830.732 6718944.057 141817.309 6718974.633 141804.857 6718980.206 141802.588 6718984.877 141811.932 6718992.543 141820.341 6719002.29 141826.262 6719013.31 141829.196 6719013.32 141829.196 6719024.711 141828.905 6719024.722 141828.905 6719035.578 141825.412 6719045.001 141819.008 6719051.974 141810.602 6719067.982 141786.978 6719072.783 141779.893 6719079.217 141770.434 6719091.452 141752.449 6719097.073 141743.793 6719101.857 141734.339 6719105.364 141724.272 6719107.502 141713.829 6719108.232 141703.193 6719107.542 141692.555 6719105.443 141682.104 6719102.949 141674.856 6719102.948 141674.852 6719108.506 141672.597 6719130.853 141663.496 6719135.381 141661.093 6719145.717 141699.059 6719145.715 141699.068 6719145.706 141699.109 6719134.766 141748.037 6719121.437 141772.251 6719121.348 141772.383</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f0eebbbf-7d54-4153-a563-1883cfcb880d_f0">
          <gml:exterior>
            <gml:LinearRing>
              <gml:posList>6718962.292 141732.145 6718962.291 141732.142 6718967.839 141729.882 6719019.327 141708.914 6719023.031 141707.406 6719038.081 141744.361 6719042.197 141753.976 6719048.09 141763.149 6719048.783 141763.862 6719044.829 141765.473 6719038.414 141768.085 6718991.223 141787.303 6718985.675 141789.563 6718962.292 141732.145</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dafdcbf6-2db9-4316-8624-295319756646_f0">
          <gml:exterior>
            <gml:LinearRing>
              <gml:posList>6719032.303 141703.634 6719032.302 141703.63 6719037.85 141701.371 6719089.955 141680.151 6719093.665 141678.64 6719095.76 141684.727 6719097.595 141693.869 6719098.199 141703.175 6719097.56 141712.478 6719095.691 141721.613 6719092.623 141730.419 6719088.383 141738.797 6719083.113 141746.913 6719077.306 141755.45 6719069.697 141766.635 6719066.937 141767.081 6719062.349 141763.463 6719056.011 141756.939 6719055.972 141756.899 6719055.967 141756.893 6719051.072 141749.273 6719047.32 141740.508 6719032.303 141703.634</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78fedc00-5881-48b3-a151-72bbfaf374c4_f0">
          <gml:exterior>
            <gml:LinearRing>
              <gml:posList>6718940.285 141808.048 6718916.901 141750.627 6718949.316 141737.426 6718953.021 141735.917 6718976.405 141793.338 6718972.7 141794.847 6718940.285 141808.048</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75b350fc-345c-4fd5-9034-1283c3edbd10_f0">
          <gml:exterior>
            <gml:LinearRing>
              <gml:posList>6719125.216 141644.197 6719100.64 141654.205 6719095.09 141656.465 6719093.897 141653.769 6719090.557 141645.01 6719089.018 141636.143 6719089.274 141627.093 6719091.155 141617.766 6719095.466 141598.508 6719100.242 141595.478 6719103.313 141581.758 6719097.713 141580.505 6719097.703 141580.504 6719091.858 141579.195 6719091.848 141579.193 6719085.748 141577.828 6719085.737 141577.827 6719082.667 141591.546 6719085.696 141596.323 6719081.363 141615.685 6719079.291 141625.955 6719078.984 141636.864 6719080.859 141647.67 6719084.636 141657.577 6719088.734 141666.838 6719089.054 141667.561 6719085.348 141669.071 6719033.324 141690.257 6719027.776 141692.516 6719013.411 141657.243 6719010.003 141648.356 6719008.239 141639.474 6719008.275 141630.457 6719010.047 141621.191 6719019.384 141580.698 6719024.197 141577.688 6719027.356 141563.988 6719021.495 141562.638 6719021.485 141562.636 6719015.649 141561.289 6719015.639 141561.288 6719009.816 141559.945 6719009.806 141559.944 6719006.647 141573.644 6719009.635 141578.423 6719000.25 141619.127 6718998.268 141629.489 6718998.224 141640.438 6719000.35 141651.14 6719004.1 141660.92 6719018.505 141696.292 6719014.801 141697.8 6718963.313 141718.768 6718957.765 141721.027 6718951.479 141705.593 6718947.326 141696.092 6718941.897 141686.946 6718935.285 141678.584 6718927.62 141671.176 6718919.238 141664.999 6718919.221 141664.987 6718919.111 141664.906 6718917.918 141664.194 6718917.741 141664.088 6718914.907 141662.469 6718910.587 141660.001 6718910.579 141659.996 6718913.677 141654.854 6718914.781 141653.022 6718924.785 141636.167 6718953.068 141624.677 6718961.082 141615.415 6718977.443 141544.459 6718998.761 141525.528 6719003.362 141521.403 6719150.663 141553.074 6719130.095 141645.287 6719125.216 141644.197</gml:posList>
            </gml:LinearRing>
          </gml:exterior>
        </gml:Polygon>
      </lmg:Position>
    </lmg:Ytgeometri>
    <objektreferens>8fb01118-4790-48b3-be98-e519870fd6c6</objektreferens>
    <objektreferens>689b7c4f-ae59-4586-abe3-22330b55b1de</objektreferens>
    <objektreferens>f0eebbbf-7d54-4153-a563-1883cfcb880d</objektreferens>
    <objektreferens>dafdcbf6-2db9-4316-8624-295319756646</objektreferens>
    <objektreferens>78fedc00-5881-48b3-a151-72bbfaf374c4</objektreferens>
    <objektreferens>75b350fc-345c-4fd5-9034-1283c3edbd10</objektreferens>
  </Omfattning>
  <Omfattning>
    <identitet>Kartlänk_02</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8fb01118-4790-48b3-be98-e519870fd6c6_f1">
          <gml:exterior>
            <gml:LinearRing>
              <gml:posList>6718912.375 141739.513 6718892.464 141690.621 6718901.81 141674.874 6718903.479 141672.062 6718905.519 141668.625 6718910.487 141671.411 6718912.262 141672.471 6718912.469 141672.594 6718913.566 141673.241 6718914.146 141673.677 6718914.148 141673.679 6718921.139 141678.83 6718927.844 141685.311 6718933.628 141692.626 6718938.4 141700.665 6718942.255 141709.483 6718948.494 141724.803 6718944.79 141726.312 6718912.375 141739.513</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689b7c4f-ae59-4586-abe3-22330b55b1de_f1">
          <gml:exterior>
            <gml:LinearRing>
              <gml:posList>6719121.348 141772.383 6719060.707 141861.875 6719034.008 141874.297 6719009.005 141872.945 6718985.272 141869.003 6718965.073 141854.656 6718945.432 141837.588 6718949.512 141830.732 6718944.057 141817.309 6718974.633 141804.857 6718980.206 141802.588 6718984.877 141811.932 6718992.543 141820.341 6719002.29 141826.262 6719013.31 141829.196 6719013.32 141829.196 6719024.711 141828.905 6719024.722 141828.905 6719035.578 141825.412 6719045.001 141819.008 6719051.974 141810.602 6719067.982 141786.978 6719072.783 141779.893 6719079.217 141770.434 6719091.452 141752.449 6719097.073 141743.793 6719101.857 141734.339 6719105.364 141724.272 6719107.502 141713.829 6719108.232 141703.193 6719107.542 141692.555 6719105.443 141682.104 6719102.949 141674.856 6719102.948 141674.852 6719108.506 141672.597 6719130.853 141663.496 6719135.381 141661.093 6719145.717 141699.059 6719145.715 141699.068 6719145.706 141699.109 6719134.766 141748.037 6719121.437 141772.251 6719121.348 141772.383</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f0eebbbf-7d54-4153-a563-1883cfcb880d_f1">
          <gml:exterior>
            <gml:LinearRing>
              <gml:posList>6718962.292 141732.145 6718962.291 141732.142 6718967.839 141729.882 6719019.327 141708.914 6719023.031 141707.406 6719038.081 141744.361 6719042.197 141753.976 6719048.09 141763.149 6719048.783 141763.862 6719044.829 141765.473 6719038.414 141768.085 6718991.223 141787.303 6718985.675 141789.563 6718962.292 141732.145</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dafdcbf6-2db9-4316-8624-295319756646_f1">
          <gml:exterior>
            <gml:LinearRing>
              <gml:posList>6719032.303 141703.634 6719032.302 141703.63 6719037.85 141701.371 6719089.955 141680.151 6719093.665 141678.64 6719095.76 141684.727 6719097.595 141693.869 6719098.199 141703.175 6719097.56 141712.478 6719095.691 141721.613 6719092.623 141730.419 6719088.383 141738.797 6719083.113 141746.913 6719077.306 141755.45 6719069.697 141766.635 6719066.937 141767.081 6719062.349 141763.463 6719056.011 141756.939 6719055.972 141756.899 6719055.967 141756.893 6719051.072 141749.273 6719047.32 141740.508 6719032.303 141703.634</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78fedc00-5881-48b3-a151-72bbfaf374c4_f1">
          <gml:exterior>
            <gml:LinearRing>
              <gml:posList>6718940.285 141808.048 6718916.901 141750.627 6718949.316 141737.426 6718953.021 141735.917 6718976.405 141793.338 6718972.7 141794.847 6718940.285 141808.048</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75b350fc-345c-4fd5-9034-1283c3edbd10_f1">
          <gml:exterior>
            <gml:LinearRing>
              <gml:posList>6719125.216 141644.197 6719100.64 141654.205 6719095.09 141656.465 6719093.897 141653.769 6719090.557 141645.01 6719089.018 141636.143 6719089.274 141627.093 6719091.155 141617.766 6719095.466 141598.508 6719100.242 141595.478 6719103.313 141581.758 6719097.713 141580.505 6719097.703 141580.504 6719091.858 141579.195 6719091.848 141579.193 6719085.748 141577.828 6719085.737 141577.827 6719082.667 141591.546 6719085.696 141596.323 6719081.363 141615.685 6719079.291 141625.955 6719078.984 141636.864 6719080.859 141647.67 6719084.636 141657.577 6719088.734 141666.838 6719089.054 141667.561 6719085.348 141669.071 6719033.324 141690.257 6719027.776 141692.516 6719013.411 141657.243 6719010.003 141648.356 6719008.239 141639.474 6719008.275 141630.457 6719010.047 141621.191 6719019.384 141580.698 6719024.197 141577.688 6719027.356 141563.988 6719021.495 141562.638 6719021.485 141562.636 6719015.649 141561.289 6719015.639 141561.288 6719009.816 141559.945 6719009.806 141559.944 6719006.647 141573.644 6719009.635 141578.423 6719000.25 141619.127 6718998.268 141629.489 6718998.224 141640.438 6719000.35 141651.14 6719004.1 141660.92 6719018.505 141696.292 6719014.801 141697.8 6718963.313 141718.768 6718957.765 141721.027 6718951.479 141705.593 6718947.326 141696.092 6718941.897 141686.946 6718935.285 141678.584 6718927.62 141671.176 6718919.238 141664.999 6718919.221 141664.987 6718919.111 141664.906 6718917.918 141664.194 6718917.741 141664.088 6718914.907 141662.469 6718910.587 141660.001 6718910.579 141659.996 6718913.677 141654.854 6718914.781 141653.022 6718924.785 141636.167 6718953.068 141624.677 6718961.082 141615.415 6718977.443 141544.459 6718998.761 141525.528 6719003.362 141521.403 6719150.663 141553.074 6719130.095 141645.287 6719125.216 141644.197</gml:posList>
            </gml:LinearRing>
          </gml:exterior>
        </gml:Polygon>
      </lmg:Position>
    </lmg:Ytgeometri>
    <objektreferens>8fb01118-4790-48b3-be98-e519870fd6c6</objektreferens>
    <objektreferens>689b7c4f-ae59-4586-abe3-22330b55b1de</objektreferens>
    <objektreferens>f0eebbbf-7d54-4153-a563-1883cfcb880d</objektreferens>
    <objektreferens>dafdcbf6-2db9-4316-8624-295319756646</objektreferens>
    <objektreferens>78fedc00-5881-48b3-a151-72bbfaf374c4</objektreferens>
    <objektreferens>75b350fc-345c-4fd5-9034-1283c3edbd10</objektreferens>
  </Omfattning>
  <Omfattning>
    <identitet>Kartlänk_03</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8fb01118-4790-48b3-be98-e519870fd6c6_f2">
          <gml:exterior>
            <gml:LinearRing>
              <gml:posList>6718912.375 141739.513 6718892.464 141690.621 6718901.81 141674.874 6718903.479 141672.062 6718905.519 141668.625 6718910.487 141671.411 6718912.262 141672.471 6718912.469 141672.594 6718913.566 141673.241 6718914.146 141673.677 6718914.148 141673.679 6718921.139 141678.83 6718927.844 141685.311 6718933.628 141692.626 6718938.4 141700.665 6718942.255 141709.483 6718948.494 141724.803 6718944.79 141726.312 6718912.375 141739.513</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689b7c4f-ae59-4586-abe3-22330b55b1de_f2">
          <gml:exterior>
            <gml:LinearRing>
              <gml:posList>6719121.348 141772.383 6719060.707 141861.875 6719034.008 141874.297 6719009.005 141872.945 6718985.272 141869.003 6718965.073 141854.656 6718945.432 141837.588 6718949.512 141830.732 6718944.057 141817.309 6718974.633 141804.857 6718980.206 141802.588 6718984.877 141811.932 6718992.543 141820.341 6719002.29 141826.262 6719013.31 141829.196 6719013.32 141829.196 6719024.711 141828.905 6719024.722 141828.905 6719035.578 141825.412 6719045.001 141819.008 6719051.974 141810.602 6719067.982 141786.978 6719072.783 141779.893 6719079.217 141770.434 6719091.452 141752.449 6719097.073 141743.793 6719101.857 141734.339 6719105.364 141724.272 6719107.502 141713.829 6719108.232 141703.193 6719107.542 141692.555 6719105.443 141682.104 6719102.949 141674.856 6719102.948 141674.852 6719108.506 141672.597 6719130.853 141663.496 6719135.381 141661.093 6719145.717 141699.059 6719145.715 141699.068 6719145.706 141699.109 6719134.766 141748.037 6719121.437 141772.251 6719121.348 141772.383</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f0eebbbf-7d54-4153-a563-1883cfcb880d_f2">
          <gml:exterior>
            <gml:LinearRing>
              <gml:posList>6718962.292 141732.145 6718962.291 141732.142 6718967.839 141729.882 6719019.327 141708.914 6719023.031 141707.406 6719038.081 141744.361 6719042.197 141753.976 6719048.09 141763.149 6719048.783 141763.862 6719044.829 141765.473 6719038.414 141768.085 6718991.223 141787.303 6718985.675 141789.563 6718962.292 141732.145</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dafdcbf6-2db9-4316-8624-295319756646_f2">
          <gml:exterior>
            <gml:LinearRing>
              <gml:posList>6719032.303 141703.634 6719032.302 141703.63 6719037.85 141701.371 6719089.955 141680.151 6719093.665 141678.64 6719095.76 141684.727 6719097.595 141693.869 6719098.199 141703.175 6719097.56 141712.478 6719095.691 141721.613 6719092.623 141730.419 6719088.383 141738.797 6719083.113 141746.913 6719077.306 141755.45 6719069.697 141766.635 6719066.937 141767.081 6719062.349 141763.463 6719056.011 141756.939 6719055.972 141756.899 6719055.967 141756.893 6719051.072 141749.273 6719047.32 141740.508 6719032.303 141703.634</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78fedc00-5881-48b3-a151-72bbfaf374c4_f2">
          <gml:exterior>
            <gml:LinearRing>
              <gml:posList>6718940.285 141808.048 6718916.901 141750.627 6718949.316 141737.426 6718953.021 141735.917 6718976.405 141793.338 6718972.7 141794.847 6718940.285 141808.048</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75b350fc-345c-4fd5-9034-1283c3edbd10_f2">
          <gml:exterior>
            <gml:LinearRing>
              <gml:posList>6719125.216 141644.197 6719100.64 141654.205 6719095.09 141656.465 6719093.897 141653.769 6719090.557 141645.01 6719089.018 141636.143 6719089.274 141627.093 6719091.155 141617.766 6719095.466 141598.508 6719100.242 141595.478 6719103.313 141581.758 6719097.713 141580.505 6719097.703 141580.504 6719091.858 141579.195 6719091.848 141579.193 6719085.748 141577.828 6719085.737 141577.827 6719082.667 141591.546 6719085.696 141596.323 6719081.363 141615.685 6719079.291 141625.955 6719078.984 141636.864 6719080.859 141647.67 6719084.636 141657.577 6719088.734 141666.838 6719089.054 141667.561 6719085.348 141669.071 6719033.324 141690.257 6719027.776 141692.516 6719013.411 141657.243 6719010.003 141648.356 6719008.239 141639.474 6719008.275 141630.457 6719010.047 141621.191 6719019.384 141580.698 6719024.197 141577.688 6719027.356 141563.988 6719021.495 141562.638 6719021.485 141562.636 6719015.649 141561.289 6719015.639 141561.288 6719009.816 141559.945 6719009.806 141559.944 6719006.647 141573.644 6719009.635 141578.423 6719000.25 141619.127 6718998.268 141629.489 6718998.224 141640.438 6719000.35 141651.14 6719004.1 141660.92 6719018.505 141696.292 6719014.801 141697.8 6718963.313 141718.768 6718957.765 141721.027 6718951.479 141705.593 6718947.326 141696.092 6718941.897 141686.946 6718935.285 141678.584 6718927.62 141671.176 6718919.238 141664.999 6718919.221 141664.987 6718919.111 141664.906 6718917.918 141664.194 6718917.741 141664.088 6718914.907 141662.469 6718910.587 141660.001 6718910.579 141659.996 6718913.677 141654.854 6718914.781 141653.022 6718924.785 141636.167 6718953.068 141624.677 6718961.082 141615.415 6718977.443 141544.459 6718998.761 141525.528 6719003.362 141521.403 6719150.663 141553.074 6719130.095 141645.287 6719125.216 141644.197</gml:posList>
            </gml:LinearRing>
          </gml:exterior>
        </gml:Polygon>
      </lmg:Position>
    </lmg:Ytgeometri>
    <objektreferens>8fb01118-4790-48b3-be98-e519870fd6c6</objektreferens>
    <objektreferens>689b7c4f-ae59-4586-abe3-22330b55b1de</objektreferens>
    <objektreferens>f0eebbbf-7d54-4153-a563-1883cfcb880d</objektreferens>
    <objektreferens>dafdcbf6-2db9-4316-8624-295319756646</objektreferens>
    <objektreferens>78fedc00-5881-48b3-a151-72bbfaf374c4</objektreferens>
    <objektreferens>75b350fc-345c-4fd5-9034-1283c3edbd10</objektreferens>
  </Omfattning>
  <Omfattning>
    <identitet>Kartlänk_04</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1a2427bc-a7cc-4bda-b776-8c4775a3e1fd_f0">
          <gml:exterior>
            <gml:LinearRing>
              <gml:posList>6719105.544 141599.214 6719100.767 141602.243 6719097.013 141619.015 6719095.246 141627.776 6719095.022 141635.71 6719096.359 141643.413 6719099.436 141651.485 6719100.64 141654.205 6719095.09 141656.465 6719093.897 141653.769 6719090.557 141645.01 6719089.018 141636.143 6719089.274 141627.093 6719091.155 141617.766 6719095.466 141598.508 6719100.242 141595.478 6719103.313 141581.758 6719097.713 141580.505 6719097.703 141580.504 6719098.967 141574.639 6719110.468 141577.214 6719105.544 141599.214</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b3f3c722-62a0-4d71-8907-d6dcb0f7e2b4_f0">
          <gml:exterior>
            <gml:LinearRing>
              <gml:posList>6719091.848 141579.193 6719085.748 141577.828 6719085.737 141577.827 6719082.667 141591.546 6719085.696 141596.323 6719081.363 141615.685 6719079.291 141625.955 6719078.984 141636.864 6719080.859 141647.67 6719084.636 141657.577 6719088.734 141666.838 6719089.054 141667.561 6719085.348 141669.071 6719085.076 141668.455 6719080.935 141659.1 6719076.984 141648.734 6719074.974 141637.152 6719075.302 141625.5 6719077.45 141614.853 6719081.431 141597.067 6719078.401 141592.289 6719083.144 141571.098 6719093.111 141573.329 6719091.848 141579.193</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ab1a71a0-715b-4e15-b0b4-d1816a1019ae_f0">
          <gml:exterior>
            <gml:LinearRing>
              <gml:posList>6719029.475 141581.458 6719024.661 141584.467 6719015.908 141622.429 6719014.262 141631.037 6719014.231 141638.896 6719015.778 141646.685 6719018.98 141655.037 6719033.324 141690.257 6719027.776 141692.516 6719013.411 141657.243 6719010.003 141648.356 6719008.239 141639.474 6719008.275 141630.457 6719010.047 141621.191 6719019.384 141580.698 6719024.197 141577.688 6719027.356 141563.988 6719021.495 141562.638 6719021.485 141562.636 6719022.833 141556.79 6719034.54 141559.49 6719029.475 141581.458</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4b8d6d32-d16c-4e99-a371-9cffa8f14345_f0">
          <gml:exterior>
            <gml:LinearRing>
              <gml:posList>6719014.801 141697.8 6719000.38 141662.39 6718996.493 141652.254 6718994.223 141640.824 6718994.269 141629.102 6718996.335 141618.302 6719005.365 141579.139 6719002.377 141574.36 6719007.256 141553.199 6719016.986 141555.442 6719015.639 141561.288 6719009.816 141559.945 6719009.806 141559.944 6719006.647 141573.644 6719009.635 141578.423 6719000.25 141619.127 6718998.268 141629.489 6718998.224 141640.438 6719000.35 141651.14 6719004.1 141660.92 6719018.505 141696.292 6719014.801 141697.8</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b7c891e3-bbc5-4e70-872c-3ddeaa07335b_f0">
          <gml:exterior>
            <gml:LinearRing>
              <gml:posList>6719034.39 141745.903 6719019.327 141708.914 6719023.031 141707.406 6719038.081 141744.361 6719042.197 141753.976 6719048.09 141763.149 6719048.783 141763.862 6719044.829 141765.473 6719038.651 141755.857 6719034.39 141745.903</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973d881c-1e3f-48c0-951b-a606d4559da4_f0">
          <gml:exterior>
            <gml:LinearRing>
              <gml:posList>6719095.691 141721.613 6719092.623 141730.419 6719088.383 141738.797 6719083.113 141746.913 6719077.306 141755.45 6719069.697 141766.635 6719066.937 141767.081 6719062.349 141763.463 6719056.011 141756.939 6719055.972 141756.899 6719055.967 141756.893 6719051.072 141749.273 6719047.32 141740.508 6719032.303 141703.634 6719032.302 141703.63 6719037.85 141701.371 6719052.846 141738.195 6719056.38 141746.451 6719060.684 141753.15 6719066.365 141758.997 6719068.767 141760.891 6719079.781 141744.699 6719084.911 141736.799 6719088.933 141728.851 6719091.825 141720.549 6719093.588 141711.937 6719094.19 141703.167 6719093.621 141694.395 6719091.89 141685.776 6719089.955 141680.151 6719093.665 141678.64 6719095.76 141684.727 6719097.595 141693.869 6719098.199 141703.175 6719097.56 141712.478 6719095.691 141721.613</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9465b3bf-1fd4-4b35-b535-4b2cc9de61da_f0">
          <gml:exterior>
            <gml:LinearRing>
              <gml:posList>6718962.292 141732.145 6718962.291 141732.142 6718967.839 141729.882 6718991.223 141787.303 6718985.675 141789.563 6718962.292 141732.145</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c4d29030-b56d-47ce-875d-d8be8ef1dd9f_f0">
          <gml:exterior>
            <gml:LinearRing>
              <gml:posList>6718972.7 141794.847 6718949.316 141737.426 6718953.021 141735.917 6718976.405 141793.338 6718972.7 141794.847</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969081a6-5b37-40c4-b5cb-4439acd92085_f0">
          <gml:exterior>
            <gml:LinearRing>
              <gml:posList>6719111.152 141725.868 6719107.381 141736.691 6719102.27 141746.79 6719096.438 141755.771 6719096.393 141755.837 6719077.737 141783.263 6719056.767 141814.209 6719049.066 141823.493 6719038.226 141830.86 6719025.727 141834.881 6719012.601 141835.216 6718999.912 141831.838 6718988.69 141825.021 6718979.883 141815.359 6718974.633 141804.857 6718980.206 141802.588 6718984.877 141811.932 6718992.543 141820.341 6719002.29 141826.262 6719013.31 141829.196 6719013.32 141829.196 6719024.711 141828.905 6719024.722 141828.905 6719035.578 141825.412 6719045.001 141819.008 6719051.974 141810.602 6719067.982 141786.978 6719072.783 141779.893 6719079.217 141770.434 6719091.452 141752.449 6719097.073 141743.793 6719101.857 141734.339 6719105.364 141724.272 6719107.502 141713.829 6719108.232 141703.193 6719107.542 141692.555 6719105.443 141682.104 6719102.949 141674.856 6719102.948 141674.852 6719108.506 141672.597 6719111.236 141680.53 6719113.492 141691.767 6719114.234 141703.205 6719114.226 141703.322 6719113.45 141714.639 6719111.152 141725.868</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5fed9691-91e1-4472-b97a-f4ae10cc94e6_f0">
          <gml:exterior>
            <gml:LinearRing>
              <gml:posList>6718957.765 141721.027 6718951.479 141705.593 6718947.326 141696.092 6718941.897 141686.946 6718935.285 141678.584 6718927.62 141671.176 6718919.238 141664.999 6718919.221 141664.987 6718919.111 141664.906 6718917.918 141664.194 6718917.741 141664.088 6718917.658 141664.039 6718914.907 141662.469 6718910.587 141660.001 6718910.579 141659.996 6718913.677 141654.854 6718917.908 141657.207 6718922.426 141659.903 6718931.491 141666.584 6718939.732 141674.549 6718946.841 141683.54 6718952.664 141693.349 6718956.997 141703.26 6718963.313 141718.768 6718957.765 141721.027</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0e23292d-2d93-472c-8236-0fb962cea746_f0">
          <gml:exterior>
            <gml:LinearRing>
              <gml:posList>6718944.79 141726.312 6718938.57 141711.039 6718934.835 141702.494 6718930.325 141694.897 6718924.872 141688.002 6718918.552 141681.892 6718911.343 141676.58 6718907.921 141674.538 6718903.479 141672.062 6718905.519 141668.625 6718910.487 141671.411 6718912.262 141672.471 6718912.469 141672.594 6718913.566 141673.241 6718914.146 141673.677 6718914.148 141673.679 6718921.139 141678.83 6718927.844 141685.311 6718933.628 141692.626 6718938.4 141700.665 6718942.255 141709.483 6718948.494 141724.803 6718944.79 141726.312</gml:posList>
            </gml:LinearRing>
          </gml:exterior>
        </gml:Polygon>
      </lmg:Position>
    </lmg:Ytgeometri>
    <objektreferens>1a2427bc-a7cc-4bda-b776-8c4775a3e1fd</objektreferens>
    <objektreferens>b3f3c722-62a0-4d71-8907-d6dcb0f7e2b4</objektreferens>
    <objektreferens>ab1a71a0-715b-4e15-b0b4-d1816a1019ae</objektreferens>
    <objektreferens>4b8d6d32-d16c-4e99-a371-9cffa8f14345</objektreferens>
    <objektreferens>b7c891e3-bbc5-4e70-872c-3ddeaa07335b</objektreferens>
    <objektreferens>973d881c-1e3f-48c0-951b-a606d4559da4</objektreferens>
    <objektreferens>9465b3bf-1fd4-4b35-b535-4b2cc9de61da</objektreferens>
    <objektreferens>c4d29030-b56d-47ce-875d-d8be8ef1dd9f</objektreferens>
    <objektreferens>969081a6-5b37-40c4-b5cb-4439acd92085</objektreferens>
    <objektreferens>5fed9691-91e1-4472-b97a-f4ae10cc94e6</objektreferens>
    <objektreferens>0e23292d-2d93-472c-8236-0fb962cea746</objektreferens>
  </Omfattning>
  <Omfattning>
    <identitet>Kartlänk_05</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b8c78bca-8850-4d30-9814-6e534013c85e_f0">
          <gml:exterior>
            <gml:LinearRing>
              <gml:posList>6719079.166 141867.476 6719078.354 141867.682 6719069.353 141905.616 6719061.571 141906.782 6719058.469 141908.174 6719067.598 141869.7 6719077.399 141844.185 6719085.381 141827.641 6719095.623 141812.696 6719107.797 141798.482 6719118.641 141786.176 6719125.345 141777.723 6719128.937 141771.549 6719132.004 141763.47 6719134.826 141755.512 6719138.62 141740.95 6719142.75 141729.08 6719147.865 141711.066 6719152.171 141695.722 6719154.931 141684.316 6719155.713 141680.045 6719156.697 141667.476 6719158.929 141658.674 6719161.817 141644.94 6719163.537 141633.038 6719166.422 141616.575 6719171.122 141649.286 6719168.672 141660.932 6719166.6 141669.107 6719165.643 141681.339 6719164.717 141686.394 6719161.848 141698.25 6719157.489 141713.783 6719152.29 141732.091 6719148.196 141743.858 6719144.395 141758.449 6719141.392 141766.916 6719137.994 141775.867 6719133.626 141783.373 6719126.315 141792.593 6719115.346 141805.041 6719103.568 141818.792 6719094.059 141832.668 6719086.586 141848.157 6719079.166 141867.476</gml:posList>
            </gml:LinearRing>
          </gml:exterior>
        </gml:Polygon>
      </lmg:Position>
    </lmg:Ytgeometri>
    <objektreferens>b8c78bca-8850-4d30-9814-6e534013c85e</objektreferens>
  </Omfattning>
  <Omfattning>
    <identitet>Kartlänk_06</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befd53a6-ec18-4bfa-bb6a-f484699e88e2_f0">
          <gml:exterior>
            <gml:LinearRing>
              <gml:posList>6718924.785 141636.167 6718914.781 141653.022 6718913.677 141654.854 6718910.579 141659.996 6718905.519 141668.625 6718903.479 141672.062 6718901.81 141674.874 6718882.768 141690.099 6718881.503 141690.567 6718874.419 141670.513 6718872.841 141666.12 6718875.476 141663.771 6718884.985 141653.884 6718906.673 141615.124 6718930.154 141626.935 6718926.334 141633.844 6718924.785 141636.167</gml:posList>
            </gml:LinearRing>
          </gml:exterior>
        </gml:Polygon>
      </lmg:Position>
    </lmg:Ytgeometri>
    <objektreferens>befd53a6-ec18-4bfa-bb6a-f484699e88e2</objektreferens>
  </Omfattning>
  <Omfattning>
    <identitet>Kartlänk_07</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6bbb0bcd-3256-4a01-a2b3-34d260652ff9_f0">
          <gml:exterior>
            <gml:LinearRing>
              <gml:posList>6719101.857 141734.339 6719097.073 141743.793 6719091.452 141752.449 6719079.217 141770.434 6719072.783 141779.893 6719067.982 141786.978 6719051.974 141810.602 6719045.001 141819.008 6719035.578 141825.412 6719024.722 141828.905 6719024.711 141828.905 6719013.32 141829.196 6719013.31 141829.196 6719002.29 141826.262 6718992.543 141820.341 6718984.877 141811.932 6718980.206 141802.588 6718980.021 141802.217 6718976.405 141793.338 6718953.021 141735.917 6718948.494 141724.803 6718942.255 141709.483 6718938.4 141700.665 6718933.628 141692.626 6718927.844 141685.311 6718921.139 141678.83 6718914.148 141673.679 6718914.146 141673.677 6718913.566 141673.241 6718912.469 141672.594 6718912.262 141672.471 6718910.487 141671.411 6718905.519 141668.625 6718910.579 141659.996 6718910.587 141660.001 6718914.907 141662.469 6718917.741 141664.088 6718917.918 141664.194 6718919.111 141664.906 6718919.221 141664.987 6718919.238 141664.999 6718927.62 141671.176 6718935.285 141678.584 6718941.897 141686.946 6718947.326 141696.092 6718951.479 141705.593 6718957.765 141721.027 6718957.766 141721.032 6718962.291 141732.142 6718962.292 141732.145 6718985.675 141789.563 6718985.677 141789.566 6718989.148 141798.089 6718993.212 141806.22 6718998.975 141812.541 6719006.263 141816.969 6719014.503 141819.162 6719023.018 141818.945 6719031.136 141816.333 6719038.198 141811.533 6719043.957 141804.591 6719062.139 141777.759 6719061.828 141775.796 6719057.48 141772.367 6719055.627 141770.905 6719048.783 141763.862 6719048.09 141763.149 6719042.197 141753.976 6719038.081 141744.361 6719023.031 141707.406 6719018.505 141696.292 6719004.1 141660.92 6719000.35 141651.14 6718998.224 141640.438 6718998.268 141629.489 6719000.25 141619.127 6719009.635 141578.423 6719006.647 141573.644 6719009.806 141559.944 6719009.816 141559.945 6719015.639 141561.288 6719015.649 141561.289 6719021.485 141562.636 6719021.495 141562.638 6719027.356 141563.988 6719024.197 141577.688 6719019.384 141580.698 6719010.047 141621.191 6719008.275 141630.457 6719008.239 141639.474 6719010.003 141648.356 6719013.411 141657.243 6719027.776 141692.516 6719027.777 141692.52 6719032.302 141703.63 6719032.303 141703.634 6719047.32 141740.508 6719051.072 141749.273 6719055.967 141756.893 6719055.972 141756.899 6719056.011 141756.939 6719062.349 141763.463 6719066.937 141767.081 6719069.697 141766.635 6719077.306 141755.45 6719083.113 141746.913 6719088.383 141738.797 6719092.623 141730.419 6719095.691 141721.613 6719097.56 141712.478 6719098.199 141703.175 6719097.595 141693.869 6719095.76 141684.727 6719093.665 141678.64 6719092.685 141675.792 6719089.054 141667.561 6719088.734 141666.838 6719084.636 141657.577 6719080.859 141647.67 6719078.984 141636.864 6719079.291 141625.955 6719081.363 141615.685 6719085.696 141596.323 6719082.667 141591.546 6719085.737 141577.827 6719085.748 141577.828 6719091.848 141579.193 6719091.858 141579.195 6719097.703 141580.504 6719097.713 141580.505 6719103.313 141581.758 6719100.242 141595.478 6719095.466 141598.508 6719091.155 141617.766 6719089.274 141627.093 6719089.018 141636.143 6719090.557 141645.01 6719093.897 141653.769 6719095.09 141656.465 6719095.091 141656.468 6719101.352 141670.64 6719102.014 141672.14 6719102.948 141674.852 6719102.949 141674.856 6719105.443 141682.104 6719107.542 141692.555 6719108.232 141703.193 6719107.502 141713.829 6719105.364 141724.272 6719101.857 141734.339</gml:posList>
            </gml:LinearRing>
          </gml:exterior>
        </gml:Polygon>
      </lmg:Position>
    </lmg:Ytgeometri>
    <objektreferens>6bbb0bcd-3256-4a01-a2b3-34d260652ff9</objektreferens>
  </Omfattning>
</Planbeskrivning>
</file>

<file path=customXml/itemProps1.xml><?xml version="1.0" encoding="utf-8"?>
<ds:datastoreItem xmlns:ds="http://schemas.openxmlformats.org/officeDocument/2006/customXml" ds:itemID="{b73ae7cf-48c5-4d86-89b6-fd7377fc9c13}">
  <ds:schemaRefs>
    <ds:schemaRef ds:uri="http://schemas.microsoft.com/vsto/samples"/>
  </ds:schemaRefs>
</ds:datastoreItem>
</file>

<file path=customXml/itemProps2.xml><?xml version="1.0" encoding="utf-8"?>
<ds:datastoreItem xmlns:ds="http://schemas.openxmlformats.org/officeDocument/2006/customXml" ds:itemID="42d886da-b1a5-4deb-bf92-d80568dfaa38">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Falu kommun</Company>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LokalAdmin</dc:creator>
  <dcterms:created xsi:type="dcterms:W3CDTF">2024-01-18T07:46:00Z</dcterms:created>
  <cp:lastModifiedBy>Emma Danielsson</cp:lastModifiedBy>
  <cp:lastPrinted>2023-06-27T13:29:00Z</cp:lastPrinted>
  <dcterms:modified xsi:type="dcterms:W3CDTF">2024-01-18T09:53:41Z</dcterms:modified>
  <cp:revision>13</cp:revision>
  <dc:title>Planbeskrivning</dc:title>
</cp:coreProperties>
</file>