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rPr>
          <w:rFonts w:ascii="Arial" w:hAnsi="Arial" w:cs="Arial"/>
          <w:b w:val="1"/>
          <w:sz w:val="36"/>
          <w:szCs w:val="36"/>
        </w:rPr>
      </w:pPr>
      <w:bookmarkStart w:id="0" w:name="_Toc246132116"/>
      <w:bookmarkStart w:id="1" w:name="_Toc280260432"/>
      <w:bookmarkStart w:id="2" w:name="_Toc280261571"/>
      <w:bookmarkStart w:id="3" w:name="_Toc280262686"/>
      <w:bookmarkStart w:id="4" w:name="_Toc280263694"/>
      <w:bookmarkStart w:id="5" w:name="_Toc280263785"/>
      <w:bookmarkStart w:id="6" w:name="_Toc280262904"/>
      <w:bookmarkStart w:id="7" w:name="_Toc280262296"/>
      <w:bookmarkStart w:id="8" w:name="_Toc280260761"/>
      <w:bookmarkStart w:id="9" w:name="_Toc246132272"/>
      <w:bookmarkStart w:id="10" w:name="_Toc280259986"/>
      <w:bookmarkStart w:id="11" w:name="_Toc280261443"/>
      <w:bookmarkStart w:id="12" w:name="_Toc280262513"/>
      <w:bookmarkStart w:id="13" w:name="_Toc280263619"/>
      <w:bookmarkStart w:id="14" w:name="_Toc326829696"/>
      <w:bookmarkStart w:id="15" w:name="_Toc280262967"/>
      <w:bookmarkStart w:id="16" w:name="_Toc280262412"/>
      <w:bookmarkStart w:id="17" w:name="_Toc280261206"/>
      <w:bookmarkStart w:id="18" w:name="_Toc246132343"/>
      <w:bookmarkStart w:id="19" w:name="_Toc246132117"/>
      <w:bookmarkStart w:id="20" w:name="_Toc280262297"/>
      <w:bookmarkStart w:id="21" w:name="_Toc280262905"/>
      <w:bookmarkStart w:id="22" w:name="_Toc246132387"/>
      <w:bookmarkStart w:id="23" w:name="_Toc280261572"/>
      <w:bookmarkStart w:id="24" w:name="_Toc280260433"/>
      <w:bookmarkStart w:id="25" w:name="_Toc280259987"/>
      <w:bookmarkStart w:id="26" w:name="_Toc280262687"/>
      <w:bookmarkStart w:id="27" w:name="_Toc280263620"/>
      <w:bookmarkStart w:id="28" w:name="_Toc280261207"/>
      <w:bookmarkStart w:id="29" w:name="_Toc280261444"/>
      <w:bookmarkStart w:id="30" w:name="_Toc280263695"/>
      <w:bookmarkStart w:id="31" w:name="_Toc280262968"/>
      <w:bookmarkStart w:id="32" w:name="_Toc280262514"/>
      <w:bookmarkStart w:id="33" w:name="_Toc280262413"/>
      <w:bookmarkStart w:id="34" w:name="_Toc280260762"/>
      <w:bookmarkStart w:id="35" w:name="_Toc275242351"/>
      <w:r>
        <w:rPr>
          <w:rFonts w:ascii="Arial" w:hAnsi="Arial" w:cs="Arial"/>
          <w:b w:val="1"/>
          <w:sz w:val="36"/>
          <w:szCs w:val="36"/>
        </w:rPr>
        <w:t xml:space="preserve">  </w:t>
      </w:r>
    </w:p>
    <w:p>
      <w:pPr>
        <w:ind w:left="1134"/>
        <w:rPr>
          <w:rFonts w:ascii="Arial" w:hAnsi="Arial" w:cs="Arial"/>
          <w:b w:val="1"/>
          <w:sz w:val="36"/>
          <w:szCs w:val="36"/>
        </w:rPr>
      </w:pPr>
      <w:bookmarkStart w:id="36" w:name="be_innehållsförteckning01"/>
      <w:r>
        <w:rPr>
          <w:rFonts w:ascii="Arial" w:hAnsi="Arial" w:cs="Arial"/>
          <w:b w:val="1"/>
          <w:sz w:val="36"/>
          <w:szCs w:val="36"/>
        </w:rPr>
        <w:t>Detaljplan för Moheda 4:192 m.fl. (Nord) i Moheda tätort, Alvesta kommun, Kronobergs län</w:t>
      </w:r>
      <w:r>
        <w:rPr>
          <w:rFonts w:ascii="Arial" w:hAnsi="Arial" w:cs="Arial"/>
          <w:b w:val="1"/>
          <w:sz w:val="36"/>
          <w:szCs w:val="36"/>
          <w:lang w:bidi="sv-SE"/>
        </w:rPr>
        <w:t xml:space="preserve"> </w:t>
      </w:r>
      <w:r>
        <w:rPr>
          <w:rFonts w:ascii="Arial" w:hAnsi="Arial" w:cs="Arial"/>
          <w:b w:val="1"/>
          <w:sz w:val="36"/>
          <w:szCs w:val="36"/>
          <w:rtl w:val="0"/>
          <w:lang w:val="sv-SE" w:bidi="sv-SE" w:eastAsia="sv-SE"/>
        </w:rPr>
        <w:t xml:space="preserve"> </w:t>
      </w:r>
    </w:p>
    <w:p>
      <w:pPr>
        <w:ind w:left="1134"/>
        <w:jc w:val="both"/>
        <w:rPr>
          <w:rFonts w:ascii="Arial" w:hAnsi="Arial" w:cs="Arial"/>
          <w:b w:val="1"/>
          <w:sz w:val="36"/>
          <w:szCs w:val="36"/>
        </w:rPr>
      </w:pPr>
    </w:p>
    <w:p>
      <w:pPr>
        <w:pStyle w:val="P31"/>
        <w:jc w:val="both"/>
      </w:pPr>
      <w:r>
        <w:t>PLANBESKRIVNING</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P2"/>
        <w:jc w:val="both"/>
        <w:rPr>
          <w:b w:val="0"/>
          <w:bCs w:val="0"/>
          <w:iCs w:val="0"/>
        </w:rPr>
      </w:pPr>
      <w:r>
        <w:rPr>
          <w:iCs w:val="0"/>
        </w:rPr>
        <w:t>Handlingar:</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iCs w:val="0"/>
        </w:rPr>
        <w:t xml:space="preserve"> </w:t>
      </w:r>
    </w:p>
    <w:p>
      <w:pPr>
        <w:pStyle w:val="P5"/>
      </w:pPr>
      <w:bookmarkStart w:id="37" w:name="_Hlk135237996"/>
      <w:r>
        <w:t>Planbeskrivning</w:t>
      </w:r>
    </w:p>
    <w:p>
      <w:pPr>
        <w:pStyle w:val="P5"/>
      </w:pPr>
      <w:r>
        <w:t>Fastighetsförteckning</w:t>
      </w:r>
    </w:p>
    <w:p>
      <w:pPr>
        <w:pStyle w:val="P5"/>
        <w:jc w:val="left"/>
      </w:pPr>
      <w:r>
        <w:t>Plankarta upprättad på grundkarta</w:t>
      </w:r>
    </w:p>
    <w:p>
      <w:pPr>
        <w:pStyle w:val="P5"/>
        <w:jc w:val="left"/>
      </w:pPr>
      <w:r>
        <w:t>Samrådsredogörelse</w:t>
      </w:r>
    </w:p>
    <w:p>
      <w:pPr>
        <w:pStyle w:val="P5"/>
        <w:jc w:val="left"/>
      </w:pPr>
      <w:r>
        <w:t>Granskningsutlåtande</w:t>
        <w:br w:type="textWrapping"/>
        <w:br w:type="textWrapping"/>
        <w:t>Bilaga 1: Bullerutredning</w:t>
      </w:r>
    </w:p>
    <w:p>
      <w:pPr>
        <w:pStyle w:val="P5"/>
        <w:pBdr>
          <w:top w:val="none" w:sz="0" w:space="0" w:shadow="0" w:frame="0" w:color="auto"/>
          <w:left w:val="single" w:sz="18" w:space="9" w:shadow="0" w:frame="0" w:color="FF0000"/>
          <w:bottom w:val="none" w:sz="0" w:space="0" w:shadow="0" w:frame="0" w:color="auto"/>
          <w:right w:val="none" w:sz="0" w:space="0" w:shadow="0" w:frame="0" w:color="auto"/>
          <w:between w:val="none" w:sz="0" w:space="0" w:shadow="0" w:frame="0" w:color="auto"/>
        </w:pBdr>
        <w:rPr>
          <w:color w:val="auto"/>
        </w:rPr>
      </w:pPr>
      <w:bookmarkEnd w:id="36"/>
      <w:bookmarkStart w:id="38" w:name="pu_delarsomundantasantagande01"/>
      <w:r>
        <w:rPr>
          <w:color w:val="auto"/>
        </w:rPr>
        <w:t>Bilaga 2: Lokaliseringsstudie</w:t>
      </w:r>
    </w:p>
    <w:p>
      <w:pPr>
        <w:pStyle w:val="P2"/>
        <w:jc w:val="both"/>
        <w:rPr>
          <w:iCs w:val="0"/>
        </w:rPr>
      </w:pPr>
      <w:bookmarkEnd w:id="37"/>
      <w:bookmarkEnd w:id="38"/>
      <w:bookmarkStart w:id="39" w:name="be_innehållsförteckning02"/>
      <w:r>
        <w:rPr>
          <w:iCs w:val="0"/>
        </w:rPr>
        <w:t>INNEHÅLLSFÖRTECKNING</w:t>
      </w:r>
    </w:p>
    <w:p>
      <w:pPr>
        <w:pStyle w:val="P12"/>
        <w:tabs>
          <w:tab w:val="left" w:pos="1680" w:leader="none"/>
        </w:tabs>
        <w:jc w:val="both"/>
        <w:rPr>
          <w:rFonts w:asciiTheme="minorHAnsi" w:hAnsiTheme="minorHAnsi" w:cstheme="minorBidi" w:eastAsiaTheme="minorEastAsia"/>
          <w:bCs w:val="0"/>
          <w:caps w:val="0"/>
          <w:noProof w:val="1"/>
          <w:szCs w:val="22"/>
        </w:rPr>
      </w:pPr>
      <w:r>
        <w:rPr>
          <w:rFonts w:cs="Calibri Light"/>
          <w:b w:val="1"/>
          <w:bCs w:val="0"/>
          <w:caps w:val="0"/>
          <w:sz w:val="28"/>
          <w:szCs w:val="32"/>
          <w:kern w:val="32"/>
        </w:rPr>
        <w:fldChar w:fldCharType="begin"/>
      </w:r>
      <w:r>
        <w:rPr>
          <w:rFonts w:cs="Calibri Light"/>
          <w:b w:val="1"/>
          <w:bCs w:val="0"/>
          <w:caps w:val="0"/>
          <w:sz w:val="28"/>
          <w:szCs w:val="32"/>
          <w:kern w:val="32"/>
        </w:rPr>
        <w:instrText xml:space="preserve"> TOC \o "1-1" \u </w:instrText>
      </w:r>
      <w:r>
        <w:rPr>
          <w:rFonts w:cs="Calibri Light"/>
          <w:b w:val="1"/>
          <w:bCs w:val="0"/>
          <w:caps w:val="0"/>
          <w:sz w:val="28"/>
          <w:szCs w:val="32"/>
          <w:kern w:val="32"/>
        </w:rPr>
        <w:fldChar w:fldCharType="separate"/>
      </w:r>
      <w:r>
        <w:rPr>
          <w:noProof w:val="1"/>
        </w:rPr>
        <w:t>1.</w:t>
      </w:r>
      <w:r>
        <w:rPr>
          <w:rFonts w:asciiTheme="minorHAnsi" w:hAnsiTheme="minorHAnsi" w:cstheme="minorBidi" w:eastAsiaTheme="minorEastAsia"/>
          <w:bCs w:val="0"/>
          <w:caps w:val="0"/>
          <w:noProof w:val="1"/>
          <w:szCs w:val="22"/>
        </w:rPr>
        <w:tab/>
      </w:r>
      <w:r>
        <w:rPr>
          <w:noProof w:val="1"/>
        </w:rPr>
        <w:t>INLEDNING</w:t>
        <w:tab/>
      </w:r>
      <w:r>
        <w:rPr>
          <w:noProof w:val="1"/>
        </w:rPr>
        <w:fldChar w:fldCharType="begin"/>
      </w:r>
      <w:r>
        <w:rPr>
          <w:noProof w:val="1"/>
        </w:rPr>
        <w:instrText xml:space="preserve"> PAGEREF _Toc86648184 \h </w:instrText>
      </w:r>
      <w:r>
        <w:rPr>
          <w:noProof w:val="1"/>
        </w:rPr>
        <w:fldChar w:fldCharType="separate"/>
      </w:r>
      <w:r>
        <w:rPr>
          <w:noProof w:val="1"/>
        </w:rPr>
        <w:t>2</w:t>
      </w:r>
      <w:r>
        <w:rPr>
          <w:noProof w:val="1"/>
        </w:rPr>
        <w:fldChar w:fldCharType="end"/>
      </w:r>
    </w:p>
    <w:p>
      <w:pPr>
        <w:pStyle w:val="P12"/>
        <w:tabs>
          <w:tab w:val="left" w:pos="1680" w:leader="none"/>
        </w:tabs>
        <w:jc w:val="both"/>
        <w:rPr>
          <w:rFonts w:asciiTheme="minorHAnsi" w:hAnsiTheme="minorHAnsi" w:cstheme="minorBidi" w:eastAsiaTheme="minorEastAsia"/>
          <w:bCs w:val="0"/>
          <w:caps w:val="0"/>
          <w:noProof w:val="1"/>
          <w:szCs w:val="22"/>
        </w:rPr>
      </w:pPr>
      <w:r>
        <w:rPr>
          <w:noProof w:val="1"/>
        </w:rPr>
        <w:t>2.</w:t>
      </w:r>
      <w:r>
        <w:rPr>
          <w:rFonts w:asciiTheme="minorHAnsi" w:hAnsiTheme="minorHAnsi" w:cstheme="minorBidi" w:eastAsiaTheme="minorEastAsia"/>
          <w:bCs w:val="0"/>
          <w:caps w:val="0"/>
          <w:noProof w:val="1"/>
          <w:szCs w:val="22"/>
        </w:rPr>
        <w:tab/>
      </w:r>
      <w:r>
        <w:rPr>
          <w:noProof w:val="1"/>
        </w:rPr>
        <w:t>PLATSENS FÖRUTSÄTTNINGAR</w:t>
        <w:tab/>
        <w:t>5</w:t>
      </w:r>
    </w:p>
    <w:p>
      <w:pPr>
        <w:pStyle w:val="P12"/>
        <w:tabs>
          <w:tab w:val="left" w:pos="1680" w:leader="none"/>
        </w:tabs>
        <w:jc w:val="both"/>
        <w:rPr>
          <w:rFonts w:asciiTheme="minorHAnsi" w:hAnsiTheme="minorHAnsi" w:cstheme="minorBidi" w:eastAsiaTheme="minorEastAsia"/>
          <w:bCs w:val="0"/>
          <w:caps w:val="0"/>
          <w:noProof w:val="1"/>
          <w:szCs w:val="22"/>
        </w:rPr>
      </w:pPr>
      <w:r>
        <w:rPr>
          <w:noProof w:val="1"/>
        </w:rPr>
        <w:t>3.</w:t>
      </w:r>
      <w:r>
        <w:rPr>
          <w:rFonts w:asciiTheme="minorHAnsi" w:hAnsiTheme="minorHAnsi" w:cstheme="minorBidi" w:eastAsiaTheme="minorEastAsia"/>
          <w:bCs w:val="0"/>
          <w:caps w:val="0"/>
          <w:noProof w:val="1"/>
          <w:szCs w:val="22"/>
        </w:rPr>
        <w:tab/>
      </w:r>
      <w:r>
        <w:rPr>
          <w:noProof w:val="1"/>
        </w:rPr>
        <w:t>PLANFÖRSLAG</w:t>
        <w:tab/>
        <w:t>14</w:t>
      </w:r>
    </w:p>
    <w:p>
      <w:pPr>
        <w:pStyle w:val="P12"/>
        <w:tabs>
          <w:tab w:val="left" w:pos="1680" w:leader="none"/>
        </w:tabs>
        <w:jc w:val="both"/>
        <w:rPr>
          <w:rFonts w:asciiTheme="minorHAnsi" w:hAnsiTheme="minorHAnsi" w:cstheme="minorBidi" w:eastAsiaTheme="minorEastAsia"/>
          <w:bCs w:val="0"/>
          <w:caps w:val="0"/>
          <w:noProof w:val="1"/>
          <w:szCs w:val="22"/>
        </w:rPr>
      </w:pPr>
      <w:r>
        <w:rPr>
          <w:noProof w:val="1"/>
        </w:rPr>
        <w:t>4.</w:t>
      </w:r>
      <w:r>
        <w:rPr>
          <w:rFonts w:asciiTheme="minorHAnsi" w:hAnsiTheme="minorHAnsi" w:cstheme="minorBidi" w:eastAsiaTheme="minorEastAsia"/>
          <w:bCs w:val="0"/>
          <w:caps w:val="0"/>
          <w:noProof w:val="1"/>
          <w:szCs w:val="22"/>
        </w:rPr>
        <w:tab/>
      </w:r>
      <w:r>
        <w:rPr>
          <w:noProof w:val="1"/>
        </w:rPr>
        <w:t>KONSEKVENSER AV PLANFÖRSLAGET</w:t>
        <w:tab/>
        <w:t>16</w:t>
      </w:r>
    </w:p>
    <w:p>
      <w:pPr>
        <w:pStyle w:val="P12"/>
        <w:tabs>
          <w:tab w:val="left" w:pos="1680" w:leader="none"/>
        </w:tabs>
        <w:jc w:val="both"/>
        <w:rPr>
          <w:rFonts w:asciiTheme="minorHAnsi" w:hAnsiTheme="minorHAnsi" w:cstheme="minorBidi" w:eastAsiaTheme="minorEastAsia"/>
          <w:bCs w:val="0"/>
          <w:caps w:val="0"/>
          <w:noProof w:val="1"/>
          <w:szCs w:val="22"/>
        </w:rPr>
      </w:pPr>
      <w:r>
        <w:rPr>
          <w:noProof w:val="1"/>
        </w:rPr>
        <w:t>5.</w:t>
      </w:r>
      <w:r>
        <w:rPr>
          <w:rFonts w:asciiTheme="minorHAnsi" w:hAnsiTheme="minorHAnsi" w:cstheme="minorBidi" w:eastAsiaTheme="minorEastAsia"/>
          <w:bCs w:val="0"/>
          <w:caps w:val="0"/>
          <w:noProof w:val="1"/>
          <w:szCs w:val="22"/>
        </w:rPr>
        <w:tab/>
      </w:r>
      <w:r>
        <w:rPr>
          <w:noProof w:val="1"/>
        </w:rPr>
        <w:t>GENOMFÖRANDE</w:t>
        <w:tab/>
        <w:t>20</w:t>
      </w:r>
    </w:p>
    <w:p>
      <w:pPr>
        <w:pStyle w:val="P21"/>
        <w:ind w:left="720"/>
        <w:jc w:val="both"/>
        <w:rPr>
          <w:rFonts w:cs="Calibri Light"/>
          <w:b w:val="1"/>
          <w:bCs w:val="0"/>
          <w:caps w:val="0"/>
          <w:sz w:val="28"/>
          <w:szCs w:val="32"/>
          <w:kern w:val="32"/>
        </w:rPr>
      </w:pPr>
      <w:r>
        <w:rPr>
          <w:rFonts w:cs="Calibri Light"/>
          <w:b w:val="1"/>
          <w:bCs w:val="0"/>
          <w:caps w:val="0"/>
          <w:sz w:val="28"/>
          <w:szCs w:val="32"/>
          <w:kern w:val="32"/>
        </w:rPr>
        <w:fldChar w:fldCharType="end"/>
      </w:r>
    </w:p>
    <w:p>
      <w:pPr>
        <w:pStyle w:val="P21"/>
        <w:ind w:left="720"/>
        <w:jc w:val="both"/>
        <w:rPr>
          <w:rFonts w:cs="Calibri Light"/>
          <w:b w:val="1"/>
          <w:bCs w:val="0"/>
          <w:caps w:val="0"/>
          <w:sz w:val="28"/>
          <w:szCs w:val="32"/>
          <w:kern w:val="32"/>
        </w:rPr>
      </w:pPr>
      <w:r>
        <w:rPr>
          <w:noProof w:val="1"/>
        </w:rPr>
        <mc:AlternateContent>
          <mc:Choice Requires="wps">
            <w:drawing>
              <wp:anchor xmlns:wp="http://schemas.openxmlformats.org/drawingml/2006/wordprocessingDrawing" distT="45720" distB="45720" distL="114300" distR="114300" simplePos="0" relativeHeight="1" behindDoc="0" locked="0" layoutInCell="1" allowOverlap="1">
                <wp:simplePos x="0" y="0"/>
                <wp:positionH relativeFrom="margin">
                  <wp:align>right</wp:align>
                </wp:positionH>
                <wp:positionV relativeFrom="paragraph">
                  <wp:posOffset>86995</wp:posOffset>
                </wp:positionV>
                <wp:extent cx="5210175" cy="828675"/>
                <wp:effectExtent l="0" t="0" r="28575" b="28575"/>
                <wp:wrapSquare wrapText="bothSides"/>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5210175" cy="828675"/>
                        </a:xfrm>
                        <a:prstGeom prst="rect"/>
                        <a:solidFill>
                          <a:srgbClr val="FFFFFF"/>
                        </a:solidFill>
                        <a:ln w="25400">
                          <a:solidFill>
                            <a:srgbClr val="FF0000"/>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Calibri Light" w:hAnsi="Calibri Light" w:cs="Calibri Light"/>
                                <w:color w:val="EA0000"/>
                                <w:sz w:val="22"/>
                                <w:szCs w:val="22"/>
                              </w:rPr>
                            </w:pPr>
                            <w:bookmarkStart w:id="0" w:name="be_uppdelninginordochsyd01"/>
                            <w:r>
                              <w:rPr>
                                <w:rFonts w:ascii="Calibri Light" w:hAnsi="Calibri Light" w:cs="Calibri Light"/>
                                <w:color w:val="EA0000"/>
                                <w:sz w:val="22"/>
                                <w:szCs w:val="22"/>
                              </w:rPr>
                              <w:t>Antagandet av detaljplanen är uppdelat i två delar, som benämns Nord och Syd. Denna handling är kallad Moheda 4:192 m.fl. (Nord). Röd linje i vänster marginal i denna handling markerar de delar som enbart berör markområdet som undantas från beslut om antagande av denna del.</w:t>
                            </w:r>
                            <w:bookmarkEnd w:id="0"/>
                          </w:p>
                        </w:txbxContent>
                      </wps:txbx>
                      <wps:bodyPr rot="0" vert="horz" wrap="square" lIns="91440" tIns="45720" rIns="91440" bIns="45720" anchor="t" anchorCtr="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 o:spid="_x0000_s1026" style="position:absolute;width:410.25pt;height:65.25pt;z-index:1;mso-wrap-distance-left:9pt;mso-wrap-distance-top:3.6pt;mso-wrap-distance-right:9pt;mso-wrap-distance-bottom:3.6pt;margin-left:0pt;margin-top:6.85pt;mso-position-horizontal:right;mso-position-horizontal-relative:margin;mso-position-vertical:absolute;mso-position-vertical-relative:text" o:allowincell="t" fillcolor="#FFFFFF" strokecolor="#FF0000" strokeweight="2pt" stroked="t">
                <v:textbox inset="3mm,1mm,3mm,1mm">
                  <w:txbxContent>
                    <w:p>
                      <w:pPr>
                        <w:rPr>
                          <w:rFonts w:ascii="Calibri Light" w:hAnsi="Calibri Light" w:cs="Calibri Light"/>
                          <w:color w:val="EA0000"/>
                          <w:sz w:val="22"/>
                          <w:szCs w:val="22"/>
                        </w:rPr>
                      </w:pPr>
                      <w:bookmarkStart w:id="0" w:name="be_uppdelninginordochsyd01"/>
                      <w:r>
                        <w:rPr>
                          <w:rFonts w:ascii="Calibri Light" w:hAnsi="Calibri Light" w:cs="Calibri Light"/>
                          <w:color w:val="EA0000"/>
                          <w:sz w:val="22"/>
                          <w:szCs w:val="22"/>
                        </w:rPr>
                        <w:t>Antagandet av detaljplanen är uppdelat i två delar, som benämns Nord och Syd. Denna handling är kallad Moheda 4:192 m.fl. (Nord). Röd linje i vänster marginal i denna handling markerar de delar som enbart berör markområdet som undantas från beslut om antagande av denna del.</w:t>
                      </w:r>
                      <w:bookmarkEnd w:id="0"/>
                    </w:p>
                  </w:txbxContent>
                </v:textbox>
                <w10:wrap type="square"/>
              </v:shape>
            </w:pict>
          </mc:Fallback>
        </mc:AlternateContent>
      </w:r>
    </w:p>
    <w:p>
      <w:pPr>
        <w:pStyle w:val="P21"/>
        <w:ind w:left="720"/>
        <w:jc w:val="both"/>
      </w:pPr>
    </w:p>
    <w:p>
      <w:pPr>
        <w:pStyle w:val="P1"/>
        <w:ind w:left="1080"/>
        <w:jc w:val="both"/>
      </w:pPr>
      <w:bookmarkEnd w:id="39"/>
      <w:bookmarkStart w:id="40" w:name="_Toc280260434"/>
      <w:bookmarkStart w:id="41" w:name="_Toc280260763"/>
      <w:bookmarkStart w:id="42" w:name="_Toc280261208"/>
      <w:bookmarkStart w:id="43" w:name="_Toc280261573"/>
      <w:bookmarkStart w:id="44" w:name="_Toc246132119"/>
      <w:r>
        <w:br w:type="page"/>
      </w:r>
      <w:bookmarkStart w:id="45" w:name="_Toc86648184"/>
      <w:r>
        <w:t xml:space="preserve"> INLEDNING</w:t>
      </w:r>
      <w:bookmarkEnd w:id="40"/>
      <w:bookmarkEnd w:id="41"/>
      <w:bookmarkEnd w:id="42"/>
      <w:bookmarkEnd w:id="43"/>
      <w:bookmarkEnd w:id="45"/>
    </w:p>
    <w:p>
      <w:pPr>
        <w:pStyle w:val="P2"/>
        <w:jc w:val="both"/>
        <w:rPr>
          <w:iCs w:val="0"/>
        </w:rPr>
      </w:pPr>
      <w:bookmarkStart w:id="46" w:name="_Toc275242353"/>
      <w:bookmarkStart w:id="47" w:name="_Toc280260764"/>
      <w:bookmarkStart w:id="48" w:name="_Toc280261209"/>
      <w:bookmarkStart w:id="49" w:name="_Toc280260435"/>
      <w:bookmarkStart w:id="50" w:name="_Toc280261574"/>
      <w:bookmarkStart w:id="51" w:name="sy_syfte01"/>
      <w:r>
        <w:rPr>
          <w:iCs w:val="0"/>
        </w:rPr>
        <w:t>PLANENS SYFTE OCH HUVUDDRAG</w:t>
      </w:r>
      <w:bookmarkEnd w:id="44"/>
      <w:bookmarkEnd w:id="46"/>
      <w:bookmarkEnd w:id="47"/>
      <w:bookmarkEnd w:id="48"/>
      <w:bookmarkEnd w:id="49"/>
      <w:bookmarkEnd w:id="50"/>
    </w:p>
    <w:p>
      <w:pPr>
        <w:pStyle w:val="P23"/>
        <w:rPr>
          <w:color w:val="333333"/>
          <w:shd w:val="clear" w:color="auto" w:fill="FFFFFF"/>
        </w:rPr>
      </w:pPr>
      <w:r>
        <w:t>Syftet med detaljplanen är att möjliggöra för bostäder i Moheda centrum.</w:t>
      </w:r>
      <w:r>
        <w:rPr>
          <w:color w:val="333333"/>
          <w:shd w:val="clear" w:color="auto" w:fill="FFFFFF"/>
        </w:rPr>
        <w:br w:type="textWrapping"/>
      </w:r>
      <w:r>
        <w:t>Detaljplanen handläggs med utökat planförfarande enligt 5 kap 7 § Plan- och bygglagen (SFS 2010:900).</w:t>
      </w:r>
    </w:p>
    <w:p>
      <w:pPr>
        <w:pStyle w:val="P2"/>
        <w:jc w:val="both"/>
        <w:rPr>
          <w:iCs w:val="0"/>
        </w:rPr>
      </w:pPr>
      <w:bookmarkEnd w:id="51"/>
      <w:bookmarkStart w:id="52" w:name="be_uppdelninginordochsyd02"/>
      <w:bookmarkStart w:id="53" w:name="_Toc246132120"/>
      <w:bookmarkStart w:id="54" w:name="_Toc275242354"/>
      <w:bookmarkStart w:id="55" w:name="_Toc280260436"/>
      <w:bookmarkStart w:id="56" w:name="_Toc280260765"/>
      <w:bookmarkStart w:id="57" w:name="_Toc280261210"/>
      <w:bookmarkStart w:id="58" w:name="_Toc280261575"/>
      <w:r>
        <w:rPr>
          <w:iCs w:val="0"/>
        </w:rPr>
        <w:t>UPPDELNING I nord OCH syd</w:t>
      </w:r>
    </w:p>
    <w:p>
      <w:pPr>
        <w:pStyle w:val="P5"/>
        <w:jc w:val="left"/>
      </w:pPr>
      <w:r>
        <w:t>Antagande av förslaget för detaljplan för Moheda 4:192 m.fl. är uppdelat i del ett (Nord) och två (Syd) i enlighet med illustrationen nedan. Antagandet av detaljplan och denna handling omfattar Moheda 4:192 m.fl. (Nord).</w:t>
        <w:br w:type="textWrapping"/>
        <w:br w:type="textWrapping"/>
      </w:r>
      <w:r>
        <w:rPr>
          <w:noProof w:val="1"/>
        </w:rPr>
        <w:drawing>
          <wp:inline xmlns:wp="http://schemas.openxmlformats.org/drawingml/2006/wordprocessingDrawing" distT="0" distB="0" distL="0" distR="0">
            <wp:extent cx="3526790" cy="4985385"/>
            <wp:effectExtent l="0" t="0" r="0" b="5715"/>
            <wp:docPr id="1380330684" name="Bildobjekt 1" descr="En bild som visar text, karta, diagram, Pla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330684" name="Bildobjekt 1" descr="En bild som visar text, karta, diagram, Plan&#10;&#10;Automatiskt genererad beskrivning"/>
                    <pic:cNvPicPr/>
                  </pic:nvPicPr>
                  <pic:blipFill dpi="0">
                    <a:blip xmlns:r="http://schemas.openxmlformats.org/officeDocument/2006/relationships" r:embed="Relimage1"/>
                    <a:srcRect/>
                    <a:stretch>
                      <a:fillRect/>
                    </a:stretch>
                  </pic:blipFill>
                  <pic:spPr>
                    <a:xfrm>
                      <a:off x="0" y="0"/>
                      <a:ext cx="3539496" cy="5003446"/>
                    </a:xfrm>
                    <a:prstGeom prst="rect"/>
                  </pic:spPr>
                </pic:pic>
              </a:graphicData>
            </a:graphic>
          </wp:inline>
        </w:drawing>
      </w:r>
      <w:r>
        <w:br w:type="textWrapping"/>
      </w:r>
      <w:r>
        <w:rPr>
          <w:i w:val="1"/>
          <w:iCs w:val="0"/>
        </w:rPr>
        <w:t>Uppdelning av detaljplanen i en första del (Nord) och andra del (Syd).</w:t>
      </w:r>
    </w:p>
    <w:p>
      <w:pPr>
        <w:pStyle w:val="P2"/>
        <w:jc w:val="both"/>
        <w:rPr>
          <w:iCs w:val="0"/>
        </w:rPr>
      </w:pPr>
      <w:bookmarkEnd w:id="52"/>
      <w:bookmarkStart w:id="59" w:name="be_befintligt01"/>
      <w:r>
        <w:rPr>
          <w:iCs w:val="0"/>
        </w:rPr>
        <w:t>PLANDATA</w:t>
      </w:r>
      <w:bookmarkEnd w:id="53"/>
      <w:bookmarkEnd w:id="54"/>
      <w:bookmarkEnd w:id="55"/>
      <w:bookmarkEnd w:id="56"/>
      <w:bookmarkEnd w:id="57"/>
      <w:bookmarkEnd w:id="58"/>
    </w:p>
    <w:p>
      <w:pPr>
        <w:pStyle w:val="P3"/>
        <w:jc w:val="both"/>
      </w:pPr>
      <w:bookmarkStart w:id="60" w:name="_Toc280259991"/>
      <w:bookmarkStart w:id="61" w:name="_Toc280260437"/>
      <w:r>
        <w:t>Lägesbestämning</w:t>
      </w:r>
      <w:bookmarkEnd w:id="60"/>
      <w:bookmarkEnd w:id="61"/>
      <w:r>
        <w:t xml:space="preserve"> </w:t>
      </w:r>
      <w:bookmarkStart w:id="62" w:name="_Toc280259992"/>
      <w:bookmarkStart w:id="63" w:name="_Toc280260438"/>
      <w:r>
        <w:t>och areal</w:t>
      </w:r>
      <w:bookmarkEnd w:id="62"/>
      <w:bookmarkEnd w:id="63"/>
    </w:p>
    <w:p>
      <w:pPr>
        <w:pStyle w:val="P23"/>
        <w:rPr>
          <w:rStyle w:val="C8"/>
          <w:i w:val="0"/>
          <w:color w:val="auto"/>
          <w:sz w:val="22"/>
          <w:szCs w:val="22"/>
        </w:rPr>
      </w:pPr>
      <w:r>
        <w:t>Planområdet är beläget i centrala Moheda.</w:t>
      </w:r>
    </w:p>
    <w:p>
      <w:pPr>
        <w:pStyle w:val="P23"/>
      </w:pPr>
      <w:r>
        <w:rPr>
          <w:i w:val="1"/>
          <w:noProof w:val="1"/>
          <w:sz w:val="20"/>
          <w:szCs w:val="20"/>
        </w:rPr>
        <w:drawing>
          <wp:inline xmlns:wp="http://schemas.openxmlformats.org/drawingml/2006/wordprocessingDrawing" distT="0" distB="0" distL="0" distR="0">
            <wp:extent cx="3372485" cy="2529205"/>
            <wp:effectExtent l="0" t="0" r="0" b="4445"/>
            <wp:docPr id="1687163261" name="Bildobjekt 2" descr="En bild som visar Flygfotografi, karta, Stadsdesign, kors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163261" name="Bildobjekt 2" descr="En bild som visar Flygfotografi, karta, Stadsdesign, korsning&#10;&#10;Automatiskt genererad beskrivning"/>
                    <pic:cNvPicPr/>
                  </pic:nvPicPr>
                  <pic:blipFill dpi="0">
                    <a:blip xmlns:r="http://schemas.openxmlformats.org/officeDocument/2006/relationships" r:embed="Relimage2" cstate="print"/>
                    <a:srcRect/>
                    <a:stretch>
                      <a:fillRect/>
                    </a:stretch>
                  </pic:blipFill>
                  <pic:spPr>
                    <a:xfrm>
                      <a:off x="0" y="0"/>
                      <a:ext cx="3382366" cy="2536592"/>
                    </a:xfrm>
                    <a:prstGeom prst="rect"/>
                  </pic:spPr>
                </pic:pic>
              </a:graphicData>
            </a:graphic>
          </wp:inline>
        </w:drawing>
      </w:r>
      <w:r>
        <w:rPr>
          <w:rStyle w:val="C8"/>
          <w:color w:val="000000" w:themeColor="text1"/>
        </w:rPr>
        <w:br w:type="textWrapping"/>
        <w:t>Planområdets lokalisering i Moheda tätort.</w:t>
      </w:r>
    </w:p>
    <w:p>
      <w:pPr>
        <w:pStyle w:val="P3"/>
        <w:jc w:val="both"/>
      </w:pPr>
      <w:bookmarkStart w:id="64" w:name="_Toc280259993"/>
      <w:bookmarkStart w:id="65" w:name="_Toc280260439"/>
      <w:r>
        <w:t>Markägoförhållanden</w:t>
      </w:r>
      <w:bookmarkEnd w:id="64"/>
      <w:bookmarkEnd w:id="65"/>
    </w:p>
    <w:p>
      <w:pPr>
        <w:pStyle w:val="P23"/>
        <w:rPr>
          <w:color w:val="auto"/>
        </w:rPr>
      </w:pPr>
      <w:r>
        <w:rPr>
          <w:color w:val="auto"/>
        </w:rPr>
        <w:t>Alvesta kommun är fastighetsägare till Moheda 4:206, Moheda 4:205 och Moheda 4:192.</w:t>
      </w:r>
    </w:p>
    <w:p>
      <w:pPr>
        <w:pStyle w:val="P2"/>
        <w:jc w:val="both"/>
        <w:rPr>
          <w:iCs w:val="0"/>
        </w:rPr>
      </w:pPr>
      <w:bookmarkStart w:id="66" w:name="_Toc246132121"/>
      <w:bookmarkStart w:id="67" w:name="_Toc275242355"/>
      <w:bookmarkStart w:id="68" w:name="_Toc280260766"/>
      <w:bookmarkStart w:id="69" w:name="_Toc280260440"/>
      <w:bookmarkStart w:id="70" w:name="_Toc280261211"/>
      <w:bookmarkStart w:id="71" w:name="_Toc280261576"/>
      <w:r>
        <w:rPr>
          <w:iCs w:val="0"/>
        </w:rPr>
        <w:t>TIDIGARE STÄLLNINGSTAGANDEN</w:t>
      </w:r>
      <w:bookmarkEnd w:id="66"/>
      <w:bookmarkEnd w:id="67"/>
      <w:bookmarkEnd w:id="68"/>
      <w:bookmarkEnd w:id="69"/>
      <w:bookmarkEnd w:id="70"/>
      <w:bookmarkEnd w:id="71"/>
    </w:p>
    <w:p>
      <w:pPr>
        <w:pStyle w:val="P3"/>
        <w:jc w:val="both"/>
      </w:pPr>
      <w:bookmarkStart w:id="72" w:name="_Toc280259995"/>
      <w:bookmarkStart w:id="73" w:name="_Toc280260441"/>
      <w:r>
        <w:t>Översiktsplan</w:t>
      </w:r>
      <w:bookmarkEnd w:id="72"/>
      <w:bookmarkEnd w:id="73"/>
    </w:p>
    <w:p>
      <w:pPr>
        <w:pStyle w:val="P23"/>
      </w:pPr>
      <w:r>
        <w:t xml:space="preserve">I den fördjupade översiktsplanen för Moheda tätort föreslås centrumutveckling </w:t>
      </w:r>
      <w:bookmarkStart w:id="74" w:name="_Hlk159510261"/>
      <w:r>
        <w:t xml:space="preserve">inom hela planområdet. </w:t>
      </w:r>
      <w:bookmarkEnd w:id="74"/>
    </w:p>
    <w:p>
      <w:pPr>
        <w:pStyle w:val="P23"/>
      </w:pPr>
      <w:r>
        <w:t>Moheda är i behov av ett ökat bostadsbestånd i form av flerbostadshus. Bostäder i flerbostadshus innefattas inom centrumutveckling. Planförslaget är därför att bostäder ska möjliggöras och föreslås inom hela planområdet. Planförslaget bedöms inte strida mot översiktsplanens intentioner.</w:t>
      </w:r>
    </w:p>
    <w:p>
      <w:pPr>
        <w:pStyle w:val="P3"/>
        <w:jc w:val="both"/>
      </w:pPr>
      <w:bookmarkStart w:id="75" w:name="_Toc280259996"/>
      <w:bookmarkStart w:id="76" w:name="_Toc280260442"/>
      <w:r>
        <w:t>Gällande detaljplaner</w:t>
      </w:r>
      <w:bookmarkEnd w:id="75"/>
      <w:bookmarkEnd w:id="76"/>
    </w:p>
    <w:p>
      <w:pPr>
        <w:pStyle w:val="P4"/>
        <w:jc w:val="both"/>
      </w:pPr>
      <w:bookmarkStart w:id="77" w:name="_Toc280259997"/>
      <w:bookmarkStart w:id="78" w:name="_Toc280260443"/>
      <w:r>
        <w:t>Inom planområdet:</w:t>
      </w:r>
    </w:p>
    <w:p>
      <w:pPr>
        <w:pStyle w:val="P23"/>
        <w:rPr>
          <w:color w:val="auto"/>
        </w:rPr>
      </w:pPr>
      <w:r>
        <w:t>Marken är sedan tidigare planlagd med en detaljplan, M32 (Förslag till ändring av byggnadsplan för centrala delen av Moheda), som vann laga kraft</w:t>
      </w:r>
      <w:r>
        <w:rPr>
          <w:color w:val="auto"/>
        </w:rPr>
        <w:t xml:space="preserve"> 1981-12-16. I detaljplanen regleras marken inom detaljplaneområdet för torg i den norra delen och gång- och cykelväg i det mellersta stråket. Den södra delen regleras för parkering. </w:t>
      </w:r>
    </w:p>
    <w:p>
      <w:pPr>
        <w:pStyle w:val="P23"/>
      </w:pPr>
      <w:r>
        <w:t>Detaljplanen 0764-p2018/8 har ändrat huvudmannaskap för allmän plats till kommunalt huvudmannaskap.</w:t>
      </w:r>
    </w:p>
    <w:p>
      <w:pPr>
        <w:pStyle w:val="P5"/>
        <w:rPr>
          <w:i w:val="1"/>
          <w:iCs w:val="0"/>
        </w:rPr>
      </w:pPr>
      <w:r>
        <w:rPr>
          <w:noProof w:val="1"/>
        </w:rPr>
        <w:drawing>
          <wp:inline xmlns:wp="http://schemas.openxmlformats.org/drawingml/2006/wordprocessingDrawing" distT="0" distB="0" distL="0" distR="0">
            <wp:extent cx="5909310" cy="4167505"/>
            <wp:effectExtent l="0" t="0" r="0" b="4445"/>
            <wp:docPr id="2064207505" name="Bildobjekt 3" descr="En bild som visar text, karta, Plan, kartbo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07505" name="Bildobjekt 3" descr="En bild som visar text, karta, Plan, kartbok&#10;&#10;Automatiskt genererad beskrivning"/>
                    <pic:cNvPicPr/>
                  </pic:nvPicPr>
                  <pic:blipFill dpi="0">
                    <a:blip xmlns:r="http://schemas.openxmlformats.org/officeDocument/2006/relationships" r:embed="Relimage3"/>
                    <a:srcRect/>
                    <a:stretch>
                      <a:fillRect/>
                    </a:stretch>
                  </pic:blipFill>
                  <pic:spPr>
                    <a:xfrm>
                      <a:off x="0" y="0"/>
                      <a:ext cx="5909310" cy="4167505"/>
                    </a:xfrm>
                    <a:prstGeom prst="rect"/>
                  </pic:spPr>
                </pic:pic>
              </a:graphicData>
            </a:graphic>
          </wp:inline>
        </w:drawing>
      </w:r>
      <w:r>
        <w:br w:type="textWrapping"/>
      </w:r>
      <w:r>
        <w:rPr>
          <w:i w:val="1"/>
          <w:iCs w:val="0"/>
        </w:rPr>
        <w:t>Gällande detaljplaner inom och kring planområdet.</w:t>
      </w:r>
    </w:p>
    <w:p>
      <w:pPr>
        <w:pStyle w:val="P4"/>
        <w:jc w:val="both"/>
      </w:pPr>
      <w:r>
        <w:t xml:space="preserve">Närmast utanför planområdet: </w:t>
      </w:r>
    </w:p>
    <w:p>
      <w:pPr>
        <w:pStyle w:val="P23"/>
      </w:pPr>
      <w:r>
        <w:t>Närmast planområdet i nordväst återfinns detaljplan M58, lagakraftvunnen 2017-09-26, som möjliggör för bostäder och handel.</w:t>
      </w:r>
    </w:p>
    <w:p>
      <w:pPr>
        <w:pStyle w:val="P3"/>
        <w:jc w:val="both"/>
      </w:pPr>
      <w:bookmarkEnd w:id="59"/>
      <w:bookmarkStart w:id="79" w:name="be_kommunalabeslut01"/>
      <w:r>
        <w:t>Kommunala beslut</w:t>
      </w:r>
      <w:bookmarkEnd w:id="77"/>
      <w:bookmarkEnd w:id="78"/>
    </w:p>
    <w:p>
      <w:pPr>
        <w:pStyle w:val="P23"/>
      </w:pPr>
      <w:bookmarkStart w:id="80" w:name="_Toc280259999"/>
      <w:bookmarkStart w:id="81" w:name="_Toc280260445"/>
      <w:r>
        <w:t>Samhällsbyggnadsnämnden gav 2021-12-07 (SBN § 89) samhällsbyggnads-förvaltningen i uppdrag att upprätta och samråda om förslag till detaljplan.</w:t>
      </w:r>
    </w:p>
    <w:p>
      <w:pPr>
        <w:pStyle w:val="P23"/>
        <w:ind w:left="0"/>
      </w:pPr>
      <w:bookmarkEnd w:id="79"/>
    </w:p>
    <w:p>
      <w:pPr>
        <w:pStyle w:val="P23"/>
        <w:ind w:left="0"/>
      </w:pPr>
    </w:p>
    <w:p>
      <w:pPr>
        <w:pStyle w:val="P23"/>
        <w:ind w:left="0"/>
      </w:pPr>
    </w:p>
    <w:p>
      <w:pPr>
        <w:pStyle w:val="P23"/>
        <w:ind w:left="0"/>
      </w:pPr>
    </w:p>
    <w:p>
      <w:pPr>
        <w:pStyle w:val="P23"/>
        <w:ind w:left="0"/>
      </w:pPr>
    </w:p>
    <w:p>
      <w:pPr>
        <w:pStyle w:val="P1"/>
        <w:jc w:val="both"/>
      </w:pPr>
      <w:bookmarkEnd w:id="80"/>
      <w:bookmarkEnd w:id="81"/>
      <w:bookmarkStart w:id="82" w:name="_Toc280260448"/>
      <w:bookmarkStart w:id="83" w:name="_Toc86648185"/>
      <w:bookmarkStart w:id="84" w:name="_Toc280261213"/>
      <w:bookmarkStart w:id="85" w:name="_Toc280260768"/>
      <w:bookmarkStart w:id="86" w:name="_Toc246132123"/>
      <w:bookmarkStart w:id="87" w:name="_Toc280261578"/>
      <w:r>
        <w:t>PLATSENS FÖRUTSÄTTNINGAR</w:t>
      </w:r>
      <w:bookmarkEnd w:id="82"/>
      <w:bookmarkEnd w:id="83"/>
      <w:bookmarkEnd w:id="84"/>
      <w:bookmarkEnd w:id="85"/>
      <w:bookmarkEnd w:id="86"/>
      <w:bookmarkEnd w:id="87"/>
    </w:p>
    <w:p>
      <w:pPr>
        <w:pStyle w:val="P3"/>
        <w:jc w:val="both"/>
      </w:pPr>
      <w:bookmarkStart w:id="88" w:name="_Toc280260004"/>
      <w:bookmarkStart w:id="89" w:name="_Toc280260450"/>
      <w:bookmarkStart w:id="90" w:name="pf_fysiskmiljö01"/>
      <w:r>
        <w:t>Befintlig bebyggelse</w:t>
      </w:r>
      <w:bookmarkEnd w:id="88"/>
      <w:bookmarkEnd w:id="89"/>
    </w:p>
    <w:p>
      <w:pPr>
        <w:pStyle w:val="P23"/>
      </w:pPr>
      <w:r>
        <w:t>Planområdet är inte bebyggt idag, utan består av hårdgjorda ytor som bland annat nyttjas som parkeringsplatser.</w:t>
      </w:r>
    </w:p>
    <w:p>
      <w:pPr>
        <w:pStyle w:val="P3"/>
        <w:jc w:val="both"/>
      </w:pPr>
      <w:r>
        <w:t xml:space="preserve">Mark och vegetation </w:t>
      </w:r>
    </w:p>
    <w:p>
      <w:pPr>
        <w:pStyle w:val="P23"/>
      </w:pPr>
      <w:bookmarkStart w:id="91" w:name="_Toc280260005"/>
      <w:bookmarkStart w:id="92" w:name="_Toc280260451"/>
      <w:r>
        <w:t xml:space="preserve">Mestadels asfalterade eller grusade ytor. </w:t>
      </w:r>
    </w:p>
    <w:p>
      <w:pPr>
        <w:pStyle w:val="P3"/>
        <w:jc w:val="both"/>
      </w:pPr>
      <w:bookmarkEnd w:id="90"/>
      <w:bookmarkStart w:id="93" w:name="pf_geotekniskaförhållanden01"/>
      <w:r>
        <w:t>Geologiska förutsättningar</w:t>
      </w:r>
    </w:p>
    <w:p>
      <w:pPr>
        <w:pStyle w:val="P23"/>
        <w:rPr>
          <w:b w:val="1"/>
          <w:bCs w:val="1"/>
          <w:sz w:val="40"/>
          <w:szCs w:val="40"/>
        </w:rPr>
      </w:pPr>
      <w:r>
        <w:rPr>
          <w:b w:val="1"/>
          <w:bCs w:val="1"/>
          <w:noProof w:val="1"/>
          <w:sz w:val="40"/>
          <w:szCs w:val="40"/>
        </w:rPr>
        <w:drawing>
          <wp:inline xmlns:wp="http://schemas.openxmlformats.org/drawingml/2006/wordprocessingDrawing" distT="0" distB="0" distL="0" distR="0">
            <wp:extent cx="2979420" cy="2234565"/>
            <wp:effectExtent l="0" t="0" r="0" b="0"/>
            <wp:docPr id="1245955037" name="Bildobjekt 4" descr="En bild som visar text, diagram, skärmbild, linj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955037" name="Bildobjekt 4" descr="En bild som visar text, diagram, skärmbild, linje&#10;&#10;Automatiskt genererad beskrivning"/>
                    <pic:cNvPicPr/>
                  </pic:nvPicPr>
                  <pic:blipFill dpi="0">
                    <a:blip xmlns:r="http://schemas.openxmlformats.org/officeDocument/2006/relationships" r:embed="Relimage4" cstate="print"/>
                    <a:srcRect/>
                    <a:stretch>
                      <a:fillRect/>
                    </a:stretch>
                  </pic:blipFill>
                  <pic:spPr>
                    <a:xfrm>
                      <a:off x="0" y="0"/>
                      <a:ext cx="2987090" cy="2240478"/>
                    </a:xfrm>
                    <a:prstGeom prst="rect"/>
                  </pic:spPr>
                </pic:pic>
              </a:graphicData>
            </a:graphic>
          </wp:inline>
        </w:drawing>
      </w:r>
    </w:p>
    <w:p>
      <w:pPr>
        <w:pStyle w:val="P23"/>
        <w:rPr>
          <w:i w:val="1"/>
          <w:iCs w:val="0"/>
        </w:rPr>
      </w:pPr>
      <w:r>
        <w:rPr>
          <w:i w:val="1"/>
          <w:iCs w:val="0"/>
        </w:rPr>
        <w:t>Jordartskarta över planområdet.</w:t>
      </w:r>
    </w:p>
    <w:p>
      <w:pPr>
        <w:pStyle w:val="P23"/>
      </w:pPr>
      <w:r>
        <w:rPr>
          <w:color w:val="auto"/>
        </w:rPr>
        <w:t xml:space="preserve">Planområdet utgörs till största del av isälvssediment och till liten del av glacial silt enligt SGU 2021. </w:t>
      </w:r>
      <w:r>
        <w:rPr>
          <w:rStyle w:val="C19"/>
          <w:rFonts w:ascii="Calibri Light" w:hAnsi="Calibri Light" w:cs="Calibri Light"/>
          <w:color w:val="auto"/>
          <w:sz w:val="22"/>
          <w:szCs w:val="22"/>
        </w:rPr>
        <w:t xml:space="preserve">Området bedöms </w:t>
      </w:r>
      <w:r>
        <w:rPr>
          <w:rStyle w:val="C19"/>
          <w:rFonts w:ascii="Calibri Light" w:hAnsi="Calibri Light" w:cs="Calibri Light"/>
          <w:sz w:val="22"/>
          <w:szCs w:val="22"/>
        </w:rPr>
        <w:t>som lämpligt att bebygga.</w:t>
      </w:r>
    </w:p>
    <w:p>
      <w:pPr>
        <w:pStyle w:val="P3"/>
        <w:jc w:val="both"/>
      </w:pPr>
      <w:bookmarkEnd w:id="93"/>
      <w:bookmarkStart w:id="94" w:name="pf_trafik01"/>
      <w:r>
        <w:t>Gator och trafik</w:t>
      </w:r>
      <w:bookmarkEnd w:id="91"/>
      <w:bookmarkEnd w:id="92"/>
    </w:p>
    <w:p>
      <w:pPr>
        <w:pStyle w:val="P23"/>
      </w:pPr>
      <w:r>
        <w:t>Kvarteret omges av fyra vägar; Torpsbruksvägen i väster; Växjövägen i söder; Storgatan i öster och Kyrkogatan i norr.</w:t>
      </w:r>
    </w:p>
    <w:p>
      <w:pPr>
        <w:pStyle w:val="P3"/>
        <w:jc w:val="both"/>
      </w:pPr>
      <w:bookmarkEnd w:id="94"/>
      <w:bookmarkStart w:id="95" w:name="_Toc280260006"/>
      <w:bookmarkStart w:id="96" w:name="_Toc280260452"/>
      <w:bookmarkStart w:id="97" w:name="pf_service01"/>
      <w:r>
        <w:t>Service, närmiljö</w:t>
      </w:r>
      <w:bookmarkEnd w:id="95"/>
      <w:bookmarkEnd w:id="96"/>
      <w:bookmarkStart w:id="98" w:name="_Toc280260007"/>
      <w:bookmarkStart w:id="99" w:name="_Toc280260453"/>
      <w:r>
        <w:t xml:space="preserve"> och tillgänglighet</w:t>
      </w:r>
      <w:bookmarkEnd w:id="98"/>
      <w:bookmarkEnd w:id="99"/>
    </w:p>
    <w:p>
      <w:pPr>
        <w:pStyle w:val="P23"/>
      </w:pPr>
      <w:r>
        <w:t>Planområdet återfinns inom centrala Moheda och har närhet, och god tillgänglighet till den service som erbjuds inom centrum och centrumfunktioner.</w:t>
      </w:r>
    </w:p>
    <w:p>
      <w:pPr>
        <w:pStyle w:val="P3"/>
        <w:jc w:val="both"/>
      </w:pPr>
      <w:bookmarkEnd w:id="97"/>
      <w:bookmarkStart w:id="100" w:name="_Toc280260008"/>
      <w:bookmarkStart w:id="101" w:name="_Toc280260454"/>
      <w:bookmarkStart w:id="102" w:name="pf_teknik01"/>
      <w:r>
        <w:t>Teknisk försörjning</w:t>
      </w:r>
      <w:bookmarkEnd w:id="100"/>
      <w:bookmarkEnd w:id="101"/>
    </w:p>
    <w:p>
      <w:pPr>
        <w:pStyle w:val="P23"/>
      </w:pPr>
      <w:r>
        <w:t>Området ligger inom verksamhetsområdet för kommunalt VA.</w:t>
      </w:r>
    </w:p>
    <w:p>
      <w:pPr>
        <w:pStyle w:val="P3"/>
        <w:jc w:val="both"/>
        <w:rPr>
          <w:rFonts w:cs="Arial"/>
          <w:b w:val="0"/>
          <w:bCs w:val="0"/>
        </w:rPr>
      </w:pPr>
      <w:bookmarkEnd w:id="102"/>
      <w:bookmarkStart w:id="103" w:name="pf_teknik02"/>
      <w:r>
        <w:t xml:space="preserve">Ledningsrätter </w:t>
      </w:r>
    </w:p>
    <w:p>
      <w:pPr>
        <w:pStyle w:val="P23"/>
      </w:pPr>
      <w:r>
        <w:t>Ledningsrätter för tele (0764–00/32.</w:t>
      </w:r>
      <w:r>
        <w:rPr>
          <w:color w:val="auto"/>
        </w:rPr>
        <w:t xml:space="preserve">2, 0764–87/49.1), fjärrvärme </w:t>
      </w:r>
      <w:r>
        <w:t xml:space="preserve">(0764–00/32.1), och för starkström (0764–96/6) </w:t>
      </w:r>
      <w:bookmarkStart w:id="104" w:name="_Hlk123802374"/>
      <w:r>
        <w:t>ligger inom kvartersmark i detaljplanen. Markreservat för underjordiska ledningar (u) tillskapas för att bibehålla ledningsrätterna i befintliga sträckningar. Rättigheterna kommer därför inte att påverkas av planens genomförande.</w:t>
      </w:r>
      <w:bookmarkEnd w:id="104"/>
    </w:p>
    <w:p>
      <w:pPr>
        <w:pStyle w:val="P3"/>
        <w:jc w:val="both"/>
      </w:pPr>
      <w:bookmarkEnd w:id="103"/>
      <w:bookmarkStart w:id="105" w:name="_Toc280260010"/>
      <w:bookmarkStart w:id="106" w:name="_Toc280260456"/>
      <w:bookmarkStart w:id="107" w:name="pf_fornlämningar01"/>
      <w:r>
        <w:t>Fornlämningar</w:t>
      </w:r>
      <w:bookmarkEnd w:id="105"/>
      <w:bookmarkEnd w:id="106"/>
    </w:p>
    <w:p>
      <w:pPr>
        <w:pStyle w:val="P23"/>
      </w:pPr>
      <w:r>
        <w:t xml:space="preserve">Inom planområdet finns inga kända fornlämningar. </w:t>
      </w:r>
    </w:p>
    <w:p>
      <w:pPr>
        <w:pStyle w:val="P22"/>
      </w:pPr>
      <w:r>
        <w:t>Om man vid markarbeten eller annat arbete skulle påträffa fornlämningar finns anmälningsplikt enligt 2 kap. 5 § kulturmiljölagen (1988:950).</w:t>
      </w:r>
    </w:p>
    <w:p>
      <w:pPr>
        <w:pStyle w:val="P3"/>
        <w:jc w:val="both"/>
        <w:rPr>
          <w:rStyle w:val="C7"/>
          <w:b w:val="0"/>
          <w:bCs w:val="0"/>
        </w:rPr>
      </w:pPr>
      <w:bookmarkEnd w:id="107"/>
      <w:r>
        <w:rPr>
          <w:rFonts w:ascii="Calibri Light" w:hAnsi="Calibri Light" w:cs="Calibri Light"/>
        </w:rPr>
        <w:t>Strandskydd</w:t>
        <w:br w:type="textWrapping"/>
      </w:r>
      <w:r>
        <w:rPr>
          <w:rFonts w:ascii="Calibri Light" w:hAnsi="Calibri Light" w:cs="Calibri Light"/>
          <w:b w:val="0"/>
          <w:bCs w:val="0"/>
          <w:color w:val="000000" w:themeColor="text1"/>
        </w:rPr>
        <w:br w:type="textWrapping"/>
      </w:r>
      <w:bookmarkStart w:id="108" w:name="pf_strandskydd01"/>
      <w:r>
        <w:rPr>
          <w:rStyle w:val="C7"/>
          <w:b w:val="0"/>
          <w:bCs w:val="0"/>
        </w:rPr>
        <w:t xml:space="preserve">Planområdet ligger inom strandskyddat område för Mohedaån. En ny detaljplan upprättas, vilket gör att strandskyddet återinträder. Syftet med detaljplanen får som konsekvens att strandskyddet upphävs inom den del som berörs och som särskilda skäl åberopas enligt </w:t>
      </w:r>
      <w:bookmarkStart w:id="109" w:name="_Hlk135382344"/>
      <w:r>
        <w:rPr>
          <w:rStyle w:val="C7"/>
          <w:b w:val="0"/>
          <w:bCs w:val="0"/>
        </w:rPr>
        <w:t>7 kap 18 c § miljöbalken</w:t>
      </w:r>
      <w:bookmarkEnd w:id="109"/>
      <w:r>
        <w:rPr>
          <w:rStyle w:val="C7"/>
          <w:b w:val="0"/>
          <w:bCs w:val="0"/>
        </w:rPr>
        <w:t xml:space="preserve">, punkt 2; att området genom en väg eller annan exploatering är väl avskilt från området närmast strandlinjen (avskilt från Mohedaån genom Torpsbruksvägen och från strandområdet genom muren till Moheda kyrkogård). </w:t>
      </w:r>
    </w:p>
    <w:p>
      <w:pPr>
        <w:pStyle w:val="P3"/>
        <w:jc w:val="both"/>
        <w:rPr>
          <w:rStyle w:val="C7"/>
          <w:b w:val="0"/>
          <w:bCs w:val="0"/>
        </w:rPr>
      </w:pPr>
      <w:r>
        <w:rPr>
          <w:rStyle w:val="C7"/>
          <w:b w:val="0"/>
          <w:bCs w:val="0"/>
        </w:rPr>
        <w:t xml:space="preserve">Planområdet är tillgängligt för allmänheten men saknar särskilda naturvärden och utgörs till största delen av hårdgjord yta. Delen av planområdet inom strandskyddat område saknar rekreationsvärde genom bristen på natur och områdets beskaffenhet. Planområdet anses uppfylla punkt 2, 7 kap 18 c § MB; upphävande av strandskyddet genom att en väg, järnväg, bebyggelse eller annan exploatering är väl avskilt från området närmast strandlinjen. Planområdet är väl avskilt från Mohedaåns strandlinje genom Torpsbruksvägen, en statlig 2-fältsväg och huvudled. Vägen är 8 meter bred och asfalterad, med en 2 meter bred gångbana och streckad mittlinje. Vägen tillhör funktionell vägklass 4 och bärighetsklass 1. Torpsbruksvägen har en årsmedeldygnstrafik (ÅDT) på 1001–2000 motorfordon/dygn, samt 51–100 fordon tung trafik/dygn.  Snittet för mätningen mellan 2020–2021 var 1280 ± (9%) motorfordon och 60± (24%) tung trafik. Uppmätta värden år 2020–2021 kan vara påverkade av pandemirestriktioner till följd av covid-19, och det är möjligt att antalet är högre idag. Torpsbruksvägens bredd, och trafikmängd förhindrar allmänheten från att enkelt korsa vägen på annan plats än övergångsstället i korsningen mot Växjövägen, särskilt med tanken på den tunga trafiken.  </w:t>
      </w:r>
    </w:p>
    <w:p>
      <w:pPr>
        <w:pStyle w:val="P3"/>
        <w:jc w:val="both"/>
        <w:rPr>
          <w:rStyle w:val="C7"/>
          <w:b w:val="0"/>
          <w:bCs w:val="0"/>
        </w:rPr>
      </w:pPr>
      <w:r>
        <w:rPr>
          <w:rStyle w:val="C7"/>
          <w:b w:val="0"/>
          <w:bCs w:val="0"/>
        </w:rPr>
        <w:t>Växjövägen avgränsar planytan söderom. Vägen har streckad mittlinje, är en 2-fältsväg som är 7 meter bred, tillhör funktionell vägklass 4 och bärighetsklass 4 och underhållstypen övriga för näringslivet viktiga vägar. Avseende trafikmängd (ÅDT) har Växjövägen ett snitt på 2800± (7%) motorfordon och 90± (20%) tung trafik. Växjövägen är genomfartsvägen till och från Moheda mot Alvesta och transportvägen för tunga fordon till och från ATA Timber AB. Även Växjövägen är trafikmässigt svår att passera på annan plats än vid övergångsställen.</w:t>
      </w:r>
    </w:p>
    <w:p>
      <w:pPr>
        <w:pStyle w:val="P3"/>
        <w:jc w:val="both"/>
        <w:rPr>
          <w:rStyle w:val="C7"/>
          <w:b w:val="0"/>
          <w:bCs w:val="0"/>
        </w:rPr>
      </w:pPr>
      <w:r>
        <w:rPr>
          <w:rStyle w:val="C7"/>
          <w:b w:val="0"/>
          <w:bCs w:val="0"/>
        </w:rPr>
        <w:t>En mur markerar området för Moheda kyrka och kyrkogård samt omsluter kyrkogården och Mohedaån vilket avskiljer ån från Torpsbruksvägen. Längst norrut når den ca 1,6 meter. Längre söderut blir muren ca 1,3 m och ca 0,7 meter längst söderut, med ett buskage vid murens kant.</w:t>
      </w:r>
    </w:p>
    <w:p>
      <w:pPr>
        <w:pStyle w:val="P3"/>
        <w:jc w:val="both"/>
        <w:rPr>
          <w:rStyle w:val="C7"/>
          <w:b w:val="0"/>
          <w:bCs w:val="0"/>
        </w:rPr>
      </w:pPr>
      <w:r>
        <w:rPr>
          <w:rStyle w:val="C7"/>
          <w:b w:val="0"/>
          <w:bCs w:val="0"/>
        </w:rPr>
        <w:t xml:space="preserve">Den sammanhängande muren förhindrar också framkomligheten till Mohedaån. En öppning för passage på 2 meter återfinns i den södra delen av muren mot planområdet och två grindar återfinns i den norra delen, avseende delarna som angränsar planområdet. Muren begränsar och hindrar allmänhetens möjlighet, i synnerlighet barn och rörelsehindrade från att korsa muren från trottoaren på ett säkert sätt utan att använda passagerna samt övergångsställen om de rör sig från planområdet mot Mohedaån. Detaljplanen påverkar inte heller passagemöjligheter in till strandområdet eftersom dessa sker genom passagerna genom stenmuren. Muren och vägen avgränsar det tätbebyggda området i Moheda centrum från rekreationsplatsen på kyrkogårdens parkyta.  </w:t>
      </w:r>
    </w:p>
    <w:p>
      <w:pPr>
        <w:pStyle w:val="P3"/>
        <w:jc w:val="both"/>
        <w:rPr>
          <w:rFonts w:ascii="Calibri Light" w:hAnsi="Calibri Light" w:cs="Calibri Light"/>
          <w:b w:val="0"/>
          <w:bCs w:val="0"/>
          <w:szCs w:val="22"/>
        </w:rPr>
      </w:pPr>
      <w:bookmarkEnd w:id="108"/>
      <w:bookmarkStart w:id="110" w:name="pf_strandskydd02"/>
      <w:r>
        <w:rPr>
          <w:rStyle w:val="C7"/>
          <w:b w:val="0"/>
          <w:bCs w:val="0"/>
        </w:rPr>
        <w:t xml:space="preserve">Nämnda skäl anges för att bestyrka att </w:t>
      </w:r>
      <w:bookmarkEnd w:id="110"/>
      <w:bookmarkStart w:id="111" w:name="mo_motivtillreglering05"/>
      <w:r>
        <w:rPr>
          <w:rStyle w:val="C7"/>
          <w:b w:val="0"/>
          <w:bCs w:val="0"/>
        </w:rPr>
        <w:t>planområdet är tillräckligt avgränsat från strandområdet enligt punkt 2, 7 kap 18 c § MB</w:t>
      </w:r>
      <w:bookmarkEnd w:id="111"/>
      <w:r>
        <w:rPr>
          <w:rStyle w:val="C7"/>
          <w:b w:val="0"/>
          <w:bCs w:val="0"/>
        </w:rPr>
        <w:t>.</w:t>
      </w:r>
    </w:p>
    <w:p>
      <w:pPr>
        <w:pStyle w:val="P3"/>
        <w:pBdr>
          <w:top w:val="none" w:sz="0" w:space="0" w:shadow="0" w:frame="0" w:color="auto"/>
          <w:left w:val="single" w:sz="18" w:space="8" w:shadow="0" w:frame="0" w:color="FF0000"/>
          <w:bottom w:val="none" w:sz="0" w:space="0" w:shadow="0" w:frame="0" w:color="auto"/>
          <w:right w:val="none" w:sz="0" w:space="0" w:shadow="0" w:frame="0" w:color="auto"/>
          <w:between w:val="none" w:sz="0" w:space="0" w:shadow="0" w:frame="0" w:color="auto"/>
        </w:pBdr>
        <w:jc w:val="both"/>
        <w:rPr>
          <w:rFonts w:ascii="Calibri Light" w:hAnsi="Calibri Light" w:cs="Calibri Light"/>
        </w:rPr>
      </w:pPr>
      <w:bookmarkStart w:id="112" w:name="pu_delarsomundantasantagande02"/>
      <w:r>
        <w:rPr>
          <w:rFonts w:ascii="Calibri Light" w:hAnsi="Calibri Light" w:cs="Calibri Light"/>
          <w:b w:val="0"/>
          <w:bCs w:val="0"/>
        </w:rPr>
        <w:t xml:space="preserve">En lokaliseringsstudie har genomförts för att visa på att mer lämpliga alternativa lokaliseringar för ett flerbostadshus i Moheda centrum ej föreligger (Bilaga 2). </w:t>
      </w:r>
      <w:r>
        <w:rPr>
          <w:rStyle w:val="C7"/>
          <w:b w:val="0"/>
          <w:bCs w:val="0"/>
        </w:rPr>
        <w:t xml:space="preserve">Utifrån lokaliseringsstudien åberopas 7 kap 18 c § miljöbalken, punkt 5: att </w:t>
      </w:r>
      <w:r>
        <w:rPr>
          <w:rFonts w:ascii="Calibri Light" w:hAnsi="Calibri Light" w:cs="Calibri Light"/>
          <w:b w:val="0"/>
          <w:bCs w:val="0"/>
        </w:rPr>
        <w:t xml:space="preserve">planområdet är nödvändigt för att tillgodose ett angeläget allmänt intresse som inte kan tillgodoses utanför området. </w:t>
      </w:r>
    </w:p>
    <w:p>
      <w:pPr>
        <w:pStyle w:val="P3"/>
        <w:jc w:val="both"/>
      </w:pPr>
      <w:bookmarkEnd w:id="112"/>
      <w:bookmarkStart w:id="113" w:name="_Toc280260012"/>
      <w:bookmarkStart w:id="114" w:name="_Toc280260458"/>
      <w:bookmarkStart w:id="115" w:name="pf_hälsaochsäkerhet01"/>
      <w:r>
        <w:t>Förorenad mark</w:t>
      </w:r>
      <w:bookmarkEnd w:id="113"/>
      <w:bookmarkEnd w:id="114"/>
    </w:p>
    <w:p>
      <w:pPr>
        <w:pStyle w:val="P23"/>
      </w:pPr>
      <w:r>
        <w:t xml:space="preserve">Enligt Länsstyrelsens MIFO-inventering finns ingen förorenad mark dokumenterad inom planområdet. </w:t>
      </w:r>
    </w:p>
    <w:p>
      <w:pPr>
        <w:pStyle w:val="P23"/>
      </w:pPr>
      <w:bookmarkStart w:id="116" w:name="_Hlk127801508"/>
      <w:r>
        <w:t>Den som äger eller brukar en fastighet skall oavsett om området tidigare ansetts förorenat genast underrätta tillsynsmyndigheten om det upptäcks en förorening på fastigheten och föroreningen kan medföra skada eller olägenhet för människors hälsa eller miljön, i enlighet med 10 kap 11 § Miljöbalken.</w:t>
      </w:r>
    </w:p>
    <w:p>
      <w:pPr>
        <w:pStyle w:val="P3"/>
        <w:jc w:val="both"/>
      </w:pPr>
      <w:bookmarkEnd w:id="116"/>
      <w:bookmarkStart w:id="117" w:name="_Toc280260013"/>
      <w:bookmarkStart w:id="118" w:name="_Toc280260459"/>
      <w:r>
        <w:t>Radon</w:t>
      </w:r>
      <w:bookmarkEnd w:id="117"/>
      <w:bookmarkEnd w:id="118"/>
    </w:p>
    <w:p>
      <w:pPr>
        <w:pStyle w:val="P23"/>
      </w:pPr>
      <w:bookmarkStart w:id="119" w:name="_Toc280260014"/>
      <w:bookmarkStart w:id="120" w:name="_Toc280260460"/>
      <w:r>
        <w:t>Enligt Alvesta kommuns översiktliga radonriskkartering ligger planområdet inom normalriskområde.</w:t>
      </w:r>
    </w:p>
    <w:p>
      <w:pPr>
        <w:pStyle w:val="P3"/>
        <w:jc w:val="both"/>
        <w:rPr>
          <w:rStyle w:val="C8"/>
          <w:rFonts w:asciiTheme="minorHAnsi" w:hAnsiTheme="minorHAnsi" w:cstheme="minorHAnsi"/>
          <w:i w:val="0"/>
          <w:color w:val="auto"/>
          <w:sz w:val="22"/>
          <w:szCs w:val="26"/>
        </w:rPr>
      </w:pPr>
      <w:bookmarkEnd w:id="115"/>
      <w:r>
        <w:t>Störningar</w:t>
      </w:r>
      <w:bookmarkEnd w:id="119"/>
      <w:bookmarkEnd w:id="120"/>
    </w:p>
    <w:p>
      <w:pPr>
        <w:pStyle w:val="P4"/>
        <w:jc w:val="both"/>
      </w:pPr>
      <w:bookmarkStart w:id="121" w:name="pf_omgivningsbuller01"/>
      <w:r>
        <w:t>Buller</w:t>
      </w:r>
    </w:p>
    <w:p>
      <w:pPr>
        <w:pStyle w:val="P23"/>
      </w:pPr>
      <w:r>
        <w:t xml:space="preserve">Buller definieras som allt oönskat Ijud och kan upplevas som störande i ljudmiljön, samt kan påverka den fysiska hälsan om rekommenderad maximal ljudnivå överstigs. I Sverige används främst två olika mått för att beskriva buller. Det första är ekvivalent Ijudnivå (Leq), vilket är ett mått på medelljudnivån under en viss tidsperiod, exempelvis ett dygn. Det andra är maximalljudnivån (Lmax), som är den högsta tillfälliga Ijudnivån som förekommer under en viss tidsperiod, exempelvis ett dygn. Trafikbuller redovisas vanligen i enheten decibel A, dB(A). </w:t>
      </w:r>
    </w:p>
    <w:p>
      <w:pPr>
        <w:pStyle w:val="P23"/>
      </w:pPr>
      <w:r>
        <w:t xml:space="preserve">Förordning (2015:216) om trafikbuller vid bostadsbyggnader är gällande för denna plan; "Enligt förordningen bör buller från spårtrafik och vägar inte överskrida 60 dBA ekvivalent ljudnivå vid en bostadsbyggnads fasad, och 50 dBA ekvivalent ljudnivå samt 70 dBA maximal ljudnivå vid en uteplats om en sådan ska anordnas i anslutning till byggnaden. Samma värden gäller för bostadsbyggnader om högst 35 kvadratmeter men ekvivalentnivån vid fasad är i stället 65 dBA". </w:t>
      </w:r>
    </w:p>
    <w:p>
      <w:pPr>
        <w:pStyle w:val="P22"/>
      </w:pPr>
      <w:r>
        <w:t xml:space="preserve">Planområdet ligger i centrala Moheda. Torpsbruksvägen befinner sig till väst om planområdet,  Kyrkogatan i norr, Växjövägen i syd och till öst om planområdet går Södra Stambanan samt Storgatan. Trafikkällorna är grunden till de bullerstörningar som berör planområdet.</w:t>
      </w:r>
    </w:p>
    <w:p>
      <w:pPr>
        <w:pStyle w:val="P23"/>
      </w:pPr>
      <w:r>
        <w:t xml:space="preserve">En bullerkartering över området har mätts in 2023 (Bilaga 1). Karteringen har tagit omgivande väg- och järnvägstrafik i beräkning. Enligt bullerkarteringen når den norra byggrätten godkända bullervärden för ekvivalenta och maximala ljudnivåer både i nutid och 2040, och en uteplats kan tillskapas på innergården </w:t>
      </w:r>
      <w:r>
        <w:rPr>
          <w:lang w:bidi="sv-SE"/>
        </w:rPr>
        <w:t xml:space="preserve">till </w:t>
      </w:r>
      <w:r>
        <w:t>väst om huskropp</w:t>
      </w:r>
      <w:r>
        <w:rPr>
          <w:lang w:bidi="sv-SE"/>
        </w:rPr>
        <w:t>en</w:t>
      </w:r>
      <w:r>
        <w:t xml:space="preserve">. </w:t>
      </w:r>
    </w:p>
    <w:p>
      <w:pPr>
        <w:pStyle w:val="P23"/>
        <w:pBdr>
          <w:top w:val="none" w:sz="0" w:space="0" w:shadow="0" w:frame="0" w:color="auto"/>
          <w:left w:val="single" w:sz="18" w:space="8" w:shadow="0" w:frame="0" w:color="FF0000"/>
          <w:bottom w:val="none" w:sz="0" w:space="0" w:shadow="0" w:frame="0" w:color="auto"/>
          <w:right w:val="none" w:sz="0" w:space="0" w:shadow="0" w:frame="0" w:color="auto"/>
          <w:between w:val="none" w:sz="0" w:space="0" w:shadow="0" w:frame="0" w:color="auto"/>
        </w:pBdr>
      </w:pPr>
      <w:bookmarkEnd w:id="121"/>
      <w:bookmarkStart w:id="122" w:name="pf_delarsomundantasantagande01"/>
      <w:r>
        <w:t xml:space="preserve">Två alternativa lokaliseringar för byggnaden på den södra byggrätten undersöktes. Alternativ 1 liggandes horisontell längs med byggrättens södra sida och Alternativ 2 stående vertikal längs med byggrättens östra sida.  </w:t>
      </w:r>
    </w:p>
    <w:p>
      <w:pPr>
        <w:pStyle w:val="P23"/>
        <w:pBdr>
          <w:top w:val="none" w:sz="0" w:space="0" w:shadow="0" w:frame="0" w:color="auto"/>
          <w:left w:val="single" w:sz="18" w:space="8" w:shadow="0" w:frame="0" w:color="FF0000"/>
          <w:bottom w:val="none" w:sz="0" w:space="0" w:shadow="0" w:frame="0" w:color="auto"/>
          <w:right w:val="none" w:sz="0" w:space="0" w:shadow="0" w:frame="0" w:color="auto"/>
          <w:between w:val="none" w:sz="0" w:space="0" w:shadow="0" w:frame="0" w:color="auto"/>
        </w:pBdr>
      </w:pPr>
      <w:bookmarkStart w:id="123" w:name="_Hlk137042043"/>
      <w:r>
        <w:t>Båda alternativa lokaliseringarna uppnår godkända bullernivåer för både ekvivalenta och maximala ljudnivåer, i nutid och år 2040 om bostadsbebyggelsen på byggrätten placeras minst 8 meter från Växjövägen, och därav minst 6 meter från den södra fastighetsgränsen på fastigheten 4:192. Med detta som grund har prickmark införts för att uppnå godkända bullervärden för fasad.</w:t>
      </w:r>
      <w:bookmarkEnd w:id="123"/>
      <w:r>
        <w:t xml:space="preserve"> </w:t>
      </w:r>
    </w:p>
    <w:p>
      <w:pPr>
        <w:pStyle w:val="P23"/>
        <w:pBdr>
          <w:top w:val="none" w:sz="0" w:space="0" w:shadow="0" w:frame="0" w:color="auto"/>
          <w:left w:val="single" w:sz="18" w:space="8" w:shadow="0" w:frame="0" w:color="FF0000"/>
          <w:bottom w:val="none" w:sz="0" w:space="0" w:shadow="0" w:frame="0" w:color="auto"/>
          <w:right w:val="none" w:sz="0" w:space="0" w:shadow="0" w:frame="0" w:color="auto"/>
          <w:between w:val="none" w:sz="0" w:space="0" w:shadow="0" w:frame="0" w:color="auto"/>
        </w:pBdr>
      </w:pPr>
      <w:r>
        <w:t>Avseende alternativ 1 kan en uteplats möjliggöras norr om byggnaden och gällande alternativ 2 är en möjlig placering för en uteplats i anslutning till byggnadens nordvästra hörn.</w:t>
      </w:r>
    </w:p>
    <w:p>
      <w:pPr>
        <w:pStyle w:val="P23"/>
      </w:pPr>
      <w:bookmarkEnd w:id="122"/>
    </w:p>
    <w:p>
      <w:pPr>
        <w:pStyle w:val="P23"/>
        <w:jc w:val="left"/>
        <w:rPr>
          <w:i w:val="1"/>
          <w:iCs w:val="0"/>
        </w:rPr>
      </w:pPr>
      <w:r>
        <w:t xml:space="preserve"> </w:t>
        <w:br w:type="textWrapping"/>
      </w:r>
      <w:bookmarkStart w:id="124" w:name="pf_omgivningsbuller02"/>
      <w:r>
        <w:br w:type="textWrapping"/>
      </w:r>
      <w:r>
        <w:drawing>
          <wp:inline xmlns:wp="http://schemas.openxmlformats.org/drawingml/2006/wordprocessingDrawing" distT="0" distB="0" distL="0" distR="0">
            <wp:extent cx="4712335" cy="3533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xmlns:r="http://schemas.openxmlformats.org/officeDocument/2006/relationships" r:embed="Relimage5"/>
                    <a:srcRect/>
                    <a:stretch>
                      <a:fillRect/>
                    </a:stretch>
                  </pic:blipFill>
                  <pic:spPr>
                    <a:xfrm>
                      <a:off x="0" y="0"/>
                      <a:ext cx="4712335" cy="3533775"/>
                    </a:xfrm>
                    <a:prstGeom prst="rect"/>
                  </pic:spPr>
                </pic:pic>
              </a:graphicData>
            </a:graphic>
          </wp:inline>
        </w:drawing>
      </w:r>
      <w:r>
        <w:rPr>
          <w:i w:val="1"/>
          <w:iCs w:val="0"/>
        </w:rPr>
        <w:br w:type="textWrapping"/>
        <w:t>Ekvivalent nivå 2023, alternativ 1.</w:t>
        <w:br w:type="textWrapping"/>
        <w:br w:type="textWrapping"/>
      </w:r>
      <w:r>
        <w:drawing>
          <wp:inline xmlns:wp="http://schemas.openxmlformats.org/drawingml/2006/wordprocessingDrawing" distT="0" distB="0" distL="0" distR="0">
            <wp:extent cx="4718685" cy="35388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dpi="0">
                    <a:blip xmlns:r="http://schemas.openxmlformats.org/officeDocument/2006/relationships" r:embed="Relimage6"/>
                    <a:srcRect/>
                    <a:stretch>
                      <a:fillRect/>
                    </a:stretch>
                  </pic:blipFill>
                  <pic:spPr>
                    <a:xfrm>
                      <a:off x="0" y="0"/>
                      <a:ext cx="4718685" cy="3538855"/>
                    </a:xfrm>
                    <a:prstGeom prst="rect"/>
                  </pic:spPr>
                </pic:pic>
              </a:graphicData>
            </a:graphic>
          </wp:inline>
        </w:drawing>
      </w:r>
      <w:r>
        <w:rPr>
          <w:i w:val="1"/>
          <w:iCs w:val="0"/>
        </w:rPr>
        <w:br w:type="textWrapping"/>
        <w:t>Ekvivalent nivå 2040, alternativ 1.</w:t>
        <w:br w:type="textWrapping"/>
      </w:r>
      <w:r>
        <w:br w:type="textWrapping"/>
      </w:r>
      <w:r>
        <w:drawing>
          <wp:inline xmlns:wp="http://schemas.openxmlformats.org/drawingml/2006/wordprocessingDrawing" distT="0" distB="0" distL="0" distR="0">
            <wp:extent cx="4826635" cy="3619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dpi="0">
                    <a:blip xmlns:r="http://schemas.openxmlformats.org/officeDocument/2006/relationships" r:embed="Relimage7"/>
                    <a:srcRect/>
                    <a:stretch>
                      <a:fillRect/>
                    </a:stretch>
                  </pic:blipFill>
                  <pic:spPr>
                    <a:xfrm>
                      <a:off x="0" y="0"/>
                      <a:ext cx="4826635" cy="3619500"/>
                    </a:xfrm>
                    <a:prstGeom prst="rect"/>
                  </pic:spPr>
                </pic:pic>
              </a:graphicData>
            </a:graphic>
          </wp:inline>
        </w:drawing>
      </w:r>
      <w:r>
        <w:br w:type="textWrapping"/>
      </w:r>
      <w:r>
        <w:rPr>
          <w:i w:val="1"/>
          <w:iCs w:val="0"/>
        </w:rPr>
        <w:t>Maximal ljudnivå 2023, alternativ 1.</w:t>
        <w:br w:type="textWrapping"/>
      </w:r>
      <w:r>
        <w:br w:type="textWrapping"/>
      </w:r>
      <w:r>
        <w:drawing>
          <wp:inline xmlns:wp="http://schemas.openxmlformats.org/drawingml/2006/wordprocessingDrawing" distT="0" distB="0" distL="0" distR="0">
            <wp:extent cx="4804410" cy="36029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dpi="0">
                    <a:blip xmlns:r="http://schemas.openxmlformats.org/officeDocument/2006/relationships" r:embed="Relimage8"/>
                    <a:srcRect/>
                    <a:stretch>
                      <a:fillRect/>
                    </a:stretch>
                  </pic:blipFill>
                  <pic:spPr>
                    <a:xfrm>
                      <a:off x="0" y="0"/>
                      <a:ext cx="4804410" cy="3602990"/>
                    </a:xfrm>
                    <a:prstGeom prst="rect"/>
                  </pic:spPr>
                </pic:pic>
              </a:graphicData>
            </a:graphic>
          </wp:inline>
        </w:drawing>
      </w:r>
      <w:r>
        <w:br w:type="textWrapping"/>
      </w:r>
      <w:r>
        <w:rPr>
          <w:i w:val="1"/>
          <w:iCs w:val="0"/>
        </w:rPr>
        <w:t>Maximal ljudnivå 2040, alternativ 1.</w:t>
      </w:r>
      <w:r>
        <w:br w:type="textWrapping"/>
      </w:r>
      <w:r>
        <w:drawing>
          <wp:inline xmlns:wp="http://schemas.openxmlformats.org/drawingml/2006/wordprocessingDrawing" distT="0" distB="0" distL="0" distR="0">
            <wp:extent cx="4893310" cy="36696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dpi="0">
                    <a:blip xmlns:r="http://schemas.openxmlformats.org/officeDocument/2006/relationships" r:embed="Relimage9"/>
                    <a:srcRect/>
                    <a:stretch>
                      <a:fillRect/>
                    </a:stretch>
                  </pic:blipFill>
                  <pic:spPr>
                    <a:xfrm>
                      <a:off x="0" y="0"/>
                      <a:ext cx="4893310" cy="3669665"/>
                    </a:xfrm>
                    <a:prstGeom prst="rect"/>
                  </pic:spPr>
                </pic:pic>
              </a:graphicData>
            </a:graphic>
          </wp:inline>
        </w:drawing>
      </w:r>
      <w:r>
        <w:br w:type="textWrapping"/>
      </w:r>
      <w:r>
        <w:rPr>
          <w:i w:val="1"/>
          <w:iCs w:val="0"/>
        </w:rPr>
        <w:t>Ekvivalent ljudnivå 2023, alternativ 2.</w:t>
        <w:br w:type="textWrapping"/>
      </w:r>
      <w:r>
        <w:br w:type="textWrapping"/>
      </w:r>
      <w:r>
        <w:drawing>
          <wp:inline xmlns:wp="http://schemas.openxmlformats.org/drawingml/2006/wordprocessingDrawing" distT="0" distB="0" distL="0" distR="0">
            <wp:extent cx="4845685" cy="36341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dpi="0">
                    <a:blip xmlns:r="http://schemas.openxmlformats.org/officeDocument/2006/relationships" r:embed="Relimage10"/>
                    <a:srcRect/>
                    <a:stretch>
                      <a:fillRect/>
                    </a:stretch>
                  </pic:blipFill>
                  <pic:spPr>
                    <a:xfrm>
                      <a:off x="0" y="0"/>
                      <a:ext cx="4845685" cy="3634105"/>
                    </a:xfrm>
                    <a:prstGeom prst="rect"/>
                  </pic:spPr>
                </pic:pic>
              </a:graphicData>
            </a:graphic>
          </wp:inline>
        </w:drawing>
      </w:r>
      <w:r>
        <w:br w:type="textWrapping"/>
      </w:r>
      <w:r>
        <w:rPr>
          <w:i w:val="1"/>
          <w:iCs w:val="0"/>
        </w:rPr>
        <w:t>Ekvivalent ljudnivå 2040, alternativ 2.</w:t>
      </w:r>
      <w:r>
        <w:br w:type="textWrapping"/>
      </w:r>
      <w:r>
        <w:drawing>
          <wp:inline xmlns:wp="http://schemas.openxmlformats.org/drawingml/2006/wordprocessingDrawing" distT="0" distB="0" distL="0" distR="0">
            <wp:extent cx="4893310" cy="36696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dpi="0">
                    <a:blip xmlns:r="http://schemas.openxmlformats.org/officeDocument/2006/relationships" r:embed="Relimage11"/>
                    <a:srcRect/>
                    <a:stretch>
                      <a:fillRect/>
                    </a:stretch>
                  </pic:blipFill>
                  <pic:spPr>
                    <a:xfrm>
                      <a:off x="0" y="0"/>
                      <a:ext cx="4893310" cy="3669665"/>
                    </a:xfrm>
                    <a:prstGeom prst="rect"/>
                  </pic:spPr>
                </pic:pic>
              </a:graphicData>
            </a:graphic>
          </wp:inline>
        </w:drawing>
      </w:r>
      <w:r>
        <w:br w:type="textWrapping"/>
      </w:r>
      <w:r>
        <w:rPr>
          <w:i w:val="1"/>
          <w:iCs w:val="0"/>
        </w:rPr>
        <w:t>Maximal ljudnivå 2023, alternativ 2.</w:t>
      </w:r>
    </w:p>
    <w:p>
      <w:pPr>
        <w:pStyle w:val="P23"/>
        <w:jc w:val="left"/>
      </w:pPr>
      <w:r>
        <w:br w:type="textWrapping"/>
      </w:r>
      <w:r>
        <w:drawing>
          <wp:inline xmlns:wp="http://schemas.openxmlformats.org/drawingml/2006/wordprocessingDrawing" distT="0" distB="0" distL="0" distR="0">
            <wp:extent cx="4893310" cy="36696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dpi="0">
                    <a:blip xmlns:r="http://schemas.openxmlformats.org/officeDocument/2006/relationships" r:embed="Relimage12"/>
                    <a:srcRect/>
                    <a:stretch>
                      <a:fillRect/>
                    </a:stretch>
                  </pic:blipFill>
                  <pic:spPr>
                    <a:xfrm>
                      <a:off x="0" y="0"/>
                      <a:ext cx="4893310" cy="3669665"/>
                    </a:xfrm>
                    <a:prstGeom prst="rect"/>
                  </pic:spPr>
                </pic:pic>
              </a:graphicData>
            </a:graphic>
          </wp:inline>
        </w:drawing>
      </w:r>
      <w:r>
        <w:br w:type="textWrapping"/>
      </w:r>
      <w:r>
        <w:rPr>
          <w:i w:val="1"/>
          <w:iCs w:val="0"/>
        </w:rPr>
        <w:t>Maximal ljudnivå 2040, alternativ 2.</w:t>
      </w:r>
    </w:p>
    <w:p>
      <w:pPr>
        <w:pStyle w:val="P23"/>
      </w:pPr>
      <w:r>
        <w:t xml:space="preserve">Läs mer om buller i samband med förslaget under rubriken </w:t>
      </w:r>
      <w:r>
        <w:rPr>
          <w:i w:val="1"/>
        </w:rPr>
        <w:t>Hälsa och säkerhet</w:t>
      </w:r>
      <w:r>
        <w:t xml:space="preserve"> nedan. </w:t>
      </w:r>
    </w:p>
    <w:p>
      <w:pPr>
        <w:pStyle w:val="P4"/>
        <w:jc w:val="both"/>
      </w:pPr>
      <w:bookmarkEnd w:id="124"/>
      <w:bookmarkStart w:id="125" w:name="pf_riskföröversvämning01"/>
      <w:r>
        <w:t>Översvämningsrisk</w:t>
      </w:r>
    </w:p>
    <w:p>
      <w:pPr>
        <w:pStyle w:val="P23"/>
      </w:pPr>
      <w:bookmarkStart w:id="126" w:name="_Hlk122514040"/>
      <w:r>
        <w:t xml:space="preserve">Vattenansamlingar uppgår till maximalt 0,2 meter på hela planområdet enligt skyfallskarteringen. Bedömningen är att det inte finns risk för översvämning vid kraftigt skyfall. </w:t>
      </w:r>
      <w:bookmarkEnd w:id="126"/>
      <w:r>
        <w:t xml:space="preserve">Utifrån översvämningskarteringen för beräknat högsta flöde (BHF) förekommer inte områden med risk för översvämning inom planområdet (DHI, 2009). </w:t>
      </w:r>
    </w:p>
    <w:p>
      <w:pPr>
        <w:pStyle w:val="P23"/>
      </w:pPr>
      <w:r>
        <w:rPr>
          <w:i w:val="1"/>
          <w:iCs w:val="0"/>
          <w:noProof w:val="1"/>
        </w:rPr>
        <w:drawing>
          <wp:inline xmlns:wp="http://schemas.openxmlformats.org/drawingml/2006/wordprocessingDrawing" distT="0" distB="0" distL="0" distR="0">
            <wp:extent cx="4072890" cy="3054985"/>
            <wp:effectExtent l="0" t="0" r="3810" b="0"/>
            <wp:docPr id="1055753479" name="Bildobjekt 14" descr="En bild som visar text, diagram, karta, Pla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53479" name="Bildobjekt 14" descr="En bild som visar text, diagram, karta, Plan&#10;&#10;Automatiskt genererad beskrivning"/>
                    <pic:cNvPicPr/>
                  </pic:nvPicPr>
                  <pic:blipFill dpi="0">
                    <a:blip xmlns:r="http://schemas.openxmlformats.org/officeDocument/2006/relationships" r:embed="Relimage13" cstate="print"/>
                    <a:srcRect/>
                    <a:stretch>
                      <a:fillRect/>
                    </a:stretch>
                  </pic:blipFill>
                  <pic:spPr>
                    <a:xfrm>
                      <a:off x="0" y="0"/>
                      <a:ext cx="4089241" cy="3067149"/>
                    </a:xfrm>
                    <a:prstGeom prst="rect"/>
                  </pic:spPr>
                </pic:pic>
              </a:graphicData>
            </a:graphic>
          </wp:inline>
        </w:drawing>
      </w:r>
      <w:r>
        <w:rPr>
          <w:i w:val="1"/>
          <w:iCs w:val="0"/>
        </w:rPr>
        <w:t xml:space="preserve">Skyfallskartering. </w:t>
        <w:br w:type="textWrapping"/>
        <w:br w:type="textWrapping"/>
      </w:r>
      <w:r>
        <w:rPr>
          <w:i w:val="1"/>
          <w:iCs w:val="0"/>
          <w:noProof w:val="1"/>
        </w:rPr>
        <w:drawing>
          <wp:inline xmlns:wp="http://schemas.openxmlformats.org/drawingml/2006/wordprocessingDrawing" distT="0" distB="0" distL="0" distR="0">
            <wp:extent cx="4084955" cy="3064510"/>
            <wp:effectExtent l="0" t="0" r="0" b="2540"/>
            <wp:docPr id="1090588204" name="Bildobjekt 15" descr="En bild som visar text, karta, diagram, Pla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588204" name="Bildobjekt 15" descr="En bild som visar text, karta, diagram, Plan&#10;&#10;Automatiskt genererad beskrivning"/>
                    <pic:cNvPicPr/>
                  </pic:nvPicPr>
                  <pic:blipFill dpi="0">
                    <a:blip xmlns:r="http://schemas.openxmlformats.org/officeDocument/2006/relationships" r:embed="Relimage14"/>
                    <a:srcRect/>
                    <a:stretch>
                      <a:fillRect/>
                    </a:stretch>
                  </pic:blipFill>
                  <pic:spPr>
                    <a:xfrm>
                      <a:off x="0" y="0"/>
                      <a:ext cx="4105564" cy="3080236"/>
                    </a:xfrm>
                    <a:prstGeom prst="rect"/>
                  </pic:spPr>
                </pic:pic>
              </a:graphicData>
            </a:graphic>
          </wp:inline>
        </w:drawing>
      </w:r>
      <w:r>
        <w:rPr>
          <w:i w:val="1"/>
          <w:iCs w:val="0"/>
        </w:rPr>
        <w:br w:type="textWrapping"/>
        <w:t xml:space="preserve">DHI (2009), 100-årsflöde och beräknat högsta flöde. </w:t>
      </w:r>
    </w:p>
    <w:p>
      <w:pPr>
        <w:pStyle w:val="P1"/>
        <w:spacing w:lineRule="auto" w:line="276" w:before="0" w:beforeAutospacing="0" w:afterAutospacing="0"/>
      </w:pPr>
      <w:bookmarkEnd w:id="125"/>
      <w:bookmarkStart w:id="127" w:name="_Toc280260461"/>
      <w:bookmarkStart w:id="128" w:name="_Toc280260769"/>
      <w:bookmarkStart w:id="129" w:name="_Toc280261214"/>
      <w:bookmarkStart w:id="130" w:name="_Toc280261579"/>
      <w:bookmarkStart w:id="131" w:name="_Toc86648186"/>
      <w:r>
        <w:t>PLANFÖRSLAG</w:t>
      </w:r>
      <w:bookmarkEnd w:id="127"/>
      <w:bookmarkEnd w:id="128"/>
      <w:bookmarkEnd w:id="129"/>
      <w:bookmarkEnd w:id="130"/>
      <w:bookmarkEnd w:id="131"/>
    </w:p>
    <w:p>
      <w:pPr>
        <w:pStyle w:val="P2"/>
        <w:spacing w:lineRule="auto" w:line="276" w:before="0" w:beforeAutospacing="0" w:afterAutospacing="0"/>
        <w:jc w:val="both"/>
        <w:rPr>
          <w:iCs w:val="0"/>
        </w:rPr>
      </w:pPr>
      <w:bookmarkStart w:id="132" w:name="_Toc280261580"/>
      <w:r>
        <w:rPr>
          <w:iCs w:val="0"/>
        </w:rPr>
        <w:t>BEBYGGELSEOMRÅDEN</w:t>
      </w:r>
      <w:bookmarkEnd w:id="132"/>
      <w:r>
        <w:rPr>
          <w:iCs w:val="0"/>
        </w:rPr>
        <w:t xml:space="preserve"> </w:t>
      </w:r>
    </w:p>
    <w:p>
      <w:pPr>
        <w:pStyle w:val="P4"/>
        <w:jc w:val="both"/>
      </w:pPr>
      <w:r>
        <w:t>Användningsbestämmelser:</w:t>
      </w:r>
    </w:p>
    <w:p>
      <w:pPr>
        <w:pStyle w:val="P23"/>
        <w:spacing w:before="0" w:beforeAutospacing="0" w:afterAutospacing="0"/>
      </w:pPr>
      <w:r>
        <w:t>Följande markanvändning tillåts inom planområdet:</w:t>
      </w:r>
    </w:p>
    <w:p>
      <w:pPr>
        <w:pStyle w:val="P23"/>
      </w:pPr>
      <w:r>
        <w:rPr>
          <w:b w:val="1"/>
        </w:rPr>
        <w:t>B</w:t>
      </w:r>
      <w:r>
        <w:t xml:space="preserve"> – </w:t>
      </w:r>
      <w:bookmarkStart w:id="133" w:name="mo_motivtillreglering06"/>
      <w:r>
        <w:t>Bostäder.</w:t>
      </w:r>
      <w:bookmarkEnd w:id="133"/>
    </w:p>
    <w:p>
      <w:pPr>
        <w:pStyle w:val="P4"/>
        <w:jc w:val="both"/>
      </w:pPr>
      <w:r>
        <w:t>Egenskapsbestämmelser:</w:t>
      </w:r>
    </w:p>
    <w:p>
      <w:pPr>
        <w:pStyle w:val="P23"/>
        <w:pBdr>
          <w:top w:val="none" w:sz="0" w:space="0" w:shadow="0" w:frame="0" w:color="auto"/>
          <w:left w:val="single" w:sz="18" w:space="4" w:shadow="0" w:frame="0" w:color="FF0000"/>
          <w:bottom w:val="none" w:sz="0" w:space="0" w:shadow="0" w:frame="0" w:color="auto"/>
          <w:right w:val="none" w:sz="0" w:space="0" w:shadow="0" w:frame="0" w:color="auto"/>
          <w:between w:val="none" w:sz="0" w:space="0" w:shadow="0" w:frame="0" w:color="auto"/>
        </w:pBdr>
      </w:pPr>
      <w:bookmarkStart w:id="134" w:name="ko_delarsomundantasantagande01"/>
      <w:bookmarkStart w:id="135" w:name="_Hlk118902183"/>
      <w:r>
        <w:rPr>
          <w:b w:val="1"/>
          <w:bCs w:val="1"/>
        </w:rPr>
        <w:t>Högsta nockhöjd</w:t>
      </w:r>
      <w:r>
        <w:rPr>
          <w:b w:val="1"/>
        </w:rPr>
        <w:t xml:space="preserve"> </w:t>
      </w:r>
      <w:r>
        <w:rPr>
          <w:bCs w:val="1"/>
        </w:rPr>
        <w:t>(h</w:t>
      </w:r>
      <w:r>
        <w:t>1) bestäms till 12 meter.</w:t>
      </w:r>
    </w:p>
    <w:p>
      <w:pPr>
        <w:pStyle w:val="P23"/>
      </w:pPr>
      <w:bookmarkEnd w:id="134"/>
      <w:r>
        <w:rPr>
          <w:b w:val="1"/>
          <w:bCs w:val="1"/>
        </w:rPr>
        <w:t>Högsta byggnadshöjd</w:t>
      </w:r>
      <w:r>
        <w:t xml:space="preserve"> (h2) </w:t>
      </w:r>
      <w:bookmarkEnd w:id="135"/>
      <w:bookmarkStart w:id="136" w:name="mo_motivtillreglering01"/>
      <w:r>
        <w:t>regleras till 8 meter, vilket översätter en bestämmelse för den befintliga byggrätten HB II, som anger bebyggelse i två våningar.</w:t>
      </w:r>
      <w:bookmarkEnd w:id="136"/>
    </w:p>
    <w:p>
      <w:pPr>
        <w:pStyle w:val="P23"/>
        <w:pBdr>
          <w:top w:val="none" w:sz="0" w:space="0" w:shadow="0" w:frame="0" w:color="auto"/>
          <w:left w:val="single" w:sz="18" w:space="4" w:shadow="0" w:frame="0" w:color="FF0000"/>
          <w:bottom w:val="none" w:sz="0" w:space="0" w:shadow="0" w:frame="0" w:color="auto"/>
          <w:right w:val="none" w:sz="0" w:space="0" w:shadow="0" w:frame="0" w:color="auto"/>
          <w:between w:val="none" w:sz="0" w:space="0" w:shadow="0" w:frame="0" w:color="auto"/>
        </w:pBdr>
      </w:pPr>
      <w:bookmarkStart w:id="137" w:name="ko_delarsomundantasantagande02"/>
      <w:r>
        <w:rPr>
          <w:b w:val="1"/>
        </w:rPr>
        <w:t>Exploateringsgraden</w:t>
      </w:r>
      <w:r>
        <w:t xml:space="preserve"> (e1) bestäms till 50 % av fastighetsarean inom användningsområdet för den södra byggrätten.</w:t>
      </w:r>
    </w:p>
    <w:p>
      <w:pPr>
        <w:pStyle w:val="P23"/>
        <w:rPr>
          <w:b w:val="1"/>
        </w:rPr>
      </w:pPr>
      <w:bookmarkEnd w:id="137"/>
      <w:r>
        <w:rPr>
          <w:b w:val="1"/>
          <w:bCs w:val="1"/>
        </w:rPr>
        <w:t>Strandskyddet är upphävt</w:t>
      </w:r>
      <w:r>
        <w:t xml:space="preserve"> (a1).</w:t>
      </w:r>
      <w:bookmarkStart w:id="138" w:name="ko_strandskydd01"/>
      <w:r>
        <w:t xml:space="preserve"> Inom strandskyddat området återinträder strandskyddet i och med planens upprättande och upphävs igen genom bestämmelsen. En administrativ gräns markerar området för upphävandet.</w:t>
      </w:r>
      <w:bookmarkEnd w:id="138"/>
    </w:p>
    <w:p>
      <w:pPr>
        <w:pStyle w:val="P23"/>
      </w:pPr>
      <w:bookmarkStart w:id="139" w:name="mo_motivtillreglering02"/>
      <w:r>
        <w:rPr>
          <w:b w:val="1"/>
          <w:bCs w:val="1"/>
        </w:rPr>
        <w:t>Källare får inte finnas</w:t>
      </w:r>
      <w:r>
        <w:t xml:space="preserve"> (b1) placeras på detaljplanens byggrätter för att förhindra byggnation under mark i syfte att undvika påverkan på grundvattenförekomst.</w:t>
      </w:r>
    </w:p>
    <w:p>
      <w:pPr>
        <w:pStyle w:val="P23"/>
      </w:pPr>
      <w:bookmarkEnd w:id="139"/>
      <w:r>
        <w:rPr>
          <w:b w:val="1"/>
        </w:rPr>
        <w:t>Markreservat för allmännyttiga underjordiska ledningar</w:t>
      </w:r>
      <w:r>
        <w:t xml:space="preserve"> (u1) </w:t>
      </w:r>
      <w:bookmarkStart w:id="140" w:name="mo_motivtillreglering03"/>
      <w:r>
        <w:t>upprättas i delar av planområdet för att skydda ledningsrätter och spillvattenledningar.</w:t>
      </w:r>
      <w:bookmarkEnd w:id="140"/>
    </w:p>
    <w:p>
      <w:pPr>
        <w:pStyle w:val="P23"/>
      </w:pPr>
      <w:r>
        <w:rPr>
          <w:b w:val="1"/>
        </w:rPr>
        <w:t>Prickmark</w:t>
      </w:r>
      <w:r>
        <w:t xml:space="preserve"> </w:t>
      </w:r>
      <w:bookmarkStart w:id="141" w:name="mo_motivtillreglering04"/>
      <w:r>
        <w:t>införs där byggnader inte bör uppföras. På den norra byggrätten införs prickmark för att reglera byggrättens läge, och nordväst och centralt på planområdet införs prickmark för att skapa en kvartersstruktur. Prickmark införs även mot fastighetsgränser för att följa Byggnadsstadgan och på u-områden för att säkerställa åtkomst till ledningar.</w:t>
      </w:r>
      <w:bookmarkEnd w:id="141"/>
      <w:r>
        <w:t xml:space="preserve"> </w:t>
      </w:r>
    </w:p>
    <w:p>
      <w:pPr>
        <w:pStyle w:val="P23"/>
        <w:pBdr>
          <w:top w:val="none" w:sz="0" w:space="0" w:shadow="0" w:frame="0" w:color="auto"/>
          <w:left w:val="single" w:sz="18" w:space="4" w:shadow="0" w:frame="0" w:color="FF0000"/>
          <w:bottom w:val="none" w:sz="0" w:space="0" w:shadow="0" w:frame="0" w:color="auto"/>
          <w:right w:val="none" w:sz="0" w:space="0" w:shadow="0" w:frame="0" w:color="auto"/>
          <w:between w:val="none" w:sz="0" w:space="0" w:shadow="0" w:frame="0" w:color="auto"/>
        </w:pBdr>
        <w:rPr>
          <w:color w:val="auto"/>
        </w:rPr>
      </w:pPr>
      <w:bookmarkStart w:id="142" w:name="ko_delarsomundantasantagande03"/>
      <w:r>
        <w:rPr>
          <w:color w:val="auto"/>
        </w:rPr>
        <w:t xml:space="preserve">Byggrätten på fastigheten 4:192 regleras med prickmark som ligger minst 6 meter mot dess södra fastighetsgräns mot Växjövägen eftersom en bostadsbyggnad inte får placeras närmare än 8 meter från Växjövägen för att uppnå godkända bullervärden för fasad. </w:t>
      </w:r>
    </w:p>
    <w:p>
      <w:pPr>
        <w:pStyle w:val="P23"/>
        <w:rPr>
          <w:b w:val="1"/>
          <w:bCs w:val="1"/>
        </w:rPr>
      </w:pPr>
      <w:bookmarkEnd w:id="142"/>
      <w:r>
        <w:rPr>
          <w:b w:val="1"/>
          <w:bCs w:val="1"/>
        </w:rPr>
        <w:t>Övriga egenskapsbestämmelser</w:t>
      </w:r>
    </w:p>
    <w:p>
      <w:pPr>
        <w:pStyle w:val="P23"/>
        <w:pBdr>
          <w:top w:val="none" w:sz="0" w:space="0" w:shadow="0" w:frame="0" w:color="auto"/>
          <w:left w:val="single" w:sz="18" w:space="4" w:shadow="0" w:frame="0" w:color="FF0000"/>
          <w:bottom w:val="none" w:sz="0" w:space="0" w:shadow="0" w:frame="0" w:color="auto"/>
          <w:right w:val="none" w:sz="0" w:space="0" w:shadow="0" w:frame="0" w:color="auto"/>
          <w:between w:val="none" w:sz="0" w:space="0" w:shadow="0" w:frame="0" w:color="auto"/>
        </w:pBdr>
      </w:pPr>
      <w:bookmarkStart w:id="143" w:name="ko_delarsomundantasantagande04"/>
      <w:r>
        <w:rPr>
          <w:b w:val="1"/>
        </w:rPr>
        <w:t>Utfartsförbud</w:t>
      </w:r>
      <w:r>
        <w:t xml:space="preserve"> är infört för att begränsa trafiken till att använda den befintliga nordvästra utfarten mot Torpsbruksvägen.</w:t>
      </w:r>
    </w:p>
    <w:p>
      <w:pPr>
        <w:pStyle w:val="P2"/>
        <w:jc w:val="both"/>
        <w:rPr>
          <w:iCs w:val="0"/>
        </w:rPr>
      </w:pPr>
      <w:bookmarkEnd w:id="143"/>
      <w:bookmarkStart w:id="144" w:name="_Toc275242360"/>
      <w:bookmarkStart w:id="145" w:name="_Toc280260772"/>
      <w:bookmarkStart w:id="146" w:name="_Toc280260472"/>
      <w:bookmarkStart w:id="147" w:name="_Toc280261217"/>
      <w:bookmarkStart w:id="148" w:name="_Toc280261582"/>
      <w:bookmarkStart w:id="149" w:name="ko_motortrafik01"/>
      <w:r>
        <w:rPr>
          <w:iCs w:val="0"/>
        </w:rPr>
        <w:t>Gator och trafik</w:t>
      </w:r>
      <w:bookmarkEnd w:id="144"/>
      <w:bookmarkEnd w:id="145"/>
      <w:bookmarkEnd w:id="146"/>
      <w:bookmarkEnd w:id="147"/>
      <w:bookmarkEnd w:id="148"/>
    </w:p>
    <w:p>
      <w:pPr>
        <w:pStyle w:val="P3"/>
        <w:jc w:val="both"/>
      </w:pPr>
      <w:bookmarkStart w:id="150" w:name="_Toc280260027"/>
      <w:bookmarkStart w:id="151" w:name="_Toc280260473"/>
      <w:r>
        <w:t>Gatunät</w:t>
      </w:r>
      <w:bookmarkEnd w:id="150"/>
      <w:bookmarkEnd w:id="151"/>
      <w:r>
        <w:t xml:space="preserve"> </w:t>
      </w:r>
    </w:p>
    <w:p>
      <w:pPr>
        <w:pStyle w:val="P23"/>
      </w:pPr>
      <w:r>
        <w:t xml:space="preserve">Planområdet angränsar till det kommunala vägnätet. </w:t>
      </w:r>
    </w:p>
    <w:p>
      <w:pPr>
        <w:pStyle w:val="P3"/>
        <w:jc w:val="both"/>
      </w:pPr>
      <w:bookmarkStart w:id="152" w:name="_Toc280260028"/>
      <w:bookmarkStart w:id="153" w:name="_Toc280260474"/>
      <w:r>
        <w:t>Parkering</w:t>
      </w:r>
      <w:bookmarkEnd w:id="152"/>
      <w:bookmarkEnd w:id="153"/>
    </w:p>
    <w:p>
      <w:pPr>
        <w:pStyle w:val="P23"/>
      </w:pPr>
      <w:bookmarkStart w:id="154" w:name="_Toc280260029"/>
      <w:bookmarkStart w:id="155" w:name="_Toc280260475"/>
      <w:r>
        <w:t>Parkering tillgodoses inom den egna fastigheten. På grund av detaljplanens centrala lokalisering åläggs ett krav på att tillgodose ett parkeringstal på 0,8 i förhållande till antal bostäder.</w:t>
      </w:r>
    </w:p>
    <w:p>
      <w:pPr>
        <w:pStyle w:val="P5"/>
      </w:pPr>
      <w:bookmarkEnd w:id="154"/>
      <w:bookmarkEnd w:id="155"/>
      <w:r>
        <w:rPr>
          <w:b w:val="1"/>
          <w:bCs w:val="1"/>
        </w:rPr>
        <w:t>Utfarter</w:t>
      </w:r>
      <w:r>
        <w:br w:type="textWrapping"/>
        <w:br w:type="textWrapping"/>
      </w:r>
      <w:r>
        <w:rPr>
          <w:szCs w:val="22"/>
        </w:rPr>
        <w:t>In- och utfart till och från fastigheterna sker via det kommunala gatunätet.</w:t>
      </w:r>
      <w:bookmarkStart w:id="156" w:name="ko_motortrafik02"/>
      <w:r>
        <w:t xml:space="preserve"> Bedömningen är att trafiken vid den norra byggrätten minskar på den nuvarande utfarten mot Storgatan. </w:t>
      </w:r>
      <w:bookmarkEnd w:id="156"/>
    </w:p>
    <w:p>
      <w:pPr>
        <w:pStyle w:val="P5"/>
        <w:pBdr>
          <w:top w:val="none" w:sz="0" w:space="0" w:shadow="0" w:frame="0" w:color="auto"/>
          <w:left w:val="single" w:sz="18" w:space="6" w:shadow="0" w:frame="0" w:color="FF0000"/>
          <w:bottom w:val="none" w:sz="0" w:space="0" w:shadow="0" w:frame="0" w:color="auto"/>
          <w:right w:val="none" w:sz="0" w:space="0" w:shadow="0" w:frame="0" w:color="auto"/>
          <w:between w:val="none" w:sz="0" w:space="0" w:shadow="0" w:frame="0" w:color="auto"/>
        </w:pBdr>
      </w:pPr>
      <w:bookmarkEnd w:id="149"/>
      <w:bookmarkStart w:id="157" w:name="ko_delarsomundantasantagande05"/>
      <w:r>
        <w:t xml:space="preserve">Planens genomförande innebär att trafiken minskar på utfarten mot Torpsbruksvägen, eftersom den enbart kommer att brukas av de boende på byggrätten. Utfarten mot Växjövägen upphör. </w:t>
      </w:r>
    </w:p>
    <w:p>
      <w:pPr>
        <w:pStyle w:val="P2"/>
        <w:jc w:val="both"/>
        <w:rPr>
          <w:iCs w:val="0"/>
        </w:rPr>
      </w:pPr>
      <w:bookmarkEnd w:id="157"/>
      <w:bookmarkStart w:id="158" w:name="_Toc280260478"/>
      <w:bookmarkStart w:id="159" w:name="_Toc280261583"/>
      <w:bookmarkStart w:id="160" w:name="_Toc280261218"/>
      <w:bookmarkStart w:id="161" w:name="_Toc280260773"/>
      <w:bookmarkStart w:id="162" w:name="ko_dagvatten01"/>
      <w:r>
        <w:rPr>
          <w:iCs w:val="0"/>
        </w:rPr>
        <w:t>TEKNISK FÖRSÖRJNING</w:t>
      </w:r>
      <w:bookmarkEnd w:id="158"/>
      <w:bookmarkEnd w:id="159"/>
      <w:bookmarkEnd w:id="160"/>
      <w:bookmarkEnd w:id="161"/>
    </w:p>
    <w:p>
      <w:pPr>
        <w:pStyle w:val="P3"/>
        <w:jc w:val="both"/>
      </w:pPr>
      <w:bookmarkStart w:id="163" w:name="_Toc280260033"/>
      <w:bookmarkStart w:id="164" w:name="_Toc280260479"/>
      <w:r>
        <w:t>Dagvattenhantering</w:t>
      </w:r>
      <w:bookmarkEnd w:id="163"/>
      <w:bookmarkEnd w:id="164"/>
    </w:p>
    <w:p>
      <w:pPr>
        <w:pStyle w:val="P23"/>
      </w:pPr>
      <w:r>
        <w:t xml:space="preserve">Dagvatten kan anslutas till befintliga dagvattenledningar. Mängden dagvatten som ansamlas bedöms inte att öka med detaljplanens genomförande eftersom planområdet utgörs av hårdgjorda ytor med avsaknad av infiltrationsförmåga. </w:t>
      </w:r>
      <w:bookmarkEnd w:id="162"/>
    </w:p>
    <w:p>
      <w:pPr>
        <w:pStyle w:val="P3"/>
        <w:jc w:val="both"/>
        <w:rPr>
          <w:rFonts w:ascii="Calibri Light" w:hAnsi="Calibri Light" w:cs="Calibri Light"/>
        </w:rPr>
      </w:pPr>
      <w:bookmarkStart w:id="165" w:name="_Toc280260034"/>
      <w:bookmarkStart w:id="166" w:name="_Toc280260480"/>
      <w:bookmarkStart w:id="167" w:name="gf_tekniskafrågor01"/>
      <w:r>
        <w:rPr>
          <w:rFonts w:ascii="Calibri Light" w:hAnsi="Calibri Light" w:cs="Calibri Light"/>
        </w:rPr>
        <w:t>Vatten och avlopp</w:t>
      </w:r>
      <w:bookmarkEnd w:id="165"/>
      <w:bookmarkEnd w:id="166"/>
    </w:p>
    <w:p>
      <w:pPr>
        <w:pStyle w:val="P22"/>
      </w:pPr>
      <w:r>
        <w:t xml:space="preserve">För försörjning av vatten och spillavlopp är det möjligt att ansluta direkt till det kommunala VA-nätverket. </w:t>
      </w:r>
    </w:p>
    <w:p>
      <w:pPr>
        <w:pStyle w:val="P22"/>
      </w:pPr>
      <w:r>
        <w:t>Brandvattenförsörjning kan tillgodoses lokalt genom tillkoppling mot befintliga brandposter som ombesörjs av kommunalt vattennätverk.</w:t>
      </w:r>
    </w:p>
    <w:p>
      <w:pPr>
        <w:pStyle w:val="P3"/>
        <w:jc w:val="both"/>
      </w:pPr>
      <w:bookmarkStart w:id="168" w:name="_Toc280260035"/>
      <w:bookmarkStart w:id="169" w:name="_Toc280260481"/>
      <w:r>
        <w:t>Elnät</w:t>
      </w:r>
      <w:bookmarkEnd w:id="168"/>
      <w:bookmarkEnd w:id="169"/>
    </w:p>
    <w:p>
      <w:pPr>
        <w:pStyle w:val="P23"/>
      </w:pPr>
      <w:bookmarkStart w:id="170" w:name="_Toc280260036"/>
      <w:bookmarkStart w:id="171" w:name="_Toc280260482"/>
      <w:r>
        <w:t xml:space="preserve">Alvesta Elnät AB ansvarar för elförsörjningen inom området. </w:t>
      </w:r>
    </w:p>
    <w:p>
      <w:pPr>
        <w:pStyle w:val="P3"/>
        <w:jc w:val="both"/>
      </w:pPr>
      <w:r>
        <w:t>Avfall</w:t>
      </w:r>
      <w:bookmarkEnd w:id="170"/>
      <w:bookmarkEnd w:id="171"/>
    </w:p>
    <w:p>
      <w:pPr>
        <w:pStyle w:val="P23"/>
      </w:pPr>
      <w:bookmarkStart w:id="172" w:name="_Toc280260037"/>
      <w:bookmarkStart w:id="173" w:name="_Toc280260483"/>
      <w:r>
        <w:t>Återvinning och avfallshantering ansluts till ett befintligt system som Alvesta Renhållning AB (ARAB) ansvarar fö</w:t>
      </w:r>
      <w:bookmarkEnd w:id="172"/>
      <w:bookmarkEnd w:id="173"/>
      <w:bookmarkStart w:id="174" w:name="_Toc280260484"/>
      <w:bookmarkStart w:id="175" w:name="_Toc280260774"/>
      <w:bookmarkStart w:id="176" w:name="_Toc280261219"/>
      <w:bookmarkStart w:id="177" w:name="_Toc280261584"/>
      <w:bookmarkStart w:id="178" w:name="_Toc54351727"/>
      <w:r>
        <w:t>r.</w:t>
      </w:r>
    </w:p>
    <w:p>
      <w:pPr>
        <w:pStyle w:val="P23"/>
        <w:ind w:left="1096"/>
      </w:pPr>
      <w:r>
        <w:rPr>
          <w:b w:val="1"/>
          <w:bCs w:val="1"/>
        </w:rPr>
        <w:t>Uppvärmning</w:t>
      </w:r>
      <w:r>
        <w:br w:type="textWrapping"/>
        <w:br w:type="textWrapping"/>
        <w:t>Det finns befintliga närliggande fjärrvärmeledningar i centrala Moheda. Det är möjligt att koppla nytillkommen bebyggelse till fjärrvärmenätet.</w:t>
        <w:br w:type="textWrapping"/>
      </w:r>
    </w:p>
    <w:p>
      <w:pPr>
        <w:pStyle w:val="P1"/>
        <w:numPr>
          <w:ilvl w:val="0"/>
          <w:numId w:val="25"/>
        </w:numPr>
        <w:spacing w:before="0" w:beforeAutospacing="0" w:afterAutospacing="0"/>
        <w:ind w:left="1150"/>
      </w:pPr>
      <w:bookmarkEnd w:id="167"/>
      <w:bookmarkStart w:id="179" w:name="_Toc86648187"/>
      <w:r>
        <w:t>KONSEKVENSER AV PLANFÖRSLAGET</w:t>
      </w:r>
      <w:bookmarkEnd w:id="174"/>
      <w:bookmarkEnd w:id="175"/>
      <w:bookmarkEnd w:id="176"/>
      <w:bookmarkEnd w:id="177"/>
      <w:bookmarkEnd w:id="178"/>
      <w:bookmarkEnd w:id="179"/>
    </w:p>
    <w:p>
      <w:pPr>
        <w:pStyle w:val="P3"/>
      </w:pPr>
      <w:bookmarkStart w:id="180" w:name="_Toc280260039"/>
      <w:bookmarkStart w:id="181" w:name="_Toc280260485"/>
      <w:bookmarkStart w:id="182" w:name="ko_luft01"/>
      <w:r>
        <w:t>Miljökvalitetsnormer</w:t>
      </w:r>
      <w:bookmarkEnd w:id="180"/>
      <w:bookmarkEnd w:id="181"/>
      <w:r>
        <w:t xml:space="preserve"> (MKN)</w:t>
      </w:r>
    </w:p>
    <w:p>
      <w:pPr>
        <w:pStyle w:val="P4"/>
      </w:pPr>
      <w:bookmarkStart w:id="183" w:name="_Toc280260040"/>
      <w:bookmarkStart w:id="184" w:name="_Toc280260486"/>
      <w:r>
        <w:t>MKN för luft</w:t>
      </w:r>
    </w:p>
    <w:p>
      <w:pPr>
        <w:pStyle w:val="P23"/>
      </w:pPr>
      <w:r>
        <w:t xml:space="preserve">Luftföroreningar har i spridningsmodeller (Luftvårdsförbundet Kronoberg, 2016) på Växjövägen i Moheda tätort bedömts enligt tabell nedan och överskrider inte gällande miljökvalitetsnormer för luftföroreningar. </w:t>
      </w:r>
    </w:p>
    <w:tbl>
      <w:tblPr>
        <w:tblW w:w="7267" w:type="dxa"/>
        <w:tblInd w:w="1158" w:type="dxa"/>
        <w:tblBorders>
          <w:insideH w:val="single" w:sz="4" w:space="0" w:shadow="0" w:frame="0" w:color="D9D9D9" w:themeColor="background1" w:themeShade="D9"/>
          <w:insideV w:val="single" w:sz="4" w:space="0" w:shadow="0" w:frame="0" w:color="D9D9D9" w:themeColor="background1" w:themeShade="D9"/>
        </w:tblBorders>
        <w:tblCellMar>
          <w:left w:w="70" w:type="dxa"/>
          <w:right w:w="70" w:type="dxa"/>
        </w:tblCellMar>
        <w:tblLook w:val="04A0"/>
      </w:tblPr>
      <w:tblGrid/>
      <w:tr>
        <w:trPr>
          <w:trHeight w:hRule="atLeast" w:val="263"/>
        </w:trPr>
        <w:tc>
          <w:tcPr>
            <w:tcW w:w="1287" w:type="dxa"/>
            <w:vAlign w:val="bottom"/>
            <w:hideMark/>
          </w:tcPr>
          <w:p>
            <w:pPr>
              <w:jc w:val="right"/>
              <w:rPr>
                <w:rFonts w:ascii="Calibri Light" w:hAnsi="Calibri Light" w:cs="Calibri Light"/>
                <w:color w:val="000000"/>
                <w:sz w:val="20"/>
                <w:szCs w:val="20"/>
              </w:rPr>
            </w:pPr>
            <w:r>
              <w:rPr>
                <w:rFonts w:ascii="Calibri Light" w:hAnsi="Calibri Light" w:cs="Calibri Light"/>
                <w:color w:val="000000"/>
                <w:sz w:val="20"/>
              </w:rPr>
              <w:t> </w:t>
            </w:r>
          </w:p>
        </w:tc>
        <w:tc>
          <w:tcPr>
            <w:tcW w:w="2769" w:type="dxa"/>
            <w:vAlign w:val="bottom"/>
            <w:hideMark/>
          </w:tcPr>
          <w:p>
            <w:pPr>
              <w:jc w:val="right"/>
              <w:rPr>
                <w:rFonts w:ascii="Calibri Light" w:hAnsi="Calibri Light" w:cs="Calibri Light"/>
                <w:color w:val="000000"/>
                <w:sz w:val="20"/>
                <w:szCs w:val="20"/>
              </w:rPr>
            </w:pPr>
            <w:r>
              <w:rPr>
                <w:rFonts w:ascii="Calibri Light" w:hAnsi="Calibri Light" w:cs="Calibri Light"/>
                <w:color w:val="000000"/>
                <w:sz w:val="20"/>
              </w:rPr>
              <w:t>Växjövägen (årsmedel)</w:t>
            </w:r>
          </w:p>
        </w:tc>
        <w:tc>
          <w:tcPr>
            <w:tcW w:w="1458" w:type="dxa"/>
            <w:vAlign w:val="bottom"/>
            <w:hideMark/>
          </w:tcPr>
          <w:p>
            <w:pPr>
              <w:jc w:val="right"/>
              <w:rPr>
                <w:rFonts w:ascii="Calibri Light" w:hAnsi="Calibri Light" w:cs="Calibri Light"/>
                <w:color w:val="000000"/>
                <w:sz w:val="20"/>
                <w:szCs w:val="20"/>
              </w:rPr>
            </w:pPr>
            <w:r>
              <w:rPr>
                <w:rFonts w:ascii="Calibri Light" w:hAnsi="Calibri Light" w:cs="Calibri Light"/>
                <w:color w:val="000000"/>
                <w:sz w:val="20"/>
              </w:rPr>
              <w:t>MKN</w:t>
            </w:r>
          </w:p>
        </w:tc>
        <w:tc>
          <w:tcPr>
            <w:tcW w:w="1408" w:type="dxa"/>
            <w:vAlign w:val="bottom"/>
            <w:hideMark/>
          </w:tcPr>
          <w:p>
            <w:pPr>
              <w:jc w:val="right"/>
              <w:rPr>
                <w:rFonts w:ascii="Calibri Light" w:hAnsi="Calibri Light" w:cs="Calibri Light"/>
                <w:color w:val="000000"/>
                <w:sz w:val="20"/>
                <w:szCs w:val="20"/>
              </w:rPr>
            </w:pPr>
            <w:r>
              <w:rPr>
                <w:rFonts w:ascii="Calibri Light" w:hAnsi="Calibri Light" w:cs="Calibri Light"/>
                <w:color w:val="000000"/>
                <w:sz w:val="20"/>
              </w:rPr>
              <w:t>Miljömål</w:t>
            </w:r>
          </w:p>
        </w:tc>
        <w:tc>
          <w:tcPr>
            <w:tcW w:w="345" w:type="dxa"/>
            <w:noWrap/>
            <w:vAlign w:val="bottom"/>
            <w:hideMark/>
          </w:tcPr>
          <w:p>
            <w:pPr>
              <w:rPr>
                <w:rFonts w:ascii="Calibri Light" w:hAnsi="Calibri Light" w:cs="Calibri Light"/>
                <w:color w:val="000000"/>
                <w:sz w:val="20"/>
                <w:szCs w:val="20"/>
              </w:rPr>
            </w:pPr>
          </w:p>
        </w:tc>
      </w:tr>
      <w:tr>
        <w:trPr>
          <w:trHeight w:hRule="atLeast" w:val="336"/>
        </w:trPr>
        <w:tc>
          <w:tcPr>
            <w:tcW w:w="1287" w:type="dxa"/>
            <w:vAlign w:val="center"/>
            <w:hideMark/>
          </w:tcPr>
          <w:p>
            <w:pPr>
              <w:rPr>
                <w:rFonts w:ascii="Calibri Light" w:hAnsi="Calibri Light" w:cs="Calibri Light"/>
                <w:color w:val="000000"/>
                <w:sz w:val="20"/>
                <w:szCs w:val="20"/>
              </w:rPr>
            </w:pPr>
            <w:r>
              <w:rPr>
                <w:rFonts w:ascii="Calibri Light" w:hAnsi="Calibri Light" w:cs="Calibri Light"/>
                <w:color w:val="000000"/>
                <w:sz w:val="20"/>
              </w:rPr>
              <w:t>NO</w:t>
            </w:r>
            <w:r>
              <w:rPr>
                <w:rFonts w:ascii="Calibri Light" w:hAnsi="Calibri Light" w:cs="Calibri Light"/>
                <w:color w:val="000000"/>
                <w:sz w:val="20"/>
                <w:szCs w:val="20"/>
                <w:vertAlign w:val="subscript"/>
              </w:rPr>
              <w:t>2</w:t>
            </w:r>
          </w:p>
        </w:tc>
        <w:tc>
          <w:tcPr>
            <w:tcW w:w="2769" w:type="dxa"/>
            <w:vAlign w:val="center"/>
            <w:hideMark/>
          </w:tcPr>
          <w:p>
            <w:pPr>
              <w:jc w:val="right"/>
              <w:rPr>
                <w:rFonts w:ascii="Calibri Light" w:hAnsi="Calibri Light" w:cs="Calibri Light"/>
                <w:color w:val="000000"/>
                <w:sz w:val="20"/>
                <w:szCs w:val="20"/>
              </w:rPr>
            </w:pPr>
            <w:r>
              <w:rPr>
                <w:rFonts w:ascii="Calibri Light" w:hAnsi="Calibri Light" w:cs="Calibri Light"/>
                <w:color w:val="000000"/>
                <w:sz w:val="20"/>
              </w:rPr>
              <w:t>2 µg/m</w:t>
            </w:r>
            <w:r>
              <w:rPr>
                <w:rFonts w:ascii="Calibri Light" w:hAnsi="Calibri Light" w:cs="Calibri Light"/>
                <w:color w:val="000000"/>
                <w:sz w:val="20"/>
                <w:szCs w:val="20"/>
                <w:vertAlign w:val="superscript"/>
              </w:rPr>
              <w:t>3</w:t>
            </w:r>
          </w:p>
        </w:tc>
        <w:tc>
          <w:tcPr>
            <w:tcW w:w="1458" w:type="dxa"/>
            <w:vAlign w:val="center"/>
            <w:hideMark/>
          </w:tcPr>
          <w:p>
            <w:pPr>
              <w:jc w:val="right"/>
              <w:rPr>
                <w:rFonts w:ascii="Calibri Light" w:hAnsi="Calibri Light" w:cs="Calibri Light"/>
                <w:color w:val="000000"/>
                <w:sz w:val="20"/>
                <w:szCs w:val="20"/>
              </w:rPr>
            </w:pPr>
            <w:r>
              <w:rPr>
                <w:rFonts w:ascii="Calibri Light" w:hAnsi="Calibri Light" w:cs="Calibri Light"/>
                <w:color w:val="000000"/>
                <w:sz w:val="20"/>
              </w:rPr>
              <w:t>40 µg/m</w:t>
            </w:r>
            <w:r>
              <w:rPr>
                <w:rFonts w:ascii="Calibri Light" w:hAnsi="Calibri Light" w:cs="Calibri Light"/>
                <w:color w:val="000000"/>
                <w:sz w:val="20"/>
                <w:szCs w:val="20"/>
                <w:vertAlign w:val="superscript"/>
              </w:rPr>
              <w:t>3</w:t>
            </w:r>
          </w:p>
        </w:tc>
        <w:tc>
          <w:tcPr>
            <w:tcW w:w="1408" w:type="dxa"/>
            <w:vAlign w:val="center"/>
            <w:hideMark/>
          </w:tcPr>
          <w:p>
            <w:pPr>
              <w:jc w:val="right"/>
              <w:rPr>
                <w:rFonts w:ascii="Calibri Light" w:hAnsi="Calibri Light" w:cs="Calibri Light"/>
                <w:color w:val="000000"/>
                <w:sz w:val="20"/>
                <w:szCs w:val="20"/>
              </w:rPr>
            </w:pPr>
            <w:r>
              <w:rPr>
                <w:rFonts w:ascii="Calibri Light" w:hAnsi="Calibri Light" w:cs="Calibri Light"/>
                <w:color w:val="000000"/>
                <w:sz w:val="20"/>
              </w:rPr>
              <w:t>20 µg/m</w:t>
            </w:r>
            <w:r>
              <w:rPr>
                <w:rFonts w:ascii="Calibri Light" w:hAnsi="Calibri Light" w:cs="Calibri Light"/>
                <w:color w:val="000000"/>
                <w:sz w:val="20"/>
                <w:szCs w:val="20"/>
                <w:vertAlign w:val="superscript"/>
              </w:rPr>
              <w:t>3</w:t>
            </w:r>
          </w:p>
        </w:tc>
        <w:tc>
          <w:tcPr>
            <w:tcW w:w="345" w:type="dxa"/>
            <w:noWrap/>
            <w:vAlign w:val="bottom"/>
            <w:hideMark/>
          </w:tcPr>
          <w:p>
            <w:pPr>
              <w:rPr>
                <w:rFonts w:ascii="Calibri Light" w:hAnsi="Calibri Light" w:cs="Calibri Light"/>
                <w:color w:val="000000"/>
                <w:sz w:val="20"/>
                <w:szCs w:val="20"/>
              </w:rPr>
            </w:pPr>
          </w:p>
        </w:tc>
      </w:tr>
      <w:tr>
        <w:trPr>
          <w:trHeight w:hRule="atLeast" w:val="324"/>
        </w:trPr>
        <w:tc>
          <w:tcPr>
            <w:tcW w:w="1287" w:type="dxa"/>
            <w:vAlign w:val="center"/>
            <w:hideMark/>
          </w:tcPr>
          <w:p>
            <w:pPr>
              <w:rPr>
                <w:rFonts w:ascii="Calibri Light" w:hAnsi="Calibri Light" w:cs="Calibri Light"/>
                <w:color w:val="000000"/>
                <w:sz w:val="20"/>
                <w:szCs w:val="20"/>
              </w:rPr>
            </w:pPr>
            <w:r>
              <w:rPr>
                <w:rFonts w:ascii="Calibri Light" w:hAnsi="Calibri Light" w:cs="Calibri Light"/>
                <w:color w:val="000000"/>
                <w:sz w:val="20"/>
              </w:rPr>
              <w:t>PM 10</w:t>
            </w:r>
          </w:p>
        </w:tc>
        <w:tc>
          <w:tcPr>
            <w:tcW w:w="2769" w:type="dxa"/>
            <w:vAlign w:val="center"/>
            <w:hideMark/>
          </w:tcPr>
          <w:p>
            <w:pPr>
              <w:jc w:val="right"/>
              <w:rPr>
                <w:rFonts w:ascii="Calibri Light" w:hAnsi="Calibri Light" w:cs="Calibri Light"/>
                <w:color w:val="000000"/>
                <w:sz w:val="20"/>
                <w:szCs w:val="20"/>
              </w:rPr>
            </w:pPr>
            <w:r>
              <w:rPr>
                <w:rFonts w:ascii="Calibri Light" w:hAnsi="Calibri Light" w:cs="Calibri Light"/>
                <w:color w:val="000000"/>
                <w:sz w:val="20"/>
              </w:rPr>
              <w:t>9 µg/m</w:t>
            </w:r>
            <w:r>
              <w:rPr>
                <w:rFonts w:ascii="Calibri Light" w:hAnsi="Calibri Light" w:cs="Calibri Light"/>
                <w:color w:val="000000"/>
                <w:sz w:val="20"/>
                <w:szCs w:val="20"/>
                <w:vertAlign w:val="superscript"/>
              </w:rPr>
              <w:t>3</w:t>
            </w:r>
          </w:p>
        </w:tc>
        <w:tc>
          <w:tcPr>
            <w:tcW w:w="1458" w:type="dxa"/>
            <w:vAlign w:val="center"/>
            <w:hideMark/>
          </w:tcPr>
          <w:p>
            <w:pPr>
              <w:jc w:val="right"/>
              <w:rPr>
                <w:rFonts w:ascii="Calibri Light" w:hAnsi="Calibri Light" w:cs="Calibri Light"/>
                <w:color w:val="000000"/>
                <w:sz w:val="20"/>
                <w:szCs w:val="20"/>
              </w:rPr>
            </w:pPr>
            <w:r>
              <w:rPr>
                <w:rFonts w:ascii="Calibri Light" w:hAnsi="Calibri Light" w:cs="Calibri Light"/>
                <w:color w:val="000000"/>
                <w:sz w:val="20"/>
              </w:rPr>
              <w:t>40 µg/m</w:t>
            </w:r>
            <w:r>
              <w:rPr>
                <w:rFonts w:ascii="Calibri Light" w:hAnsi="Calibri Light" w:cs="Calibri Light"/>
                <w:color w:val="000000"/>
                <w:sz w:val="20"/>
                <w:szCs w:val="20"/>
                <w:vertAlign w:val="superscript"/>
              </w:rPr>
              <w:t>3</w:t>
            </w:r>
          </w:p>
        </w:tc>
        <w:tc>
          <w:tcPr>
            <w:tcW w:w="1408" w:type="dxa"/>
            <w:vAlign w:val="center"/>
            <w:hideMark/>
          </w:tcPr>
          <w:p>
            <w:pPr>
              <w:jc w:val="right"/>
              <w:rPr>
                <w:rFonts w:ascii="Calibri Light" w:hAnsi="Calibri Light" w:cs="Calibri Light"/>
                <w:color w:val="000000"/>
                <w:sz w:val="20"/>
                <w:szCs w:val="20"/>
              </w:rPr>
            </w:pPr>
            <w:r>
              <w:rPr>
                <w:rFonts w:ascii="Calibri Light" w:hAnsi="Calibri Light" w:cs="Calibri Light"/>
                <w:color w:val="000000"/>
                <w:sz w:val="20"/>
              </w:rPr>
              <w:t>15 µg/m</w:t>
            </w:r>
            <w:r>
              <w:rPr>
                <w:rFonts w:ascii="Calibri Light" w:hAnsi="Calibri Light" w:cs="Calibri Light"/>
                <w:color w:val="000000"/>
                <w:sz w:val="20"/>
                <w:szCs w:val="20"/>
                <w:vertAlign w:val="superscript"/>
              </w:rPr>
              <w:t>3</w:t>
            </w:r>
          </w:p>
        </w:tc>
        <w:tc>
          <w:tcPr>
            <w:tcW w:w="345" w:type="dxa"/>
            <w:noWrap/>
            <w:vAlign w:val="bottom"/>
            <w:hideMark/>
          </w:tcPr>
          <w:p>
            <w:pPr>
              <w:rPr>
                <w:rFonts w:ascii="Calibri Light" w:hAnsi="Calibri Light" w:cs="Calibri Light"/>
                <w:color w:val="000000"/>
                <w:sz w:val="20"/>
                <w:szCs w:val="20"/>
              </w:rPr>
            </w:pPr>
          </w:p>
        </w:tc>
      </w:tr>
      <w:tr>
        <w:trPr>
          <w:trHeight w:hRule="atLeast" w:val="324"/>
        </w:trPr>
        <w:tc>
          <w:tcPr>
            <w:tcW w:w="1287" w:type="dxa"/>
            <w:vAlign w:val="center"/>
            <w:hideMark/>
          </w:tcPr>
          <w:p>
            <w:pPr>
              <w:rPr>
                <w:rFonts w:ascii="Calibri Light" w:hAnsi="Calibri Light" w:cs="Calibri Light"/>
                <w:color w:val="000000"/>
                <w:sz w:val="20"/>
                <w:szCs w:val="20"/>
              </w:rPr>
            </w:pPr>
            <w:r>
              <w:rPr>
                <w:rFonts w:ascii="Calibri Light" w:hAnsi="Calibri Light" w:cs="Calibri Light"/>
                <w:color w:val="000000"/>
                <w:sz w:val="20"/>
              </w:rPr>
              <w:t>Bensen</w:t>
            </w:r>
          </w:p>
        </w:tc>
        <w:tc>
          <w:tcPr>
            <w:tcW w:w="2769" w:type="dxa"/>
            <w:vAlign w:val="center"/>
            <w:hideMark/>
          </w:tcPr>
          <w:p>
            <w:pPr>
              <w:jc w:val="right"/>
              <w:rPr>
                <w:rFonts w:ascii="Calibri Light" w:hAnsi="Calibri Light" w:cs="Calibri Light"/>
                <w:color w:val="000000"/>
                <w:sz w:val="20"/>
                <w:szCs w:val="20"/>
              </w:rPr>
            </w:pPr>
            <w:r>
              <w:rPr>
                <w:rFonts w:ascii="Calibri Light" w:hAnsi="Calibri Light" w:cs="Calibri Light"/>
                <w:color w:val="000000"/>
                <w:sz w:val="20"/>
              </w:rPr>
              <w:t>0,5 µg/m</w:t>
            </w:r>
            <w:r>
              <w:rPr>
                <w:rFonts w:ascii="Calibri Light" w:hAnsi="Calibri Light" w:cs="Calibri Light"/>
                <w:color w:val="000000"/>
                <w:sz w:val="20"/>
                <w:szCs w:val="20"/>
                <w:vertAlign w:val="superscript"/>
              </w:rPr>
              <w:t>3</w:t>
            </w:r>
          </w:p>
        </w:tc>
        <w:tc>
          <w:tcPr>
            <w:tcW w:w="1458" w:type="dxa"/>
            <w:vAlign w:val="center"/>
            <w:hideMark/>
          </w:tcPr>
          <w:p>
            <w:pPr>
              <w:jc w:val="right"/>
              <w:rPr>
                <w:rFonts w:ascii="Calibri Light" w:hAnsi="Calibri Light" w:cs="Calibri Light"/>
                <w:color w:val="000000"/>
                <w:sz w:val="20"/>
                <w:szCs w:val="20"/>
              </w:rPr>
            </w:pPr>
            <w:r>
              <w:rPr>
                <w:rFonts w:ascii="Calibri Light" w:hAnsi="Calibri Light" w:cs="Calibri Light"/>
                <w:color w:val="000000"/>
                <w:sz w:val="20"/>
              </w:rPr>
              <w:t>5 µg/m</w:t>
            </w:r>
            <w:r>
              <w:rPr>
                <w:rFonts w:ascii="Calibri Light" w:hAnsi="Calibri Light" w:cs="Calibri Light"/>
                <w:color w:val="000000"/>
                <w:sz w:val="20"/>
                <w:szCs w:val="20"/>
                <w:vertAlign w:val="superscript"/>
              </w:rPr>
              <w:t>3</w:t>
            </w:r>
          </w:p>
        </w:tc>
        <w:tc>
          <w:tcPr>
            <w:tcW w:w="1408" w:type="dxa"/>
            <w:vAlign w:val="center"/>
            <w:hideMark/>
          </w:tcPr>
          <w:p>
            <w:pPr>
              <w:jc w:val="right"/>
              <w:rPr>
                <w:rFonts w:ascii="Calibri Light" w:hAnsi="Calibri Light" w:cs="Calibri Light"/>
                <w:color w:val="000000"/>
                <w:sz w:val="20"/>
                <w:szCs w:val="20"/>
              </w:rPr>
            </w:pPr>
            <w:r>
              <w:rPr>
                <w:rFonts w:ascii="Calibri Light" w:hAnsi="Calibri Light" w:cs="Calibri Light"/>
                <w:color w:val="000000"/>
                <w:sz w:val="20"/>
              </w:rPr>
              <w:t>1 µg/m</w:t>
            </w:r>
            <w:r>
              <w:rPr>
                <w:rFonts w:ascii="Calibri Light" w:hAnsi="Calibri Light" w:cs="Calibri Light"/>
                <w:color w:val="000000"/>
                <w:sz w:val="20"/>
                <w:szCs w:val="20"/>
                <w:vertAlign w:val="superscript"/>
              </w:rPr>
              <w:t>3</w:t>
            </w:r>
          </w:p>
        </w:tc>
        <w:tc>
          <w:tcPr>
            <w:tcW w:w="345" w:type="dxa"/>
            <w:noWrap/>
            <w:vAlign w:val="bottom"/>
            <w:hideMark/>
          </w:tcPr>
          <w:p>
            <w:pPr>
              <w:rPr>
                <w:rFonts w:ascii="Calibri Light" w:hAnsi="Calibri Light" w:cs="Calibri Light"/>
                <w:color w:val="000000"/>
                <w:sz w:val="20"/>
                <w:szCs w:val="20"/>
              </w:rPr>
            </w:pPr>
          </w:p>
        </w:tc>
      </w:tr>
      <w:tr>
        <w:trPr>
          <w:trHeight w:hRule="atLeast" w:val="324"/>
        </w:trPr>
        <w:tc>
          <w:tcPr>
            <w:tcW w:w="1287" w:type="dxa"/>
            <w:vAlign w:val="center"/>
          </w:tcPr>
          <w:p>
            <w:pPr>
              <w:rPr>
                <w:rFonts w:ascii="Calibri Light" w:hAnsi="Calibri Light" w:cs="Calibri Light"/>
                <w:color w:val="000000"/>
                <w:sz w:val="20"/>
              </w:rPr>
            </w:pPr>
          </w:p>
        </w:tc>
        <w:tc>
          <w:tcPr>
            <w:tcW w:w="2769" w:type="dxa"/>
            <w:vAlign w:val="center"/>
          </w:tcPr>
          <w:p>
            <w:pPr>
              <w:jc w:val="right"/>
              <w:rPr>
                <w:rFonts w:ascii="Calibri Light" w:hAnsi="Calibri Light" w:cs="Calibri Light"/>
                <w:color w:val="000000"/>
                <w:sz w:val="20"/>
              </w:rPr>
            </w:pPr>
          </w:p>
        </w:tc>
        <w:tc>
          <w:tcPr>
            <w:tcW w:w="1458" w:type="dxa"/>
            <w:vAlign w:val="center"/>
          </w:tcPr>
          <w:p>
            <w:pPr>
              <w:jc w:val="right"/>
              <w:rPr>
                <w:rFonts w:ascii="Calibri Light" w:hAnsi="Calibri Light" w:cs="Calibri Light"/>
                <w:color w:val="000000"/>
                <w:sz w:val="20"/>
              </w:rPr>
            </w:pPr>
          </w:p>
        </w:tc>
        <w:tc>
          <w:tcPr>
            <w:tcW w:w="1408" w:type="dxa"/>
            <w:vAlign w:val="center"/>
          </w:tcPr>
          <w:p>
            <w:pPr>
              <w:jc w:val="right"/>
              <w:rPr>
                <w:rFonts w:ascii="Calibri Light" w:hAnsi="Calibri Light" w:cs="Calibri Light"/>
                <w:color w:val="000000"/>
                <w:sz w:val="20"/>
              </w:rPr>
            </w:pPr>
          </w:p>
        </w:tc>
        <w:tc>
          <w:tcPr>
            <w:tcW w:w="345" w:type="dxa"/>
            <w:noWrap/>
            <w:vAlign w:val="bottom"/>
          </w:tcPr>
          <w:p>
            <w:pPr>
              <w:rPr>
                <w:rFonts w:ascii="Calibri Light" w:hAnsi="Calibri Light" w:cs="Calibri Light"/>
                <w:color w:val="000000"/>
                <w:sz w:val="20"/>
                <w:szCs w:val="20"/>
              </w:rPr>
            </w:pPr>
          </w:p>
        </w:tc>
      </w:tr>
    </w:tbl>
    <w:p>
      <w:pPr>
        <w:pStyle w:val="P23"/>
      </w:pPr>
      <w:r>
        <w:t xml:space="preserve">Planförslaget kan medföra minskad trafikmängd till och från området. Minskningen beräknas mestadels bestå av omfördelning av parkerande till ytor kring planområdet eftersom bilar som inte tillhör de boende upphör att parkera på planområdets byggrätter. Uppmätta värden är under fastställda riktvärden (preciseringar) i miljömålet </w:t>
      </w:r>
      <w:r>
        <w:rPr>
          <w:i w:val="1"/>
        </w:rPr>
        <w:t>Frisk luft</w:t>
      </w:r>
      <w:r>
        <w:t xml:space="preserve"> och planens genomförande bedöms inte medföra risk för överskridande av miljökvalitetsnormer.</w:t>
      </w:r>
    </w:p>
    <w:p>
      <w:pPr>
        <w:pStyle w:val="P23"/>
      </w:pPr>
      <w:r>
        <w:t>Bedömning: Ej betydande miljöpåverkan.</w:t>
      </w:r>
    </w:p>
    <w:p>
      <w:pPr>
        <w:pStyle w:val="P4"/>
        <w:jc w:val="both"/>
      </w:pPr>
      <w:bookmarkEnd w:id="182"/>
      <w:bookmarkStart w:id="185" w:name="ko_vatten01"/>
      <w:r>
        <w:t>MKN för vatten</w:t>
      </w:r>
    </w:p>
    <w:p>
      <w:pPr>
        <w:pStyle w:val="P23"/>
      </w:pPr>
      <w:r>
        <w:t xml:space="preserve">Planområdets recipient är Lekarydsån: Danssjön- Stråken, som (enligt redovisning i VISS, hämtad 2022-04-01) har måttlig ekologisk status. Bedömningen är att Lekarydsån ska uppfylla kvalitetskravet för god ekologisk status 2033. Salen uppnår ej god kemisk ytvattenstatus på grund av kvicksilver, benso(a)pyrene och bromerad difenyleter som undantas från kvalitetskraven. </w:t>
      </w:r>
    </w:p>
    <w:p>
      <w:pPr>
        <w:pStyle w:val="P23"/>
      </w:pPr>
      <w:r>
        <w:t xml:space="preserve">Inom planområdet finns en grundvattenförekomst, Alvestaåsen, som (enligt redovisning i VISS, hämtad 2023-02-14) uppnår otillfredsställande kemisk status (på grund av trikloreten och tetrakloreten) men god kvantitativ status. Planförslaget bedöms inte påverka vatten- och grundvattenförekomsters status negativt. För att inte påverka grundvattnets flöde har en bestämmelse med förbud om att anlägga källare tillskapats på planområdet. </w:t>
      </w:r>
    </w:p>
    <w:p>
      <w:pPr>
        <w:pStyle w:val="P23"/>
      </w:pPr>
      <w:r>
        <w:t>Försiktighetsåtgärder beaktas för att grundvattenförekomsten Alvestaåsen inte ska påverkas vid detaljplanens genomförande. Vid behov ska åtgärder vidtas i enlighet med 10 kap Miljöbalken.</w:t>
      </w:r>
    </w:p>
    <w:p>
      <w:pPr>
        <w:pStyle w:val="P23"/>
      </w:pPr>
      <w:r>
        <w:t>Dagvatten tas om hand genom kommunala dagvattenledningar i anslutning till planområdet.</w:t>
      </w:r>
    </w:p>
    <w:p>
      <w:pPr>
        <w:pStyle w:val="P23"/>
      </w:pPr>
      <w:r>
        <w:t>Bedömning: Ej betydande miljöpåverkan.</w:t>
      </w:r>
    </w:p>
    <w:p>
      <w:pPr>
        <w:pStyle w:val="P3"/>
        <w:jc w:val="both"/>
      </w:pPr>
      <w:bookmarkEnd w:id="185"/>
      <w:bookmarkStart w:id="186" w:name="ko_miljöbedömning01"/>
      <w:r>
        <w:t>Miljömål</w:t>
      </w:r>
      <w:bookmarkEnd w:id="183"/>
      <w:bookmarkEnd w:id="184"/>
      <w:bookmarkStart w:id="187" w:name="_Toc280260041"/>
      <w:bookmarkStart w:id="188" w:name="_Toc280260487"/>
    </w:p>
    <w:p>
      <w:pPr>
        <w:pStyle w:val="P5"/>
      </w:pPr>
      <w:r>
        <w:t xml:space="preserve">Planen bedöms få positiva effekter på miljömålet </w:t>
      </w:r>
      <w:r>
        <w:rPr>
          <w:i w:val="1"/>
        </w:rPr>
        <w:t xml:space="preserve">God bebyggd miljö samt </w:t>
      </w:r>
      <w:r>
        <w:t xml:space="preserve">Generationsmålets strecksats </w:t>
      </w:r>
      <w:r>
        <w:rPr>
          <w:i w:val="1"/>
        </w:rPr>
        <w:t>God hushållning med naturresurserna</w:t>
      </w:r>
      <w:r>
        <w:t xml:space="preserve"> genom att planområdet tar i anspråk redan hårdgjord mark och planerar för bostäder, vilket tillgodoser bostadsförsörjningsbehovet i Moheda. </w:t>
      </w:r>
    </w:p>
    <w:p>
      <w:pPr>
        <w:pStyle w:val="P5"/>
      </w:pPr>
      <w:r>
        <w:t>Bedömning: Ej betydande miljöpåverkan.</w:t>
      </w:r>
    </w:p>
    <w:p>
      <w:pPr>
        <w:pStyle w:val="P3"/>
        <w:jc w:val="both"/>
        <w:rPr>
          <w:color w:val="000000" w:themeColor="text1"/>
        </w:rPr>
      </w:pPr>
      <w:bookmarkEnd w:id="186"/>
      <w:bookmarkStart w:id="189" w:name="ko_skyddadevattendrag01"/>
      <w:r>
        <w:rPr>
          <w:color w:val="000000" w:themeColor="text1"/>
        </w:rPr>
        <w:t>Riksintressen</w:t>
      </w:r>
      <w:bookmarkEnd w:id="187"/>
      <w:bookmarkEnd w:id="188"/>
    </w:p>
    <w:p>
      <w:pPr>
        <w:pStyle w:val="P23"/>
      </w:pPr>
      <w:bookmarkStart w:id="190" w:name="_Toc280260042"/>
      <w:bookmarkStart w:id="191" w:name="_Toc280260488"/>
      <w:r>
        <w:t xml:space="preserve">Planområdet ligger inom avrinningsområdet för Mörrumsån som är ett vattendrag av riksintresse. Riksintresset bedöms inte påverkas negativt av användningen på planområdet. </w:t>
      </w:r>
    </w:p>
    <w:p>
      <w:pPr>
        <w:pStyle w:val="P23"/>
      </w:pPr>
      <w:r>
        <w:t>Bedömning: Ej betydande påverkan.</w:t>
      </w:r>
    </w:p>
    <w:p>
      <w:pPr>
        <w:pStyle w:val="P3"/>
        <w:jc w:val="both"/>
        <w:rPr>
          <w:color w:val="000000" w:themeColor="text1"/>
        </w:rPr>
      </w:pPr>
      <w:bookmarkEnd w:id="189"/>
      <w:bookmarkStart w:id="192" w:name="ko_kulturmiljövård01"/>
      <w:r>
        <w:rPr>
          <w:color w:val="000000" w:themeColor="text1"/>
        </w:rPr>
        <w:t>Natur- och kulturmiljö</w:t>
      </w:r>
      <w:bookmarkEnd w:id="190"/>
      <w:bookmarkEnd w:id="191"/>
    </w:p>
    <w:p>
      <w:pPr>
        <w:pStyle w:val="P3"/>
        <w:jc w:val="both"/>
        <w:rPr>
          <w:rFonts w:ascii="Calibri Light" w:hAnsi="Calibri Light" w:cs="Calibri Light"/>
          <w:b w:val="0"/>
        </w:rPr>
      </w:pPr>
      <w:bookmarkStart w:id="193" w:name="_Toc280260043"/>
      <w:bookmarkStart w:id="194" w:name="_Toc280260489"/>
      <w:r>
        <w:rPr>
          <w:rFonts w:ascii="Calibri Light" w:hAnsi="Calibri Light" w:cs="Calibri Light"/>
          <w:b w:val="0"/>
        </w:rPr>
        <w:t>Moheda kyrka ligger direkt väster om planområdet och den tidigare prästgården återfinns på grannfastigheten. Kulturmiljöns värden och koppling bedöms inte påverkas av planförslaget. Ny bebyggelse får på byggrätten i höjd med kyrkan och prästgården uppföras i 8 meters byggnadshöjd och gångstråket inom kvarteret får ej bebyggas, vilket regleras genom en bestämmelse om prickmark.</w:t>
      </w:r>
    </w:p>
    <w:p>
      <w:pPr>
        <w:pStyle w:val="P23"/>
      </w:pPr>
      <w:r>
        <w:t>Bedömning: Ej betydande påverkan.</w:t>
      </w:r>
    </w:p>
    <w:p>
      <w:pPr>
        <w:pStyle w:val="P3"/>
        <w:jc w:val="both"/>
      </w:pPr>
      <w:bookmarkEnd w:id="192"/>
      <w:bookmarkStart w:id="195" w:name="ko_landskapsbild01"/>
      <w:r>
        <w:t>Visuell miljö och landskapsbild</w:t>
      </w:r>
      <w:bookmarkEnd w:id="193"/>
      <w:bookmarkEnd w:id="194"/>
    </w:p>
    <w:p>
      <w:pPr>
        <w:pStyle w:val="P23"/>
      </w:pPr>
      <w:r>
        <w:t>Den visuella miljön förändras efter planens genomförande genom att planområdet kommer att kännetecknas av flerbostadshusbebyggelse och en tätare bebyggelsestruktur.</w:t>
      </w:r>
    </w:p>
    <w:p>
      <w:pPr>
        <w:pStyle w:val="P3"/>
        <w:jc w:val="both"/>
      </w:pPr>
      <w:bookmarkEnd w:id="195"/>
      <w:bookmarkStart w:id="196" w:name="_Toc280260045"/>
      <w:bookmarkStart w:id="197" w:name="_Toc280260491"/>
      <w:bookmarkStart w:id="198" w:name="ko_buller01"/>
      <w:r>
        <w:t>Hälsa och säkerhet</w:t>
      </w:r>
      <w:bookmarkEnd w:id="196"/>
      <w:bookmarkEnd w:id="197"/>
    </w:p>
    <w:p>
      <w:pPr>
        <w:pStyle w:val="P22"/>
        <w:rPr>
          <w:b w:val="1"/>
          <w:bCs w:val="0"/>
        </w:rPr>
      </w:pPr>
      <w:bookmarkStart w:id="199" w:name="_Hlk135237049"/>
      <w:r>
        <w:rPr>
          <w:b w:val="1"/>
          <w:bCs w:val="0"/>
        </w:rPr>
        <w:t xml:space="preserve">Buller </w:t>
      </w:r>
    </w:p>
    <w:p>
      <w:pPr>
        <w:pStyle w:val="P22"/>
      </w:pPr>
      <w:r>
        <w:t xml:space="preserve">Under rubriken </w:t>
      </w:r>
      <w:r>
        <w:rPr>
          <w:i w:val="1"/>
        </w:rPr>
        <w:t>Platsens förutsättningar</w:t>
      </w:r>
      <w:r>
        <w:t xml:space="preserve"> ovan redovisas en del av den översiktliga bullerkartläggningen för Moheda tätort.</w:t>
      </w:r>
      <w:r>
        <w:rPr>
          <w:color w:val="C00000"/>
        </w:rPr>
        <w:t xml:space="preserve"> </w:t>
      </w:r>
      <w:r>
        <w:t xml:space="preserve">Närmaste trafikstråk som bedömts vara betydande källor till trafikbuller är Torpsbruksvägen, Kyrkogatan. Storgatan, Växjövägen, Vegbyvägen och Södra stambanan. </w:t>
      </w:r>
    </w:p>
    <w:p>
      <w:pPr>
        <w:pStyle w:val="P22"/>
      </w:pPr>
      <w:bookmarkEnd w:id="199"/>
      <w:bookmarkStart w:id="200" w:name="_Toc280260046"/>
      <w:bookmarkStart w:id="201" w:name="_Toc280260492"/>
      <w:r>
        <w:t xml:space="preserve">För den norra byggrätten uppnås godkända bullervärden. </w:t>
      </w:r>
    </w:p>
    <w:p>
      <w:pPr>
        <w:pStyle w:val="P22"/>
        <w:pBdr>
          <w:top w:val="none" w:sz="0" w:space="0" w:shadow="0" w:frame="0" w:color="auto"/>
          <w:left w:val="single" w:sz="18" w:space="7" w:shadow="0" w:frame="0" w:color="FF0000"/>
          <w:bottom w:val="none" w:sz="0" w:space="0" w:shadow="0" w:frame="0" w:color="auto"/>
          <w:right w:val="none" w:sz="0" w:space="0" w:shadow="0" w:frame="0" w:color="auto"/>
          <w:between w:val="none" w:sz="0" w:space="0" w:shadow="0" w:frame="0" w:color="auto"/>
        </w:pBdr>
      </w:pPr>
      <w:bookmarkEnd w:id="198"/>
      <w:bookmarkStart w:id="202" w:name="ko_delarsomundantasantagande06"/>
      <w:r>
        <w:t xml:space="preserve">För den södra byggrätten kan en bostadsbyggnad uppnå godkända bullernivåer för både ekvivalenta och maximala ljudnivåer, i nutid och år 2040 om bostadsbebyggelse i den södra byggrätten placeras minst 8 meter från Växjövägen, därav minst 6 meter från den södra fastighetsgränsen mot Växjövägen på fastigheten 4:192. Med det som grund har prickmark införts för att uppnå godkända bullervärden för fasad. </w:t>
      </w:r>
    </w:p>
    <w:p>
      <w:pPr>
        <w:pStyle w:val="P22"/>
        <w:rPr>
          <w:b w:val="1"/>
          <w:bCs w:val="0"/>
        </w:rPr>
      </w:pPr>
      <w:bookmarkEnd w:id="202"/>
      <w:bookmarkStart w:id="203" w:name="ko_olyckor01"/>
      <w:r>
        <w:rPr>
          <w:b w:val="1"/>
          <w:bCs w:val="0"/>
        </w:rPr>
        <w:t>Farligt gods</w:t>
      </w:r>
    </w:p>
    <w:p>
      <w:pPr>
        <w:pStyle w:val="P22"/>
        <w:rPr>
          <w:i w:val="1"/>
        </w:rPr>
      </w:pPr>
      <w:r>
        <w:t>Det bedöms inte finnas en betydande risk kopplat till planområdets avstånd till farligt-gods-leden Södra stambanan eftersom det enligt RIKTSAM:s riktlinjer (RIKTSAM, s.78–87) enbart sker en marginell minskning av samhällsrisknivån för bostadsbebyggelse mer än 70 meter från en transportled. Delen som ligger närmare än 150 meter ligger på ett avstånd om 140 meters avstånd som kortast. Planområdet och markanvändingen bedöms ej påverkas betydande av farligt gods-leden Södra stambanan och detaljplanen bedöms ej påverka farligt-gods-leden betydande genom bullerstörningar från trafikleden eftersom godkända nivåer för buller bedöms vara möjliga att uppnå på hela planområdet. Behov av att upprätta en riskanalys enligt vägledning 2 eller 3 i RIKTSAM bedöms inte föreligga.</w:t>
      </w:r>
    </w:p>
    <w:p>
      <w:pPr>
        <w:pStyle w:val="P3"/>
        <w:jc w:val="both"/>
      </w:pPr>
      <w:bookmarkEnd w:id="203"/>
      <w:bookmarkStart w:id="204" w:name="ko_ianspråkstagnaområden01"/>
      <w:r>
        <w:t>Resurshushållning</w:t>
      </w:r>
      <w:bookmarkEnd w:id="200"/>
      <w:bookmarkEnd w:id="201"/>
    </w:p>
    <w:p>
      <w:pPr>
        <w:pStyle w:val="P23"/>
      </w:pPr>
      <w:bookmarkStart w:id="205" w:name="_Toc280260047"/>
      <w:bookmarkStart w:id="206" w:name="_Toc280260493"/>
      <w:r>
        <w:t xml:space="preserve">Hårdgjorda ytor i form av parkeringsplatser ersätts av bostadsbebyggelse, kvartersmark och utemiljöer. Planen utnyttjar redan ianspråktagen mark och möjliggör förtätning, vilket är förenligt med hushållningsbestämmelserna i miljöbalken. Planområdet ligger inom befintlig infrastruktur; vatten och avlopp, gata samt fjärrvärme, vilket gör att ny mark inte behöver tas i anspråk för ny infrastruktur. </w:t>
      </w:r>
    </w:p>
    <w:p>
      <w:pPr>
        <w:pStyle w:val="P3"/>
        <w:jc w:val="both"/>
      </w:pPr>
      <w:bookmarkEnd w:id="204"/>
      <w:bookmarkStart w:id="207" w:name="ko_jämlikhet01"/>
      <w:r>
        <w:t>Socialt perspektiv</w:t>
      </w:r>
      <w:bookmarkEnd w:id="205"/>
      <w:bookmarkEnd w:id="206"/>
      <w:r>
        <w:t xml:space="preserve"> </w:t>
      </w:r>
    </w:p>
    <w:p>
      <w:pPr>
        <w:pStyle w:val="P23"/>
      </w:pPr>
      <w:bookmarkStart w:id="208" w:name="_Toc280260048"/>
      <w:bookmarkStart w:id="209" w:name="_Toc280260494"/>
      <w:r>
        <w:t>Uteplatser för de boende möjliggörs genom att byggrätternas omfattning begränsas genom regleringar och kvartersstrukturen möjliggör social rörelse i kvarteret. Den sociala hållbarheten främjas av närheten till kollektivtrafik och service såsom matvaruaffär, lekplats, förskola och skola som nås i närområdet via gång- och cykelvägar. Närheten till skola och förskola gynnar barnperspektivet. Kollektivtrafik som buss och järnväg är lättillgängliga och nåbara på gångavstånd. Sammantaget ger planen möjlighet till jämställda transportmöjligheter och ett hållbart resande.</w:t>
      </w:r>
    </w:p>
    <w:p>
      <w:pPr>
        <w:pStyle w:val="P3"/>
        <w:jc w:val="both"/>
      </w:pPr>
      <w:bookmarkEnd w:id="207"/>
      <w:bookmarkStart w:id="210" w:name="ko_ekonomi01"/>
      <w:r>
        <w:t>Ekonomiska konsekvenser</w:t>
      </w:r>
      <w:bookmarkEnd w:id="208"/>
      <w:bookmarkEnd w:id="209"/>
      <w:bookmarkStart w:id="211" w:name="_Toc275242371"/>
    </w:p>
    <w:p>
      <w:pPr>
        <w:pStyle w:val="P22"/>
      </w:pPr>
      <w:r>
        <w:t xml:space="preserve">Förslaget kommer att innebära att fler bostäder byggs i Moheda. Alvesta kommun äger fastigheterna på planområdet, varav bostadsrätterna kan leda till ekonomiska effekter för Alvesta kommun. Planens genomförande kan innebära positiva ekonomiska effekter för verksamheter i Moheda centrum. </w:t>
      </w:r>
    </w:p>
    <w:p>
      <w:pPr>
        <w:pStyle w:val="P2"/>
        <w:jc w:val="both"/>
        <w:rPr>
          <w:iCs w:val="0"/>
        </w:rPr>
      </w:pPr>
      <w:bookmarkEnd w:id="210"/>
      <w:bookmarkStart w:id="212" w:name="ko_miljöbedömning02"/>
      <w:r>
        <w:rPr>
          <w:iCs w:val="0"/>
        </w:rPr>
        <w:t>UNDERSÖKNING OM BETYDANDE MILJÖPÅVERKAN</w:t>
      </w:r>
    </w:p>
    <w:p>
      <w:pPr>
        <w:pStyle w:val="P22"/>
      </w:pPr>
      <w:bookmarkEnd w:id="211"/>
      <w:r>
        <w:t>Bedömningen är att planförslaget är förenligt med bestämmelserna i 3, 4 och 5 kap miljöbalken samt grundläggande bestämmelser för hushållning med mark- och vattenområden enligt 3 kap Miljöbalken. Planområdet är lokaliserat i Moheda tätort och bedöms vara lämpat för den exploatering som föreslås. Gällande riktvärden för buller bedöms dessa inte överskridas. Den norra byggrätten uppnår godkända bullervärden (Bilaga 1).</w:t>
      </w:r>
    </w:p>
    <w:p>
      <w:pPr>
        <w:pStyle w:val="P22"/>
        <w:pBdr>
          <w:top w:val="none" w:sz="0" w:space="0" w:shadow="0" w:frame="0" w:color="auto"/>
          <w:left w:val="single" w:sz="18" w:space="7" w:shadow="0" w:frame="0" w:color="FF0000"/>
          <w:bottom w:val="none" w:sz="0" w:space="0" w:shadow="0" w:frame="0" w:color="auto"/>
          <w:right w:val="none" w:sz="0" w:space="0" w:shadow="0" w:frame="0" w:color="auto"/>
          <w:between w:val="none" w:sz="0" w:space="0" w:shadow="0" w:frame="0" w:color="auto"/>
        </w:pBdr>
      </w:pPr>
      <w:bookmarkEnd w:id="212"/>
      <w:bookmarkStart w:id="213" w:name="ko_delarsomundantasantagande07"/>
      <w:r>
        <w:t xml:space="preserve">För den södra byggrätten kan en bostadsbyggnad uppnå riktlinjer för buller vid väg och järnväg om bostadsbebyggelsen placeras minst 8 meter från Växjövägen, och därav minst 6 meter från den södra fastighetsgränsen på fastigheten 4:192 (Bilaga 1). Med det som grund har prickmark införts på byggrätten för att uppnå godkända bullervärden för fasad. </w:t>
      </w:r>
    </w:p>
    <w:p>
      <w:pPr>
        <w:pStyle w:val="P22"/>
        <w:ind w:left="1096"/>
      </w:pPr>
      <w:bookmarkEnd w:id="213"/>
      <w:bookmarkStart w:id="214" w:name="ko_trafikkommunikation01"/>
      <w:r>
        <w:t>Bedömningen är därför att riksintresset för järnvägen samt farligt gods-leden Södra stambanan inte påverkas av planens genomförande och att planområdet inte bedöms påverkas betydande av farligt gods-leden. Därtill bedöms att Mörrumsån, som är ett riksintresse för vattendrag, inte kommer att påtagligt påverkas av planförslaget och dess kvalitet inte försämras. Inom planområdet finns inga registrerade fornlämningar. Bedömningen är att planförslaget inte medför betydande påverkan på miljökvalitetsnormer enligt 5 kap Miljöbalken.</w:t>
        <w:br w:type="page"/>
      </w:r>
    </w:p>
    <w:p>
      <w:pPr>
        <w:pStyle w:val="P1"/>
        <w:numPr>
          <w:ilvl w:val="0"/>
          <w:numId w:val="25"/>
        </w:numPr>
        <w:ind w:left="1150"/>
        <w:jc w:val="both"/>
      </w:pPr>
      <w:bookmarkEnd w:id="214"/>
      <w:bookmarkStart w:id="215" w:name="_Toc86648188"/>
      <w:r>
        <w:t>GENOMFÖRANDE</w:t>
      </w:r>
      <w:bookmarkEnd w:id="215"/>
    </w:p>
    <w:p>
      <w:pPr>
        <w:pStyle w:val="P3"/>
        <w:jc w:val="both"/>
      </w:pPr>
      <w:r>
        <w:t>Organisatoriska frågor</w:t>
      </w:r>
    </w:p>
    <w:p>
      <w:pPr>
        <w:pStyle w:val="P4"/>
        <w:jc w:val="both"/>
      </w:pPr>
      <w:bookmarkStart w:id="216" w:name="gf_tidplan01"/>
      <w:bookmarkStart w:id="217" w:name="_Toc280263791"/>
      <w:r>
        <w:t>Planskeden</w:t>
      </w:r>
    </w:p>
    <w:p>
      <w:pPr>
        <w:pStyle w:val="P23"/>
      </w:pPr>
      <w:r>
        <w:t>Planförslaget sändes ut för samråd under januari 2023 och granskning under december 2023 innan ett slutligt planförslag presenterades. Om ingen överklagar beslutet vinner detaljplanen laga kraft tre veckor efter den tidpunkt då planen antagits. Berörda har möjlighet att lämna synpunkter i samrådsskedet och i granskningsskedet.</w:t>
      </w:r>
    </w:p>
    <w:p>
      <w:pPr>
        <w:pStyle w:val="P4"/>
        <w:jc w:val="both"/>
      </w:pPr>
      <w:bookmarkEnd w:id="216"/>
      <w:bookmarkStart w:id="218" w:name="gf_upplysningar01"/>
      <w:r>
        <w:t>Genomförandetid</w:t>
      </w:r>
    </w:p>
    <w:p>
      <w:pPr>
        <w:pStyle w:val="P23"/>
      </w:pPr>
      <w:r>
        <w:t>Planens genomförandetid är satt till 5 år. Genomförandetiden räknas från det datum planen vinner laga kraft. Efter genomförandetidens utgång fortsätter planens bestämmelser att gälla fram till den tidpunkt då detaljplanen ändras eller upphävs.</w:t>
      </w:r>
    </w:p>
    <w:p>
      <w:pPr>
        <w:pStyle w:val="P4"/>
        <w:jc w:val="both"/>
      </w:pPr>
      <w:bookmarkEnd w:id="218"/>
      <w:bookmarkStart w:id="219" w:name="be_huvudmannaskap01"/>
      <w:r>
        <w:t>Huvudmannaskap</w:t>
      </w:r>
    </w:p>
    <w:p>
      <w:pPr>
        <w:pStyle w:val="P23"/>
      </w:pPr>
      <w:r>
        <w:t xml:space="preserve">Kommunen är huvudman över allmän platsmark. </w:t>
      </w:r>
    </w:p>
    <w:p>
      <w:pPr>
        <w:pStyle w:val="P4"/>
        <w:jc w:val="both"/>
      </w:pPr>
      <w:bookmarkEnd w:id="219"/>
      <w:bookmarkStart w:id="220" w:name="gf_fastighetsindelningsbestämmelser01"/>
      <w:r>
        <w:t>Verkan på andra detaljplaner</w:t>
      </w:r>
    </w:p>
    <w:p>
      <w:pPr>
        <w:pStyle w:val="P23"/>
      </w:pPr>
      <w:r>
        <w:t xml:space="preserve">Vid lagakraftvunnen detaljplan ersätts delar av äldre detaljplaner </w:t>
      </w:r>
      <w:bookmarkStart w:id="221" w:name="_Toc263860083"/>
      <w:r>
        <w:t>av markregleringar enligt föreliggande planförslag.</w:t>
      </w:r>
    </w:p>
    <w:p>
      <w:pPr>
        <w:pStyle w:val="P4"/>
      </w:pPr>
      <w:bookmarkEnd w:id="220"/>
      <w:bookmarkEnd w:id="221"/>
      <w:bookmarkStart w:id="222" w:name="gf_ansvarsfördelning01"/>
      <w:r>
        <w:t>Ansvarsfördelning</w:t>
      </w:r>
    </w:p>
    <w:tbl>
      <w:tblPr>
        <w:tblW w:w="8170" w:type="dxa"/>
        <w:tblInd w:w="1129"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ayout w:type="fixed"/>
        <w:tblLook w:val="04A0"/>
      </w:tblPr>
      <w:tblGrid/>
      <w:tr>
        <w:trPr>
          <w:trHeight w:hRule="atLeast" w:val="1015"/>
        </w:trPr>
        <w:tc>
          <w:tcPr>
            <w:tcW w:w="2884" w:type="dxa"/>
            <w:shd w:val="clear" w:color="auto" w:fill="DDD9C3"/>
          </w:tcPr>
          <w:p>
            <w:pPr>
              <w:rPr>
                <w:rFonts w:ascii="Calibri Light" w:hAnsi="Calibri Light" w:cs="Calibri Light"/>
                <w:b w:val="1"/>
                <w:bCs w:val="1"/>
                <w:sz w:val="22"/>
                <w:szCs w:val="22"/>
              </w:rPr>
            </w:pPr>
          </w:p>
          <w:p>
            <w:pPr>
              <w:rPr>
                <w:rFonts w:ascii="Calibri Light" w:hAnsi="Calibri Light" w:cs="Calibri Light"/>
                <w:b w:val="1"/>
                <w:bCs w:val="1"/>
              </w:rPr>
            </w:pPr>
            <w:r>
              <w:rPr>
                <w:rFonts w:ascii="Calibri Light" w:hAnsi="Calibri Light" w:cs="Calibri Light"/>
                <w:b w:val="1"/>
                <w:bCs w:val="1"/>
                <w:sz w:val="22"/>
                <w:szCs w:val="22"/>
              </w:rPr>
              <w:t>Ansvarig</w:t>
            </w:r>
          </w:p>
        </w:tc>
        <w:tc>
          <w:tcPr>
            <w:tcW w:w="5286" w:type="dxa"/>
            <w:shd w:val="clear" w:color="auto" w:fill="DDD9C3"/>
          </w:tcPr>
          <w:p>
            <w:pPr>
              <w:rPr>
                <w:rFonts w:ascii="Calibri Light" w:hAnsi="Calibri Light" w:cs="Calibri Light"/>
                <w:b w:val="1"/>
                <w:bCs w:val="1"/>
                <w:sz w:val="22"/>
                <w:szCs w:val="22"/>
              </w:rPr>
            </w:pPr>
          </w:p>
          <w:p>
            <w:pPr>
              <w:rPr>
                <w:rFonts w:ascii="Calibri Light" w:hAnsi="Calibri Light" w:cs="Calibri Light"/>
                <w:b w:val="1"/>
                <w:bCs w:val="1"/>
                <w:sz w:val="22"/>
                <w:szCs w:val="22"/>
              </w:rPr>
            </w:pPr>
            <w:r>
              <w:rPr>
                <w:rFonts w:ascii="Calibri Light" w:hAnsi="Calibri Light" w:cs="Calibri Light"/>
                <w:b w:val="1"/>
                <w:bCs w:val="1"/>
                <w:sz w:val="22"/>
                <w:szCs w:val="22"/>
              </w:rPr>
              <w:t>Åtgärder</w:t>
            </w:r>
          </w:p>
        </w:tc>
      </w:tr>
      <w:tr>
        <w:trPr>
          <w:trHeight w:hRule="atLeast" w:val="1108"/>
        </w:trPr>
        <w:tc>
          <w:tcPr>
            <w:tcW w:w="2884" w:type="dxa"/>
            <w:shd w:val="clear" w:color="auto" w:fill="F2F2F2"/>
          </w:tcPr>
          <w:p>
            <w:pPr>
              <w:rPr>
                <w:rFonts w:ascii="Calibri Light" w:hAnsi="Calibri Light" w:cs="Calibri Light"/>
                <w:sz w:val="22"/>
                <w:szCs w:val="22"/>
              </w:rPr>
            </w:pPr>
          </w:p>
          <w:p>
            <w:pPr>
              <w:rPr>
                <w:rFonts w:ascii="Calibri Light" w:hAnsi="Calibri Light" w:cs="Calibri Light"/>
              </w:rPr>
            </w:pPr>
            <w:r>
              <w:rPr>
                <w:rFonts w:ascii="Calibri Light" w:hAnsi="Calibri Light" w:cs="Calibri Light"/>
                <w:sz w:val="22"/>
                <w:szCs w:val="22"/>
              </w:rPr>
              <w:t>Alvesta kommun</w:t>
            </w:r>
          </w:p>
        </w:tc>
        <w:tc>
          <w:tcPr>
            <w:tcW w:w="5286" w:type="dxa"/>
            <w:shd w:val="clear" w:color="auto" w:fill="F2F2F2"/>
          </w:tcPr>
          <w:p>
            <w:pPr>
              <w:pStyle w:val="P26"/>
              <w:numPr>
                <w:ilvl w:val="0"/>
                <w:numId w:val="16"/>
              </w:numPr>
              <w:rPr>
                <w:rFonts w:ascii="Calibri Light" w:hAnsi="Calibri Light" w:cs="Calibri Light"/>
              </w:rPr>
            </w:pPr>
            <w:r>
              <w:rPr>
                <w:rFonts w:ascii="Calibri Light" w:hAnsi="Calibri Light" w:cs="Calibri Light"/>
              </w:rPr>
              <w:t>Upprättar detaljplan.</w:t>
            </w:r>
          </w:p>
          <w:p>
            <w:pPr>
              <w:pStyle w:val="P26"/>
              <w:numPr>
                <w:ilvl w:val="0"/>
                <w:numId w:val="16"/>
              </w:numPr>
              <w:rPr>
                <w:rFonts w:ascii="Calibri Light" w:hAnsi="Calibri Light" w:cs="Calibri Light"/>
              </w:rPr>
            </w:pPr>
            <w:r>
              <w:rPr>
                <w:rFonts w:ascii="Calibri Light" w:hAnsi="Calibri Light" w:cs="Calibri Light"/>
              </w:rPr>
              <w:t>Ansöker om fastighetsreglering.</w:t>
            </w:r>
          </w:p>
          <w:p>
            <w:pPr>
              <w:pStyle w:val="P26"/>
              <w:numPr>
                <w:ilvl w:val="0"/>
                <w:numId w:val="16"/>
              </w:numPr>
              <w:rPr>
                <w:rFonts w:ascii="Calibri Light" w:hAnsi="Calibri Light" w:cs="Calibri Light"/>
              </w:rPr>
            </w:pPr>
            <w:r>
              <w:rPr>
                <w:rFonts w:ascii="Calibri Light" w:hAnsi="Calibri Light" w:cs="Calibri Light"/>
              </w:rPr>
              <w:t>Flyttar belysningskablar.</w:t>
            </w:r>
          </w:p>
        </w:tc>
      </w:tr>
      <w:tr>
        <w:trPr>
          <w:trHeight w:hRule="atLeast" w:val="1150"/>
        </w:trPr>
        <w:tc>
          <w:tcPr>
            <w:tcW w:w="2884" w:type="dxa"/>
            <w:shd w:val="clear" w:color="auto" w:fill="F2F2F2"/>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Exploatörer</w:t>
            </w:r>
          </w:p>
          <w:p>
            <w:pPr>
              <w:rPr>
                <w:rFonts w:ascii="Calibri Light" w:hAnsi="Calibri Light" w:cs="Calibri Light"/>
              </w:rPr>
            </w:pPr>
          </w:p>
        </w:tc>
        <w:tc>
          <w:tcPr>
            <w:tcW w:w="5286" w:type="dxa"/>
            <w:shd w:val="clear" w:color="auto" w:fill="F2F2F2"/>
          </w:tcPr>
          <w:p>
            <w:pPr>
              <w:pStyle w:val="P26"/>
              <w:numPr>
                <w:ilvl w:val="0"/>
                <w:numId w:val="16"/>
              </w:numPr>
              <w:rPr>
                <w:rFonts w:ascii="Calibri Light" w:hAnsi="Calibri Light" w:cs="Calibri Light"/>
              </w:rPr>
            </w:pPr>
            <w:r>
              <w:rPr>
                <w:rFonts w:ascii="Calibri Light" w:hAnsi="Calibri Light" w:cs="Calibri Light"/>
              </w:rPr>
              <w:t>Bekostar fastighetsreglering.</w:t>
            </w:r>
          </w:p>
          <w:p>
            <w:pPr>
              <w:pStyle w:val="P26"/>
              <w:numPr>
                <w:ilvl w:val="0"/>
                <w:numId w:val="16"/>
              </w:numPr>
              <w:rPr>
                <w:rFonts w:ascii="Calibri Light" w:hAnsi="Calibri Light" w:cs="Calibri Light"/>
              </w:rPr>
            </w:pPr>
            <w:r>
              <w:rPr>
                <w:rFonts w:ascii="Calibri Light" w:hAnsi="Calibri Light" w:cs="Calibri Light"/>
              </w:rPr>
              <w:t>Fastighetsägaren har inom kvartersmark ansvar för genomförandet av förslaget enligt planens bestämmelser samt den fortsatta skötseln inom området.</w:t>
            </w:r>
          </w:p>
        </w:tc>
      </w:tr>
      <w:tr>
        <w:trPr>
          <w:trHeight w:hRule="atLeast" w:val="1150"/>
        </w:trPr>
        <w:tc>
          <w:tcPr>
            <w:tcW w:w="2884" w:type="dxa"/>
            <w:tcBorders>
              <w:bottom w:val="single" w:sz="4" w:space="0" w:shadow="0" w:frame="0"/>
            </w:tcBorders>
            <w:shd w:val="clear" w:color="auto" w:fill="F2F2F2"/>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Skanova (Telia Company)</w:t>
            </w:r>
          </w:p>
        </w:tc>
        <w:tc>
          <w:tcPr>
            <w:tcW w:w="5286" w:type="dxa"/>
            <w:tcBorders>
              <w:bottom w:val="single" w:sz="4" w:space="0" w:shadow="0" w:frame="0"/>
            </w:tcBorders>
            <w:shd w:val="clear" w:color="auto" w:fill="F2F2F2"/>
          </w:tcPr>
          <w:p>
            <w:pPr>
              <w:pStyle w:val="P26"/>
              <w:numPr>
                <w:ilvl w:val="0"/>
                <w:numId w:val="30"/>
              </w:numPr>
              <w:rPr>
                <w:rFonts w:ascii="Calibri Light" w:hAnsi="Calibri Light" w:cs="Calibri Light"/>
              </w:rPr>
            </w:pPr>
            <w:r>
              <w:rPr>
                <w:rFonts w:ascii="Calibri Light" w:hAnsi="Calibri Light" w:cs="Calibri Light"/>
              </w:rPr>
              <w:t>Bekostar borttagning av bly/kopparkabel (adsl/telefoni) utan ledningsrätt som i sitt befintliga läge är dragen över byggrätterna Moheda 4:205 och Moheda 4:206.</w:t>
            </w:r>
          </w:p>
        </w:tc>
      </w:tr>
      <w:tr>
        <w:trPr>
          <w:trHeight w:hRule="atLeast" w:val="1150"/>
        </w:trPr>
        <w:tc>
          <w:tcPr>
            <w:tcW w:w="2884" w:type="dxa"/>
            <w:tcBorders>
              <w:left w:val="single" w:sz="18" w:space="0" w:shadow="0" w:frame="0" w:color="FF0000"/>
            </w:tcBorders>
            <w:shd w:val="clear" w:color="auto" w:fill="F2F2F2"/>
          </w:tcPr>
          <w:p>
            <w:pPr>
              <w:rPr>
                <w:rFonts w:ascii="Calibri Light" w:hAnsi="Calibri Light" w:cs="Calibri Light"/>
                <w:sz w:val="22"/>
                <w:szCs w:val="22"/>
              </w:rPr>
            </w:pPr>
            <w:bookmarkEnd w:id="222"/>
            <w:bookmarkStart w:id="223" w:name="gf_delarsomundantasantagande02" w:colFirst="0" w:colLast="1"/>
            <w:r>
              <w:rPr>
                <w:rFonts w:ascii="Calibri Light" w:hAnsi="Calibri Light" w:cs="Calibri Light"/>
                <w:sz w:val="22"/>
                <w:szCs w:val="22"/>
              </w:rPr>
              <w:t xml:space="preserve">Wexnet </w:t>
            </w:r>
          </w:p>
        </w:tc>
        <w:tc>
          <w:tcPr>
            <w:tcW w:w="5286" w:type="dxa"/>
            <w:shd w:val="clear" w:color="auto" w:fill="F2F2F2"/>
          </w:tcPr>
          <w:p>
            <w:pPr>
              <w:pStyle w:val="P26"/>
              <w:numPr>
                <w:ilvl w:val="0"/>
                <w:numId w:val="30"/>
              </w:numPr>
              <w:rPr>
                <w:rFonts w:ascii="Calibri Light" w:hAnsi="Calibri Light" w:cs="Calibri Light"/>
              </w:rPr>
            </w:pPr>
            <w:r>
              <w:rPr>
                <w:rFonts w:ascii="Calibri Light" w:hAnsi="Calibri Light" w:cs="Calibri Light"/>
              </w:rPr>
              <w:t>Bekostar flytt från planområdet av fiberledning utan ledningsrätt, som i sitt befintliga läge är dragen över byggrätten Moheda 4:192 i sydväst.</w:t>
            </w:r>
          </w:p>
        </w:tc>
      </w:tr>
    </w:tbl>
    <w:p>
      <w:pPr>
        <w:pStyle w:val="P4"/>
        <w:jc w:val="both"/>
        <w:rPr>
          <w:b w:val="1"/>
          <w:bCs w:val="1"/>
        </w:rPr>
      </w:pPr>
      <w:bookmarkEnd w:id="223"/>
      <w:r>
        <w:br w:type="textWrapping"/>
      </w:r>
      <w:bookmarkStart w:id="224" w:name="gf_exploateringsavtal01"/>
      <w:r>
        <w:rPr>
          <w:b w:val="1"/>
          <w:bCs w:val="1"/>
        </w:rPr>
        <w:t>Exploateringsavtal</w:t>
      </w:r>
    </w:p>
    <w:p>
      <w:pPr>
        <w:pStyle w:val="P23"/>
      </w:pPr>
      <w:r>
        <w:t>Exploateringsavtal avses inte upprättas.</w:t>
      </w:r>
    </w:p>
    <w:p>
      <w:pPr>
        <w:pStyle w:val="P3"/>
        <w:jc w:val="both"/>
        <w:rPr>
          <w:rFonts w:ascii="Calibri Light" w:hAnsi="Calibri Light" w:cs="Calibri Light"/>
          <w:u w:val="single"/>
        </w:rPr>
      </w:pPr>
      <w:bookmarkEnd w:id="224"/>
      <w:bookmarkStart w:id="225" w:name="gf_planekonomiskbedömning01"/>
      <w:r>
        <w:rPr>
          <w:rFonts w:ascii="Calibri Light" w:hAnsi="Calibri Light" w:cs="Calibri Light"/>
          <w:u w:val="single"/>
        </w:rPr>
        <w:t>Ekonomiska frågor</w:t>
      </w:r>
    </w:p>
    <w:p>
      <w:pPr>
        <w:pStyle w:val="P23"/>
      </w:pPr>
      <w:r>
        <w:t xml:space="preserve">Exploatörerna bekostar fastighetsreglering och genomför detaljplanen. </w:t>
      </w:r>
    </w:p>
    <w:p>
      <w:pPr>
        <w:pStyle w:val="P3"/>
        <w:jc w:val="both"/>
        <w:rPr>
          <w:rFonts w:ascii="Calibri Light" w:hAnsi="Calibri Light" w:cs="Calibri Light"/>
          <w:u w:val="single"/>
        </w:rPr>
      </w:pPr>
      <w:bookmarkEnd w:id="225"/>
      <w:bookmarkStart w:id="226" w:name="gf_förändradfastighetsindelning01"/>
      <w:r>
        <w:rPr>
          <w:rFonts w:ascii="Calibri Light" w:hAnsi="Calibri Light" w:cs="Calibri Light"/>
          <w:u w:val="single"/>
        </w:rPr>
        <w:t>Fastighetsrättsliga frågor</w:t>
      </w:r>
    </w:p>
    <w:p>
      <w:pPr>
        <w:pStyle w:val="P23"/>
        <w:jc w:val="left"/>
        <w:rPr>
          <w:i w:val="1"/>
          <w:noProof w:val="1"/>
        </w:rPr>
      </w:pPr>
      <w:r>
        <w:rPr>
          <w:b w:val="1"/>
          <w:bCs w:val="1"/>
        </w:rPr>
        <w:t>Konsekvenser på fastighetsnivå</w:t>
      </w:r>
      <w:r>
        <w:rPr>
          <w:b w:val="1"/>
          <w:i w:val="1"/>
          <w:bCs w:val="1"/>
          <w:noProof w:val="1"/>
        </w:rPr>
        <w:t xml:space="preserve"> </w:t>
      </w:r>
    </w:p>
    <w:p>
      <w:pPr>
        <w:pStyle w:val="P23"/>
        <w:jc w:val="left"/>
        <w:rPr>
          <w:i w:val="1"/>
          <w:noProof w:val="1"/>
        </w:rPr>
      </w:pPr>
      <w:r>
        <w:drawing>
          <wp:inline xmlns:wp="http://schemas.openxmlformats.org/drawingml/2006/wordprocessingDrawing" distT="0" distB="0" distL="0" distR="0">
            <wp:extent cx="3911600" cy="52152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dpi="0">
                    <a:blip xmlns:r="http://schemas.openxmlformats.org/officeDocument/2006/relationships" r:embed="Relimage15"/>
                    <a:srcRect/>
                    <a:stretch>
                      <a:fillRect/>
                    </a:stretch>
                  </pic:blipFill>
                  <pic:spPr>
                    <a:xfrm>
                      <a:off x="0" y="0"/>
                      <a:ext cx="3911600" cy="5215255"/>
                    </a:xfrm>
                    <a:prstGeom prst="rect"/>
                  </pic:spPr>
                </pic:pic>
              </a:graphicData>
            </a:graphic>
          </wp:inline>
        </w:drawing>
      </w:r>
      <w:r>
        <w:rPr>
          <w:i w:val="1"/>
          <w:noProof w:val="1"/>
        </w:rPr>
        <w:br w:type="textWrapping"/>
      </w:r>
      <w:r>
        <w:rPr>
          <w:i w:val="1"/>
          <w:iCs w:val="0"/>
        </w:rPr>
        <w:t>Illustration av fastighetsrättsliga konsekvenser.</w:t>
      </w:r>
    </w:p>
    <w:tbl>
      <w:tblPr>
        <w:tblW w:w="8222" w:type="dxa"/>
        <w:tblInd w:w="1129"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ook w:val="04A0"/>
      </w:tblPr>
      <w:tblGrid/>
      <w:tr>
        <w:trPr>
          <w:trHeight w:hRule="atLeast" w:val="230"/>
        </w:trPr>
        <w:tc>
          <w:tcPr>
            <w:tcW w:w="3180" w:type="dxa"/>
            <w:tcBorders>
              <w:bottom w:val="single" w:sz="4" w:space="0" w:shadow="0" w:frame="0"/>
            </w:tcBorders>
            <w:shd w:val="clear" w:color="auto" w:fill="DDD9C3"/>
          </w:tcPr>
          <w:p>
            <w:pPr>
              <w:jc w:val="both"/>
              <w:rPr>
                <w:rFonts w:ascii="Calibri Light" w:hAnsi="Calibri Light" w:cs="Calibri Light"/>
                <w:sz w:val="22"/>
                <w:szCs w:val="22"/>
              </w:rPr>
            </w:pPr>
            <w:bookmarkEnd w:id="226"/>
          </w:p>
          <w:p>
            <w:pPr>
              <w:jc w:val="both"/>
              <w:rPr>
                <w:rFonts w:ascii="Calibri Light" w:hAnsi="Calibri Light" w:cs="Calibri Light"/>
                <w:sz w:val="22"/>
                <w:szCs w:val="22"/>
              </w:rPr>
            </w:pPr>
            <w:r>
              <w:rPr>
                <w:rFonts w:ascii="Calibri Light" w:hAnsi="Calibri Light" w:cs="Calibri Light"/>
                <w:sz w:val="22"/>
                <w:szCs w:val="22"/>
              </w:rPr>
              <w:t>Fastighet</w:t>
              <w:br w:type="textWrapping"/>
              <w:t>(inom planområdet)</w:t>
            </w:r>
          </w:p>
          <w:p>
            <w:pPr>
              <w:jc w:val="both"/>
              <w:rPr>
                <w:rFonts w:ascii="Calibri Light" w:hAnsi="Calibri Light" w:cs="Calibri Light"/>
              </w:rPr>
            </w:pPr>
          </w:p>
        </w:tc>
        <w:tc>
          <w:tcPr>
            <w:tcW w:w="5042" w:type="dxa"/>
            <w:tcBorders>
              <w:bottom w:val="single" w:sz="4" w:space="0" w:shadow="0" w:frame="0"/>
            </w:tcBorders>
            <w:shd w:val="clear" w:color="auto" w:fill="DDD9C3"/>
          </w:tcPr>
          <w:p>
            <w:pPr>
              <w:jc w:val="both"/>
              <w:rPr>
                <w:rFonts w:ascii="Calibri Light" w:hAnsi="Calibri Light" w:cs="Calibri Light"/>
                <w:sz w:val="22"/>
                <w:szCs w:val="22"/>
              </w:rPr>
            </w:pPr>
          </w:p>
          <w:p>
            <w:pPr>
              <w:jc w:val="both"/>
              <w:rPr>
                <w:rFonts w:ascii="Calibri Light" w:hAnsi="Calibri Light" w:cs="Calibri Light"/>
                <w:sz w:val="22"/>
                <w:szCs w:val="22"/>
              </w:rPr>
            </w:pPr>
            <w:r>
              <w:rPr>
                <w:rFonts w:ascii="Calibri Light" w:hAnsi="Calibri Light" w:cs="Calibri Light"/>
                <w:sz w:val="22"/>
                <w:szCs w:val="22"/>
              </w:rPr>
              <w:t>Sammanfattning av konsekvenser</w:t>
            </w:r>
          </w:p>
        </w:tc>
      </w:tr>
      <w:tr>
        <w:trPr>
          <w:trHeight w:hRule="atLeast" w:val="1412"/>
        </w:trPr>
        <w:tc>
          <w:tcPr>
            <w:tcW w:w="3180" w:type="dxa"/>
            <w:tcBorders>
              <w:left w:val="single" w:sz="18" w:space="0" w:shadow="0" w:frame="0" w:color="FF0000"/>
            </w:tcBorders>
            <w:shd w:val="clear" w:color="auto" w:fill="F2F2F2"/>
          </w:tcPr>
          <w:p>
            <w:pPr>
              <w:jc w:val="both"/>
              <w:rPr>
                <w:rFonts w:ascii="Calibri Light" w:hAnsi="Calibri Light" w:cs="Calibri Light"/>
                <w:sz w:val="22"/>
                <w:szCs w:val="22"/>
              </w:rPr>
            </w:pPr>
            <w:bookmarkStart w:id="227" w:name="gf_delarsomundantasantagande01" w:colFirst="0" w:colLast="1"/>
          </w:p>
          <w:p>
            <w:pPr>
              <w:jc w:val="both"/>
              <w:rPr>
                <w:rFonts w:ascii="Calibri Light" w:hAnsi="Calibri Light" w:cs="Calibri Light"/>
                <w:sz w:val="22"/>
                <w:szCs w:val="22"/>
              </w:rPr>
            </w:pPr>
            <w:r>
              <w:rPr>
                <w:rFonts w:ascii="Calibri Light" w:hAnsi="Calibri Light" w:cs="Calibri Light"/>
                <w:sz w:val="22"/>
                <w:szCs w:val="22"/>
              </w:rPr>
              <w:t>Moheda 4:192</w:t>
            </w:r>
          </w:p>
          <w:p>
            <w:pPr>
              <w:jc w:val="both"/>
              <w:rPr>
                <w:rFonts w:ascii="Calibri Light" w:hAnsi="Calibri Light" w:cs="Calibri Light"/>
                <w:sz w:val="22"/>
                <w:szCs w:val="22"/>
              </w:rPr>
            </w:pPr>
          </w:p>
        </w:tc>
        <w:tc>
          <w:tcPr>
            <w:tcW w:w="5042" w:type="dxa"/>
            <w:shd w:val="clear" w:color="auto" w:fill="F2F2F2"/>
          </w:tcPr>
          <w:p>
            <w:pPr>
              <w:jc w:val="both"/>
              <w:rPr>
                <w:rFonts w:ascii="Calibri Light" w:hAnsi="Calibri Light" w:cs="Calibri Light"/>
                <w:sz w:val="22"/>
                <w:szCs w:val="22"/>
              </w:rPr>
            </w:pPr>
            <w:r>
              <w:rPr>
                <w:rFonts w:ascii="Calibri Light" w:hAnsi="Calibri Light" w:cs="Calibri Light"/>
                <w:sz w:val="22"/>
                <w:szCs w:val="22"/>
              </w:rPr>
              <w:t>Moheda 4:192 blir en byggrätt och ändras från allmän platsmark med kommunalt huvudmannaskap och parkeringsändamål till kvartersmark med bostadsändamål.</w:t>
            </w:r>
          </w:p>
          <w:p>
            <w:pPr>
              <w:jc w:val="both"/>
              <w:rPr>
                <w:rFonts w:ascii="Calibri Light" w:hAnsi="Calibri Light" w:cs="Calibri Light"/>
                <w:sz w:val="22"/>
                <w:szCs w:val="22"/>
              </w:rPr>
            </w:pPr>
          </w:p>
          <w:p>
            <w:pPr>
              <w:jc w:val="both"/>
              <w:rPr>
                <w:rFonts w:ascii="Calibri Light" w:hAnsi="Calibri Light" w:cs="Calibri Light"/>
                <w:sz w:val="22"/>
                <w:szCs w:val="22"/>
              </w:rPr>
            </w:pPr>
            <w:r>
              <w:rPr>
                <w:rFonts w:ascii="Calibri Light" w:hAnsi="Calibri Light" w:cs="Calibri Light"/>
                <w:sz w:val="22"/>
                <w:szCs w:val="22"/>
              </w:rPr>
              <w:t>Ledningsrätt för tele (0764–87/49.1) till förmån för Skanova (Telia Company) säkerställs genom markreservat för underjordiska ledningar.</w:t>
            </w:r>
          </w:p>
        </w:tc>
      </w:tr>
      <w:tr>
        <w:trPr>
          <w:trHeight w:hRule="atLeast" w:val="1306"/>
        </w:trPr>
        <w:tc>
          <w:tcPr>
            <w:tcW w:w="3180" w:type="dxa"/>
            <w:shd w:val="clear" w:color="auto" w:fill="F2F2F2"/>
          </w:tcPr>
          <w:p>
            <w:pPr>
              <w:jc w:val="both"/>
              <w:rPr>
                <w:rFonts w:ascii="Calibri Light" w:hAnsi="Calibri Light" w:cs="Calibri Light"/>
                <w:sz w:val="22"/>
                <w:szCs w:val="22"/>
              </w:rPr>
            </w:pPr>
            <w:bookmarkEnd w:id="227"/>
            <w:bookmarkStart w:id="228" w:name="gf_förändradfastighetsindelning06" w:colFirst="0" w:colLast="1"/>
          </w:p>
          <w:p>
            <w:pPr>
              <w:jc w:val="both"/>
              <w:rPr>
                <w:rFonts w:ascii="Calibri Light" w:hAnsi="Calibri Light" w:cs="Calibri Light"/>
                <w:sz w:val="22"/>
                <w:szCs w:val="22"/>
              </w:rPr>
            </w:pPr>
            <w:r>
              <w:rPr>
                <w:rFonts w:ascii="Calibri Light" w:hAnsi="Calibri Light" w:cs="Calibri Light"/>
                <w:sz w:val="22"/>
                <w:szCs w:val="22"/>
              </w:rPr>
              <w:t xml:space="preserve">Moheda 4:205 </w:t>
            </w:r>
          </w:p>
          <w:p>
            <w:pPr>
              <w:jc w:val="both"/>
              <w:rPr>
                <w:rFonts w:ascii="Calibri Light" w:hAnsi="Calibri Light" w:cs="Calibri Light"/>
                <w:sz w:val="22"/>
                <w:szCs w:val="22"/>
              </w:rPr>
            </w:pPr>
          </w:p>
        </w:tc>
        <w:tc>
          <w:tcPr>
            <w:tcW w:w="5042" w:type="dxa"/>
            <w:shd w:val="clear" w:color="auto" w:fill="F2F2F2"/>
          </w:tcPr>
          <w:p>
            <w:pPr>
              <w:jc w:val="both"/>
              <w:rPr>
                <w:rFonts w:ascii="Calibri Light" w:hAnsi="Calibri Light" w:cs="Calibri Light"/>
                <w:sz w:val="22"/>
                <w:szCs w:val="22"/>
              </w:rPr>
            </w:pPr>
            <w:r>
              <w:rPr>
                <w:rFonts w:ascii="Calibri Light" w:hAnsi="Calibri Light" w:cs="Calibri Light"/>
                <w:sz w:val="22"/>
                <w:szCs w:val="22"/>
              </w:rPr>
              <w:t>Delen som är öst om den befintliga byggrätten HB inom fastigheten Moheda 4:205 inkluderas i planområdet (gul linje) för att göra den nya byggrätten mer ändamålsenlig. Delen får en byggrätt och ändras från allmän platsmark med kommunalt huvudmannaskap och torgändamål till kvartersmark med bostadsändamål.</w:t>
            </w:r>
          </w:p>
          <w:p>
            <w:pPr>
              <w:jc w:val="both"/>
              <w:rPr>
                <w:rFonts w:ascii="Calibri Light" w:hAnsi="Calibri Light" w:cs="Calibri Light"/>
                <w:sz w:val="22"/>
                <w:szCs w:val="22"/>
              </w:rPr>
            </w:pPr>
            <w:r>
              <w:rPr>
                <w:rFonts w:ascii="Calibri Light" w:hAnsi="Calibri Light" w:cs="Calibri Light"/>
                <w:sz w:val="22"/>
                <w:szCs w:val="22"/>
              </w:rPr>
              <w:t>Marken prickas.</w:t>
            </w:r>
          </w:p>
          <w:p>
            <w:pPr>
              <w:jc w:val="both"/>
              <w:rPr>
                <w:rFonts w:ascii="Calibri Light" w:hAnsi="Calibri Light" w:cs="Calibri Light"/>
                <w:sz w:val="22"/>
                <w:szCs w:val="22"/>
              </w:rPr>
            </w:pPr>
          </w:p>
        </w:tc>
      </w:tr>
      <w:tr>
        <w:trPr>
          <w:trHeight w:hRule="atLeast" w:val="1023"/>
        </w:trPr>
        <w:tc>
          <w:tcPr>
            <w:tcW w:w="3180" w:type="dxa"/>
            <w:shd w:val="clear" w:color="auto" w:fill="F2F2F2"/>
          </w:tcPr>
          <w:p>
            <w:pPr>
              <w:jc w:val="both"/>
              <w:rPr>
                <w:rFonts w:ascii="Calibri Light" w:hAnsi="Calibri Light" w:cs="Calibri Light"/>
                <w:sz w:val="22"/>
                <w:szCs w:val="22"/>
              </w:rPr>
            </w:pPr>
            <w:bookmarkEnd w:id="228"/>
            <w:bookmarkStart w:id="229" w:name="gf_förändradfastighetsindelning05" w:colFirst="0" w:colLast="1"/>
          </w:p>
          <w:p>
            <w:pPr>
              <w:jc w:val="both"/>
              <w:rPr>
                <w:rFonts w:ascii="Calibri Light" w:hAnsi="Calibri Light" w:cs="Calibri Light"/>
                <w:sz w:val="22"/>
                <w:szCs w:val="22"/>
              </w:rPr>
            </w:pPr>
            <w:r>
              <w:rPr>
                <w:rFonts w:ascii="Calibri Light" w:hAnsi="Calibri Light" w:cs="Calibri Light"/>
                <w:sz w:val="22"/>
                <w:szCs w:val="22"/>
              </w:rPr>
              <w:t>Moheda 4:206</w:t>
            </w:r>
          </w:p>
        </w:tc>
        <w:tc>
          <w:tcPr>
            <w:tcW w:w="5042" w:type="dxa"/>
            <w:shd w:val="clear" w:color="auto" w:fill="F2F2F2"/>
          </w:tcPr>
          <w:p>
            <w:pPr>
              <w:jc w:val="both"/>
              <w:rPr>
                <w:rFonts w:ascii="Calibri Light" w:hAnsi="Calibri Light" w:cs="Calibri Light"/>
                <w:sz w:val="22"/>
                <w:szCs w:val="22"/>
              </w:rPr>
            </w:pPr>
            <w:r>
              <w:rPr>
                <w:rFonts w:ascii="Calibri Light" w:hAnsi="Calibri Light" w:cs="Calibri Light"/>
                <w:sz w:val="22"/>
                <w:szCs w:val="22"/>
              </w:rPr>
              <w:t>Norra och centrala delen av Moheda 4:206 (blå linje) blir en byggrätt och ändras från allmän platsmark med kommunalt huvudmannaskap och torgändamål till kvartersmark med bostadsändamål samt tillfaller fastigheten Moheda 4:205. Den centrala delen prickas.</w:t>
            </w:r>
          </w:p>
          <w:p>
            <w:pPr>
              <w:jc w:val="both"/>
              <w:rPr>
                <w:rFonts w:ascii="Calibri Light" w:hAnsi="Calibri Light" w:cs="Calibri Light"/>
                <w:sz w:val="22"/>
                <w:szCs w:val="22"/>
              </w:rPr>
            </w:pPr>
          </w:p>
          <w:p>
            <w:pPr>
              <w:jc w:val="both"/>
              <w:rPr>
                <w:rFonts w:ascii="Calibri Light" w:hAnsi="Calibri Light" w:cs="Calibri Light"/>
                <w:sz w:val="22"/>
                <w:szCs w:val="22"/>
              </w:rPr>
            </w:pPr>
            <w:r>
              <w:rPr>
                <w:rFonts w:ascii="Calibri Light" w:hAnsi="Calibri Light" w:cs="Calibri Light"/>
                <w:sz w:val="22"/>
                <w:szCs w:val="22"/>
              </w:rPr>
              <w:t xml:space="preserve">Ledningsrätt för fjärrvärme (0764–00/32.1) och Ledningsrätt för tele (0764–00/32.2) båda tillhörande Alvesta Energi AB säkerställs genom markreservat för underjordiska ledningar. </w:t>
            </w:r>
          </w:p>
          <w:p>
            <w:pPr>
              <w:jc w:val="both"/>
              <w:rPr>
                <w:rFonts w:ascii="Calibri Light" w:hAnsi="Calibri Light" w:cs="Calibri Light"/>
                <w:sz w:val="22"/>
                <w:szCs w:val="22"/>
              </w:rPr>
            </w:pPr>
          </w:p>
          <w:p>
            <w:pPr>
              <w:jc w:val="both"/>
              <w:rPr>
                <w:rFonts w:ascii="Calibri Light" w:hAnsi="Calibri Light" w:cs="Calibri Light"/>
                <w:sz w:val="22"/>
                <w:szCs w:val="22"/>
              </w:rPr>
            </w:pPr>
            <w:r>
              <w:rPr>
                <w:rFonts w:ascii="Calibri Light" w:hAnsi="Calibri Light" w:cs="Calibri Light"/>
                <w:sz w:val="22"/>
                <w:szCs w:val="22"/>
              </w:rPr>
              <w:t>Västra delen av Moheda 4:206 (röd linje) ändras från allmän platsmark med kommunalt huvudmannaskap och torgändamål, tillfaller Moheda 4:224 och ändras till kvartersmark med bostadsändamål.</w:t>
              <w:br w:type="textWrapping"/>
              <w:t>Marken prickas.</w:t>
            </w:r>
          </w:p>
          <w:p>
            <w:pPr>
              <w:jc w:val="both"/>
              <w:rPr>
                <w:rFonts w:ascii="Calibri Light" w:hAnsi="Calibri Light" w:cs="Calibri Light"/>
                <w:sz w:val="22"/>
                <w:szCs w:val="22"/>
              </w:rPr>
            </w:pPr>
          </w:p>
          <w:p>
            <w:pPr>
              <w:jc w:val="both"/>
              <w:rPr>
                <w:rFonts w:ascii="Calibri Light" w:hAnsi="Calibri Light" w:cs="Calibri Light"/>
                <w:sz w:val="22"/>
                <w:szCs w:val="22"/>
              </w:rPr>
            </w:pPr>
            <w:r>
              <w:rPr>
                <w:rFonts w:ascii="Calibri Light" w:hAnsi="Calibri Light" w:cs="Calibri Light"/>
                <w:sz w:val="22"/>
                <w:szCs w:val="22"/>
              </w:rPr>
              <w:t>Södra delen av Moheda 4:206 (svart linje) ändras från allmän platsmark med kommunalt huvudmannaskap och torgändamål till kvartersmark med bostadsändamål och tillfaller Moheda 4:93.</w:t>
              <w:br w:type="textWrapping"/>
              <w:t>Marken prickas.</w:t>
            </w:r>
          </w:p>
          <w:p>
            <w:pPr>
              <w:jc w:val="both"/>
              <w:rPr>
                <w:rFonts w:ascii="Calibri Light" w:hAnsi="Calibri Light" w:cs="Calibri Light"/>
                <w:sz w:val="22"/>
                <w:szCs w:val="22"/>
              </w:rPr>
            </w:pPr>
          </w:p>
          <w:p>
            <w:pPr>
              <w:jc w:val="both"/>
              <w:rPr>
                <w:rFonts w:ascii="Calibri Light" w:hAnsi="Calibri Light" w:cs="Calibri Light"/>
                <w:sz w:val="22"/>
                <w:szCs w:val="22"/>
              </w:rPr>
            </w:pPr>
            <w:r>
              <w:rPr>
                <w:rFonts w:ascii="Calibri Light" w:hAnsi="Calibri Light" w:cs="Calibri Light"/>
                <w:sz w:val="22"/>
                <w:szCs w:val="22"/>
              </w:rPr>
              <w:t>Ledningsrätt för starkström (0764–96/6.1) tillhörande Alvesta Elnät AB säkerställs genom markreservat för underjordiska ledningar.</w:t>
            </w:r>
          </w:p>
          <w:p>
            <w:pPr>
              <w:jc w:val="both"/>
              <w:rPr>
                <w:rFonts w:ascii="Calibri Light" w:hAnsi="Calibri Light" w:cs="Calibri Light"/>
                <w:sz w:val="22"/>
                <w:szCs w:val="22"/>
              </w:rPr>
            </w:pPr>
          </w:p>
        </w:tc>
      </w:tr>
      <w:tr>
        <w:trPr>
          <w:trHeight w:hRule="atLeast" w:val="750"/>
        </w:trPr>
        <w:tc>
          <w:tcPr>
            <w:tcW w:w="3180" w:type="dxa"/>
            <w:shd w:val="clear" w:color="auto" w:fill="DEDAC4" w:themeFill="background2" w:themeFillShade="E6"/>
          </w:tcPr>
          <w:p>
            <w:pPr>
              <w:jc w:val="both"/>
              <w:rPr>
                <w:rFonts w:ascii="Calibri Light" w:hAnsi="Calibri Light" w:cs="Calibri Light"/>
                <w:sz w:val="22"/>
                <w:szCs w:val="22"/>
              </w:rPr>
            </w:pPr>
            <w:bookmarkEnd w:id="229"/>
            <w:bookmarkStart w:id="230" w:name="gf_förändradfastighetsindelning04" w:colFirst="0" w:colLast="1"/>
          </w:p>
          <w:p>
            <w:pPr>
              <w:jc w:val="both"/>
              <w:rPr>
                <w:rFonts w:ascii="Calibri Light" w:hAnsi="Calibri Light" w:cs="Calibri Light"/>
                <w:sz w:val="22"/>
                <w:szCs w:val="22"/>
              </w:rPr>
            </w:pPr>
            <w:r>
              <w:rPr>
                <w:rFonts w:ascii="Calibri Light" w:hAnsi="Calibri Light" w:cs="Calibri Light"/>
                <w:sz w:val="22"/>
                <w:szCs w:val="22"/>
              </w:rPr>
              <w:t>Fastighet</w:t>
              <w:br w:type="textWrapping"/>
              <w:t>(utanför planområdet)</w:t>
            </w:r>
          </w:p>
          <w:p>
            <w:pPr>
              <w:jc w:val="both"/>
              <w:rPr>
                <w:rFonts w:ascii="Calibri Light" w:hAnsi="Calibri Light" w:cs="Calibri Light"/>
                <w:sz w:val="22"/>
                <w:szCs w:val="22"/>
              </w:rPr>
            </w:pPr>
          </w:p>
        </w:tc>
        <w:tc>
          <w:tcPr>
            <w:tcW w:w="5042" w:type="dxa"/>
            <w:shd w:val="clear" w:color="auto" w:fill="DEDAC4" w:themeFill="background2" w:themeFillShade="E6"/>
          </w:tcPr>
          <w:p>
            <w:pPr>
              <w:jc w:val="both"/>
              <w:rPr>
                <w:rFonts w:ascii="Calibri Light" w:hAnsi="Calibri Light" w:cs="Calibri Light"/>
                <w:sz w:val="22"/>
                <w:szCs w:val="22"/>
              </w:rPr>
            </w:pPr>
          </w:p>
          <w:p>
            <w:pPr>
              <w:jc w:val="both"/>
              <w:rPr>
                <w:rFonts w:ascii="Calibri Light" w:hAnsi="Calibri Light" w:cs="Calibri Light"/>
                <w:sz w:val="22"/>
                <w:szCs w:val="22"/>
              </w:rPr>
            </w:pPr>
            <w:r>
              <w:rPr>
                <w:rFonts w:ascii="Calibri Light" w:hAnsi="Calibri Light" w:cs="Calibri Light"/>
                <w:sz w:val="22"/>
                <w:szCs w:val="22"/>
              </w:rPr>
              <w:t>Sammanfattning av konsekvenser</w:t>
            </w:r>
          </w:p>
        </w:tc>
      </w:tr>
      <w:tr>
        <w:trPr>
          <w:trHeight w:hRule="atLeast" w:val="1258"/>
        </w:trPr>
        <w:tc>
          <w:tcPr>
            <w:tcW w:w="3180" w:type="dxa"/>
            <w:shd w:val="clear" w:color="auto" w:fill="F2F2F2" w:themeFill="background1" w:themeFillShade="F2"/>
          </w:tcPr>
          <w:p>
            <w:pPr>
              <w:jc w:val="both"/>
              <w:rPr>
                <w:rFonts w:ascii="Calibri Light" w:hAnsi="Calibri Light" w:cs="Calibri Light"/>
                <w:sz w:val="22"/>
                <w:szCs w:val="22"/>
              </w:rPr>
            </w:pPr>
            <w:bookmarkEnd w:id="230"/>
            <w:bookmarkStart w:id="231" w:name="gf_förändradfastighetsindelning03" w:colFirst="0" w:colLast="1"/>
          </w:p>
          <w:p>
            <w:pPr>
              <w:jc w:val="both"/>
              <w:rPr>
                <w:rFonts w:ascii="Calibri Light" w:hAnsi="Calibri Light" w:cs="Calibri Light"/>
                <w:sz w:val="22"/>
                <w:szCs w:val="22"/>
              </w:rPr>
            </w:pPr>
            <w:r>
              <w:rPr>
                <w:rFonts w:ascii="Calibri Light" w:hAnsi="Calibri Light" w:cs="Calibri Light"/>
                <w:sz w:val="22"/>
                <w:szCs w:val="22"/>
              </w:rPr>
              <w:t>Moheda 4:224</w:t>
            </w:r>
          </w:p>
        </w:tc>
        <w:tc>
          <w:tcPr>
            <w:tcW w:w="5042" w:type="dxa"/>
            <w:shd w:val="clear" w:color="auto" w:fill="F2F2F2" w:themeFill="background1" w:themeFillShade="F2"/>
          </w:tcPr>
          <w:p>
            <w:pPr>
              <w:jc w:val="both"/>
              <w:rPr>
                <w:rFonts w:ascii="Calibri Light" w:hAnsi="Calibri Light" w:cs="Calibri Light"/>
                <w:sz w:val="22"/>
                <w:szCs w:val="22"/>
              </w:rPr>
            </w:pPr>
            <w:r>
              <w:rPr>
                <w:rFonts w:ascii="Calibri Light" w:hAnsi="Calibri Light" w:cs="Calibri Light"/>
                <w:sz w:val="22"/>
                <w:szCs w:val="22"/>
              </w:rPr>
              <w:t>Västra delen av Moheda 4:206, med sin nuvarande användning allmän platsmark med kommunalt huvudmannaskap och torgändamål regleras över till Moheda 4:224 och ändras till kvartersmark med bostadsändamål.</w:t>
            </w:r>
          </w:p>
          <w:p>
            <w:pPr>
              <w:jc w:val="both"/>
              <w:rPr>
                <w:rFonts w:ascii="Calibri Light" w:hAnsi="Calibri Light" w:cs="Calibri Light"/>
                <w:sz w:val="22"/>
                <w:szCs w:val="22"/>
              </w:rPr>
            </w:pPr>
            <w:r>
              <w:rPr>
                <w:rFonts w:ascii="Calibri Light" w:hAnsi="Calibri Light" w:cs="Calibri Light"/>
                <w:sz w:val="22"/>
                <w:szCs w:val="22"/>
              </w:rPr>
              <w:t>Marken prickas.</w:t>
            </w:r>
          </w:p>
          <w:p>
            <w:pPr>
              <w:jc w:val="both"/>
              <w:rPr>
                <w:rFonts w:ascii="Calibri Light" w:hAnsi="Calibri Light" w:cs="Calibri Light"/>
                <w:sz w:val="22"/>
                <w:szCs w:val="22"/>
              </w:rPr>
            </w:pPr>
          </w:p>
        </w:tc>
      </w:tr>
      <w:tr>
        <w:trPr>
          <w:trHeight w:hRule="atLeast" w:val="1308"/>
        </w:trPr>
        <w:tc>
          <w:tcPr>
            <w:tcW w:w="3180" w:type="dxa"/>
            <w:shd w:val="clear" w:color="auto" w:fill="F2F2F2" w:themeFill="background1" w:themeFillShade="F2"/>
          </w:tcPr>
          <w:p>
            <w:pPr>
              <w:jc w:val="both"/>
              <w:rPr>
                <w:rFonts w:ascii="Calibri Light" w:hAnsi="Calibri Light" w:cs="Calibri Light"/>
                <w:sz w:val="22"/>
                <w:szCs w:val="22"/>
              </w:rPr>
            </w:pPr>
            <w:bookmarkEnd w:id="231"/>
            <w:bookmarkStart w:id="232" w:name="gf_förändradfastighetsindelning02" w:colFirst="0" w:colLast="1"/>
          </w:p>
          <w:p>
            <w:pPr>
              <w:jc w:val="both"/>
              <w:rPr>
                <w:rFonts w:ascii="Calibri Light" w:hAnsi="Calibri Light" w:cs="Calibri Light"/>
                <w:sz w:val="22"/>
                <w:szCs w:val="22"/>
              </w:rPr>
            </w:pPr>
            <w:r>
              <w:rPr>
                <w:rFonts w:ascii="Calibri Light" w:hAnsi="Calibri Light" w:cs="Calibri Light"/>
                <w:sz w:val="22"/>
                <w:szCs w:val="22"/>
              </w:rPr>
              <w:t xml:space="preserve">Moheda 4:93 </w:t>
            </w:r>
          </w:p>
          <w:p>
            <w:pPr>
              <w:jc w:val="both"/>
              <w:rPr>
                <w:rFonts w:ascii="Calibri Light" w:hAnsi="Calibri Light" w:cs="Calibri Light"/>
                <w:sz w:val="22"/>
                <w:szCs w:val="22"/>
              </w:rPr>
            </w:pPr>
          </w:p>
        </w:tc>
        <w:tc>
          <w:tcPr>
            <w:tcW w:w="5042" w:type="dxa"/>
            <w:shd w:val="clear" w:color="auto" w:fill="F2F2F2" w:themeFill="background1" w:themeFillShade="F2"/>
          </w:tcPr>
          <w:p>
            <w:pPr>
              <w:jc w:val="both"/>
              <w:rPr>
                <w:rFonts w:ascii="Calibri Light" w:hAnsi="Calibri Light" w:cs="Calibri Light"/>
                <w:sz w:val="22"/>
                <w:szCs w:val="22"/>
              </w:rPr>
            </w:pPr>
            <w:r>
              <w:rPr>
                <w:rFonts w:ascii="Calibri Light" w:hAnsi="Calibri Light" w:cs="Calibri Light"/>
                <w:sz w:val="22"/>
                <w:szCs w:val="22"/>
              </w:rPr>
              <w:t>Södra delen av Moheda 4:206 ändras från allmän platsmark med kommunalt huvudmannaskap och torgändamål, regleras över till Moheda 4:93 och ändras till kvartersmark med bostadsändamål.</w:t>
            </w:r>
          </w:p>
          <w:p>
            <w:pPr>
              <w:jc w:val="both"/>
              <w:rPr>
                <w:rFonts w:ascii="Calibri Light" w:hAnsi="Calibri Light" w:cs="Calibri Light"/>
                <w:sz w:val="22"/>
                <w:szCs w:val="22"/>
              </w:rPr>
            </w:pPr>
            <w:r>
              <w:rPr>
                <w:rFonts w:ascii="Calibri Light" w:hAnsi="Calibri Light" w:cs="Calibri Light"/>
                <w:sz w:val="22"/>
                <w:szCs w:val="22"/>
              </w:rPr>
              <w:t>Marken prickas.</w:t>
            </w:r>
          </w:p>
          <w:p>
            <w:pPr>
              <w:jc w:val="both"/>
              <w:rPr>
                <w:rFonts w:ascii="Calibri Light" w:hAnsi="Calibri Light" w:cs="Calibri Light"/>
                <w:sz w:val="22"/>
                <w:szCs w:val="22"/>
              </w:rPr>
            </w:pPr>
          </w:p>
          <w:p>
            <w:pPr>
              <w:jc w:val="both"/>
              <w:rPr>
                <w:rFonts w:ascii="Calibri Light" w:hAnsi="Calibri Light" w:cs="Calibri Light"/>
                <w:sz w:val="22"/>
                <w:szCs w:val="22"/>
              </w:rPr>
            </w:pPr>
            <w:r>
              <w:rPr>
                <w:rFonts w:ascii="Calibri Light" w:hAnsi="Calibri Light" w:cs="Calibri Light"/>
                <w:sz w:val="22"/>
                <w:szCs w:val="22"/>
              </w:rPr>
              <w:t>Ledningsrätt för starkström (0764–96/6.1) tillhörande Alvesta Elnät AB säkerställs genom markreservat för underjordiska ledningar.</w:t>
            </w:r>
          </w:p>
          <w:p>
            <w:pPr>
              <w:jc w:val="both"/>
              <w:rPr>
                <w:rFonts w:ascii="Calibri Light" w:hAnsi="Calibri Light" w:cs="Calibri Light"/>
                <w:sz w:val="22"/>
                <w:szCs w:val="22"/>
              </w:rPr>
            </w:pPr>
          </w:p>
        </w:tc>
      </w:tr>
    </w:tbl>
    <w:p>
      <w:pPr>
        <w:pStyle w:val="P2"/>
        <w:jc w:val="both"/>
        <w:rPr>
          <w:rFonts w:ascii="Calibri Light" w:hAnsi="Calibri Light" w:cs="Calibri Light"/>
          <w:iCs w:val="0"/>
        </w:rPr>
      </w:pPr>
      <w:bookmarkEnd w:id="232"/>
      <w:bookmarkStart w:id="233" w:name="be_ärendeinformation01"/>
      <w:r>
        <w:rPr>
          <w:rFonts w:ascii="Calibri Light" w:hAnsi="Calibri Light" w:cs="Calibri Light"/>
          <w:iCs w:val="0"/>
        </w:rPr>
        <w:t>MEDVERKANDE TJÄNSTE</w:t>
      </w:r>
      <w:bookmarkEnd w:id="217"/>
      <w:r>
        <w:rPr>
          <w:rFonts w:ascii="Calibri Light" w:hAnsi="Calibri Light" w:cs="Calibri Light"/>
          <w:iCs w:val="0"/>
        </w:rPr>
        <w:t>PERSONER</w:t>
        <w:tab/>
      </w:r>
    </w:p>
    <w:p>
      <w:pPr>
        <w:pStyle w:val="P23"/>
        <w:jc w:val="left"/>
        <w:rPr>
          <w:sz w:val="20"/>
          <w:szCs w:val="20"/>
        </w:rPr>
      </w:pPr>
      <w:r>
        <w:t xml:space="preserve">I samband med upprättade av detaljplanen har teknikchef Ulf Carlsson, trafikingenjör Emil Malm och planchef Therese Lindström medverkat.  </w:t>
        <w:br w:type="textWrapping"/>
      </w:r>
      <w:r>
        <w:rPr>
          <w:sz w:val="20"/>
          <w:szCs w:val="20"/>
        </w:rPr>
        <w:br w:type="textWrapping"/>
      </w:r>
      <w:r>
        <w:t>Alvesta 2024-02-</w:t>
      </w:r>
      <w:bookmarkEnd w:id="233"/>
      <w:r>
        <w:t>21</w:t>
        <w:br w:type="textWrapping"/>
      </w:r>
      <w:r>
        <w:rPr>
          <w:sz w:val="20"/>
          <w:szCs w:val="20"/>
        </w:rPr>
        <w:br w:type="textWrapping"/>
        <w:br w:type="textWrapping"/>
      </w:r>
    </w:p>
    <w:p>
      <w:pPr>
        <w:pStyle w:val="P23"/>
        <w:jc w:val="left"/>
        <w:rPr>
          <w:b w:val="1"/>
          <w:i w:val="1"/>
          <w:bCs w:val="1"/>
          <w:iCs w:val="0"/>
        </w:rPr>
      </w:pPr>
      <w:bookmarkStart w:id="234" w:name="be_kommunalabeslut02"/>
      <w:r>
        <w:rPr>
          <w:b w:val="1"/>
          <w:i w:val="1"/>
          <w:bCs w:val="1"/>
          <w:iCs w:val="0"/>
        </w:rPr>
        <w:t xml:space="preserve">Therese Lindström                                                        Cecilia Runer</w:t>
      </w:r>
    </w:p>
    <w:p>
      <w:pPr>
        <w:pStyle w:val="P23"/>
        <w:jc w:val="left"/>
        <w:rPr>
          <w:b w:val="1"/>
          <w:i w:val="1"/>
          <w:bCs w:val="1"/>
          <w:iCs w:val="0"/>
        </w:rPr>
      </w:pPr>
      <w:r>
        <w:rPr>
          <w:b w:val="1"/>
          <w:i w:val="1"/>
          <w:bCs w:val="1"/>
          <w:iCs w:val="0"/>
        </w:rPr>
        <w:t xml:space="preserve">Planchef                                                                          Planarkitekt</w:t>
      </w:r>
    </w:p>
    <w:p>
      <w:pPr>
        <w:pStyle w:val="P23"/>
        <w:ind w:left="0"/>
        <w:rPr>
          <w:b w:val="1"/>
          <w:i w:val="1"/>
          <w:bCs w:val="1"/>
          <w:iCs w:val="0"/>
        </w:rPr>
      </w:pPr>
    </w:p>
    <w:p>
      <w:pPr>
        <w:pStyle w:val="P23"/>
        <w:jc w:val="left"/>
        <w:rPr>
          <w:b w:val="1"/>
          <w:i w:val="1"/>
          <w:bCs w:val="1"/>
          <w:iCs w:val="0"/>
        </w:rPr>
      </w:pPr>
      <w:r>
        <w:rPr>
          <w:b w:val="1"/>
          <w:i w:val="1"/>
          <w:bCs w:val="1"/>
          <w:iCs w:val="0"/>
        </w:rPr>
        <w:t xml:space="preserve">Planförslaget har antagits av Samhällsbyggnadsnämnden. </w:t>
        <w:br w:type="textWrapping"/>
        <w:t>2024-03-21 § 26.</w:t>
        <w:br w:type="textWrapping"/>
        <w:br w:type="textWrapping"/>
      </w:r>
    </w:p>
    <w:p>
      <w:pPr>
        <w:pStyle w:val="P23"/>
        <w:rPr>
          <w:b w:val="1"/>
          <w:i w:val="1"/>
          <w:bCs w:val="1"/>
          <w:iCs w:val="0"/>
        </w:rPr>
      </w:pPr>
      <w:r>
        <w:rPr>
          <w:b w:val="1"/>
          <w:i w:val="1"/>
          <w:bCs w:val="1"/>
          <w:iCs w:val="0"/>
        </w:rPr>
        <w:t>Adam Svedlund</w:t>
      </w:r>
    </w:p>
    <w:p>
      <w:pPr>
        <w:pStyle w:val="P23"/>
        <w:rPr>
          <w:b w:val="1"/>
          <w:i w:val="1"/>
          <w:bCs w:val="1"/>
          <w:iCs w:val="0"/>
        </w:rPr>
      </w:pPr>
      <w:r>
        <w:rPr>
          <w:b w:val="1"/>
          <w:i w:val="1"/>
          <w:bCs w:val="1"/>
          <w:iCs w:val="0"/>
        </w:rPr>
        <w:t>Nämndsekreterare</w:t>
      </w:r>
    </w:p>
    <w:p>
      <w:pPr>
        <w:pStyle w:val="P23"/>
        <w:rPr>
          <w:b w:val="1"/>
          <w:i w:val="1"/>
          <w:bCs w:val="1"/>
          <w:iCs w:val="0"/>
        </w:rPr>
      </w:pPr>
      <w:r>
        <w:rPr>
          <w:b w:val="1"/>
          <w:i w:val="1"/>
          <w:bCs w:val="1"/>
          <w:iCs w:val="0"/>
        </w:rPr>
        <w:t>Beslutet har vunnit laga kraft 2024-04-16</w:t>
      </w:r>
      <w:bookmarkEnd w:id="234"/>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134" w:right="1466" w:top="1701" w:bottom="1418" w:header="709" w:footer="709"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jc w:val="right"/>
      <w:rPr>
        <w:rFonts w:asciiTheme="minorHAnsi" w:hAnsiTheme="minorHAnsi" w:cstheme="minorHAnsi"/>
      </w:rPr>
    </w:pPr>
    <w:r>
      <w:rPr>
        <w:rStyle w:val="C4"/>
        <w:rFonts w:asciiTheme="minorHAnsi" w:hAnsiTheme="minorHAnsi" w:cstheme="minorHAnsi"/>
      </w:rPr>
      <w:fldChar w:fldCharType="begin"/>
    </w:r>
    <w:r>
      <w:rPr>
        <w:rStyle w:val="C4"/>
        <w:rFonts w:asciiTheme="minorHAnsi" w:hAnsiTheme="minorHAnsi" w:cstheme="minorHAnsi"/>
      </w:rPr>
      <w:instrText xml:space="preserve"> PAGE </w:instrText>
    </w:r>
    <w:r>
      <w:rPr>
        <w:rStyle w:val="C4"/>
        <w:rFonts w:asciiTheme="minorHAnsi" w:hAnsiTheme="minorHAnsi" w:cstheme="minorHAnsi"/>
      </w:rPr>
      <w:fldChar w:fldCharType="separate"/>
    </w:r>
    <w:r>
      <w:rPr>
        <w:rStyle w:val="C4"/>
        <w:rFonts w:asciiTheme="minorHAnsi" w:hAnsiTheme="minorHAnsi" w:cstheme="minorHAnsi"/>
      </w:rPr>
      <w:t>#</w:t>
    </w:r>
    <w:r>
      <w:rPr>
        <w:rStyle w:val="C4"/>
        <w:rFonts w:asciiTheme="minorHAnsi" w:hAnsiTheme="minorHAnsi" w:cstheme="minorHAnsi"/>
      </w:rPr>
      <w:fldChar w:fldCharType="end"/>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jc w:val="right"/>
      <w:rPr>
        <w:rFonts w:asciiTheme="minorHAnsi" w:hAnsiTheme="minorHAnsi" w:cstheme="minorHAnsi"/>
      </w:rPr>
    </w:pPr>
    <w:r>
      <w:rPr>
        <w:rStyle w:val="C4"/>
        <w:rFonts w:asciiTheme="minorHAnsi" w:hAnsiTheme="minorHAnsi" w:cstheme="minorHAnsi"/>
      </w:rPr>
      <w:fldChar w:fldCharType="begin"/>
    </w:r>
    <w:r>
      <w:rPr>
        <w:rStyle w:val="C4"/>
        <w:rFonts w:asciiTheme="minorHAnsi" w:hAnsiTheme="minorHAnsi" w:cstheme="minorHAnsi"/>
      </w:rPr>
      <w:instrText xml:space="preserve"> PAGE </w:instrText>
    </w:r>
    <w:r>
      <w:rPr>
        <w:rStyle w:val="C4"/>
        <w:rFonts w:asciiTheme="minorHAnsi" w:hAnsiTheme="minorHAnsi" w:cstheme="minorHAnsi"/>
      </w:rPr>
      <w:fldChar w:fldCharType="separate"/>
    </w:r>
    <w:r>
      <w:rPr>
        <w:rStyle w:val="C4"/>
        <w:rFonts w:asciiTheme="minorHAnsi" w:hAnsiTheme="minorHAnsi" w:cstheme="minorHAnsi"/>
      </w:rPr>
      <w:t>#</w:t>
    </w:r>
    <w:r>
      <w:rPr>
        <w:rStyle w:val="C4"/>
        <w:rFonts w:asciiTheme="minorHAnsi" w:hAnsiTheme="minorHAnsi" w:cstheme="minorHAnsi"/>
      </w:rPr>
      <w:fldChar w:fldCharType="end"/>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rPr>
        <w:rFonts w:ascii="Arial" w:hAnsi="Arial" w:cs="Arial"/>
      </w:rPr>
    </w:pPr>
  </w:p>
  <w:tbl>
    <w:tblPr>
      <w:tblW w:w="0" w:type="auto"/>
      <w:tblLook w:val="01E0"/>
    </w:tblPr>
    <w:tblGrid/>
    <w:tr>
      <w:tc>
        <w:tcPr>
          <w:tcW w:w="3179" w:type="dxa"/>
          <w:shd w:val="clear" w:color="auto" w:fill="auto"/>
        </w:tcPr>
        <w:p>
          <w:pPr>
            <w:pStyle w:val="P6"/>
            <w:jc w:val="right"/>
            <w:rPr>
              <w:rFonts w:ascii="Arial" w:hAnsi="Arial" w:cs="Arial"/>
            </w:rPr>
          </w:pPr>
          <w:r>
            <w:tab/>
          </w:r>
        </w:p>
        <w:tbl>
          <w:tblPr>
            <w:tblW w:w="8852" w:type="dxa"/>
            <w:tblLook w:val="01E0"/>
          </w:tblPr>
          <w:tblGrid/>
          <w:tr>
            <w:trPr>
              <w:trHeight w:hRule="atLeast" w:val="882"/>
            </w:trPr>
            <w:tc>
              <w:tcPr>
                <w:tcW w:w="3028" w:type="dxa"/>
                <w:shd w:val="clear" w:color="auto" w:fill="auto"/>
              </w:tcPr>
              <w:p>
                <w:pPr>
                  <w:pStyle w:val="P6"/>
                  <w:rPr>
                    <w:rFonts w:ascii="Arial" w:hAnsi="Arial" w:cs="Arial"/>
                  </w:rPr>
                </w:pPr>
                <w:r>
                  <w:rPr>
                    <w:noProof w:val="1"/>
                  </w:rPr>
                  <w:drawing>
                    <wp:anchor xmlns:wp="http://schemas.openxmlformats.org/drawingml/2006/wordprocessingDrawing" distT="0" distB="0" distL="114300" distR="114300" simplePos="0" relativeHeight="251661313" behindDoc="1" locked="0" layoutInCell="1" allowOverlap="1">
                      <wp:simplePos x="0" y="0"/>
                      <wp:positionH relativeFrom="margin">
                        <wp:posOffset>-67945</wp:posOffset>
                      </wp:positionH>
                      <wp:positionV relativeFrom="paragraph">
                        <wp:posOffset>0</wp:posOffset>
                      </wp:positionV>
                      <wp:extent cx="1487170" cy="628650"/>
                      <wp:effectExtent l="0" t="0" r="0" b="0"/>
                      <wp:wrapTight wrapText="bothSides">
                        <wp:wrapPolygon edited="0">
                          <wp:start x="0" y="0"/>
                          <wp:lineTo x="0" y="20945"/>
                          <wp:lineTo x="21305" y="20945"/>
                          <wp:lineTo x="21305" y="0"/>
                          <wp:lineTo x="0" y="0"/>
                        </wp:wrapPolygon>
                      </wp:wrapTight>
                      <wp:docPr id="7" name="Bild 1" descr="kommunlogo_epostsignatur"/>
                      <wp:cNvGraphicFramePr/>
                      <a:graphic xmlns:a="http://schemas.openxmlformats.org/drawingml/2006/main">
                        <a:graphicData uri="http://schemas.openxmlformats.org/drawingml/2006/picture">
                          <pic:pic xmlns:pic="http://schemas.openxmlformats.org/drawingml/2006/picture">
                            <pic:nvPicPr>
                              <pic:cNvPr id="1" name="Bild 1" descr="kommunlogo_epostsignatur"/>
                              <pic:cNvPicPr/>
                            </pic:nvPicPr>
                            <pic:blipFill dpi="0">
                              <a:blip xmlns:r="http://schemas.openxmlformats.org/officeDocument/2006/relationships" r:embed="Relimage16" cstate="print"/>
                              <a:srcRect/>
                              <a:stretch>
                                <a:fillRect/>
                              </a:stretch>
                            </pic:blipFill>
                            <pic:spPr bwMode="auto">
                              <a:xfrm>
                                <a:off x="0" y="0"/>
                                <a:ext cx="1487170" cy="628650"/>
                              </a:xfrm>
                              <a:prstGeom prst="rect"/>
                              <a:noFill/>
                              <a:ln>
                                <a:noFill/>
                              </a:ln>
                            </pic:spPr>
                          </pic:pic>
                        </a:graphicData>
                      </a:graphic>
                    </wp:anchor>
                  </w:drawing>
                </w:r>
              </w:p>
            </w:tc>
            <w:tc>
              <w:tcPr>
                <w:tcW w:w="5824" w:type="dxa"/>
                <w:shd w:val="clear" w:color="auto" w:fill="auto"/>
              </w:tcPr>
              <w:p>
                <w:pPr>
                  <w:pStyle w:val="P6"/>
                  <w:jc w:val="center"/>
                  <w:rPr>
                    <w:rFonts w:ascii="Calibri Light" w:hAnsi="Calibri Light" w:cs="Calibri Light"/>
                    <w:color w:val="0D0D0D" w:themeColor="text1" w:themeTint="F2"/>
                    <w:sz w:val="20"/>
                  </w:rPr>
                </w:pPr>
                <w:r>
                  <w:rPr>
                    <w:rFonts w:ascii="Calibri Light" w:hAnsi="Calibri Light" w:cs="Calibri Light"/>
                    <w:color w:val="0D0D0D" w:themeColor="text1" w:themeTint="F2"/>
                    <w:sz w:val="20"/>
                  </w:rPr>
                  <w:t xml:space="preserve">                                                                                       </w:t>
                </w:r>
              </w:p>
              <w:p>
                <w:pPr>
                  <w:pStyle w:val="P6"/>
                  <w:jc w:val="center"/>
                  <w:rPr>
                    <w:rFonts w:ascii="Calibri Light" w:hAnsi="Calibri Light" w:cs="Calibri Light"/>
                    <w:color w:val="0D0D0D" w:themeColor="text1" w:themeTint="F2"/>
                    <w:sz w:val="20"/>
                  </w:rPr>
                </w:pPr>
                <w:r>
                  <w:rPr>
                    <w:rFonts w:ascii="Calibri Light" w:hAnsi="Calibri Light" w:cs="Calibri Light"/>
                    <w:color w:val="0D0D0D" w:themeColor="text1" w:themeTint="F2"/>
                    <w:sz w:val="20"/>
                  </w:rPr>
                  <w:t xml:space="preserve">                                                                                              Dnr: 2</w:t>
                </w:r>
                <w:r>
                  <w:rPr>
                    <w:rFonts w:ascii="Calibri Light" w:hAnsi="Calibri Light" w:cs="Calibri Light"/>
                    <w:sz w:val="20"/>
                  </w:rPr>
                  <w:t xml:space="preserve">021–157 </w:t>
                </w:r>
                <w:r>
                  <w:rPr>
                    <w:rFonts w:ascii="Calibri Light" w:hAnsi="Calibri Light" w:cs="Calibri Light"/>
                    <w:color w:val="0D0D0D" w:themeColor="text1" w:themeTint="F2"/>
                    <w:sz w:val="20"/>
                  </w:rPr>
                  <w:t xml:space="preserve"> </w:t>
                </w:r>
              </w:p>
              <w:p>
                <w:pPr>
                  <w:pStyle w:val="P6"/>
                  <w:jc w:val="center"/>
                  <w:rPr>
                    <w:rFonts w:ascii="Calibri Light" w:hAnsi="Calibri Light" w:cs="Calibri Light"/>
                    <w:color w:val="0D0D0D" w:themeColor="text1" w:themeTint="F2"/>
                    <w:sz w:val="20"/>
                  </w:rPr>
                </w:pPr>
                <w:r>
                  <w:rPr>
                    <w:rFonts w:ascii="Calibri Light" w:hAnsi="Calibri Light" w:cs="Calibri Light"/>
                    <w:color w:val="0D0D0D" w:themeColor="text1" w:themeTint="F2"/>
                    <w:sz w:val="20"/>
                  </w:rPr>
                  <w:t xml:space="preserve">                                                                                                   2024-02-21</w:t>
                </w:r>
              </w:p>
              <w:p>
                <w:pPr>
                  <w:pStyle w:val="P6"/>
                  <w:jc w:val="center"/>
                  <w:rPr>
                    <w:rFonts w:asciiTheme="minorHAnsi" w:hAnsiTheme="minorHAnsi" w:cstheme="minorHAnsi"/>
                    <w:sz w:val="20"/>
                    <w:szCs w:val="32"/>
                  </w:rPr>
                </w:pPr>
              </w:p>
            </w:tc>
          </w:tr>
        </w:tbl>
        <w:p>
          <w:pPr>
            <w:pStyle w:val="P6"/>
            <w:rPr>
              <w:rFonts w:ascii="Arial" w:hAnsi="Arial" w:cs="Arial"/>
            </w:rPr>
          </w:pPr>
        </w:p>
      </w:tc>
      <w:tc>
        <w:tcPr>
          <w:tcW w:w="6315" w:type="dxa"/>
          <w:shd w:val="clear" w:color="auto" w:fill="auto"/>
        </w:tcPr>
        <w:p>
          <w:pPr>
            <w:pStyle w:val="P6"/>
            <w:jc w:val="right"/>
            <w:rPr>
              <w:rFonts w:ascii="Arial" w:hAnsi="Arial" w:cs="Arial"/>
            </w:rPr>
          </w:pPr>
        </w:p>
        <w:p>
          <w:pPr>
            <w:pStyle w:val="P6"/>
            <w:jc w:val="right"/>
            <w:rPr>
              <w:rFonts w:ascii="Arial" w:hAnsi="Arial" w:cs="Arial"/>
            </w:rPr>
          </w:pPr>
        </w:p>
        <w:p>
          <w:pPr>
            <w:pStyle w:val="P6"/>
            <w:jc w:val="right"/>
            <w:rPr>
              <w:rFonts w:ascii="Arial" w:hAnsi="Arial" w:cs="Arial"/>
            </w:rPr>
          </w:pPr>
        </w:p>
        <w:p>
          <w:pPr>
            <w:pStyle w:val="P6"/>
            <w:jc w:val="center"/>
            <w:rPr>
              <w:rFonts w:ascii="Arial" w:hAnsi="Arial" w:cs="Arial"/>
              <w:sz w:val="32"/>
              <w:szCs w:val="32"/>
            </w:rPr>
          </w:pPr>
        </w:p>
      </w:tc>
    </w:tr>
  </w:tbl>
  <w:p>
    <w:pPr>
      <w:pStyle w:val="P6"/>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jc w:val="right"/>
      <w:rPr>
        <w:rFonts w:ascii="Arial" w:hAnsi="Arial" w:cs="Arial"/>
      </w:rPr>
    </w:pPr>
    <w:r>
      <w:tab/>
    </w:r>
  </w:p>
  <w:tbl>
    <w:tblPr>
      <w:tblW w:w="9306" w:type="dxa"/>
      <w:tblLook w:val="01E0"/>
    </w:tblPr>
    <w:tblGrid/>
    <w:tr>
      <w:tc>
        <w:tcPr>
          <w:tcW w:w="3184" w:type="dxa"/>
          <w:shd w:val="clear" w:color="auto" w:fill="auto"/>
        </w:tcPr>
        <w:p>
          <w:pPr>
            <w:pStyle w:val="P6"/>
            <w:rPr>
              <w:rFonts w:ascii="Arial" w:hAnsi="Arial" w:cs="Arial"/>
            </w:rPr>
          </w:pPr>
          <w:r>
            <w:rPr>
              <w:noProof w:val="1"/>
            </w:rPr>
            <w:drawing>
              <wp:anchor xmlns:wp="http://schemas.openxmlformats.org/drawingml/2006/wordprocessingDrawing" distT="0" distB="0" distL="114300" distR="114300" simplePos="0" relativeHeight="251661312" behindDoc="1" locked="0" layoutInCell="1" allowOverlap="1">
                <wp:simplePos x="0" y="0"/>
                <wp:positionH relativeFrom="margin">
                  <wp:posOffset>-67945</wp:posOffset>
                </wp:positionH>
                <wp:positionV relativeFrom="paragraph">
                  <wp:posOffset>0</wp:posOffset>
                </wp:positionV>
                <wp:extent cx="1487170" cy="628650"/>
                <wp:effectExtent l="0" t="0" r="0" b="0"/>
                <wp:wrapTight wrapText="bothSides">
                  <wp:wrapPolygon edited="0">
                    <wp:start x="0" y="0"/>
                    <wp:lineTo x="0" y="20945"/>
                    <wp:lineTo x="21305" y="20945"/>
                    <wp:lineTo x="21305" y="0"/>
                    <wp:lineTo x="0" y="0"/>
                  </wp:wrapPolygon>
                </wp:wrapTight>
                <wp:docPr id="2" name="Bild 1" descr="kommunlogo_epostsignatur"/>
                <wp:cNvGraphicFramePr/>
                <a:graphic xmlns:a="http://schemas.openxmlformats.org/drawingml/2006/main">
                  <a:graphicData uri="http://schemas.openxmlformats.org/drawingml/2006/picture">
                    <pic:pic xmlns:pic="http://schemas.openxmlformats.org/drawingml/2006/picture">
                      <pic:nvPicPr>
                        <pic:cNvPr id="1" name="Bild 1" descr="kommunlogo_epostsignatur"/>
                        <pic:cNvPicPr/>
                      </pic:nvPicPr>
                      <pic:blipFill dpi="0">
                        <a:blip xmlns:r="http://schemas.openxmlformats.org/officeDocument/2006/relationships" r:embed="Relimage17" cstate="print"/>
                        <a:srcRect/>
                        <a:stretch>
                          <a:fillRect/>
                        </a:stretch>
                      </pic:blipFill>
                      <pic:spPr bwMode="auto">
                        <a:xfrm>
                          <a:off x="0" y="0"/>
                          <a:ext cx="1487170" cy="628650"/>
                        </a:xfrm>
                        <a:prstGeom prst="rect"/>
                        <a:noFill/>
                        <a:ln>
                          <a:noFill/>
                        </a:ln>
                      </pic:spPr>
                    </pic:pic>
                  </a:graphicData>
                </a:graphic>
              </wp:anchor>
            </w:drawing>
          </w:r>
        </w:p>
      </w:tc>
      <w:tc>
        <w:tcPr>
          <w:tcW w:w="6122" w:type="dxa"/>
          <w:shd w:val="clear" w:color="auto" w:fill="auto"/>
        </w:tcPr>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Dnr: 2</w:t>
          </w:r>
          <w:r>
            <w:rPr>
              <w:rFonts w:ascii="Calibri Light" w:hAnsi="Calibri Light" w:cs="Calibri Light"/>
              <w:sz w:val="20"/>
            </w:rPr>
            <w:t xml:space="preserve">021–157 </w:t>
          </w:r>
          <w:r>
            <w:rPr>
              <w:rFonts w:ascii="Calibri Light" w:hAnsi="Calibri Light" w:cs="Calibri Light"/>
              <w:color w:val="0D0D0D" w:themeColor="text1" w:themeTint="F2"/>
              <w:sz w:val="20"/>
            </w:rPr>
            <w:t xml:space="preserve"> </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2024-02-21</w:t>
          </w:r>
        </w:p>
        <w:p>
          <w:pPr>
            <w:pStyle w:val="P6"/>
            <w:jc w:val="center"/>
            <w:rPr>
              <w:rFonts w:asciiTheme="minorHAnsi" w:hAnsiTheme="minorHAnsi" w:cstheme="minorHAnsi"/>
              <w:sz w:val="20"/>
              <w:szCs w:val="32"/>
            </w:rPr>
          </w:pPr>
        </w:p>
      </w:tc>
    </w:tr>
  </w:tbl>
  <w:p/>
</w:hdr>
</file>

<file path=word/numbering.xml><?xml version="1.0" encoding="utf-8"?>
<w:numbering xmlns:w="http://schemas.openxmlformats.org/wordprocessingml/2006/main">
  <w:abstractNum w:abstractNumId="0">
    <w:nsid w:val="E900FF74"/>
    <w:multiLevelType w:val="hybridMultilevel"/>
    <w:lvl w:ilvl="0" w:tplc="FFFFFFFF">
      <w:start w:val="1"/>
      <w:numFmt w:val="ideographDigit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
    <w:nsid w:val="FFFFFF7C"/>
    <w:multiLevelType w:val="multilevel"/>
    <w:lvl w:ilvl="0">
      <w:start w:val="1"/>
      <w:numFmt w:val="decimal"/>
      <w:suff w:val="tab"/>
      <w:lvlText w:val="%1."/>
      <w:lvlJc w:val="left"/>
      <w:pPr>
        <w:ind w:hanging="360" w:left="1492"/>
        <w:tabs>
          <w:tab w:val="num" w:pos="1492"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2">
    <w:nsid w:val="FFFFFF7D"/>
    <w:multiLevelType w:val="multilevel"/>
    <w:lvl w:ilvl="0">
      <w:start w:val="1"/>
      <w:numFmt w:val="decimal"/>
      <w:suff w:val="tab"/>
      <w:lvlText w:val="%1."/>
      <w:lvlJc w:val="left"/>
      <w:pPr>
        <w:ind w:hanging="360" w:left="1209"/>
        <w:tabs>
          <w:tab w:val="num" w:pos="1209"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3">
    <w:nsid w:val="FFFFFF7E"/>
    <w:multiLevelType w:val="multilevel"/>
    <w:lvl w:ilvl="0">
      <w:start w:val="1"/>
      <w:numFmt w:val="decimal"/>
      <w:suff w:val="tab"/>
      <w:lvlText w:val="%1."/>
      <w:lvlJc w:val="left"/>
      <w:pPr>
        <w:ind w:hanging="360" w:left="926"/>
        <w:tabs>
          <w:tab w:val="num" w:pos="926"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4">
    <w:nsid w:val="FFFFFF7F"/>
    <w:multiLevelType w:val="multilevel"/>
    <w:lvl w:ilvl="0">
      <w:start w:val="1"/>
      <w:numFmt w:val="decimal"/>
      <w:suff w:val="tab"/>
      <w:lvlText w:val="%1."/>
      <w:lvlJc w:val="left"/>
      <w:pPr>
        <w:ind w:hanging="360" w:left="643"/>
        <w:tabs>
          <w:tab w:val="num" w:pos="643"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5">
    <w:nsid w:val="FFFFFF80"/>
    <w:multiLevelType w:val="multilevel"/>
    <w:lvl w:ilvl="0">
      <w:start w:val="1"/>
      <w:numFmt w:val="bullet"/>
      <w:suff w:val="tab"/>
      <w:lvlText w:val=""/>
      <w:lvlJc w:val="left"/>
      <w:pPr>
        <w:ind w:hanging="360" w:left="1492"/>
        <w:tabs>
          <w:tab w:val="num" w:pos="1492"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6">
    <w:nsid w:val="FFFFFF81"/>
    <w:multiLevelType w:val="multilevel"/>
    <w:lvl w:ilvl="0">
      <w:start w:val="1"/>
      <w:numFmt w:val="bullet"/>
      <w:suff w:val="tab"/>
      <w:lvlText w:val=""/>
      <w:lvlJc w:val="left"/>
      <w:pPr>
        <w:ind w:hanging="360" w:left="1209"/>
        <w:tabs>
          <w:tab w:val="num" w:pos="1209"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7">
    <w:nsid w:val="FFFFFF82"/>
    <w:multiLevelType w:val="multilevel"/>
    <w:lvl w:ilvl="0">
      <w:start w:val="1"/>
      <w:numFmt w:val="bullet"/>
      <w:suff w:val="tab"/>
      <w:lvlText w:val=""/>
      <w:lvlJc w:val="left"/>
      <w:pPr>
        <w:ind w:hanging="360" w:left="926"/>
        <w:tabs>
          <w:tab w:val="num" w:pos="926"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8">
    <w:nsid w:val="FFFFFF83"/>
    <w:multiLevelType w:val="multilevel"/>
    <w:lvl w:ilvl="0">
      <w:start w:val="1"/>
      <w:numFmt w:val="bullet"/>
      <w:suff w:val="tab"/>
      <w:lvlText w:val=""/>
      <w:lvlJc w:val="left"/>
      <w:pPr>
        <w:ind w:hanging="360" w:left="643"/>
        <w:tabs>
          <w:tab w:val="num" w:pos="643"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9">
    <w:nsid w:val="FFFFFF88"/>
    <w:multiLevelType w:val="multilevel"/>
    <w:lvl w:ilvl="0">
      <w:start w:val="1"/>
      <w:numFmt w:val="decimal"/>
      <w:suff w:val="tab"/>
      <w:lvlText w:val="%1."/>
      <w:lvlJc w:val="left"/>
      <w:pPr>
        <w:ind w:hanging="360" w:left="360"/>
        <w:tabs>
          <w:tab w:val="num" w:pos="360"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10">
    <w:nsid w:val="FFFFFF89"/>
    <w:multiLevelType w:val="multilevel"/>
    <w:lvl w:ilvl="0">
      <w:start w:val="1"/>
      <w:numFmt w:val="bullet"/>
      <w:suff w:val="tab"/>
      <w:lvlText w:val=""/>
      <w:lvlJc w:val="left"/>
      <w:pPr>
        <w:ind w:hanging="360" w:left="360"/>
        <w:tabs>
          <w:tab w:val="num" w:pos="360"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11">
    <w:nsid w:val="0298407A"/>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2">
    <w:nsid w:val="0E0210DF"/>
    <w:multiLevelType w:val="hybridMultilevel"/>
    <w:lvl w:ilvl="0" w:tplc="9E84D27E">
      <w:start w:val="1"/>
      <w:numFmt w:val="decimal"/>
      <w:pStyle w:val="P1"/>
      <w:suff w:val="tab"/>
      <w:lvlText w:val="%1."/>
      <w:lvlJc w:val="left"/>
      <w:pPr>
        <w:ind w:hanging="360" w:left="1916"/>
      </w:pPr>
      <w:rPr>
        <w:rFonts w:hint="default"/>
      </w:rPr>
    </w:lvl>
    <w:lvl w:ilvl="1" w:tplc="041D0019">
      <w:start w:val="1"/>
      <w:numFmt w:val="lowerLetter"/>
      <w:suff w:val="tab"/>
      <w:lvlText w:val="%2."/>
      <w:lvlJc w:val="left"/>
      <w:pPr>
        <w:ind w:hanging="360" w:left="2778"/>
      </w:pPr>
      <w:rPr/>
    </w:lvl>
    <w:lvl w:ilvl="2" w:tplc="041D001B">
      <w:start w:val="1"/>
      <w:numFmt w:val="lowerRoman"/>
      <w:suff w:val="tab"/>
      <w:lvlText w:val="%3."/>
      <w:lvlJc w:val="right"/>
      <w:pPr>
        <w:ind w:hanging="180" w:left="3498"/>
      </w:pPr>
      <w:rPr/>
    </w:lvl>
    <w:lvl w:ilvl="3" w:tplc="041D000F">
      <w:start w:val="1"/>
      <w:numFmt w:val="decimal"/>
      <w:suff w:val="tab"/>
      <w:lvlText w:val="%4."/>
      <w:lvlJc w:val="left"/>
      <w:pPr>
        <w:ind w:hanging="360" w:left="4218"/>
      </w:pPr>
      <w:rPr/>
    </w:lvl>
    <w:lvl w:ilvl="4" w:tplc="041D0019">
      <w:start w:val="1"/>
      <w:numFmt w:val="lowerLetter"/>
      <w:suff w:val="tab"/>
      <w:lvlText w:val="%5."/>
      <w:lvlJc w:val="left"/>
      <w:pPr>
        <w:ind w:hanging="360" w:left="4938"/>
      </w:pPr>
      <w:rPr/>
    </w:lvl>
    <w:lvl w:ilvl="5" w:tplc="041D001B">
      <w:start w:val="1"/>
      <w:numFmt w:val="lowerRoman"/>
      <w:suff w:val="tab"/>
      <w:lvlText w:val="%6."/>
      <w:lvlJc w:val="right"/>
      <w:pPr>
        <w:ind w:hanging="180" w:left="5658"/>
      </w:pPr>
      <w:rPr/>
    </w:lvl>
    <w:lvl w:ilvl="6" w:tplc="041D000F">
      <w:start w:val="1"/>
      <w:numFmt w:val="decimal"/>
      <w:suff w:val="tab"/>
      <w:lvlText w:val="%7."/>
      <w:lvlJc w:val="left"/>
      <w:pPr>
        <w:ind w:hanging="360" w:left="6378"/>
      </w:pPr>
      <w:rPr/>
    </w:lvl>
    <w:lvl w:ilvl="7" w:tplc="041D0019">
      <w:start w:val="1"/>
      <w:numFmt w:val="lowerLetter"/>
      <w:suff w:val="tab"/>
      <w:lvlText w:val="%8."/>
      <w:lvlJc w:val="left"/>
      <w:pPr>
        <w:ind w:hanging="360" w:left="7098"/>
      </w:pPr>
      <w:rPr/>
    </w:lvl>
    <w:lvl w:ilvl="8" w:tplc="041D001B">
      <w:start w:val="1"/>
      <w:numFmt w:val="lowerRoman"/>
      <w:suff w:val="tab"/>
      <w:lvlText w:val="%9."/>
      <w:lvlJc w:val="right"/>
      <w:pPr>
        <w:ind w:hanging="180" w:left="7818"/>
      </w:pPr>
      <w:rPr/>
    </w:lvl>
  </w:abstractNum>
  <w:abstractNum w:abstractNumId="13">
    <w:nsid w:val="11226D86"/>
    <w:multiLevelType w:val="multilevel"/>
    <w:lvl w:ilvl="0">
      <w:start w:val="1"/>
      <w:numFmt w:val="bullet"/>
      <w:suff w:val="tab"/>
      <w:lvlText w:val=""/>
      <w:lvlJc w:val="left"/>
      <w:pPr>
        <w:ind w:hanging="360" w:left="3195"/>
        <w:tabs>
          <w:tab w:val="num" w:pos="3195" w:leader="none"/>
        </w:tabs>
      </w:pPr>
      <w:rPr>
        <w:rFonts w:ascii="Wingdings" w:hAnsi="Wingdings" w:hint="default"/>
      </w:rPr>
    </w:lvl>
    <w:lvl w:ilvl="1">
      <w:start w:val="1"/>
      <w:numFmt w:val="bullet"/>
      <w:suff w:val="tab"/>
      <w:lvlText w:val="o"/>
      <w:lvlJc w:val="left"/>
      <w:pPr>
        <w:ind w:hanging="360" w:left="2574"/>
        <w:tabs>
          <w:tab w:val="num" w:pos="2574" w:leader="none"/>
        </w:tabs>
      </w:pPr>
      <w:rPr>
        <w:rFonts w:ascii="Courier New" w:hAnsi="Courier New" w:cs="Courier New" w:hint="default"/>
      </w:rPr>
    </w:lvl>
    <w:lvl w:ilvl="2">
      <w:start w:val="1"/>
      <w:numFmt w:val="bullet"/>
      <w:suff w:val="tab"/>
      <w:lvlText w:val=""/>
      <w:lvlJc w:val="left"/>
      <w:pPr>
        <w:ind w:hanging="360" w:left="3294"/>
        <w:tabs>
          <w:tab w:val="num" w:pos="3294" w:leader="none"/>
        </w:tabs>
      </w:pPr>
      <w:rPr>
        <w:rFonts w:ascii="Wingdings" w:hAnsi="Wingdings" w:hint="default"/>
      </w:rPr>
    </w:lvl>
    <w:lvl w:ilvl="3">
      <w:start w:val="1"/>
      <w:numFmt w:val="bullet"/>
      <w:suff w:val="tab"/>
      <w:lvlText w:val=""/>
      <w:lvlJc w:val="left"/>
      <w:pPr>
        <w:ind w:hanging="360" w:left="4014"/>
        <w:tabs>
          <w:tab w:val="num" w:pos="4014" w:leader="none"/>
        </w:tabs>
      </w:pPr>
      <w:rPr>
        <w:rFonts w:ascii="Symbol" w:hAnsi="Symbol" w:hint="default"/>
      </w:rPr>
    </w:lvl>
    <w:lvl w:ilvl="4">
      <w:start w:val="1"/>
      <w:numFmt w:val="bullet"/>
      <w:suff w:val="tab"/>
      <w:lvlText w:val="o"/>
      <w:lvlJc w:val="left"/>
      <w:pPr>
        <w:ind w:hanging="360" w:left="4734"/>
        <w:tabs>
          <w:tab w:val="num" w:pos="4734" w:leader="none"/>
        </w:tabs>
      </w:pPr>
      <w:rPr>
        <w:rFonts w:ascii="Courier New" w:hAnsi="Courier New" w:cs="Courier New" w:hint="default"/>
      </w:rPr>
    </w:lvl>
    <w:lvl w:ilvl="5">
      <w:start w:val="1"/>
      <w:numFmt w:val="bullet"/>
      <w:suff w:val="tab"/>
      <w:lvlText w:val=""/>
      <w:lvlJc w:val="left"/>
      <w:pPr>
        <w:ind w:hanging="360" w:left="5454"/>
        <w:tabs>
          <w:tab w:val="num" w:pos="5454" w:leader="none"/>
        </w:tabs>
      </w:pPr>
      <w:rPr>
        <w:rFonts w:ascii="Wingdings" w:hAnsi="Wingdings" w:hint="default"/>
      </w:rPr>
    </w:lvl>
    <w:lvl w:ilvl="6">
      <w:start w:val="1"/>
      <w:numFmt w:val="bullet"/>
      <w:suff w:val="tab"/>
      <w:lvlText w:val=""/>
      <w:lvlJc w:val="left"/>
      <w:pPr>
        <w:ind w:hanging="360" w:left="6174"/>
        <w:tabs>
          <w:tab w:val="num" w:pos="6174" w:leader="none"/>
        </w:tabs>
      </w:pPr>
      <w:rPr>
        <w:rFonts w:ascii="Symbol" w:hAnsi="Symbol" w:hint="default"/>
      </w:rPr>
    </w:lvl>
    <w:lvl w:ilvl="7">
      <w:start w:val="1"/>
      <w:numFmt w:val="bullet"/>
      <w:suff w:val="tab"/>
      <w:lvlText w:val="o"/>
      <w:lvlJc w:val="left"/>
      <w:pPr>
        <w:ind w:hanging="360" w:left="6894"/>
        <w:tabs>
          <w:tab w:val="num" w:pos="6894" w:leader="none"/>
        </w:tabs>
      </w:pPr>
      <w:rPr>
        <w:rFonts w:ascii="Courier New" w:hAnsi="Courier New" w:cs="Courier New" w:hint="default"/>
      </w:rPr>
    </w:lvl>
    <w:lvl w:ilvl="8">
      <w:start w:val="1"/>
      <w:numFmt w:val="bullet"/>
      <w:suff w:val="tab"/>
      <w:lvlText w:val=""/>
      <w:lvlJc w:val="left"/>
      <w:pPr>
        <w:ind w:hanging="360" w:left="7614"/>
        <w:tabs>
          <w:tab w:val="num" w:pos="7614" w:leader="none"/>
        </w:tabs>
      </w:pPr>
      <w:rPr>
        <w:rFonts w:ascii="Wingdings" w:hAnsi="Wingdings" w:hint="default"/>
      </w:rPr>
    </w:lvl>
  </w:abstractNum>
  <w:abstractNum w:abstractNumId="14">
    <w:nsid w:val="126326E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5">
    <w:nsid w:val="12A7497D"/>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6">
    <w:nsid w:val="1B16070C"/>
    <w:multiLevelType w:val="hybridMultilevel"/>
    <w:lvl w:ilvl="0" w:tplc="FFFFFFFF">
      <w:start w:val="1"/>
      <w:numFmt w:val="ideographDigit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7">
    <w:nsid w:val="2CCC5093"/>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8">
    <w:nsid w:val="3EF4474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9">
    <w:nsid w:val="450D3C6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0">
    <w:nsid w:val="4802416F"/>
    <w:multiLevelType w:val="hybridMultilevel"/>
    <w:lvl w:ilvl="0" w:tplc="67B62E12">
      <w:start w:val="1"/>
      <w:numFmt w:val="decimal"/>
      <w:suff w:val="tab"/>
      <w:lvlText w:val="%1."/>
      <w:lvlJc w:val="left"/>
      <w:pPr>
        <w:ind w:hanging="360" w:left="643"/>
      </w:pPr>
      <w:rPr>
        <w:rFonts w:hint="default"/>
        <w:b w:val="1"/>
      </w:rPr>
    </w:lvl>
    <w:lvl w:ilvl="1" w:tplc="041D0019">
      <w:start w:val="1"/>
      <w:numFmt w:val="lowerLetter"/>
      <w:suff w:val="tab"/>
      <w:lvlText w:val="%2."/>
      <w:lvlJc w:val="left"/>
      <w:pPr>
        <w:ind w:hanging="360" w:left="1363"/>
      </w:pPr>
      <w:rPr/>
    </w:lvl>
    <w:lvl w:ilvl="2" w:tplc="041D001B">
      <w:start w:val="1"/>
      <w:numFmt w:val="lowerRoman"/>
      <w:suff w:val="tab"/>
      <w:lvlText w:val="%3."/>
      <w:lvlJc w:val="right"/>
      <w:pPr>
        <w:ind w:hanging="180" w:left="2083"/>
      </w:pPr>
      <w:rPr/>
    </w:lvl>
    <w:lvl w:ilvl="3" w:tplc="041D000F">
      <w:start w:val="1"/>
      <w:numFmt w:val="decimal"/>
      <w:suff w:val="tab"/>
      <w:lvlText w:val="%4."/>
      <w:lvlJc w:val="left"/>
      <w:pPr>
        <w:ind w:hanging="360" w:left="2803"/>
      </w:pPr>
      <w:rPr/>
    </w:lvl>
    <w:lvl w:ilvl="4" w:tplc="041D0019">
      <w:start w:val="1"/>
      <w:numFmt w:val="lowerLetter"/>
      <w:suff w:val="tab"/>
      <w:lvlText w:val="%5."/>
      <w:lvlJc w:val="left"/>
      <w:pPr>
        <w:ind w:hanging="360" w:left="3523"/>
      </w:pPr>
      <w:rPr/>
    </w:lvl>
    <w:lvl w:ilvl="5" w:tplc="041D001B">
      <w:start w:val="1"/>
      <w:numFmt w:val="lowerRoman"/>
      <w:suff w:val="tab"/>
      <w:lvlText w:val="%6."/>
      <w:lvlJc w:val="right"/>
      <w:pPr>
        <w:ind w:hanging="180" w:left="4243"/>
      </w:pPr>
      <w:rPr/>
    </w:lvl>
    <w:lvl w:ilvl="6" w:tplc="041D000F">
      <w:start w:val="1"/>
      <w:numFmt w:val="decimal"/>
      <w:suff w:val="tab"/>
      <w:lvlText w:val="%7."/>
      <w:lvlJc w:val="left"/>
      <w:pPr>
        <w:ind w:hanging="360" w:left="4963"/>
      </w:pPr>
      <w:rPr/>
    </w:lvl>
    <w:lvl w:ilvl="7" w:tplc="041D0019">
      <w:start w:val="1"/>
      <w:numFmt w:val="lowerLetter"/>
      <w:suff w:val="tab"/>
      <w:lvlText w:val="%8."/>
      <w:lvlJc w:val="left"/>
      <w:pPr>
        <w:ind w:hanging="360" w:left="5683"/>
      </w:pPr>
      <w:rPr/>
    </w:lvl>
    <w:lvl w:ilvl="8" w:tplc="041D001B">
      <w:start w:val="1"/>
      <w:numFmt w:val="lowerRoman"/>
      <w:suff w:val="tab"/>
      <w:lvlText w:val="%9."/>
      <w:lvlJc w:val="right"/>
      <w:pPr>
        <w:ind w:hanging="180" w:left="6403"/>
      </w:pPr>
      <w:rPr/>
    </w:lvl>
  </w:abstractNum>
  <w:abstractNum w:abstractNumId="21">
    <w:nsid w:val="48F347D8"/>
    <w:multiLevelType w:val="hybridMultilevel"/>
    <w:lvl w:ilvl="0" w:tplc="E38C0892">
      <w:start w:val="1"/>
      <w:numFmt w:val="bullet"/>
      <w:pStyle w:val="P9"/>
      <w:suff w:val="tab"/>
      <w:lvlText w:val=""/>
      <w:lvlJc w:val="left"/>
      <w:pPr>
        <w:ind w:hanging="360" w:left="3195"/>
        <w:tabs>
          <w:tab w:val="num" w:pos="3195" w:leader="none"/>
        </w:tabs>
      </w:pPr>
      <w:rPr>
        <w:rFonts w:ascii="Wingdings" w:hAnsi="Wingdings" w:hint="default"/>
      </w:rPr>
    </w:lvl>
    <w:lvl w:ilvl="1" w:tplc="041D0003">
      <w:start w:val="1"/>
      <w:numFmt w:val="bullet"/>
      <w:suff w:val="tab"/>
      <w:lvlText w:val="o"/>
      <w:lvlJc w:val="left"/>
      <w:pPr>
        <w:ind w:hanging="360" w:left="2574"/>
        <w:tabs>
          <w:tab w:val="num" w:pos="2574" w:leader="none"/>
        </w:tabs>
      </w:pPr>
      <w:rPr>
        <w:rFonts w:ascii="Courier New" w:hAnsi="Courier New" w:cs="Courier New" w:hint="default"/>
      </w:rPr>
    </w:lvl>
    <w:lvl w:ilvl="2" w:tplc="041D0005">
      <w:start w:val="1"/>
      <w:numFmt w:val="bullet"/>
      <w:suff w:val="tab"/>
      <w:lvlText w:val=""/>
      <w:lvlJc w:val="left"/>
      <w:pPr>
        <w:ind w:hanging="360" w:left="3294"/>
        <w:tabs>
          <w:tab w:val="num" w:pos="3294" w:leader="none"/>
        </w:tabs>
      </w:pPr>
      <w:rPr>
        <w:rFonts w:ascii="Wingdings" w:hAnsi="Wingdings" w:hint="default"/>
      </w:rPr>
    </w:lvl>
    <w:lvl w:ilvl="3" w:tplc="041D0001">
      <w:start w:val="1"/>
      <w:numFmt w:val="bullet"/>
      <w:suff w:val="tab"/>
      <w:lvlText w:val=""/>
      <w:lvlJc w:val="left"/>
      <w:pPr>
        <w:ind w:hanging="360" w:left="4014"/>
        <w:tabs>
          <w:tab w:val="num" w:pos="4014" w:leader="none"/>
        </w:tabs>
      </w:pPr>
      <w:rPr>
        <w:rFonts w:ascii="Symbol" w:hAnsi="Symbol" w:hint="default"/>
      </w:rPr>
    </w:lvl>
    <w:lvl w:ilvl="4" w:tplc="041D0003">
      <w:start w:val="1"/>
      <w:numFmt w:val="bullet"/>
      <w:suff w:val="tab"/>
      <w:lvlText w:val="o"/>
      <w:lvlJc w:val="left"/>
      <w:pPr>
        <w:ind w:hanging="360" w:left="4734"/>
        <w:tabs>
          <w:tab w:val="num" w:pos="4734" w:leader="none"/>
        </w:tabs>
      </w:pPr>
      <w:rPr>
        <w:rFonts w:ascii="Courier New" w:hAnsi="Courier New" w:cs="Courier New" w:hint="default"/>
      </w:rPr>
    </w:lvl>
    <w:lvl w:ilvl="5" w:tplc="041D0005">
      <w:start w:val="1"/>
      <w:numFmt w:val="bullet"/>
      <w:suff w:val="tab"/>
      <w:lvlText w:val=""/>
      <w:lvlJc w:val="left"/>
      <w:pPr>
        <w:ind w:hanging="360" w:left="5454"/>
        <w:tabs>
          <w:tab w:val="num" w:pos="5454" w:leader="none"/>
        </w:tabs>
      </w:pPr>
      <w:rPr>
        <w:rFonts w:ascii="Wingdings" w:hAnsi="Wingdings" w:hint="default"/>
      </w:rPr>
    </w:lvl>
    <w:lvl w:ilvl="6" w:tplc="041D0001">
      <w:start w:val="1"/>
      <w:numFmt w:val="bullet"/>
      <w:suff w:val="tab"/>
      <w:lvlText w:val=""/>
      <w:lvlJc w:val="left"/>
      <w:pPr>
        <w:ind w:hanging="360" w:left="6174"/>
        <w:tabs>
          <w:tab w:val="num" w:pos="6174" w:leader="none"/>
        </w:tabs>
      </w:pPr>
      <w:rPr>
        <w:rFonts w:ascii="Symbol" w:hAnsi="Symbol" w:hint="default"/>
      </w:rPr>
    </w:lvl>
    <w:lvl w:ilvl="7" w:tplc="041D0003">
      <w:start w:val="1"/>
      <w:numFmt w:val="bullet"/>
      <w:suff w:val="tab"/>
      <w:lvlText w:val="o"/>
      <w:lvlJc w:val="left"/>
      <w:pPr>
        <w:ind w:hanging="360" w:left="6894"/>
        <w:tabs>
          <w:tab w:val="num" w:pos="6894" w:leader="none"/>
        </w:tabs>
      </w:pPr>
      <w:rPr>
        <w:rFonts w:ascii="Courier New" w:hAnsi="Courier New" w:cs="Courier New" w:hint="default"/>
      </w:rPr>
    </w:lvl>
    <w:lvl w:ilvl="8" w:tplc="041D0005">
      <w:start w:val="1"/>
      <w:numFmt w:val="bullet"/>
      <w:suff w:val="tab"/>
      <w:lvlText w:val=""/>
      <w:lvlJc w:val="left"/>
      <w:pPr>
        <w:ind w:hanging="360" w:left="7614"/>
        <w:tabs>
          <w:tab w:val="num" w:pos="7614" w:leader="none"/>
        </w:tabs>
      </w:pPr>
      <w:rPr>
        <w:rFonts w:ascii="Wingdings" w:hAnsi="Wingdings" w:hint="default"/>
      </w:rPr>
    </w:lvl>
  </w:abstractNum>
  <w:abstractNum w:abstractNumId="22">
    <w:nsid w:val="496D2BEF"/>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23">
    <w:nsid w:val="5840558F"/>
    <w:multiLevelType w:val="hybridMultilevel"/>
    <w:lvl w:ilvl="0" w:tplc="B142A0C4">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4">
    <w:nsid w:val="611E004D"/>
    <w:multiLevelType w:val="hybridMultilevel"/>
    <w:lvl w:ilvl="0" w:tplc="0F544F94">
      <w:start w:val="21"/>
      <w:numFmt w:val="bullet"/>
      <w:suff w:val="tab"/>
      <w:lvlText w:val="-"/>
      <w:lvlJc w:val="left"/>
      <w:pPr>
        <w:ind w:hanging="360" w:left="1494"/>
      </w:pPr>
      <w:rPr>
        <w:rFonts w:ascii="Calibri Light" w:hAnsi="Calibri Light" w:cs="Calibri Light" w:eastAsia="Times New Roman" w:hint="default"/>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abstractNum w:abstractNumId="25">
    <w:nsid w:val="63592407"/>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26">
    <w:nsid w:val="76557C99"/>
    <w:multiLevelType w:val="hybridMultilevel"/>
    <w:lvl w:ilvl="0" w:tplc="C122A9DC">
      <w:start w:val="0"/>
      <w:numFmt w:val="bullet"/>
      <w:suff w:val="tab"/>
      <w:lvlText w:val="-"/>
      <w:lvlJc w:val="left"/>
      <w:pPr>
        <w:ind w:hanging="360" w:left="1494"/>
        <w:tabs>
          <w:tab w:val="num" w:pos="1494" w:leader="none"/>
        </w:tabs>
      </w:pPr>
      <w:rPr>
        <w:rFonts w:ascii="Times New Roman" w:hAnsi="Times New Roman" w:cs="Times New Roman" w:eastAsia="Times New Roman" w:hint="default"/>
      </w:rPr>
    </w:lvl>
    <w:lvl w:ilvl="1" w:tplc="041D0003">
      <w:start w:val="1"/>
      <w:numFmt w:val="bullet"/>
      <w:suff w:val="tab"/>
      <w:lvlText w:val="o"/>
      <w:lvlJc w:val="left"/>
      <w:pPr>
        <w:ind w:hanging="360" w:left="2214"/>
        <w:tabs>
          <w:tab w:val="num" w:pos="2214" w:leader="none"/>
        </w:tabs>
      </w:pPr>
      <w:rPr>
        <w:rFonts w:ascii="Courier New" w:hAnsi="Courier New" w:cs="Courier New" w:hint="default"/>
      </w:rPr>
    </w:lvl>
    <w:lvl w:ilvl="2" w:tplc="041D0005">
      <w:start w:val="1"/>
      <w:numFmt w:val="bullet"/>
      <w:suff w:val="tab"/>
      <w:lvlText w:val=""/>
      <w:lvlJc w:val="left"/>
      <w:pPr>
        <w:ind w:hanging="360" w:left="2934"/>
        <w:tabs>
          <w:tab w:val="num" w:pos="2934" w:leader="none"/>
        </w:tabs>
      </w:pPr>
      <w:rPr>
        <w:rFonts w:ascii="Wingdings" w:hAnsi="Wingdings" w:hint="default"/>
      </w:rPr>
    </w:lvl>
    <w:lvl w:ilvl="3" w:tplc="041D0001">
      <w:start w:val="1"/>
      <w:numFmt w:val="bullet"/>
      <w:suff w:val="tab"/>
      <w:lvlText w:val=""/>
      <w:lvlJc w:val="left"/>
      <w:pPr>
        <w:ind w:hanging="360" w:left="3654"/>
        <w:tabs>
          <w:tab w:val="num" w:pos="3654" w:leader="none"/>
        </w:tabs>
      </w:pPr>
      <w:rPr>
        <w:rFonts w:ascii="Symbol" w:hAnsi="Symbol" w:hint="default"/>
      </w:rPr>
    </w:lvl>
    <w:lvl w:ilvl="4" w:tplc="041D0003">
      <w:start w:val="1"/>
      <w:numFmt w:val="bullet"/>
      <w:suff w:val="tab"/>
      <w:lvlText w:val="o"/>
      <w:lvlJc w:val="left"/>
      <w:pPr>
        <w:ind w:hanging="360" w:left="4374"/>
        <w:tabs>
          <w:tab w:val="num" w:pos="4374" w:leader="none"/>
        </w:tabs>
      </w:pPr>
      <w:rPr>
        <w:rFonts w:ascii="Courier New" w:hAnsi="Courier New" w:cs="Courier New" w:hint="default"/>
      </w:rPr>
    </w:lvl>
    <w:lvl w:ilvl="5" w:tplc="041D0005">
      <w:start w:val="1"/>
      <w:numFmt w:val="bullet"/>
      <w:suff w:val="tab"/>
      <w:lvlText w:val=""/>
      <w:lvlJc w:val="left"/>
      <w:pPr>
        <w:ind w:hanging="360" w:left="5094"/>
        <w:tabs>
          <w:tab w:val="num" w:pos="5094" w:leader="none"/>
        </w:tabs>
      </w:pPr>
      <w:rPr>
        <w:rFonts w:ascii="Wingdings" w:hAnsi="Wingdings" w:hint="default"/>
      </w:rPr>
    </w:lvl>
    <w:lvl w:ilvl="6" w:tplc="041D0001">
      <w:start w:val="1"/>
      <w:numFmt w:val="bullet"/>
      <w:suff w:val="tab"/>
      <w:lvlText w:val=""/>
      <w:lvlJc w:val="left"/>
      <w:pPr>
        <w:ind w:hanging="360" w:left="5814"/>
        <w:tabs>
          <w:tab w:val="num" w:pos="5814" w:leader="none"/>
        </w:tabs>
      </w:pPr>
      <w:rPr>
        <w:rFonts w:ascii="Symbol" w:hAnsi="Symbol" w:hint="default"/>
      </w:rPr>
    </w:lvl>
    <w:lvl w:ilvl="7" w:tplc="041D0003">
      <w:start w:val="1"/>
      <w:numFmt w:val="bullet"/>
      <w:suff w:val="tab"/>
      <w:lvlText w:val="o"/>
      <w:lvlJc w:val="left"/>
      <w:pPr>
        <w:ind w:hanging="360" w:left="6534"/>
        <w:tabs>
          <w:tab w:val="num" w:pos="6534" w:leader="none"/>
        </w:tabs>
      </w:pPr>
      <w:rPr>
        <w:rFonts w:ascii="Courier New" w:hAnsi="Courier New" w:cs="Courier New" w:hint="default"/>
      </w:rPr>
    </w:lvl>
    <w:lvl w:ilvl="8" w:tplc="041D0005">
      <w:start w:val="1"/>
      <w:numFmt w:val="bullet"/>
      <w:suff w:val="tab"/>
      <w:lvlText w:val=""/>
      <w:lvlJc w:val="left"/>
      <w:pPr>
        <w:ind w:hanging="360" w:left="7254"/>
        <w:tabs>
          <w:tab w:val="num" w:pos="7254" w:leader="none"/>
        </w:tabs>
      </w:pPr>
      <w:rPr>
        <w:rFonts w:ascii="Wingdings" w:hAnsi="Wingdings" w:hint="default"/>
      </w:rPr>
    </w:lvl>
  </w:abstractNum>
  <w:abstractNum w:abstractNumId="27">
    <w:nsid w:val="7F2F0C6F"/>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28">
    <w:nsid w:val="7F715C69"/>
    <w:multiLevelType w:val="hybridMultilevel"/>
    <w:lvl w:ilvl="0" w:tplc="92DEC354">
      <w:start w:val="21"/>
      <w:numFmt w:val="bullet"/>
      <w:suff w:val="tab"/>
      <w:lvlText w:val="-"/>
      <w:lvlJc w:val="left"/>
      <w:pPr>
        <w:ind w:hanging="360" w:left="1494"/>
      </w:pPr>
      <w:rPr>
        <w:rFonts w:ascii="Calibri Light" w:hAnsi="Calibri Light" w:cs="Calibri Light" w:eastAsia="Times New Roman" w:hint="default"/>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num w:numId="1">
    <w:abstractNumId w:val="21"/>
  </w:num>
  <w:num w:numId="2">
    <w:abstractNumId w:val="13"/>
  </w:num>
  <w:num w:numId="3">
    <w:abstractNumId w:val="26"/>
  </w:num>
  <w:num w:numId="4">
    <w:abstractNumId w:val="9"/>
  </w:num>
  <w:num w:numId="5">
    <w:abstractNumId w:val="4"/>
  </w:num>
  <w:num w:numId="6">
    <w:abstractNumId w:val="3"/>
  </w:num>
  <w:num w:numId="7">
    <w:abstractNumId w:val="2"/>
  </w:num>
  <w:num w:numId="8">
    <w:abstractNumId w:val="1"/>
  </w:num>
  <w:num w:numId="9">
    <w:abstractNumId w:val="10"/>
  </w:num>
  <w:num w:numId="10">
    <w:abstractNumId w:val="8"/>
  </w:num>
  <w:num w:numId="11">
    <w:abstractNumId w:val="7"/>
  </w:num>
  <w:num w:numId="12">
    <w:abstractNumId w:val="6"/>
  </w:num>
  <w:num w:numId="13">
    <w:abstractNumId w:val="5"/>
  </w:num>
  <w:num w:numId="14">
    <w:abstractNumId w:val="20"/>
  </w:num>
  <w:num w:numId="15">
    <w:abstractNumId w:val="12"/>
  </w:num>
  <w:num w:numId="16">
    <w:abstractNumId w:val="19"/>
  </w:num>
  <w:num w:numId="17">
    <w:abstractNumId w:val="22"/>
  </w:num>
  <w:num w:numId="18">
    <w:abstractNumId w:val="12"/>
    <w:lvlOverride w:ilvl="0">
      <w:startOverride w:val="4"/>
    </w:lvlOverride>
  </w:num>
  <w:num w:numId="19">
    <w:abstractNumId w:val="23"/>
  </w:num>
  <w:num w:numId="20">
    <w:abstractNumId w:val="27"/>
  </w:num>
  <w:num w:numId="21">
    <w:abstractNumId w:val="0"/>
  </w:num>
  <w:num w:numId="22">
    <w:abstractNumId w:val="16"/>
  </w:num>
  <w:num w:numId="23">
    <w:abstractNumId w:val="25"/>
  </w:num>
  <w:num w:numId="24">
    <w:abstractNumId w:val="17"/>
  </w:num>
  <w:num w:numId="25">
    <w:abstractNumId w:val="12"/>
    <w:lvlOverride w:ilvl="0">
      <w:startOverride w:val="4"/>
    </w:lvlOverride>
  </w:num>
  <w:num w:numId="26">
    <w:abstractNumId w:val="15"/>
  </w:num>
  <w:num w:numId="27">
    <w:abstractNumId w:val="28"/>
  </w:num>
  <w:num w:numId="28">
    <w:abstractNumId w:val="24"/>
  </w:num>
  <w:num w:numId="29">
    <w:abstractNumId w:val="11"/>
  </w:num>
  <w:num w:numId="30">
    <w:abstractNumId w:val="14"/>
  </w:num>
  <w:num w:numId="31">
    <w:abstractNumId w:val="18"/>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kumentArkiv_DokId" w:val="16095"/>
    <w:docVar w:name="DokumentArkiv_DokTyp" w:val="A"/>
    <w:docVar w:name="DokumentArkiv_FamId" w:val="201112"/>
    <w:docVar w:name="DokumentArkiv_FileName" w:val="Detaljplan för del av Moheda 4_192 Granskning.docx"/>
    <w:docVar w:name="Word.AboutCiceronButton" w:val="1"/>
    <w:docVar w:name="Word.AcceptDocument" w:val="0"/>
    <w:docVar w:name="Word.AcceptDocumentNoComment" w:val="0"/>
    <w:docVar w:name="Word.AcceptDocumentWithComment" w:val="0"/>
    <w:docVar w:name="Word.CheckedOutDocumentsButton" w:val="1"/>
    <w:docVar w:name="Word.CreateMergedDocumentButton" w:val="1"/>
    <w:docVar w:name="Word.CreateMinutesExtractButton" w:val="1"/>
    <w:docVar w:name="Word.DocumentsForApproval" w:val="1"/>
    <w:docVar w:name="Word.EditDocumentButton" w:val="1"/>
    <w:docVar w:name="Word.HighligtAllRedactableInformation" w:val="0"/>
    <w:docVar w:name="Word.LogoutFromCiceronButton" w:val="1"/>
    <w:docVar w:name="Word.MyDocumentsButton" w:val="1"/>
    <w:docVar w:name="Word.MyFolders" w:val="1"/>
    <w:docVar w:name="Word.OngoingProcess" w:val="0"/>
    <w:docVar w:name="Word.PublishDocumentButton" w:val="1"/>
    <w:docVar w:name="Word.RecentDocumentButton" w:val="1"/>
    <w:docVar w:name="Word.RedactableInformation" w:val="1"/>
    <w:docVar w:name="Word.RejectDocument" w:val="0"/>
    <w:docVar w:name="Word.RejectDocumentNoComment" w:val="0"/>
    <w:docVar w:name="Word.RejectDocumentWithComment" w:val="0"/>
    <w:docVar w:name="Word.SaveAsNewToCiceronButton" w:val="1"/>
    <w:docVar w:name="Word.SaveToCiceronButton" w:val="0"/>
    <w:docVar w:name="Word.SaveToFolderInCiceronButton" w:val="1"/>
    <w:docVar w:name="Word.SaveToMeetingButton" w:val="0"/>
    <w:docVar w:name="Word.SearchForDocumentButton" w:val="1"/>
    <w:docVar w:name="Word.SendForApproval" w:val="1"/>
    <w:docVar w:name="Word.UndoRedactableInformation" w:val="0"/>
  </w:docVars>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sz w:val="24"/>
      <w:szCs w:val="24"/>
    </w:rPr>
  </w:style>
  <w:style w:type="paragraph" w:styleId="P1">
    <w:name w:val="Heading 1"/>
    <w:basedOn w:val="P0"/>
    <w:next w:val="P5"/>
    <w:qFormat/>
    <w:pPr>
      <w:keepNext w:val="1"/>
      <w:numPr>
        <w:numId w:val="15"/>
      </w:numPr>
      <w:spacing w:before="720" w:after="240" w:beforeAutospacing="0" w:afterAutospacing="0"/>
      <w:ind w:left="1494" w:right="1134"/>
      <w:outlineLvl w:val="0"/>
    </w:pPr>
    <w:rPr>
      <w:rFonts w:ascii="Calibri Light" w:hAnsi="Calibri Light" w:cs="Calibri Light"/>
      <w:b w:val="1"/>
      <w:bCs w:val="1"/>
      <w:sz w:val="32"/>
      <w:szCs w:val="32"/>
      <w:kern w:val="32"/>
    </w:rPr>
  </w:style>
  <w:style w:type="paragraph" w:styleId="P2">
    <w:name w:val="Heading 2"/>
    <w:basedOn w:val="P0"/>
    <w:next w:val="P5"/>
    <w:qFormat/>
    <w:pPr>
      <w:keepNext w:val="1"/>
      <w:spacing w:before="480" w:after="120" w:beforeAutospacing="0" w:afterAutospacing="0"/>
      <w:ind w:left="1134" w:right="1134"/>
      <w:outlineLvl w:val="1"/>
    </w:pPr>
    <w:rPr>
      <w:rFonts w:asciiTheme="minorHAnsi" w:hAnsiTheme="minorHAnsi" w:cstheme="minorHAnsi"/>
      <w:b w:val="1"/>
      <w:bCs w:val="1"/>
      <w:iCs w:val="1"/>
      <w:caps w:val="1"/>
      <w:szCs w:val="28"/>
    </w:rPr>
  </w:style>
  <w:style w:type="paragraph" w:styleId="P3">
    <w:name w:val="Heading 3"/>
    <w:basedOn w:val="P0"/>
    <w:next w:val="P5"/>
    <w:link w:val="C3"/>
    <w:qFormat/>
    <w:pPr>
      <w:keepNext w:val="1"/>
      <w:spacing w:before="240" w:after="120" w:beforeAutospacing="0" w:afterAutospacing="0"/>
      <w:ind w:left="1134" w:right="1134"/>
      <w:outlineLvl w:val="2"/>
    </w:pPr>
    <w:rPr>
      <w:rFonts w:asciiTheme="minorHAnsi" w:hAnsiTheme="minorHAnsi" w:cstheme="minorHAnsi"/>
      <w:b w:val="1"/>
      <w:bCs w:val="1"/>
      <w:sz w:val="22"/>
      <w:szCs w:val="26"/>
    </w:rPr>
  </w:style>
  <w:style w:type="paragraph" w:styleId="P4">
    <w:name w:val="Heading 4"/>
    <w:basedOn w:val="P3"/>
    <w:next w:val="P0"/>
    <w:link w:val="C5"/>
    <w:qFormat/>
    <w:pPr>
      <w:spacing w:before="120" w:after="60" w:beforeAutospacing="0" w:afterAutospacing="0"/>
      <w:outlineLvl w:val="3"/>
    </w:pPr>
    <w:rPr>
      <w:rFonts w:ascii="Calibri Light" w:hAnsi="Calibri Light" w:cs="Calibri Light"/>
      <w:b w:val="0"/>
      <w:bCs w:val="0"/>
      <w:szCs w:val="28"/>
      <w:u w:val="single"/>
    </w:rPr>
  </w:style>
  <w:style w:type="paragraph" w:styleId="P5">
    <w:name w:val="Body Text"/>
    <w:basedOn w:val="P0"/>
    <w:pPr>
      <w:spacing w:before="240" w:after="240" w:beforeAutospacing="0" w:afterAutospacing="0"/>
      <w:ind w:left="1134" w:right="1134"/>
      <w:jc w:val="both"/>
    </w:pPr>
    <w:rPr>
      <w:rFonts w:ascii="Calibri Light" w:hAnsi="Calibri Light" w:cs="Calibri Light"/>
      <w:iCs w:val="1"/>
      <w:color w:val="000000" w:themeColor="text1"/>
      <w:sz w:val="22"/>
    </w:rPr>
  </w:style>
  <w:style w:type="paragraph" w:styleId="P6">
    <w:name w:val="Header"/>
    <w:basedOn w:val="P0"/>
    <w:pPr>
      <w:tabs>
        <w:tab w:val="center" w:pos="4536" w:leader="none"/>
        <w:tab w:val="right" w:pos="9072" w:leader="none"/>
      </w:tabs>
    </w:pPr>
    <w:rPr/>
  </w:style>
  <w:style w:type="paragraph" w:styleId="P7">
    <w:name w:val="Footer"/>
    <w:basedOn w:val="P0"/>
    <w:pPr>
      <w:tabs>
        <w:tab w:val="center" w:pos="4536" w:leader="none"/>
        <w:tab w:val="right" w:pos="9072" w:leader="none"/>
      </w:tabs>
    </w:pPr>
    <w:rPr/>
  </w:style>
  <w:style w:type="paragraph" w:styleId="P8">
    <w:name w:val="Document Map"/>
    <w:basedOn w:val="P0"/>
    <w:semiHidden/>
    <w:pPr>
      <w:shd w:val="clear" w:fill="000080"/>
    </w:pPr>
    <w:rPr>
      <w:rFonts w:ascii="Tahoma" w:hAnsi="Tahoma" w:cs="Tahoma"/>
      <w:sz w:val="20"/>
      <w:szCs w:val="20"/>
    </w:rPr>
  </w:style>
  <w:style w:type="paragraph" w:styleId="P9">
    <w:name w:val="Punktlista utan nivåer"/>
    <w:basedOn w:val="P0"/>
    <w:pPr>
      <w:numPr>
        <w:numId w:val="1"/>
      </w:numPr>
      <w:tabs>
        <w:tab w:val="num" w:pos="567" w:leader="none"/>
      </w:tabs>
      <w:ind w:firstLine="0" w:left="1134"/>
    </w:pPr>
    <w:rPr/>
  </w:style>
  <w:style w:type="paragraph" w:styleId="P10">
    <w:name w:val="Body Text 3"/>
    <w:basedOn w:val="P0"/>
    <w:pPr>
      <w:spacing w:after="120" w:beforeAutospacing="0" w:afterAutospacing="0"/>
    </w:pPr>
    <w:rPr>
      <w:sz w:val="16"/>
      <w:szCs w:val="16"/>
    </w:rPr>
  </w:style>
  <w:style w:type="paragraph" w:styleId="P11">
    <w:name w:val="Planrubrik"/>
    <w:basedOn w:val="P1"/>
    <w:next w:val="P1"/>
    <w:pPr>
      <w:spacing w:before="840" w:after="480" w:beforeAutospacing="0" w:afterAutospacing="0"/>
    </w:pPr>
    <w:rPr/>
  </w:style>
  <w:style w:type="paragraph" w:styleId="P12">
    <w:name w:val="TOC 1"/>
    <w:basedOn w:val="P0"/>
    <w:next w:val="P0"/>
    <w:pPr>
      <w:tabs>
        <w:tab w:val="right" w:pos="8100" w:leader="dot"/>
      </w:tabs>
      <w:spacing w:before="120" w:beforeAutospacing="0" w:afterAutospacing="0"/>
      <w:ind w:left="1134" w:right="1134"/>
    </w:pPr>
    <w:rPr>
      <w:rFonts w:ascii="Calibri Light" w:hAnsi="Calibri Light" w:cs="Arial"/>
      <w:bCs w:val="1"/>
      <w:caps w:val="1"/>
      <w:sz w:val="22"/>
    </w:rPr>
  </w:style>
  <w:style w:type="paragraph" w:styleId="P13">
    <w:name w:val="TOC 2"/>
    <w:basedOn w:val="P0"/>
    <w:next w:val="P0"/>
    <w:semiHidden/>
    <w:pPr>
      <w:tabs>
        <w:tab w:val="right" w:pos="8100" w:leader="dot"/>
      </w:tabs>
      <w:spacing w:before="60" w:beforeAutospacing="0" w:afterAutospacing="0"/>
      <w:ind w:left="1134" w:right="1134"/>
    </w:pPr>
    <w:rPr>
      <w:rFonts w:ascii="Arial" w:hAnsi="Arial"/>
      <w:bCs w:val="1"/>
      <w:caps w:val="1"/>
      <w:sz w:val="20"/>
      <w:szCs w:val="20"/>
    </w:rPr>
  </w:style>
  <w:style w:type="paragraph" w:styleId="P14">
    <w:name w:val="TOC 3"/>
    <w:basedOn w:val="P0"/>
    <w:next w:val="P0"/>
    <w:semiHidden/>
    <w:pPr>
      <w:spacing w:before="60" w:beforeAutospacing="0" w:afterAutospacing="0"/>
      <w:ind w:left="1134" w:right="1134"/>
    </w:pPr>
    <w:rPr>
      <w:rFonts w:ascii="Arial" w:hAnsi="Arial"/>
      <w:sz w:val="20"/>
      <w:szCs w:val="20"/>
    </w:rPr>
  </w:style>
  <w:style w:type="paragraph" w:styleId="P15">
    <w:name w:val="TOC 4"/>
    <w:basedOn w:val="P0"/>
    <w:next w:val="P0"/>
    <w:semiHidden/>
    <w:pPr>
      <w:ind w:left="480"/>
    </w:pPr>
    <w:rPr>
      <w:sz w:val="20"/>
      <w:szCs w:val="20"/>
    </w:rPr>
  </w:style>
  <w:style w:type="paragraph" w:styleId="P16">
    <w:name w:val="TOC 5"/>
    <w:basedOn w:val="P0"/>
    <w:next w:val="P0"/>
    <w:semiHidden/>
    <w:pPr>
      <w:ind w:left="720"/>
    </w:pPr>
    <w:rPr>
      <w:sz w:val="20"/>
      <w:szCs w:val="20"/>
    </w:rPr>
  </w:style>
  <w:style w:type="paragraph" w:styleId="P17">
    <w:name w:val="TOC 6"/>
    <w:basedOn w:val="P0"/>
    <w:next w:val="P0"/>
    <w:semiHidden/>
    <w:pPr>
      <w:ind w:left="960"/>
    </w:pPr>
    <w:rPr>
      <w:sz w:val="20"/>
      <w:szCs w:val="20"/>
    </w:rPr>
  </w:style>
  <w:style w:type="paragraph" w:styleId="P18">
    <w:name w:val="TOC 7"/>
    <w:basedOn w:val="P0"/>
    <w:next w:val="P0"/>
    <w:semiHidden/>
    <w:pPr>
      <w:ind w:left="1200"/>
    </w:pPr>
    <w:rPr>
      <w:sz w:val="20"/>
      <w:szCs w:val="20"/>
    </w:rPr>
  </w:style>
  <w:style w:type="paragraph" w:styleId="P19">
    <w:name w:val="TOC 8"/>
    <w:basedOn w:val="P0"/>
    <w:next w:val="P0"/>
    <w:semiHidden/>
    <w:pPr>
      <w:ind w:left="1440"/>
    </w:pPr>
    <w:rPr>
      <w:sz w:val="20"/>
      <w:szCs w:val="20"/>
    </w:rPr>
  </w:style>
  <w:style w:type="paragraph" w:styleId="P20">
    <w:name w:val="TOC 9"/>
    <w:basedOn w:val="P0"/>
    <w:next w:val="P0"/>
    <w:semiHidden/>
    <w:pPr>
      <w:ind w:left="1680"/>
    </w:pPr>
    <w:rPr>
      <w:sz w:val="20"/>
      <w:szCs w:val="20"/>
    </w:rPr>
  </w:style>
  <w:style w:type="paragraph" w:styleId="P21">
    <w:name w:val="Formatmall Innehåll 1 + Vänster:  2 cm"/>
    <w:basedOn w:val="P12"/>
    <w:pPr/>
    <w:rPr>
      <w:rFonts w:cs="Times New Roman"/>
      <w:sz w:val="20"/>
      <w:szCs w:val="20"/>
    </w:rPr>
  </w:style>
  <w:style w:type="paragraph" w:styleId="P22">
    <w:name w:val="Normal areal"/>
    <w:basedOn w:val="P5"/>
    <w:link w:val="C6"/>
    <w:qFormat/>
    <w:pPr/>
    <w:rPr>
      <w:bCs w:val="1"/>
      <w:noProof w:val="1"/>
      <w:szCs w:val="22"/>
    </w:rPr>
  </w:style>
  <w:style w:type="paragraph" w:styleId="P23">
    <w:name w:val="Normalt"/>
    <w:basedOn w:val="P5"/>
    <w:link w:val="C7"/>
    <w:qFormat/>
    <w:pPr/>
    <w:rPr>
      <w:szCs w:val="22"/>
    </w:rPr>
  </w:style>
  <w:style w:type="paragraph" w:styleId="P24">
    <w:name w:val="Quote"/>
    <w:basedOn w:val="P0"/>
    <w:next w:val="P0"/>
    <w:link w:val="C9"/>
    <w:qFormat/>
    <w:pPr/>
    <w:rPr>
      <w:i w:val="1"/>
      <w:iCs w:val="1"/>
      <w:color w:val="000000"/>
    </w:rPr>
  </w:style>
  <w:style w:type="paragraph" w:styleId="P25">
    <w:name w:val="Normal (Web)"/>
    <w:basedOn w:val="P0"/>
    <w:pPr>
      <w:spacing w:before="100" w:after="100" w:beforeAutospacing="1" w:afterAutospacing="1"/>
    </w:pPr>
    <w:rPr/>
  </w:style>
  <w:style w:type="paragraph" w:styleId="P26">
    <w:name w:val="List Paragraph"/>
    <w:basedOn w:val="P0"/>
    <w:qFormat/>
    <w:pPr>
      <w:spacing w:lineRule="auto" w:line="259" w:after="160" w:beforeAutospacing="0" w:afterAutospacing="0"/>
      <w:ind w:left="720"/>
      <w:contextualSpacing w:val="1"/>
    </w:pPr>
    <w:rPr>
      <w:rFonts w:asciiTheme="minorHAnsi" w:hAnsiTheme="minorHAnsi" w:cstheme="minorBidi" w:eastAsiaTheme="minorHAnsi"/>
      <w:sz w:val="22"/>
      <w:szCs w:val="22"/>
      <w:lang w:eastAsia="en-US"/>
    </w:rPr>
  </w:style>
  <w:style w:type="paragraph" w:styleId="P27">
    <w:name w:val="Caption"/>
    <w:basedOn w:val="P0"/>
    <w:next w:val="P0"/>
    <w:qFormat/>
    <w:pPr>
      <w:spacing w:after="200" w:beforeAutospacing="0" w:afterAutospacing="0"/>
    </w:pPr>
    <w:rPr>
      <w:i w:val="1"/>
      <w:iCs w:val="1"/>
      <w:color w:val="1F497D" w:themeColor="text2"/>
      <w:sz w:val="18"/>
      <w:szCs w:val="18"/>
    </w:rPr>
  </w:style>
  <w:style w:type="paragraph" w:styleId="P28">
    <w:name w:val="annotation text"/>
    <w:basedOn w:val="P0"/>
    <w:link w:val="C12"/>
    <w:pPr/>
    <w:rPr>
      <w:sz w:val="20"/>
      <w:szCs w:val="20"/>
    </w:rPr>
  </w:style>
  <w:style w:type="paragraph" w:styleId="P29">
    <w:name w:val="annotation subject"/>
    <w:basedOn w:val="P28"/>
    <w:next w:val="P28"/>
    <w:link w:val="C13"/>
    <w:semiHidden/>
    <w:pPr/>
    <w:rPr>
      <w:b w:val="1"/>
      <w:bCs w:val="1"/>
    </w:rPr>
  </w:style>
  <w:style w:type="paragraph" w:styleId="P30">
    <w:name w:val="Balloon Text"/>
    <w:basedOn w:val="P0"/>
    <w:link w:val="C14"/>
    <w:semiHidden/>
    <w:pPr/>
    <w:rPr>
      <w:rFonts w:ascii="Segoe UI" w:hAnsi="Segoe UI" w:cs="Segoe UI"/>
      <w:sz w:val="18"/>
      <w:szCs w:val="18"/>
    </w:rPr>
  </w:style>
  <w:style w:type="paragraph" w:styleId="P31">
    <w:name w:val="Title"/>
    <w:basedOn w:val="P0"/>
    <w:next w:val="P0"/>
    <w:link w:val="C16"/>
    <w:qFormat/>
    <w:pPr>
      <w:ind w:left="1134"/>
    </w:pPr>
    <w:rPr>
      <w:rFonts w:asciiTheme="minorHAnsi" w:hAnsiTheme="minorHAnsi" w:cstheme="minorHAnsi"/>
      <w:b w:val="1"/>
      <w:sz w:val="36"/>
      <w:szCs w:val="36"/>
    </w:rPr>
  </w:style>
  <w:style w:type="paragraph" w:styleId="P32">
    <w:name w:val="Default"/>
    <w:pPr/>
    <w:rPr>
      <w:rFonts w:ascii="Garamond" w:hAnsi="Garamond" w:cs="Garamond"/>
      <w:color w:val="000000"/>
      <w:sz w:val="24"/>
      <w:szCs w:val="24"/>
    </w:rPr>
  </w:style>
  <w:style w:type="paragraph" w:styleId="P33">
    <w:name w:val="Footnote Text"/>
    <w:link w:val="C21"/>
    <w:semiHidden/>
    <w:pPr/>
    <w:rPr>
      <w:szCs w:val="20"/>
    </w:rPr>
  </w:style>
  <w:style w:type="paragraph" w:styleId="P34">
    <w:name w:val="Endnote Text"/>
    <w:link w:val="C23"/>
    <w:semiHidden/>
    <w:pPr/>
    <w:rPr>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3 Char"/>
    <w:link w:val="P3"/>
    <w:rPr>
      <w:rFonts w:asciiTheme="minorHAnsi" w:hAnsiTheme="minorHAnsi" w:cstheme="minorHAnsi"/>
      <w:b w:val="1"/>
      <w:bCs w:val="1"/>
      <w:sz w:val="22"/>
      <w:szCs w:val="26"/>
    </w:rPr>
  </w:style>
  <w:style w:type="character" w:styleId="C4">
    <w:name w:val="Page Number"/>
    <w:basedOn w:val="C0"/>
    <w:rPr/>
  </w:style>
  <w:style w:type="character" w:styleId="C5">
    <w:name w:val="Rubrik 4 Char"/>
    <w:link w:val="P4"/>
    <w:rPr>
      <w:rFonts w:ascii="Calibri Light" w:hAnsi="Calibri Light" w:cs="Calibri Light"/>
      <w:sz w:val="22"/>
      <w:szCs w:val="28"/>
      <w:u w:val="single"/>
    </w:rPr>
  </w:style>
  <w:style w:type="character" w:styleId="C6">
    <w:name w:val="Normal areal Char"/>
    <w:link w:val="P22"/>
    <w:rPr>
      <w:rFonts w:ascii="Arial" w:hAnsi="Arial"/>
      <w:bCs w:val="1"/>
      <w:noProof w:val="1"/>
      <w:sz w:val="22"/>
      <w:szCs w:val="22"/>
    </w:rPr>
  </w:style>
  <w:style w:type="character" w:styleId="C7">
    <w:name w:val="Normalt Char"/>
    <w:basedOn w:val="C0"/>
    <w:link w:val="P23"/>
    <w:rPr>
      <w:rFonts w:ascii="Calibri Light" w:hAnsi="Calibri Light" w:cs="Calibri Light"/>
      <w:sz w:val="22"/>
      <w:szCs w:val="22"/>
    </w:rPr>
  </w:style>
  <w:style w:type="character" w:styleId="C8">
    <w:name w:val="Emphasis"/>
    <w:aliases w:val="Bildtext"/>
    <w:qFormat/>
    <w:rPr>
      <w:rFonts w:ascii="Calibri Light" w:hAnsi="Calibri Light" w:cs="Calibri Light"/>
      <w:i w:val="1"/>
      <w:color w:val="7F7F7F" w:themeColor="text1" w:themeTint="80"/>
      <w:sz w:val="20"/>
      <w:szCs w:val="20"/>
    </w:rPr>
  </w:style>
  <w:style w:type="character" w:styleId="C9">
    <w:name w:val="Citat Char"/>
    <w:basedOn w:val="C0"/>
    <w:link w:val="P24"/>
    <w:rPr>
      <w:i w:val="1"/>
      <w:iCs w:val="1"/>
      <w:color w:val="000000"/>
      <w:sz w:val="24"/>
      <w:szCs w:val="24"/>
    </w:rPr>
  </w:style>
  <w:style w:type="character" w:styleId="C10">
    <w:name w:val="HTML Cite"/>
    <w:basedOn w:val="C0"/>
    <w:semiHidden/>
    <w:rPr>
      <w:i w:val="1"/>
      <w:iCs w:val="1"/>
    </w:rPr>
  </w:style>
  <w:style w:type="character" w:styleId="C11">
    <w:name w:val="annotation reference"/>
    <w:basedOn w:val="C0"/>
    <w:semiHidden/>
    <w:rPr>
      <w:sz w:val="16"/>
      <w:szCs w:val="16"/>
    </w:rPr>
  </w:style>
  <w:style w:type="character" w:styleId="C12">
    <w:name w:val="Kommentarer Char"/>
    <w:basedOn w:val="C0"/>
    <w:link w:val="P28"/>
    <w:rPr/>
  </w:style>
  <w:style w:type="character" w:styleId="C13">
    <w:name w:val="Kommentarsämne Char"/>
    <w:basedOn w:val="C12"/>
    <w:link w:val="P29"/>
    <w:semiHidden/>
    <w:rPr>
      <w:b w:val="1"/>
      <w:bCs w:val="1"/>
    </w:rPr>
  </w:style>
  <w:style w:type="character" w:styleId="C14">
    <w:name w:val="Ballongtext Char"/>
    <w:basedOn w:val="C0"/>
    <w:link w:val="P30"/>
    <w:semiHidden/>
    <w:rPr>
      <w:rFonts w:ascii="Segoe UI" w:hAnsi="Segoe UI" w:cs="Segoe UI"/>
      <w:sz w:val="18"/>
      <w:szCs w:val="18"/>
    </w:rPr>
  </w:style>
  <w:style w:type="character" w:styleId="C15">
    <w:name w:val="FollowedHyperlink"/>
    <w:basedOn w:val="C0"/>
    <w:semiHidden/>
    <w:rPr>
      <w:color w:val="800080" w:themeColor="followedHyperlink"/>
      <w:u w:val="single"/>
    </w:rPr>
  </w:style>
  <w:style w:type="character" w:styleId="C16">
    <w:name w:val="Rubrik Char"/>
    <w:basedOn w:val="C0"/>
    <w:link w:val="P31"/>
    <w:rPr>
      <w:rFonts w:asciiTheme="minorHAnsi" w:hAnsiTheme="minorHAnsi" w:cstheme="minorHAnsi"/>
      <w:b w:val="1"/>
      <w:sz w:val="36"/>
      <w:szCs w:val="36"/>
    </w:rPr>
  </w:style>
  <w:style w:type="character" w:styleId="C17">
    <w:name w:val="Olöst omnämnande1"/>
    <w:basedOn w:val="C0"/>
    <w:semiHidden/>
    <w:rPr>
      <w:color w:val="605E5C"/>
      <w:shd w:val="clear" w:color="auto" w:fill="E1DFDD"/>
    </w:rPr>
  </w:style>
  <w:style w:type="character" w:styleId="C18">
    <w:name w:val="Unresolved Mention1"/>
    <w:basedOn w:val="C0"/>
    <w:semiHidden/>
    <w:rPr>
      <w:color w:val="605E5C"/>
      <w:shd w:val="clear" w:color="auto" w:fill="E1DFDD"/>
    </w:rPr>
  </w:style>
  <w:style w:type="character" w:styleId="C19">
    <w:name w:val="cf01"/>
    <w:basedOn w:val="C0"/>
    <w:rPr>
      <w:rFonts w:ascii="Segoe UI" w:hAnsi="Segoe UI" w:cs="Segoe UI" w:hint="default"/>
      <w:sz w:val="18"/>
      <w:szCs w:val="18"/>
    </w:rPr>
  </w:style>
  <w:style w:type="character" w:styleId="C20">
    <w:name w:val="Footnote Reference"/>
    <w:semiHidden/>
    <w:rPr>
      <w:vertAlign w:val="superscript"/>
    </w:rPr>
  </w:style>
  <w:style w:type="character" w:styleId="C21">
    <w:name w:val="Fotnotstext Char"/>
    <w:link w:val="P33"/>
    <w:semiHidden/>
    <w:rPr>
      <w:sz w:val="20"/>
      <w:szCs w:val="20"/>
    </w:rPr>
  </w:style>
  <w:style w:type="character" w:styleId="C22">
    <w:name w:val="Endnote Reference"/>
    <w:semiHidden/>
    <w:rPr>
      <w:vertAlign w:val="superscript"/>
    </w:rPr>
  </w:style>
  <w:style w:type="character" w:styleId="C23">
    <w:name w:val="Slutnotstext Char"/>
    <w:link w:val="P34"/>
    <w:semiHidden/>
    <w:rPr>
      <w:sz w:val="20"/>
      <w:szCs w:val="20"/>
    </w:rPr>
  </w:style>
  <w:style w:type="character" w:styleId="C24">
    <w:name w:val="Footnote Text Char"/>
    <w:semiHidden/>
    <w:rPr>
      <w:sz w:val="20"/>
      <w:szCs w:val="20"/>
    </w:rPr>
  </w:style>
  <w:style w:type="character" w:styleId="C25">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jp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16" Type="http://schemas.openxmlformats.org/officeDocument/2006/relationships/image" Target="/media/image16.jpg" /></Relationships>
</file>

<file path=word/_rels/header2.xml.rels>&#65279;<?xml version="1.0" encoding="utf-8"?><Relationships xmlns="http://schemas.openxmlformats.org/package/2006/relationships"><Relationship Id="Relimage17" Type="http://schemas.openxmlformats.org/officeDocument/2006/relationships/image" Target="/media/image17.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1" xmlns:gml="http://www.opengis.net/gml/3.2" xmlns="http://namespace.lantmateriet.se/distribution/geodatakatalog/planbeskrivning/v1">
  <Omfattning>
    <identitet>be_uppdelninginordochsyd01</identitet>
    <Indelning>
      <tema>Beskrivning av detaljplanen</tema>
      <grupp>Ärendeinformation</grupp>
      <undergrupp>Uppdelning i Nord och Syd</undergrupp>
    </Indelning>
  </Omfattning>
  <Omfattning>
    <identitet>be_innehållsförteckning01</identitet>
    <Indelning>
      <tema>Beskrivning av detaljplanen</tema>
      <grupp>Ärendeinformation</grupp>
      <undergrupp>Innehållsförteckning</undergrupp>
    </Indelning>
  </Omfattning>
  <Omfattning>
    <identitet>be_innehållsförteckning02</identitet>
    <Indelning>
      <tema>Beskrivning av detaljplanen</tema>
      <grupp>Ärendeinformation</grupp>
      <undergrupp>Innehållsförteckning</undergrupp>
    </Indelning>
  </Omfattning>
  <Omfattning>
    <identitet>sy_syfte01</identitet>
    <Indelning>
      <tema>Detaljplanens syfte</tema>
      <grupp>Syfte</grupp>
    </Indelning>
  </Omfattning>
  <Omfattning>
    <identitet>be_uppdelninginordochsyd02</identitet>
    <Indelning>
      <tema>Beskrivning av detaljplanen</tema>
      <grupp>Ärendeinformation</grupp>
      <undergrupp>Uppdelning i Nord och Syd</undergrupp>
    </Indelning>
  </Omfattning>
  <Omfattning>
    <identitet>be_befintligt01</identitet>
    <Indelning>
      <tema>Beskrivning av detaljplanen</tema>
      <grupp>Befintligt</grupp>
    </Indelning>
  </Omfattning>
  <Omfattning>
    <identitet>pu_delarsomundantasantagande01</identitet>
    <Indelning>
      <tema>Planeringsunderlag</tema>
      <grupp>Annat</grupp>
      <undergrupp>Delar som undantas antagande</undergrupp>
    </Indelning>
  </Omfattning>
  <Omfattning>
    <identitet>be_kommunalabeslut01</identitet>
    <Indelning>
      <tema>Beskrivning av detaljplanen</tema>
      <grupp>Ärendeinformation</grupp>
      <undergrupp>Kommunala beslut</undergrupp>
    </Indelning>
  </Omfattning>
  <Omfattning>
    <identitet>mo_motivtillreglering04</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eb5db7b9-6029-4a28-88d2-f88672256b87_f0">
          <gml:exterior>
            <gml:LinearRing>
              <gml:posList>6320303.283 124119.978 6320294.55 124119.876 6320287.941 124119.798 6320287.508 124119.793 6320287.509 124119.706 6320287.51 124119.667 6320287.528 124118.679 6320287.531 124118.536 6320287.533 124118.432 6320287.535 124118.316 6320287.538 124118.144 6320287.943 124096.43 6320288.073 124089.454 6320288.079 124089.143 6320288.121 124086.878 6320288.166 124084.476 6320288.199 124082.721 6320288.203 124082.492 6320288.207 124082.279 6320288.209 124082.147 6320288.238 124080.639 6320288.239 124080.624 6320288.271 124078.825 6320288.272 124078.76 6320288.249 124078.76 6320287.546 124078.754 6320287.217 124078.751 6320285.863 124078.739 6320282.935 124078.713 6320280.521 124078.692 6320280.213 124078.733 6320268.594 124080.29 6320267.304 124080.463 6320267.295 124080.465 6320265.864 124080.656 6320265.721 124080.676 6320265.676 124080.682 6320258.907 124081.589 6320258.771 124081.607 6320258.679 124081.62 6320258.462 124081.649 6320257.368 124081.795 6320255.98 124082.078 6320255.795 124082.116 6320255.781 124082.118 6320255.744 124082.126 6320255.697 124082.136 6320255.687 124082.138 6320255.677 124082.14 6320255.674 124082.141 6320255.668 124082.142 6320255.66 124082.144 6320255.656 124082.144 6320255.652 124082.145 6320255.65 124082.137 6320255.647 124082.128 6320255.634 124082.085 6320255.555 124081.831 6320255.032 124080.151 6320254.821 124079.472 6320254.819 124079.466 6320254.813 124079.447 6320254.742 124079.218 6320254.553 124078.609 6320254.448 124078.272 6320254.344 124077.938 6320253.764 124076.071 6320253.336 124074.697 6320253.041 124073.747 6320252.907 124073.317 6320252.946 124073.313 6320252.981 124073.309 6320253.04 124073.302 6320253.33 124073.269 6320253.762 124073.219 6320258.833 124072.633 6320261.863 124072.283 6320262.708 124072.186 6320262.812 124072.174 6320269.17 124071.44 6320269.507 124071.401 6320271.437 124071.178 6320273.266 124070.967 6320273.776 124070.908 6320273.792 124070.906 6320274.968 124070.77 6320274.985 124070.768 6320275.099 124070.755 6320275.394 124070.721 6320275.408 124070.719 6320276.808 124070.558 6320284.96 124069.616 6320285.812 124069.518 6320287.965 124069.269 6320288.206 124069.241 6320290.437 124068.984 6320290.462 124069.084 6320291.143 124071.841 6320291.917 124074.974 6320291.924 124075 6320293.084 124079.696 6320294.973 124087.337 6320294.982 124087.373 6320294.982 124087.377 6320294.992 124087.414 6320294.996 124087.43 6320295.43 124087.322 6320295.468 124087.313 6320304.72 124085.023 6320305.108 124084.927 6320307.262 124084.394 6320307.266 124084.393 6320307.276 124084.391 6320307.284 124084.389 6320307.359 124084.37 6320318.118 124081.707 6320318.157 124081.697 6320318.234 124081.678 6320318.271 124081.669 6320318.288 124081.665 6320318.297 124081.702 6320318.373 124082.008 6320318.374 124082.014 6320318.511 124082.571 6320318.512 124082.575 6320318.538 124082.68 6320319.429 124086.292 6320319.455 124086.396 6320319.459 124086.415 6320319.481 124086.505 6320319.485 124086.521 6320315.092 124087.609 6320318.769 124104.172 6320319.142 124105.848 6320306.324 124105.715 6320295.504 124105.592 6320295.227 124105.589 6320295.193 124117.888 6320295.193 124117.941 6320305.03 124118.001 6320307.091 124118.025 6320307.791 124118.033 6320308.452 124118.04 6320312.218 124118.083 6320316.465 124118.132 6320319.678 124118.168 6320320.871 124118.181 6320321.453 124118.187 6320324.276 124118.215 6320324.529 124118.217 6320327.335 124118.243 6320328.555 124118.255 6320329.656 124118.265 6320329.885 124118.267 6320329.997 124118.103 6320330.081 124117.98 6320330.431 124117.467 6320330.617 124117.194 6320330.671 124117.115 6320330.79 124116.94 6320332.749 124114.069 6320332.928 124113.806 6320335.144 124113.232 6320339.68 124112.062 6320338.4 124117.85 6320336.297 124119.267 6320333.407 124120.168 6320328.038 124120.259 6320327.977 124120.26 6320327.834 124120.26 6320327.817 124120.26 6320327.702 124120.26 6320327.154 124120.254 6320326.763 124120.249 6320326.377 124120.245 6320326.217 124120.243 6320325.801 124120.238 6320325.768 124120.238 6320325.598 124120.236 6320325.114 124120.23 6320325.039 124120.23 6320324.725 124120.226 6320324.388 124120.222 6320324.269 124120.221 6320324.006 124120.218 6320323.9 124120.216 6320323.854 124120.216 6320323.717 124120.214 6320323.666 124120.214 6320323.399 124120.211 6320322.536 124120.201 6320322.175 124120.196 6320320.553 124120.178 6320316.623 124120.132 6320314.349 124120.106 6320310.5 124120.061 6320308.967 124120.044 6320308.699 124120.041 6320306.656 124120.017 6320303.283 124119.978</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eb5db7b9-6029-4a28-88d2-f88672256b87_f1">
          <gml:exterior>
            <gml:LinearRing>
              <gml:posList>6320303.283 124119.978 6320294.55 124119.876 6320287.941 124119.798 6320287.508 124119.793 6320287.509 124119.706 6320287.51 124119.667 6320287.528 124118.679 6320287.531 124118.536 6320287.533 124118.432 6320287.535 124118.316 6320287.538 124118.144 6320287.943 124096.43 6320288.073 124089.454 6320288.079 124089.143 6320288.121 124086.878 6320288.166 124084.476 6320288.199 124082.721 6320288.203 124082.492 6320288.207 124082.279 6320288.209 124082.147 6320288.238 124080.639 6320288.239 124080.624 6320288.271 124078.825 6320288.272 124078.76 6320288.249 124078.76 6320287.546 124078.754 6320287.217 124078.751 6320285.863 124078.739 6320282.935 124078.713 6320280.521 124078.692 6320280.213 124078.733 6320268.594 124080.29 6320267.304 124080.463 6320267.295 124080.465 6320265.864 124080.656 6320265.721 124080.676 6320265.676 124080.682 6320258.907 124081.589 6320258.771 124081.607 6320258.679 124081.62 6320258.462 124081.649 6320257.368 124081.795 6320255.98 124082.078 6320255.795 124082.116 6320255.781 124082.118 6320255.744 124082.126 6320255.697 124082.136 6320255.687 124082.138 6320255.677 124082.14 6320255.674 124082.141 6320255.668 124082.142 6320255.66 124082.144 6320255.656 124082.144 6320255.652 124082.145 6320255.65 124082.137 6320255.647 124082.128 6320255.634 124082.085 6320255.555 124081.831 6320255.032 124080.151 6320254.821 124079.472 6320254.819 124079.466 6320254.813 124079.447 6320254.742 124079.218 6320254.553 124078.609 6320254.448 124078.272 6320254.344 124077.938 6320253.764 124076.071 6320253.336 124074.697 6320253.041 124073.747 6320252.907 124073.317 6320252.946 124073.313 6320252.981 124073.309 6320253.04 124073.302 6320253.33 124073.269 6320253.762 124073.219 6320258.833 124072.633 6320261.863 124072.283 6320262.708 124072.186 6320262.812 124072.174 6320269.17 124071.44 6320269.507 124071.401 6320271.437 124071.178 6320273.266 124070.967 6320273.776 124070.908 6320273.792 124070.906 6320274.968 124070.77 6320274.985 124070.768 6320275.099 124070.755 6320275.394 124070.721 6320275.408 124070.719 6320276.808 124070.558 6320284.96 124069.616 6320285.812 124069.518 6320287.965 124069.269 6320288.206 124069.241 6320290.437 124068.984 6320290.462 124069.084 6320291.143 124071.841 6320291.917 124074.974 6320291.924 124075 6320293.084 124079.696 6320294.973 124087.337 6320294.982 124087.373 6320294.982 124087.377 6320294.992 124087.414 6320294.996 124087.43 6320295.43 124087.322 6320295.468 124087.313 6320304.72 124085.023 6320305.108 124084.927 6320307.262 124084.394 6320307.266 124084.393 6320307.276 124084.391 6320307.284 124084.389 6320307.359 124084.37 6320318.118 124081.707 6320318.157 124081.697 6320318.234 124081.678 6320318.271 124081.669 6320318.288 124081.665 6320318.297 124081.702 6320318.373 124082.008 6320318.374 124082.014 6320318.511 124082.571 6320318.512 124082.575 6320318.538 124082.68 6320319.429 124086.292 6320319.455 124086.396 6320319.459 124086.415 6320319.481 124086.505 6320319.485 124086.521 6320315.092 124087.609 6320318.769 124104.172 6320319.142 124105.848 6320306.324 124105.715 6320295.504 124105.592 6320295.227 124105.589 6320295.193 124117.888 6320295.193 124117.941 6320305.03 124118.001 6320307.091 124118.025 6320307.791 124118.033 6320308.452 124118.04 6320312.218 124118.083 6320316.465 124118.132 6320319.678 124118.168 6320320.871 124118.181 6320321.453 124118.187 6320324.276 124118.215 6320324.529 124118.217 6320327.335 124118.243 6320328.555 124118.255 6320329.656 124118.265 6320329.885 124118.267 6320329.997 124118.103 6320330.081 124117.98 6320330.431 124117.467 6320330.617 124117.194 6320330.671 124117.115 6320330.79 124116.94 6320332.749 124114.069 6320332.928 124113.806 6320335.144 124113.232 6320339.68 124112.062 6320338.4 124117.85 6320336.297 124119.267 6320333.407 124120.168 6320328.038 124120.259 6320327.977 124120.26 6320327.834 124120.26 6320327.817 124120.26 6320327.702 124120.26 6320327.154 124120.254 6320326.763 124120.249 6320326.377 124120.245 6320326.217 124120.243 6320325.801 124120.238 6320325.768 124120.238 6320325.598 124120.236 6320325.114 124120.23 6320325.039 124120.23 6320324.725 124120.226 6320324.388 124120.222 6320324.269 124120.221 6320324.006 124120.218 6320323.9 124120.216 6320323.854 124120.216 6320323.717 124120.214 6320323.666 124120.214 6320323.399 124120.211 6320322.536 124120.201 6320322.175 124120.196 6320320.553 124120.178 6320316.623 124120.132 6320314.349 124120.106 6320310.5 124120.061 6320308.967 124120.044 6320308.699 124120.041 6320306.656 124120.017 6320303.283 124119.978</gml:posList>
            </gml:LinearRing>
          </gml:exterior>
        </gml:Polygon>
      </lmg:Position>
    </lmg:Ytgeometri>
    <objektreferens>eb5db7b9-6029-4a28-88d2-f88672256b87</objektreferens>
    <objektreferens>eb5db7b9-6029-4a28-88d2-f88672256b87</objektreferens>
    <Indelning>
      <tema>Motiv till detaljplanens regleringar</tema>
      <grupp>Motiv till reglering</grupp>
    </Indelning>
  </Omfattning>
  <Omfattning>
    <identitet>pu_delarsomundantasantagande02</identitet>
    <Indelning>
      <tema>Planeringsunderlag</tema>
      <grupp>Annat</grupp>
      <undergrupp>Delar som undantas antagande</undergrupp>
    </Indelning>
  </Omfattning>
  <Omfattning>
    <identitet>pf_geotekniskaförhållanden01</identitet>
    <Indelning>
      <tema>Planeringsförutsättningar</tema>
      <grupp>Geotekniska förhållanden</grupp>
    </Indelning>
  </Omfattning>
  <Omfattning>
    <identitet>pf_fysiskmiljö01</identitet>
    <Indelning>
      <tema>Planeringsförutsättningar</tema>
      <grupp>Fysisk miljö</grupp>
    </Indelning>
  </Omfattning>
  <Omfattning>
    <identitet>pf_trafik01</identitet>
    <Indelning>
      <tema>Planeringsförutsättningar</tema>
      <grupp>Trafik</grupp>
    </Indelning>
  </Omfattning>
  <Omfattning>
    <identitet>pf_service01</identitet>
    <Indelning>
      <tema>Planeringsförutsättningar</tema>
      <grupp>Service</grupp>
    </Indelning>
  </Omfattning>
  <Omfattning>
    <identitet>pf_teknik01</identitet>
    <Indelning>
      <tema>Planeringsförutsättningar</tema>
      <grupp>Teknik</grupp>
    </Indelning>
  </Omfattning>
  <Omfattning>
    <identitet>pf_teknik02</identitet>
    <Indelning>
      <tema>Planeringsförutsättningar</tema>
      <grupp>Teknik</grupp>
    </Indelning>
  </Omfattning>
  <Omfattning>
    <identitet>pf_fornlämningar01</identitet>
    <Indelning>
      <tema>Planeringsförutsättningar</tema>
      <grupp>Kulturmiljö</grupp>
      <undergrupp>Fornlämningar</undergrupp>
    </Indelning>
  </Omfattning>
  <Omfattning>
    <identitet>pf_strandskydd01</identitet>
    <Indelning>
      <tema>Planeringsförutsättningar</tema>
      <grupp>Miljö</grupp>
      <undergrupp>Strandskydd</undergrupp>
    </Indelning>
  </Omfattning>
  <Omfattning>
    <identitet>pf_omgivningsbuller01</identitet>
    <Indelning>
      <tema>Planeringsförutsättningar</tema>
      <grupp>Hälsa och säkerhet</grupp>
      <undergrupp>Omgivningsbuller</undergrupp>
    </Indelning>
  </Omfattning>
  <Omfattning>
    <identitet>pf_omgivningsbuller02</identitet>
    <Indelning>
      <tema>Planeringsförutsättningar</tema>
      <grupp>Hälsa och säkerhet</grupp>
      <undergrupp>Omgivningsbuller</undergrupp>
    </Indelning>
  </Omfattning>
  <Omfattning>
    <identitet>pf_riskföröversvämning01</identitet>
    <Indelning>
      <tema>Planeringsförutsättningar</tema>
      <grupp>Hälsa och säkerhet</grupp>
      <undergrupp>Risk för översvämning</undergrupp>
    </Indelning>
  </Omfattning>
  <Omfattning>
    <identitet>ko_motortrafik01</identitet>
    <Indelning>
      <tema>Konsekvenser</tema>
      <grupp>Trafik</grupp>
      <undergrupp>Motortrafik</undergrupp>
    </Indelning>
  </Omfattning>
  <Omfattning>
    <identitet>ko_motortrafik02</identitet>
    <Indelning>
      <tema>Konsekvenser</tema>
      <grupp>Trafik</grupp>
      <undergrupp>Motortrafik</undergrupp>
    </Indelning>
  </Omfattning>
  <Omfattning>
    <identitet>ko_dagvatten01</identitet>
    <Indelning>
      <tema>Konsekvenser</tema>
      <grupp>Miljö</grupp>
      <undergrupp>Dagvatten</undergrupp>
    </Indelning>
  </Omfattning>
  <Omfattning>
    <identitet>gf_tekniskafrågor01</identitet>
    <Indelning>
      <tema>Genomförandefrågor</tema>
      <grupp>Tekniska frågor</grupp>
    </Indelning>
  </Omfattning>
  <Omfattning>
    <identitet>ko_luft01</identitet>
    <Indelning>
      <tema>Konsekvenser</tema>
      <grupp>Miljökvalitetsnormer</grupp>
      <undergrupp>Luft</undergrupp>
    </Indelning>
  </Omfattning>
  <Omfattning>
    <identitet>ko_vatten01</identitet>
    <Indelning>
      <tema>Konsekvenser</tema>
      <grupp>Miljökvalitetsnormer</grupp>
      <undergrupp>Vatten</undergrupp>
    </Indelning>
  </Omfattning>
  <Omfattning>
    <identitet>ko_buller01</identitet>
    <Indelning>
      <tema>Konsekvenser</tema>
      <grupp>Miljökvalitetsnormer</grupp>
      <undergrupp>Buller</undergrupp>
    </Indelning>
  </Omfattning>
  <Omfattning>
    <identitet>ko_miljöbedömning01</identitet>
    <Indelning>
      <tema>Konsekvenser</tema>
      <grupp>Miljö</grupp>
      <undergrupp>Miljöbedömning</undergrupp>
    </Indelning>
  </Omfattning>
  <Omfattning>
    <identitet>ko_delarsomundantasantagande01</identitet>
    <Indelning>
      <tema>Konsekvenser</tema>
      <grupp>Annat</grupp>
      <undergrupp>Delar som undantas antagande</undergrupp>
    </Indelning>
  </Omfattning>
  <Omfattning>
    <identitet>ko_delarsomundantasantagande02</identitet>
    <Indelning>
      <tema>Konsekvenser</tema>
      <grupp>Annat</grupp>
      <undergrupp>Delar som undantas antagande</undergrupp>
    </Indelning>
  </Omfattning>
  <Omfattning>
    <identitet>ko_delarsomundantasantagande03</identitet>
    <Indelning>
      <tema>Konsekvenser</tema>
      <grupp>Annat</grupp>
      <undergrupp>Delar som undantas antagande</undergrupp>
    </Indelning>
  </Omfattning>
  <Omfattning>
    <identitet>ko_delarsomundantasantagande04</identitet>
    <Indelning>
      <tema>Konsekvenser</tema>
      <grupp>Annat</grupp>
      <undergrupp>Delar som undantas antagande</undergrupp>
    </Indelning>
  </Omfattning>
  <Omfattning>
    <identitet>ko_delarsomundantasantagande05</identitet>
    <Indelning>
      <tema>Konsekvenser</tema>
      <grupp>Annat</grupp>
      <undergrupp>Delar som undantas antagande</undergrupp>
    </Indelning>
  </Omfattning>
  <Omfattning>
    <identitet>ko_delarsomundantasantagande06</identitet>
    <Indelning>
      <tema>Konsekvenser</tema>
      <grupp>Annat</grupp>
      <undergrupp>Delar som undantas antagande</undergrupp>
    </Indelning>
  </Omfattning>
  <Omfattning>
    <identitet>ko_skyddadevattendrag01</identitet>
    <Indelning>
      <tema>Konsekvenser</tema>
      <grupp>Riksintresse</grupp>
      <undergrupp>Skyddade vattendrag</undergrupp>
    </Indelning>
  </Omfattning>
  <Omfattning>
    <identitet>ko_kulturmiljövård01</identitet>
    <Indelning>
      <tema>Konsekvenser</tema>
      <grupp>Riksintresse</grupp>
      <undergrupp>Kulturmiljövård</undergrupp>
    </Indelning>
  </Omfattning>
  <Omfattning>
    <identitet>ko_landskapsbild01</identitet>
    <Indelning>
      <tema>Konsekvenser</tema>
      <grupp>Natur</grupp>
      <undergrupp>Landskapsbild</undergrupp>
    </Indelning>
  </Omfattning>
  <Omfattning>
    <identitet>ko_olyckor01</identitet>
    <Indelning>
      <tema>Konsekvenser</tema>
      <grupp>Hälsa och säkerhet</grupp>
      <undergrupp>Olyckor</undergrupp>
    </Indelning>
  </Omfattning>
  <Omfattning>
    <identitet>ko_ianspråkstagnaområden01</identitet>
    <Indelning>
      <tema>Konsekvenser</tema>
      <grupp>Hushållningsbestämmelser enligt 3 kap. miljöbalken</grupp>
      <undergrupp>Ianspråkstagna områden</undergrupp>
    </Indelning>
  </Omfattning>
  <Omfattning>
    <identitet>ko_jämlikhet01</identitet>
    <Indelning>
      <tema>Konsekvenser</tema>
      <grupp>Sociala</grupp>
      <undergrupp>Jämlikhet</undergrupp>
    </Indelning>
  </Omfattning>
  <Omfattning>
    <identitet>ko_ekonomi01</identitet>
    <Indelning>
      <tema>Konsekvenser</tema>
      <grupp>Annat</grupp>
      <undergrupp>Ekonomi</undergrupp>
    </Indelning>
  </Omfattning>
  <Omfattning>
    <identitet>ko_miljöbedömning02</identitet>
    <Indelning>
      <tema>Konsekvenser</tema>
      <grupp>Miljö</grupp>
      <undergrupp>Miljöbedömning</undergrupp>
    </Indelning>
  </Omfattning>
  <Omfattning>
    <identitet>ko_delarsomundantasantagande07</identitet>
    <Indelning>
      <tema>Konsekvenser</tema>
      <grupp>Annat</grupp>
      <undergrupp>Delar som undantas antagande</undergrupp>
    </Indelning>
  </Omfattning>
  <Omfattning>
    <identitet>ko_trafikkommunikation01</identitet>
    <Indelning>
      <tema>Konsekvenser</tema>
      <grupp>Riksintresse</grupp>
      <undergrupp>Trafikkommunikation</undergrupp>
    </Indelning>
  </Omfattning>
  <Omfattning>
    <identitet>gf_tidplan01</identitet>
    <Indelning>
      <tema>Genomförandefrågor</tema>
      <grupp>Organisatoriska frågor</grupp>
      <undergrupp>Tidplan</undergrupp>
    </Indelning>
  </Omfattning>
  <Omfattning>
    <identitet>gf_upplysningar01</identitet>
    <Indelning>
      <tema>Genomförandefrågor</tema>
      <grupp>Upplysningar</grupp>
    </Indelning>
  </Omfattning>
  <Omfattning>
    <identitet>be_huvudmannaskap01</identitet>
    <Indelning>
      <tema>Beskrivning av detaljplanen</tema>
      <grupp>Allmän plats</grupp>
      <undergrupp>Huvudmannaskap</undergrupp>
    </Indelning>
  </Omfattning>
  <Omfattning>
    <identitet>gf_fastighetsindelningsbestämmelser01</identitet>
    <Indelning>
      <tema>Genomförandefrågor</tema>
      <grupp>Fastighetsrättsliga frågor</grupp>
      <undergrupp>Fastighetsindelnings-bestämmelser</undergrupp>
    </Indelning>
  </Omfattning>
  <Omfattning>
    <identitet>gf_exploateringsavtal01</identitet>
    <Indelning>
      <tema>Genomförandefrågor</tema>
      <grupp>Organisatoriska frågor</grupp>
      <undergrupp>Exploateringsavtal</undergrupp>
    </Indelning>
  </Omfattning>
  <Omfattning>
    <identitet>gf_planekonomiskbedömning01</identitet>
    <Indelning>
      <tema>Genomförandefrågor</tema>
      <grupp>Ekonomiska frågor</grupp>
      <undergrupp>Planekonomisk bedömning</undergrupp>
    </Indelning>
  </Omfattning>
  <Omfattning>
    <identitet>gf_delarsomundantasantagande01</identitet>
    <Indelning>
      <tema>Genomförandefrågor</tema>
      <grupp>Annat</grupp>
      <undergrupp>Delar som undantas antagande</undergrupp>
    </Indelning>
  </Omfattning>
  <Omfattning>
    <identitet>gf_förändradfastighetsindelning01</identitet>
    <Indelning>
      <tema>Genomförandefrågor</tema>
      <grupp>Fastighetsrättsliga frågor</grupp>
      <undergrupp>Förändrad fastighetsindelning</undergrupp>
    </Indelning>
  </Omfattning>
  <Omfattning>
    <identitet>gf_förändradfastighetsindelning03</identitet>
    <Indelning>
      <tema>Genomförandefrågor</tema>
      <grupp>Fastighetsrättsliga frågor</grupp>
      <undergrupp>Förändrad fastighetsindelning</undergrupp>
    </Indelning>
  </Omfattning>
  <Omfattning>
    <identitet>gf_förändradfastighetsindelning04</identitet>
    <Indelning>
      <tema>Genomförandefrågor</tema>
      <grupp>Fastighetsrättsliga frågor</grupp>
      <undergrupp>Förändrad fastighetsindelning</undergrupp>
    </Indelning>
  </Omfattning>
  <Omfattning>
    <identitet>gf_förändradfastighetsindelning05</identitet>
    <Indelning>
      <tema>Genomförandefrågor</tema>
      <grupp>Fastighetsrättsliga frågor</grupp>
      <undergrupp>Förändrad fastighetsindelning</undergrupp>
    </Indelning>
  </Omfattning>
  <Omfattning>
    <identitet>gf_förändradfastighetsindelning06</identitet>
    <Indelning>
      <tema>Genomförandefrågor</tema>
      <grupp>Fastighetsrättsliga frågor</grupp>
      <undergrupp>Förändrad fastighetsindelning</undergrupp>
    </Indelning>
  </Omfattning>
  <Omfattning>
    <identitet>gf_förändradfastighetsindelning02</identitet>
    <Indelning>
      <tema>Genomförandefrågor</tema>
      <grupp>Fastighetsrättsliga frågor</grupp>
      <undergrupp>Förändrad fastighetsindelning</undergrupp>
    </Indelning>
  </Omfattning>
  <Omfattning>
    <identitet>gf_delarsomundantasantagande02</identitet>
    <Indelning>
      <tema>Genomförandefrågor</tema>
      <grupp>Annat</grupp>
      <undergrupp>Delar som undantas antagande</undergrupp>
    </Indelning>
  </Omfattning>
  <Omfattning>
    <identitet>gf_ansvarsfördelning01</identitet>
    <Indelning>
      <tema>Genomförandefrågor</tema>
      <grupp>Ekonomiska frågor</grupp>
      <undergrupp>Ansvarsfördelning</undergrupp>
    </Indelning>
  </Omfattning>
  <Omfattning>
    <identitet>mo_motivtillreglering05</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d1bef8a8-8fcf-41a4-8cb7-6892471c27ae_f0">
          <gml:exterior>
            <gml:LinearRing>
              <gml:posList>6320254.821 124079.472 6320254.819 124079.466 6320254.813 124079.447 6320254.742 124079.218 6320254.553 124078.609 6320254.448 124078.272 6320254.344 124077.938 6320253.764 124076.071 6320253.336 124074.697 6320253.041 124073.747 6320252.907 124073.317 6320252.946 124073.313 6320252.981 124073.309 6320253.04 124073.302 6320253.33 124073.269 6320253.762 124073.219 6320258.833 124072.633 6320261.863 124072.283 6320262.708 124072.186 6320262.812 124072.174 6320269.17 124071.44 6320269.507 124071.401 6320271.437 124071.178 6320273.266 124070.967 6320273.776 124070.908 6320273.792 124070.906 6320274.968 124070.77 6320274.985 124070.768 6320275.099 124070.755 6320275.394 124070.721 6320275.408 124070.719 6320275.169 124070.831 6320268.708 124073.83 6320266.526 124074.842 6320262.477 124076.721 6320260.737 124077.347 6320254.865 124079.456 6320254.842 124079.465 6320254.821 124079.472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d1bef8a8-8fcf-41a4-8cb7-6892471c27ae_f1">
          <gml:exterior>
            <gml:LinearRing>
              <gml:posList>6320254.821 124079.472 6320254.819 124079.466 6320254.813 124079.447 6320254.742 124079.218 6320254.553 124078.609 6320254.448 124078.272 6320254.344 124077.938 6320253.764 124076.071 6320253.336 124074.697 6320253.041 124073.747 6320252.907 124073.317 6320252.946 124073.313 6320252.981 124073.309 6320253.04 124073.302 6320253.33 124073.269 6320253.762 124073.219 6320258.833 124072.633 6320261.863 124072.283 6320262.708 124072.186 6320262.812 124072.174 6320269.17 124071.44 6320269.507 124071.401 6320271.437 124071.178 6320273.266 124070.967 6320273.776 124070.908 6320273.792 124070.906 6320274.968 124070.77 6320274.985 124070.768 6320275.099 124070.755 6320275.394 124070.721 6320275.408 124070.719 6320275.169 124070.831 6320268.708 124073.83 6320266.526 124074.842 6320262.477 124076.721 6320260.737 124077.347 6320254.865 124079.456 6320254.842 124079.465 6320254.821 124079.472</gml:posList>
            </gml:LinearRing>
          </gml:exterior>
        </gml:Polygon>
      </lmg:Position>
    </lmg:Ytgeometri>
    <objektreferens>d1bef8a8-8fcf-41a4-8cb7-6892471c27ae</objektreferens>
    <objektreferens>d1bef8a8-8fcf-41a4-8cb7-6892471c27ae</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d4ab70cc-7a15-4d3a-a8b2-779dd334a535_f0">
          <gml:exterior>
            <gml:LinearRing>
              <gml:posList>6320327.335 124118.243 6320324.529 124118.217 6320324.276 124118.215 6320321.453 124118.187 6320320.871 124118.181 6320319.678 124118.168 6320316.465 124118.132 6320314.801 124118.113 6320312.218 124118.083 6320308.891 124118.045 6320308.723 124118.043 6320308.452 124118.04 6320307.791 124118.033 6320307.091 124118.025 6320305.03 124118.001 6320295.193 124117.941 6320295.193 124117.888 6320295.227 124105.589 6320295.504 124105.592 6320306.324 124105.715 6320319.142 124105.848 6320319.02 124105.302 6320319.002 124105.221 6320318.788 124104.253 6320318.769 124104.172 6320315.092 124087.609 6320319.485 124086.521 6320321 124092.642 6320323.622 124103.236 6320323.721 124103.636 6320323.987 124104.714 6320324.397 124106.369 6320325.026 124108.911 6320325.083 124109.141 6320325.661 124111.478 6320326.551 124115.074 6320326.638 124115.427 6320326.656 124115.422 6320332.928 124113.806 6320332.749 124114.069 6320330.79 124116.94 6320330.671 124117.115 6320330.617 124117.194 6320330.431 124117.467 6320330.081 124117.98 6320329.997 124118.103 6320329.885 124118.267 6320329.656 124118.265 6320328.555 124118.255 6320327.335 124118.243</gml:posList>
            </gml:LinearRing>
          </gml:exterior>
        </gml:Polygon>
      </lmg:Position>
    </lmg:Ytgeometri>
    <objektreferens>d4ab70cc-7a15-4d3a-a8b2-779dd334a535</objektreferens>
    <Indelning>
      <tema>Motiv till detaljplanens regleringar</tema>
      <grupp>Motiv till reglering</grupp>
    </Indelning>
  </Omfattning>
  <Omfattning>
    <identitet>mo_motivtillreglering01</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cb651478-7459-4c5f-a870-fec685ca13e9_f0">
          <gml:exterior>
            <gml:LinearRing>
              <gml:posList>6320327.335 124118.243 6320324.529 124118.217 6320324.276 124118.215 6320321.453 124118.187 6320320.871 124118.181 6320319.678 124118.168 6320316.465 124118.132 6320314.801 124118.113 6320312.218 124118.083 6320308.891 124118.045 6320308.723 124118.043 6320308.452 124118.04 6320307.791 124118.033 6320307.091 124118.025 6320305.03 124118.001 6320295.193 124117.941 6320295.193 124117.888 6320295.227 124105.589 6320295.504 124105.592 6320306.324 124105.715 6320319.142 124105.848 6320319.02 124105.302 6320319.002 124105.221 6320318.788 124104.253 6320318.769 124104.172 6320315.092 124087.609 6320319.485 124086.521 6320321 124092.642 6320323.622 124103.236 6320323.721 124103.636 6320323.987 124104.714 6320324.397 124106.369 6320325.026 124108.911 6320325.083 124109.141 6320325.661 124111.478 6320326.551 124115.074 6320326.638 124115.427 6320326.656 124115.422 6320332.928 124113.806 6320332.749 124114.069 6320330.79 124116.94 6320330.671 124117.115 6320330.617 124117.194 6320330.431 124117.467 6320330.081 124117.98 6320329.997 124118.103 6320329.885 124118.267 6320329.656 124118.265 6320328.555 124118.255 6320327.335 124118.243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cb651478-7459-4c5f-a870-fec685ca13e9_f1">
          <gml:exterior>
            <gml:LinearRing>
              <gml:posList>6320327.335 124118.243 6320324.529 124118.217 6320324.276 124118.215 6320321.453 124118.187 6320320.871 124118.181 6320316.465 124118.132 6320314.801 124118.113 6320312.218 124118.083 6320308.891 124118.045 6320307.791 124118.033 6320305.03 124118.001 6320295.193 124117.941 6320295.193 124117.888 6320295.227 124105.589 6320306.324 124105.715 6320319.142 124105.848 6320318.769 124104.172 6320315.092 124087.609 6320319.485 124086.521 6320321 124092.642 6320323.622 124103.236 6320323.721 124103.636 6320323.987 124104.714 6320324.397 124106.369 6320325.026 124108.911 6320325.661 124111.478 6320326.551 124115.074 6320326.638 124115.427 6320326.656 124115.422 6320332.928 124113.806 6320332.749 124114.069 6320330.79 124116.94 6320330.671 124117.115 6320330.617 124117.194 6320330.431 124117.467 6320330.081 124117.98 6320329.997 124118.103 6320329.885 124118.267 6320329.656 124118.265 6320328.555 124118.255 6320327.335 124118.243</gml:posList>
            </gml:LinearRing>
          </gml:exterior>
        </gml:Polygon>
      </lmg:Position>
    </lmg:Ytgeometri>
    <objektreferens>cb651478-7459-4c5f-a870-fec685ca13e9</objektreferens>
    <objektreferens>cb651478-7459-4c5f-a870-fec685ca13e9</objektreferens>
    <Indelning>
      <tema>Motiv till detaljplanens regleringar</tema>
      <grupp>Motiv till reglering</grupp>
    </Indelning>
  </Omfattning>
  <Omfattning>
    <identitet>pf_strandskydd02</identitet>
    <Indelning>
      <tema>Planeringsförutsättningar</tema>
      <grupp>Miljö</grupp>
      <undergrupp>Strandskydd</undergrupp>
    </Indelning>
  </Omfattning>
  <Omfattning>
    <identitet>be_ärendeinformation01</identitet>
    <Indelning>
      <tema>Beskrivning av detaljplanen</tema>
      <grupp>Ärendeinformation</grupp>
    </Indelning>
  </Omfattning>
  <Omfattning>
    <identitet>be_kommunalabeslut02</identitet>
    <Indelning>
      <tema>Beskrivning av detaljplanen</tema>
      <grupp>Ärendeinformation</grupp>
      <undergrupp>Kommunala beslut</undergrupp>
    </Indelning>
  </Omfattning>
  <Omfattning>
    <identitet>pf_hälsaochsäkerhet01</identitet>
    <Indelning>
      <tema>Planeringsförutsättningar</tema>
      <grupp>Hälsa och säkerhet</grupp>
    </Indelning>
  </Omfattning>
  <Omfattning>
    <identitet>pf_delarsomundantasantagande01</identitet>
    <Indelning>
      <tema>Planeringsförutsättningar</tema>
      <grupp>Annat</grupp>
      <undergrupp>Delar som undantas antagande</undergrupp>
    </Indelning>
  </Omfattning>
  <Omfattning>
    <identitet>ko_strandskydd01</identitet>
    <Indelning>
      <tema>Konsekvenser</tema>
      <grupp>Miljö</grupp>
      <undergrupp>Strandskydd</undergrupp>
    </Indelning>
  </Omfattning>
  <Omfattning>
    <identitet>mo_motivtillreglering03</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2ebedea9-7dde-4a62-9c73-79951a940a3b_f0">
          <gml:exterior>
            <gml:LinearRing>
              <gml:posList>6320303.283 124119.978 6320294.55 124119.876 6320287.941 124119.798 6320287.508 124119.793 6320287.509 124119.706 6320287.51 124119.667 6320287.524 124118.918 6320287.528 124118.75 6320287.533 124118.462 6320287.536 124118.282 6320287.538 124118.144 6320287.943 124096.43 6320288.073 124089.454 6320288.079 124089.143 6320288.121 124086.878 6320288.166 124084.476 6320288.199 124082.721 6320288.203 124082.492 6320288.207 124082.279 6320288.209 124082.147 6320288.238 124080.639 6320288.239 124080.624 6320288.271 124078.825 6320288.272 124078.76 6320288.249 124078.76 6320287.546 124078.754 6320287.217 124078.751 6320285.863 124078.739 6320282.935 124078.713 6320280.521 124078.692 6320280.213 124078.733 6320268.594 124080.29 6320267.304 124080.463 6320267.295 124080.465 6320265.864 124080.656 6320265.721 124080.676 6320265.676 124080.682 6320258.907 124081.589 6320258.771 124081.607 6320258.679 124081.62 6320258.462 124081.649 6320257.368 124081.795 6320255.98 124082.078 6320255.795 124082.116 6320255.781 124082.118 6320255.744 124082.126 6320255.697 124082.136 6320255.687 124082.138 6320255.677 124082.14 6320255.674 124082.141 6320255.668 124082.142 6320255.66 124082.144 6320255.656 124082.144 6320255.652 124082.145 6320255.65 124082.137 6320255.647 124082.128 6320255.634 124082.085 6320255.555 124081.831 6320255.032 124080.151 6320254.821 124079.472 6320254.819 124079.466 6320254.813 124079.447 6320254.742 124079.218 6320254.553 124078.609 6320254.448 124078.272 6320254.344 124077.938 6320253.764 124076.071 6320253.336 124074.697 6320253.041 124073.747 6320252.907 124073.317 6320252.946 124073.313 6320252.981 124073.309 6320253.04 124073.302 6320253.33 124073.269 6320253.762 124073.219 6320258.833 124072.633 6320261.863 124072.283 6320262.708 124072.186 6320262.812 124072.174 6320269.17 124071.44 6320269.507 124071.401 6320271.437 124071.178 6320273.266 124070.967 6320273.776 124070.908 6320273.792 124070.906 6320274.968 124070.77 6320274.985 124070.768 6320275.099 124070.755 6320275.394 124070.721 6320275.408 124070.719 6320276.808 124070.558 6320284.96 124069.616 6320285.812 124069.518 6320287.965 124069.269 6320288.206 124069.241 6320290.437 124068.984 6320290.462 124069.084 6320291.143 124071.841 6320291.917 124074.974 6320291.924 124075 6320293.084 124079.696 6320294.973 124087.337 6320294.982 124087.373 6320294.982 124087.377 6320294.992 124087.414 6320294.996 124087.43 6320294.999 124087.938 6320295.227 124105.589 6320295.193 124117.888 6320295.193 124117.941 6320305.03 124118.001 6320307.091 124118.025 6320307.791 124118.033 6320308.452 124118.04 6320308.723 124118.043 6320308.891 124118.045 6320312.218 124118.083 6320314.801 124118.113 6320316.465 124118.132 6320319.678 124118.168 6320320.871 124118.181 6320321.453 124118.187 6320324.276 124118.215 6320324.529 124118.217 6320327.335 124118.243 6320327.797 124120.105 6320327.825 124120.219 6320327.834 124120.26 6320327.817 124120.26 6320327.702 124120.26 6320327.154 124120.254 6320326.763 124120.249 6320326.377 124120.245 6320326.217 124120.243 6320325.801 124120.238 6320325.768 124120.238 6320325.598 124120.236 6320325.114 124120.23 6320325.039 124120.23 6320324.725 124120.226 6320324.388 124120.222 6320324.269 124120.221 6320324.006 124120.218 6320323.9 124120.216 6320323.854 124120.216 6320323.717 124120.214 6320323.666 124120.214 6320323.399 124120.211 6320322.536 124120.201 6320322.175 124120.196 6320320.553 124120.178 6320316.623 124120.132 6320314.349 124120.106 6320310.5 124120.061 6320308.967 124120.044 6320308.699 124120.041 6320306.656 124120.017 6320303.283 124119.978</gml:posList>
            </gml:LinearRing>
          </gml:exterior>
        </gml:Polygon>
      </lmg:Position>
    </lmg:Ytgeometri>
    <objektreferens>2ebedea9-7dde-4a62-9c73-79951a940a3b</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38c1a468-1bed-4430-ace2-28e0f4b63fa8_f0">
          <gml:exterior>
            <gml:LinearRing>
              <gml:posList>6320294.55 124119.876 6320287.941 124119.798 6320287.508 124119.793 6320287.509 124119.706 6320287.51 124119.667 6320287.524 124118.918 6320287.527 124118.75 6320287.528 124118.679 6320287.531 124118.536 6320287.533 124118.462 6320287.533 124118.432 6320287.535 124118.316 6320287.536 124118.282 6320287.538 124118.144 6320287.943 124096.43 6320288.073 124089.454 6320288.079 124089.143 6320288.121 124086.878 6320288.166 124084.476 6320288.199 124082.721 6320288.203 124082.492 6320288.207 124082.279 6320288.209 124082.147 6320288.238 124080.639 6320288.239 124080.624 6320288.271 124078.825 6320288.272 124078.76 6320288.249 124078.76 6320287.546 124078.754 6320287.217 124078.751 6320285.863 124078.739 6320282.935 124078.713 6320280.521 124078.692 6320280.213 124078.733 6320268.594 124080.29 6320267.304 124080.463 6320267.295 124080.465 6320265.864 124080.656 6320265.721 124080.676 6320265.676 124080.682 6320258.907 124081.589 6320258.771 124081.607 6320258.679 124081.62 6320258.462 124081.649 6320257.368 124081.795 6320255.98 124082.078 6320255.795 124082.116 6320255.781 124082.118 6320255.744 124082.126 6320255.697 124082.136 6320255.687 124082.138 6320255.677 124082.14 6320255.674 124082.141 6320255.668 124082.142 6320255.66 124082.144 6320255.656 124082.144 6320255.652 124082.145 6320255.65 124082.137 6320255.647 124082.128 6320255.634 124082.085 6320255.555 124081.831 6320255.032 124080.151 6320254.821 124079.472 6320254.819 124079.466 6320254.813 124079.447 6320254.742 124079.218 6320254.553 124078.609 6320254.448 124078.272 6320254.344 124077.938 6320253.764 124076.071 6320253.336 124074.697 6320253.041 124073.747 6320252.907 124073.317 6320252.946 124073.313 6320252.981 124073.309 6320253.04 124073.302 6320253.33 124073.269 6320253.762 124073.219 6320258.833 124072.633 6320261.863 124072.283 6320262.708 124072.186 6320262.812 124072.174 6320269.17 124071.44 6320269.507 124071.401 6320271.437 124071.178 6320273.266 124070.967 6320273.776 124070.908 6320273.792 124070.906 6320274.968 124070.77 6320274.985 124070.768 6320275.099 124070.755 6320275.394 124070.721 6320275.408 124070.719 6320276.808 124070.558 6320284.96 124069.616 6320285.812 124069.518 6320287.965 124069.269 6320288.206 124069.241 6320290.437 124068.984 6320290.462 124069.084 6320291.143 124071.841 6320291.917 124074.974 6320291.924 124075 6320293.084 124079.696 6320294.973 124087.337 6320294.982 124087.373 6320294.982 124087.377 6320294.992 124087.414 6320294.996 124087.43 6320295.43 124087.322 6320295.468 124087.313 6320304.72 124085.023 6320305.108 124084.927 6320307.262 124084.394 6320307.266 124084.393 6320307.276 124084.391 6320307.284 124084.389 6320307.359 124084.37 6320318.118 124081.707 6320318.157 124081.697 6320318.234 124081.678 6320318.271 124081.669 6320318.288 124081.665 6320318.297 124081.702 6320318.373 124082.008 6320318.374 124082.014 6320318.511 124082.571 6320318.512 124082.575 6320318.538 124082.68 6320319.429 124086.292 6320319.455 124086.396 6320319.459 124086.415 6320319.481 124086.505 6320319.485 124086.521 6320321 124092.642 6320323.622 124103.236 6320323.721 124103.636 6320323.987 124104.714 6320324.397 124106.369 6320325.026 124108.911 6320325.083 124109.141 6320325.661 124111.478 6320326.551 124115.074 6320326.638 124115.427 6320326.656 124115.422 6320332.928 124113.806 6320335.144 124113.232 6320339.68 124112.062 6320338.4 124117.85 6320336.297 124119.267 6320333.407 124120.168 6320328.038 124120.259 6320327.977 124120.26 6320327.834 124120.26 6320327.817 124120.26 6320327.702 124120.26 6320327.154 124120.254 6320326.763 124120.249 6320326.377 124120.245 6320326.217 124120.243 6320325.801 124120.238 6320325.768 124120.238 6320325.598 124120.236 6320325.114 124120.23 6320325.039 124120.23 6320324.725 124120.226 6320324.388 124120.222 6320324.269 124120.221 6320324.006 124120.218 6320323.9 124120.216 6320323.854 124120.216 6320323.717 124120.214 6320323.666 124120.214 6320323.399 124120.211 6320322.536 124120.201 6320322.175 124120.196 6320320.553 124120.178 6320316.623 124120.132 6320314.349 124120.106 6320310.5 124120.061 6320308.967 124120.044 6320308.699 124120.041 6320306.656 124120.017 6320303.283 124119.978 6320294.55 124119.876</gml:posList>
            </gml:LinearRing>
          </gml:exterior>
        </gml:Polygon>
      </lmg:Position>
    </lmg:Ytgeometri>
    <objektreferens>38c1a468-1bed-4430-ace2-28e0f4b63fa8</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79595cbf-a379-4dea-851b-756a34f6c8a3}">
  <ds:schemaRefs>
    <ds:schemaRef ds:uri="http://schemas.microsoft.com/vsto/samples"/>
  </ds:schemaRefs>
</ds:datastoreItem>
</file>

<file path=customXml/itemProps2.xml><?xml version="1.0" encoding="utf-8"?>
<ds:datastoreItem xmlns:ds="http://schemas.openxmlformats.org/officeDocument/2006/customXml" ds:itemID="{21eda1ca-62d6-49af-858e-39521a142490}">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Alvesta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Mario Jonjic</dc:creator>
  <dcterms:created xsi:type="dcterms:W3CDTF">2024-04-24T13:30:00Z</dcterms:created>
  <cp:lastModifiedBy>Cecilia Runer</cp:lastModifiedBy>
  <cp:lastPrinted>2024-04-25T08:05:00Z</cp:lastPrinted>
  <dcterms:modified xsi:type="dcterms:W3CDTF">2024-05-10T08:08:38Z</dcterms:modified>
  <cp:revision>47</cp:revision>
  <dc:title>Detaljplan för del av XX,</dc:title>
</cp:coreProperties>
</file>