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ind w:left="1134"/>
        <w:rPr>
          <w:rFonts w:ascii="Arial" w:hAnsi="Arial" w:cs="Arial"/>
          <w:b w:val="1"/>
          <w:sz w:val="36"/>
          <w:szCs w:val="36"/>
        </w:rPr>
      </w:pPr>
      <w:bookmarkStart w:id="0" w:name="_Toc246132116"/>
      <w:bookmarkStart w:id="1" w:name="_Toc246132343"/>
      <w:bookmarkStart w:id="2" w:name="_Toc280260432"/>
      <w:bookmarkStart w:id="3" w:name="_Toc280261206"/>
      <w:bookmarkStart w:id="4" w:name="_Toc280261571"/>
      <w:bookmarkStart w:id="5" w:name="_Toc280262412"/>
      <w:bookmarkStart w:id="6" w:name="_Toc280262686"/>
      <w:bookmarkStart w:id="7" w:name="_Toc280262967"/>
      <w:bookmarkStart w:id="8" w:name="_Toc280263694"/>
      <w:bookmarkStart w:id="9" w:name="_Toc326829696"/>
      <w:bookmarkStart w:id="10" w:name="_Toc280263785"/>
      <w:bookmarkStart w:id="11" w:name="_Toc280263619"/>
      <w:bookmarkStart w:id="12" w:name="_Toc280262904"/>
      <w:bookmarkStart w:id="13" w:name="_Toc280262513"/>
      <w:bookmarkStart w:id="14" w:name="_Toc280262296"/>
      <w:bookmarkStart w:id="15" w:name="_Toc280261443"/>
      <w:bookmarkStart w:id="16" w:name="_Toc280260761"/>
      <w:bookmarkStart w:id="17" w:name="_Toc280259986"/>
      <w:bookmarkStart w:id="18" w:name="_Toc246132272"/>
      <w:bookmarkStart w:id="19" w:name="_Toc246132117"/>
      <w:bookmarkStart w:id="20" w:name="_Toc280261444"/>
      <w:bookmarkStart w:id="21" w:name="_Toc280262297"/>
      <w:bookmarkStart w:id="22" w:name="_Toc280262413"/>
      <w:bookmarkStart w:id="23" w:name="_Toc280262514"/>
      <w:bookmarkStart w:id="24" w:name="_Toc280262905"/>
      <w:bookmarkStart w:id="25" w:name="_Toc280262968"/>
      <w:bookmarkStart w:id="26" w:name="_Toc280263620"/>
      <w:bookmarkStart w:id="27" w:name="_Toc280263695"/>
      <w:bookmarkStart w:id="28" w:name="_Toc280262687"/>
      <w:bookmarkStart w:id="29" w:name="_Toc280261572"/>
      <w:bookmarkStart w:id="30" w:name="_Toc280259987"/>
      <w:bookmarkStart w:id="31" w:name="_Toc280260762"/>
      <w:bookmarkStart w:id="32" w:name="_Toc280261207"/>
      <w:bookmarkStart w:id="33" w:name="_Toc280260433"/>
      <w:bookmarkStart w:id="34" w:name="_Toc275242351"/>
      <w:bookmarkStart w:id="35" w:name="_Toc246132387"/>
    </w:p>
    <w:p>
      <w:pPr>
        <w:ind w:left="1134"/>
        <w:rPr>
          <w:rFonts w:ascii="Arial" w:hAnsi="Arial" w:cs="Arial"/>
          <w:b w:val="1"/>
          <w:sz w:val="36"/>
          <w:szCs w:val="36"/>
        </w:rPr>
      </w:pPr>
      <w:r>
        <w:rPr>
          <w:rFonts w:ascii="Arial" w:hAnsi="Arial" w:cs="Arial"/>
          <w:b w:val="1"/>
          <w:sz w:val="36"/>
          <w:szCs w:val="36"/>
        </w:rPr>
        <w:t xml:space="preserve">Detaljplan för </w:t>
      </w:r>
      <w:bookmarkStart w:id="36" w:name="_Hlk167794597"/>
      <w:r>
        <w:rPr>
          <w:rFonts w:ascii="Arial" w:hAnsi="Arial" w:cs="Arial"/>
          <w:b w:val="1"/>
          <w:sz w:val="36"/>
          <w:szCs w:val="36"/>
        </w:rPr>
        <w:t>del av Aringsås 15:1</w:t>
      </w:r>
      <w:bookmarkEnd w:id="36"/>
      <w:r>
        <w:rPr>
          <w:rFonts w:ascii="Arial" w:hAnsi="Arial" w:cs="Arial"/>
          <w:b w:val="1"/>
          <w:sz w:val="36"/>
          <w:szCs w:val="36"/>
        </w:rPr>
        <w:t xml:space="preserve"> (Gemlavägen) i Alvesta tätort, Alvesta kommun, Kronobergs län</w:t>
      </w:r>
    </w:p>
    <w:p>
      <w:pPr>
        <w:ind w:left="1134"/>
        <w:rPr>
          <w:rFonts w:ascii="Arial" w:hAnsi="Arial" w:cs="Arial"/>
          <w:b w:val="1"/>
          <w:sz w:val="36"/>
          <w:szCs w:val="36"/>
        </w:rPr>
      </w:pPr>
    </w:p>
    <w:p>
      <w:pPr>
        <w:pStyle w:val="P31"/>
      </w:pPr>
      <w:r>
        <w:t>PLANBESKRIVNING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P2"/>
      </w:pPr>
      <w:r>
        <w:t>Handlingar:</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pPr>
        <w:pStyle w:val="P5"/>
        <w:rPr>
          <w:rFonts w:ascii="Calibri Light" w:hAnsi="Calibri Light" w:cs="Calibri Light"/>
        </w:rPr>
      </w:pPr>
      <w:r>
        <w:rPr>
          <w:rFonts w:ascii="Calibri Light" w:hAnsi="Calibri Light" w:cs="Calibri Light"/>
        </w:rPr>
        <w:t>Planbeskrivning</w:t>
      </w:r>
    </w:p>
    <w:p>
      <w:pPr>
        <w:pStyle w:val="P5"/>
        <w:rPr>
          <w:rFonts w:ascii="Calibri Light" w:hAnsi="Calibri Light" w:cs="Calibri Light"/>
        </w:rPr>
      </w:pPr>
      <w:r>
        <w:rPr>
          <w:rFonts w:ascii="Calibri Light" w:hAnsi="Calibri Light" w:cs="Calibri Light"/>
        </w:rPr>
        <w:t>Fastighetsförteckning</w:t>
      </w:r>
    </w:p>
    <w:p>
      <w:pPr>
        <w:pStyle w:val="P5"/>
        <w:rPr>
          <w:rFonts w:ascii="Calibri Light" w:hAnsi="Calibri Light" w:cs="Calibri Light"/>
        </w:rPr>
      </w:pPr>
      <w:r>
        <w:rPr>
          <w:rFonts w:ascii="Calibri Light" w:hAnsi="Calibri Light" w:cs="Calibri Light"/>
        </w:rPr>
        <w:t>Plankarta upprättad på grundkarta</w:t>
      </w:r>
    </w:p>
    <w:p>
      <w:pPr>
        <w:pStyle w:val="P5"/>
        <w:rPr>
          <w:rFonts w:ascii="Calibri Light" w:hAnsi="Calibri Light" w:cs="Calibri Light"/>
        </w:rPr>
      </w:pPr>
      <w:r>
        <w:rPr>
          <w:rFonts w:ascii="Calibri Light" w:hAnsi="Calibri Light" w:cs="Calibri Light"/>
        </w:rPr>
        <w:t>Samrådsredogörelse</w:t>
      </w:r>
    </w:p>
    <w:p>
      <w:pPr>
        <w:pStyle w:val="P5"/>
        <w:rPr>
          <w:rFonts w:ascii="Calibri Light" w:hAnsi="Calibri Light" w:cs="Calibri Light"/>
        </w:rPr>
      </w:pPr>
      <w:r>
        <w:rPr>
          <w:rFonts w:ascii="Calibri Light" w:hAnsi="Calibri Light" w:cs="Calibri Light"/>
        </w:rPr>
        <w:t>Granskningsutlåtande</w:t>
      </w:r>
    </w:p>
    <w:p>
      <w:pPr>
        <w:pStyle w:val="P2"/>
      </w:pPr>
      <w:r>
        <w:t>INNEHÅLLSFÖRTECKNING</w:t>
      </w:r>
    </w:p>
    <w:p>
      <w:pPr>
        <w:pStyle w:val="P12"/>
        <w:tabs>
          <w:tab w:val="left" w:pos="1680" w:leader="none"/>
        </w:tabs>
        <w:rPr>
          <w:rFonts w:asciiTheme="minorHAnsi" w:hAnsiTheme="minorHAnsi" w:cstheme="minorBidi" w:eastAsiaTheme="minorEastAsia"/>
          <w:bCs w:val="0"/>
          <w:caps w:val="0"/>
          <w:noProof w:val="1"/>
          <w:szCs w:val="22"/>
        </w:rPr>
      </w:pPr>
      <w:r>
        <w:rPr>
          <w:rFonts w:cs="Calibri Light"/>
          <w:b w:val="1"/>
          <w:bCs w:val="0"/>
          <w:caps w:val="0"/>
          <w:sz w:val="28"/>
          <w:szCs w:val="32"/>
          <w:kern w:val="32"/>
        </w:rPr>
        <w:fldChar w:fldCharType="begin"/>
      </w:r>
      <w:r>
        <w:rPr>
          <w:rFonts w:cs="Calibri Light"/>
          <w:b w:val="1"/>
          <w:bCs w:val="0"/>
          <w:caps w:val="0"/>
          <w:sz w:val="28"/>
          <w:szCs w:val="32"/>
          <w:kern w:val="32"/>
        </w:rPr>
        <w:instrText xml:space="preserve"> TOC \o "1-1" \u </w:instrText>
      </w:r>
      <w:r>
        <w:rPr>
          <w:rFonts w:cs="Calibri Light"/>
          <w:b w:val="1"/>
          <w:bCs w:val="0"/>
          <w:caps w:val="0"/>
          <w:sz w:val="28"/>
          <w:szCs w:val="32"/>
          <w:kern w:val="32"/>
        </w:rPr>
        <w:fldChar w:fldCharType="separate"/>
      </w:r>
      <w:r>
        <w:rPr>
          <w:noProof w:val="1"/>
        </w:rPr>
        <w:t>1.</w:t>
      </w:r>
      <w:r>
        <w:rPr>
          <w:rFonts w:asciiTheme="minorHAnsi" w:hAnsiTheme="minorHAnsi" w:cstheme="minorBidi" w:eastAsiaTheme="minorEastAsia"/>
          <w:bCs w:val="0"/>
          <w:caps w:val="0"/>
          <w:noProof w:val="1"/>
          <w:szCs w:val="22"/>
        </w:rPr>
        <w:tab/>
      </w:r>
      <w:r>
        <w:rPr>
          <w:noProof w:val="1"/>
        </w:rPr>
        <w:t>INLEDNING</w:t>
        <w:tab/>
      </w:r>
      <w:r>
        <w:rPr>
          <w:noProof w:val="1"/>
        </w:rPr>
        <w:fldChar w:fldCharType="begin"/>
      </w:r>
      <w:r>
        <w:rPr>
          <w:noProof w:val="1"/>
        </w:rPr>
        <w:instrText xml:space="preserve"> PAGEREF _Toc86648184 \h </w:instrText>
      </w:r>
      <w:r>
        <w:rPr>
          <w:noProof w:val="1"/>
        </w:rPr>
        <w:fldChar w:fldCharType="separate"/>
      </w:r>
      <w:r>
        <w:rPr>
          <w:noProof w:val="1"/>
        </w:rPr>
        <w:t>2</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2.</w:t>
      </w:r>
      <w:r>
        <w:rPr>
          <w:rFonts w:asciiTheme="minorHAnsi" w:hAnsiTheme="minorHAnsi" w:cstheme="minorBidi" w:eastAsiaTheme="minorEastAsia"/>
          <w:bCs w:val="0"/>
          <w:caps w:val="0"/>
          <w:noProof w:val="1"/>
          <w:szCs w:val="22"/>
        </w:rPr>
        <w:tab/>
      </w:r>
      <w:r>
        <w:rPr>
          <w:noProof w:val="1"/>
        </w:rPr>
        <w:t>PLATSENS FÖRUTSÄTTNINGAR</w:t>
        <w:tab/>
      </w:r>
      <w:r>
        <w:rPr>
          <w:noProof w:val="1"/>
        </w:rPr>
        <w:fldChar w:fldCharType="begin"/>
      </w:r>
      <w:r>
        <w:rPr>
          <w:noProof w:val="1"/>
        </w:rPr>
        <w:instrText xml:space="preserve"> PAGEREF _Toc86648185 \h </w:instrText>
      </w:r>
      <w:r>
        <w:rPr>
          <w:noProof w:val="1"/>
        </w:rPr>
        <w:fldChar w:fldCharType="separate"/>
      </w:r>
      <w:r>
        <w:rPr>
          <w:noProof w:val="1"/>
        </w:rPr>
        <w:t>5</w:t>
      </w:r>
      <w:r>
        <w:rPr>
          <w:noProof w:val="1"/>
        </w:rPr>
        <w:fldChar w:fldCharType="end"/>
      </w:r>
    </w:p>
    <w:p>
      <w:pPr>
        <w:pStyle w:val="P12"/>
        <w:tabs>
          <w:tab w:val="left" w:pos="1680" w:leader="none"/>
        </w:tabs>
        <w:rPr>
          <w:rFonts w:asciiTheme="minorHAnsi" w:hAnsiTheme="minorHAnsi" w:cstheme="minorBidi" w:eastAsiaTheme="minorEastAsia"/>
          <w:bCs w:val="0"/>
          <w:caps w:val="0"/>
          <w:noProof w:val="1"/>
          <w:szCs w:val="22"/>
        </w:rPr>
      </w:pPr>
      <w:r>
        <w:rPr>
          <w:noProof w:val="1"/>
        </w:rPr>
        <w:t>3.</w:t>
      </w:r>
      <w:r>
        <w:rPr>
          <w:rFonts w:asciiTheme="minorHAnsi" w:hAnsiTheme="minorHAnsi" w:cstheme="minorBidi" w:eastAsiaTheme="minorEastAsia"/>
          <w:bCs w:val="0"/>
          <w:caps w:val="0"/>
          <w:noProof w:val="1"/>
          <w:szCs w:val="22"/>
        </w:rPr>
        <w:tab/>
      </w:r>
      <w:r>
        <w:rPr>
          <w:noProof w:val="1"/>
        </w:rPr>
        <w:t>PLANFÖRSLAG</w:t>
        <w:tab/>
        <w:t>12</w:t>
      </w:r>
    </w:p>
    <w:p>
      <w:pPr>
        <w:pStyle w:val="P12"/>
        <w:tabs>
          <w:tab w:val="left" w:pos="1680" w:leader="none"/>
        </w:tabs>
        <w:rPr>
          <w:rFonts w:asciiTheme="minorHAnsi" w:hAnsiTheme="minorHAnsi" w:cstheme="minorBidi" w:eastAsiaTheme="minorEastAsia"/>
          <w:bCs w:val="0"/>
          <w:caps w:val="0"/>
          <w:noProof w:val="1"/>
          <w:szCs w:val="22"/>
        </w:rPr>
      </w:pPr>
      <w:r>
        <w:rPr>
          <w:noProof w:val="1"/>
        </w:rPr>
        <w:t>4.</w:t>
      </w:r>
      <w:r>
        <w:rPr>
          <w:rFonts w:asciiTheme="minorHAnsi" w:hAnsiTheme="minorHAnsi" w:cstheme="minorBidi" w:eastAsiaTheme="minorEastAsia"/>
          <w:bCs w:val="0"/>
          <w:caps w:val="0"/>
          <w:noProof w:val="1"/>
          <w:szCs w:val="22"/>
        </w:rPr>
        <w:tab/>
      </w:r>
      <w:r>
        <w:rPr>
          <w:noProof w:val="1"/>
        </w:rPr>
        <w:t>KONSEKVENSER AV PLANFÖRSLAGET</w:t>
        <w:tab/>
        <w:t>16</w:t>
      </w:r>
    </w:p>
    <w:p>
      <w:pPr>
        <w:pStyle w:val="P12"/>
        <w:tabs>
          <w:tab w:val="left" w:pos="1680" w:leader="none"/>
        </w:tabs>
        <w:rPr>
          <w:rFonts w:asciiTheme="minorHAnsi" w:hAnsiTheme="minorHAnsi" w:cstheme="minorBidi" w:eastAsiaTheme="minorEastAsia"/>
          <w:bCs w:val="0"/>
          <w:caps w:val="0"/>
          <w:noProof w:val="1"/>
          <w:szCs w:val="22"/>
        </w:rPr>
      </w:pPr>
      <w:r>
        <w:rPr>
          <w:noProof w:val="1"/>
        </w:rPr>
        <w:t>5.</w:t>
      </w:r>
      <w:r>
        <w:rPr>
          <w:rFonts w:asciiTheme="minorHAnsi" w:hAnsiTheme="minorHAnsi" w:cstheme="minorBidi" w:eastAsiaTheme="minorEastAsia"/>
          <w:bCs w:val="0"/>
          <w:caps w:val="0"/>
          <w:noProof w:val="1"/>
          <w:szCs w:val="22"/>
        </w:rPr>
        <w:tab/>
      </w:r>
      <w:r>
        <w:rPr>
          <w:noProof w:val="1"/>
        </w:rPr>
        <w:t>GENOMFÖRANDE</w:t>
        <w:tab/>
        <w:t>20</w:t>
      </w:r>
    </w:p>
    <w:p>
      <w:pPr>
        <w:pStyle w:val="P21"/>
      </w:pPr>
      <w:r>
        <w:rPr>
          <w:rFonts w:cs="Calibri Light"/>
          <w:b w:val="1"/>
          <w:bCs w:val="0"/>
          <w:caps w:val="0"/>
          <w:sz w:val="28"/>
          <w:szCs w:val="32"/>
          <w:kern w:val="32"/>
        </w:rPr>
        <w:fldChar w:fldCharType="end"/>
      </w:r>
    </w:p>
    <w:p>
      <w:pPr>
        <w:pStyle w:val="P1"/>
      </w:pPr>
      <w:bookmarkStart w:id="37" w:name="_Toc280260434"/>
      <w:bookmarkStart w:id="38" w:name="_Toc280261573"/>
      <w:bookmarkStart w:id="39" w:name="_Toc280261208"/>
      <w:bookmarkStart w:id="40" w:name="_Toc280260763"/>
      <w:bookmarkStart w:id="41" w:name="_Toc246132119"/>
      <w:r>
        <w:br w:type="page"/>
      </w:r>
      <w:bookmarkStart w:id="42" w:name="_Toc86648184"/>
      <w:r>
        <w:t>INLEDNING</w:t>
      </w:r>
      <w:bookmarkEnd w:id="37"/>
      <w:bookmarkEnd w:id="38"/>
      <w:bookmarkEnd w:id="39"/>
      <w:bookmarkEnd w:id="40"/>
      <w:bookmarkEnd w:id="42"/>
    </w:p>
    <w:p>
      <w:pPr>
        <w:pStyle w:val="P2"/>
      </w:pPr>
      <w:bookmarkStart w:id="43" w:name="_Toc275242353"/>
      <w:bookmarkStart w:id="44" w:name="_Toc280261209"/>
      <w:bookmarkStart w:id="45" w:name="_Toc280261574"/>
      <w:bookmarkStart w:id="46" w:name="_Toc280260764"/>
      <w:bookmarkStart w:id="47" w:name="_Toc280260435"/>
      <w:r>
        <w:t>PLANENS SYFTE OCH HUVUDDRAG</w:t>
      </w:r>
      <w:bookmarkEnd w:id="41"/>
      <w:bookmarkEnd w:id="43"/>
      <w:bookmarkEnd w:id="44"/>
      <w:bookmarkEnd w:id="45"/>
      <w:bookmarkEnd w:id="46"/>
      <w:bookmarkEnd w:id="47"/>
    </w:p>
    <w:p>
      <w:pPr>
        <w:pStyle w:val="P23"/>
      </w:pPr>
      <w:bookmarkStart w:id="48" w:name="_Hlk167794538"/>
      <w:bookmarkStart w:id="49" w:name="sy_syfte01"/>
      <w:r>
        <w:t xml:space="preserve">Syftet med detaljplanen är </w:t>
      </w:r>
      <w:bookmarkEnd w:id="48"/>
      <w:r>
        <w:t>att bredda gatuutrymmet på Gemlavägen för att inrymma gång- och cykelväg.</w:t>
      </w:r>
    </w:p>
    <w:p>
      <w:pPr>
        <w:pStyle w:val="P23"/>
      </w:pPr>
      <w:bookmarkEnd w:id="49"/>
      <w:r>
        <w:t>Detaljplanen handläggs med standardförfarande enligt 5 kap 6 § Plan- och bygglagen (SFS 2010:900).</w:t>
      </w:r>
    </w:p>
    <w:p>
      <w:pPr>
        <w:pStyle w:val="P2"/>
      </w:pPr>
      <w:bookmarkStart w:id="50" w:name="_Toc246132120"/>
      <w:bookmarkStart w:id="51" w:name="_Toc280261210"/>
      <w:bookmarkStart w:id="52" w:name="_Toc280261575"/>
      <w:bookmarkStart w:id="53" w:name="_Toc280260436"/>
      <w:bookmarkStart w:id="54" w:name="_Toc280260765"/>
      <w:bookmarkStart w:id="55" w:name="_Toc275242354"/>
      <w:r>
        <w:t>PLANDATA</w:t>
      </w:r>
      <w:bookmarkEnd w:id="50"/>
      <w:bookmarkEnd w:id="51"/>
      <w:bookmarkEnd w:id="52"/>
      <w:bookmarkEnd w:id="53"/>
      <w:bookmarkEnd w:id="54"/>
      <w:bookmarkEnd w:id="55"/>
    </w:p>
    <w:p>
      <w:pPr>
        <w:pStyle w:val="P3"/>
      </w:pPr>
      <w:bookmarkStart w:id="56" w:name="_Toc280259991"/>
      <w:bookmarkStart w:id="57" w:name="_Toc280260437"/>
      <w:r>
        <w:t>Lägesbestämning</w:t>
      </w:r>
      <w:bookmarkEnd w:id="56"/>
      <w:bookmarkEnd w:id="57"/>
      <w:r>
        <w:t xml:space="preserve"> </w:t>
      </w:r>
      <w:bookmarkStart w:id="58" w:name="_Toc280259992"/>
      <w:bookmarkStart w:id="59" w:name="_Toc280260438"/>
      <w:r>
        <w:t>och areal</w:t>
      </w:r>
      <w:bookmarkEnd w:id="58"/>
      <w:bookmarkEnd w:id="59"/>
    </w:p>
    <w:p>
      <w:pPr>
        <w:pStyle w:val="P23"/>
      </w:pPr>
      <w:r>
        <w:t>Planområdet finns beläget i östra delen av Alvesta tätort. Planområdet avgränsas av befintlig villabebyggelse. Planområdet omfattar cirka 3000 kvadratmeter.</w:t>
      </w:r>
    </w:p>
    <w:p>
      <w:pPr>
        <w:pStyle w:val="P23"/>
        <w:keepNext w:val="1"/>
      </w:pPr>
      <w:r>
        <w:rPr>
          <w:rFonts w:ascii="Times New Roman" w:hAnsi="Times New Roman" w:cs="Times New Roman"/>
          <w:noProof w:val="1"/>
          <w:sz w:val="16"/>
          <w:szCs w:val="16"/>
        </w:rPr>
        <w:drawing>
          <wp:inline xmlns:wp="http://schemas.openxmlformats.org/drawingml/2006/wordprocessingDrawing" distT="0" distB="0" distL="0" distR="0">
            <wp:extent cx="4498975" cy="3180715"/>
            <wp:effectExtent l="0" t="0" r="0" b="635"/>
            <wp:docPr id="73610187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01877" name="Bildobjekt 1"/>
                    <pic:cNvPicPr/>
                  </pic:nvPicPr>
                  <pic:blipFill dpi="0">
                    <a:blip xmlns:r="http://schemas.openxmlformats.org/officeDocument/2006/relationships" r:embed="Relimage1" cstate="print"/>
                    <a:srcRect/>
                    <a:stretch>
                      <a:fillRect/>
                    </a:stretch>
                  </pic:blipFill>
                  <pic:spPr>
                    <a:xfrm>
                      <a:off x="0" y="0"/>
                      <a:ext cx="4499518" cy="3181336"/>
                    </a:xfrm>
                    <a:prstGeom prst="rect"/>
                  </pic:spPr>
                </pic:pic>
              </a:graphicData>
            </a:graphic>
          </wp:inline>
        </w:drawing>
      </w:r>
      <w:r>
        <w:rPr>
          <w:rStyle w:val="C8"/>
        </w:rPr>
        <w:t>Lokaliseringskarta, planområdet skrafferat i vitt.</w:t>
      </w:r>
    </w:p>
    <w:p>
      <w:pPr>
        <w:pStyle w:val="P3"/>
      </w:pPr>
      <w:bookmarkStart w:id="60" w:name="_Toc280259993"/>
      <w:bookmarkStart w:id="61" w:name="_Toc280260439"/>
      <w:r>
        <w:t>Markägoförhållanden</w:t>
      </w:r>
      <w:bookmarkEnd w:id="60"/>
      <w:bookmarkEnd w:id="61"/>
    </w:p>
    <w:p>
      <w:pPr>
        <w:pStyle w:val="P23"/>
      </w:pPr>
      <w:r>
        <w:t>Planområdet utgörs av delar av de kommunägda fastigheterna Aringsås 15:1 och Aringsås 14:4, samt del av den privatägda fastigheten Slättängen 7.</w:t>
      </w:r>
    </w:p>
    <w:p>
      <w:pPr>
        <w:pStyle w:val="P2"/>
      </w:pPr>
      <w:bookmarkStart w:id="62" w:name="_Toc246132121"/>
      <w:bookmarkStart w:id="63" w:name="_Toc280261576"/>
      <w:bookmarkStart w:id="64" w:name="_Toc280260766"/>
      <w:bookmarkStart w:id="65" w:name="_Toc280261211"/>
      <w:bookmarkStart w:id="66" w:name="_Toc280260440"/>
      <w:bookmarkStart w:id="67" w:name="_Toc275242355"/>
      <w:r>
        <w:t>TIDIGARE STÄLLNINGSTAGANDEN</w:t>
      </w:r>
      <w:bookmarkEnd w:id="62"/>
      <w:bookmarkEnd w:id="63"/>
      <w:bookmarkEnd w:id="64"/>
      <w:bookmarkEnd w:id="65"/>
      <w:bookmarkEnd w:id="66"/>
      <w:bookmarkEnd w:id="67"/>
    </w:p>
    <w:p>
      <w:pPr>
        <w:pStyle w:val="P3"/>
        <w:rPr>
          <w:i w:val="1"/>
          <w:iCs w:val="1"/>
        </w:rPr>
      </w:pPr>
      <w:bookmarkStart w:id="68" w:name="_Toc280259995"/>
      <w:bookmarkStart w:id="69" w:name="_Toc280260441"/>
      <w:r>
        <w:t>Översiktsplan</w:t>
      </w:r>
      <w:bookmarkEnd w:id="68"/>
      <w:bookmarkEnd w:id="69"/>
    </w:p>
    <w:p>
      <w:pPr>
        <w:pStyle w:val="P23"/>
      </w:pPr>
      <w:bookmarkStart w:id="70" w:name="_Hlk120104645"/>
      <w:r>
        <w:t xml:space="preserve">I den fördjupade översiktsplanen för Alvesta tätort som antogs av kommunfullmäktige den 2017-11-28 § 117, är det aktuella planområdet utpekat </w:t>
      </w:r>
      <w:bookmarkEnd w:id="70"/>
      <w:r>
        <w:t xml:space="preserve">som oförändrad markanvändning. Planförslaget bedöms därmed inte strida mot översiktsplanen. </w:t>
      </w:r>
      <w:bookmarkStart w:id="71" w:name="_Toc280259996"/>
      <w:bookmarkStart w:id="72" w:name="_Toc280260442"/>
    </w:p>
    <w:p>
      <w:pPr>
        <w:pStyle w:val="P3"/>
      </w:pPr>
      <w:r>
        <w:t>Gällande detaljplaner</w:t>
      </w:r>
      <w:bookmarkEnd w:id="71"/>
      <w:bookmarkEnd w:id="72"/>
    </w:p>
    <w:p>
      <w:pPr>
        <w:pStyle w:val="P4"/>
      </w:pPr>
      <w:bookmarkStart w:id="73" w:name="_Toc280259997"/>
      <w:bookmarkStart w:id="74" w:name="_Toc280260443"/>
      <w:r>
        <w:t>Inom planområdet:</w:t>
      </w:r>
    </w:p>
    <w:p>
      <w:pPr>
        <w:pStyle w:val="P23"/>
      </w:pPr>
      <w:r>
        <w:t>Del av gatuområdet i detaljplanen är tidigare planlagt inom detaljplan A129, lagakraftvunnen 1979-09-13, som gata och park eller parkering samt inom detaljplan A121, lagakraftvunnen 1977-02-14, som allmänt ändamål och bostadsändamål. Del av detaljplan A147 lagakraftvunnen 1988-03-30 ligger inom planområdet och är reglerad som NATUR – naturområde.</w:t>
      </w:r>
    </w:p>
    <w:p>
      <w:pPr>
        <w:pStyle w:val="P4"/>
      </w:pPr>
      <w:r>
        <w:t xml:space="preserve">Närmast utanför planområdet: </w:t>
      </w:r>
    </w:p>
    <w:p>
      <w:pPr>
        <w:pStyle w:val="P23"/>
      </w:pPr>
      <w:r>
        <w:t xml:space="preserve">Området närmast utanför planområdet är i söder och norr planlagt för bostäder och natur i detaljplanerna A121, A129, och A147. Bostäderna är utbyggda. </w:t>
      </w:r>
    </w:p>
    <w:p>
      <w:pPr>
        <w:pStyle w:val="P27"/>
        <w:ind w:left="1134"/>
        <w:rPr>
          <w:rStyle w:val="C8"/>
          <w:rFonts w:ascii="Times New Roman" w:hAnsi="Times New Roman" w:cs="Times New Roman"/>
          <w:i w:val="1"/>
          <w:color w:val="1F497D" w:themeColor="text2"/>
          <w:sz w:val="18"/>
          <w:szCs w:val="18"/>
        </w:rPr>
      </w:pPr>
      <w:r>
        <w:rPr>
          <w:noProof w:val="1"/>
        </w:rPr>
        <w:drawing>
          <wp:inline xmlns:wp="http://schemas.openxmlformats.org/drawingml/2006/wordprocessingDrawing" distT="0" distB="0" distL="0" distR="0">
            <wp:extent cx="4498975" cy="3180715"/>
            <wp:effectExtent l="0" t="0" r="0" b="635"/>
            <wp:docPr id="46146357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3575" name="Bildobjekt 2"/>
                    <pic:cNvPicPr/>
                  </pic:nvPicPr>
                  <pic:blipFill dpi="0">
                    <a:blip xmlns:r="http://schemas.openxmlformats.org/officeDocument/2006/relationships" r:embed="Relimage2" cstate="print"/>
                    <a:srcRect/>
                    <a:stretch>
                      <a:fillRect/>
                    </a:stretch>
                  </pic:blipFill>
                  <pic:spPr>
                    <a:xfrm>
                      <a:off x="0" y="0"/>
                      <a:ext cx="4499518" cy="3181334"/>
                    </a:xfrm>
                    <a:prstGeom prst="rect"/>
                  </pic:spPr>
                </pic:pic>
              </a:graphicData>
            </a:graphic>
          </wp:inline>
        </w:drawing>
      </w:r>
      <w:r>
        <w:br w:type="textWrapping"/>
      </w:r>
      <w:r>
        <w:rPr>
          <w:rStyle w:val="C8"/>
          <w:i w:val="1"/>
          <w:iCs w:val="0"/>
        </w:rPr>
        <w:t>Bilden visar angränsande detaljplaner, planområdet skrafferat i svart.</w:t>
      </w:r>
    </w:p>
    <w:p>
      <w:pPr>
        <w:pStyle w:val="P3"/>
      </w:pPr>
      <w:r>
        <w:t>Kommunala beslut</w:t>
      </w:r>
      <w:bookmarkEnd w:id="73"/>
      <w:bookmarkEnd w:id="74"/>
    </w:p>
    <w:p>
      <w:pPr>
        <w:pStyle w:val="P23"/>
      </w:pPr>
      <w:bookmarkStart w:id="75" w:name="_Toc280259999"/>
      <w:bookmarkStart w:id="76" w:name="_Toc280260445"/>
      <w:r>
        <w:t>Samhällsbyggnadsnämnden gav 2021-12-07 (SBN § 93) samhällsbyggnadsförvaltningen i uppdrag att upprätta förslag till detaljplan.</w:t>
      </w:r>
    </w:p>
    <w:p>
      <w:pPr>
        <w:pStyle w:val="P23"/>
      </w:pPr>
      <w:r>
        <w:t>Samhällsbyggnadsnämnden beslutade 2022-05-10 (SBN § 39) att planförslaget kunde samrådas.</w:t>
      </w:r>
    </w:p>
    <w:p>
      <w:pPr>
        <w:pStyle w:val="P23"/>
      </w:pPr>
      <w:r>
        <w:t>Samhällsbyggnadsnämnden beslutade 2023-09-21 (SBN §</w:t>
      </w:r>
      <w:r>
        <w:rPr>
          <w:color w:val="FF0000"/>
        </w:rPr>
        <w:t xml:space="preserve"> </w:t>
      </w:r>
      <w:r>
        <w:t>81) om att utöka omfattningen på planuppdraget samt att ett nytt planförslag samråds.</w:t>
      </w:r>
    </w:p>
    <w:p>
      <w:pPr>
        <w:pStyle w:val="P23"/>
      </w:pPr>
      <w:r>
        <w:t>Samhällsbyggnadsnämnden beslutade 2025-05-06 (SBN § 35) att ställa ut planförslaget för granskning.</w:t>
      </w:r>
    </w:p>
    <w:p>
      <w:pPr>
        <w:pStyle w:val="P23"/>
      </w:pPr>
      <w:r>
        <w:t>Planuppdraget är uppdelat i två separata detaljplaner, varav denna är den ena och detaljplan för del av Aringsås 14:1 är den andra.</w:t>
      </w:r>
    </w:p>
    <w:p>
      <w:pPr>
        <w:pStyle w:val="P23"/>
      </w:pPr>
      <w:bookmarkEnd w:id="75"/>
      <w:bookmarkEnd w:id="76"/>
      <w:bookmarkStart w:id="77" w:name="_Toc280260448"/>
      <w:bookmarkStart w:id="78" w:name="_Toc280261578"/>
      <w:bookmarkStart w:id="79" w:name="_Toc246132123"/>
      <w:bookmarkStart w:id="80" w:name="_Toc280261213"/>
      <w:bookmarkStart w:id="81" w:name="_Toc280260768"/>
      <w:r>
        <w:br w:type="page"/>
      </w:r>
    </w:p>
    <w:p>
      <w:pPr>
        <w:pStyle w:val="P1"/>
      </w:pPr>
      <w:bookmarkStart w:id="82" w:name="_Toc86648185"/>
      <w:r>
        <w:t>PLATSENS FÖRUTSÄTTNINGAR</w:t>
      </w:r>
      <w:bookmarkEnd w:id="77"/>
      <w:bookmarkEnd w:id="78"/>
      <w:bookmarkEnd w:id="79"/>
      <w:bookmarkEnd w:id="80"/>
      <w:bookmarkEnd w:id="81"/>
      <w:bookmarkEnd w:id="82"/>
      <w:bookmarkStart w:id="83" w:name="_Toc280260004"/>
      <w:bookmarkStart w:id="84" w:name="_Toc280260450"/>
    </w:p>
    <w:p>
      <w:pPr>
        <w:pStyle w:val="P3"/>
      </w:pPr>
      <w:r>
        <w:t>Befintlig bebyggelse</w:t>
      </w:r>
      <w:bookmarkEnd w:id="83"/>
      <w:bookmarkEnd w:id="84"/>
    </w:p>
    <w:p>
      <w:pPr>
        <w:pStyle w:val="P23"/>
      </w:pPr>
      <w:r>
        <w:t>Planområdet är idag bebyggt med gata som angränsar till befintlig småhusbebyggelse.</w:t>
      </w:r>
    </w:p>
    <w:p>
      <w:pPr>
        <w:pStyle w:val="P3"/>
      </w:pPr>
      <w:bookmarkStart w:id="85" w:name="_Toc280260005"/>
      <w:bookmarkStart w:id="86" w:name="_Toc280260451"/>
      <w:r>
        <w:t>Gator och trafik</w:t>
      </w:r>
      <w:bookmarkEnd w:id="85"/>
      <w:bookmarkEnd w:id="86"/>
    </w:p>
    <w:p>
      <w:pPr>
        <w:pStyle w:val="P23"/>
      </w:pPr>
      <w:r>
        <w:rPr>
          <w:noProof w:val="1"/>
        </w:rPr>
        <w:drawing>
          <wp:anchor xmlns:wp="http://schemas.openxmlformats.org/drawingml/2006/wordprocessingDrawing" distT="0" distB="0" distL="114300" distR="114300" simplePos="0" relativeHeight="251661314" behindDoc="1" locked="0" layoutInCell="1" allowOverlap="1">
            <wp:simplePos x="0" y="0"/>
            <wp:positionH relativeFrom="column">
              <wp:posOffset>727710</wp:posOffset>
            </wp:positionH>
            <wp:positionV relativeFrom="paragraph">
              <wp:posOffset>641985</wp:posOffset>
            </wp:positionV>
            <wp:extent cx="2159635" cy="1619250"/>
            <wp:effectExtent l="0" t="0" r="0" b="0"/>
            <wp:wrapTight wrapText="bothSides">
              <wp:wrapPolygon edited="0">
                <wp:start x="0" y="0"/>
                <wp:lineTo x="0" y="21346"/>
                <wp:lineTo x="21340" y="21346"/>
                <wp:lineTo x="21340" y="0"/>
                <wp:lineTo x="0" y="0"/>
              </wp:wrapPolygon>
            </wp:wrapTight>
            <wp:docPr id="3" name="Bildobjekt 3" descr="En bild som visar utomhus, väg, himmel, mar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utomhus, väg, himmel, mark&#10;&#10;Automatiskt genererad beskrivning"/>
                    <pic:cNvPicPr>
                      <a:picLocks noChangeAspect="1" noChangeArrowheads="1"/>
                    </pic:cNvPicPr>
                  </pic:nvPicPr>
                  <pic:blipFill dpi="0">
                    <a:blip xmlns:r="http://schemas.openxmlformats.org/officeDocument/2006/relationships" r:embed="Relimage3" cstate="print"/>
                    <a:srcRect/>
                    <a:stretch>
                      <a:fillRect/>
                    </a:stretch>
                  </pic:blipFill>
                  <pic:spPr bwMode="auto">
                    <a:xfrm>
                      <a:off x="0" y="0"/>
                      <a:ext cx="2159635" cy="1619250"/>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251661315" behindDoc="1" locked="0" layoutInCell="1" allowOverlap="1">
            <wp:simplePos x="0" y="0"/>
            <wp:positionH relativeFrom="column">
              <wp:posOffset>2946400</wp:posOffset>
            </wp:positionH>
            <wp:positionV relativeFrom="paragraph">
              <wp:posOffset>636270</wp:posOffset>
            </wp:positionV>
            <wp:extent cx="2159635" cy="1619250"/>
            <wp:effectExtent l="0" t="0" r="0" b="0"/>
            <wp:wrapTight wrapText="bothSides">
              <wp:wrapPolygon edited="0">
                <wp:start x="0" y="0"/>
                <wp:lineTo x="0" y="21346"/>
                <wp:lineTo x="21340" y="21346"/>
                <wp:lineTo x="21340" y="0"/>
                <wp:lineTo x="0" y="0"/>
              </wp:wrapPolygon>
            </wp:wrapTight>
            <wp:docPr id="5" name="Bildobjekt 5" descr="En bild som visar träd, väg,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räd, väg, utomhus, gräs&#10;&#10;Automatiskt genererad beskrivning"/>
                    <pic:cNvPicPr>
                      <a:picLocks noChangeAspect="1" noChangeArrowheads="1"/>
                    </pic:cNvPicPr>
                  </pic:nvPicPr>
                  <pic:blipFill dpi="0">
                    <a:blip xmlns:r="http://schemas.openxmlformats.org/officeDocument/2006/relationships" r:embed="Relimage4" cstate="print"/>
                    <a:srcRect/>
                    <a:stretch>
                      <a:fillRect/>
                    </a:stretch>
                  </pic:blipFill>
                  <pic:spPr bwMode="auto">
                    <a:xfrm>
                      <a:off x="0" y="0"/>
                      <a:ext cx="2160000" cy="1619772"/>
                    </a:xfrm>
                    <a:prstGeom prst="rect"/>
                    <a:noFill/>
                    <a:ln>
                      <a:noFill/>
                    </a:ln>
                  </pic:spPr>
                </pic:pic>
              </a:graphicData>
            </a:graphic>
          </wp:anchor>
        </w:drawing>
      </w:r>
      <w:r>
        <w:t>För att skapa trygg skolväg kommer cykelväg att behöva byggas från korsningen Gemlavägen/Mältarevägen, där det idag saknas separat gång- och cykelväg.</w:t>
      </w:r>
    </w:p>
    <w:p>
      <w:pPr>
        <w:pStyle w:val="P3"/>
        <w:rPr>
          <w:rStyle w:val="C8"/>
          <w:b w:val="0"/>
          <w:bCs w:val="0"/>
        </w:rPr>
      </w:pPr>
      <w:bookmarkStart w:id="87" w:name="_Toc280260008"/>
      <w:bookmarkStart w:id="88" w:name="_Toc280260454"/>
      <w:r>
        <w:rPr>
          <w:rStyle w:val="C8"/>
          <w:b w:val="0"/>
          <w:bCs w:val="0"/>
        </w:rPr>
        <w:t>Till vänster: Gemlavägen västerut, till höger: Gemlavägen österut.</w:t>
      </w:r>
    </w:p>
    <w:p>
      <w:pPr>
        <w:pStyle w:val="P3"/>
      </w:pPr>
      <w:r>
        <w:t>Tillgänglighet</w:t>
      </w:r>
    </w:p>
    <w:p>
      <w:pPr>
        <w:pStyle w:val="P23"/>
      </w:pPr>
      <w:r>
        <w:t xml:space="preserve">Då planområdet ligger inom Alvesta tätort, som har ett väl utbyggt gatunät, kan planområdet med lätthet nås med både bil, cykel och till fots. Busshållplats finns även inom gångavstånd. </w:t>
      </w:r>
    </w:p>
    <w:p>
      <w:pPr>
        <w:pStyle w:val="P3"/>
      </w:pPr>
      <w:r>
        <w:t>Teknisk försörjning</w:t>
      </w:r>
      <w:bookmarkEnd w:id="87"/>
      <w:bookmarkEnd w:id="88"/>
    </w:p>
    <w:p>
      <w:pPr>
        <w:pStyle w:val="P23"/>
      </w:pPr>
      <w:r>
        <w:t xml:space="preserve">VA-nät, samt elnät är utbyggt inom området. </w:t>
      </w:r>
    </w:p>
    <w:p>
      <w:pPr>
        <w:pStyle w:val="P3"/>
      </w:pPr>
      <w:bookmarkStart w:id="89" w:name="_Toc280260010"/>
      <w:bookmarkStart w:id="90" w:name="_Toc280260456"/>
      <w:r>
        <w:t>Fornlämningar</w:t>
      </w:r>
      <w:bookmarkEnd w:id="89"/>
      <w:bookmarkEnd w:id="90"/>
    </w:p>
    <w:p>
      <w:pPr>
        <w:pStyle w:val="P23"/>
      </w:pPr>
      <w:r>
        <w:t>Om det vid utgrävning eller annat arbete skulle påträffas fornlämningar som inte tidigare varit kända, ska arbetet omedelbart avbrytas och Länsstyrelsen underrättas.</w:t>
      </w:r>
      <w:bookmarkStart w:id="91" w:name="_Toc280260011"/>
      <w:bookmarkStart w:id="92" w:name="_Toc280260457"/>
    </w:p>
    <w:p>
      <w:pPr>
        <w:pStyle w:val="P3"/>
        <w:ind w:firstLine="1134" w:left="0"/>
      </w:pPr>
      <w:r>
        <w:t>Geotekniska förhållanden</w:t>
      </w:r>
      <w:bookmarkEnd w:id="91"/>
      <w:bookmarkEnd w:id="92"/>
    </w:p>
    <w:p>
      <w:pPr>
        <w:pStyle w:val="P23"/>
      </w:pPr>
      <w:bookmarkStart w:id="93" w:name="_Toc280260012"/>
      <w:bookmarkStart w:id="94" w:name="_Toc280260458"/>
      <w:r>
        <w:t xml:space="preserve">Marken utgörs av jordarten sandig morän enligt Sveriges geologiska undersökning (2021). Berggrunden är granit och belägen 3–5 meter under jordlagret (SGU 2021). Bedömningen är att markförhållandena ger goda förutsättningar för byggnation. </w:t>
      </w:r>
    </w:p>
    <w:p>
      <w:pPr>
        <w:pStyle w:val="P23"/>
        <w:keepNext w:val="1"/>
        <w:rPr>
          <w:i w:val="1"/>
          <w:color w:val="7F7F7F" w:themeColor="text1" w:themeTint="80"/>
          <w:sz w:val="20"/>
          <w:szCs w:val="20"/>
        </w:rPr>
      </w:pPr>
      <w:r>
        <w:rPr>
          <w:i w:val="1"/>
          <w:noProof w:val="1"/>
          <w:color w:val="7F7F7F" w:themeColor="text1" w:themeTint="80"/>
          <w:sz w:val="20"/>
          <w:szCs w:val="20"/>
        </w:rPr>
        <w:drawing>
          <wp:inline xmlns:wp="http://schemas.openxmlformats.org/drawingml/2006/wordprocessingDrawing" distT="0" distB="0" distL="0" distR="0">
            <wp:extent cx="4499610" cy="3057525"/>
            <wp:effectExtent l="0" t="0" r="0" b="9525"/>
            <wp:docPr id="161583995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39952" name="Bildobjekt 3"/>
                    <pic:cNvPicPr/>
                  </pic:nvPicPr>
                  <pic:blipFill dpi="0">
                    <a:blip xmlns:r="http://schemas.openxmlformats.org/officeDocument/2006/relationships" r:embed="Relimage5" cstate="print"/>
                    <a:srcRect t="1942" b="1942"/>
                    <a:stretch>
                      <a:fillRect/>
                    </a:stretch>
                  </pic:blipFill>
                  <pic:spPr bwMode="auto">
                    <a:xfrm>
                      <a:off x="0" y="0"/>
                      <a:ext cx="4500001" cy="3058121"/>
                    </a:xfrm>
                    <a:prstGeom prst="rect"/>
                    <a:ln>
                      <a:noFill/>
                    </a:ln>
                  </pic:spPr>
                </pic:pic>
              </a:graphicData>
            </a:graphic>
          </wp:inline>
        </w:drawing>
      </w:r>
      <w:r>
        <w:rPr>
          <w:rStyle w:val="C8"/>
        </w:rPr>
        <w:t>Kartan visar jordarter inom planområdet (svart skrafferat område): ljusblå är sandig morän.</w:t>
      </w:r>
    </w:p>
    <w:p>
      <w:pPr>
        <w:pStyle w:val="P3"/>
      </w:pPr>
      <w:r>
        <w:t>Förorenad mark</w:t>
      </w:r>
      <w:bookmarkEnd w:id="93"/>
      <w:bookmarkEnd w:id="94"/>
    </w:p>
    <w:p>
      <w:pPr>
        <w:pStyle w:val="P23"/>
      </w:pPr>
      <w:bookmarkStart w:id="95" w:name="_Toc280260013"/>
      <w:bookmarkStart w:id="96" w:name="_Toc280260459"/>
      <w:r>
        <w:t>Den som äger eller brukar en fastighet skall oavsett om området tidigare ansetts förorenat genast underrätta tillsynsmyndigheten om det upptäcks en förorening på fastigheten och föroreningen kan medföra skada eller olägenhet för människors hälsa eller miljön, i enlighet med 10 kap 11 § Miljöbalken.</w:t>
      </w:r>
    </w:p>
    <w:p>
      <w:pPr>
        <w:pStyle w:val="P3"/>
        <w:rPr>
          <w:rStyle w:val="C8"/>
          <w:rFonts w:asciiTheme="minorHAnsi" w:hAnsiTheme="minorHAnsi" w:cstheme="minorHAnsi"/>
          <w:i w:val="0"/>
          <w:color w:val="auto"/>
          <w:sz w:val="22"/>
          <w:szCs w:val="26"/>
        </w:rPr>
      </w:pPr>
      <w:bookmarkEnd w:id="95"/>
      <w:bookmarkEnd w:id="96"/>
      <w:bookmarkStart w:id="97" w:name="_Toc280260014"/>
      <w:bookmarkStart w:id="98" w:name="_Toc280260460"/>
      <w:r>
        <w:t>Störningar</w:t>
      </w:r>
      <w:bookmarkEnd w:id="97"/>
      <w:bookmarkEnd w:id="98"/>
    </w:p>
    <w:p>
      <w:pPr>
        <w:pStyle w:val="P4"/>
      </w:pPr>
      <w:r>
        <w:t>Buller</w:t>
      </w:r>
    </w:p>
    <w:p>
      <w:pPr>
        <w:pStyle w:val="P23"/>
      </w:pPr>
      <w:r>
        <w:t xml:space="preserve">Gång- och cykelväg som komplement till redan befintlig väg bedöms inte medföra förhöjda bullernivåer. </w:t>
      </w:r>
    </w:p>
    <w:p>
      <w:pPr>
        <w:pStyle w:val="P23"/>
      </w:pPr>
      <w:bookmarkStart w:id="99" w:name="_Toc280260461"/>
      <w:bookmarkStart w:id="100" w:name="_Toc86648186"/>
      <w:bookmarkStart w:id="101" w:name="_Toc280261214"/>
      <w:bookmarkStart w:id="102" w:name="_Toc280261579"/>
      <w:bookmarkStart w:id="103" w:name="_Toc280260769"/>
      <w:r>
        <w:br w:type="page"/>
      </w:r>
    </w:p>
    <w:p>
      <w:pPr>
        <w:pStyle w:val="P1"/>
        <w:numPr>
          <w:ilvl w:val="0"/>
          <w:numId w:val="27"/>
        </w:numPr>
      </w:pPr>
      <w:r>
        <w:t>PLANFÖRSLAG</w:t>
      </w:r>
      <w:bookmarkEnd w:id="99"/>
      <w:bookmarkEnd w:id="100"/>
      <w:bookmarkEnd w:id="101"/>
      <w:bookmarkEnd w:id="102"/>
      <w:bookmarkEnd w:id="103"/>
    </w:p>
    <w:p>
      <w:pPr>
        <w:pStyle w:val="P2"/>
      </w:pPr>
      <w:bookmarkStart w:id="104" w:name="_Toc275242360"/>
      <w:bookmarkStart w:id="105" w:name="_Toc280261582"/>
      <w:bookmarkStart w:id="106" w:name="_Toc280260772"/>
      <w:bookmarkStart w:id="107" w:name="_Toc280261217"/>
      <w:bookmarkStart w:id="108" w:name="_Toc280260472"/>
      <w:r>
        <w:t>Bebyggelseområden</w:t>
      </w:r>
    </w:p>
    <w:p>
      <w:pPr>
        <w:pStyle w:val="P4"/>
      </w:pPr>
      <w:r>
        <w:t>Användningsbestämmelser:</w:t>
      </w:r>
    </w:p>
    <w:p>
      <w:pPr>
        <w:pStyle w:val="P3"/>
      </w:pPr>
      <w:bookmarkEnd w:id="104"/>
      <w:bookmarkEnd w:id="105"/>
      <w:bookmarkEnd w:id="106"/>
      <w:bookmarkEnd w:id="107"/>
      <w:bookmarkEnd w:id="108"/>
      <w:r>
        <w:t xml:space="preserve">GATA - </w:t>
      </w:r>
      <w:r>
        <w:rPr>
          <w:b w:val="0"/>
          <w:bCs w:val="0"/>
        </w:rPr>
        <w:t>gata</w:t>
      </w:r>
    </w:p>
    <w:p>
      <w:pPr>
        <w:pStyle w:val="P23"/>
      </w:pPr>
      <w:bookmarkStart w:id="109" w:name="_Hlk120101184"/>
      <w:bookmarkStart w:id="110" w:name="mo_motivtillreglering01"/>
      <w:r>
        <w:t xml:space="preserve">Gemlavägen planläggs som allmän platsmark, </w:t>
      </w:r>
      <w:r>
        <w:rPr>
          <w:b w:val="1"/>
          <w:bCs w:val="1"/>
        </w:rPr>
        <w:t>GATA</w:t>
      </w:r>
      <w:bookmarkEnd w:id="109"/>
      <w:r>
        <w:t xml:space="preserve">, med en bredd 10,5–12 meter. Delar av användningsområdet är sedan tidigare planlagt som gata, men behöver breddas. Användningsområdet </w:t>
      </w:r>
      <w:r>
        <w:rPr>
          <w:b w:val="1"/>
          <w:bCs w:val="1"/>
        </w:rPr>
        <w:t>GATA</w:t>
      </w:r>
      <w:r>
        <w:t xml:space="preserve"> ska inrymma utbyggnad av gång- och cykelväg. Gång- och cykelvägen ansluts till den befintliga gång- och cykelvägen som är utbyggd fram till korsningen Gemlavägen/Mältarevägen. </w:t>
      </w:r>
    </w:p>
    <w:p>
      <w:pPr>
        <w:pStyle w:val="P3"/>
      </w:pPr>
      <w:bookmarkEnd w:id="110"/>
      <w:r>
        <w:t xml:space="preserve">B – </w:t>
      </w:r>
      <w:r>
        <w:rPr>
          <w:b w:val="0"/>
          <w:bCs w:val="0"/>
        </w:rPr>
        <w:t>bostäder</w:t>
      </w:r>
    </w:p>
    <w:p>
      <w:pPr>
        <w:pStyle w:val="P23"/>
      </w:pPr>
      <w:bookmarkStart w:id="111" w:name="mo_motivtillreglering02"/>
      <w:r>
        <w:t xml:space="preserve">Del av mark avsedd för naturområde i detaljplan A147 reglerad som NATUR används idag som bostadsmark utan bebyggelse. Förslaget är att ändra markanvändningen till </w:t>
      </w:r>
      <w:r>
        <w:rPr>
          <w:b w:val="1"/>
          <w:bCs w:val="1"/>
        </w:rPr>
        <w:t xml:space="preserve">B – bostäder.  </w:t>
      </w:r>
    </w:p>
    <w:p>
      <w:pPr>
        <w:pStyle w:val="P4"/>
      </w:pPr>
      <w:bookmarkEnd w:id="111"/>
      <w:r>
        <w:t>Egenskapsbestämmelser:</w:t>
      </w:r>
    </w:p>
    <w:p>
      <w:pPr>
        <w:pStyle w:val="P23"/>
      </w:pPr>
      <w:bookmarkStart w:id="112" w:name="mo_motivtillreglering03"/>
      <w:r>
        <w:t xml:space="preserve">Syftet är inte att marken inom B – bostäder ska utökas med bostadsbyggnation. Därmed föreslås en egenskapsbestämmelse som begränsar marken nyttjande </w:t>
      </w:r>
      <w:r>
        <w:rPr>
          <w:b w:val="1"/>
          <w:bCs w:val="1"/>
        </w:rPr>
        <w:t>Prickmark - Marken får inte förses med byggnad</w:t>
      </w:r>
      <w:r>
        <w:t xml:space="preserve">. </w:t>
      </w:r>
    </w:p>
    <w:p>
      <w:pPr>
        <w:pStyle w:val="P23"/>
      </w:pPr>
      <w:bookmarkEnd w:id="112"/>
      <w:bookmarkStart w:id="113" w:name="mo_motivtillreglering04"/>
      <w:r>
        <w:rPr>
          <w:b w:val="1"/>
          <w:bCs w:val="1"/>
        </w:rPr>
        <w:t>Utfartsförbud</w:t>
      </w:r>
      <w:r>
        <w:t xml:space="preserve"> förläggs mellan Gemlavägen/Åsenlundsvägen och kvartersmark för bostäder.</w:t>
      </w:r>
    </w:p>
    <w:p>
      <w:pPr>
        <w:pStyle w:val="P2"/>
      </w:pPr>
      <w:bookmarkEnd w:id="113"/>
      <w:bookmarkStart w:id="114" w:name="_Toc280260478"/>
      <w:bookmarkStart w:id="115" w:name="_Toc280261218"/>
      <w:bookmarkStart w:id="116" w:name="_Toc280261583"/>
      <w:bookmarkStart w:id="117" w:name="_Toc280260773"/>
      <w:r>
        <w:t>TEKNISK FÖRSÖRJNING</w:t>
      </w:r>
      <w:bookmarkEnd w:id="114"/>
      <w:bookmarkEnd w:id="115"/>
      <w:bookmarkEnd w:id="116"/>
      <w:bookmarkEnd w:id="117"/>
    </w:p>
    <w:p>
      <w:pPr>
        <w:pStyle w:val="P3"/>
      </w:pPr>
      <w:bookmarkStart w:id="118" w:name="_Toc280260033"/>
      <w:bookmarkStart w:id="119" w:name="_Toc280260479"/>
      <w:r>
        <w:t>Dagvattenhantering</w:t>
      </w:r>
      <w:bookmarkEnd w:id="118"/>
      <w:bookmarkEnd w:id="119"/>
    </w:p>
    <w:p>
      <w:pPr>
        <w:pStyle w:val="P23"/>
      </w:pPr>
      <w:r>
        <w:t xml:space="preserve">Dagvatten från gatumark släpps inom befintlig tätortsbebyggelse till det kommunala ledningsnätet. Öster om befintlig tätortsbebyggelse kommer dagvatten från gatumark fördröjas genom avrinning till diken utmed vägbanan var infiltration kan ske.  </w:t>
      </w:r>
    </w:p>
    <w:p>
      <w:pPr>
        <w:pStyle w:val="P3"/>
      </w:pPr>
      <w:bookmarkStart w:id="120" w:name="_Toc280260035"/>
      <w:bookmarkStart w:id="121" w:name="_Toc280260481"/>
      <w:r>
        <w:t>Elnät</w:t>
      </w:r>
      <w:bookmarkEnd w:id="120"/>
      <w:bookmarkEnd w:id="121"/>
    </w:p>
    <w:p>
      <w:pPr>
        <w:pStyle w:val="P23"/>
      </w:pPr>
      <w:bookmarkStart w:id="122" w:name="_Toc280260036"/>
      <w:bookmarkStart w:id="123" w:name="_Toc280260482"/>
      <w:r>
        <w:t>Alvesta Elnät AB ansvarar för elförsörjningen inom området.</w:t>
      </w:r>
      <w:bookmarkEnd w:id="122"/>
      <w:bookmarkEnd w:id="123"/>
      <w:bookmarkStart w:id="124" w:name="_Toc280260484"/>
      <w:bookmarkStart w:id="125" w:name="_Toc54351727"/>
      <w:bookmarkStart w:id="126" w:name="_Toc280261219"/>
      <w:bookmarkStart w:id="127" w:name="_Toc280261584"/>
      <w:bookmarkStart w:id="128" w:name="_Toc280260774"/>
      <w:r>
        <w:br w:type="page"/>
      </w:r>
    </w:p>
    <w:p>
      <w:pPr>
        <w:pStyle w:val="P1"/>
        <w:numPr>
          <w:ilvl w:val="0"/>
          <w:numId w:val="25"/>
        </w:numPr>
      </w:pPr>
      <w:bookmarkStart w:id="129" w:name="_Toc86648187"/>
      <w:r>
        <w:t>KONSEKVENSER AV PLANFÖRSLAGET</w:t>
      </w:r>
      <w:bookmarkEnd w:id="124"/>
      <w:bookmarkEnd w:id="125"/>
      <w:bookmarkEnd w:id="126"/>
      <w:bookmarkEnd w:id="127"/>
      <w:bookmarkEnd w:id="128"/>
      <w:bookmarkEnd w:id="129"/>
    </w:p>
    <w:p>
      <w:pPr>
        <w:pStyle w:val="P3"/>
      </w:pPr>
      <w:bookmarkStart w:id="130" w:name="_Toc280260039"/>
      <w:bookmarkStart w:id="131" w:name="_Toc280260485"/>
      <w:r>
        <w:t>Miljökvalitetsnormer</w:t>
      </w:r>
      <w:bookmarkEnd w:id="130"/>
      <w:bookmarkEnd w:id="131"/>
      <w:r>
        <w:t xml:space="preserve"> (MKN)</w:t>
      </w:r>
    </w:p>
    <w:p>
      <w:pPr>
        <w:pStyle w:val="P4"/>
      </w:pPr>
      <w:bookmarkStart w:id="132" w:name="_Toc280260040"/>
      <w:bookmarkStart w:id="133" w:name="_Toc280260486"/>
      <w:r>
        <w:t>MKN för luft</w:t>
      </w:r>
    </w:p>
    <w:p>
      <w:pPr>
        <w:pStyle w:val="P23"/>
      </w:pPr>
      <w:r>
        <w:t xml:space="preserve">Luftföroreningar har i spridningsmodeller (Luftvårdsförbundet Kronoberg 2016) på Växjövägen bedömts enligt tabell nedan och således inte överskridit gällande miljökvalitetsnormer för luftföroreningar. Uppmätta värden är även under de fastställda riktvärdena (preciseringarna) i miljömålet </w:t>
      </w:r>
      <w:r>
        <w:rPr>
          <w:i w:val="1"/>
        </w:rPr>
        <w:t>Frisk luft</w:t>
      </w:r>
      <w:r>
        <w:t>.</w:t>
      </w:r>
    </w:p>
    <w:tbl>
      <w:tblPr>
        <w:tblW w:w="7267" w:type="dxa"/>
        <w:tblInd w:w="1158" w:type="dxa"/>
        <w:tblBorders>
          <w:insideH w:val="single" w:sz="4" w:space="0" w:shadow="0" w:frame="0" w:color="D9D9D9" w:themeColor="background1" w:themeShade="D9"/>
          <w:insideV w:val="single" w:sz="4" w:space="0" w:shadow="0" w:frame="0" w:color="D9D9D9" w:themeColor="background1" w:themeShade="D9"/>
        </w:tblBorders>
        <w:tblCellMar>
          <w:left w:w="70" w:type="dxa"/>
          <w:right w:w="70" w:type="dxa"/>
        </w:tblCellMar>
        <w:tblLook w:val="04A0"/>
      </w:tblPr>
      <w:tblGrid/>
      <w:tr>
        <w:trPr>
          <w:trHeight w:hRule="atLeast" w:val="263"/>
        </w:trPr>
        <w:tc>
          <w:tcPr>
            <w:tcW w:w="1217" w:type="dxa"/>
            <w:vAlign w:val="bottom"/>
            <w:hideMark/>
          </w:tcPr>
          <w:p>
            <w:pPr>
              <w:jc w:val="right"/>
              <w:rPr>
                <w:rFonts w:asciiTheme="minorHAnsi" w:hAnsiTheme="minorHAnsi" w:cstheme="minorHAnsi"/>
                <w:sz w:val="20"/>
                <w:szCs w:val="20"/>
              </w:rPr>
            </w:pPr>
            <w:r>
              <w:rPr>
                <w:rFonts w:asciiTheme="minorHAnsi" w:hAnsiTheme="minorHAnsi" w:cstheme="minorHAnsi"/>
                <w:sz w:val="20"/>
              </w:rPr>
              <w:t> </w:t>
            </w:r>
          </w:p>
        </w:tc>
        <w:tc>
          <w:tcPr>
            <w:tcW w:w="2020" w:type="dxa"/>
            <w:vAlign w:val="bottom"/>
            <w:hideMark/>
          </w:tcPr>
          <w:p>
            <w:pPr>
              <w:jc w:val="right"/>
              <w:rPr>
                <w:rFonts w:asciiTheme="minorHAnsi" w:hAnsiTheme="minorHAnsi" w:cstheme="minorHAnsi"/>
                <w:sz w:val="20"/>
              </w:rPr>
            </w:pPr>
            <w:r>
              <w:rPr>
                <w:rFonts w:asciiTheme="minorHAnsi" w:hAnsiTheme="minorHAnsi" w:cstheme="minorHAnsi"/>
                <w:sz w:val="20"/>
              </w:rPr>
              <w:t>Växjövägen (årsmedel)</w:t>
            </w:r>
          </w:p>
        </w:tc>
        <w:tc>
          <w:tcPr>
            <w:tcW w:w="1275" w:type="dxa"/>
            <w:vAlign w:val="bottom"/>
            <w:hideMark/>
          </w:tcPr>
          <w:p>
            <w:pPr>
              <w:jc w:val="right"/>
              <w:rPr>
                <w:rFonts w:asciiTheme="minorHAnsi" w:hAnsiTheme="minorHAnsi" w:cstheme="minorHAnsi"/>
                <w:sz w:val="20"/>
              </w:rPr>
            </w:pPr>
            <w:r>
              <w:rPr>
                <w:rFonts w:asciiTheme="minorHAnsi" w:hAnsiTheme="minorHAnsi" w:cstheme="minorHAnsi"/>
                <w:sz w:val="20"/>
              </w:rPr>
              <w:t>MKN</w:t>
            </w:r>
          </w:p>
        </w:tc>
        <w:tc>
          <w:tcPr>
            <w:tcW w:w="1276" w:type="dxa"/>
            <w:vAlign w:val="bottom"/>
            <w:hideMark/>
          </w:tcPr>
          <w:p>
            <w:pPr>
              <w:jc w:val="right"/>
              <w:rPr>
                <w:rFonts w:asciiTheme="minorHAnsi" w:hAnsiTheme="minorHAnsi" w:cstheme="minorHAnsi"/>
                <w:sz w:val="20"/>
              </w:rPr>
            </w:pPr>
            <w:r>
              <w:rPr>
                <w:rFonts w:asciiTheme="minorHAnsi" w:hAnsiTheme="minorHAnsi" w:cstheme="minorHAnsi"/>
                <w:sz w:val="20"/>
              </w:rPr>
              <w:t>Miljömål</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WHO</w:t>
            </w:r>
          </w:p>
        </w:tc>
      </w:tr>
      <w:tr>
        <w:trPr>
          <w:trHeight w:hRule="atLeast" w:val="17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NO</w:t>
            </w:r>
            <w:r>
              <w:rPr>
                <w:rFonts w:asciiTheme="minorHAnsi" w:hAnsiTheme="minorHAnsi" w:cstheme="minorHAnsi"/>
                <w:sz w:val="20"/>
                <w:szCs w:val="20"/>
                <w:vertAlign w:val="subscript"/>
              </w:rPr>
              <w:t>2</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6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rPr>
            </w:pPr>
            <w:r>
              <w:rPr>
                <w:rFonts w:asciiTheme="minorHAnsi" w:hAnsiTheme="minorHAnsi" w:cstheme="minorHAnsi"/>
                <w:sz w:val="20"/>
              </w:rPr>
              <w:t>40 µg/m</w:t>
            </w:r>
            <w:r>
              <w:rPr>
                <w:rFonts w:asciiTheme="minorHAnsi" w:hAnsiTheme="minorHAnsi" w:cstheme="minorHAnsi"/>
                <w:sz w:val="20"/>
                <w:vertAlign w:val="superscript"/>
              </w:rPr>
              <w:t>3</w:t>
            </w:r>
          </w:p>
        </w:tc>
        <w:tc>
          <w:tcPr>
            <w:tcW w:w="1276" w:type="dxa"/>
            <w:vAlign w:val="center"/>
            <w:hideMark/>
          </w:tcPr>
          <w:p>
            <w:pPr>
              <w:jc w:val="right"/>
              <w:rPr>
                <w:rFonts w:asciiTheme="minorHAnsi" w:hAnsiTheme="minorHAnsi" w:cstheme="minorHAnsi"/>
                <w:sz w:val="20"/>
              </w:rPr>
            </w:pPr>
            <w:r>
              <w:rPr>
                <w:rFonts w:asciiTheme="minorHAnsi" w:hAnsiTheme="minorHAnsi" w:cstheme="minorHAnsi"/>
                <w:sz w:val="20"/>
              </w:rPr>
              <w:t>20 µg/m</w:t>
            </w:r>
            <w:r>
              <w:rPr>
                <w:rFonts w:asciiTheme="minorHAnsi" w:hAnsiTheme="minorHAnsi" w:cstheme="minorHAnsi"/>
                <w:sz w:val="20"/>
                <w:vertAlign w:val="superscript"/>
              </w:rPr>
              <w:t>3</w:t>
            </w:r>
          </w:p>
        </w:tc>
        <w:tc>
          <w:tcPr>
            <w:tcW w:w="1479" w:type="dxa"/>
            <w:noWrap/>
            <w:vAlign w:val="bottom"/>
            <w:hideMark/>
          </w:tcPr>
          <w:p>
            <w:pPr>
              <w:jc w:val="right"/>
              <w:rPr>
                <w:rFonts w:asciiTheme="minorHAnsi" w:hAnsiTheme="minorHAnsi" w:cstheme="minorHAnsi"/>
                <w:sz w:val="20"/>
              </w:rPr>
            </w:pPr>
            <w:r>
              <w:rPr>
                <w:rFonts w:asciiTheme="minorHAnsi" w:hAnsiTheme="minorHAnsi" w:cstheme="minorHAnsi"/>
                <w:sz w:val="20"/>
              </w:rPr>
              <w:t>10 µg/m</w:t>
            </w:r>
            <w:r>
              <w:rPr>
                <w:rFonts w:asciiTheme="minorHAnsi" w:hAnsiTheme="minorHAnsi" w:cstheme="minorHAnsi"/>
                <w:sz w:val="20"/>
                <w:vertAlign w:val="superscript"/>
              </w:rPr>
              <w:t>3</w:t>
            </w:r>
          </w:p>
        </w:tc>
      </w:tr>
      <w:tr>
        <w:trPr>
          <w:trHeight w:hRule="atLeast" w:val="205"/>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PM 10</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13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40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c>
          <w:tcPr>
            <w:tcW w:w="1479" w:type="dxa"/>
            <w:noWrap/>
            <w:vAlign w:val="bottom"/>
            <w:hideMark/>
          </w:tcPr>
          <w:p>
            <w:pPr>
              <w:jc w:val="right"/>
              <w:rPr>
                <w:rFonts w:ascii="Arial" w:hAnsi="Arial" w:cs="Arial"/>
                <w:sz w:val="20"/>
                <w:szCs w:val="20"/>
              </w:rPr>
            </w:pPr>
            <w:r>
              <w:rPr>
                <w:rFonts w:asciiTheme="minorHAnsi" w:hAnsiTheme="minorHAnsi" w:cstheme="minorHAnsi"/>
                <w:sz w:val="20"/>
              </w:rPr>
              <w:t>15 µg/m</w:t>
            </w:r>
            <w:r>
              <w:rPr>
                <w:rFonts w:asciiTheme="minorHAnsi" w:hAnsiTheme="minorHAnsi" w:cstheme="minorHAnsi"/>
                <w:sz w:val="20"/>
                <w:szCs w:val="20"/>
                <w:vertAlign w:val="superscript"/>
              </w:rPr>
              <w:t>3</w:t>
            </w:r>
          </w:p>
        </w:tc>
      </w:tr>
      <w:tr>
        <w:trPr>
          <w:trHeight w:hRule="atLeast" w:val="324"/>
        </w:trPr>
        <w:tc>
          <w:tcPr>
            <w:tcW w:w="1217" w:type="dxa"/>
            <w:vAlign w:val="center"/>
            <w:hideMark/>
          </w:tcPr>
          <w:p>
            <w:pPr>
              <w:rPr>
                <w:rFonts w:asciiTheme="minorHAnsi" w:hAnsiTheme="minorHAnsi" w:cstheme="minorHAnsi"/>
                <w:sz w:val="20"/>
                <w:szCs w:val="20"/>
              </w:rPr>
            </w:pPr>
            <w:r>
              <w:rPr>
                <w:rFonts w:asciiTheme="minorHAnsi" w:hAnsiTheme="minorHAnsi" w:cstheme="minorHAnsi"/>
                <w:sz w:val="20"/>
              </w:rPr>
              <w:t>Bensen</w:t>
            </w:r>
          </w:p>
        </w:tc>
        <w:tc>
          <w:tcPr>
            <w:tcW w:w="2020" w:type="dxa"/>
            <w:vAlign w:val="center"/>
            <w:hideMark/>
          </w:tcPr>
          <w:p>
            <w:pPr>
              <w:jc w:val="right"/>
              <w:rPr>
                <w:rFonts w:asciiTheme="minorHAnsi" w:hAnsiTheme="minorHAnsi" w:cstheme="minorHAnsi"/>
                <w:sz w:val="20"/>
                <w:szCs w:val="20"/>
              </w:rPr>
            </w:pPr>
            <w:r>
              <w:rPr>
                <w:rFonts w:asciiTheme="minorHAnsi" w:hAnsiTheme="minorHAnsi" w:cstheme="minorHAnsi"/>
                <w:sz w:val="20"/>
              </w:rPr>
              <w:t>0,9 µg/m</w:t>
            </w:r>
            <w:r>
              <w:rPr>
                <w:rFonts w:asciiTheme="minorHAnsi" w:hAnsiTheme="minorHAnsi" w:cstheme="minorHAnsi"/>
                <w:sz w:val="20"/>
                <w:szCs w:val="20"/>
                <w:vertAlign w:val="superscript"/>
              </w:rPr>
              <w:t>3</w:t>
            </w:r>
          </w:p>
        </w:tc>
        <w:tc>
          <w:tcPr>
            <w:tcW w:w="1275" w:type="dxa"/>
            <w:vAlign w:val="center"/>
            <w:hideMark/>
          </w:tcPr>
          <w:p>
            <w:pPr>
              <w:jc w:val="right"/>
              <w:rPr>
                <w:rFonts w:asciiTheme="minorHAnsi" w:hAnsiTheme="minorHAnsi" w:cstheme="minorHAnsi"/>
                <w:sz w:val="20"/>
                <w:szCs w:val="20"/>
              </w:rPr>
            </w:pPr>
            <w:r>
              <w:rPr>
                <w:rFonts w:asciiTheme="minorHAnsi" w:hAnsiTheme="minorHAnsi" w:cstheme="minorHAnsi"/>
                <w:sz w:val="20"/>
              </w:rPr>
              <w:t>5 µg/m</w:t>
            </w:r>
            <w:r>
              <w:rPr>
                <w:rFonts w:asciiTheme="minorHAnsi" w:hAnsiTheme="minorHAnsi" w:cstheme="minorHAnsi"/>
                <w:sz w:val="20"/>
                <w:szCs w:val="20"/>
                <w:vertAlign w:val="superscript"/>
              </w:rPr>
              <w:t>3</w:t>
            </w:r>
          </w:p>
        </w:tc>
        <w:tc>
          <w:tcPr>
            <w:tcW w:w="1276" w:type="dxa"/>
            <w:vAlign w:val="center"/>
            <w:hideMark/>
          </w:tcPr>
          <w:p>
            <w:pPr>
              <w:jc w:val="right"/>
              <w:rPr>
                <w:rFonts w:asciiTheme="minorHAnsi" w:hAnsiTheme="minorHAnsi" w:cstheme="minorHAnsi"/>
                <w:sz w:val="20"/>
                <w:szCs w:val="20"/>
              </w:rPr>
            </w:pPr>
            <w:r>
              <w:rPr>
                <w:rFonts w:asciiTheme="minorHAnsi" w:hAnsiTheme="minorHAnsi" w:cstheme="minorHAnsi"/>
                <w:sz w:val="20"/>
              </w:rPr>
              <w:t>1 µg/m</w:t>
            </w:r>
            <w:r>
              <w:rPr>
                <w:rFonts w:asciiTheme="minorHAnsi" w:hAnsiTheme="minorHAnsi" w:cstheme="minorHAnsi"/>
                <w:sz w:val="20"/>
                <w:szCs w:val="20"/>
                <w:vertAlign w:val="superscript"/>
              </w:rPr>
              <w:t>3</w:t>
            </w:r>
          </w:p>
        </w:tc>
        <w:tc>
          <w:tcPr>
            <w:tcW w:w="1479" w:type="dxa"/>
            <w:noWrap/>
            <w:vAlign w:val="bottom"/>
            <w:hideMark/>
          </w:tcPr>
          <w:p>
            <w:pPr>
              <w:rPr>
                <w:rFonts w:ascii="Arial" w:hAnsi="Arial" w:cs="Arial"/>
                <w:sz w:val="20"/>
                <w:szCs w:val="20"/>
              </w:rPr>
            </w:pPr>
          </w:p>
        </w:tc>
      </w:tr>
    </w:tbl>
    <w:p>
      <w:pPr>
        <w:pStyle w:val="P23"/>
      </w:pPr>
      <w:r>
        <w:t xml:space="preserve">Planförslaget bedöms medföra ökad mängd trafik genom området men inte generera någon betydande ökning av trafikmängder. Utbyggnad av gång- och cykelväg bedöms även medföra att större andel av trafiken sker gående eller med cykel. Planens genomförande bedöms inte medföra risk för överskridande av miljökvalitetsnormer för luft. </w:t>
      </w:r>
    </w:p>
    <w:p>
      <w:pPr>
        <w:pStyle w:val="P23"/>
      </w:pPr>
      <w:r>
        <w:t xml:space="preserve">Uppmätta värden är under de fastställda riktvärdena (preciseringarna) i miljömålet </w:t>
      </w:r>
      <w:r>
        <w:rPr>
          <w:i w:val="1"/>
        </w:rPr>
        <w:t xml:space="preserve">Frisk luft för Växjövägen, </w:t>
      </w:r>
      <w:r>
        <w:rPr>
          <w:iCs w:val="1"/>
        </w:rPr>
        <w:t>Gemlavägen är inte lika trafikerad som Växjövägen.</w:t>
      </w:r>
    </w:p>
    <w:p>
      <w:pPr>
        <w:pStyle w:val="P4"/>
      </w:pPr>
      <w:r>
        <w:t>MKN för vatten</w:t>
      </w:r>
    </w:p>
    <w:p>
      <w:pPr>
        <w:pStyle w:val="P23"/>
      </w:pPr>
      <w:r>
        <w:rPr>
          <w:color w:val="000000"/>
        </w:rPr>
        <w:t xml:space="preserve">Planområdets recipient är sjön Salen, som har måttlig ekologisk status (enligt redovisning i VISS, hämtad 2023-07-20) avseende kvalitetsfaktorerna växtplankton, fisk, näringsämnen, konnektivitet och hydrologisk regim. Bedömningen är att Salen ska uppfylla kvalitetskrav god ekologisk status 2033. Salen uppnår ej god kemisk ytvattenstatus på grund av kvicksilver och bromerad difenyleter vilka undantas från kvalitetskraven. </w:t>
      </w:r>
    </w:p>
    <w:p>
      <w:pPr>
        <w:pStyle w:val="P23"/>
        <w:rPr>
          <w:color w:val="000000"/>
        </w:rPr>
      </w:pPr>
      <w:r>
        <w:rPr>
          <w:color w:val="000000"/>
        </w:rPr>
        <w:t>Dagvatten från gatumark hanteras dels genom avrinning till befintligt kommunalt dagvattenledningsnät, dels genom avrinning till diken utmed vägbanan där fördröjning och rening sker genom infiltration. Bedömningen är således att miljökvalitetsnorm för vatten inte kommer att påverkas negativt i samband med ett genomförande av detaljplanen.</w:t>
      </w:r>
    </w:p>
    <w:p>
      <w:pPr>
        <w:pStyle w:val="P3"/>
      </w:pPr>
      <w:bookmarkEnd w:id="132"/>
      <w:bookmarkEnd w:id="133"/>
      <w:bookmarkStart w:id="134" w:name="_Toc280260045"/>
      <w:bookmarkStart w:id="135" w:name="_Toc280260491"/>
      <w:r>
        <w:t>Hälsa och säkerhet</w:t>
      </w:r>
      <w:bookmarkEnd w:id="134"/>
      <w:bookmarkEnd w:id="135"/>
    </w:p>
    <w:p>
      <w:pPr>
        <w:pStyle w:val="P4"/>
      </w:pPr>
      <w:r>
        <w:t>Trafik och buller</w:t>
      </w:r>
    </w:p>
    <w:p>
      <w:pPr>
        <w:pStyle w:val="P23"/>
      </w:pPr>
      <w:r>
        <w:t xml:space="preserve">Planförslaget möjliggör en förlängning av befintlig cykelväg på Gemlavägen som idag är utbyggt fram till korsningen med Mältarevägen. Ett väl utbyggt gång- och cykelvägnät leder till positiv inverkan på trafiksäkerhet. </w:t>
      </w:r>
    </w:p>
    <w:p>
      <w:pPr>
        <w:pStyle w:val="P23"/>
      </w:pPr>
      <w:r>
        <w:t>Trafikalstringen bedöms vara begränsad i omfattning och läge och fordon framförs i låga hastigheter och bedöms därmed ej överskrida riktvärden för buller inom eller i närmaste området utanför planområdet.</w:t>
      </w:r>
    </w:p>
    <w:p>
      <w:pPr>
        <w:pStyle w:val="P3"/>
      </w:pPr>
      <w:bookmarkStart w:id="136" w:name="_Toc280260047"/>
      <w:bookmarkStart w:id="137" w:name="_Toc280260493"/>
      <w:r>
        <w:t>Socialt perspektiv</w:t>
      </w:r>
      <w:bookmarkEnd w:id="136"/>
      <w:bookmarkEnd w:id="137"/>
      <w:r>
        <w:t xml:space="preserve"> och barnperspektivet</w:t>
      </w:r>
    </w:p>
    <w:p>
      <w:pPr>
        <w:pStyle w:val="P23"/>
      </w:pPr>
      <w:bookmarkStart w:id="138" w:name="_Toc280260048"/>
      <w:bookmarkStart w:id="139" w:name="_Toc280260494"/>
      <w:r>
        <w:t>Planförslaget är positivt ur socialt perspektiv och barnperspektivet då den möjliggör en säkrare väg för gående och cyklister.</w:t>
      </w:r>
    </w:p>
    <w:p>
      <w:pPr>
        <w:pStyle w:val="P2"/>
      </w:pPr>
      <w:bookmarkEnd w:id="138"/>
      <w:bookmarkEnd w:id="139"/>
      <w:bookmarkStart w:id="140" w:name="_Toc275242371"/>
      <w:r>
        <w:t>UNDERSÖKNING OM BETYDANDE MILJÖPÅVERKAN</w:t>
      </w:r>
    </w:p>
    <w:p>
      <w:pPr>
        <w:pStyle w:val="P23"/>
      </w:pPr>
      <w:bookmarkEnd w:id="140"/>
      <w:r>
        <w:t xml:space="preserve">Om genomförandet av en detaljplan antas medföra betydande miljöpåverkan ska en miljökonsekvensbeskrivning (MKB) upprättas enligt 4 kap. 34 § PBL och enligt 6 kap. 11 § miljöbalken. En undersökning görs för att utreda och bedöma om genomförandet av en detaljplan kan antas medföra betydande miljöpåverkan enligt förordningen om MKB (1998:905). </w:t>
      </w:r>
    </w:p>
    <w:p>
      <w:pPr>
        <w:pStyle w:val="P23"/>
      </w:pPr>
      <w:r>
        <w:t xml:space="preserve">Bedömningen är att planförslaget är förenligt med bestämmelserna i 3, 4 och 5 kap miljöbalken. Planen bedöms stämma överens med grundläggande bestämmelser för hushållning med mark- och vattenområden enligt 3 kap Miljöbalken. Området bedöms vara lämpat för den typ av exploatering som föreslås. </w:t>
      </w:r>
    </w:p>
    <w:p>
      <w:pPr>
        <w:pStyle w:val="P23"/>
      </w:pPr>
      <w:r>
        <w:t>Vad gäller miljökvalitetsnormer enligt 5 kap Miljöbalken är bedömningen att planförslaget inte medför ett överskridande av gällande normer då området är litet i sammanhanget.</w:t>
      </w:r>
    </w:p>
    <w:p>
      <w:pPr>
        <w:pStyle w:val="P23"/>
      </w:pPr>
      <w:bookmarkStart w:id="141" w:name="_Toc280260043"/>
      <w:bookmarkStart w:id="142" w:name="_Toc280260489"/>
      <w:r>
        <w:t>Planförslaget bedöms inte påverka aspekter som miljömål, natur- eller kulturmiljöer, visuell miljö och landskapsbild, rekreation, resurshushållning eller få betydande ekonomiska konsekvenser.</w:t>
      </w:r>
    </w:p>
    <w:p>
      <w:pPr>
        <w:pStyle w:val="P23"/>
      </w:pPr>
      <w:bookmarkEnd w:id="141"/>
      <w:bookmarkEnd w:id="142"/>
      <w:r>
        <w:br w:type="page"/>
      </w:r>
    </w:p>
    <w:p>
      <w:pPr>
        <w:pStyle w:val="P1"/>
        <w:numPr>
          <w:ilvl w:val="0"/>
          <w:numId w:val="18"/>
        </w:numPr>
      </w:pPr>
      <w:bookmarkStart w:id="143" w:name="_Toc86648188"/>
      <w:r>
        <w:t>GENOMFÖRANDE</w:t>
      </w:r>
      <w:bookmarkEnd w:id="143"/>
    </w:p>
    <w:p>
      <w:pPr>
        <w:pStyle w:val="P3"/>
      </w:pPr>
      <w:r>
        <w:t>Organisatoriska frågor</w:t>
      </w:r>
    </w:p>
    <w:p>
      <w:pPr>
        <w:pStyle w:val="P4"/>
      </w:pPr>
      <w:bookmarkStart w:id="144" w:name="_Toc280263791"/>
      <w:r>
        <w:t>Tidsplan</w:t>
      </w:r>
    </w:p>
    <w:p>
      <w:pPr>
        <w:pStyle w:val="P23"/>
      </w:pPr>
      <w:r>
        <w:t>Planförslaget samråddes mellan 17 februari 2025 – 10 mars 2025. Därefter ställdes planförslaget ut för granskning 14 maj – 30 maj 2025. Ett slutligt planförslag bedöms kunna antas under hösten 2025.</w:t>
      </w:r>
    </w:p>
    <w:p>
      <w:pPr>
        <w:pStyle w:val="P23"/>
      </w:pPr>
      <w:r>
        <w:t>Om ingen överklagar beslutet vinner detaljplanen laga kraft tre veckor efter den tidpunkt då planen antagits. Berörda har möjlighet att lämna synpunkter i samrådsskedet och i granskningsskedet.</w:t>
      </w:r>
    </w:p>
    <w:p>
      <w:pPr>
        <w:pStyle w:val="P4"/>
      </w:pPr>
      <w:r>
        <w:t>Genomförandetid</w:t>
      </w:r>
    </w:p>
    <w:p>
      <w:pPr>
        <w:pStyle w:val="P23"/>
      </w:pPr>
      <w:bookmarkStart w:id="145" w:name="be_genomförandetid01"/>
      <w:r>
        <w:t>Planens genomförandetid är satt till 5 år. Genomförandetiden räknas från det datum planen vinner laga kraft. Efter genomförandetidens utgång fortsätter planens bestämmelser att gälla fram till den tidpunkt då detaljplanen ändras eller upphävs.</w:t>
      </w:r>
    </w:p>
    <w:p>
      <w:pPr>
        <w:pStyle w:val="P4"/>
      </w:pPr>
      <w:bookmarkEnd w:id="145"/>
      <w:r>
        <w:t>Huvudmannaskap</w:t>
      </w:r>
    </w:p>
    <w:p>
      <w:pPr>
        <w:pStyle w:val="P23"/>
      </w:pPr>
      <w:r>
        <w:t>Kommunen är huvudman för allmän platsmark.</w:t>
      </w:r>
      <w:r>
        <w:rPr>
          <w:rStyle w:val="C11"/>
          <w:rFonts w:ascii="Times New Roman" w:hAnsi="Times New Roman"/>
        </w:rPr>
        <w:t xml:space="preserve"> </w:t>
      </w:r>
    </w:p>
    <w:p>
      <w:pPr>
        <w:pStyle w:val="P4"/>
      </w:pPr>
      <w:r>
        <w:t>Verkan på andra detaljplaner</w:t>
      </w:r>
    </w:p>
    <w:p>
      <w:pPr>
        <w:pStyle w:val="P22"/>
        <w:rPr>
          <w:rFonts w:ascii="Calibri Light" w:hAnsi="Calibri Light" w:cs="Calibri Light"/>
          <w:bCs w:val="0"/>
          <w:noProof w:val="0"/>
        </w:rPr>
      </w:pPr>
      <w:r>
        <w:rPr>
          <w:rFonts w:ascii="Calibri Light" w:hAnsi="Calibri Light" w:cs="Calibri Light"/>
          <w:bCs w:val="0"/>
          <w:noProof w:val="0"/>
        </w:rPr>
        <w:t xml:space="preserve">Vid lagakraftvunnen detaljplan ersätts delar av befintliga detaljplaner A121 och A129 enligt föreliggande planförslag. </w:t>
      </w:r>
    </w:p>
    <w:p>
      <w:pPr>
        <w:pStyle w:val="P4"/>
      </w:pPr>
      <w:r>
        <w:t>Ansvarsfördelning</w:t>
      </w:r>
    </w:p>
    <w:tbl>
      <w:tblPr>
        <w:tblW w:w="8046"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rPr>
          <w:trHeight w:hRule="atLeast" w:val="884"/>
        </w:trPr>
        <w:tc>
          <w:tcPr>
            <w:tcW w:w="2837" w:type="dxa"/>
            <w:shd w:val="clear" w:color="auto" w:fill="DDD9C3"/>
          </w:tcPr>
          <w:p>
            <w:pPr>
              <w:rPr>
                <w:rFonts w:ascii="Calibri Light" w:hAnsi="Calibri Light" w:cs="Calibri Light"/>
                <w:sz w:val="22"/>
                <w:szCs w:val="22"/>
              </w:rPr>
            </w:pPr>
          </w:p>
          <w:p>
            <w:pPr>
              <w:rPr>
                <w:rFonts w:ascii="Calibri Light" w:hAnsi="Calibri Light" w:cs="Calibri Light"/>
              </w:rPr>
            </w:pPr>
            <w:r>
              <w:rPr>
                <w:rFonts w:ascii="Calibri Light" w:hAnsi="Calibri Light" w:cs="Calibri Light"/>
                <w:sz w:val="22"/>
                <w:szCs w:val="22"/>
              </w:rPr>
              <w:t>Ansvarig</w:t>
            </w:r>
          </w:p>
        </w:tc>
        <w:tc>
          <w:tcPr>
            <w:tcW w:w="5209"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Åtgärder</w:t>
            </w:r>
          </w:p>
        </w:tc>
      </w:tr>
      <w:tr>
        <w:trPr>
          <w:trHeight w:hRule="atLeast" w:val="964"/>
        </w:trPr>
        <w:tc>
          <w:tcPr>
            <w:tcW w:w="2837" w:type="dxa"/>
            <w:shd w:val="clear" w:color="auto" w:fill="F2F2F2"/>
          </w:tcPr>
          <w:p>
            <w:pPr>
              <w:rPr>
                <w:rFonts w:ascii="Calibri Light" w:hAnsi="Calibri Light" w:cs="Calibri Light"/>
              </w:rPr>
            </w:pPr>
            <w:r>
              <w:rPr>
                <w:rFonts w:ascii="Calibri Light" w:hAnsi="Calibri Light" w:cs="Calibri Light"/>
                <w:sz w:val="22"/>
                <w:szCs w:val="22"/>
              </w:rPr>
              <w:t>Alvesta kommun</w:t>
            </w:r>
          </w:p>
        </w:tc>
        <w:tc>
          <w:tcPr>
            <w:tcW w:w="5209" w:type="dxa"/>
            <w:shd w:val="clear" w:color="auto" w:fill="F2F2F2"/>
          </w:tcPr>
          <w:p>
            <w:pPr>
              <w:pStyle w:val="P26"/>
              <w:numPr>
                <w:ilvl w:val="0"/>
                <w:numId w:val="16"/>
              </w:numPr>
              <w:rPr>
                <w:rFonts w:ascii="Calibri Light" w:hAnsi="Calibri Light" w:cs="Calibri Light"/>
              </w:rPr>
            </w:pPr>
            <w:r>
              <w:rPr>
                <w:rFonts w:ascii="Calibri Light" w:hAnsi="Calibri Light" w:cs="Calibri Light"/>
              </w:rPr>
              <w:t>Upprättar detaljplan.</w:t>
            </w:r>
          </w:p>
          <w:p>
            <w:pPr>
              <w:pStyle w:val="P26"/>
              <w:numPr>
                <w:ilvl w:val="0"/>
                <w:numId w:val="16"/>
              </w:numPr>
              <w:rPr>
                <w:rFonts w:ascii="Calibri Light" w:hAnsi="Calibri Light" w:cs="Calibri Light"/>
              </w:rPr>
            </w:pPr>
            <w:r>
              <w:rPr>
                <w:rFonts w:ascii="Calibri Light" w:hAnsi="Calibri Light" w:cs="Calibri Light"/>
              </w:rPr>
              <w:t xml:space="preserve">Ansöker och bekostar fastighetsreglering </w:t>
            </w:r>
          </w:p>
          <w:p>
            <w:pPr>
              <w:pStyle w:val="P26"/>
              <w:numPr>
                <w:ilvl w:val="0"/>
                <w:numId w:val="16"/>
              </w:numPr>
              <w:rPr>
                <w:rFonts w:ascii="Calibri Light" w:hAnsi="Calibri Light" w:cs="Calibri Light"/>
              </w:rPr>
            </w:pPr>
            <w:r>
              <w:rPr>
                <w:rFonts w:ascii="Calibri Light" w:hAnsi="Calibri Light" w:cs="Calibri Light"/>
              </w:rPr>
              <w:t>Genomför detaljplanen inom allmän platsmark</w:t>
            </w:r>
          </w:p>
        </w:tc>
      </w:tr>
    </w:tbl>
    <w:p>
      <w:pPr>
        <w:pStyle w:val="P4"/>
      </w:pPr>
      <w:r>
        <w:t xml:space="preserve">Planavtal </w:t>
      </w:r>
    </w:p>
    <w:p>
      <w:pPr>
        <w:pStyle w:val="P23"/>
      </w:pPr>
      <w:r>
        <w:t>Planavtal avses inte upprättas.</w:t>
      </w:r>
    </w:p>
    <w:p>
      <w:pPr>
        <w:pStyle w:val="P3"/>
        <w:ind w:firstLine="1134" w:left="0"/>
      </w:pPr>
      <w:r>
        <w:t>Ekonomiska frågor</w:t>
      </w:r>
    </w:p>
    <w:p>
      <w:pPr>
        <w:pStyle w:val="P23"/>
      </w:pPr>
      <w:r>
        <w:rPr>
          <w:color w:val="000000" w:themeColor="text1"/>
        </w:rPr>
        <w:t xml:space="preserve">Kommunen står för kostnader kopplade till </w:t>
      </w:r>
      <w:r>
        <w:t xml:space="preserve">genomförande av detaljplanens allmänna plats, det vill säga utbyggnad av gata samt gång- och cykelväg. </w:t>
      </w:r>
    </w:p>
    <w:p>
      <w:pPr>
        <w:pStyle w:val="P3"/>
      </w:pPr>
      <w:r>
        <w:t>Fastighetsrättsliga frågor</w:t>
      </w:r>
    </w:p>
    <w:p>
      <w:pPr>
        <w:pStyle w:val="P4"/>
      </w:pPr>
      <w:r>
        <w:t>Markinlösen</w:t>
      </w:r>
    </w:p>
    <w:p>
      <w:pPr>
        <w:pStyle w:val="P23"/>
      </w:pPr>
      <w:r>
        <w:t xml:space="preserve">Att inrymma gång- och cykelväg längs Gemlavägen är av allmänt intresse för att skapa en trygg och trafiksäker lösning längs Gemlavägen för alla trafikslag. Det finns befintlig gång- och cykelväg väster om planområdet fram till Mältarevägen och i framtiden är planen att skola ska byggas öster om planområdet med anslutande gång- och cykelväg. Delen inom denna detaljplan skulle då binda samman gång-och cykelvägnätet från den nya skolan mot Alvesta centrum och skapa trygg färdväg till och från skolan. Att bredda gatan och förlägga en separerad gång- och cykelväg ryms inte inom befintlig kommunal Allmän platsmark idag. Delar av nödvändig mark finns även inom den privatägda fastigheten Slättängen 7 som idag är planlagd som Kvartersmark för bostäder. Inför detaljplanens genomförande behövs därmed markinlösen ske. </w:t>
      </w:r>
    </w:p>
    <w:p>
      <w:pPr>
        <w:pStyle w:val="P23"/>
      </w:pPr>
      <w:r>
        <w:t xml:space="preserve">Detaljplanen omfattar minsta möjliga markområde som krävs för genomförandet, det vill säga allmän platsmark och ungefär 55 kvadratmeter kvartersmark inom Slättängen 7. Inom planområdet möjliggörs en 12 meter bred gatusektion väster om Spåningslandavägen och 10,5 meter öster om Spåningslandavägen. Gatusektionen inkluderar 1,5 meter gångbana (väster om Spåningslandavägen), 6,5 meter vägbana, 0,5 meter skyddsbarriär, 2,5 meter gång- och cykelväg samt 1 meter arbetsområde. </w:t>
      </w:r>
    </w:p>
    <w:p>
      <w:pPr>
        <w:pStyle w:val="P23"/>
        <w:rPr>
          <w:iCs w:val="1"/>
        </w:rPr>
      </w:pPr>
      <w:r>
        <w:t xml:space="preserve">Fastighetsägare till Slättängen 7 och kommunen har haft dialog gällande markinlösen men inte landat i en överenskommelse. I det fall överenskommelse inte träffas inför genomförande av detaljplanen kommer tvångsinlösen behöva ske. Kommunen får </w:t>
      </w:r>
      <w:r>
        <w:rPr>
          <w:iCs w:val="1"/>
        </w:rPr>
        <w:t xml:space="preserve">enligt 6 kap. 13 § PBL lösa in mark eller annat utrymme som enligt detaljplan ska användas för en allmän plats som kommunen ska vara huvudman för. Enligt 14 kap. 14 § PBL är kommunen skyldig att på fastighetsägarens begäran lösa in mark eller annat utrymme som enligt detaljplanen ska användas för en allmän plats som kommunen ska vara huvudman för. Värdering av markens marknadsvärde har gjorts av en extern värderare på beställning av kommunen och ligger till grund för inlösen. </w:t>
      </w:r>
    </w:p>
    <w:p>
      <w:pPr>
        <w:pStyle w:val="P4"/>
      </w:pPr>
      <w:r>
        <w:t>Konsekvenser på fastighetsnivå</w:t>
      </w:r>
    </w:p>
    <w:tbl>
      <w:tblPr>
        <w:tblW w:w="8001" w:type="dxa"/>
        <w:tblInd w:w="1134"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229"/>
        </w:trPr>
        <w:tc>
          <w:tcPr>
            <w:tcW w:w="3031"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Fastighet</w:t>
              <w:br w:type="textWrapping"/>
              <w:t>(inom planområdet)</w:t>
            </w:r>
          </w:p>
          <w:p>
            <w:pPr>
              <w:rPr>
                <w:rFonts w:ascii="Calibri Light" w:hAnsi="Calibri Light" w:cs="Calibri Light"/>
              </w:rPr>
            </w:pPr>
          </w:p>
        </w:tc>
        <w:tc>
          <w:tcPr>
            <w:tcW w:w="4970" w:type="dxa"/>
            <w:shd w:val="clear" w:color="auto" w:fill="DDD9C3"/>
          </w:tcPr>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Sammanfattning av konsekvenser</w:t>
            </w:r>
          </w:p>
        </w:tc>
      </w:tr>
      <w:tr>
        <w:trPr>
          <w:trHeight w:hRule="atLeast" w:val="1140"/>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Aringsås 15:1</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Genom fastighetsreglering överförs det som i detaljplanen anges som GATA, till den kommunala gatufastigheten Aringsås 15:1 från Slättängen 7.</w:t>
            </w:r>
          </w:p>
          <w:p>
            <w:pPr>
              <w:rPr>
                <w:rFonts w:ascii="Calibri Light" w:hAnsi="Calibri Light" w:cs="Calibri Light"/>
                <w:sz w:val="22"/>
                <w:szCs w:val="22"/>
              </w:rPr>
            </w:pPr>
          </w:p>
        </w:tc>
      </w:tr>
      <w:tr>
        <w:trPr>
          <w:trHeight w:hRule="atLeast" w:val="1140"/>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Slättängen 7</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Ett mindre område inom en privat bostadsfastighet, utmed Gemlavägen, planläggs som allmän platsmark - GATA för att möjliggöra utbyggnad av gång- och cykelväg. Det aktuella markområdet överförs genom fastighetsreglering till den kommunala gatufastigheten Aringsås 15:1.</w:t>
            </w:r>
          </w:p>
          <w:p>
            <w:pPr>
              <w:rPr>
                <w:rFonts w:ascii="Calibri Light" w:hAnsi="Calibri Light" w:cs="Calibri Light"/>
                <w:sz w:val="22"/>
                <w:szCs w:val="22"/>
              </w:rPr>
            </w:pPr>
          </w:p>
          <w:p>
            <w:pPr>
              <w:rPr>
                <w:rFonts w:ascii="Calibri Light" w:hAnsi="Calibri Light" w:cs="Calibri Light"/>
                <w:sz w:val="22"/>
                <w:szCs w:val="22"/>
              </w:rPr>
            </w:pPr>
            <w:r>
              <w:rPr>
                <w:rFonts w:ascii="Calibri Light" w:hAnsi="Calibri Light" w:cs="Calibri Light"/>
                <w:sz w:val="22"/>
                <w:szCs w:val="22"/>
              </w:rPr>
              <w:t>Markinlösen för delar av fastighet Slättängen 7 är nödvändig på grund av att kommunen inte äger marken där allmän platsmark planeras. Gatans sektion är 10,5 meter längs Slättängen 7, vilket fordrar inlösen av 55 kvadratmeter av den privatägda fastigheten Slättängen 7.</w:t>
            </w:r>
          </w:p>
          <w:p>
            <w:pPr>
              <w:rPr>
                <w:rFonts w:ascii="Calibri Light" w:hAnsi="Calibri Light" w:cs="Calibri Light"/>
                <w:sz w:val="22"/>
                <w:szCs w:val="22"/>
              </w:rPr>
            </w:pPr>
          </w:p>
        </w:tc>
      </w:tr>
      <w:tr>
        <w:trPr>
          <w:trHeight w:hRule="atLeast" w:val="1140"/>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Venus 9</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Mark reglerad som naturområde i detaljplan A147 övergår till bostäder med prickmark i samförstånd med fastighetsägaren och överförs från kommunalägd mark till den privatägda fastigheten Venus 9 via fastighetsreglering i samband med markköp.</w:t>
            </w:r>
          </w:p>
          <w:p>
            <w:pPr>
              <w:rPr>
                <w:rFonts w:ascii="Calibri Light" w:hAnsi="Calibri Light" w:cs="Calibri Light"/>
                <w:sz w:val="22"/>
                <w:szCs w:val="22"/>
              </w:rPr>
            </w:pPr>
          </w:p>
        </w:tc>
      </w:tr>
      <w:tr>
        <w:trPr>
          <w:trHeight w:hRule="atLeast" w:val="1140"/>
        </w:trPr>
        <w:tc>
          <w:tcPr>
            <w:tcW w:w="3031" w:type="dxa"/>
            <w:shd w:val="clear" w:color="auto" w:fill="F2F2F2"/>
          </w:tcPr>
          <w:p>
            <w:pPr>
              <w:rPr>
                <w:rFonts w:ascii="Calibri Light" w:hAnsi="Calibri Light" w:cs="Calibri Light"/>
                <w:sz w:val="22"/>
                <w:szCs w:val="22"/>
              </w:rPr>
            </w:pPr>
            <w:r>
              <w:rPr>
                <w:rFonts w:ascii="Calibri Light" w:hAnsi="Calibri Light" w:cs="Calibri Light"/>
                <w:sz w:val="22"/>
                <w:szCs w:val="22"/>
              </w:rPr>
              <w:t>Aringsås GA:3</w:t>
            </w:r>
          </w:p>
        </w:tc>
        <w:tc>
          <w:tcPr>
            <w:tcW w:w="4970" w:type="dxa"/>
            <w:shd w:val="clear" w:color="auto" w:fill="F2F2F2"/>
          </w:tcPr>
          <w:p>
            <w:pPr>
              <w:rPr>
                <w:rFonts w:ascii="Calibri Light" w:hAnsi="Calibri Light" w:cs="Calibri Light"/>
                <w:sz w:val="22"/>
                <w:szCs w:val="22"/>
              </w:rPr>
            </w:pPr>
            <w:r>
              <w:rPr>
                <w:rFonts w:ascii="Calibri Light" w:hAnsi="Calibri Light" w:cs="Calibri Light"/>
                <w:sz w:val="22"/>
                <w:szCs w:val="22"/>
              </w:rPr>
              <w:t>Enligt registerutdrag är följande fastigheter deltagare i gemensamhetsanläggningen: Alvesta Aringsås 14:1 och Alvesta Madonnaliljan 23. Uppgifter om deltagare i gemensamhetsanläggningen kan vara ofullständig. Omprövning av gemensamhets-anläggningen sker i samband med genomförande, samt initieras och bekostas av Alvesta kommun.</w:t>
            </w:r>
          </w:p>
        </w:tc>
      </w:tr>
    </w:tbl>
    <w:p>
      <w:pPr>
        <w:pStyle w:val="P2"/>
      </w:pPr>
      <w:r>
        <w:t>MEDVERKANDE</w:t>
      </w:r>
      <w:bookmarkEnd w:id="144"/>
      <w:r>
        <w:tab/>
      </w:r>
    </w:p>
    <w:p>
      <w:pPr>
        <w:pStyle w:val="P23"/>
      </w:pPr>
      <w:r>
        <w:t xml:space="preserve">I samband </w:t>
      </w:r>
      <w:r>
        <w:rPr>
          <w:color w:val="000000" w:themeColor="text1"/>
        </w:rPr>
        <w:t xml:space="preserve">med upprättade av detaljplanen har Planavdelningen och Teknikavdelningen medverkat. </w:t>
      </w:r>
    </w:p>
    <w:p>
      <w:pPr>
        <w:pStyle w:val="P23"/>
      </w:pPr>
      <w:r>
        <w:t>Alvesta 2025-09-08</w:t>
      </w:r>
    </w:p>
    <w:p>
      <w:pPr>
        <w:pStyle w:val="P5"/>
      </w:pPr>
    </w:p>
    <w:p>
      <w:pPr>
        <w:pStyle w:val="P5"/>
        <w:rPr>
          <w:rFonts w:ascii="Calibri Light" w:hAnsi="Calibri Light" w:cs="Calibri Light"/>
        </w:rPr>
      </w:pPr>
      <w:r>
        <w:rPr>
          <w:rFonts w:ascii="Calibri Light" w:hAnsi="Calibri Light" w:cs="Calibri Light"/>
        </w:rPr>
        <w:t>Sarah Henningsson</w:t>
      </w:r>
    </w:p>
    <w:p>
      <w:pPr>
        <w:pStyle w:val="P5"/>
        <w:rPr>
          <w:rFonts w:ascii="Calibri Light" w:hAnsi="Calibri Light" w:cs="Calibri Light"/>
        </w:rPr>
      </w:pPr>
      <w:r>
        <w:rPr>
          <w:rFonts w:ascii="Calibri Light" w:hAnsi="Calibri Light" w:cs="Calibri Light"/>
        </w:rPr>
        <w:t>Planarkitekt</w:t>
      </w:r>
    </w:p>
    <w:p>
      <w:pPr>
        <w:pStyle w:val="P5"/>
        <w:rPr>
          <w:rFonts w:ascii="Calibri Light" w:hAnsi="Calibri Light" w:cs="Calibri Light"/>
        </w:rPr>
      </w:pPr>
      <w:r>
        <w:rPr>
          <w:rFonts w:ascii="Calibri Light" w:hAnsi="Calibri Light" w:cs="Calibri Light"/>
        </w:rPr>
        <w:t xml:space="preserve">Planförslaget har antagits av Samhällsbyggnadsnämnden </w:t>
        <w:br w:type="textWrapping"/>
      </w:r>
      <w:r>
        <w:rPr>
          <w:rFonts w:ascii="Calibri Light" w:hAnsi="Calibri Light" w:cs="Calibri Light"/>
          <w:b w:val="1"/>
          <w:i w:val="1"/>
          <w:bCs w:val="1"/>
          <w:iCs w:val="1"/>
        </w:rPr>
        <w:t>2025-09-25, § 81</w:t>
      </w:r>
    </w:p>
    <w:p>
      <w:pPr>
        <w:pStyle w:val="P5"/>
        <w:rPr>
          <w:rFonts w:ascii="Calibri Light" w:hAnsi="Calibri Light" w:cs="Calibri Light"/>
          <w:strike w:val="1"/>
        </w:rPr>
      </w:pPr>
    </w:p>
    <w:p>
      <w:pPr>
        <w:pStyle w:val="P5"/>
        <w:rPr>
          <w:rFonts w:ascii="Calibri Light" w:hAnsi="Calibri Light" w:cs="Calibri Light"/>
        </w:rPr>
      </w:pPr>
      <w:r>
        <w:rPr>
          <w:rFonts w:ascii="Calibri Light" w:hAnsi="Calibri Light" w:cs="Calibri Light"/>
        </w:rPr>
        <w:t>Adam Svedlund</w:t>
        <w:br w:type="textWrapping"/>
        <w:t>Nämndsekreterare</w:t>
      </w:r>
    </w:p>
    <w:p>
      <w:pPr>
        <w:pStyle w:val="P5"/>
        <w:rPr>
          <w:rFonts w:ascii="Calibri Light" w:hAnsi="Calibri Light" w:cs="Calibri Light"/>
        </w:rPr>
      </w:pPr>
      <w:r>
        <w:rPr>
          <w:rFonts w:ascii="Calibri Light" w:hAnsi="Calibri Light" w:cs="Calibri Light"/>
          <w:i w:val="1"/>
          <w:iCs w:val="1"/>
        </w:rPr>
        <w:t>Beslutet har vunnit laga kraft 2026-02-12</w:t>
      </w:r>
    </w:p>
    <w:p>
      <w:pPr>
        <w:pStyle w:val="P5"/>
      </w:pP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466" w:top="1701" w:bottom="1418" w:header="709" w:footer="70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jc w:val="right"/>
      <w:rPr>
        <w:rFonts w:asciiTheme="minorHAnsi" w:hAnsiTheme="minorHAnsi" w:cstheme="minorHAnsi"/>
      </w:rPr>
    </w:pPr>
    <w:r>
      <w:rPr>
        <w:rStyle w:val="C4"/>
        <w:rFonts w:asciiTheme="minorHAnsi" w:hAnsiTheme="minorHAnsi" w:cstheme="minorHAnsi"/>
      </w:rPr>
      <w:fldChar w:fldCharType="begin"/>
    </w:r>
    <w:r>
      <w:rPr>
        <w:rStyle w:val="C4"/>
        <w:rFonts w:asciiTheme="minorHAnsi" w:hAnsiTheme="minorHAnsi" w:cstheme="minorHAnsi"/>
      </w:rPr>
      <w:instrText xml:space="preserve"> PAGE </w:instrText>
    </w:r>
    <w:r>
      <w:rPr>
        <w:rStyle w:val="C4"/>
        <w:rFonts w:asciiTheme="minorHAnsi" w:hAnsiTheme="minorHAnsi" w:cstheme="minorHAnsi"/>
      </w:rPr>
      <w:fldChar w:fldCharType="separate"/>
    </w:r>
    <w:r>
      <w:rPr>
        <w:rStyle w:val="C4"/>
        <w:rFonts w:asciiTheme="minorHAnsi" w:hAnsiTheme="minorHAnsi" w:cstheme="minorHAnsi"/>
      </w:rPr>
      <w:t>#</w:t>
    </w:r>
    <w:r>
      <w:rPr>
        <w:rStyle w:val="C4"/>
        <w:rFonts w:asciiTheme="minorHAnsi" w:hAnsiTheme="minorHAnsi" w:cstheme="minorHAnsi"/>
      </w:rP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rPr>
        <w:rFonts w:ascii="Arial" w:hAnsi="Arial" w:cs="Arial"/>
      </w:rPr>
    </w:pPr>
  </w:p>
  <w:tbl>
    <w:tblPr>
      <w:tblW w:w="15450" w:type="dxa"/>
      <w:tblLook w:val="01E0"/>
    </w:tblPr>
    <w:tblGrid/>
    <w:tr>
      <w:tc>
        <w:tcPr>
          <w:tcW w:w="3162" w:type="dxa"/>
        </w:tcPr>
        <w:p>
          <w:pPr>
            <w:pStyle w:val="P6"/>
            <w:rPr>
              <w:rFonts w:ascii="Arial" w:hAnsi="Arial" w:cs="Arial"/>
            </w:rPr>
          </w:pPr>
          <w:r>
            <w:rPr>
              <w:noProof w:val="1"/>
            </w:rPr>
            <w:drawing>
              <wp:anchor xmlns:wp="http://schemas.openxmlformats.org/drawingml/2006/wordprocessingDrawing" distT="0" distB="0" distL="114300" distR="114300" simplePos="0" relativeHeight="251661313" behindDoc="1" locked="0" layoutInCell="1" allowOverlap="1">
                <wp:simplePos x="0" y="0"/>
                <wp:positionH relativeFrom="margin">
                  <wp:posOffset>-19050</wp:posOffset>
                </wp:positionH>
                <wp:positionV relativeFrom="paragraph">
                  <wp:posOffset>86360</wp:posOffset>
                </wp:positionV>
                <wp:extent cx="1487170" cy="628650"/>
                <wp:effectExtent l="0" t="0" r="0" b="0"/>
                <wp:wrapTight wrapText="bothSides">
                  <wp:wrapPolygon edited="0">
                    <wp:start x="0" y="0"/>
                    <wp:lineTo x="0" y="20945"/>
                    <wp:lineTo x="21305" y="20945"/>
                    <wp:lineTo x="21305" y="0"/>
                    <wp:lineTo x="0" y="0"/>
                  </wp:wrapPolygon>
                </wp:wrapTight>
                <wp:docPr id="20"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6" cstate="print"/>
                        <a:srcRect/>
                        <a:stretch>
                          <a:fillRect/>
                        </a:stretch>
                      </pic:blipFill>
                      <pic:spPr bwMode="auto">
                        <a:xfrm>
                          <a:off x="0" y="0"/>
                          <a:ext cx="1487170" cy="628650"/>
                        </a:xfrm>
                        <a:prstGeom prst="rect"/>
                        <a:noFill/>
                        <a:ln>
                          <a:noFill/>
                        </a:ln>
                      </pic:spPr>
                    </pic:pic>
                  </a:graphicData>
                </a:graphic>
              </wp:anchor>
            </w:drawing>
          </w:r>
        </w:p>
      </w:tc>
      <w:tc>
        <w:tcPr>
          <w:tcW w:w="6144" w:type="dxa"/>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Antagandehandling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Dnr: 2024–094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2025-09-08</w:t>
          </w:r>
        </w:p>
        <w:p>
          <w:pPr>
            <w:pStyle w:val="P6"/>
            <w:jc w:val="right"/>
            <w:rPr>
              <w:rFonts w:ascii="Arial" w:hAnsi="Arial" w:cs="Arial"/>
            </w:rPr>
          </w:pPr>
        </w:p>
      </w:tc>
      <w:tc>
        <w:tcPr>
          <w:tcW w:w="6144" w:type="dxa"/>
        </w:tcPr>
        <w:p>
          <w:pPr>
            <w:pStyle w:val="P6"/>
            <w:jc w:val="right"/>
            <w:rPr>
              <w:rFonts w:ascii="Arial" w:hAnsi="Arial" w:cs="Arial"/>
            </w:rPr>
          </w:pPr>
        </w:p>
        <w:p>
          <w:pPr>
            <w:pStyle w:val="P6"/>
            <w:jc w:val="right"/>
            <w:rPr>
              <w:rFonts w:ascii="Arial" w:hAnsi="Arial" w:cs="Arial"/>
            </w:rPr>
          </w:pPr>
        </w:p>
        <w:p>
          <w:pPr>
            <w:pStyle w:val="P6"/>
            <w:jc w:val="right"/>
            <w:rPr>
              <w:rFonts w:ascii="Arial" w:hAnsi="Arial" w:cs="Arial"/>
            </w:rPr>
          </w:pPr>
        </w:p>
        <w:p>
          <w:pPr>
            <w:pStyle w:val="P6"/>
            <w:jc w:val="center"/>
            <w:rPr>
              <w:rFonts w:ascii="Arial" w:hAnsi="Arial" w:cs="Arial"/>
              <w:sz w:val="32"/>
              <w:szCs w:val="32"/>
            </w:rPr>
          </w:pPr>
        </w:p>
      </w:tc>
    </w:tr>
  </w:tbl>
  <w:p>
    <w:pPr>
      <w:pStyle w:val="P6"/>
      <w:jc w:val="right"/>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jc w:val="right"/>
      <w:rPr>
        <w:rFonts w:ascii="Arial" w:hAnsi="Arial" w:cs="Arial"/>
      </w:rPr>
    </w:pPr>
    <w:r>
      <w:tab/>
    </w:r>
  </w:p>
  <w:tbl>
    <w:tblPr>
      <w:tblW w:w="9306" w:type="dxa"/>
      <w:tblLook w:val="01E0"/>
    </w:tblPr>
    <w:tblGrid/>
    <w:tr>
      <w:tc>
        <w:tcPr>
          <w:tcW w:w="3184" w:type="dxa"/>
        </w:tcPr>
        <w:p>
          <w:pPr>
            <w:pStyle w:val="P6"/>
            <w:rPr>
              <w:rFonts w:ascii="Arial" w:hAnsi="Arial" w:cs="Arial"/>
            </w:rPr>
          </w:pPr>
          <w:r>
            <w:rPr>
              <w:noProof w:val="1"/>
            </w:rPr>
            <w:drawing>
              <wp:anchor xmlns:wp="http://schemas.openxmlformats.org/drawingml/2006/wordprocessingDrawing" distT="0" distB="0" distL="114300" distR="114300" simplePos="0" relativeHeight="251661312" behindDoc="1" locked="0" layoutInCell="1" allowOverlap="1">
                <wp:simplePos x="0" y="0"/>
                <wp:positionH relativeFrom="margin">
                  <wp:posOffset>-67945</wp:posOffset>
                </wp:positionH>
                <wp:positionV relativeFrom="paragraph">
                  <wp:posOffset>0</wp:posOffset>
                </wp:positionV>
                <wp:extent cx="1487170" cy="628650"/>
                <wp:effectExtent l="0" t="0" r="0" b="0"/>
                <wp:wrapTight wrapText="bothSides">
                  <wp:wrapPolygon edited="0">
                    <wp:start x="0" y="0"/>
                    <wp:lineTo x="0" y="20945"/>
                    <wp:lineTo x="21305" y="20945"/>
                    <wp:lineTo x="21305" y="0"/>
                    <wp:lineTo x="0" y="0"/>
                  </wp:wrapPolygon>
                </wp:wrapTight>
                <wp:docPr id="19" name="Bild 1" descr="kommunlogo_epostsignatur"/>
                <wp:cNvGraphicFramePr/>
                <a:graphic xmlns:a="http://schemas.openxmlformats.org/drawingml/2006/main">
                  <a:graphicData uri="http://schemas.openxmlformats.org/drawingml/2006/picture">
                    <pic:pic xmlns:pic="http://schemas.openxmlformats.org/drawingml/2006/picture">
                      <pic:nvPicPr>
                        <pic:cNvPr id="1" name="Bild 1" descr="kommunlogo_epostsignatur"/>
                        <pic:cNvPicPr/>
                      </pic:nvPicPr>
                      <pic:blipFill dpi="0">
                        <a:blip xmlns:r="http://schemas.openxmlformats.org/officeDocument/2006/relationships" r:embed="Relimage7" cstate="print"/>
                        <a:srcRect/>
                        <a:stretch>
                          <a:fillRect/>
                        </a:stretch>
                      </pic:blipFill>
                      <pic:spPr bwMode="auto">
                        <a:xfrm>
                          <a:off x="0" y="0"/>
                          <a:ext cx="1487170" cy="628650"/>
                        </a:xfrm>
                        <a:prstGeom prst="rect"/>
                        <a:noFill/>
                        <a:ln>
                          <a:noFill/>
                        </a:ln>
                      </pic:spPr>
                    </pic:pic>
                  </a:graphicData>
                </a:graphic>
              </wp:anchor>
            </w:drawing>
          </w:r>
        </w:p>
      </w:tc>
      <w:tc>
        <w:tcPr>
          <w:tcW w:w="6122" w:type="dxa"/>
        </w:tcPr>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Antagandehandling</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 xml:space="preserve">Dnr: 2024–094 </w:t>
          </w:r>
        </w:p>
        <w:p>
          <w:pPr>
            <w:pStyle w:val="P6"/>
            <w:jc w:val="right"/>
            <w:rPr>
              <w:rFonts w:ascii="Calibri Light" w:hAnsi="Calibri Light" w:cs="Calibri Light"/>
              <w:color w:val="0D0D0D" w:themeColor="text1" w:themeTint="F2"/>
              <w:sz w:val="20"/>
            </w:rPr>
          </w:pPr>
          <w:r>
            <w:rPr>
              <w:rFonts w:ascii="Calibri Light" w:hAnsi="Calibri Light" w:cs="Calibri Light"/>
              <w:color w:val="0D0D0D" w:themeColor="text1" w:themeTint="F2"/>
              <w:sz w:val="20"/>
            </w:rPr>
            <w:t>2025-09-08</w:t>
          </w:r>
        </w:p>
        <w:p>
          <w:pPr>
            <w:pStyle w:val="P6"/>
            <w:jc w:val="center"/>
            <w:rPr>
              <w:rFonts w:asciiTheme="minorHAnsi" w:hAnsiTheme="minorHAnsi" w:cstheme="minorHAnsi"/>
              <w:sz w:val="20"/>
              <w:szCs w:val="32"/>
            </w:rPr>
          </w:pPr>
        </w:p>
      </w:tc>
    </w:tr>
  </w:tbl>
  <w:p/>
</w:hdr>
</file>

<file path=word/numbering.xml><?xml version="1.0" encoding="utf-8"?>
<w:numbering xmlns:w="http://schemas.openxmlformats.org/wordprocessingml/2006/main">
  <w:abstractNum w:abstractNumId="0">
    <w:nsid w:val="E900FF74"/>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7C"/>
    <w:multiLevelType w:val="hybridMultilevel"/>
    <w:lvl w:ilvl="0">
      <w:start w:val="1"/>
      <w:numFmt w:val="decimal"/>
      <w:suff w:val="tab"/>
      <w:lvlText w:val="%1."/>
      <w:lvlJc w:val="left"/>
      <w:pPr>
        <w:ind w:hanging="360" w:left="1492"/>
        <w:tabs>
          <w:tab w:val="num" w:pos="1492" w:leader="none"/>
        </w:tabs>
      </w:pPr>
      <w:rPr/>
    </w:lvl>
    <w:lvl w:ilvl="1" w:tplc="449B7D4E">
      <w:start w:val="1"/>
      <w:numFmt w:val="decimal"/>
      <w:suff w:val="tab"/>
      <w:lvlText w:val="%1."/>
      <w:lvlJc w:val="left"/>
      <w:pPr/>
      <w:rPr/>
    </w:lvl>
    <w:lvl w:ilvl="2" w:tplc="606443AC">
      <w:start w:val="1"/>
      <w:numFmt w:val="decimal"/>
      <w:suff w:val="tab"/>
      <w:lvlText w:val="%1."/>
      <w:lvlJc w:val="left"/>
      <w:pPr/>
      <w:rPr/>
    </w:lvl>
    <w:lvl w:ilvl="3" w:tplc="1A21D7DF">
      <w:start w:val="1"/>
      <w:numFmt w:val="decimal"/>
      <w:suff w:val="tab"/>
      <w:lvlText w:val="%1."/>
      <w:lvlJc w:val="left"/>
      <w:pPr/>
      <w:rPr/>
    </w:lvl>
    <w:lvl w:ilvl="4" w:tplc="320F4BAE">
      <w:start w:val="1"/>
      <w:numFmt w:val="decimal"/>
      <w:suff w:val="tab"/>
      <w:lvlText w:val="%1."/>
      <w:lvlJc w:val="left"/>
      <w:pPr/>
      <w:rPr/>
    </w:lvl>
    <w:lvl w:ilvl="5" w:tplc="39FBF955">
      <w:start w:val="1"/>
      <w:numFmt w:val="decimal"/>
      <w:suff w:val="tab"/>
      <w:lvlText w:val="%1."/>
      <w:lvlJc w:val="left"/>
      <w:pPr/>
      <w:rPr/>
    </w:lvl>
    <w:lvl w:ilvl="6" w:tplc="64BF4F93">
      <w:start w:val="1"/>
      <w:numFmt w:val="decimal"/>
      <w:suff w:val="tab"/>
      <w:lvlText w:val="%1."/>
      <w:lvlJc w:val="left"/>
      <w:pPr/>
      <w:rPr/>
    </w:lvl>
    <w:lvl w:ilvl="7" w:tplc="41F0BC9D">
      <w:start w:val="1"/>
      <w:numFmt w:val="decimal"/>
      <w:suff w:val="tab"/>
      <w:lvlText w:val="%1."/>
      <w:lvlJc w:val="left"/>
      <w:pPr/>
      <w:rPr/>
    </w:lvl>
    <w:lvl w:ilvl="8" w:tplc="435F5FA3">
      <w:start w:val="1"/>
      <w:numFmt w:val="decimal"/>
      <w:suff w:val="tab"/>
      <w:lvlText w:val="%1."/>
      <w:lvlJc w:val="left"/>
      <w:pPr/>
      <w:rPr/>
    </w:lvl>
  </w:abstractNum>
  <w:abstractNum w:abstractNumId="2">
    <w:nsid w:val="FFFFFF7D"/>
    <w:multiLevelType w:val="hybridMultilevel"/>
    <w:lvl w:ilvl="0">
      <w:start w:val="1"/>
      <w:numFmt w:val="decimal"/>
      <w:suff w:val="tab"/>
      <w:lvlText w:val="%1."/>
      <w:lvlJc w:val="left"/>
      <w:pPr>
        <w:ind w:hanging="360" w:left="1209"/>
        <w:tabs>
          <w:tab w:val="num" w:pos="1209" w:leader="none"/>
        </w:tabs>
      </w:pPr>
      <w:rPr/>
    </w:lvl>
    <w:lvl w:ilvl="1" w:tplc="4187D957">
      <w:start w:val="1"/>
      <w:numFmt w:val="decimal"/>
      <w:suff w:val="tab"/>
      <w:lvlText w:val="%1."/>
      <w:lvlJc w:val="left"/>
      <w:pPr/>
      <w:rPr/>
    </w:lvl>
    <w:lvl w:ilvl="2" w:tplc="6310A959">
      <w:start w:val="1"/>
      <w:numFmt w:val="decimal"/>
      <w:suff w:val="tab"/>
      <w:lvlText w:val="%1."/>
      <w:lvlJc w:val="left"/>
      <w:pPr/>
      <w:rPr/>
    </w:lvl>
    <w:lvl w:ilvl="3" w:tplc="582E806D">
      <w:start w:val="1"/>
      <w:numFmt w:val="decimal"/>
      <w:suff w:val="tab"/>
      <w:lvlText w:val="%1."/>
      <w:lvlJc w:val="left"/>
      <w:pPr/>
      <w:rPr/>
    </w:lvl>
    <w:lvl w:ilvl="4" w:tplc="74022DD6">
      <w:start w:val="1"/>
      <w:numFmt w:val="decimal"/>
      <w:suff w:val="tab"/>
      <w:lvlText w:val="%1."/>
      <w:lvlJc w:val="left"/>
      <w:pPr/>
      <w:rPr/>
    </w:lvl>
    <w:lvl w:ilvl="5" w:tplc="2DD4F060">
      <w:start w:val="1"/>
      <w:numFmt w:val="decimal"/>
      <w:suff w:val="tab"/>
      <w:lvlText w:val="%1."/>
      <w:lvlJc w:val="left"/>
      <w:pPr/>
      <w:rPr/>
    </w:lvl>
    <w:lvl w:ilvl="6" w:tplc="44D200B6">
      <w:start w:val="1"/>
      <w:numFmt w:val="decimal"/>
      <w:suff w:val="tab"/>
      <w:lvlText w:val="%1."/>
      <w:lvlJc w:val="left"/>
      <w:pPr/>
      <w:rPr/>
    </w:lvl>
    <w:lvl w:ilvl="7" w:tplc="3C1AF819">
      <w:start w:val="1"/>
      <w:numFmt w:val="decimal"/>
      <w:suff w:val="tab"/>
      <w:lvlText w:val="%1."/>
      <w:lvlJc w:val="left"/>
      <w:pPr/>
      <w:rPr/>
    </w:lvl>
    <w:lvl w:ilvl="8" w:tplc="549FC381">
      <w:start w:val="1"/>
      <w:numFmt w:val="decimal"/>
      <w:suff w:val="tab"/>
      <w:lvlText w:val="%1."/>
      <w:lvlJc w:val="left"/>
      <w:pPr/>
      <w:rPr/>
    </w:lvl>
  </w:abstractNum>
  <w:abstractNum w:abstractNumId="3">
    <w:nsid w:val="FFFFFF7E"/>
    <w:multiLevelType w:val="hybridMultilevel"/>
    <w:lvl w:ilvl="0">
      <w:start w:val="1"/>
      <w:numFmt w:val="decimal"/>
      <w:suff w:val="tab"/>
      <w:lvlText w:val="%1."/>
      <w:lvlJc w:val="left"/>
      <w:pPr>
        <w:ind w:hanging="360" w:left="926"/>
        <w:tabs>
          <w:tab w:val="num" w:pos="926" w:leader="none"/>
        </w:tabs>
      </w:pPr>
      <w:rPr/>
    </w:lvl>
    <w:lvl w:ilvl="1" w:tplc="4FFC02D1">
      <w:start w:val="1"/>
      <w:numFmt w:val="decimal"/>
      <w:suff w:val="tab"/>
      <w:lvlText w:val="%1."/>
      <w:lvlJc w:val="left"/>
      <w:pPr/>
      <w:rPr/>
    </w:lvl>
    <w:lvl w:ilvl="2" w:tplc="0FE9D554">
      <w:start w:val="1"/>
      <w:numFmt w:val="decimal"/>
      <w:suff w:val="tab"/>
      <w:lvlText w:val="%1."/>
      <w:lvlJc w:val="left"/>
      <w:pPr/>
      <w:rPr/>
    </w:lvl>
    <w:lvl w:ilvl="3" w:tplc="2E74EF53">
      <w:start w:val="1"/>
      <w:numFmt w:val="decimal"/>
      <w:suff w:val="tab"/>
      <w:lvlText w:val="%1."/>
      <w:lvlJc w:val="left"/>
      <w:pPr/>
      <w:rPr/>
    </w:lvl>
    <w:lvl w:ilvl="4" w:tplc="7D196471">
      <w:start w:val="1"/>
      <w:numFmt w:val="decimal"/>
      <w:suff w:val="tab"/>
      <w:lvlText w:val="%1."/>
      <w:lvlJc w:val="left"/>
      <w:pPr/>
      <w:rPr/>
    </w:lvl>
    <w:lvl w:ilvl="5" w:tplc="12761662">
      <w:start w:val="1"/>
      <w:numFmt w:val="decimal"/>
      <w:suff w:val="tab"/>
      <w:lvlText w:val="%1."/>
      <w:lvlJc w:val="left"/>
      <w:pPr/>
      <w:rPr/>
    </w:lvl>
    <w:lvl w:ilvl="6" w:tplc="38E44A0C">
      <w:start w:val="1"/>
      <w:numFmt w:val="decimal"/>
      <w:suff w:val="tab"/>
      <w:lvlText w:val="%1."/>
      <w:lvlJc w:val="left"/>
      <w:pPr/>
      <w:rPr/>
    </w:lvl>
    <w:lvl w:ilvl="7" w:tplc="4B85BE6F">
      <w:start w:val="1"/>
      <w:numFmt w:val="decimal"/>
      <w:suff w:val="tab"/>
      <w:lvlText w:val="%1."/>
      <w:lvlJc w:val="left"/>
      <w:pPr/>
      <w:rPr/>
    </w:lvl>
    <w:lvl w:ilvl="8" w:tplc="0A931327">
      <w:start w:val="1"/>
      <w:numFmt w:val="decimal"/>
      <w:suff w:val="tab"/>
      <w:lvlText w:val="%1."/>
      <w:lvlJc w:val="left"/>
      <w:pPr/>
      <w:rPr/>
    </w:lvl>
  </w:abstractNum>
  <w:abstractNum w:abstractNumId="4">
    <w:nsid w:val="FFFFFF7F"/>
    <w:multiLevelType w:val="hybridMultilevel"/>
    <w:lvl w:ilvl="0">
      <w:start w:val="1"/>
      <w:numFmt w:val="decimal"/>
      <w:suff w:val="tab"/>
      <w:lvlText w:val="%1."/>
      <w:lvlJc w:val="left"/>
      <w:pPr>
        <w:ind w:hanging="360" w:left="643"/>
        <w:tabs>
          <w:tab w:val="num" w:pos="643" w:leader="none"/>
        </w:tabs>
      </w:pPr>
      <w:rPr/>
    </w:lvl>
    <w:lvl w:ilvl="1" w:tplc="01AC5719">
      <w:start w:val="1"/>
      <w:numFmt w:val="decimal"/>
      <w:suff w:val="tab"/>
      <w:lvlText w:val="%1."/>
      <w:lvlJc w:val="left"/>
      <w:pPr/>
      <w:rPr/>
    </w:lvl>
    <w:lvl w:ilvl="2" w:tplc="2147F65F">
      <w:start w:val="1"/>
      <w:numFmt w:val="decimal"/>
      <w:suff w:val="tab"/>
      <w:lvlText w:val="%1."/>
      <w:lvlJc w:val="left"/>
      <w:pPr/>
      <w:rPr/>
    </w:lvl>
    <w:lvl w:ilvl="3" w:tplc="5061F58C">
      <w:start w:val="1"/>
      <w:numFmt w:val="decimal"/>
      <w:suff w:val="tab"/>
      <w:lvlText w:val="%1."/>
      <w:lvlJc w:val="left"/>
      <w:pPr/>
      <w:rPr/>
    </w:lvl>
    <w:lvl w:ilvl="4" w:tplc="1FCF2FE3">
      <w:start w:val="1"/>
      <w:numFmt w:val="decimal"/>
      <w:suff w:val="tab"/>
      <w:lvlText w:val="%1."/>
      <w:lvlJc w:val="left"/>
      <w:pPr/>
      <w:rPr/>
    </w:lvl>
    <w:lvl w:ilvl="5" w:tplc="67328B5E">
      <w:start w:val="1"/>
      <w:numFmt w:val="decimal"/>
      <w:suff w:val="tab"/>
      <w:lvlText w:val="%1."/>
      <w:lvlJc w:val="left"/>
      <w:pPr/>
      <w:rPr/>
    </w:lvl>
    <w:lvl w:ilvl="6" w:tplc="5F374526">
      <w:start w:val="1"/>
      <w:numFmt w:val="decimal"/>
      <w:suff w:val="tab"/>
      <w:lvlText w:val="%1."/>
      <w:lvlJc w:val="left"/>
      <w:pPr/>
      <w:rPr/>
    </w:lvl>
    <w:lvl w:ilvl="7" w:tplc="23371A37">
      <w:start w:val="1"/>
      <w:numFmt w:val="decimal"/>
      <w:suff w:val="tab"/>
      <w:lvlText w:val="%1."/>
      <w:lvlJc w:val="left"/>
      <w:pPr/>
      <w:rPr/>
    </w:lvl>
    <w:lvl w:ilvl="8" w:tplc="59832EAE">
      <w:start w:val="1"/>
      <w:numFmt w:val="decimal"/>
      <w:suff w:val="tab"/>
      <w:lvlText w:val="%1."/>
      <w:lvlJc w:val="left"/>
      <w:pPr/>
      <w:rPr/>
    </w:lvl>
  </w:abstractNum>
  <w:abstractNum w:abstractNumId="5">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0AB2758C">
      <w:start w:val="1"/>
      <w:numFmt w:val="decimal"/>
      <w:suff w:val="tab"/>
      <w:lvlText w:val="%1."/>
      <w:lvlJc w:val="left"/>
      <w:pPr/>
      <w:rPr/>
    </w:lvl>
    <w:lvl w:ilvl="2" w:tplc="1A845BCE">
      <w:start w:val="1"/>
      <w:numFmt w:val="decimal"/>
      <w:suff w:val="tab"/>
      <w:lvlText w:val="%1."/>
      <w:lvlJc w:val="left"/>
      <w:pPr/>
      <w:rPr/>
    </w:lvl>
    <w:lvl w:ilvl="3" w:tplc="4B2E155F">
      <w:start w:val="1"/>
      <w:numFmt w:val="decimal"/>
      <w:suff w:val="tab"/>
      <w:lvlText w:val="%1."/>
      <w:lvlJc w:val="left"/>
      <w:pPr/>
      <w:rPr/>
    </w:lvl>
    <w:lvl w:ilvl="4" w:tplc="719417A9">
      <w:start w:val="1"/>
      <w:numFmt w:val="decimal"/>
      <w:suff w:val="tab"/>
      <w:lvlText w:val="%1."/>
      <w:lvlJc w:val="left"/>
      <w:pPr/>
      <w:rPr/>
    </w:lvl>
    <w:lvl w:ilvl="5" w:tplc="20AE1678">
      <w:start w:val="1"/>
      <w:numFmt w:val="decimal"/>
      <w:suff w:val="tab"/>
      <w:lvlText w:val="%1."/>
      <w:lvlJc w:val="left"/>
      <w:pPr/>
      <w:rPr/>
    </w:lvl>
    <w:lvl w:ilvl="6" w:tplc="4838D3ED">
      <w:start w:val="1"/>
      <w:numFmt w:val="decimal"/>
      <w:suff w:val="tab"/>
      <w:lvlText w:val="%1."/>
      <w:lvlJc w:val="left"/>
      <w:pPr/>
      <w:rPr/>
    </w:lvl>
    <w:lvl w:ilvl="7" w:tplc="26BFD0A7">
      <w:start w:val="1"/>
      <w:numFmt w:val="decimal"/>
      <w:suff w:val="tab"/>
      <w:lvlText w:val="%1."/>
      <w:lvlJc w:val="left"/>
      <w:pPr/>
      <w:rPr/>
    </w:lvl>
    <w:lvl w:ilvl="8" w:tplc="6BE62DB4">
      <w:start w:val="1"/>
      <w:numFmt w:val="decimal"/>
      <w:suff w:val="tab"/>
      <w:lvlText w:val="%1."/>
      <w:lvlJc w:val="left"/>
      <w:pPr/>
      <w:rPr/>
    </w:lvl>
  </w:abstractNum>
  <w:abstractNum w:abstractNumId="6">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1758D97E">
      <w:start w:val="1"/>
      <w:numFmt w:val="decimal"/>
      <w:suff w:val="tab"/>
      <w:lvlText w:val="%1."/>
      <w:lvlJc w:val="left"/>
      <w:pPr/>
      <w:rPr/>
    </w:lvl>
    <w:lvl w:ilvl="2" w:tplc="02F31BDF">
      <w:start w:val="1"/>
      <w:numFmt w:val="decimal"/>
      <w:suff w:val="tab"/>
      <w:lvlText w:val="%1."/>
      <w:lvlJc w:val="left"/>
      <w:pPr/>
      <w:rPr/>
    </w:lvl>
    <w:lvl w:ilvl="3" w:tplc="684D28DA">
      <w:start w:val="1"/>
      <w:numFmt w:val="decimal"/>
      <w:suff w:val="tab"/>
      <w:lvlText w:val="%1."/>
      <w:lvlJc w:val="left"/>
      <w:pPr/>
      <w:rPr/>
    </w:lvl>
    <w:lvl w:ilvl="4" w:tplc="3D7F0B38">
      <w:start w:val="1"/>
      <w:numFmt w:val="decimal"/>
      <w:suff w:val="tab"/>
      <w:lvlText w:val="%1."/>
      <w:lvlJc w:val="left"/>
      <w:pPr/>
      <w:rPr/>
    </w:lvl>
    <w:lvl w:ilvl="5" w:tplc="6507B497">
      <w:start w:val="1"/>
      <w:numFmt w:val="decimal"/>
      <w:suff w:val="tab"/>
      <w:lvlText w:val="%1."/>
      <w:lvlJc w:val="left"/>
      <w:pPr/>
      <w:rPr/>
    </w:lvl>
    <w:lvl w:ilvl="6" w:tplc="0298FE00">
      <w:start w:val="1"/>
      <w:numFmt w:val="decimal"/>
      <w:suff w:val="tab"/>
      <w:lvlText w:val="%1."/>
      <w:lvlJc w:val="left"/>
      <w:pPr/>
      <w:rPr/>
    </w:lvl>
    <w:lvl w:ilvl="7" w:tplc="7755C621">
      <w:start w:val="1"/>
      <w:numFmt w:val="decimal"/>
      <w:suff w:val="tab"/>
      <w:lvlText w:val="%1."/>
      <w:lvlJc w:val="left"/>
      <w:pPr/>
      <w:rPr/>
    </w:lvl>
    <w:lvl w:ilvl="8" w:tplc="1EA146FF">
      <w:start w:val="1"/>
      <w:numFmt w:val="decimal"/>
      <w:suff w:val="tab"/>
      <w:lvlText w:val="%1."/>
      <w:lvlJc w:val="left"/>
      <w:pPr/>
      <w:rPr/>
    </w:lvl>
  </w:abstractNum>
  <w:abstractNum w:abstractNumId="7">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0E35ED1B">
      <w:start w:val="1"/>
      <w:numFmt w:val="decimal"/>
      <w:suff w:val="tab"/>
      <w:lvlText w:val="%1."/>
      <w:lvlJc w:val="left"/>
      <w:pPr/>
      <w:rPr/>
    </w:lvl>
    <w:lvl w:ilvl="2" w:tplc="478218DB">
      <w:start w:val="1"/>
      <w:numFmt w:val="decimal"/>
      <w:suff w:val="tab"/>
      <w:lvlText w:val="%1."/>
      <w:lvlJc w:val="left"/>
      <w:pPr/>
      <w:rPr/>
    </w:lvl>
    <w:lvl w:ilvl="3" w:tplc="4DEE2E4A">
      <w:start w:val="1"/>
      <w:numFmt w:val="decimal"/>
      <w:suff w:val="tab"/>
      <w:lvlText w:val="%1."/>
      <w:lvlJc w:val="left"/>
      <w:pPr/>
      <w:rPr/>
    </w:lvl>
    <w:lvl w:ilvl="4" w:tplc="613D8DD2">
      <w:start w:val="1"/>
      <w:numFmt w:val="decimal"/>
      <w:suff w:val="tab"/>
      <w:lvlText w:val="%1."/>
      <w:lvlJc w:val="left"/>
      <w:pPr/>
      <w:rPr/>
    </w:lvl>
    <w:lvl w:ilvl="5" w:tplc="66898D3D">
      <w:start w:val="1"/>
      <w:numFmt w:val="decimal"/>
      <w:suff w:val="tab"/>
      <w:lvlText w:val="%1."/>
      <w:lvlJc w:val="left"/>
      <w:pPr/>
      <w:rPr/>
    </w:lvl>
    <w:lvl w:ilvl="6" w:tplc="2F68E72D">
      <w:start w:val="1"/>
      <w:numFmt w:val="decimal"/>
      <w:suff w:val="tab"/>
      <w:lvlText w:val="%1."/>
      <w:lvlJc w:val="left"/>
      <w:pPr/>
      <w:rPr/>
    </w:lvl>
    <w:lvl w:ilvl="7" w:tplc="1135D4F2">
      <w:start w:val="1"/>
      <w:numFmt w:val="decimal"/>
      <w:suff w:val="tab"/>
      <w:lvlText w:val="%1."/>
      <w:lvlJc w:val="left"/>
      <w:pPr/>
      <w:rPr/>
    </w:lvl>
    <w:lvl w:ilvl="8" w:tplc="40446683">
      <w:start w:val="1"/>
      <w:numFmt w:val="decimal"/>
      <w:suff w:val="tab"/>
      <w:lvlText w:val="%1."/>
      <w:lvlJc w:val="left"/>
      <w:pPr/>
      <w:rPr/>
    </w:lvl>
  </w:abstractNum>
  <w:abstractNum w:abstractNumId="8">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454A0461">
      <w:start w:val="1"/>
      <w:numFmt w:val="decimal"/>
      <w:suff w:val="tab"/>
      <w:lvlText w:val="%1."/>
      <w:lvlJc w:val="left"/>
      <w:pPr/>
      <w:rPr/>
    </w:lvl>
    <w:lvl w:ilvl="2" w:tplc="21B8AA74">
      <w:start w:val="1"/>
      <w:numFmt w:val="decimal"/>
      <w:suff w:val="tab"/>
      <w:lvlText w:val="%1."/>
      <w:lvlJc w:val="left"/>
      <w:pPr/>
      <w:rPr/>
    </w:lvl>
    <w:lvl w:ilvl="3" w:tplc="7BDE1DFA">
      <w:start w:val="1"/>
      <w:numFmt w:val="decimal"/>
      <w:suff w:val="tab"/>
      <w:lvlText w:val="%1."/>
      <w:lvlJc w:val="left"/>
      <w:pPr/>
      <w:rPr/>
    </w:lvl>
    <w:lvl w:ilvl="4" w:tplc="78F73B46">
      <w:start w:val="1"/>
      <w:numFmt w:val="decimal"/>
      <w:suff w:val="tab"/>
      <w:lvlText w:val="%1."/>
      <w:lvlJc w:val="left"/>
      <w:pPr/>
      <w:rPr/>
    </w:lvl>
    <w:lvl w:ilvl="5" w:tplc="50CB149F">
      <w:start w:val="1"/>
      <w:numFmt w:val="decimal"/>
      <w:suff w:val="tab"/>
      <w:lvlText w:val="%1."/>
      <w:lvlJc w:val="left"/>
      <w:pPr/>
      <w:rPr/>
    </w:lvl>
    <w:lvl w:ilvl="6" w:tplc="5451C1B0">
      <w:start w:val="1"/>
      <w:numFmt w:val="decimal"/>
      <w:suff w:val="tab"/>
      <w:lvlText w:val="%1."/>
      <w:lvlJc w:val="left"/>
      <w:pPr/>
      <w:rPr/>
    </w:lvl>
    <w:lvl w:ilvl="7" w:tplc="79019F44">
      <w:start w:val="1"/>
      <w:numFmt w:val="decimal"/>
      <w:suff w:val="tab"/>
      <w:lvlText w:val="%1."/>
      <w:lvlJc w:val="left"/>
      <w:pPr/>
      <w:rPr/>
    </w:lvl>
    <w:lvl w:ilvl="8" w:tplc="3168838D">
      <w:start w:val="1"/>
      <w:numFmt w:val="decimal"/>
      <w:suff w:val="tab"/>
      <w:lvlText w:val="%1."/>
      <w:lvlJc w:val="left"/>
      <w:pPr/>
      <w:rPr/>
    </w:lvl>
  </w:abstractNum>
  <w:abstractNum w:abstractNumId="9">
    <w:nsid w:val="FFFFFF88"/>
    <w:multiLevelType w:val="hybridMultilevel"/>
    <w:lvl w:ilvl="0">
      <w:start w:val="1"/>
      <w:numFmt w:val="decimal"/>
      <w:suff w:val="tab"/>
      <w:lvlText w:val="%1."/>
      <w:lvlJc w:val="left"/>
      <w:pPr>
        <w:ind w:hanging="360" w:left="360"/>
        <w:tabs>
          <w:tab w:val="num" w:pos="360" w:leader="none"/>
        </w:tabs>
      </w:pPr>
      <w:rPr/>
    </w:lvl>
    <w:lvl w:ilvl="1" w:tplc="41D27229">
      <w:start w:val="1"/>
      <w:numFmt w:val="decimal"/>
      <w:suff w:val="tab"/>
      <w:lvlText w:val="%1."/>
      <w:lvlJc w:val="left"/>
      <w:pPr/>
      <w:rPr/>
    </w:lvl>
    <w:lvl w:ilvl="2" w:tplc="5E67EB26">
      <w:start w:val="1"/>
      <w:numFmt w:val="decimal"/>
      <w:suff w:val="tab"/>
      <w:lvlText w:val="%1."/>
      <w:lvlJc w:val="left"/>
      <w:pPr/>
      <w:rPr/>
    </w:lvl>
    <w:lvl w:ilvl="3" w:tplc="6F3BBEDA">
      <w:start w:val="1"/>
      <w:numFmt w:val="decimal"/>
      <w:suff w:val="tab"/>
      <w:lvlText w:val="%1."/>
      <w:lvlJc w:val="left"/>
      <w:pPr/>
      <w:rPr/>
    </w:lvl>
    <w:lvl w:ilvl="4" w:tplc="663C1B64">
      <w:start w:val="1"/>
      <w:numFmt w:val="decimal"/>
      <w:suff w:val="tab"/>
      <w:lvlText w:val="%1."/>
      <w:lvlJc w:val="left"/>
      <w:pPr/>
      <w:rPr/>
    </w:lvl>
    <w:lvl w:ilvl="5" w:tplc="565994CA">
      <w:start w:val="1"/>
      <w:numFmt w:val="decimal"/>
      <w:suff w:val="tab"/>
      <w:lvlText w:val="%1."/>
      <w:lvlJc w:val="left"/>
      <w:pPr/>
      <w:rPr/>
    </w:lvl>
    <w:lvl w:ilvl="6" w:tplc="268FE8AC">
      <w:start w:val="1"/>
      <w:numFmt w:val="decimal"/>
      <w:suff w:val="tab"/>
      <w:lvlText w:val="%1."/>
      <w:lvlJc w:val="left"/>
      <w:pPr/>
      <w:rPr/>
    </w:lvl>
    <w:lvl w:ilvl="7" w:tplc="7A7C9F8E">
      <w:start w:val="1"/>
      <w:numFmt w:val="decimal"/>
      <w:suff w:val="tab"/>
      <w:lvlText w:val="%1."/>
      <w:lvlJc w:val="left"/>
      <w:pPr/>
      <w:rPr/>
    </w:lvl>
    <w:lvl w:ilvl="8" w:tplc="342CE5F1">
      <w:start w:val="1"/>
      <w:numFmt w:val="decimal"/>
      <w:suff w:val="tab"/>
      <w:lvlText w:val="%1."/>
      <w:lvlJc w:val="left"/>
      <w:pPr/>
      <w:rPr/>
    </w:lvl>
  </w:abstractNum>
  <w:abstractNum w:abstractNumId="10">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6B3C52C5">
      <w:start w:val="1"/>
      <w:numFmt w:val="decimal"/>
      <w:suff w:val="tab"/>
      <w:lvlText w:val="%1."/>
      <w:lvlJc w:val="left"/>
      <w:pPr/>
      <w:rPr/>
    </w:lvl>
    <w:lvl w:ilvl="2" w:tplc="442D4BE0">
      <w:start w:val="1"/>
      <w:numFmt w:val="decimal"/>
      <w:suff w:val="tab"/>
      <w:lvlText w:val="%1."/>
      <w:lvlJc w:val="left"/>
      <w:pPr/>
      <w:rPr/>
    </w:lvl>
    <w:lvl w:ilvl="3" w:tplc="3C4041C6">
      <w:start w:val="1"/>
      <w:numFmt w:val="decimal"/>
      <w:suff w:val="tab"/>
      <w:lvlText w:val="%1."/>
      <w:lvlJc w:val="left"/>
      <w:pPr/>
      <w:rPr/>
    </w:lvl>
    <w:lvl w:ilvl="4" w:tplc="4DC8F88B">
      <w:start w:val="1"/>
      <w:numFmt w:val="decimal"/>
      <w:suff w:val="tab"/>
      <w:lvlText w:val="%1."/>
      <w:lvlJc w:val="left"/>
      <w:pPr/>
      <w:rPr/>
    </w:lvl>
    <w:lvl w:ilvl="5" w:tplc="287969C1">
      <w:start w:val="1"/>
      <w:numFmt w:val="decimal"/>
      <w:suff w:val="tab"/>
      <w:lvlText w:val="%1."/>
      <w:lvlJc w:val="left"/>
      <w:pPr/>
      <w:rPr/>
    </w:lvl>
    <w:lvl w:ilvl="6" w:tplc="4891455E">
      <w:start w:val="1"/>
      <w:numFmt w:val="decimal"/>
      <w:suff w:val="tab"/>
      <w:lvlText w:val="%1."/>
      <w:lvlJc w:val="left"/>
      <w:pPr/>
      <w:rPr/>
    </w:lvl>
    <w:lvl w:ilvl="7" w:tplc="3DEEEDC6">
      <w:start w:val="1"/>
      <w:numFmt w:val="decimal"/>
      <w:suff w:val="tab"/>
      <w:lvlText w:val="%1."/>
      <w:lvlJc w:val="left"/>
      <w:pPr/>
      <w:rPr/>
    </w:lvl>
    <w:lvl w:ilvl="8" w:tplc="15012E1B">
      <w:start w:val="1"/>
      <w:numFmt w:val="decimal"/>
      <w:suff w:val="tab"/>
      <w:lvlText w:val="%1."/>
      <w:lvlJc w:val="left"/>
      <w:pPr/>
      <w:rPr/>
    </w:lvl>
  </w:abstractNum>
  <w:abstractNum w:abstractNumId="11">
    <w:nsid w:val="0E0210DF"/>
    <w:multiLevelType w:val="hybridMultilevel"/>
    <w:lvl w:ilvl="0" w:tplc="9E84D27E">
      <w:start w:val="1"/>
      <w:numFmt w:val="decimal"/>
      <w:pStyle w:val="P1"/>
      <w:suff w:val="tab"/>
      <w:lvlText w:val="%1."/>
      <w:lvlJc w:val="left"/>
      <w:pPr>
        <w:ind w:hanging="360" w:left="1495"/>
      </w:pPr>
      <w:rPr>
        <w:rFonts w:hint="default"/>
      </w:rPr>
    </w:lvl>
    <w:lvl w:ilvl="1" w:tplc="041D0019">
      <w:start w:val="1"/>
      <w:numFmt w:val="lowerLetter"/>
      <w:suff w:val="tab"/>
      <w:lvlText w:val="%2."/>
      <w:lvlJc w:val="left"/>
      <w:pPr>
        <w:ind w:hanging="360" w:left="2214"/>
      </w:pPr>
      <w:rPr/>
    </w:lvl>
    <w:lvl w:ilvl="2" w:tplc="041D001B">
      <w:start w:val="1"/>
      <w:numFmt w:val="lowerRoman"/>
      <w:suff w:val="tab"/>
      <w:lvlText w:val="%3."/>
      <w:lvlJc w:val="right"/>
      <w:pPr>
        <w:ind w:hanging="180" w:left="2934"/>
      </w:pPr>
      <w:rPr/>
    </w:lvl>
    <w:lvl w:ilvl="3" w:tplc="041D000F">
      <w:start w:val="1"/>
      <w:numFmt w:val="decimal"/>
      <w:suff w:val="tab"/>
      <w:lvlText w:val="%4."/>
      <w:lvlJc w:val="left"/>
      <w:pPr>
        <w:ind w:hanging="360" w:left="3654"/>
      </w:pPr>
      <w:rPr/>
    </w:lvl>
    <w:lvl w:ilvl="4" w:tplc="041D0019">
      <w:start w:val="1"/>
      <w:numFmt w:val="lowerLetter"/>
      <w:suff w:val="tab"/>
      <w:lvlText w:val="%5."/>
      <w:lvlJc w:val="left"/>
      <w:pPr>
        <w:ind w:hanging="360" w:left="4374"/>
      </w:pPr>
      <w:rPr/>
    </w:lvl>
    <w:lvl w:ilvl="5" w:tplc="041D001B">
      <w:start w:val="1"/>
      <w:numFmt w:val="lowerRoman"/>
      <w:suff w:val="tab"/>
      <w:lvlText w:val="%6."/>
      <w:lvlJc w:val="right"/>
      <w:pPr>
        <w:ind w:hanging="180" w:left="5094"/>
      </w:pPr>
      <w:rPr/>
    </w:lvl>
    <w:lvl w:ilvl="6" w:tplc="041D000F">
      <w:start w:val="1"/>
      <w:numFmt w:val="decimal"/>
      <w:suff w:val="tab"/>
      <w:lvlText w:val="%7."/>
      <w:lvlJc w:val="left"/>
      <w:pPr>
        <w:ind w:hanging="360" w:left="5814"/>
      </w:pPr>
      <w:rPr/>
    </w:lvl>
    <w:lvl w:ilvl="7" w:tplc="041D0019">
      <w:start w:val="1"/>
      <w:numFmt w:val="lowerLetter"/>
      <w:suff w:val="tab"/>
      <w:lvlText w:val="%8."/>
      <w:lvlJc w:val="left"/>
      <w:pPr>
        <w:ind w:hanging="360" w:left="6534"/>
      </w:pPr>
      <w:rPr/>
    </w:lvl>
    <w:lvl w:ilvl="8" w:tplc="041D001B">
      <w:start w:val="1"/>
      <w:numFmt w:val="lowerRoman"/>
      <w:suff w:val="tab"/>
      <w:lvlText w:val="%9."/>
      <w:lvlJc w:val="right"/>
      <w:pPr>
        <w:ind w:hanging="180" w:left="7254"/>
      </w:pPr>
      <w:rPr/>
    </w:lvl>
  </w:abstractNum>
  <w:abstractNum w:abstractNumId="12">
    <w:nsid w:val="11226D86"/>
    <w:multiLevelType w:val="multilevel"/>
    <w:lvl w:ilvl="0">
      <w:start w:val="1"/>
      <w:numFmt w:val="bullet"/>
      <w:suff w:val="tab"/>
      <w:lvlText w:val=""/>
      <w:lvlJc w:val="left"/>
      <w:pPr>
        <w:ind w:hanging="360" w:left="3195"/>
        <w:tabs>
          <w:tab w:val="num" w:pos="3195" w:leader="none"/>
        </w:tabs>
      </w:pPr>
      <w:rPr>
        <w:rFonts w:ascii="Wingdings" w:hAnsi="Wingdings" w:hint="default"/>
      </w:rPr>
    </w:lvl>
    <w:lvl w:ilvl="1">
      <w:start w:val="1"/>
      <w:numFmt w:val="bullet"/>
      <w:suff w:val="tab"/>
      <w:lvlText w:val="o"/>
      <w:lvlJc w:val="left"/>
      <w:pPr>
        <w:ind w:hanging="360" w:left="2574"/>
        <w:tabs>
          <w:tab w:val="num" w:pos="2574" w:leader="none"/>
        </w:tabs>
      </w:pPr>
      <w:rPr>
        <w:rFonts w:ascii="Courier New" w:hAnsi="Courier New" w:cs="Courier New" w:hint="default"/>
      </w:rPr>
    </w:lvl>
    <w:lvl w:ilvl="2">
      <w:start w:val="1"/>
      <w:numFmt w:val="bullet"/>
      <w:suff w:val="tab"/>
      <w:lvlText w:val=""/>
      <w:lvlJc w:val="left"/>
      <w:pPr>
        <w:ind w:hanging="360" w:left="3294"/>
        <w:tabs>
          <w:tab w:val="num" w:pos="3294" w:leader="none"/>
        </w:tabs>
      </w:pPr>
      <w:rPr>
        <w:rFonts w:ascii="Wingdings" w:hAnsi="Wingdings" w:hint="default"/>
      </w:rPr>
    </w:lvl>
    <w:lvl w:ilvl="3">
      <w:start w:val="1"/>
      <w:numFmt w:val="bullet"/>
      <w:suff w:val="tab"/>
      <w:lvlText w:val=""/>
      <w:lvlJc w:val="left"/>
      <w:pPr>
        <w:ind w:hanging="360" w:left="4014"/>
        <w:tabs>
          <w:tab w:val="num" w:pos="4014" w:leader="none"/>
        </w:tabs>
      </w:pPr>
      <w:rPr>
        <w:rFonts w:ascii="Symbol" w:hAnsi="Symbol" w:hint="default"/>
      </w:rPr>
    </w:lvl>
    <w:lvl w:ilvl="4">
      <w:start w:val="1"/>
      <w:numFmt w:val="bullet"/>
      <w:suff w:val="tab"/>
      <w:lvlText w:val="o"/>
      <w:lvlJc w:val="left"/>
      <w:pPr>
        <w:ind w:hanging="360" w:left="4734"/>
        <w:tabs>
          <w:tab w:val="num" w:pos="4734" w:leader="none"/>
        </w:tabs>
      </w:pPr>
      <w:rPr>
        <w:rFonts w:ascii="Courier New" w:hAnsi="Courier New" w:cs="Courier New" w:hint="default"/>
      </w:rPr>
    </w:lvl>
    <w:lvl w:ilvl="5">
      <w:start w:val="1"/>
      <w:numFmt w:val="bullet"/>
      <w:suff w:val="tab"/>
      <w:lvlText w:val=""/>
      <w:lvlJc w:val="left"/>
      <w:pPr>
        <w:ind w:hanging="360" w:left="5454"/>
        <w:tabs>
          <w:tab w:val="num" w:pos="5454" w:leader="none"/>
        </w:tabs>
      </w:pPr>
      <w:rPr>
        <w:rFonts w:ascii="Wingdings" w:hAnsi="Wingdings" w:hint="default"/>
      </w:rPr>
    </w:lvl>
    <w:lvl w:ilvl="6">
      <w:start w:val="1"/>
      <w:numFmt w:val="bullet"/>
      <w:suff w:val="tab"/>
      <w:lvlText w:val=""/>
      <w:lvlJc w:val="left"/>
      <w:pPr>
        <w:ind w:hanging="360" w:left="6174"/>
        <w:tabs>
          <w:tab w:val="num" w:pos="6174" w:leader="none"/>
        </w:tabs>
      </w:pPr>
      <w:rPr>
        <w:rFonts w:ascii="Symbol" w:hAnsi="Symbol" w:hint="default"/>
      </w:rPr>
    </w:lvl>
    <w:lvl w:ilvl="7">
      <w:start w:val="1"/>
      <w:numFmt w:val="bullet"/>
      <w:suff w:val="tab"/>
      <w:lvlText w:val="o"/>
      <w:lvlJc w:val="left"/>
      <w:pPr>
        <w:ind w:hanging="360" w:left="6894"/>
        <w:tabs>
          <w:tab w:val="num" w:pos="6894" w:leader="none"/>
        </w:tabs>
      </w:pPr>
      <w:rPr>
        <w:rFonts w:ascii="Courier New" w:hAnsi="Courier New" w:cs="Courier New" w:hint="default"/>
      </w:rPr>
    </w:lvl>
    <w:lvl w:ilvl="8">
      <w:start w:val="1"/>
      <w:numFmt w:val="bullet"/>
      <w:suff w:val="tab"/>
      <w:lvlText w:val=""/>
      <w:lvlJc w:val="left"/>
      <w:pPr>
        <w:ind w:hanging="360" w:left="7614"/>
        <w:tabs>
          <w:tab w:val="num" w:pos="7614" w:leader="none"/>
        </w:tabs>
      </w:pPr>
      <w:rPr>
        <w:rFonts w:ascii="Wingdings" w:hAnsi="Wingdings" w:hint="default"/>
      </w:rPr>
    </w:lvl>
  </w:abstractNum>
  <w:abstractNum w:abstractNumId="13">
    <w:nsid w:val="1B16070C"/>
    <w:multiLevelType w:val="hybridMultilevel"/>
    <w:lvl w:ilvl="0" w:tplc="FFFFFFFF">
      <w:start w:val="1"/>
      <w:numFmt w:val="ideographDigit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4">
    <w:nsid w:val="2CCC5093"/>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5">
    <w:nsid w:val="450D3C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4802416F"/>
    <w:multiLevelType w:val="hybridMultilevel"/>
    <w:lvl w:ilvl="0" w:tplc="67B62E12">
      <w:start w:val="1"/>
      <w:numFmt w:val="decimal"/>
      <w:suff w:val="tab"/>
      <w:lvlText w:val="%1."/>
      <w:lvlJc w:val="left"/>
      <w:pPr>
        <w:ind w:hanging="360" w:left="643"/>
      </w:pPr>
      <w:rPr>
        <w:rFonts w:hint="default"/>
        <w:b w:val="1"/>
      </w:rPr>
    </w:lvl>
    <w:lvl w:ilvl="1" w:tplc="041D0019">
      <w:start w:val="1"/>
      <w:numFmt w:val="lowerLetter"/>
      <w:suff w:val="tab"/>
      <w:lvlText w:val="%2."/>
      <w:lvlJc w:val="left"/>
      <w:pPr>
        <w:ind w:hanging="360" w:left="1363"/>
      </w:pPr>
      <w:rPr/>
    </w:lvl>
    <w:lvl w:ilvl="2" w:tplc="041D001B">
      <w:start w:val="1"/>
      <w:numFmt w:val="lowerRoman"/>
      <w:suff w:val="tab"/>
      <w:lvlText w:val="%3."/>
      <w:lvlJc w:val="right"/>
      <w:pPr>
        <w:ind w:hanging="180" w:left="2083"/>
      </w:pPr>
      <w:rPr/>
    </w:lvl>
    <w:lvl w:ilvl="3" w:tplc="041D000F">
      <w:start w:val="1"/>
      <w:numFmt w:val="decimal"/>
      <w:suff w:val="tab"/>
      <w:lvlText w:val="%4."/>
      <w:lvlJc w:val="left"/>
      <w:pPr>
        <w:ind w:hanging="360" w:left="2803"/>
      </w:pPr>
      <w:rPr/>
    </w:lvl>
    <w:lvl w:ilvl="4" w:tplc="041D0019">
      <w:start w:val="1"/>
      <w:numFmt w:val="lowerLetter"/>
      <w:suff w:val="tab"/>
      <w:lvlText w:val="%5."/>
      <w:lvlJc w:val="left"/>
      <w:pPr>
        <w:ind w:hanging="360" w:left="3523"/>
      </w:pPr>
      <w:rPr/>
    </w:lvl>
    <w:lvl w:ilvl="5" w:tplc="041D001B">
      <w:start w:val="1"/>
      <w:numFmt w:val="lowerRoman"/>
      <w:suff w:val="tab"/>
      <w:lvlText w:val="%6."/>
      <w:lvlJc w:val="right"/>
      <w:pPr>
        <w:ind w:hanging="180" w:left="4243"/>
      </w:pPr>
      <w:rPr/>
    </w:lvl>
    <w:lvl w:ilvl="6" w:tplc="041D000F">
      <w:start w:val="1"/>
      <w:numFmt w:val="decimal"/>
      <w:suff w:val="tab"/>
      <w:lvlText w:val="%7."/>
      <w:lvlJc w:val="left"/>
      <w:pPr>
        <w:ind w:hanging="360" w:left="4963"/>
      </w:pPr>
      <w:rPr/>
    </w:lvl>
    <w:lvl w:ilvl="7" w:tplc="041D0019">
      <w:start w:val="1"/>
      <w:numFmt w:val="lowerLetter"/>
      <w:suff w:val="tab"/>
      <w:lvlText w:val="%8."/>
      <w:lvlJc w:val="left"/>
      <w:pPr>
        <w:ind w:hanging="360" w:left="5683"/>
      </w:pPr>
      <w:rPr/>
    </w:lvl>
    <w:lvl w:ilvl="8" w:tplc="041D001B">
      <w:start w:val="1"/>
      <w:numFmt w:val="lowerRoman"/>
      <w:suff w:val="tab"/>
      <w:lvlText w:val="%9."/>
      <w:lvlJc w:val="right"/>
      <w:pPr>
        <w:ind w:hanging="180" w:left="6403"/>
      </w:pPr>
      <w:rPr/>
    </w:lvl>
  </w:abstractNum>
  <w:abstractNum w:abstractNumId="17">
    <w:nsid w:val="48F347D8"/>
    <w:multiLevelType w:val="hybridMultilevel"/>
    <w:lvl w:ilvl="0" w:tplc="E38C0892">
      <w:start w:val="1"/>
      <w:numFmt w:val="bullet"/>
      <w:pStyle w:val="P9"/>
      <w:suff w:val="tab"/>
      <w:lvlText w:val=""/>
      <w:lvlJc w:val="left"/>
      <w:pPr>
        <w:ind w:hanging="360" w:left="3195"/>
        <w:tabs>
          <w:tab w:val="num" w:pos="3195" w:leader="none"/>
        </w:tabs>
      </w:pPr>
      <w:rPr>
        <w:rFonts w:ascii="Wingdings" w:hAnsi="Wingdings" w:hint="default"/>
      </w:rPr>
    </w:lvl>
    <w:lvl w:ilvl="1" w:tplc="041D0003">
      <w:start w:val="1"/>
      <w:numFmt w:val="bullet"/>
      <w:suff w:val="tab"/>
      <w:lvlText w:val="o"/>
      <w:lvlJc w:val="left"/>
      <w:pPr>
        <w:ind w:hanging="360" w:left="2574"/>
        <w:tabs>
          <w:tab w:val="num" w:pos="2574" w:leader="none"/>
        </w:tabs>
      </w:pPr>
      <w:rPr>
        <w:rFonts w:ascii="Courier New" w:hAnsi="Courier New" w:cs="Courier New" w:hint="default"/>
      </w:rPr>
    </w:lvl>
    <w:lvl w:ilvl="2" w:tplc="041D0005">
      <w:start w:val="1"/>
      <w:numFmt w:val="bullet"/>
      <w:suff w:val="tab"/>
      <w:lvlText w:val=""/>
      <w:lvlJc w:val="left"/>
      <w:pPr>
        <w:ind w:hanging="360" w:left="3294"/>
        <w:tabs>
          <w:tab w:val="num" w:pos="3294" w:leader="none"/>
        </w:tabs>
      </w:pPr>
      <w:rPr>
        <w:rFonts w:ascii="Wingdings" w:hAnsi="Wingdings" w:hint="default"/>
      </w:rPr>
    </w:lvl>
    <w:lvl w:ilvl="3" w:tplc="041D0001">
      <w:start w:val="1"/>
      <w:numFmt w:val="bullet"/>
      <w:suff w:val="tab"/>
      <w:lvlText w:val=""/>
      <w:lvlJc w:val="left"/>
      <w:pPr>
        <w:ind w:hanging="360" w:left="4014"/>
        <w:tabs>
          <w:tab w:val="num" w:pos="4014" w:leader="none"/>
        </w:tabs>
      </w:pPr>
      <w:rPr>
        <w:rFonts w:ascii="Symbol" w:hAnsi="Symbol" w:hint="default"/>
      </w:rPr>
    </w:lvl>
    <w:lvl w:ilvl="4" w:tplc="041D0003">
      <w:start w:val="1"/>
      <w:numFmt w:val="bullet"/>
      <w:suff w:val="tab"/>
      <w:lvlText w:val="o"/>
      <w:lvlJc w:val="left"/>
      <w:pPr>
        <w:ind w:hanging="360" w:left="4734"/>
        <w:tabs>
          <w:tab w:val="num" w:pos="4734" w:leader="none"/>
        </w:tabs>
      </w:pPr>
      <w:rPr>
        <w:rFonts w:ascii="Courier New" w:hAnsi="Courier New" w:cs="Courier New" w:hint="default"/>
      </w:rPr>
    </w:lvl>
    <w:lvl w:ilvl="5" w:tplc="041D0005">
      <w:start w:val="1"/>
      <w:numFmt w:val="bullet"/>
      <w:suff w:val="tab"/>
      <w:lvlText w:val=""/>
      <w:lvlJc w:val="left"/>
      <w:pPr>
        <w:ind w:hanging="360" w:left="5454"/>
        <w:tabs>
          <w:tab w:val="num" w:pos="5454" w:leader="none"/>
        </w:tabs>
      </w:pPr>
      <w:rPr>
        <w:rFonts w:ascii="Wingdings" w:hAnsi="Wingdings" w:hint="default"/>
      </w:rPr>
    </w:lvl>
    <w:lvl w:ilvl="6" w:tplc="041D0001">
      <w:start w:val="1"/>
      <w:numFmt w:val="bullet"/>
      <w:suff w:val="tab"/>
      <w:lvlText w:val=""/>
      <w:lvlJc w:val="left"/>
      <w:pPr>
        <w:ind w:hanging="360" w:left="6174"/>
        <w:tabs>
          <w:tab w:val="num" w:pos="6174" w:leader="none"/>
        </w:tabs>
      </w:pPr>
      <w:rPr>
        <w:rFonts w:ascii="Symbol" w:hAnsi="Symbol" w:hint="default"/>
      </w:rPr>
    </w:lvl>
    <w:lvl w:ilvl="7" w:tplc="041D0003">
      <w:start w:val="1"/>
      <w:numFmt w:val="bullet"/>
      <w:suff w:val="tab"/>
      <w:lvlText w:val="o"/>
      <w:lvlJc w:val="left"/>
      <w:pPr>
        <w:ind w:hanging="360" w:left="6894"/>
        <w:tabs>
          <w:tab w:val="num" w:pos="6894" w:leader="none"/>
        </w:tabs>
      </w:pPr>
      <w:rPr>
        <w:rFonts w:ascii="Courier New" w:hAnsi="Courier New" w:cs="Courier New" w:hint="default"/>
      </w:rPr>
    </w:lvl>
    <w:lvl w:ilvl="8" w:tplc="041D0005">
      <w:start w:val="1"/>
      <w:numFmt w:val="bullet"/>
      <w:suff w:val="tab"/>
      <w:lvlText w:val=""/>
      <w:lvlJc w:val="left"/>
      <w:pPr>
        <w:ind w:hanging="360" w:left="7614"/>
        <w:tabs>
          <w:tab w:val="num" w:pos="7614" w:leader="none"/>
        </w:tabs>
      </w:pPr>
      <w:rPr>
        <w:rFonts w:ascii="Wingdings" w:hAnsi="Wingdings" w:hint="default"/>
      </w:rPr>
    </w:lvl>
  </w:abstractNum>
  <w:abstractNum w:abstractNumId="18">
    <w:nsid w:val="496D2BE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9">
    <w:nsid w:val="5840558F"/>
    <w:multiLevelType w:val="hybridMultilevel"/>
    <w:lvl w:ilvl="0" w:tplc="B142A0C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6359240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21">
    <w:nsid w:val="72C96385"/>
    <w:multiLevelType w:val="hybridMultilevel"/>
    <w:lvl w:ilvl="0" w:tplc="734CB47C">
      <w:start w:val="0"/>
      <w:numFmt w:val="bullet"/>
      <w:suff w:val="tab"/>
      <w:lvlText w:val="-"/>
      <w:lvlJc w:val="left"/>
      <w:pPr>
        <w:ind w:hanging="360" w:left="720"/>
      </w:pPr>
      <w:rPr>
        <w:rFonts w:ascii="Calibri" w:hAnsi="Calibri" w:cs="Calibri" w:eastAsia="Calibr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2">
    <w:nsid w:val="76557C99"/>
    <w:multiLevelType w:val="hybridMultilevel"/>
    <w:lvl w:ilvl="0" w:tplc="C122A9DC">
      <w:start w:val="0"/>
      <w:numFmt w:val="bullet"/>
      <w:suff w:val="tab"/>
      <w:lvlText w:val="-"/>
      <w:lvlJc w:val="left"/>
      <w:pPr>
        <w:ind w:hanging="360" w:left="1494"/>
        <w:tabs>
          <w:tab w:val="num" w:pos="1494" w:leader="none"/>
        </w:tabs>
      </w:pPr>
      <w:rPr>
        <w:rFonts w:ascii="Times New Roman" w:hAnsi="Times New Roman" w:cs="Times New Roman" w:eastAsia="Times New Roman" w:hint="default"/>
      </w:rPr>
    </w:lvl>
    <w:lvl w:ilvl="1" w:tplc="041D0003">
      <w:start w:val="1"/>
      <w:numFmt w:val="bullet"/>
      <w:suff w:val="tab"/>
      <w:lvlText w:val="o"/>
      <w:lvlJc w:val="left"/>
      <w:pPr>
        <w:ind w:hanging="360" w:left="2214"/>
        <w:tabs>
          <w:tab w:val="num" w:pos="2214" w:leader="none"/>
        </w:tabs>
      </w:pPr>
      <w:rPr>
        <w:rFonts w:ascii="Courier New" w:hAnsi="Courier New" w:cs="Courier New" w:hint="default"/>
      </w:rPr>
    </w:lvl>
    <w:lvl w:ilvl="2" w:tplc="041D0005">
      <w:start w:val="1"/>
      <w:numFmt w:val="bullet"/>
      <w:suff w:val="tab"/>
      <w:lvlText w:val=""/>
      <w:lvlJc w:val="left"/>
      <w:pPr>
        <w:ind w:hanging="360" w:left="2934"/>
        <w:tabs>
          <w:tab w:val="num" w:pos="2934" w:leader="none"/>
        </w:tabs>
      </w:pPr>
      <w:rPr>
        <w:rFonts w:ascii="Wingdings" w:hAnsi="Wingdings" w:hint="default"/>
      </w:rPr>
    </w:lvl>
    <w:lvl w:ilvl="3" w:tplc="041D0001">
      <w:start w:val="1"/>
      <w:numFmt w:val="bullet"/>
      <w:suff w:val="tab"/>
      <w:lvlText w:val=""/>
      <w:lvlJc w:val="left"/>
      <w:pPr>
        <w:ind w:hanging="360" w:left="3654"/>
        <w:tabs>
          <w:tab w:val="num" w:pos="3654" w:leader="none"/>
        </w:tabs>
      </w:pPr>
      <w:rPr>
        <w:rFonts w:ascii="Symbol" w:hAnsi="Symbol" w:hint="default"/>
      </w:rPr>
    </w:lvl>
    <w:lvl w:ilvl="4" w:tplc="041D0003">
      <w:start w:val="1"/>
      <w:numFmt w:val="bullet"/>
      <w:suff w:val="tab"/>
      <w:lvlText w:val="o"/>
      <w:lvlJc w:val="left"/>
      <w:pPr>
        <w:ind w:hanging="360" w:left="4374"/>
        <w:tabs>
          <w:tab w:val="num" w:pos="4374" w:leader="none"/>
        </w:tabs>
      </w:pPr>
      <w:rPr>
        <w:rFonts w:ascii="Courier New" w:hAnsi="Courier New" w:cs="Courier New" w:hint="default"/>
      </w:rPr>
    </w:lvl>
    <w:lvl w:ilvl="5" w:tplc="041D0005">
      <w:start w:val="1"/>
      <w:numFmt w:val="bullet"/>
      <w:suff w:val="tab"/>
      <w:lvlText w:val=""/>
      <w:lvlJc w:val="left"/>
      <w:pPr>
        <w:ind w:hanging="360" w:left="5094"/>
        <w:tabs>
          <w:tab w:val="num" w:pos="5094" w:leader="none"/>
        </w:tabs>
      </w:pPr>
      <w:rPr>
        <w:rFonts w:ascii="Wingdings" w:hAnsi="Wingdings" w:hint="default"/>
      </w:rPr>
    </w:lvl>
    <w:lvl w:ilvl="6" w:tplc="041D0001">
      <w:start w:val="1"/>
      <w:numFmt w:val="bullet"/>
      <w:suff w:val="tab"/>
      <w:lvlText w:val=""/>
      <w:lvlJc w:val="left"/>
      <w:pPr>
        <w:ind w:hanging="360" w:left="5814"/>
        <w:tabs>
          <w:tab w:val="num" w:pos="5814" w:leader="none"/>
        </w:tabs>
      </w:pPr>
      <w:rPr>
        <w:rFonts w:ascii="Symbol" w:hAnsi="Symbol" w:hint="default"/>
      </w:rPr>
    </w:lvl>
    <w:lvl w:ilvl="7" w:tplc="041D0003">
      <w:start w:val="1"/>
      <w:numFmt w:val="bullet"/>
      <w:suff w:val="tab"/>
      <w:lvlText w:val="o"/>
      <w:lvlJc w:val="left"/>
      <w:pPr>
        <w:ind w:hanging="360" w:left="6534"/>
        <w:tabs>
          <w:tab w:val="num" w:pos="6534" w:leader="none"/>
        </w:tabs>
      </w:pPr>
      <w:rPr>
        <w:rFonts w:ascii="Courier New" w:hAnsi="Courier New" w:cs="Courier New" w:hint="default"/>
      </w:rPr>
    </w:lvl>
    <w:lvl w:ilvl="8" w:tplc="041D0005">
      <w:start w:val="1"/>
      <w:numFmt w:val="bullet"/>
      <w:suff w:val="tab"/>
      <w:lvlText w:val=""/>
      <w:lvlJc w:val="left"/>
      <w:pPr>
        <w:ind w:hanging="360" w:left="7254"/>
        <w:tabs>
          <w:tab w:val="num" w:pos="7254" w:leader="none"/>
        </w:tabs>
      </w:pPr>
      <w:rPr>
        <w:rFonts w:ascii="Wingdings" w:hAnsi="Wingdings" w:hint="default"/>
      </w:rPr>
    </w:lvl>
  </w:abstractNum>
  <w:abstractNum w:abstractNumId="23">
    <w:nsid w:val="7F2F0C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num w:numId="1">
    <w:abstractNumId w:val="17"/>
  </w:num>
  <w:num w:numId="2">
    <w:abstractNumId w:val="12"/>
  </w:num>
  <w:num w:numId="3">
    <w:abstractNumId w:val="22"/>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16"/>
  </w:num>
  <w:num w:numId="15">
    <w:abstractNumId w:val="11"/>
  </w:num>
  <w:num w:numId="16">
    <w:abstractNumId w:val="15"/>
  </w:num>
  <w:num w:numId="17">
    <w:abstractNumId w:val="18"/>
  </w:num>
  <w:num w:numId="18">
    <w:abstractNumId w:val="11"/>
    <w:lvlOverride w:ilvl="0">
      <w:startOverride w:val="4"/>
    </w:lvlOverride>
  </w:num>
  <w:num w:numId="19">
    <w:abstractNumId w:val="19"/>
  </w:num>
  <w:num w:numId="20">
    <w:abstractNumId w:val="23"/>
  </w:num>
  <w:num w:numId="21">
    <w:abstractNumId w:val="0"/>
  </w:num>
  <w:num w:numId="22">
    <w:abstractNumId w:val="13"/>
  </w:num>
  <w:num w:numId="23">
    <w:abstractNumId w:val="20"/>
  </w:num>
  <w:num w:numId="24">
    <w:abstractNumId w:val="14"/>
  </w:num>
  <w:num w:numId="25">
    <w:abstractNumId w:val="11"/>
    <w:lvlOverride w:ilvl="0">
      <w:startOverride w:val="4"/>
    </w:lvlOverride>
  </w:num>
  <w:num w:numId="26">
    <w:abstractNumId w:val="21"/>
  </w:num>
  <w:num w:numId="27">
    <w:abstractNumId w:val="11"/>
    <w:lvlOverride w:ilvl="0">
      <w:startOverride w:val="3"/>
    </w:lvlOverride>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5"/>
    <w:qFormat/>
    <w:pPr>
      <w:keepNext w:val="1"/>
      <w:numPr>
        <w:numId w:val="15"/>
      </w:numPr>
      <w:spacing w:before="720" w:after="240" w:beforeAutospacing="0" w:afterAutospacing="0"/>
      <w:ind w:right="1134"/>
      <w:outlineLvl w:val="0"/>
    </w:pPr>
    <w:rPr>
      <w:rFonts w:ascii="Calibri Light" w:hAnsi="Calibri Light" w:cs="Calibri Light"/>
      <w:b w:val="1"/>
      <w:bCs w:val="1"/>
      <w:sz w:val="32"/>
      <w:szCs w:val="32"/>
      <w:kern w:val="32"/>
    </w:rPr>
  </w:style>
  <w:style w:type="paragraph" w:styleId="P2">
    <w:name w:val="Heading 2"/>
    <w:basedOn w:val="P0"/>
    <w:next w:val="P5"/>
    <w:qFormat/>
    <w:pPr>
      <w:keepNext w:val="1"/>
      <w:spacing w:before="480" w:after="120" w:beforeAutospacing="0" w:afterAutospacing="0"/>
      <w:ind w:left="1134" w:right="1134"/>
      <w:outlineLvl w:val="1"/>
    </w:pPr>
    <w:rPr>
      <w:rFonts w:asciiTheme="minorHAnsi" w:hAnsiTheme="minorHAnsi" w:cstheme="minorHAnsi"/>
      <w:b w:val="1"/>
      <w:bCs w:val="1"/>
      <w:iCs w:val="1"/>
      <w:caps w:val="1"/>
      <w:szCs w:val="28"/>
    </w:rPr>
  </w:style>
  <w:style w:type="paragraph" w:styleId="P3">
    <w:name w:val="Heading 3"/>
    <w:basedOn w:val="P0"/>
    <w:next w:val="P5"/>
    <w:link w:val="C3"/>
    <w:qFormat/>
    <w:pPr>
      <w:keepNext w:val="1"/>
      <w:spacing w:before="240" w:after="120" w:beforeAutospacing="0" w:afterAutospacing="0"/>
      <w:ind w:left="1134" w:right="1134"/>
      <w:outlineLvl w:val="2"/>
    </w:pPr>
    <w:rPr>
      <w:rFonts w:asciiTheme="minorHAnsi" w:hAnsiTheme="minorHAnsi" w:cstheme="minorHAnsi"/>
      <w:b w:val="1"/>
      <w:bCs w:val="1"/>
      <w:sz w:val="22"/>
      <w:szCs w:val="26"/>
    </w:rPr>
  </w:style>
  <w:style w:type="paragraph" w:styleId="P4">
    <w:name w:val="Heading 4"/>
    <w:basedOn w:val="P3"/>
    <w:next w:val="P0"/>
    <w:link w:val="C5"/>
    <w:qFormat/>
    <w:pPr>
      <w:spacing w:before="120" w:after="60" w:beforeAutospacing="0" w:afterAutospacing="0"/>
      <w:outlineLvl w:val="3"/>
    </w:pPr>
    <w:rPr>
      <w:rFonts w:ascii="Calibri Light" w:hAnsi="Calibri Light" w:cs="Calibri Light"/>
      <w:b w:val="0"/>
      <w:bCs w:val="0"/>
      <w:szCs w:val="28"/>
      <w:u w:val="single"/>
    </w:rPr>
  </w:style>
  <w:style w:type="paragraph" w:styleId="P5">
    <w:name w:val="Body Text"/>
    <w:basedOn w:val="P0"/>
    <w:link w:val="C18"/>
    <w:pPr>
      <w:spacing w:before="240" w:after="240" w:beforeAutospacing="0" w:afterAutospacing="0"/>
      <w:ind w:left="1134" w:right="1134"/>
    </w:pPr>
    <w:rPr>
      <w:rFonts w:ascii="Arial" w:hAnsi="Arial"/>
      <w:sz w:val="22"/>
    </w:rPr>
  </w:style>
  <w:style w:type="paragraph" w:styleId="P6">
    <w:name w:val="Header"/>
    <w:basedOn w:val="P0"/>
    <w:pPr>
      <w:tabs>
        <w:tab w:val="center" w:pos="4536" w:leader="none"/>
        <w:tab w:val="right" w:pos="9072" w:leader="none"/>
      </w:tabs>
    </w:pPr>
    <w:rPr/>
  </w:style>
  <w:style w:type="paragraph" w:styleId="P7">
    <w:name w:val="Footer"/>
    <w:basedOn w:val="P0"/>
    <w:pPr>
      <w:tabs>
        <w:tab w:val="center" w:pos="4536" w:leader="none"/>
        <w:tab w:val="right" w:pos="9072" w:leader="none"/>
      </w:tabs>
    </w:pPr>
    <w:rPr/>
  </w:style>
  <w:style w:type="paragraph" w:styleId="P8">
    <w:name w:val="Document Map"/>
    <w:basedOn w:val="P0"/>
    <w:semiHidden/>
    <w:pPr>
      <w:shd w:val="clear" w:fill="000080"/>
    </w:pPr>
    <w:rPr>
      <w:rFonts w:ascii="Tahoma" w:hAnsi="Tahoma" w:cs="Tahoma"/>
      <w:sz w:val="20"/>
      <w:szCs w:val="20"/>
    </w:rPr>
  </w:style>
  <w:style w:type="paragraph" w:styleId="P9">
    <w:name w:val="Punktlista utan nivåer"/>
    <w:basedOn w:val="P0"/>
    <w:pPr>
      <w:numPr>
        <w:numId w:val="1"/>
      </w:numPr>
      <w:tabs>
        <w:tab w:val="num" w:pos="567" w:leader="none"/>
      </w:tabs>
      <w:ind w:firstLine="0" w:left="1134"/>
    </w:pPr>
    <w:rPr/>
  </w:style>
  <w:style w:type="paragraph" w:styleId="P10">
    <w:name w:val="Body Text 3"/>
    <w:basedOn w:val="P0"/>
    <w:pPr>
      <w:spacing w:after="120" w:beforeAutospacing="0" w:afterAutospacing="0"/>
    </w:pPr>
    <w:rPr>
      <w:sz w:val="16"/>
      <w:szCs w:val="16"/>
    </w:rPr>
  </w:style>
  <w:style w:type="paragraph" w:styleId="P11">
    <w:name w:val="Planrubrik"/>
    <w:basedOn w:val="P1"/>
    <w:next w:val="P1"/>
    <w:pPr>
      <w:spacing w:before="840" w:after="480" w:beforeAutospacing="0" w:afterAutospacing="0"/>
    </w:pPr>
    <w:rPr/>
  </w:style>
  <w:style w:type="paragraph" w:styleId="P12">
    <w:name w:val="TOC 1"/>
    <w:basedOn w:val="P0"/>
    <w:next w:val="P0"/>
    <w:pPr>
      <w:tabs>
        <w:tab w:val="right" w:pos="8100" w:leader="dot"/>
      </w:tabs>
      <w:spacing w:before="120" w:beforeAutospacing="0" w:afterAutospacing="0"/>
      <w:ind w:left="1134" w:right="1134"/>
    </w:pPr>
    <w:rPr>
      <w:rFonts w:ascii="Calibri Light" w:hAnsi="Calibri Light" w:cs="Arial"/>
      <w:bCs w:val="1"/>
      <w:caps w:val="1"/>
      <w:sz w:val="22"/>
    </w:rPr>
  </w:style>
  <w:style w:type="paragraph" w:styleId="P13">
    <w:name w:val="TOC 2"/>
    <w:basedOn w:val="P0"/>
    <w:next w:val="P0"/>
    <w:semiHidden/>
    <w:pPr>
      <w:tabs>
        <w:tab w:val="right" w:pos="8100" w:leader="dot"/>
      </w:tabs>
      <w:spacing w:before="60" w:beforeAutospacing="0" w:afterAutospacing="0"/>
      <w:ind w:left="1134" w:right="1134"/>
    </w:pPr>
    <w:rPr>
      <w:rFonts w:ascii="Arial" w:hAnsi="Arial"/>
      <w:bCs w:val="1"/>
      <w:caps w:val="1"/>
      <w:sz w:val="20"/>
      <w:szCs w:val="20"/>
    </w:rPr>
  </w:style>
  <w:style w:type="paragraph" w:styleId="P14">
    <w:name w:val="TOC 3"/>
    <w:basedOn w:val="P0"/>
    <w:next w:val="P0"/>
    <w:semiHidden/>
    <w:pPr>
      <w:spacing w:before="60" w:beforeAutospacing="0" w:afterAutospacing="0"/>
      <w:ind w:left="1134" w:right="1134"/>
    </w:pPr>
    <w:rPr>
      <w:rFonts w:ascii="Arial" w:hAnsi="Arial"/>
      <w:sz w:val="20"/>
      <w:szCs w:val="20"/>
    </w:rPr>
  </w:style>
  <w:style w:type="paragraph" w:styleId="P15">
    <w:name w:val="TOC 4"/>
    <w:basedOn w:val="P0"/>
    <w:next w:val="P0"/>
    <w:semiHidden/>
    <w:pPr>
      <w:ind w:left="480"/>
    </w:pPr>
    <w:rPr>
      <w:sz w:val="20"/>
      <w:szCs w:val="20"/>
    </w:rPr>
  </w:style>
  <w:style w:type="paragraph" w:styleId="P16">
    <w:name w:val="TOC 5"/>
    <w:basedOn w:val="P0"/>
    <w:next w:val="P0"/>
    <w:semiHidden/>
    <w:pPr>
      <w:ind w:left="720"/>
    </w:pPr>
    <w:rPr>
      <w:sz w:val="20"/>
      <w:szCs w:val="20"/>
    </w:rPr>
  </w:style>
  <w:style w:type="paragraph" w:styleId="P17">
    <w:name w:val="TOC 6"/>
    <w:basedOn w:val="P0"/>
    <w:next w:val="P0"/>
    <w:semiHidden/>
    <w:pPr>
      <w:ind w:left="960"/>
    </w:pPr>
    <w:rPr>
      <w:sz w:val="20"/>
      <w:szCs w:val="20"/>
    </w:rPr>
  </w:style>
  <w:style w:type="paragraph" w:styleId="P18">
    <w:name w:val="TOC 7"/>
    <w:basedOn w:val="P0"/>
    <w:next w:val="P0"/>
    <w:semiHidden/>
    <w:pPr>
      <w:ind w:left="1200"/>
    </w:pPr>
    <w:rPr>
      <w:sz w:val="20"/>
      <w:szCs w:val="20"/>
    </w:rPr>
  </w:style>
  <w:style w:type="paragraph" w:styleId="P19">
    <w:name w:val="TOC 8"/>
    <w:basedOn w:val="P0"/>
    <w:next w:val="P0"/>
    <w:semiHidden/>
    <w:pPr>
      <w:ind w:left="1440"/>
    </w:pPr>
    <w:rPr>
      <w:sz w:val="20"/>
      <w:szCs w:val="20"/>
    </w:rPr>
  </w:style>
  <w:style w:type="paragraph" w:styleId="P20">
    <w:name w:val="TOC 9"/>
    <w:basedOn w:val="P0"/>
    <w:next w:val="P0"/>
    <w:semiHidden/>
    <w:pPr>
      <w:ind w:left="1680"/>
    </w:pPr>
    <w:rPr>
      <w:sz w:val="20"/>
      <w:szCs w:val="20"/>
    </w:rPr>
  </w:style>
  <w:style w:type="paragraph" w:styleId="P21">
    <w:name w:val="Formatmall Innehåll 1 + Vänster:  2 cm"/>
    <w:basedOn w:val="P12"/>
    <w:pPr/>
    <w:rPr>
      <w:rFonts w:cs="Times New Roman"/>
      <w:sz w:val="20"/>
      <w:szCs w:val="20"/>
    </w:rPr>
  </w:style>
  <w:style w:type="paragraph" w:styleId="P22">
    <w:name w:val="Normal areal"/>
    <w:basedOn w:val="P5"/>
    <w:link w:val="C6"/>
    <w:qFormat/>
    <w:pPr/>
    <w:rPr>
      <w:bCs w:val="1"/>
      <w:noProof w:val="1"/>
      <w:szCs w:val="22"/>
    </w:rPr>
  </w:style>
  <w:style w:type="paragraph" w:styleId="P23">
    <w:name w:val="Normalt"/>
    <w:basedOn w:val="P5"/>
    <w:link w:val="C7"/>
    <w:qFormat/>
    <w:pPr/>
    <w:rPr>
      <w:rFonts w:ascii="Calibri Light" w:hAnsi="Calibri Light" w:cs="Calibri Light"/>
      <w:szCs w:val="22"/>
    </w:rPr>
  </w:style>
  <w:style w:type="paragraph" w:styleId="P24">
    <w:name w:val="Quote"/>
    <w:basedOn w:val="P0"/>
    <w:next w:val="P0"/>
    <w:link w:val="C9"/>
    <w:qFormat/>
    <w:pPr/>
    <w:rPr>
      <w:i w:val="1"/>
      <w:iCs w:val="1"/>
      <w:color w:val="000000"/>
    </w:rPr>
  </w:style>
  <w:style w:type="paragraph" w:styleId="P25">
    <w:name w:val="Normal (Web)"/>
    <w:basedOn w:val="P0"/>
    <w:pPr>
      <w:spacing w:before="100" w:after="100" w:beforeAutospacing="1" w:afterAutospacing="1"/>
    </w:pPr>
    <w:rPr/>
  </w:style>
  <w:style w:type="paragraph" w:styleId="P26">
    <w:name w:val="List Paragraph"/>
    <w:basedOn w:val="P0"/>
    <w:qFormat/>
    <w:pPr>
      <w:spacing w:lineRule="auto" w:line="259" w:after="160" w:beforeAutospacing="0" w:afterAutospacing="0"/>
      <w:ind w:left="720"/>
      <w:contextualSpacing w:val="1"/>
    </w:pPr>
    <w:rPr>
      <w:rFonts w:asciiTheme="minorHAnsi" w:hAnsiTheme="minorHAnsi" w:cstheme="minorBidi" w:eastAsiaTheme="minorHAnsi"/>
      <w:sz w:val="22"/>
      <w:szCs w:val="22"/>
      <w:lang w:eastAsia="en-US"/>
    </w:rPr>
  </w:style>
  <w:style w:type="paragraph" w:styleId="P27">
    <w:name w:val="Caption"/>
    <w:basedOn w:val="P0"/>
    <w:next w:val="P0"/>
    <w:qFormat/>
    <w:pPr>
      <w:spacing w:after="200" w:beforeAutospacing="0" w:afterAutospacing="0"/>
    </w:pPr>
    <w:rPr>
      <w:i w:val="1"/>
      <w:iCs w:val="1"/>
      <w:color w:val="1F497D" w:themeColor="text2"/>
      <w:sz w:val="18"/>
      <w:szCs w:val="18"/>
    </w:rPr>
  </w:style>
  <w:style w:type="paragraph" w:styleId="P28">
    <w:name w:val="annotation text"/>
    <w:basedOn w:val="P0"/>
    <w:link w:val="C12"/>
    <w:pPr/>
    <w:rPr>
      <w:sz w:val="20"/>
      <w:szCs w:val="20"/>
    </w:rPr>
  </w:style>
  <w:style w:type="paragraph" w:styleId="P29">
    <w:name w:val="annotation subject"/>
    <w:basedOn w:val="P28"/>
    <w:next w:val="P28"/>
    <w:link w:val="C13"/>
    <w:semiHidden/>
    <w:pPr/>
    <w:rPr>
      <w:b w:val="1"/>
      <w:bCs w:val="1"/>
    </w:rPr>
  </w:style>
  <w:style w:type="paragraph" w:styleId="P30">
    <w:name w:val="Balloon Text"/>
    <w:basedOn w:val="P0"/>
    <w:link w:val="C14"/>
    <w:semiHidden/>
    <w:pPr/>
    <w:rPr>
      <w:rFonts w:ascii="Segoe UI" w:hAnsi="Segoe UI" w:cs="Segoe UI"/>
      <w:sz w:val="18"/>
      <w:szCs w:val="18"/>
    </w:rPr>
  </w:style>
  <w:style w:type="paragraph" w:styleId="P31">
    <w:name w:val="Title"/>
    <w:basedOn w:val="P0"/>
    <w:next w:val="P0"/>
    <w:link w:val="C16"/>
    <w:qFormat/>
    <w:pPr>
      <w:ind w:left="1134"/>
    </w:pPr>
    <w:rPr>
      <w:rFonts w:asciiTheme="minorHAnsi" w:hAnsiTheme="minorHAnsi" w:cstheme="minorHAnsi"/>
      <w:b w:val="1"/>
      <w:sz w:val="36"/>
      <w:szCs w:val="36"/>
    </w:rPr>
  </w:style>
  <w:style w:type="paragraph" w:styleId="P32">
    <w:name w:val="Default"/>
    <w:pPr/>
    <w:rPr>
      <w:rFonts w:ascii="Garamond" w:hAnsi="Garamond" w:cs="Garamond"/>
      <w:color w:val="000000"/>
      <w:sz w:val="24"/>
      <w:szCs w:val="24"/>
    </w:rPr>
  </w:style>
  <w:style w:type="paragraph" w:styleId="P33">
    <w:name w:val="Footnote Text"/>
    <w:link w:val="C21"/>
    <w:semiHidden/>
    <w:pPr>
      <w:spacing w:lineRule="auto" w:line="240" w:after="0"/>
    </w:pPr>
    <w:rPr>
      <w:sz w:val="20"/>
      <w:szCs w:val="20"/>
    </w:rPr>
  </w:style>
  <w:style w:type="paragraph" w:styleId="P34">
    <w:name w:val="Endnote Text"/>
    <w:link w:val="C23"/>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3 Char"/>
    <w:link w:val="P3"/>
    <w:rPr>
      <w:rFonts w:asciiTheme="minorHAnsi" w:hAnsiTheme="minorHAnsi" w:cstheme="minorHAnsi"/>
      <w:b w:val="1"/>
      <w:bCs w:val="1"/>
      <w:sz w:val="22"/>
      <w:szCs w:val="26"/>
    </w:rPr>
  </w:style>
  <w:style w:type="character" w:styleId="C4">
    <w:name w:val="Page Number"/>
    <w:basedOn w:val="C0"/>
    <w:rPr/>
  </w:style>
  <w:style w:type="character" w:styleId="C5">
    <w:name w:val="Rubrik 4 Char"/>
    <w:link w:val="P4"/>
    <w:rPr>
      <w:rFonts w:ascii="Calibri Light" w:hAnsi="Calibri Light" w:cs="Calibri Light"/>
      <w:sz w:val="22"/>
      <w:szCs w:val="28"/>
      <w:u w:val="single"/>
    </w:rPr>
  </w:style>
  <w:style w:type="character" w:styleId="C6">
    <w:name w:val="Normal areal Char"/>
    <w:link w:val="P22"/>
    <w:rPr>
      <w:rFonts w:ascii="Arial" w:hAnsi="Arial"/>
      <w:bCs w:val="1"/>
      <w:noProof w:val="1"/>
      <w:sz w:val="22"/>
      <w:szCs w:val="22"/>
    </w:rPr>
  </w:style>
  <w:style w:type="character" w:styleId="C7">
    <w:name w:val="Normalt Char"/>
    <w:basedOn w:val="C0"/>
    <w:link w:val="P23"/>
    <w:rPr>
      <w:rFonts w:ascii="Calibri Light" w:hAnsi="Calibri Light" w:cs="Calibri Light"/>
      <w:sz w:val="22"/>
      <w:szCs w:val="22"/>
    </w:rPr>
  </w:style>
  <w:style w:type="character" w:styleId="C8">
    <w:name w:val="Emphasis"/>
    <w:aliases w:val="Bildtext"/>
    <w:qFormat/>
    <w:rPr>
      <w:rFonts w:ascii="Calibri Light" w:hAnsi="Calibri Light" w:cs="Calibri Light"/>
      <w:i w:val="1"/>
      <w:color w:val="7F7F7F" w:themeColor="text1" w:themeTint="80"/>
      <w:sz w:val="20"/>
      <w:szCs w:val="20"/>
    </w:rPr>
  </w:style>
  <w:style w:type="character" w:styleId="C9">
    <w:name w:val="Citat Char"/>
    <w:basedOn w:val="C0"/>
    <w:link w:val="P24"/>
    <w:rPr>
      <w:i w:val="1"/>
      <w:iCs w:val="1"/>
      <w:color w:val="000000"/>
      <w:sz w:val="24"/>
      <w:szCs w:val="24"/>
    </w:rPr>
  </w:style>
  <w:style w:type="character" w:styleId="C10">
    <w:name w:val="HTML Cite"/>
    <w:basedOn w:val="C0"/>
    <w:semiHidden/>
    <w:rPr>
      <w:i w:val="1"/>
      <w:iCs w:val="1"/>
    </w:rPr>
  </w:style>
  <w:style w:type="character" w:styleId="C11">
    <w:name w:val="annotation reference"/>
    <w:basedOn w:val="C0"/>
    <w:semiHidden/>
    <w:rPr>
      <w:sz w:val="16"/>
      <w:szCs w:val="16"/>
    </w:rPr>
  </w:style>
  <w:style w:type="character" w:styleId="C12">
    <w:name w:val="Kommentarer Char"/>
    <w:basedOn w:val="C0"/>
    <w:link w:val="P28"/>
    <w:rPr/>
  </w:style>
  <w:style w:type="character" w:styleId="C13">
    <w:name w:val="Kommentarsämne Char"/>
    <w:basedOn w:val="C12"/>
    <w:link w:val="P29"/>
    <w:semiHidden/>
    <w:rPr>
      <w:b w:val="1"/>
      <w:bCs w:val="1"/>
    </w:rPr>
  </w:style>
  <w:style w:type="character" w:styleId="C14">
    <w:name w:val="Ballongtext Char"/>
    <w:basedOn w:val="C0"/>
    <w:link w:val="P30"/>
    <w:semiHidden/>
    <w:rPr>
      <w:rFonts w:ascii="Segoe UI" w:hAnsi="Segoe UI" w:cs="Segoe UI"/>
      <w:sz w:val="18"/>
      <w:szCs w:val="18"/>
    </w:rPr>
  </w:style>
  <w:style w:type="character" w:styleId="C15">
    <w:name w:val="FollowedHyperlink"/>
    <w:basedOn w:val="C0"/>
    <w:semiHidden/>
    <w:rPr>
      <w:color w:val="800080" w:themeColor="followedHyperlink"/>
      <w:u w:val="single"/>
    </w:rPr>
  </w:style>
  <w:style w:type="character" w:styleId="C16">
    <w:name w:val="Rubrik Char"/>
    <w:basedOn w:val="C0"/>
    <w:link w:val="P31"/>
    <w:rPr>
      <w:rFonts w:asciiTheme="minorHAnsi" w:hAnsiTheme="minorHAnsi" w:cstheme="minorHAnsi"/>
      <w:b w:val="1"/>
      <w:sz w:val="36"/>
      <w:szCs w:val="36"/>
    </w:rPr>
  </w:style>
  <w:style w:type="character" w:styleId="C17">
    <w:name w:val="Unresolved Mention1"/>
    <w:basedOn w:val="C0"/>
    <w:semiHidden/>
    <w:rPr>
      <w:color w:val="605E5C"/>
      <w:shd w:val="clear" w:color="auto" w:fill="E1DFDD"/>
    </w:rPr>
  </w:style>
  <w:style w:type="character" w:styleId="C18">
    <w:name w:val="Brödtext Char"/>
    <w:basedOn w:val="C0"/>
    <w:link w:val="P5"/>
    <w:rPr>
      <w:rFonts w:ascii="Arial" w:hAnsi="Arial"/>
      <w:sz w:val="22"/>
      <w:szCs w:val="24"/>
    </w:rPr>
  </w:style>
  <w:style w:type="character" w:styleId="C19">
    <w:name w:val="Strong"/>
    <w:basedOn w:val="C0"/>
    <w:qFormat/>
    <w:rPr>
      <w:b w:val="1"/>
      <w:bCs w:val="1"/>
    </w:rPr>
  </w:style>
  <w:style w:type="character" w:styleId="C20">
    <w:name w:val="Footnote Reference"/>
    <w:semiHidden/>
    <w:rPr>
      <w:vertAlign w:val="superscript"/>
    </w:rPr>
  </w:style>
  <w:style w:type="character" w:styleId="C21">
    <w:name w:val="Footnote Text Char"/>
    <w:link w:val="P33"/>
    <w:semiHidden/>
    <w:rPr>
      <w:sz w:val="20"/>
      <w:szCs w:val="20"/>
    </w:rPr>
  </w:style>
  <w:style w:type="character" w:styleId="C22">
    <w:name w:val="Endnote Reference"/>
    <w:semiHidden/>
    <w:rPr>
      <w:vertAlign w:val="superscript"/>
    </w:rPr>
  </w:style>
  <w:style w:type="character" w:styleId="C23">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6" Type="http://schemas.openxmlformats.org/officeDocument/2006/relationships/image" Target="/media/image6.jpg" /></Relationships>
</file>

<file path=word/_rels/header2.xml.rels>&#65279;<?xml version="1.0" encoding="utf-8"?><Relationships xmlns="http://schemas.openxmlformats.org/package/2006/relationships"><Relationship Id="Relimage7" Type="http://schemas.openxmlformats.org/officeDocument/2006/relationships/image" Target="/media/image7.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2026-02-17T09:47:16.5640662+01:00</versionGiltigFran>
  <detaljplansreferens>20568515-5661-4eb5-b96d-8ea1a7683ff4</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be_genomförandetid01</identitet>
    <Lage>
      <planomrade>true</planomrade>
    </Lage>
    <Indelning>
      <tema>Beskrivning av detaljplanen</tema>
      <grupp>Genomförandetid</grupp>
    </Indelning>
  </Omfattning>
  <Omfattning>
    <identitet>mo_motivtillreglering01</identitet>
    <Lage>
      <lmg:Yta>
        <lmg:absolutLagesosakerhetPlan>0</lmg:absolutLagesosakerhetPlan>
        <lmg:absolutLagesosakerhetHojd>0</lmg:absolutLagesosakerhetHojd>
        <lmg:hojdsystem>RH 2000</lmg:hojdsystem>
        <gml:Polygon gml:id="ID_3dc0c43c-463e-4095-a3fd-11a054d70e3f" srsName="EPSG:3009" srsDimension="2">
          <gml:exterior>
            <gml:LinearRing gml:id="ID_a4140623-cc23-4017-8141-a1b32fbb1694">
              <gml:posList>6308532.532 124492.906 6308532.485 124492.969 6308532.67 124494.086 6308533.704 124500.333 6308537.193 124503.253 6308531.764 124510.447 6308527.704 124507.078 6308521.314 124507.796 6308520.459 124508.931 6308518.979 124510.895 6308517.499 124512.86 6308516.417 124514.296 6308515.387 124515.662 6308510.448 124522.218 6308499.479 124536.777 6308492.031 124530.875 6308506.564 124511.56 6308505.585 124511.106 6308507.882 124508.044 6308512.666 124501.67 6308519.31 124492.968 6308523.384 124487.633 6308526.372 124482.042 6308527.23 124480.437 6308530.474 124474.366 6308532.132 124467.926 6308532.963 124464.7 6308534.447 124458.936 6308536.143 124445.934 6308536.427 124443.756 6308536.865 124440.405 6308537.523 124435.187 6308536.788 124429.298 6308535.604 124419.82 6308534.599 124411.77 6308531.98 124390.802 6308531.02 124383.113 6308529.61 124371.821 6308528.159 124360.419 6308527.455 124354.882 6308526.864 124350.241 6308525.686 124340.974 6308525.07 124335.788 6308524.359 124329.788 6308524.036 124327.068 6308523.518 124322.702 6308524.592 124322.975 6308527.186 124323.618 6308527.705 124323.747 6308534.449 124325.421 6308535.672 124325.724 6308546.931 124413.895 6308550.434 124426.044 6308547.319 124441.781 6308544.815 124460.971 6308540.368 124478.244 6308533.408 124491.269 6308532.532 124492.906</gml:posList>
            </gml:LinearRing>
          </gml:exterior>
        </gml:Polygon>
      </lmg:Yta>
      <planbestammelsereferens>528861d8-606f-4f5d-8682-7e0757b74557</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82af5001-7e88-496b-8a88-4757524bd163" srsName="EPSG:3009" srsDimension="2">
          <gml:exterior>
            <gml:LinearRing gml:id="ID_8bd883ee-e021-497a-9bae-3ee3dd0ccd55">
              <gml:posList>6308507.247 124542.936 6308499.479 124536.777 6308510.448 124522.218 6308515.387 124515.662 6308516.417 124514.296 6308517.499 124512.86 6308518.979 124510.895 6308520.459 124508.931 6308521.314 124507.796 6308527.704 124507.078 6308531.764 124510.447 6308507.247 124542.936</gml:posList>
            </gml:LinearRing>
          </gml:exterior>
        </gml:Polygon>
      </lmg:Yta>
      <planbestammelsereferens>f2575b89-d513-4058-b93c-dda73911ebbd</planbestammelsereferens>
    </Lage>
    <Indelning>
      <tema>Motiv till detaljplanens regleringar</tema>
      <grupp>Motiv till reglering</grupp>
    </Indelning>
  </Omfattning>
  <Omfattning>
    <identitet>mo_motivtillreglering03</identitet>
    <Lage>
      <lmg:Yta>
        <lmg:absolutLagesosakerhetPlan>0.1</lmg:absolutLagesosakerhetPlan>
        <lmg:absolutLagesosakerhetHojd>0</lmg:absolutLagesosakerhetHojd>
        <lmg:hojdsystem>RH 2000</lmg:hojdsystem>
        <gml:Polygon gml:id="ID_b28ecf94-6403-4224-86a2-b70e4ee02e14" srsName="EPSG:3009" srsDimension="2">
          <gml:exterior>
            <gml:LinearRing gml:id="ID_6cbe8fdc-5b41-4115-8ba2-7fd72c64325d">
              <gml:posList>6308507.247 124542.936 6308499.479 124536.777 6308510.448 124522.218 6308515.387 124515.662 6308516.417 124514.296 6308517.499 124512.86 6308518.979 124510.895 6308520.459 124508.931 6308521.314 124507.796 6308527.704 124507.078 6308531.764 124510.447 6308507.247 124542.936</gml:posList>
            </gml:LinearRing>
          </gml:exterior>
        </gml:Polygon>
      </lmg:Yta>
      <planbestammelsereferens>a621beb5-41b2-442d-80f7-2421d0e86a28</planbestammelsereferens>
    </Lage>
    <Indelning>
      <tema>Motiv till detaljplanens regleringar</tema>
      <grupp>Motiv till reglering</grupp>
    </Indelning>
  </Omfattning>
  <Omfattning>
    <identitet>mo_motivtillreglering04</identitet>
    <Lage>
      <lmg:Linje>
        <lmg:absolutLagesosakerhetPlan>0.1</lmg:absolutLagesosakerhetPlan>
        <lmg:absolutLagesosakerhetHojd>0</lmg:absolutLagesosakerhetHojd>
        <lmg:hojdsystem>RH 2000</lmg:hojdsystem>
        <gml:LineString gml:id="ID_7171c24e-d25a-4028-bae4-4b16498d19a5" srsName="EPSG:3009" srsDimension="2">
          <gml:posList>6308499.479 124536.777 6308510.448 124522.218 6308515.387 124515.662 6308516.417 124514.296 6308517.499 124512.86 6308518.979 124510.895 6308520.459 124508.931 6308521.314 124507.796 6308527.704 124507.078 6308531.764 124510.447</gml:posList>
        </gml:LineString>
      </lmg:Linje>
      <planbestammelsereferens>0bcaacea-ae6b-47df-9011-22e87417f365</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04538efd-9e51-4b7f-9e80-364bb25647d6}">
  <ds:schemaRefs>
    <ds:schemaRef ds:uri="http://schemas.microsoft.com/vsto/samples"/>
  </ds:schemaRefs>
</ds:datastoreItem>
</file>

<file path=customXml/itemProps2.xml><?xml version="1.0" encoding="utf-8"?>
<ds:datastoreItem xmlns:ds="http://schemas.openxmlformats.org/officeDocument/2006/customXml" ds:itemID="cfd7b2c7-31e6-4493-acd1-82ef9442ed5d">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Alvesta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Sarah Henningsson</dc:creator>
  <dcterms:created xsi:type="dcterms:W3CDTF">2025-09-08T11:02:00Z</dcterms:created>
  <cp:lastModifiedBy>Johan Karlsson</cp:lastModifiedBy>
  <cp:lastPrinted>2010-12-16T09:55:00Z</cp:lastPrinted>
  <dcterms:modified xsi:type="dcterms:W3CDTF">2026-02-17T08:47:24Z</dcterms:modified>
  <cp:revision>6</cp:revision>
  <dc:title>Detaljplan för del av XX,</dc:title>
</cp:coreProperties>
</file>