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ackground w:color="FFFFFF"/>
  <w:body>
    <w:p>
      <w:pPr>
        <w:pStyle w:val="P5"/>
      </w:pPr>
    </w:p>
    <w:p/>
    <w:p/>
    <w:p>
      <w:pPr>
        <w:ind w:firstLine="360"/>
        <w:rPr>
          <w:bCs w:val="1"/>
          <w:sz w:val="36"/>
          <w:szCs w:val="36"/>
          <w:spacing w:val="20"/>
        </w:rPr>
      </w:pPr>
    </w:p>
    <w:p>
      <w:pPr>
        <w:ind w:firstLine="360"/>
        <w:rPr>
          <w:bCs w:val="1"/>
          <w:sz w:val="36"/>
          <w:szCs w:val="36"/>
          <w:spacing w:val="20"/>
        </w:rPr>
      </w:pPr>
    </w:p>
    <w:p>
      <w:pPr>
        <w:ind w:firstLine="360"/>
        <w:rPr>
          <w:rFonts w:ascii="Arial" w:hAnsi="Arial" w:cs="Arial"/>
        </w:rPr>
      </w:pPr>
    </w:p>
    <w:p>
      <w:pPr>
        <w:pStyle w:val="P1"/>
      </w:pPr>
      <w:r>
        <w:t>Detaljplan för</w:t>
      </w:r>
    </w:p>
    <w:p>
      <w:pPr>
        <w:pStyle w:val="P1"/>
        <w:rPr>
          <w:szCs w:val="36"/>
        </w:rPr>
      </w:pPr>
      <w:r>
        <w:rPr>
          <w:szCs w:val="36"/>
        </w:rPr>
        <w:t>bostäder vid Vandrarvägen</w:t>
      </w:r>
    </w:p>
    <w:p>
      <w:pPr>
        <w:pStyle w:val="P1"/>
      </w:pPr>
      <w:r>
        <w:t>i Falu kommun, Dalarnas län</w:t>
      </w:r>
    </w:p>
    <w:p>
      <w:pPr>
        <w:pStyle w:val="P4"/>
        <w:numPr>
          <w:ilvl w:val="0"/>
          <w:numId w:val="0"/>
        </w:numPr>
        <w:ind w:firstLine="0" w:left="142" w:right="810"/>
        <w:rPr>
          <w:sz w:val="32"/>
        </w:rPr>
      </w:pPr>
    </w:p>
    <w:p>
      <w:pPr>
        <w:pStyle w:val="P1"/>
      </w:pPr>
      <w:r>
        <w:t xml:space="preserve">Planbeskrivning </w:t>
        <w:tab/>
      </w:r>
    </w:p>
    <w:p/>
    <w:p/>
    <w:p/>
    <w:p>
      <w:r>
        <w:rPr>
          <w:noProof w:val="1"/>
        </w:rPr>
        <w:drawing>
          <wp:inline xmlns:wp="http://schemas.openxmlformats.org/drawingml/2006/wordprocessingDrawing" distT="0" distB="0" distL="0" distR="0">
            <wp:extent cx="4671060" cy="2913380"/>
            <wp:effectExtent l="0" t="0" r="0" b="127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dpi="0">
                    <a:blip xmlns:r="http://schemas.openxmlformats.org/officeDocument/2006/relationships" r:embed="Relimage1"/>
                    <a:srcRect/>
                    <a:stretch>
                      <a:fillRect/>
                    </a:stretch>
                  </pic:blipFill>
                  <pic:spPr>
                    <a:xfrm>
                      <a:off x="0" y="0"/>
                      <a:ext cx="4684885" cy="2922443"/>
                    </a:xfrm>
                    <a:prstGeom prst="rect"/>
                  </pic:spPr>
                </pic:pic>
              </a:graphicData>
            </a:graphic>
          </wp:inline>
        </w:drawing>
      </w:r>
    </w:p>
    <w:p>
      <w:pPr>
        <w:pStyle w:val="P34"/>
      </w:pPr>
    </w:p>
    <w:p>
      <w:pPr>
        <w:pStyle w:val="P34"/>
      </w:pPr>
    </w:p>
    <w:p>
      <w:pPr>
        <w:pStyle w:val="P34"/>
      </w:pPr>
    </w:p>
    <w:p>
      <w:pPr>
        <w:pStyle w:val="P34"/>
      </w:pPr>
    </w:p>
    <w:p>
      <w:pPr>
        <w:pStyle w:val="P23"/>
        <w:tabs>
          <w:tab w:val="left" w:pos="7371" w:leader="none"/>
        </w:tabs>
        <w:spacing w:after="120" w:beforeAutospacing="0" w:afterAutospacing="0"/>
        <w:ind w:right="1914"/>
        <w:outlineLvl w:val="1"/>
      </w:pPr>
    </w:p>
    <w:p>
      <w:pPr>
        <w:pStyle w:val="P2"/>
        <w:numPr>
          <w:ilvl w:val="0"/>
          <w:numId w:val="0"/>
        </w:numPr>
        <w:ind w:firstLine="0" w:left="0"/>
      </w:pPr>
      <w:r>
        <w:t>Handlingar</w:t>
      </w:r>
    </w:p>
    <w:p>
      <w:pPr>
        <w:numPr>
          <w:ilvl w:val="0"/>
          <w:numId w:val="6"/>
        </w:numPr>
        <w:spacing w:after="120" w:beforeAutospacing="0" w:afterAutospacing="0"/>
        <w:ind w:right="1916"/>
      </w:pPr>
      <w:r>
        <w:t>Plankarta i skala 1:500 med planbestämmelser</w:t>
      </w:r>
    </w:p>
    <w:p>
      <w:pPr>
        <w:numPr>
          <w:ilvl w:val="0"/>
          <w:numId w:val="6"/>
        </w:numPr>
        <w:spacing w:after="120" w:beforeAutospacing="0" w:afterAutospacing="0"/>
        <w:ind w:right="1916"/>
      </w:pPr>
      <w:r>
        <w:t>Planbeskrivning</w:t>
      </w:r>
    </w:p>
    <w:p>
      <w:pPr>
        <w:pStyle w:val="P2"/>
      </w:pPr>
      <w:r>
        <w:t>Planförfarande</w:t>
      </w:r>
    </w:p>
    <w:p>
      <w:pPr>
        <w:tabs>
          <w:tab w:val="left" w:pos="7371" w:leader="none"/>
        </w:tabs>
        <w:spacing w:after="120" w:beforeAutospacing="0" w:afterAutospacing="0"/>
        <w:ind w:right="1914"/>
      </w:pPr>
      <w:r>
        <w:t>Detaljplanen handläggs med standardförfarande.</w:t>
      </w:r>
    </w:p>
    <w:p>
      <w:pPr>
        <w:pStyle w:val="P2"/>
      </w:pPr>
      <w:r>
        <w:t>Planens syfte och huvuddrag</w:t>
      </w:r>
    </w:p>
    <w:p>
      <w:pPr>
        <w:spacing w:after="120" w:beforeAutospacing="0" w:afterAutospacing="0"/>
        <w:ind w:right="1914"/>
        <w:rPr>
          <w:color w:val="FF0000"/>
        </w:rPr>
      </w:pPr>
      <w:bookmarkStart w:id="0" w:name="sy_syfte01"/>
      <w:r>
        <w:t xml:space="preserve">Syftet med detaljplanen är att möjliggöra för bostadsbebyggelse i två våningar inom planområdet. Befintlig byggnad i områdets västra del planeras att bevaras och omvandlas till bostäder medan två tidigare envåningsbyggnader har rivits och planeras att ersättas med sju mindre bostadsbyggnader i två våningar. </w:t>
      </w:r>
    </w:p>
    <w:p>
      <w:pPr>
        <w:pStyle w:val="P2"/>
      </w:pPr>
      <w:bookmarkEnd w:id="0"/>
      <w:r>
        <w:t>Förenligt med 3, 4 och 5 kap. miljöbalken</w:t>
      </w:r>
    </w:p>
    <w:p>
      <w:pPr>
        <w:spacing w:after="120" w:beforeAutospacing="0" w:afterAutospacing="0"/>
        <w:ind w:right="1916"/>
      </w:pPr>
      <w:bookmarkStart w:id="1" w:name="pf_hushållningsbestämmelserenl3kap_mb01"/>
      <w:r>
        <w:t>Detaljplanen bedöms vara förenlig med miljöbalkens grundläggande bestämmelser för hushållning med mark- och vattenområden. Planens genomförande innebär inga åtgärder som berör något riksintresse.</w:t>
      </w:r>
      <w:bookmarkEnd w:id="1"/>
      <w:r>
        <w:t xml:space="preserve"> </w:t>
      </w:r>
      <w:bookmarkStart w:id="2" w:name="pf_miljökvalitetsnormer01"/>
      <w:r>
        <w:t>Inga miljökvalitetsnormer bedöms överskridas inom planområdet.</w:t>
      </w:r>
      <w:bookmarkEnd w:id="2"/>
    </w:p>
    <w:p>
      <w:pPr>
        <w:pStyle w:val="P2"/>
        <w:rPr>
          <w:rFonts w:ascii="Garamond" w:hAnsi="Garamond"/>
        </w:rPr>
      </w:pPr>
      <w:r>
        <w:t>Undersökning av betydande miljöpåverkan</w:t>
      </w:r>
    </w:p>
    <w:p>
      <w:pPr>
        <w:spacing w:after="120" w:beforeAutospacing="0" w:afterAutospacing="0"/>
        <w:ind w:right="1916"/>
      </w:pPr>
      <w:bookmarkStart w:id="3" w:name="pu_särskiltbeslutombetydandemiljöpåver01"/>
      <w:r>
        <w:t>En undersökning om planen antas medföra betydande miljöpåverkan har gjorts. Planens genomförande bedöms inte innebära en sådan betydande påverkan på miljön, hälsan och hushållningen med naturresurser att en miljökonsekvensbeskrivning enligt 4 kap. 34 § plan- och bygglagen (PBL) behöver upprättas.</w:t>
      </w:r>
    </w:p>
    <w:p>
      <w:pPr>
        <w:spacing w:after="120" w:beforeAutospacing="0" w:afterAutospacing="0"/>
        <w:ind w:right="1914"/>
      </w:pPr>
      <w:r>
        <w:t>Kommunens bedömning är att detaljplanen inte medför någon betydande miljöpåverkan med hänsyn till de kriterier som anges i miljöbedömningsförordningen (2017:966) 5 §. Någon miljökonsekvensbeskrivning enligt 6 kap. 11 § miljöbalken behöver därför inte upprättas.</w:t>
      </w:r>
    </w:p>
    <w:p>
      <w:pPr>
        <w:spacing w:after="120" w:beforeAutospacing="0" w:afterAutospacing="0"/>
        <w:ind w:right="1914"/>
        <w:rPr>
          <w:rFonts w:ascii="Arial" w:hAnsi="Arial"/>
          <w:b w:val="1"/>
          <w:sz w:val="28"/>
        </w:rPr>
      </w:pPr>
      <w:bookmarkEnd w:id="3"/>
      <w:bookmarkStart w:id="4" w:name="ko_ställningstagande4kap33b_pbl01"/>
      <w:r>
        <w:t>All exploatering innebär viss påverkan på miljön och klimatet, dock bedöms inte detaljplanen medföra betydande miljöpåverkan. Förtätning med bostäder inom tätorten möjliggör att redan befintlig infrastruktur kan nyttjas på ett resurseffektivt sätt. Närhet till service ger bra förutsättningar för att transportera sig på ett hållbart sätt.</w:t>
      </w:r>
    </w:p>
    <w:p>
      <w:pPr>
        <w:pStyle w:val="P2"/>
      </w:pPr>
      <w:bookmarkEnd w:id="4"/>
      <w:r>
        <w:t>Plandata</w:t>
      </w:r>
    </w:p>
    <w:p>
      <w:pPr>
        <w:pStyle w:val="P3"/>
      </w:pPr>
      <w:r>
        <w:t>Lägesbestämning</w:t>
      </w:r>
    </w:p>
    <w:p>
      <w:pPr>
        <w:tabs>
          <w:tab w:val="left" w:pos="7371" w:leader="none"/>
        </w:tabs>
        <w:spacing w:after="120" w:beforeAutospacing="0" w:afterAutospacing="0"/>
        <w:ind w:right="1914"/>
      </w:pPr>
      <w:bookmarkStart w:id="5" w:name="be_heladetaljplan01"/>
      <w:r>
        <w:t>Planområdet ligger i stadsdelen</w:t>
      </w:r>
      <w:r>
        <w:rPr>
          <w:color w:val="FF0000"/>
        </w:rPr>
        <w:t xml:space="preserve"> </w:t>
      </w:r>
      <w:r>
        <w:t>Haraldsbo, cirka tre kilometer sydost om Falu centrum.</w:t>
      </w:r>
    </w:p>
    <w:p>
      <w:pPr>
        <w:pStyle w:val="P3"/>
      </w:pPr>
      <w:bookmarkEnd w:id="5"/>
      <w:r>
        <w:t>Areal</w:t>
      </w:r>
    </w:p>
    <w:p>
      <w:bookmarkStart w:id="6" w:name="be_heladetaljplan02"/>
      <w:r>
        <w:t>Planområdet omfattar cirka en hektar.</w:t>
      </w:r>
    </w:p>
    <w:p>
      <w:pPr>
        <w:pStyle w:val="P2"/>
        <w:numPr>
          <w:ilvl w:val="0"/>
          <w:numId w:val="0"/>
        </w:numPr>
        <w:ind w:firstLine="0" w:left="0"/>
      </w:pPr>
      <w:bookmarkEnd w:id="6"/>
      <w:r>
        <w:t>Tidigare ställningstaganden</w:t>
      </w:r>
    </w:p>
    <w:p>
      <w:pPr>
        <w:pStyle w:val="P3"/>
      </w:pPr>
      <w:r>
        <w:t>Översiktliga planer</w:t>
      </w:r>
    </w:p>
    <w:p>
      <w:pPr>
        <w:pStyle w:val="P4"/>
      </w:pPr>
      <w:r>
        <w:t>Översiktsplan FalunBorlänge</w:t>
      </w:r>
    </w:p>
    <w:p>
      <w:pPr>
        <w:tabs>
          <w:tab w:val="left" w:pos="7371" w:leader="none"/>
        </w:tabs>
        <w:spacing w:after="120" w:beforeAutospacing="0" w:afterAutospacing="0"/>
        <w:ind w:right="1914"/>
        <w:rPr>
          <w:color w:val="FF0000"/>
        </w:rPr>
      </w:pPr>
      <w:bookmarkStart w:id="7" w:name="pf_översiktsplan01"/>
      <w:r>
        <w:t xml:space="preserve">I </w:t>
      </w:r>
      <w:r>
        <w:rPr>
          <w:i w:val="1"/>
          <w:iCs w:val="1"/>
        </w:rPr>
        <w:t>Översiktsplan FalunBorlänge</w:t>
      </w:r>
      <w:r>
        <w:t>, antagen av kommunfullmäktige 2014-06-12, återfinns planområdet inom bebyggelseområdet för Falu tätort</w:t>
      </w:r>
      <w:r>
        <w:rPr>
          <w:i w:val="1"/>
          <w:iCs w:val="1"/>
        </w:rPr>
        <w:t xml:space="preserve">. </w:t>
      </w:r>
      <w:r>
        <w:t>Enligt översiktsplanen ska en variation av upplåtelseformer inom bostadsområden eftersträvas för att motverka segregation. Nya och befintliga bostäder ska ha god tillgång till trygga och tillgängliga miljöer för lek, idrott och rekreation. All planering ska utgå från nödvändigheten att minska påverkan på klimatet och att använda energi effektivt.</w:t>
      </w:r>
    </w:p>
    <w:p>
      <w:pPr>
        <w:pStyle w:val="P4"/>
      </w:pPr>
      <w:bookmarkEnd w:id="7"/>
      <w:r>
        <w:t>Fördjupad översiktsplan för Falu tätort och området kring Varpan</w:t>
      </w:r>
    </w:p>
    <w:p>
      <w:pPr>
        <w:tabs>
          <w:tab w:val="left" w:pos="7371" w:leader="none"/>
        </w:tabs>
        <w:spacing w:after="120" w:beforeAutospacing="0" w:afterAutospacing="0"/>
        <w:ind w:right="1914"/>
        <w:rPr>
          <w:sz w:val="28"/>
          <w:szCs w:val="28"/>
        </w:rPr>
      </w:pPr>
      <w:bookmarkStart w:id="8" w:name="pf_översiktsplan02"/>
      <w:r>
        <w:t xml:space="preserve">Kommunfullmäktige antog den gällande fördjupade översiktsplanen 2018-09-13. I den fördjupade översiktsplanen återfinns planområdet inom ett större område betecknat </w:t>
      </w:r>
      <w:r>
        <w:rPr>
          <w:i w:val="1"/>
          <w:iCs w:val="1"/>
        </w:rPr>
        <w:t>Stadsbygd oförändrad</w:t>
      </w:r>
      <w:r>
        <w:t>, vilket innebär att ingen förändring av pågående markanvändning anges. Markanvändningen i Haraldsbo utgörs idag främst av bostäder, skola och verksamheter.</w:t>
      </w:r>
    </w:p>
    <w:p>
      <w:pPr>
        <w:pStyle w:val="P3"/>
      </w:pPr>
      <w:bookmarkEnd w:id="8"/>
      <w:r>
        <w:t>Detaljplaner</w:t>
      </w:r>
    </w:p>
    <w:p>
      <w:pPr>
        <w:tabs>
          <w:tab w:val="left" w:pos="7371" w:leader="none"/>
        </w:tabs>
        <w:spacing w:after="120" w:beforeAutospacing="0" w:afterAutospacing="0"/>
        <w:ind w:right="1914"/>
      </w:pPr>
      <w:bookmarkStart w:id="9" w:name="pf_detaljplan01"/>
      <w:r>
        <w:t xml:space="preserve">För området gäller </w:t>
      </w:r>
      <w:r>
        <w:rPr>
          <w:i w:val="1"/>
          <w:iCs w:val="1"/>
        </w:rPr>
        <w:t>Detaljplan för Haraldsbo vandrarhem</w:t>
      </w:r>
      <w:r>
        <w:t>, LK 2001-06-12, som föreskriver markanvändningen skola, bostäder, kontor och vandrarhem. I detaljplanen finns två byggrätter. Byggrätten i väster tillåter två våningar och maximal höjd 6,5 meter. Byggrätten i östra delen av detaljplanen tillåter endast enplanshus med maximal höjd 4 meter. Detaljplanen föreskriver en utnyttjandegrad där maximalt 20% av planområdet får bebyggas. I planområdets norra del finns ett markreservat för allmänna underjordiska ledningar.</w:t>
      </w:r>
    </w:p>
    <w:p>
      <w:pPr>
        <w:pStyle w:val="P3"/>
      </w:pPr>
      <w:bookmarkEnd w:id="9"/>
      <w:r>
        <w:t>Kommunala beslut i övrigt</w:t>
      </w:r>
    </w:p>
    <w:p>
      <w:pPr>
        <w:pStyle w:val="P4"/>
      </w:pPr>
      <w:bookmarkStart w:id="10" w:name="_Hlk49520813"/>
      <w:r>
        <w:t>Strategi för hållbart byggande</w:t>
      </w:r>
    </w:p>
    <w:p>
      <w:pPr>
        <w:ind w:right="1914"/>
      </w:pPr>
      <w:bookmarkStart w:id="11" w:name="pf_strategiförhållbartbyggande01"/>
      <w:r>
        <w:t xml:space="preserve">I </w:t>
      </w:r>
      <w:r>
        <w:rPr>
          <w:i w:val="1"/>
          <w:iCs w:val="1"/>
        </w:rPr>
        <w:t>Falu kommuns strategi för hållbart byggande</w:t>
      </w:r>
      <w:r>
        <w:t>, antagen av kommunfullmäktige i juni 2017, anges strategier och verktyg för ett ökat byggande i trä. Att bygga i trä knyter an till Faluns historia samtidigt som det bidrar till att kommunen blir drivande inom hållbar samhällsomställning. Genom att så långt som möjligt välja sunda material och resurseffektiva byggprocesser kan miljö- och klimatpåverkan minska i ett livscykelperspektiv.</w:t>
      </w:r>
    </w:p>
    <w:p>
      <w:pPr>
        <w:pStyle w:val="P4"/>
      </w:pPr>
      <w:bookmarkEnd w:id="11"/>
      <w:r>
        <w:t>Dagvattenstrategi</w:t>
      </w:r>
    </w:p>
    <w:p>
      <w:pPr>
        <w:ind w:right="1914"/>
      </w:pPr>
      <w:bookmarkStart w:id="12" w:name="pf_dagvattenstrategi01"/>
      <w:r>
        <w:rPr>
          <w:i w:val="1"/>
          <w:iCs w:val="1"/>
        </w:rPr>
        <w:t>Dagvattenstrategi för Falu kommun</w:t>
      </w:r>
      <w:r>
        <w:t xml:space="preserve"> antogs av kommunfullmäktige 2020-02-06 och innehåller bland annat kommunens riktlinjer för hållbar dagvattenhantering. Enligt strategin ska </w:t>
      </w:r>
      <w:bookmarkStart w:id="13" w:name="_Hlk50541813"/>
      <w:r>
        <w:t xml:space="preserve">dagvattenhantering planeras på ett sätt som tar hänsyn till klimatförändringar och risken att nederbörden kan bli kraftigare i framtiden. </w:t>
      </w:r>
      <w:bookmarkEnd w:id="13"/>
      <w:r>
        <w:t xml:space="preserve">Dagvatten ska fördröjas på ett sätt så att recipientens flöde inte förorenas eller förändras och som undviker att dagvatten orsakar skador på byggnader och anläggningar. Dagvatten ska i första hand tas om hand och fördröjas lokalt på kvartersmark. </w:t>
      </w:r>
    </w:p>
    <w:p>
      <w:pPr>
        <w:pStyle w:val="P2"/>
      </w:pPr>
      <w:bookmarkEnd w:id="10"/>
      <w:bookmarkEnd w:id="12"/>
      <w:r>
        <w:t xml:space="preserve">Förutsättningar och förändringar </w:t>
      </w:r>
    </w:p>
    <w:p>
      <w:pPr>
        <w:pStyle w:val="P3"/>
      </w:pPr>
      <w:r>
        <w:t>Natur</w:t>
      </w:r>
    </w:p>
    <w:p>
      <w:pPr>
        <w:pStyle w:val="P4"/>
        <w:rPr>
          <w:b w:val="1"/>
        </w:rPr>
      </w:pPr>
      <w:r>
        <w:t>Mark och vegetation</w:t>
      </w:r>
    </w:p>
    <w:p>
      <w:pPr>
        <w:spacing w:after="120" w:beforeAutospacing="0" w:afterAutospacing="0"/>
        <w:ind w:right="1914"/>
      </w:pPr>
      <w:bookmarkStart w:id="14" w:name="pf_natur01"/>
      <w:r>
        <w:t xml:space="preserve">Inom planområdet finns en större andel grönytor som delvis utgör en del av det gröna stråk som passerar söder om planområdet. Vegetationen inom planområdet består främst av gräsytor och björk, men även andra träd och buskar finns planterade. Planområdet är flackt med undantag från en slutning söder om bebyggelsen, ner mot det passerande grönstråket. </w:t>
      </w:r>
    </w:p>
    <w:p>
      <w:pPr>
        <w:pStyle w:val="P4"/>
        <w:rPr>
          <w:b w:val="1"/>
          <w:color w:val="FF0000"/>
        </w:rPr>
      </w:pPr>
      <w:bookmarkEnd w:id="14"/>
      <w:r>
        <w:t>Markbeskaffenhet</w:t>
      </w:r>
    </w:p>
    <w:p>
      <w:pPr>
        <w:tabs>
          <w:tab w:val="left" w:pos="7371" w:leader="none"/>
        </w:tabs>
        <w:spacing w:after="120" w:beforeAutospacing="0" w:afterAutospacing="0"/>
        <w:ind w:right="1914"/>
      </w:pPr>
      <w:bookmarkStart w:id="15" w:name="pf_geotekniskaförhållanden01"/>
      <w:r>
        <w:t xml:space="preserve">Jordarten inom planområdet är sandig morän enligt SGU:s jordartskarta. </w:t>
      </w:r>
    </w:p>
    <w:p>
      <w:pPr>
        <w:pStyle w:val="P4"/>
        <w:rPr>
          <w:b w:val="1"/>
        </w:rPr>
      </w:pPr>
      <w:bookmarkEnd w:id="15"/>
      <w:r>
        <w:t>Förorenad mark</w:t>
      </w:r>
    </w:p>
    <w:p>
      <w:pPr>
        <w:numPr>
          <w:ilvl w:val="4"/>
          <w:numId w:val="4"/>
        </w:numPr>
        <w:spacing w:after="120" w:beforeAutospacing="0" w:afterAutospacing="0"/>
        <w:ind w:right="1914"/>
        <w:rPr>
          <w:b w:val="1"/>
        </w:rPr>
      </w:pPr>
      <w:bookmarkStart w:id="16" w:name="pf_förorenadmark01"/>
      <w:r>
        <w:rPr>
          <w:lang w:eastAsia="sv-SE"/>
        </w:rPr>
        <w:t>Genom påverkan från gruvdriften i Falu koppargruva har höga halter av tungmetaller samlats i stora delar av marken inom Falu tätort. Mest föroreningar finns i det översta markskiktet, ca 10 cm djupt. Med anledning av detta finns så kallade platsspecifika riktvärden för Falu tätort, fastställda av kommunfullmäktige (1999-05-20), som gäller inom områden där blyhalterna kan förväntas ligga över 300 mg/kg.</w:t>
      </w:r>
    </w:p>
    <w:p>
      <w:pPr>
        <w:numPr>
          <w:ilvl w:val="4"/>
          <w:numId w:val="4"/>
        </w:numPr>
        <w:spacing w:after="120" w:beforeAutospacing="0" w:afterAutospacing="0"/>
        <w:ind w:right="1914"/>
        <w:rPr>
          <w:b w:val="1"/>
        </w:rPr>
      </w:pPr>
      <w:r>
        <w:rPr>
          <w:lang w:eastAsia="sv-SE"/>
        </w:rPr>
        <w:t>Planområdet ligger utom det område där markföroreningarna befaras överstiga riktvärdena. Om blyhalten ändå överskrider riktvärdena gäller särskilda rekommendationer för hur marken skall hanteras vid markarbeten. Råd och upplysningar om detta lämnas av miljö- och samhällsbyggnadsförvaltningen. </w:t>
      </w:r>
    </w:p>
    <w:p>
      <w:pPr>
        <w:pStyle w:val="P4"/>
        <w:rPr>
          <w:b w:val="1"/>
        </w:rPr>
      </w:pPr>
      <w:bookmarkEnd w:id="16"/>
      <w:r>
        <w:t>Radon</w:t>
      </w:r>
    </w:p>
    <w:p>
      <w:pPr>
        <w:numPr>
          <w:ilvl w:val="4"/>
          <w:numId w:val="4"/>
        </w:numPr>
        <w:spacing w:after="120" w:beforeAutospacing="0" w:afterAutospacing="0"/>
        <w:ind w:right="1914"/>
        <w:rPr>
          <w:lang w:eastAsia="sv-SE"/>
        </w:rPr>
      </w:pPr>
      <w:bookmarkStart w:id="17" w:name="pf_radon01"/>
      <w:r>
        <w:rPr>
          <w:lang w:eastAsia="sv-SE"/>
        </w:rPr>
        <w:t xml:space="preserve">Fastigheten ligger inte inom högriskområde för radon. </w:t>
      </w:r>
    </w:p>
    <w:p>
      <w:pPr>
        <w:numPr>
          <w:ilvl w:val="4"/>
          <w:numId w:val="4"/>
        </w:numPr>
        <w:spacing w:after="120" w:beforeAutospacing="0" w:afterAutospacing="0"/>
        <w:ind w:right="1914"/>
        <w:rPr>
          <w:lang w:eastAsia="sv-SE"/>
        </w:rPr>
      </w:pPr>
      <w:r>
        <w:rPr>
          <w:lang w:eastAsia="sv-SE"/>
        </w:rPr>
        <w:t>Generellt gäller att alla bostäder, lokaler som allmänheten har tillträde till samt rum i byggnader där människor vistas mer än tillfälligt ska klara gällande referens och gränsvärden för radongashalt i inomhusluften. Detta innebär att inom Falu kommun ska nybyggnationer uppföras i radonsäkert utförande eller föregås av en radonundersökning.</w:t>
      </w:r>
    </w:p>
    <w:p>
      <w:pPr>
        <w:pStyle w:val="P4"/>
        <w:rPr>
          <w:b w:val="1"/>
        </w:rPr>
      </w:pPr>
      <w:bookmarkEnd w:id="17"/>
      <w:r>
        <w:t>Höga vattenstånd/risk för skred</w:t>
      </w:r>
    </w:p>
    <w:p>
      <w:pPr>
        <w:spacing w:after="120" w:beforeAutospacing="0" w:afterAutospacing="0"/>
        <w:ind w:right="1914"/>
      </w:pPr>
      <w:bookmarkStart w:id="18" w:name="pf_riskföröversvämning01"/>
      <w:r>
        <w:t>Området är beläget över +112,7 meters-nivån, som är nuvarande planeringsnivå för höga vattenflöden runt Runn (koordinatsystem i höjd RH2000).</w:t>
      </w:r>
    </w:p>
    <w:p>
      <w:pPr>
        <w:pStyle w:val="P4"/>
        <w:rPr>
          <w:b w:val="1"/>
        </w:rPr>
      </w:pPr>
      <w:bookmarkEnd w:id="18"/>
      <w:r>
        <w:t xml:space="preserve">Fornlämningar </w:t>
      </w:r>
    </w:p>
    <w:p>
      <w:pPr>
        <w:spacing w:after="120" w:beforeAutospacing="0" w:afterAutospacing="0"/>
        <w:ind w:right="1914"/>
      </w:pPr>
      <w:bookmarkStart w:id="19" w:name="pf_fornlämningar01"/>
      <w:r>
        <w:t>Inom planområdet finns del av en äldre gårdstomt som klassas som en övrig kulturhistorisk lämning, vilket innebär att lämningen inte är skyddad enligt kulturmiljölagen.</w:t>
      </w:r>
    </w:p>
    <w:p>
      <w:pPr>
        <w:pStyle w:val="P3"/>
      </w:pPr>
      <w:bookmarkEnd w:id="19"/>
      <w:r>
        <w:t xml:space="preserve">Bebyggelse </w:t>
      </w:r>
    </w:p>
    <w:p>
      <w:pPr>
        <w:pStyle w:val="P4"/>
      </w:pPr>
      <w:r>
        <w:t>Bostäder</w:t>
      </w:r>
    </w:p>
    <w:p>
      <w:pPr>
        <w:tabs>
          <w:tab w:val="left" w:pos="7371" w:leader="none"/>
        </w:tabs>
        <w:spacing w:after="120" w:beforeAutospacing="0" w:afterAutospacing="0"/>
        <w:ind w:right="1914"/>
      </w:pPr>
      <w:bookmarkStart w:id="20" w:name="be_bostäder01"/>
      <w:r>
        <w:t>För hela planområdet medges användningen bostäder (B)</w:t>
      </w:r>
      <w:bookmarkEnd w:id="20"/>
      <w:r>
        <w:t xml:space="preserve">. </w:t>
      </w:r>
      <w:bookmarkStart w:id="21" w:name="be_befintligt01"/>
      <w:r>
        <w:t xml:space="preserve">Inom fastigheten fanns fram till nyligen tre byggnader, två envåningsbyggnader och en byggnad som delvis har en och delvis två våningar. Byggnaderna uppfördes på 1960-talet som en del av det elevhem som tillhörde före detta Haraldsbogymnasiet och har under senare tid inrymt vandrarhem. Vandrarhemsverksamheten upphörde under 2021 och de två envåningsbyggnaderna har rivits och planeras att ersättas av sju mindre tvåvåningsbyggnader med lägenheter. Befintlig byggnad i en-två våningar i områdets nordvästra del planeras att bevaras och omvandlas till lägenheter. </w:t>
      </w:r>
    </w:p>
    <w:p>
      <w:pPr>
        <w:tabs>
          <w:tab w:val="left" w:pos="7371" w:leader="none"/>
        </w:tabs>
        <w:spacing w:after="120" w:beforeAutospacing="0" w:afterAutospacing="0"/>
        <w:ind w:right="1914"/>
        <w:rPr>
          <w:i w:val="1"/>
          <w:iCs w:val="1"/>
          <w:color w:val="FF0000"/>
        </w:rPr>
      </w:pPr>
      <w:r>
        <w:rPr>
          <w:i w:val="1"/>
          <w:iCs w:val="1"/>
          <w:noProof w:val="1"/>
          <w:color w:val="FF0000"/>
        </w:rPr>
        <w:drawing>
          <wp:inline xmlns:wp="http://schemas.openxmlformats.org/drawingml/2006/wordprocessingDrawing" distT="0" distB="0" distL="0" distR="0">
            <wp:extent cx="4671060" cy="2680970"/>
            <wp:effectExtent l="0" t="0" r="0" b="5080"/>
            <wp:docPr id="2" name="Bildobjekt 2" descr="En bild som visar utomhus, gräs, himmel,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utomhus, gräs, himmel, träd&#10;&#10;Automatiskt genererad beskrivning"/>
                    <pic:cNvPicPr/>
                  </pic:nvPicPr>
                  <pic:blipFill dpi="0">
                    <a:blip xmlns:r="http://schemas.openxmlformats.org/officeDocument/2006/relationships" r:embed="Relimage2" cstate="print"/>
                    <a:srcRect t="3906" r="5602" b="23841"/>
                    <a:stretch>
                      <a:fillRect/>
                    </a:stretch>
                  </pic:blipFill>
                  <pic:spPr bwMode="auto">
                    <a:xfrm>
                      <a:off x="0" y="0"/>
                      <a:ext cx="4690323" cy="2692596"/>
                    </a:xfrm>
                    <a:prstGeom prst="rect"/>
                    <a:ln>
                      <a:noFill/>
                    </a:ln>
                  </pic:spPr>
                </pic:pic>
              </a:graphicData>
            </a:graphic>
          </wp:inline>
        </w:drawing>
      </w:r>
    </w:p>
    <w:p>
      <w:pPr>
        <w:tabs>
          <w:tab w:val="left" w:pos="7371" w:leader="none"/>
        </w:tabs>
        <w:spacing w:after="120" w:beforeAutospacing="0" w:afterAutospacing="0"/>
        <w:ind w:right="1914"/>
        <w:rPr>
          <w:i w:val="1"/>
          <w:iCs w:val="1"/>
          <w:sz w:val="22"/>
          <w:szCs w:val="22"/>
        </w:rPr>
      </w:pPr>
      <w:r>
        <w:rPr>
          <w:i w:val="1"/>
          <w:iCs w:val="1"/>
          <w:sz w:val="22"/>
          <w:szCs w:val="22"/>
        </w:rPr>
        <w:t>Ovan: Befintlig byggnad i en-två våningar som exploatören planerar att bevara och omvandla till bostäder.</w:t>
      </w:r>
    </w:p>
    <w:p>
      <w:pPr>
        <w:tabs>
          <w:tab w:val="left" w:pos="7371" w:leader="none"/>
        </w:tabs>
        <w:spacing w:after="120" w:beforeAutospacing="0" w:afterAutospacing="0"/>
        <w:ind w:right="1914"/>
        <w:rPr>
          <w:color w:val="000000" w:themeColor="text1"/>
        </w:rPr>
      </w:pPr>
      <w:r>
        <w:rPr>
          <w:color w:val="000000" w:themeColor="text1"/>
        </w:rPr>
        <w:t>Befintlig bostadsbebyggelse i närområdet utgörs främst av bebyggelse i en till två våningar, både flerbostadshus och villor. Bebyggelsen i området är av varierande karaktär avseende fasadmaterial, färgsättning, utformning av tak med mera.</w:t>
      </w:r>
    </w:p>
    <w:p>
      <w:pPr>
        <w:pStyle w:val="P4"/>
        <w:rPr>
          <w:b w:val="1"/>
        </w:rPr>
      </w:pPr>
      <w:bookmarkEnd w:id="21"/>
      <w:r>
        <w:t>Verksamhet och service</w:t>
      </w:r>
    </w:p>
    <w:p>
      <w:pPr>
        <w:tabs>
          <w:tab w:val="left" w:pos="7371" w:leader="none"/>
        </w:tabs>
        <w:spacing w:after="120" w:beforeAutospacing="0" w:afterAutospacing="0"/>
        <w:ind w:right="1914"/>
      </w:pPr>
      <w:bookmarkStart w:id="22" w:name="pf_service01"/>
      <w:r>
        <w:t>Hälsinggårdsskolan F-9 ligger cirka 150 meter från planområdet och Förskolan Hasselvägen ligger cirka 650 meter från planområdet.</w:t>
      </w:r>
    </w:p>
    <w:p>
      <w:pPr>
        <w:tabs>
          <w:tab w:val="left" w:pos="7371" w:leader="none"/>
        </w:tabs>
        <w:spacing w:after="120" w:beforeAutospacing="0" w:afterAutospacing="0"/>
        <w:ind w:right="1914"/>
      </w:pPr>
      <w:r>
        <w:t>Livsmedelsbutik och annan service finns vid Origo, drygt en kilometer från planområdet.</w:t>
      </w:r>
    </w:p>
    <w:p>
      <w:pPr>
        <w:tabs>
          <w:tab w:val="left" w:pos="7371" w:leader="none"/>
        </w:tabs>
        <w:spacing w:after="120" w:beforeAutospacing="0" w:afterAutospacing="0"/>
        <w:ind w:right="1914"/>
      </w:pPr>
      <w:r>
        <w:t>Planområdet angränsar till Träffpunkt Vandraren, en mötesplats för de boende i ett närliggande trygghetsboende.</w:t>
      </w:r>
    </w:p>
    <w:p>
      <w:pPr>
        <w:pStyle w:val="P4"/>
      </w:pPr>
      <w:bookmarkEnd w:id="22"/>
      <w:r>
        <w:t>Tillgänglighet</w:t>
      </w:r>
    </w:p>
    <w:p>
      <w:pPr>
        <w:tabs>
          <w:tab w:val="left" w:pos="7371" w:leader="none"/>
        </w:tabs>
        <w:spacing w:after="120" w:beforeAutospacing="0" w:afterAutospacing="0"/>
        <w:ind w:right="1914"/>
      </w:pPr>
      <w:bookmarkStart w:id="23" w:name="pf_sociala01"/>
      <w:r>
        <w:t xml:space="preserve">Kommunen bevakar i samband med hanteringen av bygglov att byggnaders och tomters tillgänglighet är god. Kommunens ambition är att rekommendationerna i skriften </w:t>
      </w:r>
      <w:r>
        <w:rPr>
          <w:i w:val="1"/>
        </w:rPr>
        <w:t>Bygg ikapp</w:t>
      </w:r>
      <w:r>
        <w:t xml:space="preserve"> ska tillämpas.</w:t>
      </w:r>
    </w:p>
    <w:p>
      <w:pPr>
        <w:pStyle w:val="P4"/>
        <w:rPr>
          <w:b w:val="1"/>
        </w:rPr>
      </w:pPr>
      <w:bookmarkEnd w:id="23"/>
      <w:r>
        <w:t>Byggnadskultur och gestaltning</w:t>
      </w:r>
    </w:p>
    <w:p>
      <w:pPr>
        <w:tabs>
          <w:tab w:val="left" w:pos="7371" w:leader="none"/>
        </w:tabs>
        <w:spacing w:after="120" w:beforeAutospacing="0" w:afterAutospacing="0"/>
        <w:ind w:right="1914"/>
      </w:pPr>
      <w:bookmarkStart w:id="24" w:name="mo_motivtillreglering01"/>
      <w:r>
        <w:t>Största sammanlagda byggnadsarea inom användningsområdet för bostäder är 2200 m² (e₁).</w:t>
      </w:r>
      <w:bookmarkEnd w:id="24"/>
      <w:r>
        <w:t xml:space="preserve"> </w:t>
      </w:r>
      <w:bookmarkStart w:id="25" w:name="mo_motivtillreglering02"/>
      <w:r>
        <w:t>Byggrättens placering regleras med prickmark för områden som inte får bebyggas.</w:t>
      </w:r>
      <w:bookmarkEnd w:id="25"/>
      <w:r>
        <w:t xml:space="preserve"> </w:t>
      </w:r>
      <w:bookmarkStart w:id="26" w:name="mo_motivtillreglering03"/>
      <w:r>
        <w:t>För bostadsbyggnader medges en högsta nockhöjd på 9 meter samt en minsta takvinkel på 20 grader (e₂), vilket syftar till att möjliggöra bostadsbyggnader i två våningar.</w:t>
      </w:r>
    </w:p>
    <w:p>
      <w:pPr>
        <w:spacing w:after="120" w:beforeAutospacing="0" w:afterAutospacing="0"/>
        <w:ind w:right="1914"/>
        <w:rPr>
          <w:rFonts w:ascii="TimesNewRoman" w:hAnsi="TimesNewRoman" w:cs="TimesNewRoman"/>
          <w:lang w:eastAsia="sv-SE"/>
        </w:rPr>
      </w:pPr>
      <w:bookmarkEnd w:id="26"/>
      <w:bookmarkStart w:id="27" w:name="be_bostäder02"/>
      <w:r>
        <w:t xml:space="preserve">Exploatören avser att uppföra sju mindre flerbostadsbyggnader på fastigheten som planeras utformas i liknande modell som de byggnader som uppfördes under 2010-talet på den intilliggande fastigheten Hälsinggården 3:5. Ny bebyggelse bör uppföras på ett sätt så att den </w:t>
      </w:r>
      <w:r>
        <w:rPr>
          <w:rFonts w:ascii="Times New Roman" w:hAnsi="Times New Roman" w:cs="Times New Roman"/>
          <w:lang w:eastAsia="sv-SE"/>
        </w:rPr>
        <w:t>ansluter till den karaktär som finns hos den omgivande befintliga bebyggelsemiljön.</w:t>
      </w:r>
      <w:r>
        <w:rPr>
          <w:rFonts w:ascii="Times New Roman" w:hAnsi="Times New Roman" w:cs="Times New Roman"/>
          <w:i w:val="1"/>
          <w:iCs w:val="1"/>
          <w:color w:val="FF0000"/>
        </w:rPr>
        <w:t xml:space="preserve"> </w:t>
      </w:r>
    </w:p>
    <w:p>
      <w:pPr>
        <w:tabs>
          <w:tab w:val="left" w:pos="7371" w:leader="none"/>
        </w:tabs>
        <w:spacing w:after="120" w:beforeAutospacing="0" w:afterAutospacing="0"/>
        <w:ind w:right="1914"/>
        <w:rPr>
          <w:i w:val="1"/>
          <w:iCs w:val="1"/>
          <w:sz w:val="22"/>
          <w:szCs w:val="22"/>
        </w:rPr>
      </w:pPr>
      <w:r>
        <w:rPr>
          <w:noProof w:val="1"/>
        </w:rPr>
        <w:drawing>
          <wp:inline xmlns:wp="http://schemas.openxmlformats.org/drawingml/2006/wordprocessingDrawing" distT="0" distB="0" distL="0" distR="0">
            <wp:extent cx="4624705" cy="3863975"/>
            <wp:effectExtent l="0" t="0" r="4445" b="317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dpi="0">
                    <a:blip xmlns:r="http://schemas.openxmlformats.org/officeDocument/2006/relationships" r:embed="Relimage3"/>
                    <a:srcRect l="1309" t="2706" r="1020" b="1270"/>
                    <a:stretch>
                      <a:fillRect/>
                    </a:stretch>
                  </pic:blipFill>
                  <pic:spPr bwMode="auto">
                    <a:xfrm>
                      <a:off x="0" y="0"/>
                      <a:ext cx="4647092" cy="3882324"/>
                    </a:xfrm>
                    <a:prstGeom prst="rect"/>
                    <a:ln>
                      <a:noFill/>
                    </a:ln>
                  </pic:spPr>
                </pic:pic>
              </a:graphicData>
            </a:graphic>
          </wp:inline>
        </w:drawing>
      </w:r>
      <w:r>
        <w:rPr>
          <w:i w:val="1"/>
          <w:iCs w:val="1"/>
          <w:sz w:val="22"/>
          <w:szCs w:val="22"/>
        </w:rPr>
        <w:t xml:space="preserve">Ovan: Exempel på utformning av planområdet, framtaget av Mavacon på beställning av exploatören. </w:t>
      </w:r>
    </w:p>
    <w:p>
      <w:pPr>
        <w:tabs>
          <w:tab w:val="left" w:pos="7371" w:leader="none"/>
        </w:tabs>
        <w:spacing w:after="240" w:beforeAutospacing="0" w:afterAutospacing="0"/>
        <w:ind w:right="1914"/>
        <w:rPr>
          <w:i w:val="1"/>
          <w:iCs w:val="1"/>
          <w:color w:val="FF0000"/>
          <w:sz w:val="22"/>
          <w:szCs w:val="22"/>
          <w:highlight w:val="yellow"/>
        </w:rPr>
      </w:pPr>
      <w:bookmarkEnd w:id="27"/>
      <w:bookmarkStart w:id="28" w:name="be_bostäder03"/>
      <w:r>
        <w:rPr>
          <w:noProof w:val="1"/>
        </w:rPr>
        <w:drawing>
          <wp:inline xmlns:wp="http://schemas.openxmlformats.org/drawingml/2006/wordprocessingDrawing" distT="0" distB="0" distL="0" distR="0">
            <wp:extent cx="4653280" cy="1114425"/>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dpi="0">
                    <a:blip xmlns:r="http://schemas.openxmlformats.org/officeDocument/2006/relationships" r:embed="Relimage4"/>
                    <a:srcRect b="2391"/>
                    <a:stretch>
                      <a:fillRect/>
                    </a:stretch>
                  </pic:blipFill>
                  <pic:spPr bwMode="auto">
                    <a:xfrm>
                      <a:off x="0" y="0"/>
                      <a:ext cx="4683472" cy="1121574"/>
                    </a:xfrm>
                    <a:prstGeom prst="rect"/>
                    <a:ln>
                      <a:noFill/>
                    </a:ln>
                  </pic:spPr>
                </pic:pic>
              </a:graphicData>
            </a:graphic>
          </wp:inline>
        </w:drawing>
      </w:r>
    </w:p>
    <w:p>
      <w:pPr>
        <w:tabs>
          <w:tab w:val="left" w:pos="7371" w:leader="none"/>
        </w:tabs>
        <w:spacing w:after="120" w:beforeAutospacing="0" w:afterAutospacing="0"/>
        <w:ind w:right="1914"/>
        <w:rPr>
          <w:i w:val="1"/>
          <w:iCs w:val="1"/>
          <w:sz w:val="22"/>
          <w:szCs w:val="22"/>
        </w:rPr>
      </w:pPr>
      <w:r>
        <w:rPr>
          <w:noProof w:val="1"/>
        </w:rPr>
        <w:drawing>
          <wp:inline xmlns:wp="http://schemas.openxmlformats.org/drawingml/2006/wordprocessingDrawing" distT="0" distB="0" distL="0" distR="0">
            <wp:extent cx="4640580" cy="1163955"/>
            <wp:effectExtent l="0" t="0" r="762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pic:cNvPicPr/>
                  </pic:nvPicPr>
                  <pic:blipFill dpi="0">
                    <a:blip xmlns:r="http://schemas.openxmlformats.org/officeDocument/2006/relationships" r:embed="Relimage5"/>
                    <a:srcRect/>
                    <a:stretch>
                      <a:fillRect/>
                    </a:stretch>
                  </pic:blipFill>
                  <pic:spPr>
                    <a:xfrm>
                      <a:off x="0" y="0"/>
                      <a:ext cx="4640580" cy="1164021"/>
                    </a:xfrm>
                    <a:prstGeom prst="rect"/>
                  </pic:spPr>
                </pic:pic>
              </a:graphicData>
            </a:graphic>
          </wp:inline>
        </w:drawing>
      </w:r>
      <w:r>
        <w:rPr>
          <w:i w:val="1"/>
          <w:iCs w:val="1"/>
          <w:sz w:val="22"/>
          <w:szCs w:val="22"/>
        </w:rPr>
        <w:t>Ovan: Ritningar som visar två exempel på utformningar för tillkommande flerbostadshus, framtaget av Borohus/exploatören.</w:t>
      </w:r>
    </w:p>
    <w:p>
      <w:pPr>
        <w:tabs>
          <w:tab w:val="left" w:pos="7371" w:leader="none"/>
        </w:tabs>
        <w:spacing w:after="120" w:beforeAutospacing="0" w:afterAutospacing="0"/>
        <w:ind w:right="1914"/>
      </w:pPr>
      <w:bookmarkEnd w:id="28"/>
      <w:bookmarkStart w:id="29" w:name="mo_motivtillreglering04"/>
      <w:r>
        <w:t xml:space="preserve">I den nordöstra delen av planområdet införs korsmark där endast komplementbyggnader får placeras. </w:t>
      </w:r>
      <w:bookmarkEnd w:id="29"/>
      <w:bookmarkStart w:id="30" w:name="mo_motivtillreglering08"/>
      <w:r>
        <w:t>För komplementbyggnader medges en högsta nockhöjd på 4 meter.</w:t>
      </w:r>
      <w:bookmarkEnd w:id="30"/>
      <w:r>
        <w:t xml:space="preserve"> </w:t>
      </w:r>
      <w:bookmarkStart w:id="31" w:name="be_bostäder04"/>
      <w:r>
        <w:t xml:space="preserve">Som komplementbyggnad till medgiven användning avses mindre byggnader som i sin karaktär kan likställas med carport, sophus, förråd, cykelparkering med tak och dylikt. </w:t>
      </w:r>
      <w:bookmarkEnd w:id="31"/>
    </w:p>
    <w:p>
      <w:pPr>
        <w:pStyle w:val="P3"/>
      </w:pPr>
      <w:r>
        <w:t>Friytor</w:t>
      </w:r>
    </w:p>
    <w:p>
      <w:pPr>
        <w:pStyle w:val="P4"/>
        <w:rPr>
          <w:b w:val="1"/>
        </w:rPr>
      </w:pPr>
      <w:r>
        <w:t>Lek och rekreation</w:t>
      </w:r>
    </w:p>
    <w:p>
      <w:pPr>
        <w:spacing w:after="120" w:beforeAutospacing="0" w:afterAutospacing="0"/>
        <w:ind w:right="1914"/>
      </w:pPr>
      <w:bookmarkStart w:id="32" w:name="pf_natur02"/>
      <w:r>
        <w:t xml:space="preserve">Blå och gröna miljöer bidrar med ekosystemtjänster som är till nytta för oss människor och brukar delas in i tre kategorier: reglerande tjänster som till exempel rening av luft och vatten, kulturella tjänster som bidrar till hälsa och välbefinnande och stödjande tjänster som är nödvändiga för produktionen av alla andra ekosystemtjänster som exempelvis biologisk mångfald. </w:t>
      </w:r>
    </w:p>
    <w:p>
      <w:pPr>
        <w:spacing w:after="120" w:beforeAutospacing="0" w:afterAutospacing="0"/>
        <w:ind w:right="1914"/>
      </w:pPr>
      <w:r>
        <w:t xml:space="preserve">Fastigheten ingår i ett område som markerats för kulturella ekosystemtjänster i kommunens översiktliga kartering av ekosystemtjänster. Detta eftersom fastigheten delvis ingår i ett grönstråk som används av allmänheten för promenad och även som skolnaturområde. Del av den gångväg som går genom grönstråket ligger inom planområdet (se </w:t>
      </w:r>
      <w:r>
        <w:rPr>
          <w:i w:val="1"/>
          <w:iCs w:val="1"/>
        </w:rPr>
        <w:t xml:space="preserve">Gator och trafik </w:t>
      </w:r>
      <w:r>
        <w:t>nedan).</w:t>
      </w:r>
    </w:p>
    <w:p>
      <w:pPr>
        <w:pStyle w:val="P4"/>
        <w:rPr>
          <w:b w:val="1"/>
        </w:rPr>
      </w:pPr>
      <w:bookmarkEnd w:id="32"/>
      <w:r>
        <w:t>Trygghet och jämställdhet</w:t>
      </w:r>
    </w:p>
    <w:p>
      <w:pPr>
        <w:tabs>
          <w:tab w:val="left" w:pos="7371" w:leader="none"/>
        </w:tabs>
        <w:spacing w:after="120" w:beforeAutospacing="0" w:afterAutospacing="0"/>
        <w:ind w:right="1914"/>
      </w:pPr>
      <w:bookmarkStart w:id="33" w:name="ko_jämlikhet01"/>
      <w:r>
        <w:t>Detaljplanen möjliggör en förtätning av bostäder längst Vandrarvägen. Förtätning kan bidra till fler ögon på gatan, vilket kan öka den upplevda tryggheten i ett område. Planområdet ligger inom ett område med närhet till service och hållbara transporter, vilket anses som positivt ur ett jämställdhetsperspektiv.</w:t>
      </w:r>
    </w:p>
    <w:p>
      <w:pPr>
        <w:pStyle w:val="P3"/>
      </w:pPr>
      <w:bookmarkEnd w:id="33"/>
      <w:r>
        <w:t>Gator och trafik</w:t>
      </w:r>
    </w:p>
    <w:p>
      <w:pPr>
        <w:pStyle w:val="P4"/>
        <w:rPr>
          <w:b w:val="1"/>
        </w:rPr>
      </w:pPr>
      <w:r>
        <w:t>Gång-, cykel- och biltrafik</w:t>
      </w:r>
    </w:p>
    <w:p>
      <w:pPr>
        <w:tabs>
          <w:tab w:val="left" w:pos="7371" w:leader="none"/>
        </w:tabs>
        <w:spacing w:after="120" w:beforeAutospacing="0" w:afterAutospacing="0"/>
        <w:ind w:right="1914"/>
        <w:rPr>
          <w:color w:val="000000" w:themeColor="text1"/>
        </w:rPr>
      </w:pPr>
      <w:bookmarkStart w:id="34" w:name="pf_gångochcykel01"/>
      <w:r>
        <w:t xml:space="preserve">Söder om planområdet sträcker sig en allmän gångväg och cirka 50 meter av gångvägen går genom kvartersmarken i planområdet sydvästra del. </w:t>
      </w:r>
      <w:r>
        <w:rPr>
          <w:color w:val="000000" w:themeColor="text1"/>
        </w:rPr>
        <w:t xml:space="preserve">För denna sträcka införs ett markreservat för allmännyttig </w:t>
      </w:r>
      <w:r>
        <w:t xml:space="preserve">gångtrafik (x₁) för </w:t>
      </w:r>
      <w:r>
        <w:rPr>
          <w:color w:val="000000" w:themeColor="text1"/>
        </w:rPr>
        <w:t>att säkerställa gångvägens funktion.</w:t>
      </w:r>
    </w:p>
    <w:p>
      <w:pPr>
        <w:tabs>
          <w:tab w:val="left" w:pos="7371" w:leader="none"/>
        </w:tabs>
        <w:spacing w:after="120" w:beforeAutospacing="0" w:afterAutospacing="0"/>
        <w:ind w:right="1914"/>
        <w:rPr>
          <w:color w:val="FF0000"/>
        </w:rPr>
      </w:pPr>
      <w:r>
        <w:rPr>
          <w:noProof w:val="1"/>
          <w:color w:val="FF0000"/>
        </w:rPr>
        <w:drawing>
          <wp:inline xmlns:wp="http://schemas.openxmlformats.org/drawingml/2006/wordprocessingDrawing" distT="0" distB="0" distL="0" distR="0">
            <wp:extent cx="4674870" cy="2964815"/>
            <wp:effectExtent l="0" t="0" r="0" b="6985"/>
            <wp:docPr id="13" name="Bildobjekt 13" descr="En bild som visar gräs, träd, utomhus, gångsti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En bild som visar gräs, träd, utomhus, gångstig&#10;&#10;Automatiskt genererad beskrivning"/>
                    <pic:cNvPicPr/>
                  </pic:nvPicPr>
                  <pic:blipFill dpi="0">
                    <a:blip xmlns:r="http://schemas.openxmlformats.org/officeDocument/2006/relationships" r:embed="Relimage6" cstate="print"/>
                    <a:srcRect t="6520" b="8921"/>
                    <a:stretch>
                      <a:fillRect/>
                    </a:stretch>
                  </pic:blipFill>
                  <pic:spPr bwMode="auto">
                    <a:xfrm>
                      <a:off x="0" y="0"/>
                      <a:ext cx="4685840" cy="2971832"/>
                    </a:xfrm>
                    <a:prstGeom prst="rect"/>
                    <a:ln>
                      <a:noFill/>
                    </a:ln>
                  </pic:spPr>
                </pic:pic>
              </a:graphicData>
            </a:graphic>
          </wp:inline>
        </w:drawing>
      </w:r>
    </w:p>
    <w:p>
      <w:pPr>
        <w:tabs>
          <w:tab w:val="left" w:pos="7371" w:leader="none"/>
        </w:tabs>
        <w:spacing w:after="120" w:beforeAutospacing="0" w:afterAutospacing="0"/>
        <w:ind w:right="1914"/>
        <w:rPr>
          <w:i w:val="1"/>
          <w:iCs w:val="1"/>
          <w:sz w:val="22"/>
          <w:szCs w:val="22"/>
        </w:rPr>
      </w:pPr>
      <w:r>
        <w:rPr>
          <w:i w:val="1"/>
          <w:iCs w:val="1"/>
          <w:sz w:val="22"/>
          <w:szCs w:val="22"/>
        </w:rPr>
        <w:t>Ovan: Gångväg och grönstråk som delvis går genom planområdet.</w:t>
      </w:r>
    </w:p>
    <w:p>
      <w:pPr>
        <w:tabs>
          <w:tab w:val="left" w:pos="7371" w:leader="none"/>
        </w:tabs>
        <w:spacing w:after="120" w:beforeAutospacing="0" w:afterAutospacing="0"/>
        <w:ind w:right="1914"/>
      </w:pPr>
      <w:bookmarkEnd w:id="34"/>
      <w:bookmarkStart w:id="35" w:name="pf_biltrafik01"/>
      <w:r>
        <w:t xml:space="preserve">Planområdet ligger vid Vandrarvägen som ansluter till huvudgatan Hälsinggårdsvägen. Vandrarvägen är inte del av det kommunala vägnätet, utan är planlagd som kvartersmark och förvaltas av en anläggningssamfällighet genom en gemensamhetsanläggning (se </w:t>
      </w:r>
      <w:r>
        <w:rPr>
          <w:i w:val="1"/>
          <w:iCs w:val="1"/>
        </w:rPr>
        <w:t>Fastighetsrättsliga frågor</w:t>
      </w:r>
      <w:r>
        <w:t xml:space="preserve"> nedan).</w:t>
      </w:r>
      <w:bookmarkEnd w:id="35"/>
      <w:r>
        <w:t xml:space="preserve"> </w:t>
      </w:r>
      <w:bookmarkStart w:id="36" w:name="pf_gångochcykel02"/>
      <w:r>
        <w:t>Separat gång- och cykelväg saknas längst Vandrarvägen, men finns längst Hälsinggårdsvägen.</w:t>
      </w:r>
      <w:bookmarkEnd w:id="36"/>
    </w:p>
    <w:p>
      <w:pPr>
        <w:pStyle w:val="P4"/>
      </w:pPr>
      <w:r>
        <w:t>Kollektivtrafik</w:t>
      </w:r>
    </w:p>
    <w:p>
      <w:pPr>
        <w:tabs>
          <w:tab w:val="left" w:pos="7371" w:leader="none"/>
        </w:tabs>
        <w:spacing w:after="120" w:beforeAutospacing="0" w:afterAutospacing="0"/>
        <w:ind w:right="1914"/>
      </w:pPr>
      <w:bookmarkStart w:id="37" w:name="pf_kollektivtrafik01"/>
      <w:r>
        <w:t>Närmaste busshållplats finns vid Koppartorget, cirka 400 meter norr om planområdet.</w:t>
      </w:r>
    </w:p>
    <w:p>
      <w:pPr>
        <w:pStyle w:val="P4"/>
        <w:rPr>
          <w:b w:val="1"/>
        </w:rPr>
      </w:pPr>
      <w:bookmarkEnd w:id="37"/>
      <w:r>
        <w:t>Parkering och utfarter</w:t>
      </w:r>
    </w:p>
    <w:p>
      <w:pPr>
        <w:tabs>
          <w:tab w:val="left" w:pos="7371" w:leader="none"/>
        </w:tabs>
        <w:spacing w:after="120" w:beforeAutospacing="0" w:afterAutospacing="0"/>
        <w:ind w:right="1914"/>
      </w:pPr>
      <w:bookmarkStart w:id="38" w:name="ko_parkeringvarumottagningutfarter01"/>
      <w:r>
        <w:t xml:space="preserve">Inom planområdet planeras för 36 parkeringsplatser, varav vissa i carport och tre handikapparkeringar. Utöver det planeras också för cykelparkeringar i anslutning till bostadshusen. I föreslagen utformning av området så finns två in/utfarter mot Vandrarvägen, en i nordväst och en i nordöst. Planerade parkeringar och utfarter ses på illustrationen under rubriken </w:t>
      </w:r>
      <w:r>
        <w:rPr>
          <w:i w:val="1"/>
          <w:iCs w:val="1"/>
        </w:rPr>
        <w:t xml:space="preserve">Bebyggelse </w:t>
      </w:r>
      <w:r>
        <w:t xml:space="preserve">ovan. Utfarter och parkeringar ska ordnas på ett trafiksäkert sätt och utfarter ska ha en fri sikttriangel på 10x10 meter mätt från fastighetsgräns. </w:t>
      </w:r>
    </w:p>
    <w:p>
      <w:pPr>
        <w:pStyle w:val="P3"/>
      </w:pPr>
      <w:bookmarkEnd w:id="38"/>
      <w:r>
        <w:t>Störningar och risker</w:t>
      </w:r>
    </w:p>
    <w:p>
      <w:pPr>
        <w:tabs>
          <w:tab w:val="left" w:pos="7371" w:leader="none"/>
        </w:tabs>
        <w:spacing w:after="120" w:beforeAutospacing="0" w:afterAutospacing="0"/>
        <w:ind w:right="1914"/>
        <w:outlineLvl w:val="3"/>
      </w:pPr>
      <w:r>
        <w:rPr>
          <w:rFonts w:ascii="Arial" w:hAnsi="Arial"/>
          <w:i w:val="1"/>
          <w:iCs w:val="1"/>
          <w:sz w:val="22"/>
        </w:rPr>
        <w:t>Buller</w:t>
      </w:r>
    </w:p>
    <w:p>
      <w:pPr>
        <w:tabs>
          <w:tab w:val="left" w:pos="7371" w:leader="none"/>
        </w:tabs>
        <w:spacing w:after="120" w:beforeAutospacing="0" w:afterAutospacing="0"/>
        <w:ind w:right="1914"/>
      </w:pPr>
      <w:bookmarkStart w:id="39" w:name="pf_omgivningsbuller01"/>
      <w:r>
        <w:rPr>
          <w:color w:val="000000" w:themeColor="text1"/>
        </w:rPr>
        <w:t xml:space="preserve">Under planarbetet har det tagits fram en trafikbullerutredning (Sweco, 2021-02-18) </w:t>
      </w:r>
      <w:r>
        <w:t>i vilken trafikbuller vid befintlig och tillkommande bebyggelse beräknats och bedömts utifrån riktvärdena i förordningen om trafikbuller vid bostadsbyggnader (2015:216)</w:t>
      </w:r>
      <w:r>
        <w:rPr>
          <w:color w:val="000000" w:themeColor="text1"/>
        </w:rPr>
        <w:t xml:space="preserve">. </w:t>
      </w:r>
      <w:r>
        <w:t>Enligt förordningen ska 60 dBA ekvivalent ljudnivå vid bostadsbyggnads fasad inte överskridas och vid uteplats ska 50 dBA ekvivalent ljudnivå samt 70 dBA maximal ljudnivå inte överskridas.</w:t>
      </w:r>
    </w:p>
    <w:p>
      <w:pPr>
        <w:tabs>
          <w:tab w:val="left" w:pos="7371" w:leader="none"/>
        </w:tabs>
        <w:spacing w:after="120" w:beforeAutospacing="0" w:afterAutospacing="0"/>
        <w:ind w:right="1914"/>
      </w:pPr>
      <w:r>
        <w:t xml:space="preserve">Utredningen visar </w:t>
      </w:r>
      <w:bookmarkStart w:id="40" w:name="_Hlk65850555"/>
      <w:r>
        <w:t xml:space="preserve">att riktvärden för ekvivalent ljudnivå vid fasad utomhus uppfylls för </w:t>
      </w:r>
      <w:bookmarkEnd w:id="40"/>
      <w:r>
        <w:t>samtliga befintliga och planerade byggnader inom planområdet. Högsta beräknade nivå är i nuläget 57 dBA ekvivalent ljudnivå vid fasad närmast spår och för prognosåret 2040 bedöms denna bullernivå minska något. Den framtida ekvivalent nivån bedöms bli lägre eftersom en något minskad total ÅDT förväntas på aktuell sträcka på Bergslagsbanan år 2040 jämfört med tågplan 2020 enligt Trafikverkets trafiksiffror.</w:t>
      </w:r>
    </w:p>
    <w:p>
      <w:pPr>
        <w:tabs>
          <w:tab w:val="left" w:pos="7371" w:leader="none"/>
        </w:tabs>
        <w:spacing w:after="120" w:beforeAutospacing="0" w:afterAutospacing="0"/>
        <w:ind w:right="1914"/>
        <w:rPr>
          <w:color w:val="FF0000"/>
        </w:rPr>
      </w:pPr>
      <w:bookmarkEnd w:id="39"/>
      <w:bookmarkStart w:id="41" w:name="ko_beräkningavomgivningsbuller01"/>
      <w:r>
        <w:t>Riktvärden för både ekvivalent och maximal ljudnivå vid uteplats överskrids på delar av planområdet, men utredningen visar att det är möjligt att ordna gemensam uteplats som uppfyller riktvärdena inom fastigheten. För att säkerställa att riktvärden vid uteplats uppfylls så införs en bestämmelse om att varje bostad ska ha tillgång till en uteplats eller balkong, gemensam eller privat, i nära anslutning som klarar riktvärden för trafikbuller från spårtrafik och väg vid bostadsbyggnader (m₁).</w:t>
      </w:r>
    </w:p>
    <w:p>
      <w:pPr>
        <w:tabs>
          <w:tab w:val="left" w:pos="7371" w:leader="none"/>
        </w:tabs>
        <w:spacing w:after="120" w:beforeAutospacing="0" w:afterAutospacing="0"/>
        <w:ind w:right="1914"/>
      </w:pPr>
      <w:r>
        <w:t>Det är viktigt att bostäder utformas på ett sätt så att riktvärden för trafikbuller inomhus uppfylls. För planerade byggnader ska fasad, inklusive fönster och eventuella fasadventiler, utformas så att de klarar de riktvärden som gäller för buller inomhus enligt utredningen.</w:t>
      </w:r>
      <w:bookmarkEnd w:id="41"/>
    </w:p>
    <w:p>
      <w:pPr>
        <w:pStyle w:val="P4"/>
      </w:pPr>
      <w:r>
        <w:t>Farligt gods</w:t>
      </w:r>
    </w:p>
    <w:p>
      <w:pPr>
        <w:ind w:right="1914"/>
      </w:pPr>
      <w:bookmarkStart w:id="42" w:name="pf_riskförolyckor01"/>
      <w:r>
        <w:t>Planområdet ligger cirka 120 meter från Bergslagsbanan som är transportväg för farligt gods. Eftersom detaljplanen endast medger bostadsbebyggelse i en höjd motsvarande två våningar så har bedömningen gjorts att en riskutredning inte behövt tas fram i enlighet med rekommendationerna i Länsstyrelsens vägledningsmaterial.</w:t>
      </w:r>
    </w:p>
    <w:p>
      <w:pPr>
        <w:pStyle w:val="P4"/>
      </w:pPr>
      <w:bookmarkEnd w:id="42"/>
      <w:r>
        <w:t>Räddningstjänstens insatstider</w:t>
      </w:r>
    </w:p>
    <w:p>
      <w:pPr>
        <w:ind w:right="1914"/>
      </w:pPr>
      <w:bookmarkStart w:id="43" w:name="pf_riskförolyckor02"/>
      <w:r>
        <w:t>Insatstiden för Räddningstjänsten beräknas understiga 10 minuter.</w:t>
      </w:r>
    </w:p>
    <w:p>
      <w:pPr>
        <w:pStyle w:val="P3"/>
      </w:pPr>
      <w:bookmarkEnd w:id="43"/>
      <w:r>
        <w:t>Teknisk försörjning</w:t>
      </w:r>
    </w:p>
    <w:p>
      <w:pPr>
        <w:pStyle w:val="P4"/>
      </w:pPr>
      <w:r>
        <w:t>Vatten och avlopp</w:t>
      </w:r>
    </w:p>
    <w:p>
      <w:pPr>
        <w:spacing w:after="120" w:beforeAutospacing="0" w:afterAutospacing="0"/>
        <w:ind w:right="1914"/>
      </w:pPr>
      <w:bookmarkStart w:id="44" w:name="pf_vattenochavloppp01"/>
      <w:r>
        <w:t>Planområdet ligger inom kommunalt verksamhetsområde för VA för vatten, spillvatten och dagvatten.</w:t>
      </w:r>
    </w:p>
    <w:p>
      <w:pPr>
        <w:spacing w:after="120" w:beforeAutospacing="0" w:afterAutospacing="0"/>
        <w:ind w:right="1914"/>
      </w:pPr>
      <w:bookmarkEnd w:id="44"/>
      <w:bookmarkStart w:id="45" w:name="mo_motivtillreglering05"/>
      <w:r>
        <w:t xml:space="preserve">Genom fastigheten går spill- och dagvattenledningar genom vilka den intilliggande fastigheten Hälsinggården 3:3 har sin anslutning till det allmänna nätet (se </w:t>
      </w:r>
      <w:r>
        <w:rPr>
          <w:i w:val="1"/>
          <w:iCs w:val="1"/>
        </w:rPr>
        <w:t>Fastighetsrättsliga frågor</w:t>
      </w:r>
      <w:r>
        <w:t xml:space="preserve"> nedan). Ledningarnas läge markeras i plankartan genom markreservat för gemensamhetsanläggning (g₁) där ledningarna är gemensamma för Hälsinggården 3:3 och 3:4</w:t>
      </w:r>
      <w:bookmarkEnd w:id="45"/>
      <w:r>
        <w:t>,</w:t>
      </w:r>
      <w:bookmarkStart w:id="46" w:name="mo_motivtillreglering06"/>
      <w:r>
        <w:t xml:space="preserve"> samt som rättighetsområde för servitut (a₁) på sträckan där endast ledningar tillhörande Hälsinggården 3:3 finns.</w:t>
      </w:r>
      <w:bookmarkEnd w:id="46"/>
    </w:p>
    <w:p>
      <w:pPr>
        <w:spacing w:after="120" w:beforeAutospacing="0" w:afterAutospacing="0"/>
        <w:ind w:right="1914"/>
      </w:pPr>
      <w:bookmarkStart w:id="47" w:name="mo_motivtillreglering07"/>
      <w:r>
        <w:t>I planområdets sydvästra del finns allmänna vattenledningar genom vilka Hälsinggården 3:5 och 3:4 har anslutningar. För dessa ledningar införs markreservat för allmännyttiga underjordiska ledningar (u₁).</w:t>
      </w:r>
    </w:p>
    <w:p>
      <w:pPr>
        <w:pStyle w:val="P4"/>
      </w:pPr>
      <w:bookmarkEnd w:id="47"/>
      <w:r>
        <w:t>Dagvatten</w:t>
      </w:r>
    </w:p>
    <w:p>
      <w:pPr>
        <w:spacing w:after="120" w:beforeAutospacing="0" w:afterAutospacing="0"/>
        <w:ind w:right="1914"/>
      </w:pPr>
      <w:bookmarkStart w:id="48" w:name="pf_dagvatten01"/>
      <w:r>
        <w:t xml:space="preserve">Under planarbetet har det tagits fram en dagvattenutredning (Sweco 2021-05-27) för att se över hur dagvattenflöden påverkas av föreslagen exploatering. Utredningen visar att fastigheten är ansluten till det allmänna dagvattennätet via den intilliggande fastigheten Hälsinggården 3:5 (se </w:t>
      </w:r>
      <w:r>
        <w:rPr>
          <w:i w:val="1"/>
          <w:iCs w:val="1"/>
        </w:rPr>
        <w:t>Fastighetsrättsliga frågor</w:t>
      </w:r>
      <w:r>
        <w:t xml:space="preserve"> nedan), dit dagvatten från hårdgjorda ytor och takvatten leds. Cirka 60% av fastighetsarean består idag av grönytor. Tillgängligt kartmaterial indikerar att det i fastighetens sydvästra del kan finnas dagvattenbrunnar som är kopplade till det allmänna spillvattennätet. </w:t>
      </w:r>
      <w:bookmarkEnd w:id="48"/>
      <w:bookmarkStart w:id="49" w:name="ko_dagvatten01"/>
      <w:r>
        <w:t>Vid en ombyggnation av området ska dessa brunnar kopplas bort från spillvattennätet och vattnet som leds hit bör istället fördröjas lokalt och vid behov ledas till dagvattennätet.</w:t>
      </w:r>
    </w:p>
    <w:p>
      <w:pPr>
        <w:spacing w:after="120" w:beforeAutospacing="0" w:afterAutospacing="0"/>
        <w:ind w:right="1914"/>
      </w:pPr>
      <w:r>
        <w:t xml:space="preserve">Dagvattenutredningen visar att de förändringar som planeras inom fastigheten inte kommer att öka dagvattenflödena då andelen hårdgjord yta kommer att vara i stort sett densamma som idag. För att säkerställa detta i detaljplanen införs en bestämmelse om att endast 50% av fastighetsarean får hårdgöras (b₁). Utöver det så planeras takvatten från ny bebyggelse delvis ledas till grönytor och fördröjas lokalt, vilket bedöms minska dagvattenflödet till det allmänna nätet. </w:t>
      </w:r>
    </w:p>
    <w:p>
      <w:pPr>
        <w:spacing w:after="120" w:beforeAutospacing="0" w:afterAutospacing="0"/>
        <w:ind w:right="1914"/>
      </w:pPr>
      <w:r>
        <w:t xml:space="preserve">Falu Energi &amp; Vatten AB ansvarar för hantering av dagvatten för regn med upp till 10 års återkomsttid. Utöver det är det viktigt att ny bebyggelse höjdssätts på ett sätt så att risken för skador på bebyggelse vid kraftiga regn och skyfall minimeras. </w:t>
      </w:r>
      <w:bookmarkStart w:id="50" w:name="_Hlk75272305"/>
      <w:r>
        <w:t>Vid ombyggnation av parkeringar ställs krav på att dagvatten ska ledas via en oljeavskiljande funktion innan det får släppas till den allmänna dagvattenanläggningen.</w:t>
      </w:r>
      <w:bookmarkEnd w:id="50"/>
    </w:p>
    <w:p>
      <w:pPr>
        <w:pStyle w:val="P4"/>
        <w:numPr>
          <w:ilvl w:val="0"/>
          <w:numId w:val="0"/>
        </w:numPr>
        <w:ind w:firstLine="0" w:left="0"/>
      </w:pPr>
      <w:bookmarkEnd w:id="49"/>
      <w:r>
        <w:t>Värme, el och IT</w:t>
      </w:r>
    </w:p>
    <w:p>
      <w:pPr>
        <w:spacing w:after="120" w:beforeAutospacing="0" w:afterAutospacing="0"/>
        <w:ind w:right="0"/>
      </w:pPr>
      <w:bookmarkStart w:id="51" w:name="pf_elitochtele01"/>
      <w:r>
        <w:t>Anslutning till teleledningar finns i norra delen av planområdet.</w:t>
      </w:r>
    </w:p>
    <w:p>
      <w:pPr>
        <w:spacing w:after="120" w:beforeAutospacing="0" w:afterAutospacing="0"/>
        <w:ind w:right="1914"/>
      </w:pPr>
      <w:bookmarkEnd w:id="51"/>
      <w:bookmarkStart w:id="52" w:name="gf_tekniskaåtgärder01"/>
      <w:r>
        <w:t xml:space="preserve">Inom planområdet finns fjärrvärme- och optoledningar upplåtna med ledningsrätt. För att möjliggöra placering av nya byggnader enligt exploatörens skiss så kommer ledningarna inklusive ledningsrätterna att flyttas till ett nytt läge inom planområdet (se </w:t>
      </w:r>
      <w:r>
        <w:rPr>
          <w:i w:val="1"/>
          <w:iCs w:val="1"/>
        </w:rPr>
        <w:t>Fastighetsrättsliga frågor</w:t>
      </w:r>
      <w:r>
        <w:t xml:space="preserve"> och </w:t>
      </w:r>
      <w:r>
        <w:rPr>
          <w:i w:val="1"/>
          <w:iCs w:val="1"/>
        </w:rPr>
        <w:t>Tekniska frågor</w:t>
      </w:r>
      <w:r>
        <w:t xml:space="preserve"> nedan). Denna ledningsflytt har bedömts som möjlig av Falu Energi &amp; Vatten AB, däremot så kommer ledningarnas nya exakta läge att preciseras först i ett senare skede.</w:t>
      </w:r>
    </w:p>
    <w:p>
      <w:pPr>
        <w:pStyle w:val="P4"/>
      </w:pPr>
      <w:bookmarkEnd w:id="52"/>
      <w:r>
        <w:t>Avfall</w:t>
      </w:r>
    </w:p>
    <w:p>
      <w:pPr>
        <w:ind w:right="1914"/>
      </w:pPr>
      <w:bookmarkStart w:id="53" w:name="pf_avfall01"/>
      <w:r>
        <w:t>Avfallshantering ska ske enligt de regler som gäller i Falu kommun.</w:t>
      </w:r>
    </w:p>
    <w:p>
      <w:pPr>
        <w:pStyle w:val="P4"/>
      </w:pPr>
      <w:bookmarkEnd w:id="53"/>
      <w:r>
        <w:t>Posthantering</w:t>
      </w:r>
    </w:p>
    <w:p>
      <w:pPr>
        <w:ind w:right="1914"/>
      </w:pPr>
      <w:bookmarkStart w:id="54" w:name="pf_service02"/>
      <w:r>
        <w:t>För flerbostadshus ska postlådor i första hand placeras samlat i varje trapphus eller i en lådsamling samlat på fastigheten.</w:t>
      </w:r>
    </w:p>
    <w:p>
      <w:pPr>
        <w:pStyle w:val="P2"/>
      </w:pPr>
      <w:bookmarkEnd w:id="54"/>
      <w:r>
        <w:t>Genomförande frågor</w:t>
      </w:r>
    </w:p>
    <w:p>
      <w:pPr>
        <w:pStyle w:val="P3"/>
      </w:pPr>
      <w:r>
        <w:t>Organisatoriska frågor</w:t>
      </w:r>
    </w:p>
    <w:p>
      <w:pPr>
        <w:pStyle w:val="P4"/>
      </w:pPr>
      <w:r>
        <w:t>Tidplan</w:t>
      </w:r>
    </w:p>
    <w:p>
      <w:pPr>
        <w:ind w:right="1914"/>
      </w:pPr>
      <w:bookmarkStart w:id="55" w:name="gf_tidplan01"/>
      <w:r>
        <w:t xml:space="preserve">Detaljplanen handläggs enligt reglerna om standardförfarande. Detaljplanen beräknas kunna antas av miljö- och samhällsbyggnadsnämnden vintern 2022. </w:t>
      </w:r>
    </w:p>
    <w:p>
      <w:pPr>
        <w:pStyle w:val="P4"/>
      </w:pPr>
      <w:bookmarkEnd w:id="55"/>
      <w:r>
        <w:t>Genomförandetid</w:t>
      </w:r>
    </w:p>
    <w:p>
      <w:pPr>
        <w:tabs>
          <w:tab w:val="left" w:pos="7371" w:leader="none"/>
        </w:tabs>
        <w:spacing w:after="120" w:beforeAutospacing="0" w:afterAutospacing="0"/>
        <w:ind w:right="1914"/>
      </w:pPr>
      <w:bookmarkStart w:id="56" w:name="be_genomförandetid01"/>
      <w:r>
        <w:t xml:space="preserve">Genomförandetiden för detaljplanen är 5 år från den dag planen vinner laga kraft. </w:t>
      </w:r>
    </w:p>
    <w:p>
      <w:pPr>
        <w:tabs>
          <w:tab w:val="left" w:pos="7371" w:leader="none"/>
        </w:tabs>
        <w:spacing w:after="120" w:beforeAutospacing="0" w:afterAutospacing="0"/>
        <w:ind w:right="1914"/>
      </w:pPr>
      <w:r>
        <w:t>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p>
    <w:p>
      <w:pPr>
        <w:pStyle w:val="P4"/>
      </w:pPr>
      <w:bookmarkEnd w:id="56"/>
      <w:r>
        <w:t>Huvudmannaskap</w:t>
      </w:r>
    </w:p>
    <w:p>
      <w:pPr>
        <w:tabs>
          <w:tab w:val="left" w:pos="7371" w:leader="none"/>
        </w:tabs>
        <w:spacing w:after="120" w:beforeAutospacing="0" w:afterAutospacing="0"/>
        <w:ind w:right="1914"/>
      </w:pPr>
      <w:bookmarkStart w:id="57" w:name="be_huvudmannaskap01"/>
      <w:r>
        <w:t xml:space="preserve">Kommunen är huvudman för allmän plats, dock så finns ingen allmän plats inom planområdet. </w:t>
      </w:r>
    </w:p>
    <w:p>
      <w:pPr>
        <w:pStyle w:val="P3"/>
      </w:pPr>
      <w:bookmarkEnd w:id="57"/>
      <w:r>
        <w:t>Fastighetsrättsliga frågor</w:t>
      </w:r>
    </w:p>
    <w:p>
      <w:pPr>
        <w:pStyle w:val="P4"/>
      </w:pPr>
      <w:r>
        <w:t>Fastighetsägare</w:t>
      </w:r>
    </w:p>
    <w:p>
      <w:pPr>
        <w:tabs>
          <w:tab w:val="left" w:pos="7371" w:leader="none"/>
        </w:tabs>
        <w:spacing w:after="120" w:beforeAutospacing="0" w:afterAutospacing="0"/>
        <w:ind w:right="1914"/>
      </w:pPr>
      <w:bookmarkStart w:id="58" w:name="gf_fastighetsrättsligafrågor01"/>
      <w:r>
        <w:t>Planområdet består av fastigheten Hälsinggården 3:4 som ägs av Vandraren AB.</w:t>
      </w:r>
    </w:p>
    <w:p>
      <w:pPr>
        <w:pStyle w:val="P4"/>
      </w:pPr>
      <w:bookmarkEnd w:id="58"/>
      <w:r>
        <w:t>Fastighetsbildning, servitut, gemensamhetsanläggningar m.m.</w:t>
      </w:r>
    </w:p>
    <w:p>
      <w:pPr>
        <w:tabs>
          <w:tab w:val="left" w:pos="7371" w:leader="none"/>
        </w:tabs>
        <w:spacing w:after="120" w:beforeAutospacing="0" w:afterAutospacing="0"/>
        <w:ind w:right="1914"/>
      </w:pPr>
      <w:bookmarkStart w:id="59" w:name="gf_förändradfastighetsindelning01"/>
      <w:r>
        <w:t>Detaljplanen medför ingen ny- eller ombildning av fastigheter.</w:t>
      </w:r>
    </w:p>
    <w:p>
      <w:pPr>
        <w:tabs>
          <w:tab w:val="left" w:pos="7371" w:leader="none"/>
        </w:tabs>
        <w:spacing w:after="120" w:beforeAutospacing="0" w:afterAutospacing="0"/>
        <w:ind w:right="1914"/>
      </w:pPr>
      <w:r>
        <w:t xml:space="preserve">Detaljplanen föranleder, vid flytt av ledningar för fjärrvärme och opto, en omprövning enligt 33 § ledningsrättslagen av befintliga ledningsrätter 2080-4069.1 och 2080-4069.2. Innehavare av ledningsrätterna kan enligt 33 § 2 st. ledningsrättslagen vara berättigad till ersättning för skada. En omprövning av ledningsrätt sker i en lantmäteriförrättning som handläggs av lantmäterimyndigheten efter ansökan. Fastighetsägaren ansvarar för att ansökan kommer till stånd. </w:t>
      </w:r>
    </w:p>
    <w:p>
      <w:pPr>
        <w:tabs>
          <w:tab w:val="left" w:pos="7371" w:leader="none"/>
        </w:tabs>
        <w:spacing w:after="120" w:beforeAutospacing="0" w:afterAutospacing="0"/>
        <w:ind w:right="1914"/>
      </w:pPr>
      <w:r>
        <w:t>Fastigheten Hälsinggården 3:4 har del i Hälsinggården ga:12 (färsk-, spill- och dagvattenledningar), Hälsinggården ga:15 (väg, gatubelysning) och Hälsinggården ga:17 (avlopp). Ändrad användning med tillkommande bostäder inom fastigheten Hälsinggården 3:4 kan innebära att förhållandena ändras så att en omprövning enligt 35 § anläggningslagen av befintliga gemensamhetsanläggningar är motiverad. En omprövning av gemensamhetsanläggning sker i en lantmäteriförrättning som handläggs av lantmäterimyndigheten efter ansökan enligt 18 § anläggningslagen.</w:t>
      </w:r>
    </w:p>
    <w:p>
      <w:pPr>
        <w:tabs>
          <w:tab w:val="left" w:pos="7371" w:leader="none"/>
        </w:tabs>
        <w:spacing w:after="120" w:beforeAutospacing="0" w:afterAutospacing="0"/>
        <w:ind w:right="1914"/>
      </w:pPr>
      <w:r>
        <w:t>För den gångväg som passerar i södra delen av planområdet ska tillskapas ett servitut för allmännyttig gångtrafik till förmån för fastigheten Hälsinggården 3:1. Falu kommun ansvarar som ägare till fastigheten Hälsinggården 3:1 för upprättande av ett servitutsavtal.</w:t>
      </w:r>
    </w:p>
    <w:p>
      <w:pPr>
        <w:pStyle w:val="P3"/>
      </w:pPr>
      <w:bookmarkEnd w:id="59"/>
      <w:r>
        <w:t>Tekniska frågor</w:t>
      </w:r>
    </w:p>
    <w:p>
      <w:pPr>
        <w:tabs>
          <w:tab w:val="left" w:pos="10348" w:leader="none"/>
        </w:tabs>
        <w:spacing w:after="120" w:beforeAutospacing="0" w:afterAutospacing="0"/>
        <w:ind w:right="1914"/>
      </w:pPr>
      <w:bookmarkStart w:id="60" w:name="gf_tekniskaåtgärder02"/>
      <w:r>
        <w:t xml:space="preserve">För tekniska frågor kopplat till ny och befintlig bebyggelses anslutning till VA, el, tele och dylikt ansvarar exploatören. Frågor kopplade till flytt av ledningar hanteras enligt överenskommelse mellan exploatör och ledningsägare. </w:t>
      </w:r>
    </w:p>
    <w:p>
      <w:pPr>
        <w:pStyle w:val="P3"/>
      </w:pPr>
      <w:bookmarkEnd w:id="60"/>
      <w:r>
        <w:t>Ekonomiska frågor</w:t>
      </w:r>
    </w:p>
    <w:p>
      <w:pPr>
        <w:pStyle w:val="P4"/>
      </w:pPr>
      <w:r>
        <w:t>Planavgift</w:t>
      </w:r>
    </w:p>
    <w:p>
      <w:pPr>
        <w:ind w:right="1914"/>
      </w:pPr>
      <w:bookmarkStart w:id="61" w:name="gf_planavgift01"/>
      <w:r>
        <w:t>Detaljplanen bekostas av fastighetsägaren och därför ska det inte tas ut någon planavgift i samband med bygglov.</w:t>
      </w:r>
    </w:p>
    <w:p>
      <w:pPr>
        <w:pStyle w:val="P4"/>
      </w:pPr>
      <w:bookmarkEnd w:id="61"/>
      <w:r>
        <w:t>Avtal</w:t>
      </w:r>
    </w:p>
    <w:p>
      <w:pPr>
        <w:ind w:right="1914"/>
      </w:pPr>
      <w:bookmarkStart w:id="62" w:name="gf_avtal01"/>
      <w:r>
        <w:t>Detaljplanen medför inga åtgärder på allmän plats och motiverar inget exploateringsavtal. Ett servitutsavtal för allmännyttig gångtrafik ska upprättas.</w:t>
      </w:r>
    </w:p>
    <w:p>
      <w:pPr>
        <w:pStyle w:val="P2"/>
      </w:pPr>
      <w:bookmarkEnd w:id="62"/>
      <w:r>
        <w:t>Konsekvenser av planens genomförande</w:t>
      </w:r>
    </w:p>
    <w:p>
      <w:pPr>
        <w:tabs>
          <w:tab w:val="left" w:pos="10348" w:leader="none"/>
        </w:tabs>
        <w:spacing w:after="120" w:beforeAutospacing="0" w:afterAutospacing="0"/>
        <w:ind w:right="1914"/>
        <w:rPr>
          <w:color w:val="000000" w:themeColor="text1"/>
        </w:rPr>
      </w:pPr>
      <w:bookmarkStart w:id="63" w:name="ko_annat01"/>
      <w:r>
        <w:rPr>
          <w:color w:val="000000" w:themeColor="text1"/>
        </w:rPr>
        <w:t>Detaljplanen ger möjlighet för bebyggelse i ytterligare en våning på den del av planområdet där endast en våning tidigare medgetts. Detaljplanens genomförande innebär att tidigare envåningshus rivs för att ersättas med bebyggelse i två våningar.</w:t>
      </w:r>
    </w:p>
    <w:p>
      <w:pPr>
        <w:tabs>
          <w:tab w:val="left" w:pos="10348" w:leader="none"/>
        </w:tabs>
        <w:spacing w:after="120" w:beforeAutospacing="0" w:afterAutospacing="0"/>
        <w:ind w:right="1914"/>
        <w:rPr>
          <w:color w:val="FF0000"/>
        </w:rPr>
      </w:pPr>
      <w:r>
        <w:rPr>
          <w:color w:val="000000" w:themeColor="text1"/>
        </w:rPr>
        <w:t>Detaljplanens genomförande innebär ett tillskott av bostäder i Hälsinggården. Eftersom endast användningen bostäder har prövats under planprocessen så innebär detaljplanen att användningarna skola, kontor och vandrarhem utgår jämfört med gällande detaljplan från 2001.</w:t>
      </w:r>
    </w:p>
    <w:p>
      <w:pPr>
        <w:tabs>
          <w:tab w:val="left" w:pos="10348" w:leader="none"/>
        </w:tabs>
        <w:spacing w:after="120" w:beforeAutospacing="0" w:afterAutospacing="0"/>
        <w:ind w:right="1914"/>
        <w:rPr>
          <w:color w:val="000000" w:themeColor="text1"/>
        </w:rPr>
      </w:pPr>
      <w:bookmarkEnd w:id="63"/>
      <w:bookmarkStart w:id="64" w:name="ko_gångochcykeltrafik01"/>
      <w:r>
        <w:rPr>
          <w:color w:val="000000" w:themeColor="text1"/>
        </w:rPr>
        <w:t>Genom fastigheten går en gångväg som är del av ett grönstråk. Detaljplanen säkerställer allmänhetens tillgång till gångvägen genom markreservat.</w:t>
      </w:r>
    </w:p>
    <w:p>
      <w:pPr>
        <w:pStyle w:val="P2"/>
        <w:tabs>
          <w:tab w:val="left" w:pos="0" w:leader="none"/>
        </w:tabs>
        <w:rPr>
          <w:highlight w:val="yellow"/>
        </w:rPr>
      </w:pPr>
      <w:bookmarkEnd w:id="64"/>
      <w:r>
        <w:t xml:space="preserve">Utredningar </w:t>
      </w:r>
    </w:p>
    <w:p>
      <w:pPr>
        <w:spacing w:after="120" w:beforeAutospacing="0" w:afterAutospacing="0"/>
        <w:ind w:right="0"/>
        <w:rPr>
          <w:color w:val="000000" w:themeColor="text1"/>
        </w:rPr>
      </w:pPr>
      <w:bookmarkStart w:id="65" w:name="pu_bullerutredning01"/>
      <w:r>
        <w:rPr>
          <w:color w:val="000000" w:themeColor="text1"/>
        </w:rPr>
        <w:t>Trafikbullerutredning, Sweco 2021-02-18</w:t>
      </w:r>
    </w:p>
    <w:p>
      <w:pPr>
        <w:spacing w:after="120" w:beforeAutospacing="0" w:afterAutospacing="0"/>
        <w:ind w:right="0"/>
        <w:rPr>
          <w:color w:val="FF0000"/>
        </w:rPr>
      </w:pPr>
      <w:bookmarkEnd w:id="65"/>
      <w:bookmarkStart w:id="66" w:name="pu_dagvattenutredning01"/>
      <w:r>
        <w:rPr>
          <w:color w:val="000000" w:themeColor="text1"/>
        </w:rPr>
        <w:t xml:space="preserve">Dagvattenutredning, Sweco </w:t>
      </w:r>
      <w:r>
        <w:t>2021-05-27</w:t>
      </w:r>
    </w:p>
    <w:p>
      <w:pPr>
        <w:pStyle w:val="P2"/>
      </w:pPr>
      <w:bookmarkEnd w:id="66"/>
      <w:r>
        <w:t>Medverkande tjänstepersoner</w:t>
      </w:r>
    </w:p>
    <w:p>
      <w:pPr>
        <w:tabs>
          <w:tab w:val="left" w:pos="10348" w:leader="none"/>
        </w:tabs>
        <w:spacing w:after="120" w:beforeAutospacing="0" w:afterAutospacing="0"/>
        <w:ind w:right="1914"/>
      </w:pPr>
      <w:bookmarkStart w:id="67" w:name="be_ärendeinformation01"/>
      <w:r>
        <w:t>Planhandlingarna har upprättats av Hannah Wright och Terés Berglund, miljö- och samhällsbyggnadsförvaltningen, i samråd med berörda inom kommunorganisationen.</w:t>
      </w:r>
    </w:p>
    <w:p>
      <w:pPr>
        <w:pStyle w:val="P2"/>
      </w:pPr>
      <w:bookmarkEnd w:id="67"/>
      <w:r>
        <w:t>Tolkning av detaljplan</w:t>
      </w:r>
    </w:p>
    <w:p>
      <w:pPr>
        <w:ind w:right="1914"/>
      </w:pPr>
      <w:bookmarkStart w:id="68" w:name="be_ärendeinformation02"/>
      <w:r>
        <w:t>Framtagandet av detaljplanen påbörjades under 2021. Vid tolkning av detaljplanen ska PBL Kunskapsbanken från Boverket (2015-01-02) och Boverkets allmänna råd (2014:5) om planbestämmelser för detaljplan användas.</w:t>
      </w:r>
    </w:p>
    <w:p>
      <w:pPr>
        <w:pStyle w:val="P2"/>
      </w:pPr>
      <w:bookmarkEnd w:id="68"/>
      <w:r>
        <w:t>Planskeden</w:t>
      </w:r>
    </w:p>
    <w:tbl>
      <w:tblPr>
        <w:tblW w:w="0" w:type="auto"/>
        <w:tblInd w:w="55" w:type="dxa"/>
        <w:tblLayout w:type="fixed"/>
        <w:tblCellMar>
          <w:top w:w="55" w:type="dxa"/>
          <w:left w:w="55" w:type="dxa"/>
          <w:bottom w:w="55" w:type="dxa"/>
          <w:right w:w="55" w:type="dxa"/>
        </w:tblCellMar>
        <w:tblLook w:val="0000"/>
      </w:tblPr>
      <w:tblGrid/>
      <w:tr>
        <w:tc>
          <w:tcPr>
            <w:tcW w:w="2977" w:type="dxa"/>
          </w:tcPr>
          <w:p>
            <w:pPr>
              <w:pStyle w:val="P21"/>
              <w:tabs>
                <w:tab w:val="left" w:pos="7371" w:leader="none"/>
              </w:tabs>
              <w:spacing w:after="120" w:beforeAutospacing="0" w:afterAutospacing="0"/>
              <w:ind w:right="0"/>
              <w:rPr>
                <w:rFonts w:ascii="Arial" w:hAnsi="Arial"/>
                <w:sz w:val="16"/>
                <w:szCs w:val="16"/>
              </w:rPr>
            </w:pPr>
            <w:bookmarkStart w:id="69" w:name="be_ärendeinformation09" w:colFirst="0" w:colLast="2"/>
            <w:r>
              <w:rPr>
                <w:rFonts w:ascii="Arial" w:hAnsi="Arial"/>
                <w:sz w:val="16"/>
                <w:szCs w:val="16"/>
              </w:rPr>
              <w:t>Plan- och bygglagen: 2010:900</w:t>
            </w:r>
          </w:p>
        </w:tc>
        <w:tc>
          <w:tcPr>
            <w:tcW w:w="3260" w:type="dxa"/>
          </w:tcPr>
          <w:p>
            <w:pPr>
              <w:pStyle w:val="P21"/>
              <w:tabs>
                <w:tab w:val="left" w:pos="7371" w:leader="none"/>
              </w:tabs>
              <w:spacing w:after="120" w:beforeAutospacing="0" w:afterAutospacing="0"/>
              <w:ind w:right="0"/>
              <w:rPr>
                <w:rFonts w:ascii="Arial" w:hAnsi="Arial"/>
                <w:sz w:val="16"/>
                <w:szCs w:val="16"/>
              </w:rPr>
            </w:pPr>
          </w:p>
        </w:tc>
        <w:tc>
          <w:tcPr>
            <w:tcW w:w="1134" w:type="dxa"/>
          </w:tcPr>
          <w:p>
            <w:pPr>
              <w:pStyle w:val="P21"/>
              <w:tabs>
                <w:tab w:val="left" w:pos="7371" w:leader="none"/>
              </w:tabs>
              <w:spacing w:after="120" w:beforeAutospacing="0" w:afterAutospacing="0"/>
              <w:ind w:right="0"/>
              <w:rPr>
                <w:rFonts w:ascii="Arial" w:hAnsi="Arial"/>
                <w:sz w:val="16"/>
                <w:szCs w:val="16"/>
              </w:rPr>
            </w:pP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69"/>
            <w:bookmarkStart w:id="70" w:name="be_ärendeinformation08" w:colFirst="0" w:colLast="2"/>
          </w:p>
        </w:tc>
        <w:tc>
          <w:tcPr>
            <w:tcW w:w="3260"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Instans</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Datum</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0"/>
            <w:bookmarkStart w:id="71" w:name="be_ärendeinformation07" w:colFirst="0" w:colLast="2"/>
            <w:r>
              <w:rPr>
                <w:rFonts w:ascii="Arial" w:hAnsi="Arial"/>
                <w:sz w:val="16"/>
                <w:szCs w:val="16"/>
              </w:rPr>
              <w:t>Planbesked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 xml:space="preserve">Miljö- och samhällsbyggnadsnämnden </w:t>
            </w:r>
          </w:p>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(delegation)</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2020-12-04</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1"/>
            <w:bookmarkStart w:id="72" w:name="be_ärendeinformation06" w:colFirst="0" w:colLast="2"/>
            <w:r>
              <w:rPr>
                <w:rFonts w:ascii="Arial" w:hAnsi="Arial"/>
                <w:sz w:val="16"/>
                <w:szCs w:val="16"/>
              </w:rPr>
              <w:t>Godkänd för samråd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(delegation)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2021-07-14</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2"/>
            <w:bookmarkStart w:id="73" w:name="be_ärendeinformation05" w:colFirst="0" w:colLast="2"/>
            <w:r>
              <w:rPr>
                <w:rFonts w:ascii="Arial" w:hAnsi="Arial"/>
                <w:sz w:val="16"/>
                <w:szCs w:val="16"/>
              </w:rPr>
              <w:t>Godkänd för granskning</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(delegation)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2022-01-21</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3"/>
            <w:bookmarkStart w:id="74" w:name="be_ärendeinformation04" w:colFirst="0" w:colLast="2"/>
            <w:r>
              <w:rPr>
                <w:rFonts w:ascii="Arial" w:hAnsi="Arial"/>
                <w:sz w:val="16"/>
                <w:szCs w:val="16"/>
              </w:rPr>
              <w:t>Antagen</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2022-03-14</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4"/>
            <w:bookmarkStart w:id="75" w:name="be_ärendeinformation03" w:colFirst="0" w:colLast="2"/>
            <w:r>
              <w:rPr>
                <w:rFonts w:ascii="Arial" w:hAnsi="Arial"/>
                <w:sz w:val="16"/>
                <w:szCs w:val="16"/>
              </w:rPr>
              <w:t>Vunnit laga kraft</w:t>
            </w:r>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2022-04-08</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5"/>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p>
        </w:tc>
      </w:tr>
    </w:tbl>
    <w:p>
      <w:pPr>
        <w:pStyle w:val="P23"/>
        <w:tabs>
          <w:tab w:val="left" w:pos="7371" w:leader="none"/>
        </w:tabs>
        <w:spacing w:after="120" w:beforeAutospacing="0" w:afterAutospacing="0"/>
        <w:ind w:right="0"/>
      </w:pPr>
    </w:p>
    <w:sectPr>
      <w:headerReference xmlns:r="http://schemas.openxmlformats.org/officeDocument/2006/relationships" w:type="first" r:id="RelHdr1"/>
      <w:footerReference xmlns:r="http://schemas.openxmlformats.org/officeDocument/2006/relationships" w:type="default" r:id="RelFtr1"/>
      <w:footerReference xmlns:r="http://schemas.openxmlformats.org/officeDocument/2006/relationships" w:type="even" r:id="RelFtr2"/>
      <w:footnotePr>
        <w:pos w:val="beneathText"/>
      </w:footnotePr>
      <w:endnotePr/>
      <w:type w:val="nextPage"/>
      <w:pgSz w:w="11905" w:h="16837" w:code="0"/>
      <w:pgMar w:left="2223" w:right="397" w:top="1701" w:bottom="1843" w:header="720" w:footer="1134"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0"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9" name=" 3"/>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3" o:spid="_x0000_s1026" style="position:absolute;z-index:251655680;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8" name=" 4"/>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 4" o:spid="_x0000_s1027" style="position:absolute;width:16.35pt;height:16.95pt;z-index:1;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1"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11" name=" 8"/>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8" o:spid="_x0000_s1028" style="position:absolute;z-index:251655681;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3"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10" name=" 9"/>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9" o:spid="_x0000_s1029" style="position:absolute;width:16.35pt;height:16.95pt;z-index:3;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tabs>
        <w:tab w:val="right" w:pos="9072" w:leader="none"/>
      </w:tabs>
      <w:ind w:left="-709" w:right="0"/>
      <w:rPr>
        <w:rFonts w:ascii="Arial" w:hAnsi="Arial"/>
        <w:sz w:val="16"/>
        <w:lang w:eastAsia="sv-SE"/>
      </w:rPr>
    </w:pPr>
    <w:r>
      <w:rPr>
        <w:rFonts w:ascii="Arial" w:hAnsi="Arial"/>
        <w:noProof w:val="1"/>
        <w:sz w:val="16"/>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-441325</wp:posOffset>
          </wp:positionH>
          <wp:positionV relativeFrom="paragraph">
            <wp:posOffset>-149860</wp:posOffset>
          </wp:positionV>
          <wp:extent cx="1478280" cy="295910"/>
          <wp:effectExtent l="0" t="0" r="0" b="0"/>
          <wp:wrapNone/>
          <wp:docPr id="37" name="Bild 6" descr="Falun_col"/>
          <wp:cNvGraphicFramePr/>
          <a:graphic xmlns:a="http://schemas.openxmlformats.org/drawingml/2006/main">
            <a:graphicData uri="http://schemas.openxmlformats.org/drawingml/2006/picture">
              <pic:pic xmlns:pic="http://schemas.openxmlformats.org/drawingml/2006/picture">
                <pic:nvPicPr>
                  <pic:cNvPr id="0" name=" 6" descr="Falun_col"/>
                  <pic:cNvPicPr/>
                </pic:nvPicPr>
                <pic:blipFill dpi="0">
                  <a:blip xmlns:r="http://schemas.openxmlformats.org/officeDocument/2006/relationships" r:embed="Relimage7"/>
                  <a:srcRect/>
                  <a:stretch>
                    <a:fillRect/>
                  </a:stretch>
                </pic:blipFill>
                <pic:spPr bwMode="auto">
                  <a:xfrm>
                    <a:off x="0" y="0"/>
                    <a:ext cx="1478280" cy="295910"/>
                  </a:xfrm>
                  <a:prstGeom prst="rect"/>
                  <a:noFill/>
                  <a:ln>
                    <a:noFill/>
                  </a:ln>
                </pic:spPr>
              </pic:pic>
            </a:graphicData>
          </a:graphic>
        </wp:anchor>
      </w:drawing>
    </w:r>
  </w:p>
  <w:p>
    <w:pPr>
      <w:tabs>
        <w:tab w:val="right" w:pos="9072" w:leader="none"/>
      </w:tabs>
      <w:ind w:left="-709" w:right="0"/>
      <w:rPr>
        <w:rFonts w:ascii="Arial" w:hAnsi="Arial"/>
        <w:sz w:val="16"/>
        <w:lang w:eastAsia="sv-SE"/>
      </w:rPr>
    </w:pPr>
  </w:p>
  <w:p>
    <w:pPr>
      <w:ind w:left="-709" w:right="0"/>
      <w:rPr>
        <w:rFonts w:ascii="Arial" w:hAnsi="Arial"/>
        <w:sz w:val="16"/>
        <w:lang w:eastAsia="sv-SE"/>
      </w:rPr>
    </w:pPr>
    <w:r>
      <w:rPr>
        <w:rFonts w:ascii="Arial" w:hAnsi="Arial"/>
        <w:sz w:val="16"/>
        <w:lang w:eastAsia="sv-SE"/>
      </w:rPr>
      <w:tab/>
      <w:tab/>
      <w:tab/>
      <w:tab/>
    </w:r>
  </w:p>
  <w:p>
    <w:pPr>
      <w:tabs>
        <w:tab w:val="right" w:pos="8222" w:leader="none"/>
      </w:tabs>
      <w:ind w:left="-709" w:right="0"/>
      <w:rPr>
        <w:rFonts w:ascii="Arial" w:hAnsi="Arial"/>
        <w:sz w:val="18"/>
        <w:szCs w:val="18"/>
        <w:lang w:eastAsia="sv-SE"/>
      </w:rPr>
    </w:pPr>
    <w:r>
      <w:rPr>
        <w:rFonts w:ascii="Arial" w:hAnsi="Arial"/>
        <w:sz w:val="18"/>
        <w:szCs w:val="18"/>
        <w:lang w:eastAsia="sv-SE"/>
      </w:rPr>
      <w:t xml:space="preserve">Falu kommun </w:t>
      <w:tab/>
      <w:t>Laga kraft 2022-04-08</w:t>
      <w:br w:type="textWrapping"/>
      <w:t>Miljö- och samhällsbyggnadsförvaltningen</w:t>
      <w:tab/>
      <w:t>MSN0276/20</w:t>
    </w:r>
  </w:p>
  <w:p>
    <w:pPr>
      <w:tabs>
        <w:tab w:val="center" w:pos="7513" w:leader="none"/>
        <w:tab w:val="right" w:pos="9356" w:leader="none"/>
      </w:tabs>
      <w:ind w:left="-709" w:right="0"/>
      <w:rPr>
        <w:rFonts w:ascii="Arial" w:hAnsi="Arial"/>
        <w:sz w:val="16"/>
        <w:szCs w:val="16"/>
        <w:lang w:eastAsia="sv-SE"/>
      </w:rPr>
    </w:pPr>
    <w:r>
      <w:rPr>
        <w:rFonts w:ascii="Arial" w:hAnsi="Arial"/>
        <w:sz w:val="18"/>
        <w:szCs w:val="18"/>
        <w:lang w:eastAsia="sv-SE"/>
      </w:rPr>
      <w:t>Hållbarhet och planering</w:t>
    </w:r>
  </w:p>
</w:hdr>
</file>

<file path=word/numbering.xml><?xml version="1.0" encoding="utf-8"?>
<w:numbering xmlns:w="http://schemas.openxmlformats.org/wordprocessingml/2006/main">
  <w:abstractNum w:abstractNumId="0">
    <w:nsid w:val="00000001"/>
    <w:multiLevelType w:val="multilevel"/>
    <w:lvl w:ilvl="0">
      <w:start w:val="1"/>
      <w:numFmt w:val="none"/>
      <w:pStyle w:val="P1"/>
      <w:suff w:val="nothing"/>
      <w:lvlText w:val=""/>
      <w:lvlJc w:val="left"/>
      <w:pPr>
        <w:ind w:firstLine="0" w:left="0"/>
        <w:tabs>
          <w:tab w:val="num" w:pos="0" w:leader="none"/>
        </w:tabs>
      </w:pPr>
      <w:rPr/>
    </w:lvl>
    <w:lvl w:ilvl="1">
      <w:start w:val="1"/>
      <w:numFmt w:val="none"/>
      <w:pStyle w:val="P2"/>
      <w:suff w:val="nothing"/>
      <w:lvlText w:val=""/>
      <w:lvlJc w:val="left"/>
      <w:pPr>
        <w:ind w:firstLine="0" w:left="0"/>
        <w:tabs>
          <w:tab w:val="num" w:pos="0" w:leader="none"/>
        </w:tabs>
      </w:pPr>
      <w:rPr/>
    </w:lvl>
    <w:lvl w:ilvl="2">
      <w:start w:val="1"/>
      <w:numFmt w:val="none"/>
      <w:pStyle w:val="P3"/>
      <w:suff w:val="nothing"/>
      <w:lvlText w:val=""/>
      <w:lvlJc w:val="left"/>
      <w:pPr>
        <w:ind w:firstLine="0" w:left="0"/>
        <w:tabs>
          <w:tab w:val="num" w:pos="0" w:leader="none"/>
        </w:tabs>
      </w:pPr>
      <w:rPr/>
    </w:lvl>
    <w:lvl w:ilvl="3">
      <w:start w:val="1"/>
      <w:numFmt w:val="none"/>
      <w:pStyle w:val="P4"/>
      <w:suff w:val="nothing"/>
      <w:lvlText w:val=""/>
      <w:lvlJc w:val="left"/>
      <w:pPr>
        <w:ind w:firstLine="0" w:left="0"/>
        <w:tabs>
          <w:tab w:val="num" w:pos="0" w:leader="none"/>
        </w:tabs>
      </w:pPr>
      <w:rPr/>
    </w:lvl>
    <w:lvl w:ilvl="4">
      <w:start w:val="1"/>
      <w:numFmt w:val="none"/>
      <w:pStyle w:val="P5"/>
      <w:suff w:val="nothing"/>
      <w:lvlText w:val=""/>
      <w:lvlJc w:val="left"/>
      <w:pPr>
        <w:ind w:firstLine="0" w:left="0"/>
        <w:tabs>
          <w:tab w:val="num" w:pos="0" w:leader="none"/>
        </w:tabs>
      </w:pPr>
      <w:rPr/>
    </w:lvl>
    <w:lvl w:ilvl="5">
      <w:start w:val="1"/>
      <w:numFmt w:val="none"/>
      <w:pStyle w:val="P6"/>
      <w:suff w:val="nothing"/>
      <w:lvlText w:val=""/>
      <w:lvlJc w:val="left"/>
      <w:pPr>
        <w:ind w:firstLine="0" w:left="0"/>
        <w:tabs>
          <w:tab w:val="num" w:pos="0" w:leader="none"/>
        </w:tabs>
      </w:pPr>
      <w:rPr/>
    </w:lvl>
    <w:lvl w:ilvl="6">
      <w:start w:val="1"/>
      <w:numFmt w:val="none"/>
      <w:pStyle w:val="P7"/>
      <w:suff w:val="nothing"/>
      <w:lvlText w:val=""/>
      <w:lvlJc w:val="left"/>
      <w:pPr>
        <w:ind w:firstLine="0" w:left="0"/>
        <w:tabs>
          <w:tab w:val="num" w:pos="0" w:leader="none"/>
        </w:tabs>
      </w:pPr>
      <w:rPr/>
    </w:lvl>
    <w:lvl w:ilvl="7">
      <w:start w:val="1"/>
      <w:numFmt w:val="none"/>
      <w:pStyle w:val="P8"/>
      <w:suff w:val="nothing"/>
      <w:lvlText w:val=""/>
      <w:lvlJc w:val="left"/>
      <w:pPr>
        <w:ind w:firstLine="0" w:left="0"/>
        <w:tabs>
          <w:tab w:val="num" w:pos="0" w:leader="none"/>
        </w:tabs>
      </w:pPr>
      <w:rPr/>
    </w:lvl>
    <w:lvl w:ilvl="8">
      <w:start w:val="1"/>
      <w:numFmt w:val="none"/>
      <w:pStyle w:val="P9"/>
      <w:suff w:val="nothing"/>
      <w:lvlText w:val=""/>
      <w:lvlJc w:val="left"/>
      <w:pPr>
        <w:ind w:firstLine="0" w:left="0"/>
        <w:tabs>
          <w:tab w:val="num" w:pos="0" w:leader="none"/>
        </w:tabs>
      </w:pPr>
      <w:rPr/>
    </w:lvl>
  </w:abstractNum>
  <w:abstractNum w:abstractNumId="1">
    <w:nsid w:val="00000002"/>
    <w:multiLevelType w:val="multilevel"/>
    <w:lvl w:ilvl="0">
      <w:start w:val="1"/>
      <w:numFmt w:val="none"/>
      <w:pStyle w:val="P30"/>
      <w:suff w:val="nothing"/>
      <w:lvlText w:val=""/>
      <w:lvlJc w:val="left"/>
      <w:pPr>
        <w:ind w:firstLine="0" w:left="0"/>
        <w:tabs>
          <w:tab w:val="num" w:pos="0" w:leader="none"/>
        </w:tabs>
      </w:pPr>
      <w:rPr/>
    </w:lvl>
    <w:lvl w:ilvl="1">
      <w:start w:val="1"/>
      <w:numFmt w:val="none"/>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2">
    <w:nsid w:val="00000003"/>
    <w:multiLevelType w:val="multilevel"/>
    <w:lvl w:ilvl="0">
      <w:start w:val="1"/>
      <w:numFmt w:val="bullet"/>
      <w:suff w:val="tab"/>
      <w:lvlText w:val=""/>
      <w:lvlJc w:val="left"/>
      <w:pPr>
        <w:ind w:hanging="227" w:left="227"/>
        <w:tabs>
          <w:tab w:val="num" w:pos="709" w:leader="none"/>
        </w:tabs>
      </w:pPr>
      <w:rPr>
        <w:rFonts w:ascii="Symbol" w:hAnsi="Symbol"/>
      </w:rPr>
    </w:lvl>
    <w:lvl w:ilvl="1">
      <w:start w:val="1"/>
      <w:numFmt w:val="bullet"/>
      <w:suff w:val="tab"/>
      <w:lvlText w:val=""/>
      <w:lvlJc w:val="left"/>
      <w:pPr>
        <w:ind w:hanging="360" w:left="1080"/>
        <w:tabs>
          <w:tab w:val="num" w:pos="1080" w:leader="none"/>
        </w:tabs>
      </w:pPr>
      <w:rPr>
        <w:rFonts w:ascii="Symbol" w:hAnsi="Symbol"/>
      </w:rPr>
    </w:lvl>
    <w:lvl w:ilvl="2">
      <w:start w:val="1"/>
      <w:numFmt w:val="bullet"/>
      <w:suff w:val="tab"/>
      <w:lvlText w:val=""/>
      <w:lvlJc w:val="left"/>
      <w:pPr>
        <w:ind w:hanging="360" w:left="1440"/>
        <w:tabs>
          <w:tab w:val="num" w:pos="1440" w:leader="none"/>
        </w:tabs>
      </w:pPr>
      <w:rPr>
        <w:rFonts w:ascii="Symbol" w:hAnsi="Symbol"/>
      </w:rPr>
    </w:lvl>
    <w:lvl w:ilvl="3">
      <w:start w:val="1"/>
      <w:numFmt w:val="bullet"/>
      <w:suff w:val="tab"/>
      <w:lvlText w:val=""/>
      <w:lvlJc w:val="left"/>
      <w:pPr>
        <w:ind w:hanging="360" w:left="1800"/>
        <w:tabs>
          <w:tab w:val="num" w:pos="1800" w:leader="none"/>
        </w:tabs>
      </w:pPr>
      <w:rPr>
        <w:rFonts w:ascii="Symbol" w:hAnsi="Symbol"/>
      </w:rPr>
    </w:lvl>
    <w:lvl w:ilvl="4">
      <w:start w:val="1"/>
      <w:numFmt w:val="bullet"/>
      <w:suff w:val="tab"/>
      <w:lvlText w:val=""/>
      <w:lvlJc w:val="left"/>
      <w:pPr>
        <w:ind w:hanging="360" w:left="2160"/>
        <w:tabs>
          <w:tab w:val="num" w:pos="2160" w:leader="none"/>
        </w:tabs>
      </w:pPr>
      <w:rPr>
        <w:rFonts w:ascii="Symbol" w:hAnsi="Symbol"/>
      </w:rPr>
    </w:lvl>
    <w:lvl w:ilvl="5">
      <w:start w:val="1"/>
      <w:numFmt w:val="bullet"/>
      <w:suff w:val="tab"/>
      <w:lvlText w:val=""/>
      <w:lvlJc w:val="left"/>
      <w:pPr>
        <w:ind w:hanging="360" w:left="2520"/>
        <w:tabs>
          <w:tab w:val="num" w:pos="2520" w:leader="none"/>
        </w:tabs>
      </w:pPr>
      <w:rPr>
        <w:rFonts w:ascii="Symbol" w:hAnsi="Symbol"/>
      </w:rPr>
    </w:lvl>
    <w:lvl w:ilvl="6">
      <w:start w:val="1"/>
      <w:numFmt w:val="bullet"/>
      <w:suff w:val="tab"/>
      <w:lvlText w:val=""/>
      <w:lvlJc w:val="left"/>
      <w:pPr>
        <w:ind w:hanging="360" w:left="2880"/>
        <w:tabs>
          <w:tab w:val="num" w:pos="2880" w:leader="none"/>
        </w:tabs>
      </w:pPr>
      <w:rPr>
        <w:rFonts w:ascii="Symbol" w:hAnsi="Symbol"/>
      </w:rPr>
    </w:lvl>
    <w:lvl w:ilvl="7">
      <w:start w:val="1"/>
      <w:numFmt w:val="bullet"/>
      <w:suff w:val="tab"/>
      <w:lvlText w:val=""/>
      <w:lvlJc w:val="left"/>
      <w:pPr>
        <w:ind w:hanging="360" w:left="3240"/>
        <w:tabs>
          <w:tab w:val="num" w:pos="3240" w:leader="none"/>
        </w:tabs>
      </w:pPr>
      <w:rPr>
        <w:rFonts w:ascii="Symbol" w:hAnsi="Symbol"/>
      </w:rPr>
    </w:lvl>
    <w:lvl w:ilvl="8">
      <w:start w:val="1"/>
      <w:numFmt w:val="bullet"/>
      <w:suff w:val="tab"/>
      <w:lvlText w:val=""/>
      <w:lvlJc w:val="left"/>
      <w:pPr>
        <w:ind w:hanging="360" w:left="3600"/>
        <w:tabs>
          <w:tab w:val="num" w:pos="3600" w:leader="none"/>
        </w:tabs>
      </w:pPr>
      <w:rPr>
        <w:rFonts w:ascii="Symbol" w:hAnsi="Symbol"/>
      </w:rPr>
    </w:lvl>
  </w:abstractNum>
  <w:abstractNum w:abstractNumId="3">
    <w:nsid w:val="00000004"/>
    <w:multiLevelType w:val="multilevel"/>
    <w:lvl w:ilvl="0">
      <w:start w:val="1"/>
      <w:numFmt w:val="none"/>
      <w:suff w:val="nothing"/>
      <w:lvlText w:val=""/>
      <w:lvlJc w:val="left"/>
      <w:pPr>
        <w:ind w:firstLine="0" w:left="0"/>
        <w:tabs>
          <w:tab w:val="num" w:pos="0" w:leader="none"/>
        </w:tabs>
      </w:pPr>
      <w:rPr/>
    </w:lvl>
    <w:lvl w:ilvl="1">
      <w:start w:val="1"/>
      <w:numFmt w:val="bullet"/>
      <w:suff w:val="nothing"/>
      <w:lvlText w:val=""/>
      <w:lvlJc w:val="left"/>
      <w:pPr>
        <w:ind w:firstLine="0" w:left="0"/>
        <w:tabs>
          <w:tab w:val="num" w:pos="0" w:leader="none"/>
        </w:tabs>
      </w:pPr>
      <w:rPr>
        <w:rFonts w:ascii="Symbol" w:hAnsi="Symbol" w:cs="StarSymbol"/>
        <w:sz w:val="18"/>
        <w:szCs w:val="18"/>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4">
    <w:nsid w:val="094B2939"/>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5">
    <w:nsid w:val="57CF5E50"/>
    <w:multiLevelType w:val="hybridMultilevel"/>
    <w:lvl w:ilvl="0" w:tplc="930A9572">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5C207594"/>
    <w:multiLevelType w:val="hybridMultilevel"/>
    <w:lvl w:ilvl="0" w:tplc="041D000F">
      <w:start w:val="1"/>
      <w:numFmt w:val="decimal"/>
      <w:suff w:val="tab"/>
      <w:lvlText w:val="%1."/>
      <w:lvlJc w:val="left"/>
      <w:pPr>
        <w:ind w:hanging="360" w:left="720"/>
        <w:tabs>
          <w:tab w:val="num" w:pos="720" w:leader="none"/>
        </w:tabs>
      </w:pPr>
      <w:rPr/>
    </w:lvl>
    <w:lvl w:ilvl="1" w:tplc="041D0019">
      <w:start w:val="1"/>
      <w:numFmt w:val="lowerLetter"/>
      <w:suff w:val="tab"/>
      <w:lvlText w:val="%2."/>
      <w:lvlJc w:val="left"/>
      <w:pPr>
        <w:ind w:hanging="360" w:left="1440"/>
        <w:tabs>
          <w:tab w:val="num" w:pos="1440" w:leader="none"/>
        </w:tabs>
      </w:pPr>
      <w:rPr/>
    </w:lvl>
    <w:lvl w:ilvl="2" w:tplc="041D001B">
      <w:start w:val="1"/>
      <w:numFmt w:val="lowerRoman"/>
      <w:suff w:val="tab"/>
      <w:lvlText w:val="%3."/>
      <w:lvlJc w:val="right"/>
      <w:pPr>
        <w:ind w:hanging="180" w:left="2160"/>
        <w:tabs>
          <w:tab w:val="num" w:pos="2160" w:leader="none"/>
        </w:tabs>
      </w:pPr>
      <w:rPr/>
    </w:lvl>
    <w:lvl w:ilvl="3" w:tplc="041D000F">
      <w:start w:val="1"/>
      <w:numFmt w:val="decimal"/>
      <w:suff w:val="tab"/>
      <w:lvlText w:val="%4."/>
      <w:lvlJc w:val="left"/>
      <w:pPr>
        <w:ind w:hanging="360" w:left="2880"/>
        <w:tabs>
          <w:tab w:val="num" w:pos="2880" w:leader="none"/>
        </w:tabs>
      </w:pPr>
      <w:rPr/>
    </w:lvl>
    <w:lvl w:ilvl="4" w:tplc="041D0019">
      <w:start w:val="1"/>
      <w:numFmt w:val="lowerLetter"/>
      <w:suff w:val="tab"/>
      <w:lvlText w:val="%5."/>
      <w:lvlJc w:val="left"/>
      <w:pPr>
        <w:ind w:hanging="360" w:left="3600"/>
        <w:tabs>
          <w:tab w:val="num" w:pos="3600" w:leader="none"/>
        </w:tabs>
      </w:pPr>
      <w:rPr/>
    </w:lvl>
    <w:lvl w:ilvl="5" w:tplc="041D001B">
      <w:start w:val="1"/>
      <w:numFmt w:val="lowerRoman"/>
      <w:suff w:val="tab"/>
      <w:lvlText w:val="%6."/>
      <w:lvlJc w:val="right"/>
      <w:pPr>
        <w:ind w:hanging="180" w:left="4320"/>
        <w:tabs>
          <w:tab w:val="num" w:pos="4320" w:leader="none"/>
        </w:tabs>
      </w:pPr>
      <w:rPr/>
    </w:lvl>
    <w:lvl w:ilvl="6" w:tplc="041D000F">
      <w:start w:val="1"/>
      <w:numFmt w:val="decimal"/>
      <w:suff w:val="tab"/>
      <w:lvlText w:val="%7."/>
      <w:lvlJc w:val="left"/>
      <w:pPr>
        <w:ind w:hanging="360" w:left="5040"/>
        <w:tabs>
          <w:tab w:val="num" w:pos="5040" w:leader="none"/>
        </w:tabs>
      </w:pPr>
      <w:rPr/>
    </w:lvl>
    <w:lvl w:ilvl="7" w:tplc="041D0019">
      <w:start w:val="1"/>
      <w:numFmt w:val="lowerLetter"/>
      <w:suff w:val="tab"/>
      <w:lvlText w:val="%8."/>
      <w:lvlJc w:val="left"/>
      <w:pPr>
        <w:ind w:hanging="360" w:left="5760"/>
        <w:tabs>
          <w:tab w:val="num" w:pos="5760" w:leader="none"/>
        </w:tabs>
      </w:pPr>
      <w:rPr/>
    </w:lvl>
    <w:lvl w:ilvl="8" w:tplc="041D001B">
      <w:start w:val="1"/>
      <w:numFmt w:val="lowerRoman"/>
      <w:suff w:val="tab"/>
      <w:lvlText w:val="%9."/>
      <w:lvlJc w:val="right"/>
      <w:pPr>
        <w:ind w:hanging="180" w:left="6480"/>
        <w:tabs>
          <w:tab w:val="num" w:pos="6480" w:leader="none"/>
        </w:tabs>
      </w:pPr>
      <w:rPr/>
    </w:lvl>
  </w:abstractNum>
  <w:num w:numId="1">
    <w:abstractNumId w:val="0"/>
  </w:num>
  <w:num w:numId="2">
    <w:abstractNumId w:val="1"/>
  </w:num>
  <w:num w:numId="3">
    <w:abstractNumId w:val="2"/>
  </w:num>
  <w:num w:numId="4">
    <w:abstractNumId w:val="3"/>
  </w:num>
  <w:num w:numId="5">
    <w:abstractNumId w:val="0"/>
  </w:num>
  <w:num w:numId="6">
    <w:abstractNumId w:val="4"/>
  </w:num>
  <w:num w:numId="7">
    <w:abstractNumId w:val="6"/>
  </w:num>
  <w:num w:numId="8">
    <w:abstractNumId w:val="0"/>
  </w:num>
  <w:num w:numId="9">
    <w:abstractNumId w:val="0"/>
  </w:num>
  <w:num w:numId="10">
    <w:abstractNumId w:val="5"/>
  </w:num>
</w:numbering>
</file>

<file path=word/settings.xml><?xml version="1.0" encoding="utf-8"?>
<w:settings xmlns:w="http://schemas.openxmlformats.org/wordprocessingml/2006/main">
  <w:displayBackgroundShape w:val="0"/>
  <w:defaultTabStop w:val="1304"/>
  <w:autoHyphenation w:val="1"/>
  <w:hyphenationZone w:val="425"/>
  <w:evenAndOddHeaders w:val="1"/>
  <w:compat>
    <w:doNotExpandShiftReturn/>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pos w:val="beneathText"/>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right="3940"/>
    </w:pPr>
    <w:rPr>
      <w:sz w:val="24"/>
      <w:szCs w:val="24"/>
      <w:lang w:eastAsia="ar-SA"/>
    </w:rPr>
  </w:style>
  <w:style w:type="paragraph" w:styleId="P1">
    <w:name w:val="Heading 1"/>
    <w:basedOn w:val="P0"/>
    <w:next w:val="P0"/>
    <w:qFormat/>
    <w:pPr>
      <w:keepNext w:val="1"/>
      <w:numPr>
        <w:numId w:val="1"/>
      </w:numPr>
      <w:spacing w:lineRule="auto" w:line="360" w:beforeAutospacing="0" w:afterAutospacing="0"/>
      <w:ind w:left="142" w:right="811"/>
      <w:outlineLvl w:val="0"/>
    </w:pPr>
    <w:rPr>
      <w:rFonts w:ascii="Arial" w:hAnsi="Arial" w:cs="Arial"/>
      <w:sz w:val="32"/>
      <w:spacing w:val="20"/>
    </w:rPr>
  </w:style>
  <w:style w:type="paragraph" w:styleId="P2">
    <w:name w:val="Heading 2"/>
    <w:basedOn w:val="P0"/>
    <w:next w:val="P0"/>
    <w:qFormat/>
    <w:pPr>
      <w:keepNext w:val="1"/>
      <w:numPr>
        <w:ilvl w:val="1"/>
        <w:numId w:val="1"/>
      </w:numPr>
      <w:tabs>
        <w:tab w:val="left" w:pos="7371" w:leader="none"/>
      </w:tabs>
      <w:spacing w:lineRule="atLeast" w:line="100" w:before="227" w:after="120" w:beforeAutospacing="0" w:afterAutospacing="0"/>
      <w:ind w:right="1916"/>
      <w:outlineLvl w:val="1"/>
    </w:pPr>
    <w:rPr>
      <w:rFonts w:ascii="Arial" w:hAnsi="Arial"/>
      <w:b w:val="1"/>
      <w:sz w:val="28"/>
    </w:rPr>
  </w:style>
  <w:style w:type="paragraph" w:styleId="P3">
    <w:name w:val="Heading 3"/>
    <w:basedOn w:val="P0"/>
    <w:next w:val="P0"/>
    <w:qFormat/>
    <w:pPr>
      <w:keepNext w:val="1"/>
      <w:numPr>
        <w:ilvl w:val="2"/>
        <w:numId w:val="1"/>
      </w:numPr>
      <w:tabs>
        <w:tab w:val="num" w:pos="7371" w:leader="none"/>
      </w:tabs>
      <w:spacing w:before="170" w:after="120" w:beforeAutospacing="0" w:afterAutospacing="0"/>
      <w:ind w:right="1916"/>
      <w:outlineLvl w:val="2"/>
    </w:pPr>
    <w:rPr>
      <w:rFonts w:ascii="Arial" w:hAnsi="Arial" w:cs="Arial"/>
      <w:b w:val="1"/>
      <w:bCs w:val="1"/>
    </w:rPr>
  </w:style>
  <w:style w:type="paragraph" w:styleId="P4">
    <w:name w:val="Heading 4"/>
    <w:basedOn w:val="P0"/>
    <w:next w:val="P0"/>
    <w:link w:val="C44"/>
    <w:qFormat/>
    <w:pPr>
      <w:keepNext w:val="1"/>
      <w:numPr>
        <w:ilvl w:val="3"/>
        <w:numId w:val="1"/>
      </w:numPr>
      <w:tabs>
        <w:tab w:val="num" w:pos="7371" w:leader="none"/>
      </w:tabs>
      <w:spacing w:before="170" w:after="80" w:beforeAutospacing="0" w:afterAutospacing="0"/>
      <w:ind w:right="1871"/>
      <w:outlineLvl w:val="3"/>
    </w:pPr>
    <w:rPr>
      <w:rFonts w:ascii="Arial" w:hAnsi="Arial" w:cs="Arial"/>
      <w:i w:val="1"/>
      <w:sz w:val="22"/>
    </w:rPr>
  </w:style>
  <w:style w:type="paragraph" w:styleId="P5">
    <w:name w:val="Heading 5"/>
    <w:basedOn w:val="P0"/>
    <w:next w:val="P0"/>
    <w:qFormat/>
    <w:pPr>
      <w:keepNext w:val="1"/>
      <w:numPr>
        <w:ilvl w:val="4"/>
        <w:numId w:val="1"/>
      </w:numPr>
      <w:ind w:right="0"/>
      <w:outlineLvl w:val="4"/>
    </w:pPr>
    <w:rPr>
      <w:b w:val="1"/>
      <w:bCs w:val="1"/>
      <w:sz w:val="22"/>
    </w:rPr>
  </w:style>
  <w:style w:type="paragraph" w:styleId="P6">
    <w:name w:val="Heading 6"/>
    <w:basedOn w:val="P0"/>
    <w:next w:val="P0"/>
    <w:qFormat/>
    <w:pPr>
      <w:keepNext w:val="1"/>
      <w:numPr>
        <w:ilvl w:val="5"/>
        <w:numId w:val="1"/>
      </w:numPr>
      <w:ind w:right="0"/>
      <w:outlineLvl w:val="5"/>
    </w:pPr>
    <w:rPr>
      <w:i w:val="1"/>
      <w:iCs w:val="1"/>
      <w:sz w:val="20"/>
    </w:rPr>
  </w:style>
  <w:style w:type="paragraph" w:styleId="P7">
    <w:name w:val="Heading 7"/>
    <w:basedOn w:val="P0"/>
    <w:next w:val="P0"/>
    <w:qFormat/>
    <w:pPr>
      <w:keepNext w:val="1"/>
      <w:numPr>
        <w:ilvl w:val="6"/>
        <w:numId w:val="1"/>
      </w:numPr>
      <w:ind w:right="0"/>
      <w:jc w:val="center"/>
      <w:outlineLvl w:val="6"/>
    </w:pPr>
    <w:rPr>
      <w:rFonts w:ascii="Arial Narrow" w:hAnsi="Arial Narrow"/>
      <w:b w:val="1"/>
      <w:bCs w:val="1"/>
      <w:color w:val="FFFFFF"/>
    </w:rPr>
  </w:style>
  <w:style w:type="paragraph" w:styleId="P8">
    <w:name w:val="Heading 8"/>
    <w:basedOn w:val="P0"/>
    <w:next w:val="P0"/>
    <w:qFormat/>
    <w:pPr>
      <w:keepNext w:val="1"/>
      <w:numPr>
        <w:ilvl w:val="7"/>
        <w:numId w:val="1"/>
      </w:numPr>
      <w:ind w:right="0"/>
      <w:outlineLvl w:val="7"/>
    </w:pPr>
    <w:rPr>
      <w:rFonts w:ascii="Arial Narrow" w:hAnsi="Arial Narrow"/>
      <w:b w:val="1"/>
      <w:bCs w:val="1"/>
      <w:color w:val="FFFFFF"/>
    </w:rPr>
  </w:style>
  <w:style w:type="paragraph" w:styleId="P9">
    <w:name w:val="Heading 9"/>
    <w:basedOn w:val="P0"/>
    <w:next w:val="P0"/>
    <w:qFormat/>
    <w:pPr>
      <w:keepNext w:val="1"/>
      <w:numPr>
        <w:ilvl w:val="8"/>
        <w:numId w:val="1"/>
      </w:numPr>
      <w:ind w:right="0"/>
      <w:jc w:val="both"/>
      <w:outlineLvl w:val="8"/>
    </w:pPr>
    <w:rPr>
      <w:b w:val="1"/>
      <w:bCs w:val="1"/>
    </w:rPr>
  </w:style>
  <w:style w:type="paragraph" w:styleId="P10">
    <w:name w:val="No Spacing"/>
    <w:link w:val="C37"/>
    <w:qFormat/>
    <w:pPr/>
    <w:rPr>
      <w:rFonts w:ascii="Calibri" w:hAnsi="Calibri"/>
      <w:sz w:val="22"/>
      <w:szCs w:val="22"/>
    </w:rPr>
  </w:style>
  <w:style w:type="paragraph" w:styleId="P11">
    <w:name w:val="Rubrik1"/>
    <w:basedOn w:val="P0"/>
    <w:next w:val="P12"/>
    <w:pPr>
      <w:keepNext w:val="1"/>
      <w:spacing w:before="240" w:after="120" w:beforeAutospacing="0" w:afterAutospacing="0"/>
    </w:pPr>
    <w:rPr>
      <w:rFonts w:ascii="Arial" w:hAnsi="Arial" w:cs="Tahoma" w:eastAsia="MS Mincho"/>
      <w:sz w:val="28"/>
      <w:szCs w:val="28"/>
    </w:rPr>
  </w:style>
  <w:style w:type="paragraph" w:styleId="P12">
    <w:name w:val="Body Text"/>
    <w:basedOn w:val="P0"/>
    <w:pPr>
      <w:spacing w:after="119" w:beforeAutospacing="0" w:afterAutospacing="0"/>
    </w:pPr>
    <w:rPr>
      <w:rFonts w:cs="Arial"/>
      <w:bCs w:val="1"/>
      <w:color w:val="FFFFFF"/>
    </w:rPr>
  </w:style>
  <w:style w:type="paragraph" w:styleId="P13">
    <w:name w:val="List"/>
    <w:basedOn w:val="P12"/>
    <w:pPr/>
    <w:rPr>
      <w:rFonts w:cs="Tahoma"/>
    </w:rPr>
  </w:style>
  <w:style w:type="paragraph" w:styleId="P14">
    <w:name w:val="Bildtext"/>
    <w:basedOn w:val="P0"/>
    <w:pPr>
      <w:suppressLineNumbers w:val="1"/>
      <w:spacing w:before="120" w:after="120" w:beforeAutospacing="0" w:afterAutospacing="0"/>
    </w:pPr>
    <w:rPr>
      <w:rFonts w:cs="Tahoma"/>
      <w:i w:val="1"/>
      <w:iCs w:val="1"/>
    </w:rPr>
  </w:style>
  <w:style w:type="paragraph" w:styleId="P15">
    <w:name w:val="Förteckning"/>
    <w:basedOn w:val="P0"/>
    <w:pPr>
      <w:suppressLineNumbers w:val="1"/>
    </w:pPr>
    <w:rPr>
      <w:rFonts w:cs="Tahoma"/>
    </w:rPr>
  </w:style>
  <w:style w:type="paragraph" w:styleId="P16">
    <w:name w:val="Title"/>
    <w:basedOn w:val="P11"/>
    <w:next w:val="P17"/>
    <w:qFormat/>
    <w:pPr>
      <w:ind w:left="142" w:right="3941"/>
    </w:pPr>
    <w:rPr>
      <w:sz w:val="36"/>
      <w:spacing w:val="20"/>
    </w:rPr>
  </w:style>
  <w:style w:type="paragraph" w:styleId="P17">
    <w:name w:val="Subtitle"/>
    <w:basedOn w:val="P11"/>
    <w:next w:val="P12"/>
    <w:qFormat/>
    <w:pPr>
      <w:jc w:val="center"/>
    </w:pPr>
    <w:rPr>
      <w:i w:val="1"/>
      <w:iCs w:val="1"/>
    </w:rPr>
  </w:style>
  <w:style w:type="paragraph" w:styleId="P18">
    <w:name w:val="Footer"/>
    <w:basedOn w:val="P0"/>
    <w:pPr>
      <w:tabs>
        <w:tab w:val="right" w:pos="9072" w:leader="none"/>
      </w:tabs>
      <w:ind w:right="0"/>
    </w:pPr>
    <w:rPr/>
  </w:style>
  <w:style w:type="paragraph" w:styleId="P19">
    <w:name w:val="Raminnehåll"/>
    <w:basedOn w:val="P12"/>
    <w:pPr>
      <w:spacing w:before="57" w:after="57" w:beforeAutospacing="0" w:afterAutospacing="0"/>
      <w:ind w:left="57" w:right="57"/>
    </w:pPr>
    <w:rPr>
      <w:color w:val="000000"/>
    </w:rPr>
  </w:style>
  <w:style w:type="paragraph" w:styleId="P20">
    <w:name w:val="Header"/>
    <w:basedOn w:val="P0"/>
    <w:pPr>
      <w:suppressLineNumbers w:val="1"/>
      <w:tabs>
        <w:tab w:val="center" w:pos="4080" w:leader="none"/>
        <w:tab w:val="right" w:pos="8160" w:leader="none"/>
      </w:tabs>
    </w:pPr>
    <w:rPr/>
  </w:style>
  <w:style w:type="paragraph" w:styleId="P21">
    <w:name w:val="Tabellinnehåll"/>
    <w:basedOn w:val="P0"/>
    <w:pPr>
      <w:suppressLineNumbers w:val="1"/>
    </w:pPr>
    <w:rPr/>
  </w:style>
  <w:style w:type="paragraph" w:styleId="P22">
    <w:name w:val="Tabellrubrik"/>
    <w:basedOn w:val="P21"/>
    <w:pPr>
      <w:jc w:val="center"/>
    </w:pPr>
    <w:rPr>
      <w:b w:val="1"/>
      <w:bCs w:val="1"/>
    </w:rPr>
  </w:style>
  <w:style w:type="paragraph" w:styleId="P23">
    <w:name w:val="RUBRIK1"/>
    <w:basedOn w:val="P0"/>
    <w:pPr>
      <w:tabs>
        <w:tab w:val="left" w:pos="0" w:leader="none"/>
      </w:tabs>
      <w:spacing w:lineRule="atLeast" w:line="100" w:before="227" w:after="57" w:beforeAutospacing="0" w:afterAutospacing="0"/>
    </w:pPr>
    <w:rPr>
      <w:rFonts w:ascii="Arial" w:hAnsi="Arial"/>
      <w:b w:val="1"/>
      <w:bCs w:val="1"/>
      <w:sz w:val="28"/>
      <w:szCs w:val="28"/>
    </w:rPr>
  </w:style>
  <w:style w:type="paragraph" w:styleId="P24">
    <w:name w:val="SAMMANFATTNING"/>
    <w:basedOn w:val="P0"/>
    <w:pPr>
      <w:tabs>
        <w:tab w:val="left" w:pos="0" w:leader="none"/>
      </w:tabs>
      <w:spacing w:lineRule="atLeast" w:line="200" w:beforeAutospacing="0" w:afterAutospacing="0"/>
    </w:pPr>
    <w:rPr>
      <w:rFonts w:ascii="Garamond" w:hAnsi="Garamond"/>
      <w:i w:val="1"/>
      <w:iCs w:val="1"/>
    </w:rPr>
  </w:style>
  <w:style w:type="paragraph" w:styleId="P25">
    <w:name w:val="DOKUMENTTITEL"/>
    <w:basedOn w:val="P4"/>
    <w:pPr>
      <w:numPr>
        <w:numId w:val="0"/>
      </w:numPr>
      <w:tabs>
        <w:tab w:val="left" w:pos="0" w:leader="none"/>
      </w:tabs>
    </w:pPr>
    <w:rPr>
      <w:rFonts w:cs="Times New Roman"/>
      <w:sz w:val="36"/>
      <w:szCs w:val="56"/>
      <w:spacing w:val="80"/>
    </w:rPr>
  </w:style>
  <w:style w:type="paragraph" w:styleId="P26">
    <w:name w:val="DETALJPLANENAMN"/>
    <w:basedOn w:val="P2"/>
    <w:pPr>
      <w:numPr>
        <w:numId w:val="0"/>
      </w:numPr>
      <w:tabs>
        <w:tab w:val="left" w:pos="0" w:leader="none"/>
      </w:tabs>
      <w:spacing w:lineRule="auto" w:line="360" w:beforeAutospacing="0" w:afterAutospacing="0"/>
    </w:pPr>
    <w:rPr>
      <w:b w:val="0"/>
      <w:bCs w:val="1"/>
      <w:sz w:val="40"/>
      <w:szCs w:val="32"/>
      <w:spacing w:val="60"/>
    </w:rPr>
  </w:style>
  <w:style w:type="paragraph" w:styleId="P27">
    <w:name w:val="Balloon Text"/>
    <w:basedOn w:val="P0"/>
    <w:link w:val="C38"/>
    <w:pPr/>
    <w:rPr>
      <w:rFonts w:ascii="Tahoma" w:hAnsi="Tahoma" w:cs="Tahoma"/>
      <w:sz w:val="16"/>
      <w:szCs w:val="16"/>
    </w:rPr>
  </w:style>
  <w:style w:type="paragraph" w:styleId="P28">
    <w:name w:val="RUBRIK2"/>
    <w:basedOn w:val="P5"/>
    <w:pPr>
      <w:numPr>
        <w:numId w:val="0"/>
      </w:numPr>
      <w:tabs>
        <w:tab w:val="left" w:pos="0" w:leader="none"/>
      </w:tabs>
      <w:spacing w:before="170" w:after="57" w:beforeAutospacing="0" w:afterAutospacing="0"/>
    </w:pPr>
    <w:rPr>
      <w:rFonts w:ascii="Arial" w:hAnsi="Arial"/>
    </w:rPr>
  </w:style>
  <w:style w:type="paragraph" w:styleId="P29">
    <w:name w:val="RUBRIK3"/>
    <w:basedOn w:val="P0"/>
    <w:pPr>
      <w:spacing w:before="170" w:after="57" w:beforeAutospacing="0" w:afterAutospacing="0"/>
    </w:pPr>
    <w:rPr>
      <w:rFonts w:ascii="Arial" w:hAnsi="Arial"/>
      <w:b w:val="1"/>
      <w:i w:val="1"/>
      <w:iCs w:val="1"/>
      <w:sz w:val="22"/>
    </w:rPr>
  </w:style>
  <w:style w:type="paragraph" w:styleId="P30">
    <w:name w:val="Rubrik 10"/>
    <w:basedOn w:val="P11"/>
    <w:next w:val="P12"/>
    <w:pPr>
      <w:numPr>
        <w:numId w:val="2"/>
      </w:numPr>
    </w:pPr>
    <w:rPr>
      <w:b w:val="1"/>
      <w:bCs w:val="1"/>
      <w:sz w:val="21"/>
      <w:szCs w:val="21"/>
    </w:rPr>
  </w:style>
  <w:style w:type="paragraph" w:styleId="P31">
    <w:name w:val="DETALJPLANENS NAMN"/>
    <w:basedOn w:val="P2"/>
    <w:pPr>
      <w:numPr>
        <w:numId w:val="0"/>
      </w:numPr>
      <w:tabs>
        <w:tab w:val="left" w:pos="0" w:leader="none"/>
      </w:tabs>
      <w:spacing w:lineRule="auto" w:line="360" w:beforeAutospacing="0" w:afterAutospacing="0"/>
    </w:pPr>
    <w:rPr>
      <w:b w:val="0"/>
      <w:bCs w:val="1"/>
      <w:szCs w:val="32"/>
    </w:rPr>
  </w:style>
  <w:style w:type="paragraph" w:styleId="P32">
    <w:name w:val="Normal (Web)"/>
    <w:basedOn w:val="P0"/>
    <w:pPr>
      <w:spacing w:before="100" w:after="119" w:beforeAutospacing="1" w:afterAutospacing="0"/>
      <w:ind w:right="0"/>
    </w:pPr>
    <w:rPr>
      <w:lang w:eastAsia="sv-SE"/>
    </w:rPr>
  </w:style>
  <w:style w:type="paragraph" w:styleId="P33">
    <w:name w:val="SidhuvudSid1"/>
    <w:pPr/>
    <w:rPr>
      <w:rFonts w:ascii="Arial" w:hAnsi="Arial"/>
      <w:sz w:val="16"/>
      <w:szCs w:val="24"/>
    </w:rPr>
  </w:style>
  <w:style w:type="paragraph" w:styleId="P34">
    <w:name w:val="löptext"/>
    <w:basedOn w:val="P0"/>
    <w:pPr>
      <w:widowControl w:val="0"/>
      <w:spacing w:after="120" w:beforeAutospacing="0" w:afterAutospacing="0"/>
      <w:ind w:right="1701"/>
    </w:pPr>
    <w:rPr>
      <w:szCs w:val="16"/>
      <w:lang w:eastAsia="sv-SE"/>
    </w:rPr>
  </w:style>
  <w:style w:type="paragraph" w:styleId="P35">
    <w:name w:val="TOC Heading"/>
    <w:basedOn w:val="P1"/>
    <w:next w:val="P0"/>
    <w:qFormat/>
    <w:pPr>
      <w:keepLines w:val="1"/>
      <w:numPr>
        <w:numId w:val="0"/>
      </w:numPr>
      <w:spacing w:lineRule="auto" w:line="259" w:before="240" w:beforeAutospacing="0" w:afterAutospacing="0"/>
      <w:ind w:right="0"/>
      <w:outlineLvl w:val="9"/>
    </w:pPr>
    <w:rPr>
      <w:rFonts w:asciiTheme="majorHAnsi" w:hAnsiTheme="majorHAnsi" w:cstheme="majorBidi" w:eastAsiaTheme="majorEastAsia"/>
      <w:color w:val="2F5496" w:themeColor="accent1" w:themeShade="BF"/>
      <w:szCs w:val="32"/>
      <w:spacing w:val="0"/>
      <w:lang w:eastAsia="sv-SE"/>
    </w:rPr>
  </w:style>
  <w:style w:type="paragraph" w:styleId="P36">
    <w:name w:val="TOC 1"/>
    <w:basedOn w:val="P0"/>
    <w:next w:val="P0"/>
    <w:pPr>
      <w:tabs>
        <w:tab w:val="right" w:pos="9275" w:leader="dot"/>
      </w:tabs>
      <w:spacing w:after="100" w:beforeAutospacing="0" w:afterAutospacing="0"/>
      <w:ind w:right="3941"/>
    </w:pPr>
    <w:rPr/>
  </w:style>
  <w:style w:type="paragraph" w:styleId="P37">
    <w:name w:val="TOC 2"/>
    <w:basedOn w:val="P0"/>
    <w:next w:val="P0"/>
    <w:pPr>
      <w:tabs>
        <w:tab w:val="right" w:pos="9275" w:leader="dot"/>
      </w:tabs>
      <w:spacing w:after="100" w:beforeAutospacing="0" w:afterAutospacing="0"/>
      <w:ind w:left="238" w:right="1916"/>
    </w:pPr>
    <w:rPr/>
  </w:style>
  <w:style w:type="paragraph" w:styleId="P38">
    <w:name w:val="TOC 3"/>
    <w:basedOn w:val="P0"/>
    <w:next w:val="P0"/>
    <w:pPr>
      <w:spacing w:after="100" w:beforeAutospacing="0" w:afterAutospacing="0"/>
      <w:ind w:left="480"/>
    </w:pPr>
    <w:rPr/>
  </w:style>
  <w:style w:type="paragraph" w:styleId="P39">
    <w:name w:val="annotation text"/>
    <w:basedOn w:val="P0"/>
    <w:link w:val="C40"/>
    <w:pPr/>
    <w:rPr>
      <w:sz w:val="20"/>
      <w:szCs w:val="20"/>
    </w:rPr>
  </w:style>
  <w:style w:type="paragraph" w:styleId="P40">
    <w:name w:val="annotation subject"/>
    <w:basedOn w:val="P39"/>
    <w:next w:val="P39"/>
    <w:link w:val="C41"/>
    <w:pPr/>
    <w:rPr>
      <w:b w:val="1"/>
      <w:bCs w:val="1"/>
    </w:rPr>
  </w:style>
  <w:style w:type="paragraph" w:styleId="P41">
    <w:name w:val="paragraph"/>
    <w:basedOn w:val="P0"/>
    <w:pPr>
      <w:spacing w:before="100" w:after="100" w:beforeAutospacing="1" w:afterAutospacing="1"/>
      <w:ind w:right="0"/>
    </w:pPr>
    <w:rPr>
      <w:lang w:eastAsia="sv-SE"/>
    </w:rPr>
  </w:style>
  <w:style w:type="paragraph" w:styleId="P42">
    <w:name w:val="List Paragraph"/>
    <w:basedOn w:val="P0"/>
    <w:qFormat/>
    <w:pPr>
      <w:ind w:left="720"/>
      <w:contextualSpacing w:val="1"/>
    </w:pPr>
    <w:rPr/>
  </w:style>
  <w:style w:type="paragraph" w:styleId="P43">
    <w:name w:val="Footnote Text"/>
    <w:link w:val="C46"/>
    <w:semiHidden/>
    <w:pPr>
      <w:spacing w:lineRule="auto" w:line="240" w:after="0" w:beforeAutospacing="0" w:afterAutospacing="0"/>
    </w:pPr>
    <w:rPr>
      <w:sz w:val="20"/>
      <w:szCs w:val="20"/>
    </w:rPr>
  </w:style>
  <w:style w:type="paragraph" w:styleId="P44">
    <w:name w:val="Endnote Text"/>
    <w:link w:val="C48"/>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WW8Num3z0"/>
    <w:rPr>
      <w:rFonts w:ascii="Symbol" w:hAnsi="Symbol"/>
    </w:rPr>
  </w:style>
  <w:style w:type="character" w:styleId="C4">
    <w:name w:val="WW8Num4z1"/>
    <w:rPr>
      <w:rFonts w:ascii="Symbol" w:hAnsi="Symbol" w:cs="StarSymbol"/>
      <w:sz w:val="18"/>
      <w:szCs w:val="18"/>
    </w:rPr>
  </w:style>
  <w:style w:type="character" w:styleId="C5">
    <w:name w:val="WW-Absatz-Standardschriftart"/>
    <w:rPr/>
  </w:style>
  <w:style w:type="character" w:styleId="C6">
    <w:name w:val="WW8Num2z0"/>
    <w:rPr>
      <w:rFonts w:ascii="Symbol" w:hAnsi="Symbol"/>
    </w:rPr>
  </w:style>
  <w:style w:type="character" w:styleId="C7">
    <w:name w:val="WW8Num3z1"/>
    <w:rPr>
      <w:rFonts w:ascii="Symbol" w:hAnsi="Symbol" w:cs="StarSymbol"/>
      <w:sz w:val="18"/>
      <w:szCs w:val="18"/>
    </w:rPr>
  </w:style>
  <w:style w:type="character" w:styleId="C8">
    <w:name w:val="WW-Absatz-Standardschriftart1"/>
    <w:rPr/>
  </w:style>
  <w:style w:type="character" w:styleId="C9">
    <w:name w:val="WW8Num1z1"/>
    <w:rPr>
      <w:rFonts w:ascii="Courier New" w:hAnsi="Courier New"/>
    </w:rPr>
  </w:style>
  <w:style w:type="character" w:styleId="C10">
    <w:name w:val="WW-Absatz-Standardschriftart11"/>
    <w:rPr/>
  </w:style>
  <w:style w:type="character" w:styleId="C11">
    <w:name w:val="WW-Absatz-Standardschriftart111"/>
    <w:rPr/>
  </w:style>
  <w:style w:type="character" w:styleId="C12">
    <w:name w:val="WW-Absatz-Standardschriftart1111"/>
    <w:rPr/>
  </w:style>
  <w:style w:type="character" w:styleId="C13">
    <w:name w:val="WW-Absatz-Standardschriftart11111"/>
    <w:rPr/>
  </w:style>
  <w:style w:type="character" w:styleId="C14">
    <w:name w:val="WW-Absatz-Standardschriftart111111"/>
    <w:rPr/>
  </w:style>
  <w:style w:type="character" w:styleId="C15">
    <w:name w:val="WW-Absatz-Standardschriftart1111111"/>
    <w:rPr/>
  </w:style>
  <w:style w:type="character" w:styleId="C16">
    <w:name w:val="WW-Absatz-Standardschriftart11111111"/>
    <w:rPr/>
  </w:style>
  <w:style w:type="character" w:styleId="C17">
    <w:name w:val="WW-Absatz-Standardschriftart111111111"/>
    <w:rPr/>
  </w:style>
  <w:style w:type="character" w:styleId="C18">
    <w:name w:val="WW-Absatz-Standardschriftart1111111111"/>
    <w:rPr/>
  </w:style>
  <w:style w:type="character" w:styleId="C19">
    <w:name w:val="WW-Absatz-Standardschriftart11111111111"/>
    <w:rPr/>
  </w:style>
  <w:style w:type="character" w:styleId="C20">
    <w:name w:val="WW-Absatz-Standardschriftart111111111111"/>
    <w:rPr/>
  </w:style>
  <w:style w:type="character" w:styleId="C21">
    <w:name w:val="WW-Absatz-Standardschriftart1111111111111"/>
    <w:rPr/>
  </w:style>
  <w:style w:type="character" w:styleId="C22">
    <w:name w:val="WW-Absatz-Standardschriftart11111111111111"/>
    <w:rPr/>
  </w:style>
  <w:style w:type="character" w:styleId="C23">
    <w:name w:val="WW-Absatz-Standardschriftart111111111111111"/>
    <w:rPr/>
  </w:style>
  <w:style w:type="character" w:styleId="C24">
    <w:name w:val="Standardstycketeckensnitt1"/>
    <w:rPr/>
  </w:style>
  <w:style w:type="character" w:styleId="C25">
    <w:name w:val="WW-Absatz-Standardschriftart1111111111111111"/>
    <w:rPr/>
  </w:style>
  <w:style w:type="character" w:styleId="C26">
    <w:name w:val="WW-Absatz-Standardschriftart11111111111111111"/>
    <w:rPr/>
  </w:style>
  <w:style w:type="character" w:styleId="C27">
    <w:name w:val="WW-Standardstycketeckensnitt"/>
    <w:rPr/>
  </w:style>
  <w:style w:type="character" w:styleId="C28">
    <w:name w:val="WW8Num1z0"/>
    <w:rPr>
      <w:rFonts w:ascii="Symbol" w:hAnsi="Symbol"/>
    </w:rPr>
  </w:style>
  <w:style w:type="character" w:styleId="C29">
    <w:name w:val="WW8Num1z2"/>
    <w:rPr>
      <w:rFonts w:ascii="Wingdings" w:hAnsi="Wingdings"/>
    </w:rPr>
  </w:style>
  <w:style w:type="character" w:styleId="C30">
    <w:name w:val="WW8Num2z1"/>
    <w:rPr>
      <w:rFonts w:ascii="Courier New" w:hAnsi="Courier New"/>
    </w:rPr>
  </w:style>
  <w:style w:type="character" w:styleId="C31">
    <w:name w:val="WW8Num2z2"/>
    <w:rPr>
      <w:rFonts w:ascii="Wingdings" w:hAnsi="Wingdings"/>
    </w:rPr>
  </w:style>
  <w:style w:type="character" w:styleId="C32">
    <w:name w:val="WW-Standardstycketeckensnitt1"/>
    <w:rPr/>
  </w:style>
  <w:style w:type="character" w:styleId="C33">
    <w:name w:val="Page Number"/>
    <w:basedOn w:val="C32"/>
    <w:rPr/>
  </w:style>
  <w:style w:type="character" w:styleId="C34">
    <w:name w:val="Punktuppställning"/>
    <w:rPr>
      <w:rFonts w:ascii="StarSymbol" w:hAnsi="StarSymbol" w:cs="StarSymbol" w:eastAsia="StarSymbol"/>
      <w:sz w:val="18"/>
      <w:szCs w:val="18"/>
    </w:rPr>
  </w:style>
  <w:style w:type="character" w:styleId="C35">
    <w:name w:val="Numreringstecken"/>
    <w:rPr/>
  </w:style>
  <w:style w:type="character" w:styleId="C36">
    <w:name w:val="Platshållare"/>
    <w:rPr>
      <w:smallCaps w:val="1"/>
      <w:color w:val="008080"/>
      <w:u w:val="dotted"/>
    </w:rPr>
  </w:style>
  <w:style w:type="character" w:styleId="C37">
    <w:name w:val="Inget avstånd Char"/>
    <w:link w:val="P10"/>
    <w:rPr>
      <w:rFonts w:ascii="Calibri" w:hAnsi="Calibri"/>
      <w:sz w:val="22"/>
      <w:szCs w:val="22"/>
    </w:rPr>
  </w:style>
  <w:style w:type="character" w:styleId="C38">
    <w:name w:val="Ballongtext Char"/>
    <w:link w:val="P27"/>
    <w:rPr>
      <w:rFonts w:ascii="Tahoma" w:hAnsi="Tahoma" w:cs="Tahoma"/>
      <w:sz w:val="16"/>
      <w:szCs w:val="16"/>
      <w:lang w:eastAsia="ar-SA"/>
    </w:rPr>
  </w:style>
  <w:style w:type="character" w:styleId="C39">
    <w:name w:val="annotation reference"/>
    <w:basedOn w:val="C0"/>
    <w:rPr>
      <w:sz w:val="16"/>
      <w:szCs w:val="16"/>
    </w:rPr>
  </w:style>
  <w:style w:type="character" w:styleId="C40">
    <w:name w:val="Kommentarer Char"/>
    <w:basedOn w:val="C0"/>
    <w:link w:val="P39"/>
    <w:rPr>
      <w:lang w:eastAsia="ar-SA"/>
    </w:rPr>
  </w:style>
  <w:style w:type="character" w:styleId="C41">
    <w:name w:val="Kommentarsämne Char"/>
    <w:basedOn w:val="C40"/>
    <w:link w:val="P40"/>
    <w:rPr>
      <w:b w:val="1"/>
      <w:bCs w:val="1"/>
      <w:lang w:eastAsia="ar-SA"/>
    </w:rPr>
  </w:style>
  <w:style w:type="character" w:styleId="C42">
    <w:name w:val="normaltextrun"/>
    <w:basedOn w:val="C0"/>
    <w:rPr/>
  </w:style>
  <w:style w:type="character" w:styleId="C43">
    <w:name w:val="eop"/>
    <w:basedOn w:val="C0"/>
    <w:rPr/>
  </w:style>
  <w:style w:type="character" w:styleId="C44">
    <w:name w:val="Rubrik 4 Char"/>
    <w:basedOn w:val="C0"/>
    <w:link w:val="P4"/>
    <w:rPr>
      <w:rFonts w:ascii="Arial" w:hAnsi="Arial" w:cs="Arial"/>
      <w:i w:val="1"/>
      <w:sz w:val="22"/>
      <w:szCs w:val="24"/>
      <w:lang w:eastAsia="ar-SA"/>
    </w:rPr>
  </w:style>
  <w:style w:type="character" w:styleId="C45">
    <w:name w:val="Footnote Reference"/>
    <w:semiHidden/>
    <w:rPr>
      <w:vertAlign w:val="superscript"/>
    </w:rPr>
  </w:style>
  <w:style w:type="character" w:styleId="C46">
    <w:name w:val="Footnote Text Char"/>
    <w:link w:val="P43"/>
    <w:semiHidden/>
    <w:rPr>
      <w:sz w:val="20"/>
      <w:szCs w:val="20"/>
    </w:rPr>
  </w:style>
  <w:style w:type="character" w:styleId="C47">
    <w:name w:val="Endnote Reference"/>
    <w:semiHidden/>
    <w:rPr>
      <w:vertAlign w:val="superscript"/>
    </w:rPr>
  </w:style>
  <w:style w:type="character" w:styleId="C48">
    <w:name w:val="Endnote Text Char"/>
    <w:link w:val="P4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ind w:right="394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7" Type="http://schemas.openxmlformats.org/officeDocument/2006/relationships/image" Target="/media/image7.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Detaljplanens syfte</tema>
      <grupp>Syfte</grupp>
    </Indelning>
  </Omfattning>
  <Omfattning>
    <identitet>pf_hushållningsbestämmelserenl3kap_mb01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Hushållningsbestämmelser enligt 3 kap. miljöbalken</grupp>
    </Indelning>
  </Omfattning>
  <Omfattning>
    <identitet>pf_miljökvalitetsnormer01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Miljökvalitetsnormer</grupp>
    </Indelning>
  </Omfattning>
  <Omfattning>
    <identitet>pu_särskiltbeslutombetydandemiljöpåver01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Planeringsunderlag</tema>
      <grupp>Kommunala</grupp>
      <undergrupp>Särskilt beslut om betydande miljöpåverkan</undergrupp>
    </Indelning>
  </Omfattning>
  <Omfattning>
    <identitet>ko_ställningstagande4kap33b_pbl01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Miljö</grupp>
      <undergrupp>Ställningstagande 4 kap. 33 b § plan- och bygglagen (2010:900)</undergrupp>
    </Indelning>
  </Omfattning>
  <Omfattning>
    <identitet>be_heladetaljplan01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Hela detaljplan</grupp>
    </Indelning>
  </Omfattning>
  <Omfattning>
    <identitet>be_heladetaljplan02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Hela detaljplan</grupp>
    </Indelning>
  </Omfattning>
  <Omfattning>
    <identitet>pf_översiktsplan01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Kommunala</grupp>
      <undergrupp>Översiktsplan</undergrupp>
    </Indelning>
  </Omfattning>
  <Omfattning>
    <identitet>pf_översiktsplan02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Kommunala</grupp>
      <undergrupp>Översiktsplan</undergrupp>
    </Indelning>
  </Omfattning>
  <Omfattning>
    <identitet>pf_detaljplan01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Kommunala</grupp>
      <undergrupp>Detaljplan</undergrupp>
    </Indelning>
  </Omfattning>
  <Omfattning>
    <identitet>pf_strategiförhållbartbyggande01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Annat</grupp>
      <undergrupp>Strategi för hållbart byggande</undergrupp>
    </Indelning>
  </Omfattning>
  <Omfattning>
    <identitet>pf_dagvattenstrategi01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Annat</grupp>
      <undergrupp>Dagvattenstrategi</undergrupp>
    </Indelning>
  </Omfattning>
  <Omfattning>
    <identitet>pf_natur01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Fysisk miljö</grupp>
      <undergrupp>Natur</undergrupp>
    </Indelning>
  </Omfattning>
  <Omfattning>
    <identitet>pf_geotekniskaförhållanden01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Geotekniska förhållanden</grupp>
    </Indelning>
  </Omfattning>
  <Omfattning>
    <identitet>pf_förorenadmark01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Hälsa och säkerhet</grupp>
      <undergrupp>Förorenad mark</undergrupp>
    </Indelning>
  </Omfattning>
  <Omfattning>
    <identitet>pf_radon01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Geotekniska förhållanden</grupp>
      <undergrupp>Radon</undergrupp>
    </Indelning>
  </Omfattning>
  <Omfattning>
    <identitet>pf_riskföröversvämning01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Hälsa och säkerhet</grupp>
      <undergrupp>Risk för översvämning</undergrupp>
    </Indelning>
  </Omfattning>
  <Omfattning>
    <identitet>pf_fornlämningar01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Kulturmiljö</grupp>
      <undergrupp>Fornlämningar</undergrupp>
    </Indelning>
  </Omfattning>
  <Omfattning>
    <identitet>be_bostäder01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Kvartersmark</grupp>
      <undergrupp>Bostäder (B)</undergrupp>
    </Indelning>
  </Omfattning>
  <Omfattning>
    <identitet>be_befintligt01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Befintligt</grupp>
    </Indelning>
  </Omfattning>
  <Omfattning>
    <identitet>pf_service01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Service</grupp>
    </Indelning>
  </Omfattning>
  <Omfattning>
    <identitet>pf_sociala01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Sociala</grupp>
    </Indelning>
  </Omfattning>
  <Omfattning>
    <identitet>mo_motivtillreglering02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38c86da3-075f-49fc-8f09-07046535bb4c_f0">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interior>
            <gml:LinearRing>
              <gml:posList>6719901.468 146221.625 6719903.912 146211.608 6719905.219 146206.252 6719861.917 146176.517 6719797.054 146256.856 6719837.187 146284.696 6719842.963 146281.832 6719872.272 146229.478 6719876.22 146230.232 6719900.029 146223.657 6719901.468 146221.625</gml:posList>
            </gml:LinearRing>
          </gml:interior>
          <gml:interior>
            <gml:LinearRing>
              <gml:posList>6719875.062 146236.776 6719855.402 146271.894 6719847.493 146286.281 6719848.748 146287.237 6719868.858 146277.713 6719898.301 146234.602 6719899.411 146230.055 6719875.062 146236.776</gml:posList>
            </gml:LinearRing>
          </gml:interior>
        </gml:Polygon>
      </lmg:Position>
    </lmg:Ytgeometri>
    <objektreferens>38c86da3-075f-49fc-8f09-07046535bb4c</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7582d668-b424-4a6e-acb0-c31e10b99af6_f0">
          <gml:exterior>
            <gml:LinearRing>
              <gml:posList>6719901.468 146221.625 6719900.029 146223.657 6719876.22 146230.232 6719872.272 146229.478 6719842.963 146281.832 6719837.187 146284.696 6719797.054 146256.856 6719861.917 146176.517 6719905.219 146206.252 6719903.912 146211.608 6719901.468 146221.625</gml:posList>
            </gml:LinearRing>
          </gml:exterior>
        </gml:Polygon>
      </lmg:Position>
    </lmg:Ytgeometri>
    <objektreferens>7582d668-b424-4a6e-acb0-c31e10b99af6</objektreferens>
    <Indelning>
      <tema>Motiv till detaljplanens regleringar</tema>
      <grupp>Motiv till reglering</grupp>
    </Indelning>
  </Omfattning>
  <Omfattning>
    <identitet>be_bostäder02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Kvartersmark</grupp>
      <undergrupp>Bostäder (B)</undergrupp>
    </Indelning>
  </Omfattning>
  <Omfattning>
    <identitet>be_bostäder03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Kvartersmark</grupp>
      <undergrupp>Bostäder (B)</undergrupp>
    </Indelning>
  </Omfattning>
  <Omfattning>
    <identitet>pf_natur02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Fysisk miljö</grupp>
      <undergrupp>Natur</undergrupp>
    </Indelning>
  </Omfattning>
  <Omfattning>
    <identitet>ko_jämlikhet01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Sociala</grupp>
      <undergrupp>Jämlikhet</undergrupp>
    </Indelning>
  </Omfattning>
  <Omfattning>
    <identitet>pf_gångochcykel01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Trafik</grupp>
      <undergrupp>Gång- och cykel</undergrupp>
    </Indelning>
  </Omfattning>
  <Omfattning>
    <identitet>pf_biltrafik01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Trafik</grupp>
      <undergrupp>Biltrafik</undergrupp>
    </Indelning>
  </Omfattning>
  <Omfattning>
    <identitet>pf_gångochcykel02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Trafik</grupp>
      <undergrupp>Gång- och cykel</undergrupp>
    </Indelning>
  </Omfattning>
  <Omfattning>
    <identitet>pf_kollektivtrafik01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Trafik</grupp>
      <undergrupp>Kollektivtrafik</undergrupp>
    </Indelning>
  </Omfattning>
  <Omfattning>
    <identitet>ko_parkeringvarumottagningutfarter01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Trafik</grupp>
      <undergrupp>Parkering, varumottagning, utfarter</undergrupp>
    </Indelning>
  </Omfattning>
  <Omfattning>
    <identitet>pf_omgivningsbuller01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Hälsa och säkerhet</grupp>
      <undergrupp>Omgivningsbuller</undergrupp>
    </Indelning>
  </Omfattning>
  <Omfattning>
    <identitet>ko_beräkningavomgivningsbuller01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Hälsa och säkerhet</grupp>
      <undergrupp>Beräkning av omgivningsbuller</undergrupp>
    </Indelning>
  </Omfattning>
  <Omfattning>
    <identitet>pf_riskförolyckor01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Hälsa och säkerhet</grupp>
      <undergrupp>Risk för olyckor</undergrupp>
    </Indelning>
  </Omfattning>
  <Omfattning>
    <identitet>pf_riskförolyckor02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Hälsa och säkerhet</grupp>
      <undergrupp>Risk för olyckor</undergrupp>
    </Indelning>
  </Omfattning>
  <Omfattning>
    <identitet>pf_vattenochavloppp01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Teknik</grupp>
      <undergrupp>Vatten och avloppp</undergrupp>
    </Indelning>
  </Omfattning>
  <Omfattning>
    <identitet>mo_motivtillreglering05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6719886.534 146227.72 6719891.402 146227.72 6719891.402 146231.595 6719886.534 146231.595 6719886.534 146227.72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6719886.534 146227.72 6719891.402 146227.72 6719891.402 146231.595 6719886.534 146231.595 6719886.534 146227.72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6719886.534 146227.72 6719891.402 146227.72 6719891.402 146231.595 6719886.534 146231.595 6719886.534 146227.72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e2447722-f712-4893-89f4-eda3df00ae60_f0">
          <gml:exterior>
            <gml:LinearRing>
              <gml:posList>6719906.278 146214.832 6719906.244 146214.986 6719902.782 146229.124 6719899.411 146230.055 6719875.062 146236.776 6719878.484 146230.664 6719876.22 146230.232 6719900.029 146223.657 6719901.468 146221.625 6719906.278 146214.832</gml:posList>
            </gml:LinearRing>
          </gml:exterior>
        </gml:Polygon>
      </lmg:Position>
    </lmg:Ytgeometri>
    <objektreferens>e2447722-f712-4893-89f4-eda3df00ae60</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6719856.372 146259.547 6719861.24 146259.547 6719861.24 146263.422 6719856.372 146263.422 6719856.372 146259.547</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8e357fc0-414b-4036-8daf-24c3a6f56e0e_f0">
          <gml:exterior>
            <gml:LinearRing>
              <gml:posList>6719876.22 146230.232 6719878.484 146230.664 6719875.062 146236.776 6719855.402 146271.894 6719847.493 146286.281 6719838.776 146290.703 6719833.069 146286.738 6719837.187 146284.696 6719842.963 146281.832 6719872.272 146229.478 6719876.22 146230.232</gml:posList>
            </gml:LinearRing>
          </gml:exterior>
        </gml:Polygon>
      </lmg:Position>
    </lmg:Ytgeometri>
    <objektreferens>8e357fc0-414b-4036-8daf-24c3a6f56e0e</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6719854.144 146167.401 6719859.012 146167.401 6719859.012 146171.276 6719854.144 146171.276 6719854.144 146167.401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6719848.597 146183.372 6719853.465 146183.372 6719853.465 146187.247 6719848.597 146187.247 6719848.597 146183.372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6719848.295 146188.858 6719843.427 146188.858 6719843.427 146184.983 6719845.803 146184.983 6719842.809 146177.983 6719842.906 146177.942 6719845.909 146184.962 6719845.861 146184.983 6719848.295 146184.983 6719848.295 146188.858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aba0b57-96f0-411f-8c05-99c71c4baa78_f0">
          <gml:exterior>
            <gml:LinearRing>
              <gml:posList>6719854.912 146164.408 6719860.343 146168.146 6719863.469 146170.296 6719856.333 146173.117 6719850.974 146172.544 6719843.734 146184.705 6719842.271 146183.834 6719843.61 146181.9 6719850.761 146170.423 6719854.912 146164.408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9df214f-0980-426c-88e9-4d3b7cd3bcc8_f0">
          <gml:exterior>
            <gml:LinearRing>
              <gml:posList>6719852.215 146164.796 6719852.954 146163.888 6719853.384 146163.356 6719854.912 146164.408 6719850.761 146170.423 6719843.61 146181.9 6719842.271 146183.834 6719840.548 146182.81 6719841.938 146180.801 6719849.088 146169.326 6719852.215 146164.796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e90f019-a6ef-40c7-9f42-09e3797e9ac3_f0">
          <gml:exterior>
            <gml:LinearRing>
              <gml:posList>6719840.548 146182.81 6719838.594 146181.647 6719852.215 146164.796 6719849.088 146169.326 6719841.938 146180.801 6719840.548 146182.81</gml:posList>
            </gml:LinearRing>
          </gml:exterior>
        </gml:Polygon>
      </lmg:Position>
    </lmg:Ytgeometri>
    <objektreferens>6aba0b57-96f0-411f-8c05-99c71c4baa78</objektreferens>
    <objektreferens>b9df214f-0980-426c-88e9-4d3b7cd3bcc8</objektreferens>
    <objektreferens>0e90f019-a6ef-40c7-9f42-09e3797e9ac3</objektreferens>
    <Indelning>
      <tema>Motiv till detaljplanens regleringar</tema>
      <grupp>Motiv till reglering</grupp>
    </Indelning>
  </Omfattning>
  <Omfattning>
    <identitet>pf_dagvatten01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Miljö</grupp>
      <undergrupp>Dagvatten</undergrupp>
    </Indelning>
  </Omfattning>
  <Omfattning>
    <identitet>ko_dagvatten01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Miljö</grupp>
      <undergrupp>Dagvatten</undergrupp>
    </Indelning>
  </Omfattning>
  <Omfattning>
    <identitet>pf_elitochtele01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Teknik</grupp>
      <undergrupp>El, it och tele</undergrupp>
    </Indelning>
  </Omfattning>
  <Omfattning>
    <identitet>gf_tekniskaåtgärder01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Tekniska frågor</grupp>
      <undergrupp>Tekniska åtgärder</undergrupp>
    </Indelning>
  </Omfattning>
  <Omfattning>
    <identitet>pf_avfall01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Teknik</grupp>
      <undergrupp>Avfall</undergrupp>
    </Indelning>
  </Omfattning>
  <Omfattning>
    <identitet>pf_service02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Planeringsförutsättningar</tema>
      <grupp>Service</grupp>
    </Indelning>
  </Omfattning>
  <Omfattning>
    <identitet>gf_tidplan01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Organisatoriska frågor</grupp>
      <undergrupp>Tidplan</undergrupp>
    </Indelning>
  </Omfattning>
  <Omfattning>
    <identitet>be_genomförandetid01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Genomförandetid</grupp>
    </Indelning>
  </Omfattning>
  <Omfattning>
    <identitet>be_huvudmannaskap01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Allmän plats</grupp>
      <undergrupp>Huvudmannaskap</undergrupp>
    </Indelning>
  </Omfattning>
  <Omfattning>
    <identitet>gf_fastighetsrättsligafrågor01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Fastighetsrättsliga frågor</grupp>
    </Indelning>
  </Omfattning>
  <Omfattning>
    <identitet>gf_förändradfastighetsindelning01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Fastighetsrättsliga frågor</grupp>
      <undergrupp>Förändrad fastighetsindelning</undergrupp>
    </Indelning>
  </Omfattning>
  <Omfattning>
    <identitet>gf_tekniskaåtgärder02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Tekniska frågor</grupp>
      <undergrupp>Tekniska åtgärder</undergrupp>
    </Indelning>
  </Omfattning>
  <Omfattning>
    <identitet>gf_planavgift01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Ekonomiska frågor</grupp>
      <undergrupp>Planavgift</undergrupp>
    </Indelning>
  </Omfattning>
  <Omfattning>
    <identitet>gf_avtal01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Genomförandefrågor</tema>
      <grupp>Ekonomiska frågor</grupp>
      <undergrupp>Avtal</undergrupp>
    </Indelning>
  </Omfattning>
  <Omfattning>
    <identitet>ko_annat01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Konsekvenser</tema>
      <grupp>Annat</grupp>
    </Indelning>
  </Omfattning>
  <Omfattning>
    <identitet>ko_gångochcykeltrafik01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860f93b-34cb-4cc3-8613-8c03df1a56da_f0">
          <gml:exterior>
            <gml:LinearRing>
              <gml:posList>6719842.271 146183.834 6719836.377 146192.349 6719825.456 146203.118 6719804.015 146224.404 6719805.542 146222.521 6719815.592 146210.093 6719824.05 146201.696 6719834.84 146191.057 6719840.548 146182.81 6719842.271 146183.834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1be4c28b-4177-4023-a099-53ebf0ebab9c_f0">
          <gml:exterior>
            <gml:LinearRing>
              <gml:posList>6719852.215 146164.796 6719852.954 146163.888 6719853.384 146163.356 6719854.912 146164.408 6719850.761 146170.423 6719843.61 146181.9 6719842.271 146183.834 6719840.548 146182.81 6719841.938 146180.801 6719849.088 146169.326 6719852.215 146164.796</gml:posList>
            </gml:LinearRing>
          </gml:exterior>
        </gml:Polygon>
      </lmg:Position>
    </lmg:Ytgeometri>
    <objektreferens>b860f93b-34cb-4cc3-8613-8c03df1a56da</objektreferens>
    <objektreferens>1be4c28b-4177-4023-a099-53ebf0ebab9c</objektreferens>
    <Indelning>
      <tema>Konsekvenser</tema>
      <grupp>Trafik</grupp>
      <undergrupp>Gång- och cykeltrafik</undergrupp>
    </Indelning>
  </Omfattning>
  <Omfattning>
    <identitet>pu_bullerutredning01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Planeringsunderlag</tema>
      <grupp>Utredningar</grupp>
      <undergrupp>Bullerutredning</undergrupp>
    </Indelning>
  </Omfattning>
  <Omfattning>
    <identitet>pu_dagvattenutredning01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Planeringsunderlag</tema>
      <grupp>Utredningar</grupp>
      <undergrupp>Dagvattenutredning</undergrupp>
    </Indelning>
  </Omfattning>
  <Omfattning>
    <identitet>be_ärendeinformation01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be_ärendeinformation06</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be_ärendeinformation07</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be_ärendeinformation08</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be_ärendeinformation09</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Ärendeinformation</grupp>
    </Indelning>
  </Omfattning>
  <Omfattning>
    <identitet>mo_motivtillreglering01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ad97bee-1c2d-42fc-b430-137ee9533544_f0">
          <gml:exterior>
            <gml:LinearRing>
              <gml:posList>6719901.468 146221.625 6719900.029 146223.657 6719876.22 146230.232 6719872.272 146229.478 6719842.963 146281.832 6719837.187 146284.696 6719797.054 146256.856 6719861.917 146176.517 6719905.219 146206.252 6719903.912 146211.608 6719901.468 146221.625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aaa5754-7d8f-4e98-a735-3f194ab3d498_f0">
          <gml:exterior>
            <gml:LinearRing>
              <gml:posList>6719847.493 146286.281 6719855.402 146271.894 6719875.062 146236.776 6719899.411 146230.055 6719898.301 146234.602 6719868.858 146277.713 6719848.748 146287.237 6719847.493 146286.281</gml:posList>
            </gml:LinearRing>
          </gml:exterior>
        </gml:Polygon>
      </lmg:Position>
    </lmg:Ytgeometri>
    <objektreferens>ead97bee-1c2d-42fc-b430-137ee9533544</objektreferens>
    <objektreferens>9aaa5754-7d8f-4e98-a735-3f194ab3d498</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01f3cb51-7326-4152-8dd0-aeb8ba59a38f_f0">
          <gml:exterior>
            <gml:LinearRing>
              <gml:posList>6719847.493 146286.281 6719855.402 146271.894 6719875.062 146236.776 6719899.411 146230.055 6719898.301 146234.602 6719868.858 146277.713 6719848.748 146287.237 6719847.493 146286.281</gml:posList>
            </gml:LinearRing>
          </gml:exterior>
        </gml:Polygon>
      </lmg:Position>
    </lmg:Ytgeometri>
    <objektreferens>01f3cb51-7326-4152-8dd0-aeb8ba59a38f</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46df8c89-ebf7-405f-8a9f-a2a6278ff954_f0">
          <gml:exterior>
            <gml:LinearRing>
              <gml:posList>6719847.493 146286.281 6719855.402 146271.894 6719875.062 146236.776 6719899.411 146230.055 6719898.301 146234.602 6719868.858 146277.713 6719848.748 146287.237 6719847.493 146286.281</gml:posList>
            </gml:LinearRing>
          </gml:exterior>
        </gml:Polygon>
      </lmg:Position>
    </lmg:Ytgeometri>
    <objektreferens>46df8c89-ebf7-405f-8a9f-a2a6278ff954</objektreferens>
    <Indelning>
      <tema>Motiv till detaljplanens regleringar</tema>
      <grupp>Motiv till reglering</grupp>
    </Indelning>
  </Omfattning>
  <Omfattning>
    <identitet>be_bostäder04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6719804.015 146224.404 6719805.542 146222.521 6719815.592 146210.093 6719838.594 146181.647 6719852.215 146164.796 6719852.954 146163.888 6719853.384 146163.356 6719854.912 146164.408 6719860.343 146168.146 6719863.469 146170.296 6719909.442 146201.925 6719906.877 146212.4 6719906.278 146214.832 6719906.244 146214.986 6719902.782 146229.124 6719901.118 146235.92 6719870.876 146280.129 6719842.716 146293.441 6719838.776 146290.703 6719833.069 146286.738 6719782.198 146251.39 6719803.844 146224.621 6719804.015 146224.404</gml:posList>
            </gml:LinearRing>
          </gml:exterior>
        </gml:Polygon>
      </lmg:Position>
    </lmg:Ytgeometri>
    <Indelning>
      <tema>Beskrivning av detaljplanen</tema>
      <grupp>Kvartersmark</grupp>
      <undergrupp>Bostäder (B)</undergrupp>
    </Indelning>
  </Omfattning>
</Planbeskrivning>
</file>

<file path=customXml/itemProps1.xml><?xml version="1.0" encoding="utf-8"?>
<ds:datastoreItem xmlns:ds="http://schemas.openxmlformats.org/officeDocument/2006/customXml" ds:itemID="{b73ae7cf-48c5-4d86-89b6-fd7377fc9c13}">
  <ds:schemaRefs>
    <ds:schemaRef ds:uri="http://schemas.microsoft.com/vsto/samples"/>
  </ds:schemaRefs>
</ds:datastoreItem>
</file>

<file path=customXml/itemProps2.xml><?xml version="1.0" encoding="utf-8"?>
<ds:datastoreItem xmlns:ds="http://schemas.openxmlformats.org/officeDocument/2006/customXml" ds:itemID="57876b3d-0038-4e77-9c54-23547a8582a3">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Falu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LokalAdmin</dc:creator>
  <dcterms:created xsi:type="dcterms:W3CDTF">2018-12-12T14:43:00Z</dcterms:created>
  <cp:lastModifiedBy>Johanna Wemyss</cp:lastModifiedBy>
  <cp:lastPrinted>2022-03-14T12:47:00Z</cp:lastPrinted>
  <dcterms:modified xsi:type="dcterms:W3CDTF">2023-07-07T10:15:09Z</dcterms:modified>
  <cp:revision>304</cp:revision>
  <dc:title>Planbeskrivning</dc:title>
</cp:coreProperties>
</file>