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ascii="Calibri" w:hAnsi="Calibri" w:cs="Calibri"/>
          <w:b w:val="1"/>
          <w:bCs w:val="1"/>
          <w:sz w:val="44"/>
          <w:szCs w:val="44"/>
        </w:rPr>
      </w:pPr>
      <w:bookmarkStart w:id="0" w:name="_Hlk103004653"/>
      <w:r>
        <w:rPr>
          <w:rFonts w:ascii="Calibri" w:hAnsi="Calibri" w:cs="Calibri"/>
          <w:b w:val="1"/>
          <w:bCs w:val="1"/>
          <w:sz w:val="44"/>
          <w:szCs w:val="44"/>
        </w:rPr>
        <w:t>Planbeskrivning</w:t>
      </w:r>
    </w:p>
    <w:p>
      <w:pPr>
        <w:rPr>
          <w:rFonts w:cstheme="minorHAnsi"/>
          <w:sz w:val="32"/>
          <w:szCs w:val="32"/>
        </w:rPr>
      </w:pPr>
      <w:r>
        <w:rPr>
          <w:rFonts w:cstheme="minorHAnsi"/>
          <w:sz w:val="32"/>
          <w:szCs w:val="32"/>
        </w:rPr>
        <w:t>Lagakrafthandling</w:t>
      </w:r>
    </w:p>
    <w:p>
      <w:pPr>
        <w:rPr>
          <w:rFonts w:ascii="Calibri" w:hAnsi="Calibri" w:cs="Calibri"/>
          <w:sz w:val="32"/>
          <w:szCs w:val="32"/>
        </w:rPr>
      </w:pPr>
      <w:r>
        <w:rPr>
          <w:rFonts w:ascii="Calibri" w:hAnsi="Calibri" w:cs="Calibri"/>
          <w:noProof w:val="1"/>
          <w:sz w:val="32"/>
          <w:szCs w:val="32"/>
        </w:rPr>
        <w:drawing>
          <wp:inline xmlns:wp="http://schemas.openxmlformats.org/drawingml/2006/wordprocessingDrawing" distT="0" distB="0" distL="0" distR="0">
            <wp:extent cx="5735320" cy="5334000"/>
            <wp:effectExtent l="19050" t="19050" r="17780" b="19050"/>
            <wp:docPr id="190487830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 cstate="print"/>
                    <a:srcRect l="307" t="2758" b="690"/>
                    <a:stretch>
                      <a:fillRect/>
                    </a:stretch>
                  </pic:blipFill>
                  <pic:spPr bwMode="auto">
                    <a:xfrm>
                      <a:off x="0" y="0"/>
                      <a:ext cx="5735466" cy="5334000"/>
                    </a:xfrm>
                    <a:prstGeom prst="rect"/>
                    <a:noFill/>
                    <a:ln w="6350" cmpd="sng" algn="ctr">
                      <a:solidFill>
                        <a:sysClr val="windowText"/>
                      </a:solidFill>
                      <a:prstDash val="solid"/>
                      <a:round/>
                    </a:ln>
                  </pic:spPr>
                </pic:pic>
              </a:graphicData>
            </a:graphic>
          </wp:inline>
        </w:drawing>
      </w:r>
    </w:p>
    <w:p>
      <w:pPr>
        <w:spacing w:lineRule="auto" w:line="192" w:beforeAutospacing="0" w:afterAutospacing="0"/>
        <w:rPr>
          <w:rFonts w:ascii="Calibri" w:hAnsi="Calibri" w:cs="Calibri" w:eastAsia="Arial"/>
          <w:b w:val="1"/>
          <w:bCs w:val="1"/>
          <w:sz w:val="36"/>
          <w:szCs w:val="36"/>
          <w:lang w:eastAsia="sv-SE"/>
        </w:rPr>
      </w:pPr>
      <w:r>
        <w:rPr>
          <w:rFonts w:ascii="Calibri" w:hAnsi="Calibri" w:cs="Calibri" w:eastAsia="Arial"/>
          <w:b w:val="1"/>
          <w:bCs w:val="1"/>
          <w:sz w:val="36"/>
          <w:szCs w:val="36"/>
          <w:lang w:eastAsia="sv-SE"/>
        </w:rPr>
        <w:t>Detaljplan för Ovako södra entrén</w:t>
      </w:r>
    </w:p>
    <w:p>
      <w:pPr>
        <w:rPr>
          <w:rFonts w:ascii="Calibri" w:hAnsi="Calibri" w:cs="Calibri"/>
          <w:b w:val="1"/>
          <w:bCs w:val="1"/>
          <w:sz w:val="28"/>
          <w:szCs w:val="28"/>
        </w:rPr>
      </w:pPr>
      <w:r>
        <w:rPr>
          <w:rFonts w:ascii="Calibri" w:hAnsi="Calibri" w:cs="Calibri"/>
          <w:b w:val="1"/>
          <w:bCs w:val="1"/>
          <w:sz w:val="28"/>
          <w:szCs w:val="28"/>
        </w:rPr>
        <w:t xml:space="preserve">Del av SMEDJEBACKEN 2:3, SMEDJEBACKEN 3:49 och </w:t>
      </w:r>
      <w:r>
        <w:rPr>
          <w:rStyle w:val="C16"/>
          <w:rFonts w:ascii="Calibri" w:hAnsi="Calibri" w:cs="Calibri"/>
          <w:color w:val="auto"/>
          <w:sz w:val="28"/>
          <w:szCs w:val="28"/>
        </w:rPr>
        <w:t>SMEDJEBACKEN 3:2</w:t>
      </w:r>
    </w:p>
    <w:p>
      <w:pPr>
        <w:spacing w:lineRule="auto" w:line="192" w:after="4" w:beforeAutospacing="0" w:afterAutospacing="0"/>
        <w:rPr>
          <w:rFonts w:ascii="Calibri" w:hAnsi="Calibri" w:cs="Calibri" w:eastAsia="Arial"/>
          <w:sz w:val="32"/>
          <w:szCs w:val="32"/>
          <w:lang w:eastAsia="sv-SE"/>
        </w:rPr>
      </w:pPr>
      <w:r>
        <w:rPr>
          <w:rFonts w:ascii="Calibri" w:hAnsi="Calibri" w:cs="Calibri" w:eastAsia="Arial"/>
          <w:sz w:val="32"/>
          <w:szCs w:val="32"/>
          <w:lang w:eastAsia="sv-SE"/>
        </w:rPr>
        <w:t>Smedjebackens kommun</w:t>
      </w:r>
    </w:p>
    <w:p>
      <w:pPr>
        <w:spacing w:after="4" w:beforeAutospacing="0" w:afterAutospacing="0"/>
        <w:rPr>
          <w:rFonts w:ascii="Calibri" w:hAnsi="Calibri" w:cs="Calibri" w:eastAsia="Arial"/>
          <w:color w:val="000000"/>
          <w:sz w:val="26"/>
          <w:szCs w:val="26"/>
          <w:lang w:eastAsia="sv-SE"/>
        </w:rPr>
      </w:pPr>
      <w:r>
        <w:rPr>
          <w:rFonts w:ascii="Calibri" w:hAnsi="Calibri" w:cs="Calibri" w:eastAsia="Arial"/>
          <w:color w:val="000000"/>
          <w:sz w:val="26"/>
          <w:szCs w:val="26"/>
          <w:lang w:eastAsia="sv-SE"/>
        </w:rPr>
        <w:t>Standardförfarande</w:t>
      </w:r>
    </w:p>
    <w:p>
      <w:pPr>
        <w:spacing w:after="4" w:beforeAutospacing="0" w:afterAutospacing="0"/>
        <w:ind w:right="667"/>
        <w:rPr>
          <w:rFonts w:ascii="Calibri" w:hAnsi="Calibri" w:cs="Calibri" w:eastAsia="Arial"/>
          <w:color w:val="000000"/>
          <w:sz w:val="26"/>
          <w:szCs w:val="26"/>
          <w:lang w:eastAsia="sv-SE"/>
        </w:rPr>
      </w:pPr>
      <w:r>
        <w:rPr>
          <w:rFonts w:ascii="Calibri" w:hAnsi="Calibri" w:cs="Calibri" w:eastAsia="Arial"/>
          <w:color w:val="000000"/>
          <w:sz w:val="26"/>
          <w:szCs w:val="26"/>
          <w:lang w:eastAsia="sv-SE"/>
        </w:rPr>
        <w:t xml:space="preserve">Plan- och bygglagen (SFS 2010:900) </w:t>
      </w:r>
    </w:p>
    <w:p>
      <w:pPr>
        <w:spacing w:after="4" w:beforeAutospacing="0" w:afterAutospacing="0"/>
        <w:ind w:right="667"/>
        <w:rPr>
          <w:rFonts w:ascii="Calibri" w:hAnsi="Calibri" w:cs="Calibri" w:eastAsia="Arial"/>
          <w:color w:val="000000"/>
          <w:sz w:val="26"/>
          <w:szCs w:val="26"/>
          <w:lang w:eastAsia="sv-SE"/>
        </w:rPr>
      </w:pPr>
      <w:r>
        <w:rPr>
          <w:rFonts w:ascii="Calibri" w:hAnsi="Calibri" w:cs="Calibri" w:eastAsia="Arial"/>
          <w:color w:val="000000"/>
          <w:sz w:val="26"/>
          <w:szCs w:val="26"/>
          <w:lang w:eastAsia="sv-SE"/>
        </w:rPr>
        <w:t xml:space="preserve">Diarienummer: MBN 2025–261 </w:t>
      </w:r>
    </w:p>
    <w:p>
      <w:pPr>
        <w:spacing w:after="4" w:beforeAutospacing="0" w:afterAutospacing="0"/>
        <w:ind w:right="667"/>
        <w:rPr>
          <w:rFonts w:ascii="Calibri" w:hAnsi="Calibri" w:cs="Calibri" w:eastAsia="Arial"/>
          <w:color w:val="000000"/>
          <w:sz w:val="26"/>
          <w:szCs w:val="26"/>
          <w:lang w:eastAsia="sv-SE"/>
        </w:rPr>
      </w:pPr>
      <w:r>
        <w:rPr>
          <w:rFonts w:ascii="Calibri" w:hAnsi="Calibri" w:cs="Calibri" w:eastAsia="Arial"/>
          <w:color w:val="000000"/>
          <w:sz w:val="26"/>
          <w:szCs w:val="26"/>
          <w:lang w:eastAsia="sv-SE"/>
        </w:rPr>
        <w:t xml:space="preserve">Godkänt för samråd: </w:t>
      </w:r>
      <w:r>
        <w:rPr>
          <w:rFonts w:ascii="Calibri" w:hAnsi="Calibri" w:cs="Calibri" w:eastAsia="Arial"/>
          <w:sz w:val="26"/>
          <w:szCs w:val="26"/>
          <w:lang w:eastAsia="sv-SE"/>
        </w:rPr>
        <w:t>2025-06-11</w:t>
      </w:r>
    </w:p>
    <w:p>
      <w:pPr>
        <w:spacing w:after="4" w:beforeAutospacing="0" w:afterAutospacing="0"/>
        <w:ind w:right="667"/>
        <w:rPr>
          <w:rFonts w:ascii="Calibri" w:hAnsi="Calibri" w:cs="Calibri" w:eastAsia="Arial"/>
          <w:sz w:val="26"/>
          <w:szCs w:val="26"/>
          <w:lang w:eastAsia="sv-SE"/>
        </w:rPr>
      </w:pPr>
      <w:r>
        <w:rPr>
          <w:rFonts w:ascii="Calibri" w:hAnsi="Calibri" w:cs="Calibri" w:eastAsia="Arial"/>
          <w:sz w:val="26"/>
          <w:szCs w:val="26"/>
          <w:lang w:eastAsia="sv-SE"/>
        </w:rPr>
        <w:t xml:space="preserve">Godkänt för granskning:  </w:t>
      </w:r>
      <w:bookmarkStart w:id="1" w:name="_Hlk206750023"/>
      <w:r>
        <w:rPr>
          <w:rFonts w:ascii="Calibri" w:hAnsi="Calibri" w:cs="Calibri" w:eastAsia="Arial"/>
          <w:sz w:val="26"/>
          <w:szCs w:val="26"/>
          <w:lang w:eastAsia="sv-SE"/>
        </w:rPr>
        <w:t>2025-10-15</w:t>
      </w:r>
      <w:bookmarkEnd w:id="1"/>
    </w:p>
    <w:p>
      <w:pPr>
        <w:spacing w:after="4" w:beforeAutospacing="0" w:afterAutospacing="0"/>
        <w:ind w:right="667"/>
        <w:rPr>
          <w:rFonts w:ascii="Calibri" w:hAnsi="Calibri" w:cs="Calibri" w:eastAsia="Arial"/>
          <w:sz w:val="26"/>
          <w:szCs w:val="26"/>
          <w:lang w:eastAsia="sv-SE"/>
        </w:rPr>
      </w:pPr>
      <w:r>
        <w:rPr>
          <w:rFonts w:ascii="Calibri" w:hAnsi="Calibri" w:cs="Calibri" w:eastAsia="Arial"/>
          <w:sz w:val="26"/>
          <w:szCs w:val="26"/>
          <w:lang w:eastAsia="sv-SE"/>
        </w:rPr>
        <w:t>Antagande: 2025-12-15</w:t>
      </w:r>
    </w:p>
    <w:p>
      <w:pPr>
        <w:tabs>
          <w:tab w:val="center" w:pos="4202" w:leader="none"/>
        </w:tabs>
        <w:spacing w:after="4" w:beforeAutospacing="0" w:afterAutospacing="0"/>
        <w:ind w:right="667"/>
        <w:rPr>
          <w:rFonts w:ascii="Calibri" w:hAnsi="Calibri" w:cs="Calibri" w:eastAsia="Arial"/>
          <w:sz w:val="28"/>
          <w:szCs w:val="28"/>
          <w:lang w:eastAsia="sv-SE"/>
        </w:rPr>
      </w:pPr>
      <w:r>
        <w:rPr>
          <w:rFonts w:ascii="Calibri" w:hAnsi="Calibri" w:cs="Calibri" w:eastAsia="Arial"/>
          <w:sz w:val="26"/>
          <w:szCs w:val="26"/>
          <w:lang w:eastAsia="sv-SE"/>
        </w:rPr>
        <w:t>Laga kraft: 2026-01-08</w:t>
      </w:r>
      <w:r>
        <w:rPr>
          <w:rFonts w:ascii="Calibri" w:hAnsi="Calibri" w:cs="Calibri" w:eastAsia="Arial"/>
          <w:sz w:val="28"/>
          <w:szCs w:val="28"/>
          <w:lang w:eastAsia="sv-SE"/>
        </w:rPr>
        <w:tab/>
      </w:r>
    </w:p>
    <w:p>
      <w:pPr>
        <w:tabs>
          <w:tab w:val="left" w:pos="3692" w:leader="none"/>
        </w:tabs>
        <w:spacing w:after="0" w:beforeAutospacing="0" w:afterAutospacing="0"/>
        <w:rPr>
          <w:rFonts w:ascii="Calibri" w:hAnsi="Calibri" w:cs="Calibri"/>
          <w:color w:val="C00000"/>
          <w:sz w:val="32"/>
          <w:szCs w:val="32"/>
        </w:rPr>
      </w:pPr>
      <w:bookmarkEnd w:id="0"/>
      <w:r>
        <w:rPr>
          <w:rFonts w:ascii="Calibri" w:hAnsi="Calibri" w:cs="Calibri"/>
          <w:color w:val="C00000"/>
          <w:sz w:val="32"/>
          <w:szCs w:val="32"/>
        </w:rPr>
        <w:t>Samhällsplanerare</w:t>
      </w:r>
    </w:p>
    <w:p>
      <w:pPr>
        <w:spacing w:lineRule="auto" w:line="240" w:beforeAutospacing="0" w:afterAutospacing="0"/>
        <w:jc w:val="both"/>
        <w:rPr>
          <w:rFonts w:ascii="Calibri" w:hAnsi="Calibri" w:cs="Calibri"/>
          <w:szCs w:val="24"/>
        </w:rPr>
      </w:pPr>
      <w:r>
        <w:rPr>
          <w:rFonts w:ascii="Calibri" w:hAnsi="Calibri" w:cs="Calibri"/>
          <w:szCs w:val="24"/>
        </w:rPr>
        <w:t>Mattias Rostock</w:t>
      </w:r>
    </w:p>
    <w:p>
      <w:pPr>
        <w:spacing w:lineRule="auto" w:line="240" w:after="0" w:beforeAutospacing="0" w:afterAutospacing="0"/>
        <w:jc w:val="both"/>
        <w:rPr>
          <w:rFonts w:ascii="Calibri" w:hAnsi="Calibri" w:cs="Calibri"/>
          <w:color w:val="C00000"/>
          <w:sz w:val="32"/>
          <w:szCs w:val="32"/>
        </w:rPr>
      </w:pPr>
      <w:r>
        <w:rPr>
          <w:rFonts w:ascii="Calibri" w:hAnsi="Calibri" w:cs="Calibri"/>
          <w:color w:val="C00000"/>
          <w:sz w:val="32"/>
          <w:szCs w:val="32"/>
        </w:rPr>
        <w:t xml:space="preserve">Miljö- och byggchef </w:t>
      </w:r>
    </w:p>
    <w:p>
      <w:pPr>
        <w:spacing w:lineRule="auto" w:line="240" w:beforeAutospacing="0" w:afterAutospacing="0"/>
        <w:jc w:val="both"/>
        <w:rPr>
          <w:rFonts w:ascii="Calibri" w:hAnsi="Calibri" w:cs="Calibri"/>
          <w:color w:val="000000" w:themeColor="text1"/>
          <w:szCs w:val="24"/>
        </w:rPr>
      </w:pPr>
      <w:r>
        <w:rPr>
          <w:rFonts w:ascii="Calibri" w:hAnsi="Calibri" w:cs="Calibri"/>
          <w:color w:val="000000" w:themeColor="text1"/>
          <w:szCs w:val="24"/>
        </w:rPr>
        <w:t>Gunilla Skoog</w:t>
      </w:r>
    </w:p>
    <w:p>
      <w:pPr>
        <w:spacing w:after="0" w:beforeAutospacing="0" w:afterAutospacing="0"/>
        <w:jc w:val="both"/>
        <w:rPr>
          <w:rFonts w:ascii="Calibri" w:hAnsi="Calibri" w:cs="Calibri"/>
          <w:color w:val="C00000"/>
          <w:sz w:val="32"/>
          <w:szCs w:val="32"/>
        </w:rPr>
      </w:pPr>
      <w:bookmarkStart w:id="2" w:name="_Hlk103070339"/>
      <w:r>
        <w:rPr>
          <w:rFonts w:ascii="Calibri" w:hAnsi="Calibri" w:cs="Calibri"/>
          <w:color w:val="C00000"/>
          <w:sz w:val="32"/>
          <w:szCs w:val="32"/>
        </w:rPr>
        <w:t>Planhandlingar</w:t>
      </w:r>
    </w:p>
    <w:p>
      <w:pPr>
        <w:jc w:val="both"/>
        <w:rPr>
          <w:rFonts w:ascii="Calibri" w:hAnsi="Calibri" w:cs="Calibri"/>
          <w:sz w:val="22"/>
        </w:rPr>
      </w:pPr>
      <w:bookmarkEnd w:id="2"/>
      <w:r>
        <w:rPr>
          <w:rFonts w:ascii="Calibri" w:hAnsi="Calibri" w:cs="Calibri"/>
          <w:sz w:val="22"/>
        </w:rPr>
        <w:t>Planbeskrivning</w:t>
        <w:br w:type="textWrapping"/>
        <w:t xml:space="preserve">Plankarta </w:t>
        <w:br w:type="textWrapping"/>
        <w:t>Grundkarta</w:t>
        <w:br w:type="textWrapping"/>
        <w:t>Samrådredogörelse</w:t>
        <w:br w:type="textWrapping"/>
        <w:t>Granskningsyttrande</w:t>
        <w:br w:type="textWrapping"/>
        <w:t>Fastighetsförteckning</w:t>
      </w:r>
    </w:p>
    <w:p>
      <w:pPr>
        <w:spacing w:after="0" w:beforeAutospacing="0" w:afterAutospacing="0"/>
        <w:jc w:val="both"/>
        <w:rPr>
          <w:rFonts w:ascii="Calibri" w:hAnsi="Calibri" w:cs="Calibri"/>
          <w:color w:val="C00000"/>
          <w:sz w:val="32"/>
          <w:szCs w:val="32"/>
        </w:rPr>
      </w:pPr>
      <w:r>
        <w:rPr>
          <w:rFonts w:ascii="Calibri" w:hAnsi="Calibri" w:cs="Calibri"/>
          <w:color w:val="C00000"/>
          <w:sz w:val="32"/>
          <w:szCs w:val="32"/>
        </w:rPr>
        <w:t>Övriga handlingar</w:t>
      </w:r>
    </w:p>
    <w:p>
      <w:pPr>
        <w:spacing w:after="0" w:beforeAutospacing="0" w:afterAutospacing="0"/>
        <w:jc w:val="both"/>
        <w:rPr>
          <w:rFonts w:ascii="Calibri" w:hAnsi="Calibri" w:cs="Calibri"/>
          <w:sz w:val="22"/>
        </w:rPr>
      </w:pPr>
      <w:r>
        <w:rPr>
          <w:rFonts w:ascii="Calibri" w:hAnsi="Calibri" w:cs="Calibri"/>
          <w:sz w:val="22"/>
        </w:rPr>
        <w:t>Kraftverk konsekvensutredning 2016</w:t>
      </w:r>
    </w:p>
    <w:p>
      <w:pPr>
        <w:spacing w:after="0" w:beforeAutospacing="0" w:afterAutospacing="0"/>
        <w:jc w:val="both"/>
        <w:rPr>
          <w:rFonts w:ascii="Calibri" w:hAnsi="Calibri" w:cs="Calibri"/>
          <w:sz w:val="22"/>
        </w:rPr>
      </w:pPr>
      <w:r>
        <w:rPr>
          <w:rFonts w:ascii="Calibri" w:hAnsi="Calibri" w:cs="Calibri"/>
          <w:sz w:val="22"/>
        </w:rPr>
        <w:t>PM Dagvattenhantering</w:t>
      </w:r>
    </w:p>
    <w:p>
      <w:pPr>
        <w:spacing w:after="0" w:beforeAutospacing="0" w:afterAutospacing="0"/>
        <w:jc w:val="both"/>
        <w:rPr>
          <w:rFonts w:ascii="Calibri" w:hAnsi="Calibri" w:cs="Calibri"/>
          <w:sz w:val="22"/>
        </w:rPr>
      </w:pPr>
      <w:r>
        <w:rPr>
          <w:rFonts w:ascii="Calibri" w:hAnsi="Calibri" w:cs="Calibri"/>
          <w:sz w:val="22"/>
        </w:rPr>
        <w:t>PM Efterbehandling Förorening</w:t>
      </w:r>
    </w:p>
    <w:p>
      <w:pPr>
        <w:spacing w:after="0" w:beforeAutospacing="0" w:afterAutospacing="0"/>
        <w:jc w:val="both"/>
        <w:rPr>
          <w:rFonts w:ascii="Calibri" w:hAnsi="Calibri" w:cs="Calibri"/>
          <w:sz w:val="22"/>
        </w:rPr>
      </w:pPr>
      <w:r>
        <w:rPr>
          <w:rFonts w:ascii="Calibri" w:hAnsi="Calibri" w:cs="Calibri"/>
          <w:sz w:val="22"/>
        </w:rPr>
        <w:t>Utlåtande Dammsäkerhet</w:t>
      </w:r>
    </w:p>
    <w:p>
      <w:pPr>
        <w:rPr>
          <w:sz w:val="22"/>
        </w:rPr>
      </w:pPr>
      <w:r>
        <w:rPr>
          <w:sz w:val="22"/>
        </w:rPr>
        <w:t>Undersökande om betydande miljöpåverkan</w:t>
        <w:br w:type="textWrapping"/>
        <w:t>Barnchecklista – undersökning om barnkonsekvensanalys</w:t>
        <w:br w:type="textWrapping"/>
        <w:t>Magnetfält faskompensering</w:t>
        <w:br w:type="textWrapping"/>
        <w:t>PM Geoteknik</w:t>
        <w:br w:type="textWrapping"/>
        <w:t>PM Miljöteknisk Markundersökning</w:t>
        <w:br w:type="textWrapping"/>
        <w:t>Markteknisk undersökningsrapport</w:t>
        <w:br w:type="textWrapping"/>
        <w:t>PM Utökad undersökning</w:t>
      </w:r>
    </w:p>
    <w:p>
      <w:pPr>
        <w:spacing w:after="0" w:beforeAutospacing="0" w:afterAutospacing="0"/>
        <w:jc w:val="both"/>
        <w:rPr>
          <w:rFonts w:ascii="Calibri" w:hAnsi="Calibri" w:cs="Calibri"/>
          <w:color w:val="C00000"/>
          <w:sz w:val="32"/>
          <w:szCs w:val="32"/>
        </w:rPr>
      </w:pPr>
      <w:r>
        <w:rPr>
          <w:rFonts w:ascii="Calibri" w:hAnsi="Calibri" w:cs="Calibri"/>
          <w:color w:val="C00000"/>
          <w:sz w:val="32"/>
          <w:szCs w:val="32"/>
        </w:rPr>
        <w:t>Vad är en detaljplan?</w:t>
      </w:r>
    </w:p>
    <w:p>
      <w:pPr>
        <w:jc w:val="both"/>
        <w:rPr>
          <w:rFonts w:ascii="Calibri" w:hAnsi="Calibri" w:cs="Calibri"/>
          <w:szCs w:val="24"/>
        </w:rPr>
      </w:pPr>
      <w:r>
        <w:rPr>
          <w:rFonts w:ascii="Calibri" w:hAnsi="Calibri" w:cs="Calibri"/>
          <w:szCs w:val="24"/>
        </w:rPr>
        <w:t>En detaljplan är ett juridiskt bindande dokument där kommunen reglerar hur mark- och vattenområden får användas och hur området får bebyggas. I detaljplanen redovisas gränser för allmänna platser, kvartersmark samt vattenområden.</w:t>
      </w:r>
    </w:p>
    <w:p>
      <w:pPr>
        <w:spacing w:after="0" w:beforeAutospacing="0" w:afterAutospacing="0"/>
        <w:jc w:val="both"/>
        <w:rPr>
          <w:rFonts w:ascii="Calibri" w:hAnsi="Calibri" w:cs="Calibri"/>
          <w:color w:val="C00000"/>
          <w:sz w:val="32"/>
          <w:szCs w:val="32"/>
        </w:rPr>
      </w:pPr>
      <w:r>
        <w:rPr>
          <w:rFonts w:ascii="Calibri" w:hAnsi="Calibri" w:cs="Calibri"/>
          <w:color w:val="C00000"/>
          <w:sz w:val="32"/>
          <w:szCs w:val="32"/>
        </w:rPr>
        <w:t>Så här läser du detaljplanen</w:t>
      </w:r>
    </w:p>
    <w:p>
      <w:pPr>
        <w:jc w:val="both"/>
        <w:rPr>
          <w:rFonts w:ascii="Calibri" w:hAnsi="Calibri" w:cs="Calibri"/>
          <w:szCs w:val="24"/>
        </w:rPr>
      </w:pPr>
      <w:r>
        <w:rPr>
          <w:rFonts w:ascii="Calibri" w:hAnsi="Calibri" w:cs="Calibri"/>
          <w:szCs w:val="24"/>
        </w:rPr>
        <w:t xml:space="preserve">Detaljplanen består av en plankarta med olika planbestämmelser. Med plankartan följer även en planbeskrivning (det här dokumentet) som förklarar syftet och innehållet i plankartan. </w:t>
      </w:r>
    </w:p>
    <w:p>
      <w:pPr>
        <w:spacing w:after="0" w:beforeAutospacing="0" w:afterAutospacing="0"/>
        <w:jc w:val="both"/>
        <w:rPr>
          <w:rFonts w:ascii="Calibri" w:hAnsi="Calibri" w:cs="Calibri"/>
          <w:color w:val="C00000"/>
          <w:sz w:val="32"/>
          <w:szCs w:val="32"/>
        </w:rPr>
      </w:pPr>
      <w:bookmarkStart w:id="3" w:name="_Hlk86318565"/>
      <w:r>
        <w:rPr>
          <w:rFonts w:ascii="Calibri" w:hAnsi="Calibri" w:cs="Calibri"/>
          <w:color w:val="C00000"/>
          <w:sz w:val="32"/>
          <w:szCs w:val="32"/>
        </w:rPr>
        <w:t xml:space="preserve">Detaljplaneprocessen </w:t>
      </w:r>
      <w:bookmarkStart w:id="4" w:name="_Hlk206750214"/>
      <w:r>
        <w:rPr>
          <w:rFonts w:ascii="Calibri" w:hAnsi="Calibri" w:cs="Calibri"/>
          <w:color w:val="C00000"/>
          <w:sz w:val="32"/>
          <w:szCs w:val="32"/>
        </w:rPr>
        <w:t>- Standardförfarande</w:t>
      </w:r>
      <w:bookmarkEnd w:id="4"/>
    </w:p>
    <w:p>
      <w:pPr>
        <w:jc w:val="both"/>
        <w:rPr>
          <w:rFonts w:ascii="Calibri" w:hAnsi="Calibri" w:cs="Calibri"/>
          <w:szCs w:val="24"/>
        </w:rPr>
      </w:pPr>
      <w:r>
        <w:rPr>
          <w:rFonts w:ascii="Calibri" w:hAnsi="Calibri" w:cs="Calibri"/>
          <w:szCs w:val="24"/>
        </w:rPr>
        <w:t>Detaljplanen tas fram med standardförfarande i överensstämmelse med översiktsplanen samt enligt plan- och bygglagen 2010:900</w:t>
      </w:r>
      <w:bookmarkEnd w:id="3"/>
      <w:r>
        <w:rPr>
          <w:rFonts w:ascii="Calibri" w:hAnsi="Calibri" w:cs="Calibri"/>
          <w:szCs w:val="24"/>
        </w:rPr>
        <w:t xml:space="preserve">. Planhandlingarna har upprättats i enlighet med Boverkets föreskrifter om detaljplan (BFS 2020:5), allmänna råd om redovisning av reglering i detaljplan (BFS 2020:6) samt föreskrifter och allmänna råd om planbeskrivning (BFS 2020:8). </w:t>
      </w:r>
      <w:bookmarkStart w:id="5" w:name="_Hlk206750157"/>
      <w:r>
        <w:rPr>
          <w:rFonts w:ascii="Calibri" w:hAnsi="Calibri" w:cs="Calibri"/>
          <w:szCs w:val="24"/>
        </w:rPr>
        <w:t xml:space="preserve">Planprocessen ser ut som följande: </w:t>
      </w:r>
    </w:p>
    <w:p>
      <w:pPr>
        <w:jc w:val="both"/>
        <w:rPr>
          <w:rFonts w:ascii="Calibri" w:hAnsi="Calibri" w:cs="Calibri"/>
          <w:color w:val="C00000"/>
          <w:sz w:val="32"/>
          <w:szCs w:val="32"/>
        </w:rPr>
      </w:pPr>
      <w:r>
        <w:rPr>
          <w:rFonts w:cstheme="minorHAnsi"/>
          <w:noProof w:val="1"/>
          <w:szCs w:val="24"/>
        </w:rPr>
        <w:drawing>
          <wp:inline xmlns:wp="http://schemas.openxmlformats.org/drawingml/2006/wordprocessingDrawing" distT="0" distB="0" distL="0" distR="0">
            <wp:extent cx="5671820" cy="802005"/>
            <wp:effectExtent l="0" t="0" r="5080" b="0"/>
            <wp:docPr id="96492150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 cstate="print"/>
                    <a:srcRect/>
                    <a:stretch>
                      <a:fillRect/>
                    </a:stretch>
                  </pic:blipFill>
                  <pic:spPr bwMode="auto">
                    <a:xfrm>
                      <a:off x="0" y="0"/>
                      <a:ext cx="5696752" cy="805750"/>
                    </a:xfrm>
                    <a:prstGeom prst="rect"/>
                    <a:noFill/>
                    <a:ln>
                      <a:noFill/>
                    </a:ln>
                  </pic:spPr>
                </pic:pic>
              </a:graphicData>
            </a:graphic>
          </wp:inline>
        </w:drawing>
      </w:r>
    </w:p>
    <w:p>
      <w:pPr>
        <w:pStyle w:val="P22"/>
        <w:tabs>
          <w:tab w:val="left" w:pos="440" w:leader="none"/>
          <w:tab w:val="right" w:pos="9062" w:leader="dot"/>
        </w:tabs>
        <w:rPr>
          <w:rFonts w:ascii="Calibri" w:hAnsi="Calibri" w:cs="Calibri"/>
        </w:rPr>
      </w:pPr>
      <w:bookmarkEnd w:id="5"/>
    </w:p>
    <w:p>
      <w:pPr>
        <w:pStyle w:val="P22"/>
        <w:tabs>
          <w:tab w:val="left" w:pos="440" w:leader="none"/>
          <w:tab w:val="right" w:pos="9062" w:leader="dot"/>
        </w:tabs>
        <w:rPr>
          <w:rFonts w:ascii="Calibri" w:hAnsi="Calibri" w:cs="Calibri"/>
        </w:rPr>
      </w:pPr>
    </w:p>
    <w:p/>
    <w:p>
      <w:pPr>
        <w:pStyle w:val="P22"/>
        <w:tabs>
          <w:tab w:val="left" w:pos="440" w:leader="none"/>
          <w:tab w:val="right" w:pos="9062" w:leader="dot"/>
        </w:tabs>
        <w:rPr>
          <w:rFonts w:cstheme="minorBidi"/>
          <w:b w:val="0"/>
          <w:bCs w:val="0"/>
          <w:caps w:val="0"/>
          <w:noProof w:val="1"/>
          <w:sz w:val="24"/>
          <w:szCs w:val="24"/>
          <w:kern w:val="2"/>
          <w:lang w:eastAsia="sv-SE"/>
        </w:rPr>
      </w:pPr>
      <w:r>
        <w:rPr>
          <w:rFonts w:ascii="Calibri" w:hAnsi="Calibri" w:cs="Calibri"/>
        </w:rPr>
        <w:fldChar w:fldCharType="begin"/>
      </w:r>
      <w:r>
        <w:rPr>
          <w:rFonts w:ascii="Calibri" w:hAnsi="Calibri" w:cs="Calibri"/>
        </w:rPr>
        <w:instrText xml:space="preserve"> TOC \o "1-2" \h \z \u </w:instrText>
      </w:r>
      <w:r>
        <w:rPr>
          <w:rFonts w:ascii="Calibri" w:hAnsi="Calibri" w:cs="Calibri"/>
        </w:rPr>
        <w:fldChar w:fldCharType="separate"/>
      </w:r>
      <w:hyperlink w:anchor="_Toc219101355">
        <w:r>
          <w:rPr>
            <w:rStyle w:val="C2"/>
            <w:rFonts w:cs="Calibri"/>
            <w:noProof w:val="1"/>
          </w:rPr>
          <w:t>1</w:t>
        </w:r>
        <w:r>
          <w:rPr>
            <w:rFonts w:cstheme="minorBidi"/>
            <w:b w:val="0"/>
            <w:bCs w:val="0"/>
            <w:caps w:val="0"/>
            <w:noProof w:val="1"/>
            <w:sz w:val="24"/>
            <w:szCs w:val="24"/>
            <w:kern w:val="2"/>
            <w:lang w:eastAsia="sv-SE"/>
          </w:rPr>
          <w:tab/>
        </w:r>
        <w:r>
          <w:rPr>
            <w:rStyle w:val="C2"/>
            <w:rFonts w:cs="Calibri"/>
            <w:noProof w:val="1"/>
          </w:rPr>
          <w:t>Detaljplanens syfte</w:t>
        </w:r>
        <w:r>
          <w:rPr>
            <w:noProof w:val="1"/>
          </w:rPr>
          <w:tab/>
        </w:r>
        <w:r>
          <w:rPr>
            <w:noProof w:val="1"/>
          </w:rPr>
          <w:fldChar w:fldCharType="begin"/>
        </w:r>
        <w:r>
          <w:rPr>
            <w:noProof w:val="1"/>
          </w:rPr>
          <w:instrText xml:space="preserve"> PAGEREF _Toc219101355 \h </w:instrText>
        </w:r>
        <w:r>
          <w:rPr>
            <w:noProof w:val="1"/>
          </w:rPr>
          <w:fldChar w:fldCharType="separate"/>
        </w:r>
        <w:r>
          <w:rPr>
            <w:noProof w:val="1"/>
          </w:rPr>
          <w:t>4</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356">
        <w:r>
          <w:rPr>
            <w:rStyle w:val="C2"/>
            <w:rFonts w:cs="Calibri"/>
            <w:noProof w:val="1"/>
          </w:rPr>
          <w:t>2</w:t>
        </w:r>
        <w:r>
          <w:rPr>
            <w:rFonts w:cstheme="minorBidi"/>
            <w:b w:val="0"/>
            <w:bCs w:val="0"/>
            <w:caps w:val="0"/>
            <w:noProof w:val="1"/>
            <w:sz w:val="24"/>
            <w:szCs w:val="24"/>
            <w:kern w:val="2"/>
            <w:lang w:eastAsia="sv-SE"/>
          </w:rPr>
          <w:tab/>
        </w:r>
        <w:r>
          <w:rPr>
            <w:rStyle w:val="C2"/>
            <w:rFonts w:cs="Calibri"/>
            <w:noProof w:val="1"/>
          </w:rPr>
          <w:t>Beskrivning av detaljplanen</w:t>
        </w:r>
        <w:r>
          <w:rPr>
            <w:noProof w:val="1"/>
          </w:rPr>
          <w:tab/>
        </w:r>
        <w:r>
          <w:rPr>
            <w:noProof w:val="1"/>
          </w:rPr>
          <w:fldChar w:fldCharType="begin"/>
        </w:r>
        <w:r>
          <w:rPr>
            <w:noProof w:val="1"/>
          </w:rPr>
          <w:instrText xml:space="preserve"> PAGEREF _Toc219101356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57">
        <w:r>
          <w:rPr>
            <w:rStyle w:val="C2"/>
            <w:rFonts w:cs="Calibri"/>
            <w:noProof w:val="1"/>
          </w:rPr>
          <w:t>2.1</w:t>
        </w:r>
        <w:r>
          <w:rPr>
            <w:rFonts w:cstheme="minorBidi"/>
            <w:smallCaps w:val="0"/>
            <w:noProof w:val="1"/>
            <w:sz w:val="24"/>
            <w:szCs w:val="24"/>
            <w:kern w:val="2"/>
            <w:lang w:eastAsia="sv-SE"/>
          </w:rPr>
          <w:tab/>
        </w:r>
        <w:r>
          <w:rPr>
            <w:rStyle w:val="C2"/>
            <w:rFonts w:cs="Calibri"/>
            <w:noProof w:val="1"/>
          </w:rPr>
          <w:t>Detaljplanens omfattning och lokalisering</w:t>
        </w:r>
        <w:r>
          <w:rPr>
            <w:noProof w:val="1"/>
          </w:rPr>
          <w:tab/>
        </w:r>
        <w:r>
          <w:rPr>
            <w:noProof w:val="1"/>
          </w:rPr>
          <w:fldChar w:fldCharType="begin"/>
        </w:r>
        <w:r>
          <w:rPr>
            <w:noProof w:val="1"/>
          </w:rPr>
          <w:instrText xml:space="preserve"> PAGEREF _Toc219101357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58">
        <w:r>
          <w:rPr>
            <w:rStyle w:val="C2"/>
            <w:rFonts w:cs="Calibri"/>
            <w:noProof w:val="1"/>
          </w:rPr>
          <w:t>2.2</w:t>
        </w:r>
        <w:r>
          <w:rPr>
            <w:rFonts w:cstheme="minorBidi"/>
            <w:smallCaps w:val="0"/>
            <w:noProof w:val="1"/>
            <w:sz w:val="24"/>
            <w:szCs w:val="24"/>
            <w:kern w:val="2"/>
            <w:lang w:eastAsia="sv-SE"/>
          </w:rPr>
          <w:tab/>
        </w:r>
        <w:r>
          <w:rPr>
            <w:rStyle w:val="C2"/>
            <w:rFonts w:cs="Calibri"/>
            <w:noProof w:val="1"/>
          </w:rPr>
          <w:t>Hela detaljplanen</w:t>
        </w:r>
        <w:r>
          <w:rPr>
            <w:noProof w:val="1"/>
          </w:rPr>
          <w:tab/>
        </w:r>
        <w:r>
          <w:rPr>
            <w:noProof w:val="1"/>
          </w:rPr>
          <w:fldChar w:fldCharType="begin"/>
        </w:r>
        <w:r>
          <w:rPr>
            <w:noProof w:val="1"/>
          </w:rPr>
          <w:instrText xml:space="preserve"> PAGEREF _Toc219101358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59">
        <w:r>
          <w:rPr>
            <w:rStyle w:val="C2"/>
            <w:rFonts w:cs="Calibri"/>
            <w:noProof w:val="1"/>
          </w:rPr>
          <w:t>2.3</w:t>
        </w:r>
        <w:r>
          <w:rPr>
            <w:rFonts w:cstheme="minorBidi"/>
            <w:smallCaps w:val="0"/>
            <w:noProof w:val="1"/>
            <w:sz w:val="24"/>
            <w:szCs w:val="24"/>
            <w:kern w:val="2"/>
            <w:lang w:eastAsia="sv-SE"/>
          </w:rPr>
          <w:tab/>
        </w:r>
        <w:r>
          <w:rPr>
            <w:rStyle w:val="C2"/>
            <w:rFonts w:cs="Calibri"/>
            <w:noProof w:val="1"/>
          </w:rPr>
          <w:t>Allmän plats</w:t>
        </w:r>
        <w:r>
          <w:rPr>
            <w:noProof w:val="1"/>
          </w:rPr>
          <w:tab/>
        </w:r>
        <w:r>
          <w:rPr>
            <w:noProof w:val="1"/>
          </w:rPr>
          <w:fldChar w:fldCharType="begin"/>
        </w:r>
        <w:r>
          <w:rPr>
            <w:noProof w:val="1"/>
          </w:rPr>
          <w:instrText xml:space="preserve"> PAGEREF _Toc219101359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0">
        <w:r>
          <w:rPr>
            <w:rStyle w:val="C2"/>
            <w:rFonts w:cs="Calibri"/>
            <w:noProof w:val="1"/>
          </w:rPr>
          <w:t>2.4</w:t>
        </w:r>
        <w:r>
          <w:rPr>
            <w:rFonts w:cstheme="minorBidi"/>
            <w:smallCaps w:val="0"/>
            <w:noProof w:val="1"/>
            <w:sz w:val="24"/>
            <w:szCs w:val="24"/>
            <w:kern w:val="2"/>
            <w:lang w:eastAsia="sv-SE"/>
          </w:rPr>
          <w:tab/>
        </w:r>
        <w:r>
          <w:rPr>
            <w:rStyle w:val="C2"/>
            <w:rFonts w:cs="Calibri"/>
            <w:noProof w:val="1"/>
          </w:rPr>
          <w:t>Vattenområden</w:t>
        </w:r>
        <w:r>
          <w:rPr>
            <w:noProof w:val="1"/>
          </w:rPr>
          <w:tab/>
        </w:r>
        <w:r>
          <w:rPr>
            <w:noProof w:val="1"/>
          </w:rPr>
          <w:fldChar w:fldCharType="begin"/>
        </w:r>
        <w:r>
          <w:rPr>
            <w:noProof w:val="1"/>
          </w:rPr>
          <w:instrText xml:space="preserve"> PAGEREF _Toc219101360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1">
        <w:r>
          <w:rPr>
            <w:rStyle w:val="C2"/>
            <w:rFonts w:cs="Calibri"/>
            <w:noProof w:val="1"/>
          </w:rPr>
          <w:t>2.5</w:t>
        </w:r>
        <w:r>
          <w:rPr>
            <w:rFonts w:cstheme="minorBidi"/>
            <w:smallCaps w:val="0"/>
            <w:noProof w:val="1"/>
            <w:sz w:val="24"/>
            <w:szCs w:val="24"/>
            <w:kern w:val="2"/>
            <w:lang w:eastAsia="sv-SE"/>
          </w:rPr>
          <w:tab/>
        </w:r>
        <w:r>
          <w:rPr>
            <w:rStyle w:val="C2"/>
            <w:rFonts w:cs="Calibri"/>
            <w:noProof w:val="1"/>
          </w:rPr>
          <w:t>Kvartersmark</w:t>
        </w:r>
        <w:r>
          <w:rPr>
            <w:noProof w:val="1"/>
          </w:rPr>
          <w:tab/>
        </w:r>
        <w:r>
          <w:rPr>
            <w:noProof w:val="1"/>
          </w:rPr>
          <w:fldChar w:fldCharType="begin"/>
        </w:r>
        <w:r>
          <w:rPr>
            <w:noProof w:val="1"/>
          </w:rPr>
          <w:instrText xml:space="preserve"> PAGEREF _Toc219101361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2">
        <w:r>
          <w:rPr>
            <w:rStyle w:val="C2"/>
            <w:rFonts w:cs="Calibri"/>
            <w:noProof w:val="1"/>
          </w:rPr>
          <w:t>2.6</w:t>
        </w:r>
        <w:r>
          <w:rPr>
            <w:rFonts w:cstheme="minorBidi"/>
            <w:smallCaps w:val="0"/>
            <w:noProof w:val="1"/>
            <w:sz w:val="24"/>
            <w:szCs w:val="24"/>
            <w:kern w:val="2"/>
            <w:lang w:eastAsia="sv-SE"/>
          </w:rPr>
          <w:tab/>
        </w:r>
        <w:r>
          <w:rPr>
            <w:rStyle w:val="C2"/>
            <w:rFonts w:cs="Calibri"/>
            <w:noProof w:val="1"/>
          </w:rPr>
          <w:t>Ärendeinformation</w:t>
        </w:r>
        <w:r>
          <w:rPr>
            <w:noProof w:val="1"/>
          </w:rPr>
          <w:tab/>
        </w:r>
        <w:r>
          <w:rPr>
            <w:noProof w:val="1"/>
          </w:rPr>
          <w:fldChar w:fldCharType="begin"/>
        </w:r>
        <w:r>
          <w:rPr>
            <w:noProof w:val="1"/>
          </w:rPr>
          <w:instrText xml:space="preserve"> PAGEREF _Toc219101362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3">
        <w:r>
          <w:rPr>
            <w:rStyle w:val="C2"/>
            <w:rFonts w:cs="Calibri"/>
            <w:noProof w:val="1"/>
          </w:rPr>
          <w:t>2.7</w:t>
        </w:r>
        <w:r>
          <w:rPr>
            <w:rFonts w:cstheme="minorBidi"/>
            <w:smallCaps w:val="0"/>
            <w:noProof w:val="1"/>
            <w:sz w:val="24"/>
            <w:szCs w:val="24"/>
            <w:kern w:val="2"/>
            <w:lang w:eastAsia="sv-SE"/>
          </w:rPr>
          <w:tab/>
        </w:r>
        <w:r>
          <w:rPr>
            <w:rStyle w:val="C2"/>
            <w:rFonts w:cs="Calibri"/>
            <w:noProof w:val="1"/>
          </w:rPr>
          <w:t>Genomförandetid</w:t>
        </w:r>
        <w:r>
          <w:rPr>
            <w:noProof w:val="1"/>
          </w:rPr>
          <w:tab/>
        </w:r>
        <w:r>
          <w:rPr>
            <w:noProof w:val="1"/>
          </w:rPr>
          <w:fldChar w:fldCharType="begin"/>
        </w:r>
        <w:r>
          <w:rPr>
            <w:noProof w:val="1"/>
          </w:rPr>
          <w:instrText xml:space="preserve"> PAGEREF _Toc219101363 \h </w:instrText>
        </w:r>
        <w:r>
          <w:rPr>
            <w:noProof w:val="1"/>
          </w:rPr>
          <w:fldChar w:fldCharType="separate"/>
        </w:r>
        <w:r>
          <w:rPr>
            <w:noProof w:val="1"/>
          </w:rPr>
          <w:t>8</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364">
        <w:r>
          <w:rPr>
            <w:rStyle w:val="C2"/>
            <w:rFonts w:cs="Calibri"/>
            <w:noProof w:val="1"/>
          </w:rPr>
          <w:t>3</w:t>
        </w:r>
        <w:r>
          <w:rPr>
            <w:rFonts w:cstheme="minorBidi"/>
            <w:b w:val="0"/>
            <w:bCs w:val="0"/>
            <w:caps w:val="0"/>
            <w:noProof w:val="1"/>
            <w:sz w:val="24"/>
            <w:szCs w:val="24"/>
            <w:kern w:val="2"/>
            <w:lang w:eastAsia="sv-SE"/>
          </w:rPr>
          <w:tab/>
        </w:r>
        <w:r>
          <w:rPr>
            <w:rStyle w:val="C2"/>
            <w:rFonts w:cs="Calibri"/>
            <w:noProof w:val="1"/>
          </w:rPr>
          <w:t>Motiv till detaljplanens regleringar</w:t>
        </w:r>
        <w:r>
          <w:rPr>
            <w:noProof w:val="1"/>
          </w:rPr>
          <w:tab/>
        </w:r>
        <w:r>
          <w:rPr>
            <w:noProof w:val="1"/>
          </w:rPr>
          <w:fldChar w:fldCharType="begin"/>
        </w:r>
        <w:r>
          <w:rPr>
            <w:noProof w:val="1"/>
          </w:rPr>
          <w:instrText xml:space="preserve"> PAGEREF _Toc219101364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5">
        <w:r>
          <w:rPr>
            <w:rStyle w:val="C2"/>
            <w:rFonts w:cs="Calibri"/>
            <w:noProof w:val="1"/>
          </w:rPr>
          <w:t>3.1</w:t>
        </w:r>
        <w:r>
          <w:rPr>
            <w:rFonts w:cstheme="minorBidi"/>
            <w:smallCaps w:val="0"/>
            <w:noProof w:val="1"/>
            <w:sz w:val="24"/>
            <w:szCs w:val="24"/>
            <w:kern w:val="2"/>
            <w:lang w:eastAsia="sv-SE"/>
          </w:rPr>
          <w:tab/>
        </w:r>
        <w:r>
          <w:rPr>
            <w:rStyle w:val="C2"/>
            <w:rFonts w:cs="Calibri"/>
            <w:noProof w:val="1"/>
          </w:rPr>
          <w:t>Användningsbestämmelser för allmän plats</w:t>
        </w:r>
        <w:r>
          <w:rPr>
            <w:noProof w:val="1"/>
          </w:rPr>
          <w:tab/>
        </w:r>
        <w:r>
          <w:rPr>
            <w:noProof w:val="1"/>
          </w:rPr>
          <w:fldChar w:fldCharType="begin"/>
        </w:r>
        <w:r>
          <w:rPr>
            <w:noProof w:val="1"/>
          </w:rPr>
          <w:instrText xml:space="preserve"> PAGEREF _Toc219101365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6">
        <w:r>
          <w:rPr>
            <w:rStyle w:val="C2"/>
            <w:rFonts w:cs="Calibri"/>
            <w:noProof w:val="1"/>
          </w:rPr>
          <w:t>3.2</w:t>
        </w:r>
        <w:r>
          <w:rPr>
            <w:rFonts w:cstheme="minorBidi"/>
            <w:smallCaps w:val="0"/>
            <w:noProof w:val="1"/>
            <w:sz w:val="24"/>
            <w:szCs w:val="24"/>
            <w:kern w:val="2"/>
            <w:lang w:eastAsia="sv-SE"/>
          </w:rPr>
          <w:tab/>
        </w:r>
        <w:r>
          <w:rPr>
            <w:rStyle w:val="C2"/>
            <w:rFonts w:cs="Calibri"/>
            <w:noProof w:val="1"/>
          </w:rPr>
          <w:t>Egenskapsbestämmelser för allmän plats</w:t>
        </w:r>
        <w:r>
          <w:rPr>
            <w:noProof w:val="1"/>
          </w:rPr>
          <w:tab/>
        </w:r>
        <w:r>
          <w:rPr>
            <w:noProof w:val="1"/>
          </w:rPr>
          <w:fldChar w:fldCharType="begin"/>
        </w:r>
        <w:r>
          <w:rPr>
            <w:noProof w:val="1"/>
          </w:rPr>
          <w:instrText xml:space="preserve"> PAGEREF _Toc219101366 \h </w:instrText>
        </w:r>
        <w:r>
          <w:rPr>
            <w:noProof w:val="1"/>
          </w:rPr>
          <w:fldChar w:fldCharType="separate"/>
        </w:r>
        <w:r>
          <w:rPr>
            <w:noProof w:val="1"/>
          </w:rPr>
          <w:t>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7">
        <w:r>
          <w:rPr>
            <w:rStyle w:val="C2"/>
            <w:rFonts w:cs="Calibri"/>
            <w:noProof w:val="1"/>
          </w:rPr>
          <w:t>3.3</w:t>
        </w:r>
        <w:r>
          <w:rPr>
            <w:rFonts w:cstheme="minorBidi"/>
            <w:smallCaps w:val="0"/>
            <w:noProof w:val="1"/>
            <w:sz w:val="24"/>
            <w:szCs w:val="24"/>
            <w:kern w:val="2"/>
            <w:lang w:eastAsia="sv-SE"/>
          </w:rPr>
          <w:tab/>
        </w:r>
        <w:r>
          <w:rPr>
            <w:rStyle w:val="C2"/>
            <w:rFonts w:cs="Calibri"/>
            <w:noProof w:val="1"/>
          </w:rPr>
          <w:t>Användningsbestämmelser för kvartersmark</w:t>
        </w:r>
        <w:r>
          <w:rPr>
            <w:noProof w:val="1"/>
          </w:rPr>
          <w:tab/>
        </w:r>
        <w:r>
          <w:rPr>
            <w:noProof w:val="1"/>
          </w:rPr>
          <w:fldChar w:fldCharType="begin"/>
        </w:r>
        <w:r>
          <w:rPr>
            <w:noProof w:val="1"/>
          </w:rPr>
          <w:instrText xml:space="preserve"> PAGEREF _Toc219101367 \h </w:instrText>
        </w:r>
        <w:r>
          <w:rPr>
            <w:noProof w:val="1"/>
          </w:rPr>
          <w:fldChar w:fldCharType="separate"/>
        </w:r>
        <w:r>
          <w:rPr>
            <w:noProof w:val="1"/>
          </w:rPr>
          <w:t>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68">
        <w:r>
          <w:rPr>
            <w:rStyle w:val="C2"/>
            <w:rFonts w:cs="Calibri"/>
            <w:noProof w:val="1"/>
          </w:rPr>
          <w:t>3.4</w:t>
        </w:r>
        <w:r>
          <w:rPr>
            <w:rFonts w:cstheme="minorBidi"/>
            <w:smallCaps w:val="0"/>
            <w:noProof w:val="1"/>
            <w:sz w:val="24"/>
            <w:szCs w:val="24"/>
            <w:kern w:val="2"/>
            <w:lang w:eastAsia="sv-SE"/>
          </w:rPr>
          <w:tab/>
        </w:r>
        <w:r>
          <w:rPr>
            <w:rStyle w:val="C2"/>
            <w:rFonts w:cs="Calibri"/>
            <w:noProof w:val="1"/>
          </w:rPr>
          <w:t>Egenskapsbestämmelser för kvartersmark</w:t>
        </w:r>
        <w:r>
          <w:rPr>
            <w:noProof w:val="1"/>
          </w:rPr>
          <w:tab/>
        </w:r>
        <w:r>
          <w:rPr>
            <w:noProof w:val="1"/>
          </w:rPr>
          <w:fldChar w:fldCharType="begin"/>
        </w:r>
        <w:r>
          <w:rPr>
            <w:noProof w:val="1"/>
          </w:rPr>
          <w:instrText xml:space="preserve"> PAGEREF _Toc219101368 \h </w:instrText>
        </w:r>
        <w:r>
          <w:rPr>
            <w:noProof w:val="1"/>
          </w:rPr>
          <w:fldChar w:fldCharType="separate"/>
        </w:r>
        <w:r>
          <w:rPr>
            <w:noProof w:val="1"/>
          </w:rPr>
          <w:t>9</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369">
        <w:r>
          <w:rPr>
            <w:rStyle w:val="C2"/>
            <w:rFonts w:cs="Calibri"/>
            <w:noProof w:val="1"/>
          </w:rPr>
          <w:t>4</w:t>
        </w:r>
        <w:r>
          <w:rPr>
            <w:rFonts w:cstheme="minorBidi"/>
            <w:b w:val="0"/>
            <w:bCs w:val="0"/>
            <w:caps w:val="0"/>
            <w:noProof w:val="1"/>
            <w:sz w:val="24"/>
            <w:szCs w:val="24"/>
            <w:kern w:val="2"/>
            <w:lang w:eastAsia="sv-SE"/>
          </w:rPr>
          <w:tab/>
        </w:r>
        <w:r>
          <w:rPr>
            <w:rStyle w:val="C2"/>
            <w:rFonts w:cs="Calibri"/>
            <w:noProof w:val="1"/>
          </w:rPr>
          <w:t>Planeringsunderlag och ställningstagande</w:t>
        </w:r>
        <w:r>
          <w:rPr>
            <w:noProof w:val="1"/>
          </w:rPr>
          <w:tab/>
        </w:r>
        <w:r>
          <w:rPr>
            <w:noProof w:val="1"/>
          </w:rPr>
          <w:fldChar w:fldCharType="begin"/>
        </w:r>
        <w:r>
          <w:rPr>
            <w:noProof w:val="1"/>
          </w:rPr>
          <w:instrText xml:space="preserve"> PAGEREF _Toc219101369 \h </w:instrText>
        </w:r>
        <w:r>
          <w:rPr>
            <w:noProof w:val="1"/>
          </w:rPr>
          <w:fldChar w:fldCharType="separate"/>
        </w:r>
        <w:r>
          <w:rPr>
            <w:noProof w:val="1"/>
          </w:rPr>
          <w:t>11</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0">
        <w:r>
          <w:rPr>
            <w:rStyle w:val="C2"/>
            <w:rFonts w:cs="Calibri"/>
            <w:noProof w:val="1"/>
          </w:rPr>
          <w:t>4.1</w:t>
        </w:r>
        <w:r>
          <w:rPr>
            <w:rFonts w:cstheme="minorBidi"/>
            <w:smallCaps w:val="0"/>
            <w:noProof w:val="1"/>
            <w:sz w:val="24"/>
            <w:szCs w:val="24"/>
            <w:kern w:val="2"/>
            <w:lang w:eastAsia="sv-SE"/>
          </w:rPr>
          <w:tab/>
        </w:r>
        <w:r>
          <w:rPr>
            <w:rStyle w:val="C2"/>
            <w:rFonts w:cs="Calibri"/>
            <w:noProof w:val="1"/>
          </w:rPr>
          <w:t>Kommunala underlag</w:t>
        </w:r>
        <w:r>
          <w:rPr>
            <w:noProof w:val="1"/>
          </w:rPr>
          <w:tab/>
        </w:r>
        <w:r>
          <w:rPr>
            <w:noProof w:val="1"/>
          </w:rPr>
          <w:fldChar w:fldCharType="begin"/>
        </w:r>
        <w:r>
          <w:rPr>
            <w:noProof w:val="1"/>
          </w:rPr>
          <w:instrText xml:space="preserve"> PAGEREF _Toc219101370 \h </w:instrText>
        </w:r>
        <w:r>
          <w:rPr>
            <w:noProof w:val="1"/>
          </w:rPr>
          <w:fldChar w:fldCharType="separate"/>
        </w:r>
        <w:r>
          <w:rPr>
            <w:noProof w:val="1"/>
          </w:rPr>
          <w:t>11</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1">
        <w:r>
          <w:rPr>
            <w:rStyle w:val="C2"/>
            <w:rFonts w:cs="Calibri"/>
            <w:noProof w:val="1"/>
          </w:rPr>
          <w:t>4.2</w:t>
        </w:r>
        <w:r>
          <w:rPr>
            <w:rFonts w:cstheme="minorBidi"/>
            <w:smallCaps w:val="0"/>
            <w:noProof w:val="1"/>
            <w:sz w:val="24"/>
            <w:szCs w:val="24"/>
            <w:kern w:val="2"/>
            <w:lang w:eastAsia="sv-SE"/>
          </w:rPr>
          <w:tab/>
        </w:r>
        <w:r>
          <w:rPr>
            <w:rStyle w:val="C2"/>
            <w:rFonts w:cs="Calibri"/>
            <w:noProof w:val="1"/>
          </w:rPr>
          <w:t>Utredningar</w:t>
        </w:r>
        <w:r>
          <w:rPr>
            <w:noProof w:val="1"/>
          </w:rPr>
          <w:tab/>
        </w:r>
        <w:r>
          <w:rPr>
            <w:noProof w:val="1"/>
          </w:rPr>
          <w:fldChar w:fldCharType="begin"/>
        </w:r>
        <w:r>
          <w:rPr>
            <w:noProof w:val="1"/>
          </w:rPr>
          <w:instrText xml:space="preserve"> PAGEREF _Toc219101371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2">
        <w:r>
          <w:rPr>
            <w:rStyle w:val="C2"/>
            <w:rFonts w:cs="Calibri"/>
            <w:noProof w:val="1"/>
          </w:rPr>
          <w:t>4.3</w:t>
        </w:r>
        <w:r>
          <w:rPr>
            <w:rFonts w:cstheme="minorBidi"/>
            <w:smallCaps w:val="0"/>
            <w:noProof w:val="1"/>
            <w:sz w:val="24"/>
            <w:szCs w:val="24"/>
            <w:kern w:val="2"/>
            <w:lang w:eastAsia="sv-SE"/>
          </w:rPr>
          <w:tab/>
        </w:r>
        <w:r>
          <w:rPr>
            <w:rStyle w:val="C2"/>
            <w:rFonts w:cs="Calibri"/>
            <w:noProof w:val="1"/>
          </w:rPr>
          <w:t>Regionala underlag</w:t>
        </w:r>
        <w:r>
          <w:rPr>
            <w:noProof w:val="1"/>
          </w:rPr>
          <w:tab/>
        </w:r>
        <w:r>
          <w:rPr>
            <w:noProof w:val="1"/>
          </w:rPr>
          <w:fldChar w:fldCharType="begin"/>
        </w:r>
        <w:r>
          <w:rPr>
            <w:noProof w:val="1"/>
          </w:rPr>
          <w:instrText xml:space="preserve"> PAGEREF _Toc219101372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3">
        <w:r>
          <w:rPr>
            <w:rStyle w:val="C2"/>
            <w:rFonts w:cs="Calibri"/>
            <w:noProof w:val="1"/>
          </w:rPr>
          <w:t>4.4</w:t>
        </w:r>
        <w:r>
          <w:rPr>
            <w:rFonts w:cstheme="minorBidi"/>
            <w:smallCaps w:val="0"/>
            <w:noProof w:val="1"/>
            <w:sz w:val="24"/>
            <w:szCs w:val="24"/>
            <w:kern w:val="2"/>
            <w:lang w:eastAsia="sv-SE"/>
          </w:rPr>
          <w:tab/>
        </w:r>
        <w:r>
          <w:rPr>
            <w:rStyle w:val="C2"/>
            <w:rFonts w:cs="Calibri"/>
            <w:noProof w:val="1"/>
          </w:rPr>
          <w:t>Riksintressen</w:t>
        </w:r>
        <w:r>
          <w:rPr>
            <w:noProof w:val="1"/>
          </w:rPr>
          <w:tab/>
        </w:r>
        <w:r>
          <w:rPr>
            <w:noProof w:val="1"/>
          </w:rPr>
          <w:fldChar w:fldCharType="begin"/>
        </w:r>
        <w:r>
          <w:rPr>
            <w:noProof w:val="1"/>
          </w:rPr>
          <w:instrText xml:space="preserve"> PAGEREF _Toc219101373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4">
        <w:r>
          <w:rPr>
            <w:rStyle w:val="C2"/>
            <w:rFonts w:cs="Calibri"/>
            <w:noProof w:val="1"/>
          </w:rPr>
          <w:t>4.5</w:t>
        </w:r>
        <w:r>
          <w:rPr>
            <w:rFonts w:cstheme="minorBidi"/>
            <w:smallCaps w:val="0"/>
            <w:noProof w:val="1"/>
            <w:sz w:val="24"/>
            <w:szCs w:val="24"/>
            <w:kern w:val="2"/>
            <w:lang w:eastAsia="sv-SE"/>
          </w:rPr>
          <w:tab/>
        </w:r>
        <w:r>
          <w:rPr>
            <w:rStyle w:val="C2"/>
            <w:rFonts w:cs="Calibri"/>
            <w:noProof w:val="1"/>
          </w:rPr>
          <w:t>Hushållningsbestämmelser enligt 3, 4 kap. Miljöbalken</w:t>
        </w:r>
        <w:r>
          <w:rPr>
            <w:noProof w:val="1"/>
          </w:rPr>
          <w:tab/>
        </w:r>
        <w:r>
          <w:rPr>
            <w:noProof w:val="1"/>
          </w:rPr>
          <w:fldChar w:fldCharType="begin"/>
        </w:r>
        <w:r>
          <w:rPr>
            <w:noProof w:val="1"/>
          </w:rPr>
          <w:instrText xml:space="preserve"> PAGEREF _Toc219101374 \h </w:instrText>
        </w:r>
        <w:r>
          <w:rPr>
            <w:noProof w:val="1"/>
          </w:rPr>
          <w:fldChar w:fldCharType="separate"/>
        </w:r>
        <w:r>
          <w:rPr>
            <w:noProof w:val="1"/>
          </w:rPr>
          <w:t>16</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375">
        <w:r>
          <w:rPr>
            <w:rStyle w:val="C2"/>
            <w:rFonts w:cs="Calibri"/>
            <w:noProof w:val="1"/>
          </w:rPr>
          <w:t>5</w:t>
        </w:r>
        <w:r>
          <w:rPr>
            <w:rFonts w:cstheme="minorBidi"/>
            <w:b w:val="0"/>
            <w:bCs w:val="0"/>
            <w:caps w:val="0"/>
            <w:noProof w:val="1"/>
            <w:sz w:val="24"/>
            <w:szCs w:val="24"/>
            <w:kern w:val="2"/>
            <w:lang w:eastAsia="sv-SE"/>
          </w:rPr>
          <w:tab/>
        </w:r>
        <w:r>
          <w:rPr>
            <w:rStyle w:val="C2"/>
            <w:rFonts w:cs="Calibri"/>
            <w:noProof w:val="1"/>
          </w:rPr>
          <w:t>Förutsättningar, förändringar och konsekvenser</w:t>
        </w:r>
        <w:r>
          <w:rPr>
            <w:noProof w:val="1"/>
          </w:rPr>
          <w:tab/>
        </w:r>
        <w:r>
          <w:rPr>
            <w:noProof w:val="1"/>
          </w:rPr>
          <w:fldChar w:fldCharType="begin"/>
        </w:r>
        <w:r>
          <w:rPr>
            <w:noProof w:val="1"/>
          </w:rPr>
          <w:instrText xml:space="preserve"> PAGEREF _Toc219101375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6">
        <w:r>
          <w:rPr>
            <w:rStyle w:val="C2"/>
            <w:rFonts w:cs="Calibri"/>
            <w:noProof w:val="1"/>
          </w:rPr>
          <w:t>5.1</w:t>
        </w:r>
        <w:r>
          <w:rPr>
            <w:rFonts w:cstheme="minorBidi"/>
            <w:smallCaps w:val="0"/>
            <w:noProof w:val="1"/>
            <w:sz w:val="24"/>
            <w:szCs w:val="24"/>
            <w:kern w:val="2"/>
            <w:lang w:eastAsia="sv-SE"/>
          </w:rPr>
          <w:tab/>
        </w:r>
        <w:r>
          <w:rPr>
            <w:rStyle w:val="C2"/>
            <w:rFonts w:cs="Calibri"/>
            <w:noProof w:val="1"/>
          </w:rPr>
          <w:t>Befintlig detaljplan inom planområdet för planförslaget</w:t>
        </w:r>
        <w:r>
          <w:rPr>
            <w:noProof w:val="1"/>
          </w:rPr>
          <w:tab/>
        </w:r>
        <w:r>
          <w:rPr>
            <w:noProof w:val="1"/>
          </w:rPr>
          <w:fldChar w:fldCharType="begin"/>
        </w:r>
        <w:r>
          <w:rPr>
            <w:noProof w:val="1"/>
          </w:rPr>
          <w:instrText xml:space="preserve"> PAGEREF _Toc219101376 \h </w:instrText>
        </w:r>
        <w:r>
          <w:rPr>
            <w:noProof w:val="1"/>
          </w:rPr>
          <w:fldChar w:fldCharType="separate"/>
        </w:r>
        <w:r>
          <w:rPr>
            <w:noProof w:val="1"/>
          </w:rPr>
          <w:t>16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7">
        <w:r>
          <w:rPr>
            <w:rStyle w:val="C2"/>
            <w:rFonts w:cs="Calibri"/>
            <w:noProof w:val="1"/>
          </w:rPr>
          <w:t>5.2</w:t>
        </w:r>
        <w:r>
          <w:rPr>
            <w:rFonts w:cstheme="minorBidi"/>
            <w:smallCaps w:val="0"/>
            <w:noProof w:val="1"/>
            <w:sz w:val="24"/>
            <w:szCs w:val="24"/>
            <w:kern w:val="2"/>
            <w:lang w:eastAsia="sv-SE"/>
          </w:rPr>
          <w:tab/>
        </w:r>
        <w:r>
          <w:rPr>
            <w:rStyle w:val="C2"/>
            <w:rFonts w:cs="Calibri"/>
            <w:noProof w:val="1"/>
          </w:rPr>
          <w:t>Bebyggelse</w:t>
        </w:r>
        <w:r>
          <w:rPr>
            <w:noProof w:val="1"/>
          </w:rPr>
          <w:tab/>
        </w:r>
        <w:r>
          <w:rPr>
            <w:noProof w:val="1"/>
          </w:rPr>
          <w:fldChar w:fldCharType="begin"/>
        </w:r>
        <w:r>
          <w:rPr>
            <w:noProof w:val="1"/>
          </w:rPr>
          <w:instrText xml:space="preserve"> PAGEREF _Toc219101377 \h </w:instrText>
        </w:r>
        <w:r>
          <w:rPr>
            <w:noProof w:val="1"/>
          </w:rPr>
          <w:fldChar w:fldCharType="separate"/>
        </w:r>
        <w:r>
          <w:rPr>
            <w:noProof w:val="1"/>
          </w:rPr>
          <w:t>17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8">
        <w:r>
          <w:rPr>
            <w:rStyle w:val="C2"/>
            <w:rFonts w:cs="Calibri"/>
            <w:noProof w:val="1"/>
          </w:rPr>
          <w:t>5.3</w:t>
        </w:r>
        <w:r>
          <w:rPr>
            <w:rFonts w:cstheme="minorBidi"/>
            <w:smallCaps w:val="0"/>
            <w:noProof w:val="1"/>
            <w:sz w:val="24"/>
            <w:szCs w:val="24"/>
            <w:kern w:val="2"/>
            <w:lang w:eastAsia="sv-SE"/>
          </w:rPr>
          <w:tab/>
        </w:r>
        <w:r>
          <w:rPr>
            <w:rStyle w:val="C2"/>
            <w:rFonts w:cs="Calibri"/>
            <w:noProof w:val="1"/>
          </w:rPr>
          <w:t>Natur</w:t>
        </w:r>
        <w:r>
          <w:rPr>
            <w:noProof w:val="1"/>
          </w:rPr>
          <w:tab/>
        </w:r>
        <w:r>
          <w:rPr>
            <w:noProof w:val="1"/>
          </w:rPr>
          <w:fldChar w:fldCharType="begin"/>
        </w:r>
        <w:r>
          <w:rPr>
            <w:noProof w:val="1"/>
          </w:rPr>
          <w:instrText xml:space="preserve"> PAGEREF _Toc219101378 \h </w:instrText>
        </w:r>
        <w:r>
          <w:rPr>
            <w:noProof w:val="1"/>
          </w:rPr>
          <w:fldChar w:fldCharType="separate"/>
        </w:r>
        <w:r>
          <w:rPr>
            <w:noProof w:val="1"/>
          </w:rPr>
          <w:t>21</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79">
        <w:r>
          <w:rPr>
            <w:rStyle w:val="C2"/>
            <w:rFonts w:cs="Calibri"/>
            <w:noProof w:val="1"/>
          </w:rPr>
          <w:t>5.4</w:t>
        </w:r>
        <w:r>
          <w:rPr>
            <w:rFonts w:cstheme="minorBidi"/>
            <w:smallCaps w:val="0"/>
            <w:noProof w:val="1"/>
            <w:sz w:val="24"/>
            <w:szCs w:val="24"/>
            <w:kern w:val="2"/>
            <w:lang w:eastAsia="sv-SE"/>
          </w:rPr>
          <w:tab/>
        </w:r>
        <w:r>
          <w:rPr>
            <w:rStyle w:val="C2"/>
            <w:rFonts w:cs="Calibri"/>
            <w:noProof w:val="1"/>
          </w:rPr>
          <w:t>Geotekniska förhållanden</w:t>
        </w:r>
        <w:r>
          <w:rPr>
            <w:noProof w:val="1"/>
          </w:rPr>
          <w:tab/>
        </w:r>
        <w:r>
          <w:rPr>
            <w:noProof w:val="1"/>
          </w:rPr>
          <w:fldChar w:fldCharType="begin"/>
        </w:r>
        <w:r>
          <w:rPr>
            <w:noProof w:val="1"/>
          </w:rPr>
          <w:instrText xml:space="preserve"> PAGEREF _Toc219101379 \h </w:instrText>
        </w:r>
        <w:r>
          <w:rPr>
            <w:noProof w:val="1"/>
          </w:rPr>
          <w:fldChar w:fldCharType="separate"/>
        </w:r>
        <w:r>
          <w:rPr>
            <w:noProof w:val="1"/>
          </w:rPr>
          <w:t>25</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0">
        <w:r>
          <w:rPr>
            <w:rStyle w:val="C2"/>
            <w:rFonts w:cs="Calibri"/>
            <w:noProof w:val="1"/>
          </w:rPr>
          <w:t>5.5</w:t>
        </w:r>
        <w:r>
          <w:rPr>
            <w:rFonts w:cstheme="minorBidi"/>
            <w:smallCaps w:val="0"/>
            <w:noProof w:val="1"/>
            <w:sz w:val="24"/>
            <w:szCs w:val="24"/>
            <w:kern w:val="2"/>
            <w:lang w:eastAsia="sv-SE"/>
          </w:rPr>
          <w:tab/>
        </w:r>
        <w:r>
          <w:rPr>
            <w:rStyle w:val="C2"/>
            <w:rFonts w:cs="Calibri"/>
            <w:noProof w:val="1"/>
          </w:rPr>
          <w:t>Fornlämningar och värdefull kulturhistorisk miljö</w:t>
        </w:r>
        <w:r>
          <w:rPr>
            <w:noProof w:val="1"/>
          </w:rPr>
          <w:tab/>
        </w:r>
        <w:r>
          <w:rPr>
            <w:noProof w:val="1"/>
          </w:rPr>
          <w:fldChar w:fldCharType="begin"/>
        </w:r>
        <w:r>
          <w:rPr>
            <w:noProof w:val="1"/>
          </w:rPr>
          <w:instrText xml:space="preserve"> PAGEREF _Toc219101380 \h </w:instrText>
        </w:r>
        <w:r>
          <w:rPr>
            <w:noProof w:val="1"/>
          </w:rPr>
          <w:fldChar w:fldCharType="separate"/>
        </w:r>
        <w:r>
          <w:rPr>
            <w:noProof w:val="1"/>
          </w:rPr>
          <w:t>26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1">
        <w:r>
          <w:rPr>
            <w:rStyle w:val="C2"/>
            <w:rFonts w:cs="Calibri"/>
            <w:noProof w:val="1"/>
          </w:rPr>
          <w:t>5.6</w:t>
        </w:r>
        <w:r>
          <w:rPr>
            <w:rFonts w:cstheme="minorBidi"/>
            <w:smallCaps w:val="0"/>
            <w:noProof w:val="1"/>
            <w:sz w:val="24"/>
            <w:szCs w:val="24"/>
            <w:kern w:val="2"/>
            <w:lang w:eastAsia="sv-SE"/>
          </w:rPr>
          <w:tab/>
        </w:r>
        <w:r>
          <w:rPr>
            <w:rStyle w:val="C2"/>
            <w:rFonts w:cs="Calibri"/>
            <w:noProof w:val="1"/>
          </w:rPr>
          <w:t>Gator och trafik</w:t>
        </w:r>
        <w:r>
          <w:rPr>
            <w:noProof w:val="1"/>
          </w:rPr>
          <w:tab/>
        </w:r>
        <w:r>
          <w:rPr>
            <w:noProof w:val="1"/>
          </w:rPr>
          <w:fldChar w:fldCharType="begin"/>
        </w:r>
        <w:r>
          <w:rPr>
            <w:noProof w:val="1"/>
          </w:rPr>
          <w:instrText xml:space="preserve"> PAGEREF _Toc219101381 \h </w:instrText>
        </w:r>
        <w:r>
          <w:rPr>
            <w:noProof w:val="1"/>
          </w:rPr>
          <w:fldChar w:fldCharType="separate"/>
        </w:r>
        <w:r>
          <w:rPr>
            <w:noProof w:val="1"/>
          </w:rPr>
          <w:t>26</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2">
        <w:r>
          <w:rPr>
            <w:rStyle w:val="C2"/>
            <w:rFonts w:cs="Calibri"/>
            <w:noProof w:val="1"/>
          </w:rPr>
          <w:t>5.7</w:t>
        </w:r>
        <w:r>
          <w:rPr>
            <w:rFonts w:cstheme="minorBidi"/>
            <w:smallCaps w:val="0"/>
            <w:noProof w:val="1"/>
            <w:sz w:val="24"/>
            <w:szCs w:val="24"/>
            <w:kern w:val="2"/>
            <w:lang w:eastAsia="sv-SE"/>
          </w:rPr>
          <w:tab/>
        </w:r>
        <w:r>
          <w:rPr>
            <w:rStyle w:val="C2"/>
            <w:rFonts w:cs="Calibri"/>
            <w:noProof w:val="1"/>
          </w:rPr>
          <w:t>Sociala</w:t>
        </w:r>
        <w:r>
          <w:rPr>
            <w:noProof w:val="1"/>
          </w:rPr>
          <w:tab/>
        </w:r>
        <w:r>
          <w:rPr>
            <w:noProof w:val="1"/>
          </w:rPr>
          <w:fldChar w:fldCharType="begin"/>
        </w:r>
        <w:r>
          <w:rPr>
            <w:noProof w:val="1"/>
          </w:rPr>
          <w:instrText xml:space="preserve"> PAGEREF _Toc219101382 \h </w:instrText>
        </w:r>
        <w:r>
          <w:rPr>
            <w:noProof w:val="1"/>
          </w:rPr>
          <w:fldChar w:fldCharType="separate"/>
        </w:r>
        <w:r>
          <w:rPr>
            <w:noProof w:val="1"/>
          </w:rPr>
          <w:t>27</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3">
        <w:r>
          <w:rPr>
            <w:rStyle w:val="C2"/>
            <w:rFonts w:cs="Calibri"/>
            <w:noProof w:val="1"/>
          </w:rPr>
          <w:t>5.8</w:t>
        </w:r>
        <w:r>
          <w:rPr>
            <w:rFonts w:cstheme="minorBidi"/>
            <w:smallCaps w:val="0"/>
            <w:noProof w:val="1"/>
            <w:sz w:val="24"/>
            <w:szCs w:val="24"/>
            <w:kern w:val="2"/>
            <w:lang w:eastAsia="sv-SE"/>
          </w:rPr>
          <w:tab/>
        </w:r>
        <w:r>
          <w:rPr>
            <w:rStyle w:val="C2"/>
            <w:rFonts w:cs="Calibri"/>
            <w:noProof w:val="1"/>
          </w:rPr>
          <w:t>Teknisk försörjning</w:t>
        </w:r>
        <w:r>
          <w:rPr>
            <w:noProof w:val="1"/>
          </w:rPr>
          <w:tab/>
        </w:r>
        <w:r>
          <w:rPr>
            <w:noProof w:val="1"/>
          </w:rPr>
          <w:fldChar w:fldCharType="begin"/>
        </w:r>
        <w:r>
          <w:rPr>
            <w:noProof w:val="1"/>
          </w:rPr>
          <w:instrText xml:space="preserve"> PAGEREF _Toc219101383 \h </w:instrText>
        </w:r>
        <w:r>
          <w:rPr>
            <w:noProof w:val="1"/>
          </w:rPr>
          <w:fldChar w:fldCharType="separate"/>
        </w:r>
        <w:r>
          <w:rPr>
            <w:noProof w:val="1"/>
          </w:rPr>
          <w:t>28</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4">
        <w:r>
          <w:rPr>
            <w:rStyle w:val="C2"/>
            <w:rFonts w:cs="Calibri"/>
            <w:noProof w:val="1"/>
          </w:rPr>
          <w:t>5.9</w:t>
        </w:r>
        <w:r>
          <w:rPr>
            <w:rFonts w:cstheme="minorBidi"/>
            <w:smallCaps w:val="0"/>
            <w:noProof w:val="1"/>
            <w:sz w:val="24"/>
            <w:szCs w:val="24"/>
            <w:kern w:val="2"/>
            <w:lang w:eastAsia="sv-SE"/>
          </w:rPr>
          <w:tab/>
        </w:r>
        <w:r>
          <w:rPr>
            <w:rStyle w:val="C2"/>
            <w:rFonts w:cs="Calibri"/>
            <w:noProof w:val="1"/>
          </w:rPr>
          <w:t>Miljökvalitetsnormer</w:t>
        </w:r>
        <w:r>
          <w:rPr>
            <w:noProof w:val="1"/>
          </w:rPr>
          <w:tab/>
        </w:r>
        <w:r>
          <w:rPr>
            <w:noProof w:val="1"/>
          </w:rPr>
          <w:fldChar w:fldCharType="begin"/>
        </w:r>
        <w:r>
          <w:rPr>
            <w:noProof w:val="1"/>
          </w:rPr>
          <w:instrText xml:space="preserve"> PAGEREF _Toc219101384 \h </w:instrText>
        </w:r>
        <w:r>
          <w:rPr>
            <w:noProof w:val="1"/>
          </w:rPr>
          <w:fldChar w:fldCharType="separate"/>
        </w:r>
        <w:r>
          <w:rPr>
            <w:noProof w:val="1"/>
          </w:rPr>
          <w:t>30</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5">
        <w:r>
          <w:rPr>
            <w:rStyle w:val="C2"/>
            <w:rFonts w:cs="Calibri"/>
            <w:noProof w:val="1"/>
          </w:rPr>
          <w:t>5.10</w:t>
        </w:r>
        <w:r>
          <w:rPr>
            <w:rFonts w:cstheme="minorBidi"/>
            <w:smallCaps w:val="0"/>
            <w:noProof w:val="1"/>
            <w:sz w:val="24"/>
            <w:szCs w:val="24"/>
            <w:kern w:val="2"/>
            <w:lang w:eastAsia="sv-SE"/>
          </w:rPr>
          <w:tab/>
        </w:r>
        <w:r>
          <w:rPr>
            <w:rStyle w:val="C2"/>
            <w:rFonts w:cs="Calibri"/>
            <w:noProof w:val="1"/>
          </w:rPr>
          <w:t>Hälsa och säkerhet</w:t>
        </w:r>
        <w:r>
          <w:rPr>
            <w:noProof w:val="1"/>
          </w:rPr>
          <w:tab/>
        </w:r>
        <w:r>
          <w:rPr>
            <w:noProof w:val="1"/>
          </w:rPr>
          <w:fldChar w:fldCharType="begin"/>
        </w:r>
        <w:r>
          <w:rPr>
            <w:noProof w:val="1"/>
          </w:rPr>
          <w:instrText xml:space="preserve"> PAGEREF _Toc219101385 \h </w:instrText>
        </w:r>
        <w:r>
          <w:rPr>
            <w:noProof w:val="1"/>
          </w:rPr>
          <w:fldChar w:fldCharType="separate"/>
        </w:r>
        <w:r>
          <w:rPr>
            <w:noProof w:val="1"/>
          </w:rPr>
          <w:t>34</w:t>
        </w:r>
        <w:r>
          <w:rPr>
            <w:noProof w:val="1"/>
          </w:rPr>
          <w:fldChar w:fldCharType="end"/>
        </w:r>
      </w:hyperlink>
    </w:p>
    <w:p>
      <w:pPr>
        <w:pStyle w:val="P22"/>
        <w:tabs>
          <w:tab w:val="left" w:pos="440" w:leader="none"/>
          <w:tab w:val="right" w:pos="9062" w:leader="dot"/>
        </w:tabs>
        <w:rPr>
          <w:rFonts w:cstheme="minorBidi"/>
          <w:b w:val="0"/>
          <w:bCs w:val="0"/>
          <w:caps w:val="0"/>
          <w:noProof w:val="1"/>
          <w:sz w:val="24"/>
          <w:szCs w:val="24"/>
          <w:kern w:val="2"/>
          <w:lang w:eastAsia="sv-SE"/>
        </w:rPr>
      </w:pPr>
      <w:hyperlink w:anchor="_Toc219101386">
        <w:r>
          <w:rPr>
            <w:rStyle w:val="C2"/>
            <w:rFonts w:cs="Calibri"/>
            <w:noProof w:val="1"/>
          </w:rPr>
          <w:t>6</w:t>
        </w:r>
        <w:r>
          <w:rPr>
            <w:rFonts w:cstheme="minorBidi"/>
            <w:b w:val="0"/>
            <w:bCs w:val="0"/>
            <w:caps w:val="0"/>
            <w:noProof w:val="1"/>
            <w:sz w:val="24"/>
            <w:szCs w:val="24"/>
            <w:kern w:val="2"/>
            <w:lang w:eastAsia="sv-SE"/>
          </w:rPr>
          <w:tab/>
        </w:r>
        <w:r>
          <w:rPr>
            <w:rStyle w:val="C2"/>
            <w:rFonts w:cs="Calibri"/>
            <w:noProof w:val="1"/>
          </w:rPr>
          <w:t>Genomförandefrågor</w:t>
        </w:r>
        <w:r>
          <w:rPr>
            <w:noProof w:val="1"/>
          </w:rPr>
          <w:tab/>
        </w:r>
        <w:r>
          <w:rPr>
            <w:noProof w:val="1"/>
          </w:rPr>
          <w:fldChar w:fldCharType="begin"/>
        </w:r>
        <w:r>
          <w:rPr>
            <w:noProof w:val="1"/>
          </w:rPr>
          <w:instrText xml:space="preserve"> PAGEREF _Toc219101386 \h </w:instrText>
        </w:r>
        <w:r>
          <w:rPr>
            <w:noProof w:val="1"/>
          </w:rPr>
          <w:fldChar w:fldCharType="separate"/>
        </w:r>
        <w:r>
          <w:rPr>
            <w:noProof w:val="1"/>
          </w:rPr>
          <w:t>39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7">
        <w:r>
          <w:rPr>
            <w:rStyle w:val="C2"/>
            <w:rFonts w:cs="Calibri"/>
            <w:noProof w:val="1"/>
          </w:rPr>
          <w:t>6.1</w:t>
        </w:r>
        <w:r>
          <w:rPr>
            <w:rFonts w:cstheme="minorBidi"/>
            <w:smallCaps w:val="0"/>
            <w:noProof w:val="1"/>
            <w:sz w:val="24"/>
            <w:szCs w:val="24"/>
            <w:kern w:val="2"/>
            <w:lang w:eastAsia="sv-SE"/>
          </w:rPr>
          <w:tab/>
        </w:r>
        <w:r>
          <w:rPr>
            <w:rStyle w:val="C2"/>
            <w:rFonts w:cs="Calibri"/>
            <w:noProof w:val="1"/>
          </w:rPr>
          <w:t>Fastighetsrättsliga frågor</w:t>
        </w:r>
        <w:r>
          <w:rPr>
            <w:noProof w:val="1"/>
          </w:rPr>
          <w:tab/>
        </w:r>
        <w:r>
          <w:rPr>
            <w:noProof w:val="1"/>
          </w:rPr>
          <w:fldChar w:fldCharType="begin"/>
        </w:r>
        <w:r>
          <w:rPr>
            <w:noProof w:val="1"/>
          </w:rPr>
          <w:instrText xml:space="preserve"> PAGEREF _Toc219101387 \h </w:instrText>
        </w:r>
        <w:r>
          <w:rPr>
            <w:noProof w:val="1"/>
          </w:rPr>
          <w:fldChar w:fldCharType="separate"/>
        </w:r>
        <w:r>
          <w:rPr>
            <w:noProof w:val="1"/>
          </w:rPr>
          <w:t>39</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8">
        <w:r>
          <w:rPr>
            <w:rStyle w:val="C2"/>
            <w:rFonts w:cs="Calibri"/>
            <w:noProof w:val="1"/>
          </w:rPr>
          <w:t>6.2</w:t>
        </w:r>
        <w:r>
          <w:rPr>
            <w:rFonts w:cstheme="minorBidi"/>
            <w:smallCaps w:val="0"/>
            <w:noProof w:val="1"/>
            <w:sz w:val="24"/>
            <w:szCs w:val="24"/>
            <w:kern w:val="2"/>
            <w:lang w:eastAsia="sv-SE"/>
          </w:rPr>
          <w:tab/>
        </w:r>
        <w:r>
          <w:rPr>
            <w:rStyle w:val="C2"/>
            <w:rFonts w:cs="Calibri"/>
            <w:noProof w:val="1"/>
          </w:rPr>
          <w:t>Tekniska frågor</w:t>
        </w:r>
        <w:r>
          <w:rPr>
            <w:noProof w:val="1"/>
          </w:rPr>
          <w:tab/>
        </w:r>
        <w:r>
          <w:rPr>
            <w:noProof w:val="1"/>
          </w:rPr>
          <w:fldChar w:fldCharType="begin"/>
        </w:r>
        <w:r>
          <w:rPr>
            <w:noProof w:val="1"/>
          </w:rPr>
          <w:instrText xml:space="preserve"> PAGEREF _Toc219101388 \h </w:instrText>
        </w:r>
        <w:r>
          <w:rPr>
            <w:noProof w:val="1"/>
          </w:rPr>
          <w:fldChar w:fldCharType="separate"/>
        </w:r>
        <w:r>
          <w:rPr>
            <w:noProof w:val="1"/>
          </w:rPr>
          <w:t>41</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89">
        <w:r>
          <w:rPr>
            <w:rStyle w:val="C2"/>
            <w:rFonts w:cs="Calibri"/>
            <w:noProof w:val="1"/>
          </w:rPr>
          <w:t>6.3</w:t>
        </w:r>
        <w:r>
          <w:rPr>
            <w:rFonts w:cstheme="minorBidi"/>
            <w:smallCaps w:val="0"/>
            <w:noProof w:val="1"/>
            <w:sz w:val="24"/>
            <w:szCs w:val="24"/>
            <w:kern w:val="2"/>
            <w:lang w:eastAsia="sv-SE"/>
          </w:rPr>
          <w:tab/>
        </w:r>
        <w:r>
          <w:rPr>
            <w:rStyle w:val="C2"/>
            <w:rFonts w:cs="Calibri"/>
            <w:noProof w:val="1"/>
          </w:rPr>
          <w:t>Ekonomiska frågor</w:t>
        </w:r>
        <w:r>
          <w:rPr>
            <w:noProof w:val="1"/>
          </w:rPr>
          <w:tab/>
        </w:r>
        <w:r>
          <w:rPr>
            <w:noProof w:val="1"/>
          </w:rPr>
          <w:fldChar w:fldCharType="begin"/>
        </w:r>
        <w:r>
          <w:rPr>
            <w:noProof w:val="1"/>
          </w:rPr>
          <w:instrText xml:space="preserve"> PAGEREF _Toc219101389 \h </w:instrText>
        </w:r>
        <w:r>
          <w:rPr>
            <w:noProof w:val="1"/>
          </w:rPr>
          <w:fldChar w:fldCharType="separate"/>
        </w:r>
        <w:r>
          <w:rPr>
            <w:noProof w:val="1"/>
          </w:rPr>
          <w:t>42</w:t>
        </w:r>
        <w:r>
          <w:rPr>
            <w:noProof w:val="1"/>
          </w:rPr>
          <w:fldChar w:fldCharType="end"/>
        </w:r>
      </w:hyperlink>
    </w:p>
    <w:p>
      <w:pPr>
        <w:pStyle w:val="P23"/>
        <w:tabs>
          <w:tab w:val="left" w:pos="880" w:leader="none"/>
          <w:tab w:val="right" w:pos="9062" w:leader="dot"/>
        </w:tabs>
        <w:rPr>
          <w:rFonts w:cstheme="minorBidi"/>
          <w:smallCaps w:val="0"/>
          <w:noProof w:val="1"/>
          <w:sz w:val="24"/>
          <w:szCs w:val="24"/>
          <w:kern w:val="2"/>
          <w:lang w:eastAsia="sv-SE"/>
        </w:rPr>
      </w:pPr>
      <w:hyperlink w:anchor="_Toc219101390">
        <w:r>
          <w:rPr>
            <w:rStyle w:val="C2"/>
            <w:rFonts w:cs="Calibri"/>
            <w:noProof w:val="1"/>
          </w:rPr>
          <w:t>6.4</w:t>
        </w:r>
        <w:r>
          <w:rPr>
            <w:rFonts w:cstheme="minorBidi"/>
            <w:smallCaps w:val="0"/>
            <w:noProof w:val="1"/>
            <w:sz w:val="24"/>
            <w:szCs w:val="24"/>
            <w:kern w:val="2"/>
            <w:lang w:eastAsia="sv-SE"/>
          </w:rPr>
          <w:tab/>
        </w:r>
        <w:r>
          <w:rPr>
            <w:rStyle w:val="C2"/>
            <w:rFonts w:cs="Calibri"/>
            <w:noProof w:val="1"/>
          </w:rPr>
          <w:t>Organisatoriska frågor</w:t>
        </w:r>
        <w:r>
          <w:rPr>
            <w:noProof w:val="1"/>
          </w:rPr>
          <w:tab/>
        </w:r>
        <w:r>
          <w:rPr>
            <w:noProof w:val="1"/>
          </w:rPr>
          <w:fldChar w:fldCharType="begin"/>
        </w:r>
        <w:r>
          <w:rPr>
            <w:noProof w:val="1"/>
          </w:rPr>
          <w:instrText xml:space="preserve"> PAGEREF _Toc219101390 \h </w:instrText>
        </w:r>
        <w:r>
          <w:rPr>
            <w:noProof w:val="1"/>
          </w:rPr>
          <w:fldChar w:fldCharType="separate"/>
        </w:r>
        <w:r>
          <w:rPr>
            <w:noProof w:val="1"/>
          </w:rPr>
          <w:t>43</w:t>
        </w:r>
        <w:r>
          <w:rPr>
            <w:noProof w:val="1"/>
          </w:rPr>
          <w:fldChar w:fldCharType="end"/>
        </w:r>
      </w:hyperlink>
    </w:p>
    <w:p>
      <w:pPr>
        <w:rPr>
          <w:rFonts w:ascii="Calibri" w:hAnsi="Calibri" w:cs="Calibri"/>
        </w:rPr>
      </w:pPr>
      <w:r>
        <w:rPr>
          <w:rFonts w:ascii="Calibri" w:hAnsi="Calibri" w:cs="Calibri"/>
        </w:rPr>
        <w:fldChar w:fldCharType="end"/>
      </w:r>
    </w:p>
    <w:p>
      <w:pPr>
        <w:rPr>
          <w:rFonts w:ascii="Calibri" w:hAnsi="Calibri" w:cs="Calibri"/>
        </w:rPr>
      </w:pPr>
    </w:p>
    <w:p>
      <w:pPr>
        <w:rPr>
          <w:rFonts w:ascii="Calibri" w:hAnsi="Calibri" w:cs="Calibri"/>
        </w:rPr>
      </w:pPr>
    </w:p>
    <w:p>
      <w:pPr>
        <w:rPr>
          <w:rFonts w:ascii="Calibri" w:hAnsi="Calibri" w:cs="Calibri"/>
        </w:rPr>
      </w:pPr>
    </w:p>
    <w:p>
      <w:pPr>
        <w:pStyle w:val="P1"/>
        <w:rPr>
          <w:rFonts w:cs="Calibri"/>
        </w:rPr>
      </w:pPr>
      <w:bookmarkStart w:id="6" w:name="_Toc219101355"/>
      <w:r>
        <w:rPr>
          <w:rFonts w:cs="Calibri"/>
        </w:rPr>
        <w:t>Detaljplanens syfte</w:t>
      </w:r>
      <w:bookmarkEnd w:id="6"/>
    </w:p>
    <w:p>
      <w:pPr>
        <w:ind w:left="432"/>
        <w:rPr>
          <w:rStyle w:val="C25"/>
          <w:rFonts w:ascii="Calibri" w:hAnsi="Calibri" w:cs="Calibri"/>
        </w:rPr>
      </w:pPr>
      <w:bookmarkStart w:id="7" w:name="_Hlk161208769"/>
      <w:bookmarkStart w:id="8" w:name="sy_syfte01"/>
      <w:r>
        <w:rPr>
          <w:rFonts w:ascii="Calibri" w:hAnsi="Calibri" w:cs="Calibri"/>
        </w:rPr>
        <w:t>Syftet med planen är att möjliggöra för uppförandet av en faskompensering samt att samordna bebyggelse och anläggningar för industri- och verksamhetsändamål.</w:t>
      </w:r>
    </w:p>
    <w:p>
      <w:pPr>
        <w:pStyle w:val="P1"/>
        <w:rPr>
          <w:rFonts w:cs="Calibri"/>
        </w:rPr>
      </w:pPr>
      <w:bookmarkEnd w:id="7"/>
      <w:bookmarkEnd w:id="8"/>
      <w:bookmarkStart w:id="9" w:name="_Toc219101356"/>
      <w:r>
        <w:rPr>
          <w:rFonts w:cs="Calibri"/>
        </w:rPr>
        <w:t>Beskrivning av detaljplanen</w:t>
      </w:r>
      <w:bookmarkEnd w:id="9"/>
      <w:r>
        <w:rPr>
          <w:rFonts w:cs="Calibri"/>
        </w:rPr>
        <w:t xml:space="preserve"> </w:t>
      </w:r>
    </w:p>
    <w:p>
      <w:pPr>
        <w:ind w:left="432"/>
        <w:rPr>
          <w:rFonts w:ascii="Calibri" w:hAnsi="Calibri" w:cs="Calibri"/>
        </w:rPr>
      </w:pPr>
      <w:r>
        <w:rPr>
          <w:rFonts w:ascii="Calibri" w:hAnsi="Calibri" w:cs="Calibri"/>
        </w:rPr>
        <w:t>Detta avsnitt innehåller en redovisning av detaljplanens huvuddrag med vilka förändringar som möjliggöras i området när detaljplanen genomförs, samt de överväganden som legat till grund för detaljplanens utformning.</w:t>
      </w:r>
    </w:p>
    <w:p>
      <w:pPr>
        <w:ind w:left="432"/>
        <w:rPr>
          <w:rFonts w:ascii="Calibri" w:hAnsi="Calibri" w:cs="Calibri"/>
        </w:rPr>
      </w:pPr>
      <w:bookmarkStart w:id="10" w:name="_Hlk161810423"/>
    </w:p>
    <w:p>
      <w:pPr>
        <w:ind w:left="432"/>
        <w:rPr>
          <w:rFonts w:ascii="Calibri" w:hAnsi="Calibri" w:cs="Calibri"/>
        </w:rPr>
      </w:pPr>
      <w:r>
        <w:rPr>
          <w:rFonts w:ascii="Calibri" w:hAnsi="Calibri" w:cs="Calibri"/>
          <w:noProof w:val="1"/>
        </w:rPr>
        <w:drawing>
          <wp:inline xmlns:wp="http://schemas.openxmlformats.org/drawingml/2006/wordprocessingDrawing" distT="0" distB="0" distL="0" distR="0">
            <wp:extent cx="5760720" cy="5437505"/>
            <wp:effectExtent l="0" t="0" r="0" b="0"/>
            <wp:docPr id="1779975797" name="Bildobjekt 1" descr="En bild som visar karta, text, diagram,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975797" name="Bildobjekt 1" descr="En bild som visar karta, text, diagram, Plan&#10;&#10;AI-genererat innehåll kan vara felaktigt."/>
                    <pic:cNvPicPr/>
                  </pic:nvPicPr>
                  <pic:blipFill dpi="0">
                    <a:blip xmlns:r="http://schemas.openxmlformats.org/officeDocument/2006/relationships" r:embed="Relimage3"/>
                    <a:srcRect/>
                    <a:stretch>
                      <a:fillRect/>
                    </a:stretch>
                  </pic:blipFill>
                  <pic:spPr>
                    <a:xfrm>
                      <a:off x="0" y="0"/>
                      <a:ext cx="5760720" cy="5437505"/>
                    </a:xfrm>
                    <a:prstGeom prst="rect"/>
                  </pic:spPr>
                </pic:pic>
              </a:graphicData>
            </a:graphic>
          </wp:inline>
        </w:drawing>
      </w:r>
    </w:p>
    <w:p>
      <w:pPr>
        <w:ind w:left="432"/>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Figur 1: Del av detaljplanekarta för Ovako södra entrén.</w:t>
      </w:r>
    </w:p>
    <w:p>
      <w:pPr>
        <w:pStyle w:val="P2"/>
        <w:rPr>
          <w:rFonts w:cs="Calibri"/>
        </w:rPr>
      </w:pPr>
      <w:bookmarkEnd w:id="10"/>
      <w:bookmarkStart w:id="11" w:name="_Toc219101357"/>
      <w:r>
        <w:rPr>
          <w:rFonts w:cs="Calibri"/>
        </w:rPr>
        <w:t>Detaljplanens omfattning och lokalisering</w:t>
      </w:r>
      <w:bookmarkEnd w:id="11"/>
    </w:p>
    <w:p>
      <w:pPr>
        <w:ind w:left="576"/>
        <w:rPr>
          <w:rFonts w:ascii="Calibri" w:hAnsi="Calibri" w:cs="Calibri"/>
        </w:rPr>
      </w:pPr>
      <w:bookmarkStart w:id="12" w:name="be_heladetaljplan01"/>
      <w:r>
        <w:rPr>
          <w:rFonts w:ascii="Calibri" w:hAnsi="Calibri" w:cs="Calibri"/>
        </w:rPr>
        <w:t>Planområdet omfattar cirka 3400 m</w:t>
      </w:r>
      <w:r>
        <w:rPr>
          <w:rFonts w:ascii="Calibri" w:hAnsi="Calibri" w:cs="Calibri"/>
          <w:vertAlign w:val="superscript"/>
        </w:rPr>
        <w:t>2</w:t>
      </w:r>
      <w:r>
        <w:rPr>
          <w:rFonts w:ascii="Calibri" w:hAnsi="Calibri" w:cs="Calibri"/>
        </w:rPr>
        <w:t xml:space="preserve"> och är en del av fastigheterna; </w:t>
      </w:r>
      <w:r>
        <w:rPr>
          <w:rFonts w:ascii="Calibri" w:hAnsi="Calibri" w:cs="Calibri"/>
          <w:color w:val="333333"/>
          <w:szCs w:val="24"/>
        </w:rPr>
        <w:t>Smedjebacken 2:3 som ägs av Ovako Bar AB, Smedjebacken 3:49 som ägs av det kommunala bolaget Smedjebacken Energi AB (SEAB) och Smedjebacken</w:t>
      </w:r>
      <w:r>
        <w:rPr>
          <w:rStyle w:val="C16"/>
          <w:rFonts w:ascii="Calibri" w:hAnsi="Calibri" w:cs="Calibri"/>
          <w:b w:val="0"/>
          <w:bCs w:val="0"/>
          <w:color w:val="333333"/>
          <w:szCs w:val="24"/>
        </w:rPr>
        <w:t xml:space="preserve"> 3:2 som är Smedjebacken kommuns fastighet. Planområdet är lokaliserat vid Vasagatan väg </w:t>
      </w:r>
      <w:r>
        <w:rPr>
          <w:rFonts w:cstheme="minorHAnsi"/>
          <w:color w:val="000000" w:themeColor="text1"/>
          <w:szCs w:val="24"/>
        </w:rPr>
        <w:t xml:space="preserve">635 </w:t>
      </w:r>
      <w:r>
        <w:rPr>
          <w:rStyle w:val="C16"/>
          <w:rFonts w:ascii="Calibri" w:hAnsi="Calibri" w:cs="Calibri"/>
          <w:b w:val="0"/>
          <w:bCs w:val="0"/>
          <w:color w:val="333333"/>
          <w:szCs w:val="24"/>
        </w:rPr>
        <w:t xml:space="preserve">och är genom södra infarten, entrén till Smedjebackens kärna (200 m nordöst). </w:t>
      </w:r>
      <w:r>
        <w:rPr>
          <w:rFonts w:ascii="Calibri" w:hAnsi="Calibri" w:cs="Calibri"/>
        </w:rPr>
        <w:t>Vasagatan är idag en genomfartsväg med trafik från Riksväg 66 till Borlänge som löper kring stadskärnan. Väster om planområdet och genomfartsgatan finns ett grönområde som sträcker sig mot Söppenmyren, ett naturreservat och ett viktigt rekreationsområde, där flera stråk löper runt och vidare från tätorten. Planområdet är en del av ett större industriområde på cirka 37 hektar och som sträcker sig österut längst med Kolbäcksån.</w:t>
      </w:r>
      <w:r>
        <w:rPr>
          <w:rStyle w:val="C16"/>
          <w:rFonts w:ascii="Calibri" w:hAnsi="Calibri" w:cs="Calibri"/>
          <w:b w:val="0"/>
          <w:bCs w:val="0"/>
          <w:color w:val="333333"/>
          <w:szCs w:val="24"/>
        </w:rPr>
        <w:t xml:space="preserve"> </w:t>
      </w:r>
      <w:r>
        <w:rPr>
          <w:rFonts w:ascii="Calibri" w:hAnsi="Calibri" w:cs="Calibri"/>
        </w:rPr>
        <w:t>Norr om Kolbäcksån (som rinner ut vidare mot Norra barken) återfinns kulturgatan Kyrkogatan, som idag används för rekreation, handel och verksamheter. Parallellt med Kyrkogatan i öster löper strandpromenadstråk samt målplatserna; Uddparken, Herosfältet och Hamnen, som med dess närhet till vattnet, är viktiga rekreationsområden för Smedjebackens tätort. Målpunkter söder om planområdet är verksamheter, industri, järnvägsstation, busstation och riksväg 66, som går mellan Fagersta (via Söderbärke) och Ludvika.</w:t>
      </w:r>
    </w:p>
    <w:p>
      <w:pPr>
        <w:pStyle w:val="P2"/>
        <w:rPr>
          <w:rFonts w:cs="Calibri"/>
        </w:rPr>
      </w:pPr>
      <w:bookmarkEnd w:id="12"/>
      <w:bookmarkStart w:id="13" w:name="_Toc219101358"/>
      <w:r>
        <w:rPr>
          <w:rFonts w:cs="Calibri"/>
        </w:rPr>
        <w:t>Hela detaljplanen</w:t>
      </w:r>
      <w:bookmarkEnd w:id="13"/>
    </w:p>
    <w:p>
      <w:pPr>
        <w:ind w:left="576"/>
        <w:rPr>
          <w:rFonts w:ascii="Calibri" w:hAnsi="Calibri" w:cs="Calibri"/>
        </w:rPr>
      </w:pPr>
      <w:bookmarkStart w:id="14" w:name="be_heladetaljplan02"/>
      <w:r>
        <w:rPr>
          <w:rFonts w:ascii="Calibri" w:hAnsi="Calibri" w:cs="Calibri"/>
        </w:rPr>
        <w:t>Planområdet utgörs idag av grönytor, en byggnad tillhörande vattenkraftverket och en infartsväg till Smedjebacken energis och Ovakos fastigheter. Smedjebackens kommun har även fastighet inom planområdet som främst fungerar som grönytor till genomfartsvägen. Planförslaget föreslår att nyttja markytorna mer effektivt genom större byggrätt, så att Ovako kan uppföra sin Faskompensering för utveckling av sin eldrift. Samtidigt möjliggör planen för att Smedjebacken energi kan samordna sin verksamhet i ett gemensamt inhägnat område med Ovako. Den tilltänkta detaljplanen möjliggör vid genomförande att tekniska anläggningar kan uppföras inom planområdet där befintlig infrastruktur redan finns.</w:t>
      </w:r>
    </w:p>
    <w:p>
      <w:pPr>
        <w:ind w:left="576"/>
        <w:rPr>
          <w:rFonts w:ascii="Calibri" w:hAnsi="Calibri" w:cs="Calibri"/>
        </w:rPr>
      </w:pPr>
    </w:p>
    <w:p>
      <w:pPr>
        <w:ind w:firstLine="576"/>
        <w:rPr>
          <w:rFonts w:ascii="Calibri" w:hAnsi="Calibri" w:cs="Calibri"/>
          <w:color w:val="3B3939" w:themeColor="background2" w:themeShade="40"/>
          <w:sz w:val="16"/>
          <w:szCs w:val="16"/>
        </w:rPr>
      </w:pPr>
      <w:r>
        <w:rPr>
          <w:rFonts w:ascii="Calibri" w:hAnsi="Calibri" w:cs="Calibri"/>
          <w:noProof w:val="1"/>
          <w:color w:val="3B3939" w:themeColor="background2" w:themeShade="40"/>
          <w:sz w:val="16"/>
          <w:szCs w:val="16"/>
        </w:rPr>
        <w:drawing>
          <wp:inline xmlns:wp="http://schemas.openxmlformats.org/drawingml/2006/wordprocessingDrawing" distT="0" distB="0" distL="0" distR="0">
            <wp:extent cx="4838700" cy="6730365"/>
            <wp:effectExtent l="0" t="0" r="0" b="0"/>
            <wp:docPr id="1705864079" name="Bildobjekt 7" descr="En bild som visar text, karta, diagram,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64079" name="Bildobjekt 7" descr="En bild som visar text, karta, diagram, kartbok&#10;&#10;AI-genererat innehåll kan vara felaktigt."/>
                    <pic:cNvPicPr>
                      <a:picLocks noChangeAspect="1" noChangeArrowheads="1"/>
                    </pic:cNvPicPr>
                  </pic:nvPicPr>
                  <pic:blipFill dpi="0">
                    <a:blip xmlns:r="http://schemas.openxmlformats.org/officeDocument/2006/relationships" r:embed="Relimage4" cstate="print"/>
                    <a:srcRect b="5013"/>
                    <a:stretch>
                      <a:fillRect/>
                    </a:stretch>
                  </pic:blipFill>
                  <pic:spPr bwMode="auto">
                    <a:xfrm>
                      <a:off x="0" y="0"/>
                      <a:ext cx="4890110" cy="6802013"/>
                    </a:xfrm>
                    <a:prstGeom prst="rect"/>
                    <a:noFill/>
                    <a:ln>
                      <a:noFill/>
                    </a:ln>
                  </pic:spPr>
                </pic:pic>
              </a:graphicData>
            </a:graphic>
          </wp:inline>
        </w:drawing>
      </w:r>
    </w:p>
    <w:p>
      <w:pPr>
        <w:ind w:firstLine="576"/>
        <w:jc w:val="both"/>
        <w:rPr>
          <w:rFonts w:ascii="Calibri" w:hAnsi="Calibri" w:cs="Calibri"/>
          <w:color w:val="A7A7A7"/>
          <w:sz w:val="16"/>
          <w:szCs w:val="16"/>
        </w:rPr>
      </w:pPr>
      <w:r>
        <w:rPr>
          <w:rFonts w:ascii="Calibri" w:hAnsi="Calibri" w:cs="Calibri"/>
          <w:color w:val="3B3939" w:themeColor="background2" w:themeShade="40"/>
          <w:sz w:val="16"/>
          <w:szCs w:val="16"/>
        </w:rPr>
        <w:t xml:space="preserve">Figur 2: Planområde inom röd markering </w:t>
      </w:r>
      <w:r>
        <w:rPr>
          <w:rFonts w:ascii="Calibri" w:hAnsi="Calibri" w:cs="Calibri"/>
          <w:color w:val="000000"/>
          <w:sz w:val="16"/>
          <w:szCs w:val="16"/>
        </w:rPr>
        <w:t>(grundkarta © Lantmäteriet</w:t>
      </w:r>
      <w:r>
        <w:rPr>
          <w:rFonts w:ascii="Calibri" w:hAnsi="Calibri" w:cs="Calibri"/>
          <w:sz w:val="16"/>
          <w:szCs w:val="16"/>
        </w:rPr>
        <w:t>).</w:t>
      </w:r>
    </w:p>
    <w:p>
      <w:pPr>
        <w:ind w:left="576"/>
        <w:rPr>
          <w:rFonts w:ascii="Calibri" w:hAnsi="Calibri" w:cs="Calibri"/>
        </w:rPr>
      </w:pPr>
    </w:p>
    <w:p>
      <w:pPr>
        <w:ind w:left="576"/>
        <w:rPr>
          <w:rFonts w:ascii="Calibri" w:hAnsi="Calibri" w:cs="Calibri"/>
        </w:rPr>
      </w:pPr>
    </w:p>
    <w:p>
      <w:pPr>
        <w:ind w:left="576"/>
        <w:rPr>
          <w:rFonts w:ascii="Calibri" w:hAnsi="Calibri" w:cs="Calibri"/>
        </w:rPr>
      </w:pPr>
      <w:r>
        <w:rPr>
          <w:rFonts w:ascii="Calibri" w:hAnsi="Calibri" w:cs="Calibri"/>
          <w:noProof w:val="1"/>
        </w:rPr>
        <w:drawing>
          <wp:inline xmlns:wp="http://schemas.openxmlformats.org/drawingml/2006/wordprocessingDrawing" distT="0" distB="0" distL="0" distR="0">
            <wp:extent cx="2611120" cy="1470025"/>
            <wp:effectExtent l="19050" t="19050" r="17780" b="15875"/>
            <wp:docPr id="154902536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5" cstate="print"/>
                    <a:srcRect/>
                    <a:stretch>
                      <a:fillRect/>
                    </a:stretch>
                  </pic:blipFill>
                  <pic:spPr bwMode="auto">
                    <a:xfrm>
                      <a:off x="0" y="0"/>
                      <a:ext cx="2648949" cy="1491129"/>
                    </a:xfrm>
                    <a:prstGeom prst="rect"/>
                    <a:noFill/>
                    <a:ln w="6350">
                      <a:solidFill>
                        <a:schemeClr val="tx1"/>
                      </a:solidFill>
                    </a:ln>
                  </pic:spPr>
                </pic:pic>
              </a:graphicData>
            </a:graphic>
          </wp:inline>
        </w:drawing>
      </w:r>
      <w:r>
        <w:rPr>
          <w:rFonts w:ascii="Calibri" w:hAnsi="Calibri" w:cs="Calibri"/>
        </w:rPr>
        <w:t xml:space="preserve">   </w:t>
      </w:r>
      <w:r>
        <w:rPr>
          <w:rFonts w:ascii="Calibri" w:hAnsi="Calibri" w:cs="Calibri"/>
          <w:noProof w:val="1"/>
        </w:rPr>
        <w:drawing>
          <wp:inline xmlns:wp="http://schemas.openxmlformats.org/drawingml/2006/wordprocessingDrawing" distT="0" distB="0" distL="0" distR="0">
            <wp:extent cx="2590165" cy="1457960"/>
            <wp:effectExtent l="19050" t="19050" r="19685" b="27940"/>
            <wp:docPr id="15776462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6" cstate="print"/>
                    <a:srcRect/>
                    <a:stretch>
                      <a:fillRect/>
                    </a:stretch>
                  </pic:blipFill>
                  <pic:spPr bwMode="auto">
                    <a:xfrm>
                      <a:off x="0" y="0"/>
                      <a:ext cx="2631242" cy="1481163"/>
                    </a:xfrm>
                    <a:prstGeom prst="rect"/>
                    <a:noFill/>
                    <a:ln w="6350">
                      <a:solidFill>
                        <a:schemeClr val="tx1"/>
                      </a:solidFill>
                    </a:ln>
                  </pic:spPr>
                </pic:pic>
              </a:graphicData>
            </a:graphic>
          </wp:inline>
        </w:drawing>
      </w:r>
    </w:p>
    <w:p>
      <w:pPr>
        <w:ind w:left="576"/>
        <w:rPr>
          <w:rFonts w:ascii="Calibri" w:hAnsi="Calibri" w:cs="Calibri"/>
        </w:rPr>
      </w:pPr>
      <w:r>
        <w:rPr>
          <w:rFonts w:ascii="Calibri" w:hAnsi="Calibri" w:cs="Calibri"/>
          <w:color w:val="3B3939" w:themeColor="background2" w:themeShade="40"/>
          <w:sz w:val="16"/>
          <w:szCs w:val="16"/>
        </w:rPr>
        <w:t>Figur 3: Miljöbild på infartsvägen.</w:t>
        <w:tab/>
        <w:t xml:space="preserve">                             Figur 4: Grönyta, Vattenkraftverksbyggnad och Vasagatan.</w:t>
      </w:r>
    </w:p>
    <w:p>
      <w:pPr>
        <w:pStyle w:val="P2"/>
        <w:rPr>
          <w:rFonts w:cs="Calibri"/>
        </w:rPr>
      </w:pPr>
      <w:bookmarkEnd w:id="14"/>
      <w:bookmarkStart w:id="15" w:name="_Toc219101359"/>
      <w:r>
        <w:rPr>
          <w:rFonts w:cs="Calibri"/>
        </w:rPr>
        <w:t>Allmän plats</w:t>
      </w:r>
      <w:bookmarkEnd w:id="15"/>
    </w:p>
    <w:p>
      <w:pPr>
        <w:ind w:left="576"/>
        <w:rPr>
          <w:rFonts w:ascii="Calibri" w:hAnsi="Calibri" w:cs="Calibri"/>
        </w:rPr>
      </w:pPr>
      <w:bookmarkStart w:id="16" w:name="be_allmänplats01"/>
      <w:r>
        <w:rPr>
          <w:rFonts w:ascii="Calibri" w:hAnsi="Calibri" w:cs="Calibri"/>
          <w:shd w:val="clear" w:color="auto" w:fill="FFFFFF"/>
        </w:rPr>
        <w:t>Med allmän plats menas ett område som är avsett för ett gemensamt behov.</w:t>
      </w:r>
      <w:r>
        <w:rPr>
          <w:rFonts w:ascii="Calibri" w:hAnsi="Calibri" w:cs="Calibri"/>
        </w:rPr>
        <w:t xml:space="preserve"> Allmänna platser inom planområdet omfattar;</w:t>
      </w:r>
    </w:p>
    <w:p>
      <w:pPr>
        <w:pStyle w:val="P31"/>
        <w:numPr>
          <w:ilvl w:val="0"/>
          <w:numId w:val="6"/>
        </w:numPr>
        <w:rPr>
          <w:rFonts w:ascii="Calibri" w:hAnsi="Calibri" w:cs="Calibri"/>
        </w:rPr>
      </w:pPr>
      <w:r>
        <w:rPr>
          <w:rFonts w:ascii="Calibri" w:hAnsi="Calibri" w:cs="Calibri"/>
        </w:rPr>
        <w:t>Park – Allmän plats. Parkmarken möjliggör för planteringar såsom träd, blomprakt och buskar nära genomfarten som är en del av Smedjebacken tätorts södra entré. Parkmarken möjliggör att hänsyn tas till Landskapsbilden i området.</w:t>
      </w:r>
    </w:p>
    <w:p>
      <w:pPr>
        <w:pStyle w:val="P31"/>
        <w:numPr>
          <w:ilvl w:val="0"/>
          <w:numId w:val="6"/>
        </w:numPr>
        <w:rPr>
          <w:rFonts w:ascii="Calibri" w:hAnsi="Calibri" w:cs="Calibri"/>
        </w:rPr>
      </w:pPr>
      <w:r>
        <w:rPr>
          <w:rFonts w:ascii="Calibri" w:hAnsi="Calibri" w:cs="Calibri"/>
        </w:rPr>
        <w:t>Gata – Allmän plats. Gatan är en del av genomfartsvägen Vasagatan och möjliggör utfartsförbud inom planområdet.</w:t>
      </w:r>
    </w:p>
    <w:p>
      <w:pPr>
        <w:pStyle w:val="P3"/>
        <w:rPr>
          <w:rFonts w:cs="Calibri"/>
        </w:rPr>
      </w:pPr>
      <w:bookmarkEnd w:id="16"/>
      <w:r>
        <w:rPr>
          <w:rFonts w:cs="Calibri"/>
        </w:rPr>
        <w:t>Huvudmannaskap</w:t>
      </w:r>
    </w:p>
    <w:p>
      <w:pPr>
        <w:ind w:left="720"/>
        <w:rPr>
          <w:rFonts w:ascii="Calibri" w:hAnsi="Calibri" w:cs="Calibri"/>
        </w:rPr>
      </w:pPr>
      <w:bookmarkStart w:id="17" w:name="be_huvudmannaskap01"/>
      <w:r>
        <w:rPr>
          <w:rFonts w:ascii="Calibri" w:hAnsi="Calibri" w:cs="Calibri"/>
        </w:rPr>
        <w:t xml:space="preserve">Enligt huvudregeln är kommunen normalt sett huvudman för allmänna platser inom detaljplanelagda områden. Därför föreslås kommunalt huvudmannaskap, vilket innebär att kommunen har ansvar för förvaltning och skötsel av de allmänna platserna inom planområdet. </w:t>
      </w:r>
    </w:p>
    <w:p>
      <w:pPr>
        <w:pStyle w:val="P2"/>
        <w:numPr>
          <w:ilvl w:val="1"/>
          <w:numId w:val="2"/>
        </w:numPr>
        <w:rPr>
          <w:rFonts w:cs="Calibri"/>
        </w:rPr>
      </w:pPr>
      <w:bookmarkEnd w:id="17"/>
      <w:bookmarkStart w:id="18" w:name="_Toc161610020"/>
      <w:bookmarkStart w:id="19" w:name="_Toc219101360"/>
      <w:r>
        <w:rPr>
          <w:rFonts w:cs="Calibri"/>
        </w:rPr>
        <w:t>Vattenområden</w:t>
      </w:r>
      <w:bookmarkEnd w:id="18"/>
      <w:bookmarkEnd w:id="19"/>
    </w:p>
    <w:p>
      <w:pPr>
        <w:ind w:left="576"/>
        <w:rPr>
          <w:rFonts w:ascii="Calibri" w:hAnsi="Calibri" w:cs="Calibri"/>
        </w:rPr>
      </w:pPr>
      <w:bookmarkStart w:id="20" w:name="be_vattenområde01"/>
      <w:r>
        <w:rPr>
          <w:rFonts w:ascii="Calibri" w:hAnsi="Calibri" w:cs="Calibri"/>
        </w:rPr>
        <w:t>Planområdet omfattas inte av något vattenområde.</w:t>
      </w:r>
    </w:p>
    <w:p>
      <w:pPr>
        <w:pStyle w:val="P2"/>
        <w:rPr>
          <w:rFonts w:cs="Calibri"/>
        </w:rPr>
      </w:pPr>
      <w:bookmarkEnd w:id="20"/>
      <w:bookmarkStart w:id="21" w:name="_Toc219101361"/>
      <w:r>
        <w:rPr>
          <w:rFonts w:cs="Calibri"/>
        </w:rPr>
        <w:t>Kvartersmark</w:t>
      </w:r>
      <w:bookmarkEnd w:id="21"/>
    </w:p>
    <w:p>
      <w:pPr>
        <w:ind w:left="576"/>
        <w:rPr>
          <w:rFonts w:ascii="Calibri" w:hAnsi="Calibri" w:cs="Calibri"/>
          <w:shd w:val="clear" w:color="auto" w:fill="FFFFFF"/>
        </w:rPr>
      </w:pPr>
      <w:bookmarkStart w:id="22" w:name="be_kvartersmark01"/>
      <w:r>
        <w:rPr>
          <w:rFonts w:ascii="Calibri" w:hAnsi="Calibri" w:cs="Calibri"/>
          <w:shd w:val="clear" w:color="auto" w:fill="FFFFFF"/>
        </w:rPr>
        <w:t>Med kvartersmark avses all mark inom ett planområde som inte ska utgöra allmän plats eller vattenområde. Kvartersmark inom planområdet omfattar;</w:t>
      </w:r>
    </w:p>
    <w:p>
      <w:pPr>
        <w:pStyle w:val="P31"/>
        <w:numPr>
          <w:ilvl w:val="0"/>
          <w:numId w:val="7"/>
        </w:numPr>
        <w:rPr>
          <w:rFonts w:ascii="Calibri" w:hAnsi="Calibri" w:cs="Calibri"/>
          <w:shd w:val="clear" w:color="auto" w:fill="FFFFFF"/>
        </w:rPr>
      </w:pPr>
      <w:r>
        <w:rPr>
          <w:rFonts w:ascii="Calibri" w:hAnsi="Calibri" w:cs="Calibri"/>
          <w:shd w:val="clear" w:color="auto" w:fill="FFFFFF"/>
        </w:rPr>
        <w:t xml:space="preserve">E </w:t>
      </w:r>
      <w:r>
        <w:rPr>
          <w:rFonts w:cstheme="minorHAnsi"/>
        </w:rPr>
        <w:t>–</w:t>
      </w:r>
      <w:r>
        <w:rPr>
          <w:rFonts w:ascii="Calibri" w:hAnsi="Calibri" w:cs="Calibri"/>
          <w:shd w:val="clear" w:color="auto" w:fill="FFFFFF"/>
        </w:rPr>
        <w:t xml:space="preserve"> Tekniska anläggningar. Användningen möjliggör för att tilltänkta och befintliga verksamheter kan verka i sin överföring, effektivisering och alstring av energi samt möjliggöra andra tekniska anläggningar.</w:t>
      </w:r>
    </w:p>
    <w:p>
      <w:pPr>
        <w:pStyle w:val="P31"/>
        <w:numPr>
          <w:ilvl w:val="0"/>
          <w:numId w:val="7"/>
        </w:numPr>
        <w:rPr>
          <w:rFonts w:ascii="Calibri" w:hAnsi="Calibri" w:cs="Calibri"/>
          <w:shd w:val="clear" w:color="auto" w:fill="FFFFFF"/>
        </w:rPr>
      </w:pPr>
      <w:r>
        <w:rPr>
          <w:rFonts w:ascii="Calibri" w:hAnsi="Calibri" w:cs="Calibri"/>
          <w:shd w:val="clear" w:color="auto" w:fill="FFFFFF"/>
        </w:rPr>
        <w:t xml:space="preserve">J </w:t>
      </w:r>
      <w:r>
        <w:rPr>
          <w:rFonts w:cstheme="minorHAnsi"/>
        </w:rPr>
        <w:t>–</w:t>
      </w:r>
      <w:r>
        <w:rPr>
          <w:rFonts w:ascii="Calibri" w:hAnsi="Calibri" w:cs="Calibri"/>
          <w:shd w:val="clear" w:color="auto" w:fill="FFFFFF"/>
        </w:rPr>
        <w:t xml:space="preserve"> Industri. Användningen möjliggör nyttjande av marken för industriändamål.</w:t>
      </w:r>
    </w:p>
    <w:p>
      <w:pPr>
        <w:pStyle w:val="P31"/>
        <w:numPr>
          <w:ilvl w:val="0"/>
          <w:numId w:val="7"/>
        </w:numPr>
        <w:rPr>
          <w:rFonts w:ascii="Calibri" w:hAnsi="Calibri" w:cs="Calibri"/>
          <w:shd w:val="clear" w:color="auto" w:fill="FFFFFF"/>
        </w:rPr>
      </w:pPr>
      <w:r>
        <w:rPr>
          <w:rFonts w:ascii="Calibri" w:hAnsi="Calibri" w:cs="Calibri"/>
          <w:shd w:val="clear" w:color="auto" w:fill="FFFFFF"/>
        </w:rPr>
        <w:t xml:space="preserve">Z </w:t>
      </w:r>
      <w:r>
        <w:rPr>
          <w:rFonts w:cstheme="minorHAnsi"/>
        </w:rPr>
        <w:t>–</w:t>
      </w:r>
      <w:r>
        <w:rPr>
          <w:rFonts w:ascii="Calibri" w:hAnsi="Calibri" w:cs="Calibri"/>
          <w:shd w:val="clear" w:color="auto" w:fill="FFFFFF"/>
        </w:rPr>
        <w:t xml:space="preserve"> Verksamheter. Denna användning möjliggör att uppföra verksamheter, vilket breddar spannet av möjliga funktioner i västra delen av planområdet. Detta för att kunna nyttja marken för lämpliga ändamål, som blir lokaliserade i närheten av vattenkraftverket samt längs med genomfartsvägen.</w:t>
      </w:r>
    </w:p>
    <w:p>
      <w:pPr>
        <w:pStyle w:val="P2"/>
        <w:rPr>
          <w:rFonts w:cs="Calibri"/>
        </w:rPr>
      </w:pPr>
      <w:bookmarkStart w:id="23" w:name="_Toc219101362"/>
      <w:r>
        <w:rPr>
          <w:rFonts w:cs="Calibri"/>
        </w:rPr>
        <w:t>Ärendeinformation</w:t>
      </w:r>
      <w:bookmarkEnd w:id="23"/>
    </w:p>
    <w:tbl>
      <w:tblPr>
        <w:tblStyle w:val="T3"/>
        <w:tblpPr w:leftFromText="141" w:rightFromText="141" w:tblpX="1" w:tblpY="79" w:horzAnchor="margin" w:vertAnchor="text" w:tblpXSpec="center"/>
        <w:tblW w:w="8075" w:type="dxa"/>
        <w:tblLook w:val="04A0"/>
      </w:tblPr>
      <w:tblGrid/>
      <w:tr>
        <w:trPr>
          <w:trHeight w:hRule="atLeast" w:val="481"/>
        </w:trPr>
        <w:tc>
          <w:tcPr>
            <w:tcW w:w="3964" w:type="dxa"/>
          </w:tcPr>
          <w:p>
            <w:pPr>
              <w:spacing w:lineRule="auto" w:line="276" w:beforeAutospacing="0" w:afterAutospacing="0"/>
              <w:rPr>
                <w:rFonts w:ascii="Calibri" w:hAnsi="Calibri" w:cs="Calibri"/>
              </w:rPr>
            </w:pPr>
            <w:bookmarkStart w:id="24" w:name="be_ärendeinformation01" w:colFirst="0" w:colLast="1"/>
            <w:r>
              <w:rPr>
                <w:rFonts w:ascii="Calibri" w:hAnsi="Calibri" w:cs="Calibri"/>
                <w:b w:val="1"/>
                <w:bCs w:val="1"/>
              </w:rPr>
              <w:t>Namn:</w:t>
            </w:r>
            <w:r>
              <w:rPr>
                <w:rFonts w:ascii="Calibri" w:hAnsi="Calibri" w:cs="Calibri"/>
              </w:rPr>
              <w:t xml:space="preserve"> Detaljplan för </w:t>
              <w:br w:type="textWrapping"/>
              <w:t>Ovako södra entrén</w:t>
            </w:r>
          </w:p>
        </w:tc>
        <w:tc>
          <w:tcPr>
            <w:tcW w:w="4111" w:type="dxa"/>
          </w:tcPr>
          <w:p>
            <w:pPr>
              <w:spacing w:lineRule="auto" w:line="276" w:beforeAutospacing="0" w:afterAutospacing="0"/>
              <w:rPr>
                <w:rFonts w:ascii="Calibri" w:hAnsi="Calibri" w:cs="Calibri"/>
                <w:color w:val="000000" w:themeColor="text1"/>
              </w:rPr>
            </w:pPr>
            <w:r>
              <w:rPr>
                <w:rFonts w:ascii="Calibri" w:hAnsi="Calibri" w:cs="Calibri"/>
                <w:b w:val="1"/>
                <w:bCs w:val="1"/>
                <w:color w:val="000000" w:themeColor="text1"/>
              </w:rPr>
              <w:t>Beslut om planbesked:</w:t>
            </w:r>
            <w:r>
              <w:rPr>
                <w:rFonts w:ascii="Calibri" w:hAnsi="Calibri" w:cs="Calibri"/>
                <w:color w:val="000000" w:themeColor="text1"/>
              </w:rPr>
              <w:t xml:space="preserve"> </w:t>
            </w:r>
            <w:r>
              <w:rPr>
                <w:rFonts w:ascii="Calibri" w:hAnsi="Calibri" w:cs="Calibri"/>
              </w:rPr>
              <w:t xml:space="preserve">2025 – 04 – 09 </w:t>
            </w:r>
          </w:p>
          <w:p>
            <w:pPr>
              <w:spacing w:lineRule="auto" w:line="276" w:beforeAutospacing="0" w:afterAutospacing="0"/>
              <w:rPr>
                <w:rFonts w:ascii="Calibri" w:hAnsi="Calibri" w:cs="Calibri"/>
                <w:color w:val="FF0000"/>
              </w:rPr>
            </w:pPr>
            <w:r>
              <w:rPr>
                <w:rFonts w:ascii="Calibri" w:hAnsi="Calibri" w:cs="Calibri"/>
                <w:color w:val="000000" w:themeColor="text1"/>
              </w:rPr>
              <w:t>Miljö – och byggnadsnämnden § 21</w:t>
            </w:r>
          </w:p>
        </w:tc>
      </w:tr>
      <w:tr>
        <w:trPr>
          <w:trHeight w:hRule="atLeast" w:val="247"/>
        </w:trPr>
        <w:tc>
          <w:tcPr>
            <w:tcW w:w="3964" w:type="dxa"/>
          </w:tcPr>
          <w:p>
            <w:pPr>
              <w:spacing w:lineRule="auto" w:line="276" w:beforeAutospacing="0" w:afterAutospacing="0"/>
              <w:rPr>
                <w:rFonts w:ascii="Calibri" w:hAnsi="Calibri" w:cs="Calibri"/>
              </w:rPr>
            </w:pPr>
            <w:bookmarkEnd w:id="24"/>
            <w:bookmarkStart w:id="25" w:name="be_ärendeinformation02" w:colFirst="0" w:colLast="1"/>
            <w:r>
              <w:rPr>
                <w:rFonts w:ascii="Calibri" w:hAnsi="Calibri" w:cs="Calibri"/>
                <w:b w:val="1"/>
                <w:bCs w:val="1"/>
              </w:rPr>
              <w:t>Dnr:</w:t>
            </w:r>
            <w:r>
              <w:rPr>
                <w:rFonts w:ascii="Calibri" w:hAnsi="Calibri" w:cs="Calibri"/>
              </w:rPr>
              <w:t xml:space="preserve"> MBN 2025 - 261</w:t>
            </w:r>
          </w:p>
        </w:tc>
        <w:tc>
          <w:tcPr>
            <w:tcW w:w="4111" w:type="dxa"/>
          </w:tcPr>
          <w:p>
            <w:pPr>
              <w:spacing w:lineRule="auto" w:line="276" w:beforeAutospacing="0" w:afterAutospacing="0"/>
              <w:rPr>
                <w:rFonts w:ascii="Calibri" w:hAnsi="Calibri" w:cs="Calibri"/>
              </w:rPr>
            </w:pPr>
            <w:r>
              <w:rPr>
                <w:rFonts w:ascii="Calibri" w:hAnsi="Calibri" w:cs="Calibri"/>
                <w:b w:val="1"/>
                <w:bCs w:val="1"/>
                <w:color w:val="000000" w:themeColor="text1"/>
              </w:rPr>
              <w:t>Planstart:</w:t>
            </w:r>
            <w:r>
              <w:rPr>
                <w:rFonts w:ascii="Calibri" w:hAnsi="Calibri" w:cs="Calibri"/>
                <w:color w:val="000000" w:themeColor="text1"/>
              </w:rPr>
              <w:t xml:space="preserve"> 2025 – 04 – 12</w:t>
            </w:r>
          </w:p>
        </w:tc>
      </w:tr>
      <w:tr>
        <w:trPr>
          <w:trHeight w:hRule="atLeast" w:val="239"/>
        </w:trPr>
        <w:tc>
          <w:tcPr>
            <w:tcW w:w="3964" w:type="dxa"/>
          </w:tcPr>
          <w:p>
            <w:pPr>
              <w:spacing w:lineRule="auto" w:line="276" w:beforeAutospacing="0" w:afterAutospacing="0"/>
              <w:rPr>
                <w:rFonts w:ascii="Calibri" w:hAnsi="Calibri" w:cs="Calibri"/>
              </w:rPr>
            </w:pPr>
            <w:bookmarkEnd w:id="25"/>
            <w:bookmarkStart w:id="26" w:name="be_ärendeinformation03" w:colFirst="0" w:colLast="1"/>
            <w:r>
              <w:rPr>
                <w:rFonts w:ascii="Calibri" w:hAnsi="Calibri" w:cs="Calibri"/>
                <w:b w:val="1"/>
                <w:bCs w:val="1"/>
              </w:rPr>
              <w:t>Kommundel:</w:t>
            </w:r>
            <w:r>
              <w:rPr>
                <w:rFonts w:ascii="Calibri" w:hAnsi="Calibri" w:cs="Calibri"/>
              </w:rPr>
              <w:t xml:space="preserve"> Smedjebacken</w:t>
            </w:r>
          </w:p>
        </w:tc>
        <w:tc>
          <w:tcPr>
            <w:tcW w:w="4111" w:type="dxa"/>
          </w:tcPr>
          <w:p>
            <w:pPr>
              <w:spacing w:lineRule="auto" w:line="276" w:beforeAutospacing="0" w:afterAutospacing="0"/>
              <w:rPr>
                <w:rFonts w:ascii="Calibri" w:hAnsi="Calibri" w:cs="Calibri"/>
                <w:color w:val="FF0000"/>
              </w:rPr>
            </w:pPr>
            <w:r>
              <w:rPr>
                <w:rFonts w:ascii="Calibri" w:hAnsi="Calibri" w:cs="Calibri"/>
                <w:b w:val="1"/>
                <w:bCs w:val="1"/>
                <w:color w:val="000000" w:themeColor="text1"/>
              </w:rPr>
              <w:t>Beslut om Samråd:</w:t>
            </w:r>
            <w:r>
              <w:rPr>
                <w:rFonts w:ascii="Calibri" w:hAnsi="Calibri" w:cs="Calibri"/>
                <w:color w:val="000000" w:themeColor="text1"/>
              </w:rPr>
              <w:t xml:space="preserve">  </w:t>
            </w:r>
            <w:r>
              <w:rPr>
                <w:rFonts w:ascii="Calibri" w:hAnsi="Calibri" w:cs="Calibri"/>
              </w:rPr>
              <w:t>2025 – 06 – 11</w:t>
            </w:r>
          </w:p>
        </w:tc>
      </w:tr>
      <w:tr>
        <w:trPr>
          <w:trHeight w:hRule="atLeast" w:val="239"/>
        </w:trPr>
        <w:tc>
          <w:tcPr>
            <w:tcW w:w="3964" w:type="dxa"/>
          </w:tcPr>
          <w:p>
            <w:pPr>
              <w:spacing w:lineRule="auto" w:line="276" w:beforeAutospacing="0" w:afterAutospacing="0"/>
              <w:rPr>
                <w:rFonts w:ascii="Calibri" w:hAnsi="Calibri" w:cs="Calibri"/>
              </w:rPr>
            </w:pPr>
            <w:bookmarkEnd w:id="26"/>
            <w:bookmarkStart w:id="27" w:name="be_ärendeinformation04" w:colFirst="0" w:colLast="1"/>
            <w:r>
              <w:rPr>
                <w:rFonts w:ascii="Calibri" w:hAnsi="Calibri" w:cs="Calibri"/>
                <w:b w:val="1"/>
                <w:bCs w:val="1"/>
              </w:rPr>
              <w:t>Kommun:</w:t>
            </w:r>
            <w:r>
              <w:rPr>
                <w:rFonts w:ascii="Calibri" w:hAnsi="Calibri" w:cs="Calibri"/>
              </w:rPr>
              <w:t xml:space="preserve"> Smedjebacken</w:t>
            </w:r>
          </w:p>
        </w:tc>
        <w:tc>
          <w:tcPr>
            <w:tcW w:w="4111" w:type="dxa"/>
          </w:tcPr>
          <w:p>
            <w:pPr>
              <w:spacing w:lineRule="auto" w:line="276" w:beforeAutospacing="0" w:afterAutospacing="0"/>
              <w:rPr>
                <w:rFonts w:ascii="Calibri" w:hAnsi="Calibri" w:cs="Calibri"/>
              </w:rPr>
            </w:pPr>
            <w:r>
              <w:rPr>
                <w:rFonts w:ascii="Calibri" w:hAnsi="Calibri" w:cs="Calibri"/>
                <w:b w:val="1"/>
                <w:bCs w:val="1"/>
              </w:rPr>
              <w:t>Beslut om Granskning:</w:t>
            </w:r>
            <w:r>
              <w:rPr>
                <w:rFonts w:ascii="Calibri" w:hAnsi="Calibri" w:cs="Calibri"/>
              </w:rPr>
              <w:t xml:space="preserve"> </w:t>
            </w:r>
            <w:r>
              <w:rPr>
                <w:rFonts w:ascii="Calibri" w:hAnsi="Calibri" w:cs="Calibri"/>
                <w:color w:val="000000" w:themeColor="text1"/>
              </w:rPr>
              <w:t xml:space="preserve"> 2025 – 10 – 15</w:t>
            </w:r>
          </w:p>
        </w:tc>
      </w:tr>
      <w:tr>
        <w:trPr>
          <w:trHeight w:hRule="atLeast" w:val="239"/>
        </w:trPr>
        <w:tc>
          <w:tcPr>
            <w:tcW w:w="3964" w:type="dxa"/>
          </w:tcPr>
          <w:p>
            <w:pPr>
              <w:spacing w:lineRule="auto" w:line="276" w:beforeAutospacing="0" w:afterAutospacing="0"/>
              <w:rPr>
                <w:rFonts w:ascii="Calibri" w:hAnsi="Calibri" w:cs="Calibri"/>
              </w:rPr>
            </w:pPr>
            <w:bookmarkEnd w:id="27"/>
            <w:bookmarkStart w:id="28" w:name="be_ärendeinformation05" w:colFirst="0" w:colLast="1"/>
            <w:r>
              <w:rPr>
                <w:rFonts w:ascii="Calibri" w:hAnsi="Calibri" w:cs="Calibri"/>
                <w:b w:val="1"/>
                <w:bCs w:val="1"/>
              </w:rPr>
              <w:t>Län:</w:t>
            </w:r>
            <w:r>
              <w:rPr>
                <w:rFonts w:ascii="Calibri" w:hAnsi="Calibri" w:cs="Calibri"/>
              </w:rPr>
              <w:t xml:space="preserve"> Dalarnas län</w:t>
            </w:r>
          </w:p>
        </w:tc>
        <w:tc>
          <w:tcPr>
            <w:tcW w:w="4111" w:type="dxa"/>
          </w:tcPr>
          <w:p>
            <w:pPr>
              <w:spacing w:lineRule="auto" w:line="276" w:beforeAutospacing="0" w:afterAutospacing="0"/>
              <w:rPr>
                <w:rFonts w:ascii="Calibri" w:hAnsi="Calibri" w:cs="Calibri"/>
              </w:rPr>
            </w:pPr>
            <w:r>
              <w:rPr>
                <w:rFonts w:ascii="Calibri" w:hAnsi="Calibri" w:cs="Calibri"/>
                <w:b w:val="1"/>
                <w:bCs w:val="1"/>
              </w:rPr>
              <w:t>Beslut om Antagande:</w:t>
            </w:r>
            <w:r>
              <w:rPr>
                <w:rFonts w:ascii="Calibri" w:hAnsi="Calibri" w:cs="Calibri"/>
              </w:rPr>
              <w:t xml:space="preserve"> </w:t>
            </w:r>
            <w:r>
              <w:rPr>
                <w:rFonts w:ascii="Calibri" w:hAnsi="Calibri" w:cs="Calibri"/>
                <w:color w:val="000000" w:themeColor="text1"/>
              </w:rPr>
              <w:t xml:space="preserve"> 2025 – 12 – 15</w:t>
            </w:r>
          </w:p>
        </w:tc>
      </w:tr>
      <w:tr>
        <w:trPr>
          <w:trHeight w:hRule="atLeast" w:val="239"/>
        </w:trPr>
        <w:tc>
          <w:tcPr>
            <w:tcW w:w="3964" w:type="dxa"/>
          </w:tcPr>
          <w:p>
            <w:pPr>
              <w:spacing w:lineRule="auto" w:line="276" w:beforeAutospacing="0" w:afterAutospacing="0"/>
              <w:rPr>
                <w:rFonts w:ascii="Calibri" w:hAnsi="Calibri" w:cs="Calibri"/>
              </w:rPr>
            </w:pPr>
            <w:bookmarkEnd w:id="28"/>
            <w:bookmarkStart w:id="29" w:name="be_ärendeinformation06" w:colFirst="0" w:colLast="1"/>
            <w:r>
              <w:rPr>
                <w:rFonts w:ascii="Calibri" w:hAnsi="Calibri" w:cs="Calibri"/>
                <w:b w:val="1"/>
                <w:bCs w:val="1"/>
              </w:rPr>
              <w:t>Planförfarande:</w:t>
            </w:r>
            <w:r>
              <w:rPr>
                <w:rFonts w:ascii="Calibri" w:hAnsi="Calibri" w:cs="Calibri"/>
              </w:rPr>
              <w:t xml:space="preserve"> Standardförfarande</w:t>
            </w:r>
          </w:p>
        </w:tc>
        <w:tc>
          <w:tcPr>
            <w:tcW w:w="4111" w:type="dxa"/>
          </w:tcPr>
          <w:p>
            <w:pPr>
              <w:spacing w:lineRule="auto" w:line="276" w:beforeAutospacing="0" w:afterAutospacing="0"/>
              <w:rPr>
                <w:rFonts w:ascii="Calibri" w:hAnsi="Calibri" w:cs="Calibri"/>
              </w:rPr>
            </w:pPr>
            <w:r>
              <w:rPr>
                <w:rFonts w:ascii="Calibri" w:hAnsi="Calibri" w:cs="Calibri"/>
                <w:b w:val="1"/>
                <w:bCs w:val="1"/>
              </w:rPr>
              <w:t>Laga kraft:</w:t>
            </w:r>
            <w:r>
              <w:rPr>
                <w:rFonts w:ascii="Calibri" w:hAnsi="Calibri" w:cs="Calibri"/>
              </w:rPr>
              <w:t xml:space="preserve"> </w:t>
            </w:r>
            <w:r>
              <w:rPr>
                <w:rFonts w:ascii="Calibri" w:hAnsi="Calibri" w:cs="Calibri"/>
                <w:color w:val="000000" w:themeColor="text1"/>
              </w:rPr>
              <w:t xml:space="preserve"> 2026 – 01 – 08</w:t>
            </w:r>
          </w:p>
        </w:tc>
      </w:tr>
    </w:tbl>
    <w:p>
      <w:pPr>
        <w:rPr>
          <w:rFonts w:ascii="Calibri" w:hAnsi="Calibri" w:cs="Calibri"/>
          <w:shd w:val="clear" w:color="auto" w:fill="FFFFFF"/>
        </w:rPr>
      </w:pPr>
      <w:bookmarkEnd w:id="29"/>
      <w:r>
        <w:rPr>
          <w:rFonts w:ascii="Calibri" w:hAnsi="Calibri" w:cs="Calibri"/>
          <w:shd w:val="clear" w:color="auto" w:fill="FFFFFF"/>
        </w:rPr>
        <w:tab/>
      </w:r>
    </w:p>
    <w:p>
      <w:pPr>
        <w:pStyle w:val="P2"/>
        <w:rPr>
          <w:rFonts w:cs="Calibri"/>
        </w:rPr>
      </w:pPr>
      <w:bookmarkEnd w:id="22"/>
      <w:bookmarkStart w:id="30" w:name="_Toc219101363"/>
      <w:r>
        <w:rPr>
          <w:rFonts w:cs="Calibri"/>
        </w:rPr>
        <w:t>Genomförandetid</w:t>
      </w:r>
      <w:bookmarkEnd w:id="30"/>
    </w:p>
    <w:p>
      <w:pPr>
        <w:spacing w:lineRule="auto" w:line="276" w:beforeAutospacing="0" w:afterAutospacing="0"/>
        <w:ind w:left="576"/>
        <w:rPr>
          <w:rFonts w:ascii="Calibri" w:hAnsi="Calibri" w:cs="Calibri"/>
        </w:rPr>
      </w:pPr>
      <w:bookmarkStart w:id="31" w:name="be_genomförandetid01"/>
      <w:r>
        <w:rPr>
          <w:rFonts w:ascii="Calibri" w:hAnsi="Calibri" w:cs="Calibri"/>
        </w:rPr>
        <w:t xml:space="preserve">Detaljplanen genomförandetid </w:t>
      </w:r>
      <w:r>
        <w:rPr>
          <w:rFonts w:ascii="Calibri" w:hAnsi="Calibri" w:cs="Calibri"/>
          <w:color w:val="000000" w:themeColor="text1"/>
        </w:rPr>
        <w:t xml:space="preserve">är 72 månader (6 år) </w:t>
      </w:r>
      <w:bookmarkStart w:id="32" w:name="_Hlk198212263"/>
      <w:r>
        <w:rPr>
          <w:rFonts w:ascii="Calibri" w:hAnsi="Calibri" w:cs="Calibri"/>
          <w:color w:val="000000" w:themeColor="text1"/>
        </w:rPr>
        <w:t xml:space="preserve">från </w:t>
      </w:r>
      <w:r>
        <w:rPr>
          <w:rFonts w:ascii="Calibri" w:hAnsi="Calibri" w:cs="Calibri"/>
        </w:rPr>
        <w:t xml:space="preserve">den tidpunkt då planen får laga kraft. Innan genomförandetiden har gått ut får planen inte ändras, ersättas eller upphävas mot berörda fastighetsägares vilja. Under genomförandetiden får planen dock ändras mot berörda fastighetsägares vilja om det är av stor allmän vikt eller av nya förhållanden av stor vikt som inte kunde förutses vid planläggning. </w:t>
      </w:r>
    </w:p>
    <w:p>
      <w:pPr>
        <w:spacing w:lineRule="auto" w:line="276" w:beforeAutospacing="0" w:afterAutospacing="0"/>
        <w:ind w:left="576"/>
        <w:rPr>
          <w:rFonts w:ascii="Calibri" w:hAnsi="Calibri" w:cs="Calibri"/>
        </w:rPr>
      </w:pPr>
      <w:r>
        <w:rPr>
          <w:rFonts w:ascii="Calibri" w:hAnsi="Calibri" w:cs="Calibri"/>
        </w:rPr>
        <w:t xml:space="preserve">Ändras eller upphävs planen under genomförandetiden har fastighetsägare rätt till ersättning från kommunen för den skada det medför. Efter genomförandetiden fortsätter detaljplanen att gälla med sina befintliga rättigheter. Vid efterföljande ändringar eller upphävande av detaljplanen kommer ingen rätt till ersättning att ges för de förlorade rättigheterna. </w:t>
      </w:r>
    </w:p>
    <w:p>
      <w:pPr>
        <w:pStyle w:val="P1"/>
        <w:numPr>
          <w:ilvl w:val="0"/>
          <w:numId w:val="2"/>
        </w:numPr>
        <w:rPr>
          <w:rFonts w:cs="Calibri"/>
        </w:rPr>
      </w:pPr>
      <w:bookmarkEnd w:id="31"/>
      <w:bookmarkEnd w:id="32"/>
      <w:bookmarkStart w:id="33" w:name="_Toc219101364"/>
      <w:r>
        <w:rPr>
          <w:rFonts w:cs="Calibri"/>
        </w:rPr>
        <w:t>Motiv till detaljplanens regleringar</w:t>
      </w:r>
      <w:bookmarkEnd w:id="33"/>
    </w:p>
    <w:p>
      <w:pPr>
        <w:ind w:left="432"/>
        <w:rPr>
          <w:rFonts w:ascii="Calibri" w:hAnsi="Calibri" w:cs="Calibri"/>
          <w:szCs w:val="24"/>
        </w:rPr>
      </w:pPr>
      <w:bookmarkStart w:id="34" w:name="_Hlk198212319"/>
      <w:r>
        <w:rPr>
          <w:rFonts w:ascii="Calibri" w:hAnsi="Calibri" w:cs="Calibri"/>
        </w:rPr>
        <w:t xml:space="preserve">I detta kapitel listas de planbestämmelser som ingår i plankartan. Syftet med respektive bestämmelse beskrivs för att öka förståelsen för vad och hur detaljplanen regleras. Samtliga planbestämmelser är formulerade enligt plan- och bygglagen (2010:900). </w:t>
      </w:r>
    </w:p>
    <w:p>
      <w:pPr>
        <w:ind w:left="432"/>
        <w:rPr>
          <w:rFonts w:ascii="Calibri" w:hAnsi="Calibri" w:cs="Calibri"/>
          <w:color w:val="C00000"/>
          <w:szCs w:val="24"/>
        </w:rPr>
      </w:pPr>
      <w:r>
        <w:rPr>
          <w:rFonts w:ascii="Calibri" w:hAnsi="Calibri" w:cs="Calibri"/>
          <w:szCs w:val="24"/>
        </w:rPr>
        <w:t>Detaljplanen har upprättats i enlighet med Boverkets föreskrifter om detaljplan (BFS 2020:5), allmänna råd om redovisning av reglering i detaljplan (BFS 2020:6) samt föreskrifter och allmänna råd om planbeskrivning (BFS 2020:8).</w:t>
      </w:r>
    </w:p>
    <w:p>
      <w:pPr>
        <w:pStyle w:val="P2"/>
        <w:rPr>
          <w:rFonts w:cs="Calibri"/>
        </w:rPr>
      </w:pPr>
      <w:bookmarkEnd w:id="34"/>
      <w:bookmarkStart w:id="35" w:name="_Toc219101365"/>
      <w:r>
        <w:rPr>
          <w:rFonts w:cs="Calibri"/>
        </w:rPr>
        <w:t>Användningsbestämmelser för allmän plats</w:t>
      </w:r>
      <w:bookmarkEnd w:id="35"/>
      <w:r>
        <w:rPr>
          <w:rFonts w:cs="Calibri"/>
        </w:rPr>
        <w:t xml:space="preserve"> </w:t>
      </w:r>
    </w:p>
    <w:p>
      <w:pPr>
        <w:ind w:left="576"/>
        <w:rPr>
          <w:rFonts w:ascii="Calibri" w:hAnsi="Calibri" w:cs="Calibri"/>
          <w:b w:val="1"/>
          <w:bCs w:val="1"/>
        </w:rPr>
      </w:pPr>
      <w:r>
        <w:rPr>
          <w:rFonts w:ascii="Calibri" w:hAnsi="Calibri" w:cs="Calibri"/>
          <w:b w:val="1"/>
          <w:bCs w:val="1"/>
        </w:rPr>
        <w:t>(PARK) – Park</w:t>
        <w:br w:type="textWrapping"/>
      </w:r>
      <w:bookmarkStart w:id="36" w:name="mo_motivtillreglering01"/>
      <w:r>
        <w:rPr>
          <w:rFonts w:ascii="Calibri" w:hAnsi="Calibri" w:cs="Calibri"/>
        </w:rPr>
        <w:t>Bestämmelsen syftar till att upprätta och möjliggör parkmark för planteringar, vilket värnar landskapsbilden och är betydelsefullt ur biologisk mångfald-, grönt samband-, dagvattenhantering-, mikroklimat- och attraktivitetssynpunkt.</w:t>
      </w:r>
      <w:bookmarkEnd w:id="36"/>
    </w:p>
    <w:p>
      <w:pPr>
        <w:ind w:left="576"/>
        <w:rPr>
          <w:rFonts w:cstheme="minorHAnsi"/>
          <w:b w:val="1"/>
          <w:bCs w:val="1"/>
        </w:rPr>
      </w:pPr>
      <w:r>
        <w:rPr>
          <w:rFonts w:cstheme="minorHAnsi"/>
          <w:b w:val="1"/>
          <w:bCs w:val="1"/>
        </w:rPr>
        <w:t>(GATA) – Gata</w:t>
        <w:br w:type="textWrapping"/>
      </w:r>
      <w:bookmarkStart w:id="37" w:name="mo_motivtillreglering02"/>
      <w:r>
        <w:rPr>
          <w:rFonts w:cstheme="minorHAnsi"/>
          <w:szCs w:val="24"/>
        </w:rPr>
        <w:t>Bestämmelsen syftar till att säkerställa allmän platsmark gata utanför utfartsförbudet samt att ytan ska användas för trafik, genomfart och komplement för gatans funktion.</w:t>
      </w:r>
      <w:bookmarkEnd w:id="37"/>
    </w:p>
    <w:p>
      <w:pPr>
        <w:pStyle w:val="P2"/>
        <w:numPr>
          <w:ilvl w:val="1"/>
          <w:numId w:val="2"/>
        </w:numPr>
        <w:rPr>
          <w:rFonts w:cs="Calibri"/>
        </w:rPr>
      </w:pPr>
      <w:bookmarkStart w:id="38" w:name="_Toc219101366"/>
      <w:r>
        <w:rPr>
          <w:rFonts w:cs="Calibri"/>
        </w:rPr>
        <w:t>Egenskapsbestämmelser för allmän plats</w:t>
      </w:r>
      <w:bookmarkEnd w:id="38"/>
    </w:p>
    <w:p>
      <w:pPr>
        <w:ind w:left="576"/>
        <w:rPr>
          <w:rFonts w:ascii="Calibri" w:hAnsi="Calibri" w:cs="Calibri"/>
          <w:szCs w:val="24"/>
        </w:rPr>
      </w:pPr>
      <w:r>
        <w:rPr>
          <w:rFonts w:ascii="Calibri" w:hAnsi="Calibri" w:cs="Calibri"/>
          <w:b w:val="1"/>
          <w:bCs w:val="1"/>
          <w:szCs w:val="24"/>
        </w:rPr>
        <w:t>(</w:t>
      </w:r>
      <w:r>
        <w:rPr>
          <w:rFonts w:ascii="Calibri" w:hAnsi="Calibri" w:cs="Calibri"/>
          <w:b w:val="1"/>
          <w:bCs w:val="1"/>
          <w:noProof w:val="1"/>
          <w:szCs w:val="24"/>
        </w:rPr>
        <w:drawing>
          <wp:inline xmlns:wp="http://schemas.openxmlformats.org/drawingml/2006/wordprocessingDrawing" distT="0" distB="0" distL="0" distR="0">
            <wp:extent cx="506730" cy="120015"/>
            <wp:effectExtent l="0" t="0" r="7620" b="0"/>
            <wp:docPr id="164323186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16118" name="Picture 17"/>
                    <pic:cNvPicPr/>
                  </pic:nvPicPr>
                  <pic:blipFill dpi="0">
                    <a:blip xmlns:r="http://schemas.openxmlformats.org/officeDocument/2006/relationships" r:embed="Relimage7"/>
                    <a:srcRect/>
                    <a:stretch>
                      <a:fillRect/>
                    </a:stretch>
                  </pic:blipFill>
                  <pic:spPr>
                    <a:xfrm>
                      <a:off x="0" y="0"/>
                      <a:ext cx="548517" cy="130274"/>
                    </a:xfrm>
                    <a:prstGeom prst="rect"/>
                  </pic:spPr>
                </pic:pic>
              </a:graphicData>
            </a:graphic>
          </wp:inline>
        </w:drawing>
      </w:r>
      <w:r>
        <w:rPr>
          <w:rFonts w:ascii="Calibri" w:hAnsi="Calibri" w:cs="Calibri"/>
          <w:b w:val="1"/>
          <w:bCs w:val="1"/>
          <w:szCs w:val="24"/>
        </w:rPr>
        <w:t>) – Utfartsförbud</w:t>
        <w:br w:type="textWrapping"/>
      </w:r>
      <w:bookmarkStart w:id="39" w:name="mo_motivtillreglering03"/>
      <w:r>
        <w:rPr>
          <w:rFonts w:ascii="Calibri" w:hAnsi="Calibri" w:cs="Calibri"/>
          <w:szCs w:val="24"/>
        </w:rPr>
        <w:t>Bestämmelsen syftar till att inte fordon ska angöra till Vasagatan genom allmän plats, ur trafiksäkerhetssynpunkt.</w:t>
      </w:r>
      <w:bookmarkEnd w:id="39"/>
    </w:p>
    <w:p>
      <w:pPr>
        <w:ind w:left="576"/>
        <w:rPr>
          <w:rFonts w:ascii="Calibri" w:hAnsi="Calibri" w:cs="Calibri"/>
          <w:b w:val="1"/>
          <w:bCs w:val="1"/>
          <w:vertAlign w:val="subscript"/>
        </w:rPr>
      </w:pPr>
      <w:bookmarkStart w:id="40" w:name="_Hlk210726225"/>
      <w:r>
        <w:rPr>
          <w:rFonts w:ascii="Calibri" w:hAnsi="Calibri" w:cs="Calibri"/>
          <w:b w:val="1"/>
          <w:bCs w:val="1"/>
        </w:rPr>
        <w:t>(a</w:t>
      </w:r>
      <w:r>
        <w:rPr>
          <w:rFonts w:ascii="Calibri" w:hAnsi="Calibri" w:cs="Calibri"/>
          <w:b w:val="1"/>
          <w:bCs w:val="1"/>
          <w:vertAlign w:val="subscript"/>
        </w:rPr>
        <w:t>1</w:t>
      </w:r>
      <w:r>
        <w:rPr>
          <w:rFonts w:ascii="Calibri" w:hAnsi="Calibri" w:cs="Calibri"/>
          <w:b w:val="1"/>
          <w:bCs w:val="1"/>
        </w:rPr>
        <w:t xml:space="preserve">) </w:t>
      </w:r>
      <w:bookmarkEnd w:id="40"/>
      <w:r>
        <w:rPr>
          <w:rFonts w:ascii="Calibri" w:hAnsi="Calibri" w:cs="Calibri"/>
          <w:b w:val="1"/>
          <w:bCs w:val="1"/>
        </w:rPr>
        <w:t>– Strandskyddet är upphävt inom användningsområdet</w:t>
      </w:r>
      <w:r>
        <w:rPr>
          <w:rFonts w:ascii="Calibri" w:hAnsi="Calibri" w:cs="Calibri"/>
          <w:b w:val="1"/>
          <w:bCs w:val="1"/>
          <w:vertAlign w:val="subscript"/>
        </w:rPr>
        <w:br w:type="textWrapping"/>
      </w:r>
      <w:bookmarkStart w:id="41" w:name="mo_motivtillreglering04"/>
      <w:r>
        <w:rPr>
          <w:rFonts w:ascii="Calibri" w:hAnsi="Calibri" w:cs="Calibri"/>
        </w:rPr>
        <w:t>Planbestämmelsens syfte är att upphäva strandskydd inom allmän plats gata.</w:t>
      </w:r>
      <w:bookmarkEnd w:id="41"/>
    </w:p>
    <w:p>
      <w:pPr>
        <w:pStyle w:val="P2"/>
        <w:numPr>
          <w:ilvl w:val="1"/>
          <w:numId w:val="2"/>
        </w:numPr>
        <w:rPr>
          <w:rFonts w:cs="Calibri"/>
        </w:rPr>
      </w:pPr>
      <w:bookmarkStart w:id="42" w:name="_Toc158384943"/>
      <w:bookmarkStart w:id="43" w:name="_Toc219101367"/>
      <w:r>
        <w:rPr>
          <w:rFonts w:cs="Calibri"/>
        </w:rPr>
        <w:t>Användningsbestämmelser för kvartersmark</w:t>
      </w:r>
      <w:bookmarkEnd w:id="42"/>
      <w:bookmarkEnd w:id="43"/>
      <w:r>
        <w:rPr>
          <w:rFonts w:cs="Calibri"/>
        </w:rPr>
        <w:t xml:space="preserve"> </w:t>
      </w:r>
    </w:p>
    <w:p>
      <w:pPr>
        <w:ind w:left="576"/>
        <w:rPr>
          <w:rFonts w:ascii="Calibri" w:hAnsi="Calibri" w:cs="Calibri"/>
          <w:b w:val="1"/>
          <w:bCs w:val="1"/>
        </w:rPr>
      </w:pPr>
      <w:r>
        <w:rPr>
          <w:rFonts w:ascii="Calibri" w:hAnsi="Calibri" w:cs="Calibri"/>
          <w:b w:val="1"/>
          <w:bCs w:val="1"/>
        </w:rPr>
        <w:t>(E) – Tekniska anläggningar</w:t>
        <w:br w:type="textWrapping"/>
      </w:r>
      <w:bookmarkStart w:id="44" w:name="mo_motivtillreglering05"/>
      <w:r>
        <w:rPr>
          <w:rFonts w:ascii="Calibri" w:hAnsi="Calibri" w:cs="Calibri"/>
          <w:shd w:val="clear" w:color="auto" w:fill="FFFFFF"/>
        </w:rPr>
        <w:t>Bestämmelsen syftar till att möjliggöra byggnation och drift av tekniska anläggningar inom användningen.</w:t>
      </w:r>
      <w:bookmarkEnd w:id="44"/>
    </w:p>
    <w:p>
      <w:pPr>
        <w:ind w:left="576"/>
        <w:rPr>
          <w:rFonts w:ascii="Calibri" w:hAnsi="Calibri" w:cs="Calibri"/>
          <w:b w:val="1"/>
          <w:bCs w:val="1"/>
        </w:rPr>
      </w:pPr>
      <w:r>
        <w:rPr>
          <w:rFonts w:ascii="Calibri" w:hAnsi="Calibri" w:cs="Calibri"/>
          <w:b w:val="1"/>
          <w:bCs w:val="1"/>
        </w:rPr>
        <w:t>(J) – Industri</w:t>
        <w:br w:type="textWrapping"/>
      </w:r>
      <w:bookmarkStart w:id="45" w:name="mo_motivtillreglering06"/>
      <w:r>
        <w:rPr>
          <w:rFonts w:ascii="Calibri" w:hAnsi="Calibri" w:cs="Calibri"/>
          <w:shd w:val="clear" w:color="auto" w:fill="FFFFFF"/>
        </w:rPr>
        <w:t>Bestämmelsen syftar till att marken nyttjas för industriändamål.</w:t>
      </w:r>
      <w:bookmarkEnd w:id="45"/>
    </w:p>
    <w:p>
      <w:pPr>
        <w:ind w:left="576"/>
        <w:rPr>
          <w:rFonts w:ascii="Calibri" w:hAnsi="Calibri" w:cs="Calibri"/>
          <w:b w:val="1"/>
          <w:bCs w:val="1"/>
        </w:rPr>
      </w:pPr>
      <w:r>
        <w:rPr>
          <w:rFonts w:ascii="Calibri" w:hAnsi="Calibri" w:cs="Calibri"/>
          <w:b w:val="1"/>
          <w:bCs w:val="1"/>
        </w:rPr>
        <w:t>(Z) – Verksamheter</w:t>
        <w:br w:type="textWrapping"/>
      </w:r>
      <w:bookmarkStart w:id="46" w:name="mo_motivtillreglering07"/>
      <w:r>
        <w:rPr>
          <w:rFonts w:ascii="Calibri" w:hAnsi="Calibri" w:cs="Calibri"/>
        </w:rPr>
        <w:t>Bestämmelsen syftar till att möjliggöra för verksamheter inom ramen för den angivna användningen.</w:t>
      </w:r>
      <w:bookmarkEnd w:id="46"/>
    </w:p>
    <w:p>
      <w:pPr>
        <w:pStyle w:val="P2"/>
        <w:numPr>
          <w:ilvl w:val="1"/>
          <w:numId w:val="2"/>
        </w:numPr>
        <w:rPr>
          <w:rFonts w:cs="Calibri"/>
        </w:rPr>
      </w:pPr>
      <w:bookmarkStart w:id="47" w:name="_Toc158384944"/>
      <w:bookmarkStart w:id="48" w:name="_Toc219101368"/>
      <w:r>
        <w:rPr>
          <w:rFonts w:cs="Calibri"/>
        </w:rPr>
        <w:t>Egenskapsbestämmelser för kvartersmark</w:t>
      </w:r>
      <w:bookmarkEnd w:id="47"/>
      <w:bookmarkEnd w:id="48"/>
      <w:r>
        <w:rPr>
          <w:rFonts w:cs="Calibri"/>
        </w:rPr>
        <w:t xml:space="preserve"> </w:t>
      </w:r>
    </w:p>
    <w:p>
      <w:pPr>
        <w:ind w:left="576"/>
        <w:rPr>
          <w:rFonts w:ascii="Calibri" w:hAnsi="Calibri" w:cs="Calibri"/>
          <w:szCs w:val="24"/>
        </w:rPr>
      </w:pPr>
      <w:bookmarkStart w:id="49" w:name="_Hlk210726103"/>
      <w:r>
        <w:rPr>
          <w:rFonts w:ascii="Calibri" w:hAnsi="Calibri" w:cs="Calibri"/>
          <w:b w:val="1"/>
          <w:bCs w:val="1"/>
          <w:szCs w:val="24"/>
        </w:rPr>
        <w:t>(:::) – Marken får inte förses med byggnadsverk</w:t>
      </w:r>
      <w:bookmarkEnd w:id="49"/>
      <w:r>
        <w:rPr>
          <w:rFonts w:ascii="Calibri" w:hAnsi="Calibri" w:cs="Calibri"/>
          <w:b w:val="1"/>
          <w:bCs w:val="1"/>
          <w:szCs w:val="24"/>
        </w:rPr>
        <w:br w:type="textWrapping"/>
      </w:r>
      <w:bookmarkStart w:id="50" w:name="mo_motivtillreglering08"/>
      <w:bookmarkStart w:id="51" w:name="_Hlk196821755"/>
      <w:r>
        <w:rPr>
          <w:rFonts w:ascii="Calibri" w:hAnsi="Calibri" w:cs="Calibri"/>
          <w:szCs w:val="24"/>
        </w:rPr>
        <w:t>Planbestämmelsen syftar till att marken inte får förses med byggnadsverk samt att bebyggelse hålls på lämpligt avstånd. Syftet är även att undvika påverkan på vattenförekomsten, genom dämning samt att minska risken för bebyggelse gällande skred, ras, erosion och översvämning.</w:t>
      </w:r>
      <w:bookmarkEnd w:id="50"/>
    </w:p>
    <w:p>
      <w:pPr>
        <w:ind w:left="576"/>
        <w:rPr>
          <w:rFonts w:ascii="Calibri" w:hAnsi="Calibri" w:cs="Calibri"/>
          <w:b w:val="1"/>
          <w:bCs w:val="1"/>
          <w:szCs w:val="24"/>
        </w:rPr>
      </w:pPr>
      <w:bookmarkEnd w:id="51"/>
      <w:r>
        <w:rPr>
          <w:rFonts w:ascii="Calibri" w:hAnsi="Calibri" w:cs="Calibri"/>
          <w:b w:val="1"/>
          <w:bCs w:val="1"/>
          <w:szCs w:val="24"/>
        </w:rPr>
        <w:t>(h</w:t>
      </w:r>
      <w:r>
        <w:rPr>
          <w:rFonts w:ascii="Calibri" w:hAnsi="Calibri" w:cs="Calibri"/>
          <w:b w:val="1"/>
          <w:bCs w:val="1"/>
          <w:szCs w:val="24"/>
          <w:vertAlign w:val="subscript"/>
        </w:rPr>
        <w:t>1</w:t>
      </w:r>
      <w:r>
        <w:rPr>
          <w:rFonts w:ascii="Calibri" w:hAnsi="Calibri" w:cs="Calibri"/>
          <w:b w:val="1"/>
          <w:bCs w:val="1"/>
          <w:szCs w:val="24"/>
        </w:rPr>
        <w:t xml:space="preserve"> 9,5) – </w:t>
      </w:r>
      <w:r>
        <w:rPr>
          <w:rFonts w:ascii="Calibri" w:hAnsi="Calibri" w:cs="Calibri"/>
          <w:b w:val="1"/>
          <w:bCs w:val="1"/>
          <w:color w:val="000000" w:themeColor="text1"/>
          <w:szCs w:val="24"/>
        </w:rPr>
        <w:t>Högsta nockhöjd är angivet värde i meter</w:t>
      </w:r>
      <w:r>
        <w:rPr>
          <w:rFonts w:ascii="Calibri" w:hAnsi="Calibri" w:cs="Calibri"/>
          <w:b w:val="1"/>
          <w:bCs w:val="1"/>
          <w:szCs w:val="24"/>
        </w:rPr>
        <w:br w:type="textWrapping"/>
      </w:r>
      <w:bookmarkStart w:id="52" w:name="mo_motivtillreglering09"/>
      <w:r>
        <w:rPr>
          <w:rFonts w:ascii="Calibri" w:hAnsi="Calibri" w:cs="Calibri"/>
          <w:szCs w:val="24"/>
        </w:rPr>
        <w:t>Bestämmelsen syftar till att reglera högsta nockhöjden för bebyggelse</w:t>
      </w:r>
      <w:r>
        <w:rPr>
          <w:rFonts w:ascii="Calibri" w:hAnsi="Calibri" w:cs="Calibri"/>
        </w:rPr>
        <w:t xml:space="preserve"> ur landskapsbild synpunkt.</w:t>
      </w:r>
      <w:bookmarkEnd w:id="52"/>
    </w:p>
    <w:p>
      <w:pPr>
        <w:ind w:left="576"/>
        <w:rPr>
          <w:rFonts w:ascii="Calibri" w:hAnsi="Calibri" w:cs="Calibri"/>
          <w:b w:val="1"/>
          <w:bCs w:val="1"/>
          <w:szCs w:val="24"/>
        </w:rPr>
      </w:pPr>
      <w:r>
        <w:rPr>
          <w:rFonts w:ascii="Calibri" w:hAnsi="Calibri" w:cs="Calibri"/>
          <w:b w:val="1"/>
          <w:bCs w:val="1"/>
          <w:szCs w:val="24"/>
        </w:rPr>
        <w:t>(h</w:t>
      </w:r>
      <w:r>
        <w:rPr>
          <w:rFonts w:ascii="Calibri" w:hAnsi="Calibri" w:cs="Calibri"/>
          <w:b w:val="1"/>
          <w:bCs w:val="1"/>
          <w:szCs w:val="24"/>
          <w:vertAlign w:val="subscript"/>
        </w:rPr>
        <w:t>2</w:t>
      </w:r>
      <w:r>
        <w:rPr>
          <w:rFonts w:ascii="Calibri" w:hAnsi="Calibri" w:cs="Calibri"/>
          <w:b w:val="1"/>
          <w:bCs w:val="1"/>
          <w:szCs w:val="24"/>
        </w:rPr>
        <w:t xml:space="preserve"> 5,0) – </w:t>
      </w:r>
      <w:r>
        <w:rPr>
          <w:rFonts w:ascii="Calibri" w:hAnsi="Calibri" w:cs="Calibri"/>
          <w:b w:val="1"/>
          <w:bCs w:val="1"/>
          <w:color w:val="000000" w:themeColor="text1"/>
          <w:szCs w:val="24"/>
        </w:rPr>
        <w:t>Högsta nockhöjd är angivet värde i meter</w:t>
      </w:r>
      <w:r>
        <w:rPr>
          <w:rFonts w:ascii="Calibri" w:hAnsi="Calibri" w:cs="Calibri"/>
          <w:b w:val="1"/>
          <w:bCs w:val="1"/>
          <w:szCs w:val="24"/>
        </w:rPr>
        <w:br w:type="textWrapping"/>
      </w:r>
      <w:bookmarkStart w:id="53" w:name="mo_motivtillreglering10"/>
      <w:r>
        <w:rPr>
          <w:rFonts w:ascii="Calibri" w:hAnsi="Calibri" w:cs="Calibri"/>
          <w:szCs w:val="24"/>
        </w:rPr>
        <w:t>Bestämmelsen syftar till att reglera högsta nockhöjd för bebyggelse i syfte att värna landskapsbilden och säkerställa att bebyggelse harmoniserar med omkringliggande bebyggelse i låg skala.</w:t>
      </w:r>
      <w:bookmarkEnd w:id="53"/>
    </w:p>
    <w:p>
      <w:pPr>
        <w:ind w:left="576"/>
        <w:rPr>
          <w:rFonts w:ascii="Calibri" w:hAnsi="Calibri" w:cs="Calibri"/>
          <w:b w:val="1"/>
          <w:bCs w:val="1"/>
          <w:szCs w:val="24"/>
        </w:rPr>
      </w:pPr>
      <w:r>
        <w:rPr>
          <w:rFonts w:ascii="Calibri" w:hAnsi="Calibri" w:cs="Calibri"/>
          <w:b w:val="1"/>
          <w:bCs w:val="1"/>
          <w:szCs w:val="24"/>
        </w:rPr>
        <w:t>(h</w:t>
      </w:r>
      <w:r>
        <w:rPr>
          <w:rFonts w:ascii="Calibri" w:hAnsi="Calibri" w:cs="Calibri"/>
          <w:b w:val="1"/>
          <w:bCs w:val="1"/>
          <w:szCs w:val="24"/>
          <w:vertAlign w:val="subscript"/>
        </w:rPr>
        <w:t>3</w:t>
      </w:r>
      <w:r>
        <w:rPr>
          <w:rFonts w:ascii="Calibri" w:hAnsi="Calibri" w:cs="Calibri"/>
          <w:b w:val="1"/>
          <w:bCs w:val="1"/>
          <w:szCs w:val="24"/>
        </w:rPr>
        <w:t xml:space="preserve"> 13,0) – Högsta totalhöjd är angivet värde i meter</w:t>
        <w:br w:type="textWrapping"/>
      </w:r>
      <w:bookmarkStart w:id="54" w:name="mo_motivtillreglering11"/>
      <w:r>
        <w:rPr>
          <w:rFonts w:ascii="Calibri" w:hAnsi="Calibri" w:cs="Calibri"/>
          <w:szCs w:val="24"/>
        </w:rPr>
        <w:t xml:space="preserve">Bestämmelsen syftar till att reglera totalhöjden för uppstickande element att inte bli för påtagliga. </w:t>
      </w:r>
      <w:bookmarkEnd w:id="54"/>
    </w:p>
    <w:p>
      <w:pPr>
        <w:ind w:left="576"/>
        <w:rPr>
          <w:rFonts w:ascii="Calibri" w:hAnsi="Calibri" w:cs="Calibri"/>
          <w:b w:val="1"/>
          <w:bCs w:val="1"/>
          <w:szCs w:val="24"/>
        </w:rPr>
      </w:pPr>
      <w:r>
        <w:rPr>
          <w:rFonts w:ascii="Calibri" w:hAnsi="Calibri" w:cs="Calibri"/>
          <w:b w:val="1"/>
          <w:bCs w:val="1"/>
          <w:szCs w:val="24"/>
        </w:rPr>
        <w:t>(h</w:t>
      </w:r>
      <w:r>
        <w:rPr>
          <w:rFonts w:ascii="Calibri" w:hAnsi="Calibri" w:cs="Calibri"/>
          <w:b w:val="1"/>
          <w:bCs w:val="1"/>
          <w:szCs w:val="24"/>
          <w:vertAlign w:val="subscript"/>
        </w:rPr>
        <w:t>4</w:t>
      </w:r>
      <w:r>
        <w:rPr>
          <w:rFonts w:ascii="Calibri" w:hAnsi="Calibri" w:cs="Calibri"/>
          <w:b w:val="1"/>
          <w:bCs w:val="1"/>
          <w:szCs w:val="24"/>
        </w:rPr>
        <w:t xml:space="preserve"> 6,0) – Högsta totalhöjd är angivet värde i meter</w:t>
        <w:br w:type="textWrapping"/>
      </w:r>
      <w:bookmarkStart w:id="55" w:name="mo_motivtillreglering12"/>
      <w:r>
        <w:rPr>
          <w:rFonts w:ascii="Calibri" w:hAnsi="Calibri" w:cs="Calibri"/>
          <w:szCs w:val="24"/>
        </w:rPr>
        <w:t>Bestämmelsen syftar till att reglera totalhöjden för uppstickande element att inte bli för påtagliga.</w:t>
      </w:r>
      <w:bookmarkEnd w:id="55"/>
      <w:r>
        <w:rPr>
          <w:rFonts w:ascii="Calibri" w:hAnsi="Calibri" w:cs="Calibri"/>
          <w:szCs w:val="24"/>
        </w:rPr>
        <w:t xml:space="preserve"> </w:t>
      </w:r>
    </w:p>
    <w:p>
      <w:pPr>
        <w:ind w:left="576"/>
        <w:rPr>
          <w:rFonts w:ascii="Calibri" w:hAnsi="Calibri" w:cs="Calibri"/>
          <w:b w:val="1"/>
          <w:bCs w:val="1"/>
        </w:rPr>
      </w:pPr>
    </w:p>
    <w:p>
      <w:pPr>
        <w:ind w:left="576"/>
        <w:rPr>
          <w:rFonts w:ascii="Calibri" w:hAnsi="Calibri" w:cs="Calibri"/>
          <w:b w:val="1"/>
          <w:bCs w:val="1"/>
          <w:vertAlign w:val="subscript"/>
        </w:rPr>
      </w:pPr>
      <w:r>
        <w:rPr>
          <w:rFonts w:ascii="Calibri" w:hAnsi="Calibri" w:cs="Calibri"/>
          <w:b w:val="1"/>
          <w:bCs w:val="1"/>
        </w:rPr>
        <w:t>(u</w:t>
      </w:r>
      <w:r>
        <w:rPr>
          <w:rFonts w:ascii="Calibri" w:hAnsi="Calibri" w:cs="Calibri"/>
          <w:b w:val="1"/>
          <w:bCs w:val="1"/>
          <w:vertAlign w:val="subscript"/>
        </w:rPr>
        <w:t>1</w:t>
      </w:r>
      <w:r>
        <w:rPr>
          <w:rFonts w:ascii="Calibri" w:hAnsi="Calibri" w:cs="Calibri"/>
          <w:b w:val="1"/>
          <w:bCs w:val="1"/>
        </w:rPr>
        <w:t>) – Markreservat för allmännyttiga underjordiska ledningar</w:t>
      </w:r>
      <w:r>
        <w:rPr>
          <w:rFonts w:ascii="Calibri" w:hAnsi="Calibri" w:cs="Calibri"/>
          <w:b w:val="1"/>
          <w:bCs w:val="1"/>
          <w:vertAlign w:val="subscript"/>
        </w:rPr>
        <w:br w:type="textWrapping"/>
      </w:r>
      <w:bookmarkStart w:id="56" w:name="mo_motivtillreglering13"/>
      <w:r>
        <w:rPr>
          <w:rFonts w:ascii="Calibri" w:hAnsi="Calibri" w:cs="Calibri"/>
        </w:rPr>
        <w:t>Planbestämmelsens syfte är att säkerställa markreservat för allmännyttiga underjordiska ledningar på kvartersmark.</w:t>
      </w:r>
      <w:bookmarkEnd w:id="56"/>
    </w:p>
    <w:p>
      <w:pPr>
        <w:ind w:left="576"/>
        <w:rPr>
          <w:rFonts w:ascii="Calibri" w:hAnsi="Calibri" w:cs="Calibri"/>
          <w:b w:val="1"/>
          <w:bCs w:val="1"/>
          <w:szCs w:val="24"/>
        </w:rPr>
      </w:pPr>
      <w:r>
        <w:rPr>
          <w:rFonts w:ascii="Calibri" w:hAnsi="Calibri" w:cs="Calibri"/>
          <w:b w:val="1"/>
          <w:bCs w:val="1"/>
          <w:szCs w:val="24"/>
        </w:rPr>
        <w:t>(</w:t>
      </w:r>
      <w:bookmarkStart w:id="57" w:name="_Hlk161657827"/>
      <w:r>
        <w:rPr>
          <w:rFonts w:ascii="Calibri" w:hAnsi="Calibri" w:cs="Calibri"/>
          <w:b w:val="1"/>
          <w:bCs w:val="1"/>
          <w:szCs w:val="24"/>
        </w:rPr>
        <w:t>p</w:t>
      </w:r>
      <w:r>
        <w:rPr>
          <w:rFonts w:ascii="Calibri" w:hAnsi="Calibri" w:cs="Calibri"/>
          <w:b w:val="1"/>
          <w:bCs w:val="1"/>
          <w:szCs w:val="24"/>
          <w:vertAlign w:val="subscript"/>
        </w:rPr>
        <w:t>1</w:t>
      </w:r>
      <w:bookmarkEnd w:id="57"/>
      <w:r>
        <w:rPr>
          <w:rFonts w:ascii="Calibri" w:hAnsi="Calibri" w:cs="Calibri"/>
          <w:b w:val="1"/>
          <w:bCs w:val="1"/>
          <w:szCs w:val="24"/>
        </w:rPr>
        <w:t>) – Byggnadsverk får placeras i fastighetsgräns</w:t>
        <w:br w:type="textWrapping"/>
      </w:r>
      <w:bookmarkStart w:id="58" w:name="mo_motivtillreglering14"/>
      <w:r>
        <w:rPr>
          <w:rFonts w:ascii="Calibri" w:hAnsi="Calibri" w:cs="Calibri"/>
          <w:szCs w:val="24"/>
        </w:rPr>
        <w:t>Bestämmelsen syftar till att byggnadsverk får placeras i fastighetsgräns för att effektivt kunna förtäta marken.</w:t>
      </w:r>
      <w:bookmarkEnd w:id="58"/>
    </w:p>
    <w:p>
      <w:pPr>
        <w:ind w:left="576"/>
        <w:rPr>
          <w:rFonts w:ascii="Calibri" w:hAnsi="Calibri" w:cs="Calibri"/>
          <w:b w:val="1"/>
          <w:bCs w:val="1"/>
          <w:szCs w:val="24"/>
        </w:rPr>
      </w:pPr>
      <w:r>
        <w:rPr>
          <w:rFonts w:ascii="Calibri" w:hAnsi="Calibri" w:cs="Calibri"/>
          <w:b w:val="1"/>
          <w:bCs w:val="1"/>
          <w:szCs w:val="24"/>
        </w:rPr>
        <w:t>(p</w:t>
      </w:r>
      <w:r>
        <w:rPr>
          <w:rFonts w:ascii="Calibri" w:hAnsi="Calibri" w:cs="Calibri"/>
          <w:b w:val="1"/>
          <w:bCs w:val="1"/>
          <w:szCs w:val="24"/>
          <w:vertAlign w:val="subscript"/>
        </w:rPr>
        <w:t>2</w:t>
      </w:r>
      <w:r>
        <w:rPr>
          <w:rFonts w:ascii="Calibri" w:hAnsi="Calibri" w:cs="Calibri"/>
          <w:b w:val="1"/>
          <w:bCs w:val="1"/>
          <w:szCs w:val="24"/>
        </w:rPr>
        <w:t>) – Stängsel ska utgöra en integrerad del av bebyggelsen</w:t>
        <w:br w:type="textWrapping"/>
      </w:r>
      <w:bookmarkStart w:id="59" w:name="mo_motivtillreglering15"/>
      <w:r>
        <w:rPr>
          <w:rFonts w:ascii="Calibri" w:hAnsi="Calibri" w:cs="Calibri"/>
          <w:szCs w:val="24"/>
        </w:rPr>
        <w:t xml:space="preserve">Bestämmelsen syftar till stängsel och bebyggelsen ska samordnas och länkas ihop, så att inte stängslet upplevs för omfattande ur landskapsbildsynpunkt. </w:t>
      </w:r>
      <w:bookmarkEnd w:id="59"/>
    </w:p>
    <w:p>
      <w:pPr>
        <w:ind w:left="576"/>
        <w:rPr>
          <w:rFonts w:ascii="Calibri" w:hAnsi="Calibri" w:cs="Calibri"/>
          <w:b w:val="1"/>
          <w:bCs w:val="1"/>
          <w:szCs w:val="24"/>
        </w:rPr>
      </w:pPr>
      <w:r>
        <w:rPr>
          <w:rFonts w:ascii="Calibri" w:hAnsi="Calibri" w:cs="Calibri"/>
          <w:b w:val="1"/>
          <w:bCs w:val="1"/>
          <w:szCs w:val="24"/>
        </w:rPr>
        <w:t>(o</w:t>
      </w:r>
      <w:r>
        <w:rPr>
          <w:rFonts w:ascii="Calibri" w:hAnsi="Calibri" w:cs="Calibri"/>
          <w:b w:val="1"/>
          <w:bCs w:val="1"/>
          <w:szCs w:val="24"/>
          <w:vertAlign w:val="subscript"/>
        </w:rPr>
        <w:t>1</w:t>
      </w:r>
      <w:r>
        <w:rPr>
          <w:rFonts w:ascii="Calibri" w:hAnsi="Calibri" w:cs="Calibri"/>
          <w:b w:val="1"/>
          <w:bCs w:val="1"/>
          <w:szCs w:val="24"/>
        </w:rPr>
        <w:t>) – Byggnaders minsta takvinkel är 5,0 grader</w:t>
        <w:br w:type="textWrapping"/>
      </w:r>
      <w:bookmarkStart w:id="60" w:name="mo_motivtillreglering16"/>
      <w:r>
        <w:rPr>
          <w:rFonts w:ascii="Calibri" w:hAnsi="Calibri" w:cs="Calibri"/>
          <w:szCs w:val="24"/>
        </w:rPr>
        <w:t>Bestämmelsen syftar till att reglera takvinkel ur vattenavrinning-, snö-, underhåll- samt landskapsbild synpunkt.</w:t>
      </w:r>
      <w:bookmarkEnd w:id="60"/>
    </w:p>
    <w:p>
      <w:pPr>
        <w:ind w:left="576"/>
        <w:rPr>
          <w:rFonts w:ascii="Calibri" w:hAnsi="Calibri" w:cs="Calibri"/>
          <w:b w:val="1"/>
          <w:bCs w:val="1"/>
          <w:szCs w:val="24"/>
        </w:rPr>
      </w:pPr>
      <w:r>
        <w:rPr>
          <w:rFonts w:ascii="Calibri" w:hAnsi="Calibri" w:cs="Calibri"/>
          <w:b w:val="1"/>
          <w:bCs w:val="1"/>
          <w:szCs w:val="24"/>
        </w:rPr>
        <w:t>(o</w:t>
      </w:r>
      <w:r>
        <w:rPr>
          <w:rFonts w:ascii="Calibri" w:hAnsi="Calibri" w:cs="Calibri"/>
          <w:b w:val="1"/>
          <w:bCs w:val="1"/>
          <w:szCs w:val="24"/>
          <w:vertAlign w:val="subscript"/>
        </w:rPr>
        <w:t>2</w:t>
      </w:r>
      <w:r>
        <w:rPr>
          <w:rFonts w:ascii="Calibri" w:hAnsi="Calibri" w:cs="Calibri"/>
          <w:b w:val="1"/>
          <w:bCs w:val="1"/>
          <w:szCs w:val="24"/>
        </w:rPr>
        <w:t>) – Byggnaders minsta takvinkel är 21,0 grader</w:t>
        <w:br w:type="textWrapping"/>
      </w:r>
      <w:bookmarkStart w:id="61" w:name="mo_motivtillreglering17"/>
      <w:r>
        <w:rPr>
          <w:rFonts w:ascii="Calibri" w:hAnsi="Calibri" w:cs="Calibri"/>
          <w:szCs w:val="24"/>
        </w:rPr>
        <w:t>Bestämmelsen syftar till att bebyggelse i planområdet ska samspela med befintlig kringliggande bebyggelses karaktär.</w:t>
      </w:r>
      <w:bookmarkEnd w:id="61"/>
    </w:p>
    <w:p>
      <w:pPr>
        <w:ind w:left="576"/>
        <w:rPr>
          <w:rFonts w:ascii="Calibri" w:hAnsi="Calibri" w:cs="Calibri"/>
          <w:b w:val="1"/>
          <w:bCs w:val="1"/>
          <w:szCs w:val="24"/>
        </w:rPr>
      </w:pPr>
      <w:r>
        <w:rPr>
          <w:rFonts w:ascii="Calibri" w:hAnsi="Calibri" w:cs="Calibri"/>
          <w:b w:val="1"/>
          <w:bCs w:val="1"/>
          <w:szCs w:val="24"/>
        </w:rPr>
        <w:t>(f</w:t>
      </w:r>
      <w:r>
        <w:rPr>
          <w:rFonts w:ascii="Calibri" w:hAnsi="Calibri" w:cs="Calibri"/>
          <w:b w:val="1"/>
          <w:bCs w:val="1"/>
          <w:szCs w:val="24"/>
          <w:vertAlign w:val="subscript"/>
        </w:rPr>
        <w:t>1</w:t>
      </w:r>
      <w:r>
        <w:rPr>
          <w:rFonts w:ascii="Calibri" w:hAnsi="Calibri" w:cs="Calibri"/>
          <w:b w:val="1"/>
          <w:bCs w:val="1"/>
          <w:szCs w:val="24"/>
        </w:rPr>
        <w:t>) – Byggnaders fasader ska vara av murat tegel</w:t>
        <w:br w:type="textWrapping"/>
      </w:r>
      <w:bookmarkStart w:id="62" w:name="mo_motivtillreglering18"/>
      <w:r>
        <w:rPr>
          <w:rFonts w:ascii="Calibri" w:hAnsi="Calibri" w:cs="Calibri"/>
          <w:szCs w:val="24"/>
        </w:rPr>
        <w:t xml:space="preserve">Bestämmelsen syftar till att bebyggelsen i planområdet ska samspela med karaktären på kringliggande bebyggelse samt ur landskapsbildsynpunkt. </w:t>
      </w:r>
      <w:bookmarkEnd w:id="62"/>
    </w:p>
    <w:p>
      <w:pPr>
        <w:ind w:left="576"/>
        <w:rPr>
          <w:rFonts w:ascii="Calibri" w:hAnsi="Calibri" w:cs="Calibri"/>
          <w:b w:val="1"/>
          <w:bCs w:val="1"/>
          <w:szCs w:val="24"/>
        </w:rPr>
      </w:pPr>
      <w:r>
        <w:rPr>
          <w:rFonts w:ascii="Calibri" w:hAnsi="Calibri" w:cs="Calibri"/>
          <w:b w:val="1"/>
          <w:bCs w:val="1"/>
          <w:szCs w:val="24"/>
        </w:rPr>
        <w:t>(f</w:t>
      </w:r>
      <w:r>
        <w:rPr>
          <w:rFonts w:ascii="Calibri" w:hAnsi="Calibri" w:cs="Calibri"/>
          <w:b w:val="1"/>
          <w:bCs w:val="1"/>
          <w:szCs w:val="24"/>
          <w:vertAlign w:val="subscript"/>
        </w:rPr>
        <w:t>2</w:t>
      </w:r>
      <w:r>
        <w:rPr>
          <w:rFonts w:ascii="Calibri" w:hAnsi="Calibri" w:cs="Calibri"/>
          <w:b w:val="1"/>
          <w:bCs w:val="1"/>
          <w:szCs w:val="24"/>
        </w:rPr>
        <w:t>) – Byggnaders fasader ska vara röd kulör</w:t>
        <w:br w:type="textWrapping"/>
      </w:r>
      <w:bookmarkStart w:id="63" w:name="mo_motivtillreglering19"/>
      <w:r>
        <w:rPr>
          <w:rFonts w:ascii="Calibri" w:hAnsi="Calibri" w:cs="Calibri"/>
          <w:szCs w:val="24"/>
        </w:rPr>
        <w:t>Bestämmelsen syftar till att bebyggelsen ska bli mer enhetlig och smälta in i miljön med befintlig bebyggelse i orange-röd kulör.</w:t>
      </w:r>
      <w:bookmarkEnd w:id="63"/>
    </w:p>
    <w:p>
      <w:pPr>
        <w:ind w:left="576"/>
        <w:rPr>
          <w:rFonts w:ascii="Calibri" w:hAnsi="Calibri" w:cs="Calibri"/>
          <w:b w:val="1"/>
          <w:bCs w:val="1"/>
          <w:szCs w:val="24"/>
        </w:rPr>
      </w:pPr>
      <w:r>
        <w:rPr>
          <w:rFonts w:ascii="Calibri" w:hAnsi="Calibri" w:cs="Calibri"/>
          <w:b w:val="1"/>
          <w:bCs w:val="1"/>
          <w:szCs w:val="24"/>
        </w:rPr>
        <w:t>(f</w:t>
      </w:r>
      <w:r>
        <w:rPr>
          <w:rFonts w:ascii="Calibri" w:hAnsi="Calibri" w:cs="Calibri"/>
          <w:b w:val="1"/>
          <w:bCs w:val="1"/>
          <w:szCs w:val="24"/>
          <w:vertAlign w:val="subscript"/>
        </w:rPr>
        <w:t>3</w:t>
      </w:r>
      <w:r>
        <w:rPr>
          <w:rFonts w:ascii="Calibri" w:hAnsi="Calibri" w:cs="Calibri"/>
          <w:b w:val="1"/>
          <w:bCs w:val="1"/>
          <w:szCs w:val="24"/>
        </w:rPr>
        <w:t>) – Byggnaders tak ska vara tegel- eller betongpannor</w:t>
        <w:br w:type="textWrapping"/>
      </w:r>
      <w:bookmarkStart w:id="64" w:name="mo_motivtillreglering20"/>
      <w:r>
        <w:rPr>
          <w:rFonts w:ascii="Calibri" w:hAnsi="Calibri" w:cs="Calibri"/>
          <w:szCs w:val="24"/>
        </w:rPr>
        <w:t>Bestämmelsen syftar till att bebyggelsen i planområdet ska samspela med karaktären på kringliggande bebyggelse samt ur landskapsbildsynpunkt.</w:t>
      </w:r>
      <w:bookmarkEnd w:id="64"/>
      <w:r>
        <w:rPr>
          <w:rFonts w:ascii="Calibri" w:hAnsi="Calibri" w:cs="Calibri"/>
          <w:szCs w:val="24"/>
        </w:rPr>
        <w:t xml:space="preserve"> </w:t>
      </w:r>
    </w:p>
    <w:p>
      <w:pPr>
        <w:ind w:left="576"/>
        <w:rPr>
          <w:rFonts w:ascii="Calibri" w:hAnsi="Calibri" w:cs="Calibri"/>
          <w:b w:val="1"/>
          <w:bCs w:val="1"/>
          <w:szCs w:val="24"/>
        </w:rPr>
      </w:pPr>
      <w:r>
        <w:rPr>
          <w:rFonts w:ascii="Calibri" w:hAnsi="Calibri" w:cs="Calibri"/>
          <w:b w:val="1"/>
          <w:bCs w:val="1"/>
          <w:szCs w:val="24"/>
        </w:rPr>
        <w:t>(f</w:t>
      </w:r>
      <w:r>
        <w:rPr>
          <w:rFonts w:ascii="Calibri" w:hAnsi="Calibri" w:cs="Calibri"/>
          <w:b w:val="1"/>
          <w:bCs w:val="1"/>
          <w:szCs w:val="24"/>
          <w:vertAlign w:val="subscript"/>
        </w:rPr>
        <w:t>4</w:t>
      </w:r>
      <w:r>
        <w:rPr>
          <w:rFonts w:ascii="Calibri" w:hAnsi="Calibri" w:cs="Calibri"/>
          <w:b w:val="1"/>
          <w:bCs w:val="1"/>
          <w:szCs w:val="24"/>
        </w:rPr>
        <w:t>) – Byggnaders tak ska vara sadeltak</w:t>
        <w:br w:type="textWrapping"/>
      </w:r>
      <w:bookmarkStart w:id="65" w:name="mo_motivtillreglering21"/>
      <w:r>
        <w:rPr>
          <w:rFonts w:ascii="Calibri" w:hAnsi="Calibri" w:cs="Calibri"/>
          <w:szCs w:val="24"/>
        </w:rPr>
        <w:t xml:space="preserve">Bestämmelsen syftar till att bebyggelsen i planområdet ska samspela med karaktären på kringliggande bebyggelse samt ur landskapsbildsynpunkt. </w:t>
      </w:r>
      <w:bookmarkEnd w:id="65"/>
    </w:p>
    <w:p>
      <w:pPr>
        <w:ind w:left="576"/>
        <w:rPr>
          <w:rFonts w:ascii="Calibri" w:hAnsi="Calibri" w:cs="Calibri"/>
          <w:b w:val="1"/>
          <w:bCs w:val="1"/>
          <w:szCs w:val="24"/>
        </w:rPr>
      </w:pPr>
      <w:r>
        <w:rPr>
          <w:rFonts w:ascii="Calibri" w:hAnsi="Calibri" w:cs="Calibri"/>
          <w:b w:val="1"/>
          <w:bCs w:val="1"/>
          <w:szCs w:val="24"/>
        </w:rPr>
        <w:t>(f</w:t>
      </w:r>
      <w:r>
        <w:rPr>
          <w:rFonts w:ascii="Calibri" w:hAnsi="Calibri" w:cs="Calibri"/>
          <w:b w:val="1"/>
          <w:bCs w:val="1"/>
          <w:szCs w:val="24"/>
          <w:vertAlign w:val="subscript"/>
        </w:rPr>
        <w:t>5</w:t>
      </w:r>
      <w:r>
        <w:rPr>
          <w:rFonts w:ascii="Calibri" w:hAnsi="Calibri" w:cs="Calibri"/>
          <w:b w:val="1"/>
          <w:bCs w:val="1"/>
          <w:szCs w:val="24"/>
        </w:rPr>
        <w:t>) – Byggnaders tak ska vara av mörkgrå kulör</w:t>
        <w:br w:type="textWrapping"/>
      </w:r>
      <w:bookmarkStart w:id="66" w:name="mo_motivtillreglering22"/>
      <w:r>
        <w:rPr>
          <w:rFonts w:ascii="Calibri" w:hAnsi="Calibri" w:cs="Calibri"/>
          <w:szCs w:val="24"/>
        </w:rPr>
        <w:t>Bestämmelsen syftar till att bebyggelsen kulör ska smälta in i den bebyggda miljön samt att bryta av i kulör vid större volymer så att enskild kulör ej blir för omfattande.</w:t>
      </w:r>
      <w:bookmarkEnd w:id="66"/>
    </w:p>
    <w:p>
      <w:pPr>
        <w:ind w:left="576"/>
        <w:rPr>
          <w:rFonts w:ascii="Calibri" w:hAnsi="Calibri" w:cs="Calibri"/>
          <w:b w:val="1"/>
          <w:bCs w:val="1"/>
          <w:szCs w:val="24"/>
        </w:rPr>
      </w:pPr>
      <w:r>
        <w:rPr>
          <w:rFonts w:ascii="Calibri" w:hAnsi="Calibri" w:cs="Calibri"/>
          <w:b w:val="1"/>
          <w:bCs w:val="1"/>
          <w:szCs w:val="24"/>
        </w:rPr>
        <w:t>(b</w:t>
      </w:r>
      <w:r>
        <w:rPr>
          <w:rFonts w:ascii="Calibri" w:hAnsi="Calibri" w:cs="Calibri"/>
          <w:b w:val="1"/>
          <w:bCs w:val="1"/>
          <w:szCs w:val="24"/>
          <w:vertAlign w:val="subscript"/>
        </w:rPr>
        <w:t>1</w:t>
      </w:r>
      <w:r>
        <w:rPr>
          <w:rFonts w:ascii="Calibri" w:hAnsi="Calibri" w:cs="Calibri"/>
          <w:b w:val="1"/>
          <w:bCs w:val="1"/>
          <w:szCs w:val="24"/>
        </w:rPr>
        <w:t>) – Stängsel ska vara mörkgrå smide, vara högst 2,2 meter och ha ett genomsiktligt utförande med vertikala spjälor</w:t>
        <w:br w:type="textWrapping"/>
      </w:r>
      <w:bookmarkStart w:id="67" w:name="mo_motivtillreglering23"/>
      <w:r>
        <w:rPr>
          <w:rFonts w:ascii="Calibri" w:hAnsi="Calibri" w:cs="Calibri"/>
          <w:szCs w:val="24"/>
        </w:rPr>
        <w:t>Bestämmelsen syftar till att stängsel ska smälta in med annat kringliggande stängsel i likartat utförande samt att inte bli för dominant i landskapet ur landskapsbildsynpunkt.</w:t>
      </w:r>
      <w:bookmarkEnd w:id="67"/>
    </w:p>
    <w:p>
      <w:pPr>
        <w:ind w:left="576"/>
        <w:rPr>
          <w:rFonts w:ascii="Calibri" w:hAnsi="Calibri" w:cs="Calibri"/>
          <w:b w:val="1"/>
          <w:bCs w:val="1"/>
          <w:szCs w:val="24"/>
        </w:rPr>
      </w:pPr>
      <w:r>
        <w:rPr>
          <w:rFonts w:ascii="Calibri" w:hAnsi="Calibri" w:cs="Calibri"/>
          <w:b w:val="1"/>
          <w:bCs w:val="1"/>
          <w:szCs w:val="24"/>
        </w:rPr>
        <w:t>(e</w:t>
      </w:r>
      <w:r>
        <w:rPr>
          <w:rFonts w:ascii="Calibri" w:hAnsi="Calibri" w:cs="Calibri"/>
          <w:b w:val="1"/>
          <w:bCs w:val="1"/>
          <w:szCs w:val="24"/>
          <w:vertAlign w:val="subscript"/>
        </w:rPr>
        <w:t xml:space="preserve">1 </w:t>
      </w:r>
      <w:r>
        <w:rPr>
          <w:rFonts w:ascii="Calibri" w:hAnsi="Calibri" w:cs="Calibri"/>
          <w:b w:val="1"/>
          <w:bCs w:val="1"/>
          <w:szCs w:val="24"/>
        </w:rPr>
        <w:t>25,0) – Största byggnadsarea är angivet värde i % av fastighetsarean inom användningsområdet</w:t>
        <w:br w:type="textWrapping"/>
      </w:r>
      <w:bookmarkStart w:id="68" w:name="mo_motivtillreglering24"/>
      <w:r>
        <w:rPr>
          <w:rFonts w:ascii="Calibri" w:hAnsi="Calibri" w:cs="Calibri"/>
          <w:szCs w:val="24"/>
        </w:rPr>
        <w:t>Bestämmelsen syftar till att reglera bebyggelsens största omfattning och för att undvika för stor exploatering.</w:t>
      </w:r>
      <w:bookmarkEnd w:id="68"/>
    </w:p>
    <w:p>
      <w:pPr>
        <w:ind w:left="576"/>
        <w:rPr>
          <w:rFonts w:ascii="Calibri" w:hAnsi="Calibri" w:cs="Calibri"/>
          <w:b w:val="1"/>
          <w:bCs w:val="1"/>
          <w:szCs w:val="24"/>
        </w:rPr>
      </w:pPr>
      <w:r>
        <w:rPr>
          <w:rFonts w:ascii="Calibri" w:hAnsi="Calibri" w:cs="Calibri"/>
          <w:b w:val="1"/>
          <w:bCs w:val="1"/>
          <w:szCs w:val="24"/>
        </w:rPr>
        <w:t>(e</w:t>
      </w:r>
      <w:r>
        <w:rPr>
          <w:rFonts w:ascii="Calibri" w:hAnsi="Calibri" w:cs="Calibri"/>
          <w:b w:val="1"/>
          <w:bCs w:val="1"/>
          <w:szCs w:val="24"/>
          <w:vertAlign w:val="subscript"/>
        </w:rPr>
        <w:t xml:space="preserve">2 </w:t>
      </w:r>
      <w:r>
        <w:rPr>
          <w:rFonts w:ascii="Calibri" w:hAnsi="Calibri" w:cs="Calibri"/>
          <w:b w:val="1"/>
          <w:bCs w:val="1"/>
          <w:szCs w:val="24"/>
        </w:rPr>
        <w:t xml:space="preserve">57,0) – </w:t>
      </w:r>
      <w:bookmarkStart w:id="69" w:name="_Hlk210725990"/>
      <w:r>
        <w:rPr>
          <w:rFonts w:ascii="Calibri" w:hAnsi="Calibri" w:cs="Calibri"/>
          <w:b w:val="1"/>
          <w:bCs w:val="1"/>
          <w:szCs w:val="24"/>
        </w:rPr>
        <w:t>Största byggnadsarea är angivet värde i % av fastighetsarean inom egenskapsområdet</w:t>
      </w:r>
      <w:bookmarkEnd w:id="69"/>
      <w:r>
        <w:rPr>
          <w:rFonts w:ascii="Calibri" w:hAnsi="Calibri" w:cs="Calibri"/>
          <w:b w:val="1"/>
          <w:bCs w:val="1"/>
          <w:szCs w:val="24"/>
        </w:rPr>
        <w:br w:type="textWrapping"/>
      </w:r>
      <w:bookmarkStart w:id="70" w:name="mo_motivtillreglering25"/>
      <w:r>
        <w:rPr>
          <w:rFonts w:ascii="Calibri" w:hAnsi="Calibri" w:cs="Calibri"/>
          <w:szCs w:val="24"/>
        </w:rPr>
        <w:t>Bestämmelsen syftar till att reglera bebyggelsens största omfattning och för att undvika för stor exploatering ur risk- och landskapsbildsynpunkt.</w:t>
      </w:r>
      <w:bookmarkEnd w:id="70"/>
    </w:p>
    <w:p>
      <w:pPr>
        <w:ind w:left="576"/>
        <w:rPr>
          <w:rFonts w:ascii="Calibri" w:hAnsi="Calibri" w:cs="Calibri"/>
          <w:szCs w:val="24"/>
        </w:rPr>
      </w:pPr>
      <w:r>
        <w:rPr>
          <w:rFonts w:ascii="Calibri" w:hAnsi="Calibri" w:cs="Calibri"/>
          <w:b w:val="1"/>
          <w:bCs w:val="1"/>
          <w:szCs w:val="24"/>
        </w:rPr>
        <w:t>(a</w:t>
      </w:r>
      <w:r>
        <w:rPr>
          <w:rFonts w:ascii="Calibri" w:hAnsi="Calibri" w:cs="Calibri"/>
          <w:b w:val="1"/>
          <w:bCs w:val="1"/>
          <w:szCs w:val="24"/>
          <w:vertAlign w:val="subscript"/>
        </w:rPr>
        <w:t>2</w:t>
      </w:r>
      <w:r>
        <w:rPr>
          <w:rFonts w:ascii="Calibri" w:hAnsi="Calibri" w:cs="Calibri"/>
          <w:b w:val="1"/>
          <w:bCs w:val="1"/>
          <w:szCs w:val="24"/>
        </w:rPr>
        <w:t>) – Strandskyddet är upphävt inom användningsområdet</w:t>
        <w:br w:type="textWrapping"/>
      </w:r>
      <w:bookmarkStart w:id="71" w:name="mo_motivtillreglering26"/>
      <w:r>
        <w:rPr>
          <w:rFonts w:ascii="Calibri" w:hAnsi="Calibri" w:cs="Calibri"/>
          <w:szCs w:val="24"/>
        </w:rPr>
        <w:t>Strandskyddet upphävs inom kvartersmark för att detaljplanen ska kunna genomföras.</w:t>
      </w:r>
      <w:bookmarkEnd w:id="71"/>
    </w:p>
    <w:p>
      <w:pPr>
        <w:ind w:left="576"/>
        <w:rPr>
          <w:b w:val="1"/>
          <w:i w:val="1"/>
          <w:bCs w:val="1"/>
          <w:iCs w:val="1"/>
        </w:rPr>
      </w:pPr>
      <w:r>
        <w:rPr>
          <w:rFonts w:ascii="Calibri" w:hAnsi="Calibri" w:cs="Calibri"/>
          <w:b w:val="1"/>
          <w:bCs w:val="1"/>
          <w:szCs w:val="24"/>
        </w:rPr>
        <w:t>(a</w:t>
      </w:r>
      <w:r>
        <w:rPr>
          <w:rFonts w:ascii="Calibri" w:hAnsi="Calibri" w:cs="Calibri"/>
          <w:b w:val="1"/>
          <w:bCs w:val="1"/>
          <w:szCs w:val="24"/>
          <w:vertAlign w:val="subscript"/>
        </w:rPr>
        <w:t>3</w:t>
      </w:r>
      <w:r>
        <w:rPr>
          <w:rFonts w:ascii="Calibri" w:hAnsi="Calibri" w:cs="Calibri"/>
          <w:b w:val="1"/>
          <w:bCs w:val="1"/>
          <w:szCs w:val="24"/>
        </w:rPr>
        <w:t xml:space="preserve">) – </w:t>
      </w:r>
      <w:r>
        <w:rPr>
          <w:b w:val="1"/>
          <w:bCs w:val="1"/>
        </w:rPr>
        <w:t>Startbesked får inte ges för markåtgärd, byggnadsåtgärd eller anläggningsåtgärd förrän sanering av förorenad mark som överskrider de generella riktvärdena för MKM (Mindre känslig mark) har kommit till stånd inom egenskapsområdet</w:t>
      </w:r>
    </w:p>
    <w:p>
      <w:pPr>
        <w:ind w:left="576"/>
        <w:rPr>
          <w:rFonts w:ascii="Calibri" w:hAnsi="Calibri" w:cs="Calibri"/>
          <w:b w:val="1"/>
          <w:bCs w:val="1"/>
          <w:szCs w:val="24"/>
        </w:rPr>
      </w:pPr>
      <w:bookmarkStart w:id="72" w:name="mo_motivtillreglering27"/>
      <w:r>
        <w:rPr>
          <w:rFonts w:ascii="Calibri" w:hAnsi="Calibri" w:cs="Calibri"/>
          <w:szCs w:val="24"/>
        </w:rPr>
        <w:t>Bestämmelsen syftar till att startbesked inte får ges innan sanering av förorenad mark har utförts.</w:t>
      </w:r>
    </w:p>
    <w:p>
      <w:pPr>
        <w:pStyle w:val="P1"/>
        <w:rPr>
          <w:rFonts w:cs="Calibri"/>
        </w:rPr>
      </w:pPr>
      <w:bookmarkEnd w:id="72"/>
      <w:bookmarkStart w:id="73" w:name="_Toc219101369"/>
      <w:r>
        <w:rPr>
          <w:rFonts w:cs="Calibri"/>
        </w:rPr>
        <w:t>Planeringsunderlag och ställningstagande</w:t>
      </w:r>
      <w:bookmarkEnd w:id="73"/>
    </w:p>
    <w:p>
      <w:pPr>
        <w:ind w:left="432"/>
        <w:rPr>
          <w:rFonts w:ascii="Calibri" w:hAnsi="Calibri" w:cs="Calibri"/>
        </w:rPr>
      </w:pPr>
      <w:r>
        <w:rPr>
          <w:rFonts w:ascii="Calibri" w:hAnsi="Calibri" w:cs="Calibri"/>
        </w:rPr>
        <w:t xml:space="preserve">Detta avsnitt redovisar en sammanställning av de planeringsunderlag och beslut som legat till grund för detaljplanens omfattning och utformning. </w:t>
      </w:r>
    </w:p>
    <w:p>
      <w:pPr>
        <w:pStyle w:val="P2"/>
        <w:spacing w:lineRule="auto" w:line="240" w:beforeAutospacing="0" w:afterAutospacing="0"/>
        <w:rPr>
          <w:rFonts w:cs="Calibri"/>
        </w:rPr>
      </w:pPr>
      <w:bookmarkStart w:id="74" w:name="_Toc219101370"/>
      <w:r>
        <w:rPr>
          <w:rFonts w:cs="Calibri"/>
        </w:rPr>
        <w:t>Kommunala underlag</w:t>
      </w:r>
      <w:bookmarkEnd w:id="74"/>
      <w:r>
        <w:rPr>
          <w:rFonts w:cs="Calibri"/>
        </w:rPr>
        <w:t xml:space="preserve"> </w:t>
      </w:r>
    </w:p>
    <w:p>
      <w:pPr>
        <w:pStyle w:val="P3"/>
        <w:spacing w:lineRule="auto" w:line="276" w:beforeAutospacing="0" w:afterAutospacing="0"/>
        <w:rPr>
          <w:rFonts w:cs="Calibri"/>
        </w:rPr>
      </w:pPr>
      <w:r>
        <w:rPr>
          <w:rFonts w:cs="Calibri"/>
        </w:rPr>
        <w:t>Planbesked</w:t>
      </w:r>
    </w:p>
    <w:p>
      <w:pPr>
        <w:tabs>
          <w:tab w:val="left" w:pos="3075" w:leader="none"/>
        </w:tabs>
        <w:ind w:left="720"/>
        <w:rPr>
          <w:rFonts w:ascii="Calibri" w:hAnsi="Calibri" w:cs="Calibri"/>
          <w:szCs w:val="24"/>
        </w:rPr>
      </w:pPr>
      <w:bookmarkStart w:id="75" w:name="pu_planbesked01"/>
      <w:r>
        <w:rPr>
          <w:rFonts w:ascii="Calibri" w:hAnsi="Calibri" w:cs="Calibri"/>
        </w:rPr>
        <w:t xml:space="preserve">Begäran av planbesked inkom 4 mars 2025 från Ovako bar AB med beskrivning om behov att byta ut befintlig faskompensering. 9 april 2025 beslutade Miljö- och byggnadsnämnden att ge ett positivt planbesked och en ny detaljplan ska därmed upprättas. I underlaget till planbeskedet uppgavs det att det är lämpligt att placera faskompenseringen på tilltänkt lokalisering, men att det är av vikt att beakta </w:t>
      </w:r>
      <w:r>
        <w:rPr>
          <w:rFonts w:ascii="Calibri" w:hAnsi="Calibri" w:cs="Calibri"/>
          <w:szCs w:val="24"/>
        </w:rPr>
        <w:t>områdets strategiska läge vid infarten till Smedjebacken. Vidare så betyder detta lämpliga gestaltningskrav erfordras för att inte påtagligt negativt påverka landskapsbilden i området. Eftersom planområdet har expanderats till att inbegripa bebyggelse som ska samordnas i västra delen av planområdet, så kommer även denna miljö få gestaltningskrav. Bebyggelsen västerut är mer synlig i förgrunden, som också kommer att blockera siktlinjer, bland annat till faskompensering i bakgrunden. Detta betyder att kraven kommer bli hårdare i förgrunden och kommer justeras till att samspela ur bland annat landskapsbildsynpunkt.</w:t>
      </w:r>
      <w:bookmarkEnd w:id="75"/>
    </w:p>
    <w:p>
      <w:pPr>
        <w:pStyle w:val="P3"/>
        <w:rPr>
          <w:rFonts w:cs="Calibri"/>
        </w:rPr>
      </w:pPr>
      <w:r>
        <w:rPr>
          <w:rFonts w:cs="Calibri"/>
        </w:rPr>
        <w:t>Befintlig detaljplan</w:t>
      </w:r>
    </w:p>
    <w:p>
      <w:pPr>
        <w:ind w:left="720"/>
        <w:rPr>
          <w:rFonts w:ascii="Calibri" w:hAnsi="Calibri" w:cs="Calibri"/>
        </w:rPr>
      </w:pPr>
      <w:bookmarkStart w:id="76" w:name="pu_detaljplan01"/>
      <w:bookmarkStart w:id="77" w:name="pu_detaljplan03"/>
      <w:r>
        <w:rPr>
          <w:rFonts w:ascii="Calibri" w:hAnsi="Calibri" w:cs="Calibri"/>
        </w:rPr>
        <w:t xml:space="preserve">Detaljplanen för del av Smedjegatan, Vasagatan och Kolbäcksån samt angränsande mark (S179) fick laga kraft den 23 januari 2007. Planen omfattar stora delar av centrums bebyggelse och näringsliv (H). Genomfarten Vasagatan (GATA), samt kulturgatan Kyrkogatan (GATA) återfinns också inom planområdet. Användningarna är främst Industri och Park i söder. Medan norra delen inhyser främst användningarna Bostäder (B), Kontor (K) och Handel (H). </w:t>
      </w:r>
      <w:bookmarkStart w:id="78" w:name="pu_detaljplan02"/>
      <w:r>
        <w:rPr>
          <w:rFonts w:ascii="Calibri" w:hAnsi="Calibri" w:cs="Calibri"/>
        </w:rPr>
        <w:t>Befintliga detaljplanens syfte är att anpassa mark- och vatten till broarnas lägen samt anpassa markutnyttjande. Detta för att möjliggöra en rationell fastighetsbildning. Syftet var också att bredda användningarna samt att stärka skydd för kulturhistorisk värdefull bebyggelse.</w:t>
      </w:r>
      <w:bookmarkEnd w:id="78"/>
    </w:p>
    <w:p>
      <w:pPr>
        <w:ind w:left="720"/>
        <w:rPr>
          <w:rFonts w:ascii="Calibri" w:hAnsi="Calibri" w:cs="Calibri"/>
        </w:rPr>
      </w:pPr>
      <w:bookmarkEnd w:id="76"/>
      <w:r>
        <w:rPr>
          <w:rFonts w:ascii="Calibri" w:hAnsi="Calibri" w:cs="Calibri"/>
          <w:noProof w:val="1"/>
        </w:rPr>
        <w:drawing>
          <wp:inline xmlns:wp="http://schemas.openxmlformats.org/drawingml/2006/wordprocessingDrawing" distT="0" distB="0" distL="0" distR="0">
            <wp:extent cx="5238750" cy="3727450"/>
            <wp:effectExtent l="19050" t="19050" r="19050" b="25400"/>
            <wp:docPr id="30527849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78499" name="Picture 18"/>
                    <pic:cNvPicPr/>
                  </pic:nvPicPr>
                  <pic:blipFill dpi="0">
                    <a:blip xmlns:r="http://schemas.openxmlformats.org/officeDocument/2006/relationships" r:embed="Relimage8"/>
                    <a:srcRect/>
                    <a:stretch>
                      <a:fillRect/>
                    </a:stretch>
                  </pic:blipFill>
                  <pic:spPr>
                    <a:xfrm>
                      <a:off x="0" y="0"/>
                      <a:ext cx="5253845" cy="3738268"/>
                    </a:xfrm>
                    <a:prstGeom prst="rect"/>
                    <a:ln w="6350">
                      <a:solidFill>
                        <a:schemeClr val="tx1"/>
                      </a:solidFill>
                    </a:ln>
                  </pic:spPr>
                </pic:pic>
              </a:graphicData>
            </a:graphic>
          </wp:inline>
        </w:drawing>
      </w:r>
    </w:p>
    <w:p>
      <w:pPr>
        <w:ind w:firstLine="720"/>
        <w:jc w:val="both"/>
        <w:rPr>
          <w:rFonts w:ascii="Calibri" w:hAnsi="Calibri" w:cs="Calibri"/>
          <w:color w:val="3B3939" w:themeColor="background2" w:themeShade="40"/>
          <w:sz w:val="16"/>
          <w:szCs w:val="16"/>
        </w:rPr>
      </w:pPr>
      <w:bookmarkStart w:id="79" w:name="_Hlk174021396"/>
      <w:r>
        <w:rPr>
          <w:rFonts w:ascii="Calibri" w:hAnsi="Calibri" w:cs="Calibri"/>
          <w:color w:val="3B3939" w:themeColor="background2" w:themeShade="40"/>
          <w:sz w:val="16"/>
          <w:szCs w:val="16"/>
        </w:rPr>
        <w:t>Figur 5: Befintlig detaljplan S179.</w:t>
      </w:r>
    </w:p>
    <w:p>
      <w:pPr>
        <w:ind w:firstLine="720"/>
        <w:jc w:val="both"/>
        <w:rPr>
          <w:rFonts w:ascii="Calibri" w:hAnsi="Calibri" w:cs="Calibri"/>
          <w:color w:val="A7A7A7"/>
          <w:sz w:val="16"/>
          <w:szCs w:val="16"/>
        </w:rPr>
      </w:pPr>
    </w:p>
    <w:p>
      <w:pPr>
        <w:pStyle w:val="P3"/>
        <w:spacing w:lineRule="auto" w:line="360" w:beforeAutospacing="0" w:afterAutospacing="0"/>
        <w:rPr>
          <w:rFonts w:cs="Calibri"/>
        </w:rPr>
      </w:pPr>
      <w:bookmarkEnd w:id="77"/>
      <w:bookmarkEnd w:id="79"/>
      <w:r>
        <w:rPr>
          <w:rFonts w:cs="Calibri"/>
        </w:rPr>
        <w:t xml:space="preserve">Översiktsplan </w:t>
      </w:r>
    </w:p>
    <w:p>
      <w:pPr>
        <w:ind w:left="720"/>
        <w:rPr>
          <w:rFonts w:ascii="Calibri" w:hAnsi="Calibri" w:cs="Calibri"/>
        </w:rPr>
      </w:pPr>
      <w:bookmarkStart w:id="80" w:name="pu_översiktsplan01"/>
      <w:r>
        <w:rPr>
          <w:rFonts w:ascii="Calibri" w:hAnsi="Calibri" w:cs="Calibri"/>
        </w:rPr>
        <w:t>I Smedjebacken kommuns gällande översiktsplan, antagen av kommunfullmäktige 2018-10-12, så är aktuellt område främst utpekat som Industri i tätorten Smedjebacken. Översiktsplanen prioriterar i sina ställningstagande att befintliga industriområden ska förädlas, förtätas och byggas ut samt planläggas som mark för nya typer av verksamheter. Översiktsplanen medger även att ökade gestaltningskrav finns vid riksvägsläge vid detaljplanering. Planområdet omfattas inte av ett sådant läge, men planområdet ligger vid en strategisk genomfart för trafik, där samma intressen såsom landskapsbild blir viktigare att ta hänsyn till. Vidare så ska det vara attraktivt för företag att växa i kommunen. Genom att hushålla med markresurser i form av industrimark, där bebyggelse och verksamhet kan etablera sig, så kan detta möjliggöras. Detaljplanen ligger i fas med översiktsplanen med att öka nyttjandegraden för att använda marken mer effektivt. Planförslaget bedöms vara förenligt med den gällande översiktsplanens intentioner.</w:t>
      </w:r>
    </w:p>
    <w:p>
      <w:pPr>
        <w:ind w:left="720"/>
        <w:rPr>
          <w:rFonts w:ascii="Calibri" w:hAnsi="Calibri" w:cs="Calibri"/>
        </w:rPr>
      </w:pPr>
      <w:bookmarkEnd w:id="80"/>
    </w:p>
    <w:p>
      <w:pPr>
        <w:ind w:left="720"/>
        <w:rPr>
          <w:rFonts w:ascii="Calibri" w:hAnsi="Calibri" w:cs="Calibri"/>
        </w:rPr>
      </w:pPr>
      <w:r>
        <w:rPr>
          <w:rFonts w:ascii="Calibri" w:hAnsi="Calibri" w:cs="Calibri"/>
          <w:noProof w:val="1"/>
        </w:rPr>
        <w:drawing>
          <wp:inline xmlns:wp="http://schemas.openxmlformats.org/drawingml/2006/wordprocessingDrawing" distT="0" distB="0" distL="0" distR="0">
            <wp:extent cx="5120640" cy="5633085"/>
            <wp:effectExtent l="0" t="0" r="3810" b="5715"/>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pic:nvPicPr>
                  <pic:blipFill dpi="0">
                    <a:blip xmlns:r="http://schemas.openxmlformats.org/officeDocument/2006/relationships" r:embed="Relimage9" cstate="print"/>
                    <a:srcRect/>
                    <a:stretch>
                      <a:fillRect/>
                    </a:stretch>
                  </pic:blipFill>
                  <pic:spPr>
                    <a:xfrm>
                      <a:off x="0" y="0"/>
                      <a:ext cx="5154926" cy="5671215"/>
                    </a:xfrm>
                    <a:prstGeom prst="rect"/>
                  </pic:spPr>
                </pic:pic>
              </a:graphicData>
            </a:graphic>
          </wp:inline>
        </w:drawing>
      </w:r>
    </w:p>
    <w:p>
      <w:pPr>
        <w:ind w:left="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Figur 6: Övergripande kommunkarta, översiktsplan, Smedjebackens kommun.</w:t>
      </w:r>
    </w:p>
    <w:p>
      <w:pPr>
        <w:rPr>
          <w:rFonts w:ascii="Calibri" w:hAnsi="Calibri" w:cs="Calibri"/>
          <w:color w:val="FF0000"/>
        </w:rPr>
      </w:pPr>
    </w:p>
    <w:p>
      <w:pPr>
        <w:pStyle w:val="P3"/>
        <w:numPr>
          <w:ilvl w:val="2"/>
          <w:numId w:val="2"/>
        </w:numPr>
        <w:rPr>
          <w:rFonts w:cs="Calibri"/>
        </w:rPr>
      </w:pPr>
      <w:r>
        <w:rPr>
          <w:rFonts w:cs="Calibri"/>
        </w:rPr>
        <w:t>Fördjupning av översiktsplanen för Smedjebacken tätort</w:t>
      </w:r>
    </w:p>
    <w:p>
      <w:pPr>
        <w:ind w:left="720"/>
        <w:rPr>
          <w:rFonts w:ascii="Calibri" w:hAnsi="Calibri" w:cs="Calibri"/>
        </w:rPr>
      </w:pPr>
      <w:bookmarkStart w:id="81" w:name="pu_översiktsplan02"/>
      <w:r>
        <w:rPr>
          <w:rFonts w:ascii="Calibri" w:hAnsi="Calibri" w:cs="Calibri"/>
        </w:rPr>
        <w:t xml:space="preserve">Smedjebacken kommuns gällande Fördjupning av översiktsplanen (FÖP) för Smedjebackens tätort, antagen av kommunfullmäktige den 15 juni 2009, så är det aktuella området identifierat som </w:t>
      </w:r>
      <w:r>
        <w:rPr>
          <w:rFonts w:ascii="Calibri" w:hAnsi="Calibri" w:cs="Calibri"/>
          <w:i w:val="1"/>
          <w:iCs w:val="1"/>
        </w:rPr>
        <w:t>Befintligt arbetsplatsområde</w:t>
      </w:r>
      <w:r>
        <w:rPr>
          <w:rFonts w:ascii="Calibri" w:hAnsi="Calibri" w:cs="Calibri"/>
        </w:rPr>
        <w:t xml:space="preserve">. Områden som har denna markanvändning är verksamhetsområden, tekniska anläggningar och industriområden. De förändrade användningarna är primärt </w:t>
      </w:r>
      <w:r>
        <w:rPr>
          <w:rFonts w:ascii="Calibri" w:hAnsi="Calibri" w:cs="Calibri"/>
          <w:i w:val="1"/>
          <w:iCs w:val="1"/>
        </w:rPr>
        <w:t>Tekniska anläggningar</w:t>
      </w:r>
      <w:r>
        <w:rPr>
          <w:rFonts w:ascii="Calibri" w:hAnsi="Calibri" w:cs="Calibri"/>
        </w:rPr>
        <w:t xml:space="preserve">, </w:t>
      </w:r>
      <w:r>
        <w:rPr>
          <w:rFonts w:ascii="Calibri" w:hAnsi="Calibri" w:cs="Calibri"/>
          <w:i w:val="1"/>
          <w:iCs w:val="1"/>
        </w:rPr>
        <w:t>Verksamheter</w:t>
      </w:r>
      <w:r>
        <w:rPr>
          <w:rFonts w:ascii="Calibri" w:hAnsi="Calibri" w:cs="Calibri"/>
        </w:rPr>
        <w:t xml:space="preserve"> och </w:t>
      </w:r>
      <w:r>
        <w:rPr>
          <w:rFonts w:ascii="Calibri" w:hAnsi="Calibri" w:cs="Calibri"/>
          <w:i w:val="1"/>
          <w:iCs w:val="1"/>
        </w:rPr>
        <w:t>Industri</w:t>
      </w:r>
      <w:r>
        <w:rPr>
          <w:rFonts w:ascii="Calibri" w:hAnsi="Calibri" w:cs="Calibri"/>
        </w:rPr>
        <w:t xml:space="preserve">. Användningen </w:t>
      </w:r>
      <w:r>
        <w:rPr>
          <w:rFonts w:ascii="Calibri" w:hAnsi="Calibri" w:cs="Calibri"/>
          <w:i w:val="1"/>
          <w:iCs w:val="1"/>
        </w:rPr>
        <w:t>Park</w:t>
      </w:r>
      <w:r>
        <w:rPr>
          <w:rFonts w:ascii="Calibri" w:hAnsi="Calibri" w:cs="Calibri"/>
        </w:rPr>
        <w:t xml:space="preserve"> ligger i anslutningen till gata och ses som en del av trafikmiljön, med tillhandahållande av ekosystemtjänster såsom dagvattenhantering. Parkmarken fungerar också som en del av det gröna sambandet längst med hela östra sida om Vasagatan. Förutsättningar som planförslaget medger ligger i fas med och bedöms vara förenligt med intentionerna i fördjupning av översiktsplanen för Smedjebacken tätort.</w:t>
      </w:r>
    </w:p>
    <w:p>
      <w:pPr>
        <w:ind w:left="720"/>
        <w:rPr>
          <w:rFonts w:ascii="Calibri" w:hAnsi="Calibri" w:cs="Calibri"/>
          <w:color w:val="FF0000"/>
        </w:rPr>
      </w:pPr>
      <w:bookmarkEnd w:id="81"/>
      <w:r>
        <w:rPr>
          <w:rFonts w:ascii="Calibri" w:hAnsi="Calibri" w:cs="Calibri"/>
          <w:noProof w:val="1"/>
          <w:color w:val="FF0000"/>
        </w:rPr>
        <w:drawing>
          <wp:inline xmlns:wp="http://schemas.openxmlformats.org/drawingml/2006/wordprocessingDrawing" distT="0" distB="0" distL="0" distR="0">
            <wp:extent cx="5187950" cy="3775710"/>
            <wp:effectExtent l="19050" t="19050" r="12700" b="15240"/>
            <wp:docPr id="12693378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7823" name="Picture 19"/>
                    <pic:cNvPicPr/>
                  </pic:nvPicPr>
                  <pic:blipFill dpi="0">
                    <a:blip xmlns:r="http://schemas.openxmlformats.org/officeDocument/2006/relationships" r:embed="Relimage10"/>
                    <a:srcRect/>
                    <a:stretch>
                      <a:fillRect/>
                    </a:stretch>
                  </pic:blipFill>
                  <pic:spPr>
                    <a:xfrm>
                      <a:off x="0" y="0"/>
                      <a:ext cx="5194700" cy="3780932"/>
                    </a:xfrm>
                    <a:prstGeom prst="rect"/>
                    <a:ln w="6350">
                      <a:solidFill>
                        <a:schemeClr val="tx1"/>
                      </a:solidFill>
                    </a:ln>
                  </pic:spPr>
                </pic:pic>
              </a:graphicData>
            </a:graphic>
          </wp:inline>
        </w:drawing>
      </w:r>
    </w:p>
    <w:p>
      <w:pPr>
        <w:ind w:left="720"/>
        <w:rPr>
          <w:rFonts w:ascii="Calibri" w:hAnsi="Calibri" w:cs="Calibri"/>
          <w:color w:val="FF0000"/>
        </w:rPr>
      </w:pPr>
      <w:r>
        <w:rPr>
          <w:rFonts w:ascii="Calibri" w:hAnsi="Calibri" w:cs="Calibri"/>
          <w:color w:val="3B3939" w:themeColor="background2" w:themeShade="40"/>
          <w:sz w:val="16"/>
          <w:szCs w:val="16"/>
        </w:rPr>
        <w:t>Figur 7: Markanvändningskarta, Fördjupning av översiktsplan för Smedjebacken tätort.</w:t>
      </w:r>
    </w:p>
    <w:p>
      <w:pPr>
        <w:pStyle w:val="P3"/>
        <w:spacing w:lineRule="auto" w:line="276" w:beforeAutospacing="0" w:afterAutospacing="0"/>
        <w:rPr>
          <w:rFonts w:cs="Calibri"/>
        </w:rPr>
      </w:pPr>
      <w:r>
        <w:rPr>
          <w:rFonts w:cs="Calibri"/>
        </w:rPr>
        <w:t>Grundkarta</w:t>
      </w:r>
    </w:p>
    <w:p>
      <w:pPr>
        <w:spacing w:lineRule="auto" w:line="276" w:beforeAutospacing="0" w:afterAutospacing="0"/>
        <w:ind w:left="720"/>
        <w:rPr>
          <w:rFonts w:ascii="Calibri" w:hAnsi="Calibri" w:cs="Calibri"/>
        </w:rPr>
      </w:pPr>
      <w:bookmarkStart w:id="82" w:name="pu_grundkarta01"/>
      <w:r>
        <w:rPr>
          <w:rFonts w:ascii="Calibri" w:hAnsi="Calibri" w:cs="Calibri"/>
        </w:rPr>
        <w:t xml:space="preserve">Grundkarta är upprättad </w:t>
      </w:r>
      <w:bookmarkStart w:id="83" w:name="_Hlk161242430"/>
      <w:r>
        <w:rPr>
          <w:rFonts w:ascii="Calibri" w:hAnsi="Calibri" w:cs="Calibri"/>
        </w:rPr>
        <w:t xml:space="preserve">2025-05-16 </w:t>
      </w:r>
      <w:bookmarkEnd w:id="83"/>
      <w:r>
        <w:rPr>
          <w:rFonts w:ascii="Calibri" w:hAnsi="Calibri" w:cs="Calibri"/>
        </w:rPr>
        <w:t xml:space="preserve">och uppdateras fortlöpande under planprocessen. Grundkartan innehåller information om topografi och fastighetsförhållanden som har betydelse för hur detaljplanen utformas och genomförs. Koordinatsystem som tillämpas är SWEREF 99 15 00 och höjdsystem är RH 2000. </w:t>
      </w:r>
    </w:p>
    <w:p>
      <w:pPr>
        <w:pStyle w:val="P3"/>
        <w:spacing w:lineRule="auto" w:line="276" w:beforeAutospacing="0" w:afterAutospacing="0"/>
        <w:rPr>
          <w:rFonts w:cs="Calibri"/>
        </w:rPr>
      </w:pPr>
      <w:bookmarkEnd w:id="82"/>
      <w:r>
        <w:rPr>
          <w:rFonts w:cs="Calibri"/>
        </w:rPr>
        <w:t>Barnchecklista</w:t>
      </w:r>
    </w:p>
    <w:p>
      <w:pPr>
        <w:spacing w:lineRule="auto" w:line="276" w:beforeAutospacing="0" w:afterAutospacing="0"/>
        <w:ind w:left="720"/>
        <w:rPr>
          <w:rFonts w:ascii="Calibri" w:hAnsi="Calibri" w:cs="Calibri" w:eastAsia="Times New Roman"/>
          <w:szCs w:val="24"/>
        </w:rPr>
      </w:pPr>
      <w:bookmarkStart w:id="84" w:name="pu_barnchecklista01"/>
      <w:r>
        <w:rPr>
          <w:rFonts w:ascii="Calibri" w:hAnsi="Calibri" w:cs="Calibri" w:eastAsia="Times New Roman"/>
          <w:szCs w:val="24"/>
        </w:rPr>
        <w:t>Sedan 2020-01-01 är Barnkonventionen en del av svensk lagstiftning genom barnrättslagen (SFS: 2018:1197). De fyra grundprinciperna som hela konventionen bygger på är;</w:t>
      </w:r>
    </w:p>
    <w:p>
      <w:pPr>
        <w:pStyle w:val="P31"/>
        <w:numPr>
          <w:ilvl w:val="0"/>
          <w:numId w:val="8"/>
        </w:numPr>
        <w:spacing w:lineRule="auto" w:line="276" w:beforeAutospacing="0" w:afterAutospacing="0"/>
        <w:rPr>
          <w:rFonts w:ascii="Calibri" w:hAnsi="Calibri" w:cs="Calibri" w:eastAsia="Times New Roman"/>
          <w:szCs w:val="24"/>
        </w:rPr>
      </w:pPr>
      <w:r>
        <w:rPr>
          <w:rFonts w:ascii="Calibri" w:hAnsi="Calibri" w:cs="Calibri" w:eastAsia="Times New Roman"/>
          <w:szCs w:val="24"/>
        </w:rPr>
        <w:t>Alla barn är lika mycket värda och har samma rättigheter. Ingen får diskrimineras.</w:t>
      </w:r>
    </w:p>
    <w:p>
      <w:pPr>
        <w:pStyle w:val="P31"/>
        <w:numPr>
          <w:ilvl w:val="0"/>
          <w:numId w:val="8"/>
        </w:numPr>
        <w:shd w:val="clear" w:fill="FFFFFF"/>
        <w:spacing w:lineRule="auto" w:line="240" w:after="75" w:beforeAutospacing="0" w:afterAutospacing="0"/>
        <w:rPr>
          <w:rFonts w:ascii="Calibri" w:hAnsi="Calibri" w:cs="Calibri" w:eastAsia="Times New Roman"/>
          <w:color w:val="262626"/>
          <w:szCs w:val="24"/>
          <w:lang w:eastAsia="sv-SE"/>
        </w:rPr>
      </w:pPr>
      <w:r>
        <w:rPr>
          <w:rFonts w:ascii="Calibri" w:hAnsi="Calibri" w:cs="Calibri" w:eastAsia="Times New Roman"/>
          <w:szCs w:val="24"/>
        </w:rPr>
        <w:t>Vid alla beslut som rör barn ska i första hand beaktas det som bedöms vara barnets bästa.</w:t>
      </w:r>
    </w:p>
    <w:p>
      <w:pPr>
        <w:pStyle w:val="P31"/>
        <w:numPr>
          <w:ilvl w:val="0"/>
          <w:numId w:val="8"/>
        </w:numPr>
        <w:shd w:val="clear" w:fill="FFFFFF"/>
        <w:spacing w:lineRule="auto" w:line="240" w:after="75" w:beforeAutospacing="0" w:afterAutospacing="0"/>
        <w:rPr>
          <w:rFonts w:ascii="Calibri" w:hAnsi="Calibri" w:cs="Calibri" w:eastAsia="Times New Roman"/>
          <w:color w:val="262626"/>
          <w:szCs w:val="24"/>
          <w:lang w:eastAsia="sv-SE"/>
        </w:rPr>
      </w:pPr>
      <w:r>
        <w:rPr>
          <w:rFonts w:ascii="Calibri" w:hAnsi="Calibri" w:cs="Calibri" w:eastAsia="Times New Roman"/>
          <w:color w:val="262626"/>
          <w:szCs w:val="24"/>
          <w:lang w:eastAsia="sv-SE"/>
        </w:rPr>
        <w:t>Barn har rätt till liv, överlevnad och utveckling.</w:t>
      </w:r>
    </w:p>
    <w:p>
      <w:pPr>
        <w:pStyle w:val="P31"/>
        <w:numPr>
          <w:ilvl w:val="0"/>
          <w:numId w:val="8"/>
        </w:numPr>
        <w:spacing w:lineRule="auto" w:line="276" w:beforeAutospacing="0" w:afterAutospacing="0"/>
        <w:rPr>
          <w:rFonts w:ascii="Calibri" w:hAnsi="Calibri" w:cs="Calibri" w:eastAsia="Times New Roman"/>
          <w:szCs w:val="24"/>
        </w:rPr>
      </w:pPr>
      <w:r>
        <w:rPr>
          <w:rFonts w:ascii="Calibri" w:hAnsi="Calibri" w:cs="Calibri" w:eastAsia="Times New Roman"/>
          <w:szCs w:val="24"/>
        </w:rPr>
        <w:t>Barn har rätt att uttrycka sin mening och höras i alla frågor som rör barnet. Hänsyn ska tas till barnets åsikter, utifrån barnets ålder och mognad.</w:t>
      </w:r>
    </w:p>
    <w:p>
      <w:pPr>
        <w:spacing w:lineRule="auto" w:line="276" w:beforeAutospacing="0" w:afterAutospacing="0"/>
        <w:ind w:left="720"/>
        <w:rPr>
          <w:rFonts w:ascii="Calibri" w:hAnsi="Calibri" w:cs="Calibri"/>
          <w:color w:val="FF0000"/>
        </w:rPr>
      </w:pPr>
      <w:r>
        <w:rPr>
          <w:rFonts w:ascii="Calibri" w:hAnsi="Calibri" w:cs="Calibri"/>
        </w:rPr>
        <w:t xml:space="preserve">Smedjebackens kommun har upprättat en barnchecklista som ska säkerställa att barn- och ungdomsperspektivet tas hänsyn till i samband med detaljplaneprocessen. För fördjupad information hänvisas till bilagan; </w:t>
      </w:r>
      <w:r>
        <w:rPr>
          <w:rFonts w:ascii="Calibri" w:hAnsi="Calibri" w:cs="Calibri"/>
          <w:i w:val="1"/>
          <w:iCs w:val="1"/>
        </w:rPr>
        <w:t>Barnchecklista</w:t>
      </w:r>
      <w:r>
        <w:rPr>
          <w:rFonts w:ascii="Calibri" w:hAnsi="Calibri" w:cs="Calibri"/>
        </w:rPr>
        <w:t xml:space="preserve">. Resultaten av checklistan redovisas under avsnittet; </w:t>
      </w:r>
      <w:r>
        <w:rPr>
          <w:rFonts w:ascii="Calibri" w:hAnsi="Calibri" w:cs="Calibri"/>
          <w:i w:val="1"/>
          <w:iCs w:val="1"/>
        </w:rPr>
        <w:t>5.7.1</w:t>
      </w:r>
      <w:r>
        <w:rPr>
          <w:rFonts w:ascii="Calibri" w:hAnsi="Calibri" w:cs="Calibri"/>
        </w:rPr>
        <w:t xml:space="preserve"> </w:t>
      </w:r>
      <w:r>
        <w:rPr>
          <w:rFonts w:ascii="Calibri" w:hAnsi="Calibri" w:cs="Calibri"/>
          <w:i w:val="1"/>
          <w:iCs w:val="1"/>
        </w:rPr>
        <w:t>Barn, trygghet och jämlikhet</w:t>
      </w:r>
      <w:r>
        <w:rPr>
          <w:rFonts w:ascii="Calibri" w:hAnsi="Calibri" w:cs="Calibri"/>
        </w:rPr>
        <w:t xml:space="preserve">. </w:t>
      </w:r>
      <w:bookmarkEnd w:id="84"/>
      <w:r>
        <w:rPr>
          <w:rFonts w:ascii="Calibri" w:hAnsi="Calibri" w:cs="Calibri"/>
        </w:rPr>
        <w:t xml:space="preserve"> </w:t>
      </w:r>
    </w:p>
    <w:p>
      <w:pPr>
        <w:pStyle w:val="P3"/>
        <w:spacing w:lineRule="auto" w:line="276" w:beforeAutospacing="0" w:afterAutospacing="0"/>
        <w:rPr>
          <w:rFonts w:cs="Calibri"/>
        </w:rPr>
      </w:pPr>
      <w:r>
        <w:rPr>
          <w:rFonts w:cs="Calibri"/>
        </w:rPr>
        <w:t>Undersökning av betydande miljöpåverkan</w:t>
      </w:r>
    </w:p>
    <w:p>
      <w:pPr>
        <w:ind w:left="720"/>
        <w:rPr>
          <w:rFonts w:ascii="Calibri" w:hAnsi="Calibri" w:cs="Calibri"/>
        </w:rPr>
      </w:pPr>
      <w:bookmarkStart w:id="85" w:name="pu_undersökningenl6kap6_mb01"/>
      <w:r>
        <w:rPr>
          <w:rFonts w:ascii="Calibri" w:hAnsi="Calibri" w:cs="Calibri"/>
        </w:rPr>
        <w:t xml:space="preserve">Enligt 6 kap. 5–7 § Miljöbalken ska kommunen göra en undersökning om betydande miljöpåverkan när en plan upprättas, genom att identifiera omständigheter som talar för eller emot en betydande miljöpåverkan. Om planen bedöms resultera i betydande miljöpåverkan ska en strategisk miljöbedömning genomföras och en miljökonsekvensbeskrivning upprättas enligt 4 kap. 34 § Plan- och bygglagen. Kommunens checklista; </w:t>
      </w:r>
      <w:r>
        <w:rPr>
          <w:rFonts w:ascii="Calibri" w:hAnsi="Calibri" w:cs="Calibri"/>
          <w:i w:val="1"/>
          <w:iCs w:val="1"/>
        </w:rPr>
        <w:t>Undersökning av betydande miljöpåverkan</w:t>
      </w:r>
      <w:r>
        <w:rPr>
          <w:rFonts w:ascii="Calibri" w:hAnsi="Calibri" w:cs="Calibri"/>
        </w:rPr>
        <w:t xml:space="preserve">, fungerar som grund i undersökningen. Den ger en samlad bedömning av den påverkan som detaljplanens genomförande bedöms medföra på miljön. </w:t>
      </w:r>
    </w:p>
    <w:p>
      <w:pPr>
        <w:ind w:left="720"/>
        <w:rPr>
          <w:rFonts w:ascii="Calibri" w:hAnsi="Calibri" w:cs="Calibri"/>
        </w:rPr>
      </w:pPr>
      <w:r>
        <w:rPr>
          <w:rFonts w:ascii="Calibri" w:hAnsi="Calibri" w:cs="Calibri"/>
        </w:rPr>
        <w:t xml:space="preserve">Olika avvägningar har gjorts mellan olika intressen och har resulterat i en samlad bedömning. Utifrån denna undersökning bedöms genomförandet av planen inte medföra betydande miljöpåverkan. Ingen miljöbedömning behöver därför genomföras och därmed ingen MKB upprättas. För fördjupad information hänvisas till bilagan om; </w:t>
      </w:r>
      <w:r>
        <w:rPr>
          <w:rFonts w:ascii="Calibri" w:hAnsi="Calibri" w:cs="Calibri"/>
          <w:i w:val="1"/>
          <w:iCs w:val="1"/>
        </w:rPr>
        <w:t>Undersökning av betydande miljöpåverkan</w:t>
      </w:r>
      <w:r>
        <w:rPr>
          <w:rFonts w:ascii="Calibri" w:hAnsi="Calibri" w:cs="Calibri"/>
        </w:rPr>
        <w:t xml:space="preserve">.  </w:t>
      </w:r>
    </w:p>
    <w:p>
      <w:pPr>
        <w:pStyle w:val="P2"/>
        <w:rPr>
          <w:rFonts w:cs="Calibri"/>
        </w:rPr>
      </w:pPr>
      <w:bookmarkEnd w:id="85"/>
      <w:bookmarkStart w:id="86" w:name="_Toc219101371"/>
      <w:r>
        <w:rPr>
          <w:rFonts w:cs="Calibri"/>
        </w:rPr>
        <w:t>Utredningar</w:t>
      </w:r>
      <w:bookmarkEnd w:id="86"/>
    </w:p>
    <w:p>
      <w:pPr>
        <w:ind w:left="576"/>
        <w:rPr>
          <w:rFonts w:ascii="Calibri" w:hAnsi="Calibri" w:cs="Calibri"/>
        </w:rPr>
      </w:pPr>
      <w:bookmarkStart w:id="87" w:name="pu_utredningar01"/>
      <w:r>
        <w:rPr>
          <w:rFonts w:ascii="Calibri" w:hAnsi="Calibri" w:cs="Calibri"/>
        </w:rPr>
        <w:t>Nedanstående utredningar och underlag har legat till grund för detaljplanens omfattning och utformning.</w:t>
      </w:r>
    </w:p>
    <w:p>
      <w:pPr>
        <w:pStyle w:val="P31"/>
        <w:numPr>
          <w:ilvl w:val="0"/>
          <w:numId w:val="18"/>
        </w:numPr>
        <w:rPr>
          <w:rFonts w:ascii="Calibri" w:hAnsi="Calibri" w:cs="Calibri"/>
        </w:rPr>
      </w:pPr>
      <w:r>
        <w:rPr>
          <w:rFonts w:ascii="Calibri" w:hAnsi="Calibri" w:cs="Calibri"/>
        </w:rPr>
        <w:t>PM Dagvattenhantering, SWECO, (2025-10-07).</w:t>
      </w:r>
    </w:p>
    <w:p>
      <w:pPr>
        <w:pStyle w:val="P31"/>
        <w:numPr>
          <w:ilvl w:val="0"/>
          <w:numId w:val="18"/>
        </w:numPr>
        <w:rPr>
          <w:rFonts w:ascii="Calibri" w:hAnsi="Calibri" w:cs="Calibri"/>
        </w:rPr>
      </w:pPr>
      <w:r>
        <w:rPr>
          <w:rFonts w:ascii="Calibri" w:hAnsi="Calibri" w:cs="Calibri"/>
        </w:rPr>
        <w:t>PM Efterbehandling Förorening, SWECO med flera, (2025-09-22).</w:t>
      </w:r>
    </w:p>
    <w:p>
      <w:pPr>
        <w:pStyle w:val="P31"/>
        <w:numPr>
          <w:ilvl w:val="0"/>
          <w:numId w:val="18"/>
        </w:numPr>
        <w:rPr>
          <w:rFonts w:ascii="Calibri" w:hAnsi="Calibri" w:cs="Calibri"/>
        </w:rPr>
      </w:pPr>
      <w:r>
        <w:rPr>
          <w:rFonts w:ascii="Calibri" w:hAnsi="Calibri" w:cs="Calibri"/>
        </w:rPr>
        <w:t>Kraftverk konsekvensutredning 2016, Smedjebacken Energi, (2016-03-18).</w:t>
      </w:r>
    </w:p>
    <w:p>
      <w:pPr>
        <w:pStyle w:val="P31"/>
        <w:numPr>
          <w:ilvl w:val="0"/>
          <w:numId w:val="18"/>
        </w:numPr>
        <w:rPr>
          <w:rFonts w:ascii="Calibri" w:hAnsi="Calibri" w:cs="Calibri"/>
        </w:rPr>
      </w:pPr>
      <w:r>
        <w:rPr>
          <w:rFonts w:ascii="Calibri" w:hAnsi="Calibri" w:cs="Calibri"/>
        </w:rPr>
        <w:t>Utlåtande Dammsäkerhe, Norconsult Sverige AB, (2025-09-22).</w:t>
      </w:r>
    </w:p>
    <w:p>
      <w:pPr>
        <w:pStyle w:val="P31"/>
        <w:numPr>
          <w:ilvl w:val="0"/>
          <w:numId w:val="18"/>
        </w:numPr>
        <w:rPr>
          <w:rFonts w:ascii="Calibri" w:hAnsi="Calibri" w:cs="Calibri"/>
        </w:rPr>
      </w:pPr>
      <w:r>
        <w:rPr>
          <w:rFonts w:ascii="Calibri" w:hAnsi="Calibri" w:cs="Calibri"/>
        </w:rPr>
        <w:t xml:space="preserve">PM Geoteknik SWECO, (2025 – 01 – 23). </w:t>
      </w:r>
    </w:p>
    <w:p>
      <w:pPr>
        <w:pStyle w:val="P31"/>
        <w:numPr>
          <w:ilvl w:val="0"/>
          <w:numId w:val="18"/>
        </w:numPr>
        <w:rPr>
          <w:rFonts w:ascii="Calibri" w:hAnsi="Calibri" w:cs="Calibri"/>
        </w:rPr>
      </w:pPr>
      <w:r>
        <w:rPr>
          <w:rFonts w:ascii="Calibri" w:hAnsi="Calibri" w:cs="Calibri"/>
        </w:rPr>
        <w:t>PM Miljöteknisk markundersökning, SWECO, (2025 – 01 – 23).</w:t>
      </w:r>
    </w:p>
    <w:p>
      <w:pPr>
        <w:pStyle w:val="P31"/>
        <w:numPr>
          <w:ilvl w:val="0"/>
          <w:numId w:val="18"/>
        </w:numPr>
        <w:rPr>
          <w:rFonts w:ascii="Calibri" w:hAnsi="Calibri" w:cs="Calibri"/>
        </w:rPr>
      </w:pPr>
      <w:r>
        <w:rPr>
          <w:rFonts w:ascii="Calibri" w:hAnsi="Calibri" w:cs="Calibri"/>
        </w:rPr>
        <w:t xml:space="preserve">Markteknisk undersökningsrapport, SWECO, (2025 – 01 – 23). </w:t>
      </w:r>
    </w:p>
    <w:p>
      <w:pPr>
        <w:pStyle w:val="P31"/>
        <w:numPr>
          <w:ilvl w:val="0"/>
          <w:numId w:val="18"/>
        </w:numPr>
        <w:rPr>
          <w:rFonts w:ascii="Calibri" w:hAnsi="Calibri" w:cs="Calibri"/>
        </w:rPr>
      </w:pPr>
      <w:r>
        <w:rPr>
          <w:rFonts w:ascii="Calibri" w:hAnsi="Calibri" w:cs="Calibri"/>
        </w:rPr>
        <w:t>Magnetfält faskompensering, Hitachi Energy, (2023 – 04 – 16).</w:t>
      </w:r>
    </w:p>
    <w:p>
      <w:pPr>
        <w:pStyle w:val="P31"/>
        <w:numPr>
          <w:ilvl w:val="0"/>
          <w:numId w:val="18"/>
        </w:numPr>
        <w:rPr>
          <w:rFonts w:ascii="Calibri" w:hAnsi="Calibri" w:cs="Calibri"/>
        </w:rPr>
      </w:pPr>
      <w:r>
        <w:rPr>
          <w:rFonts w:ascii="Calibri" w:hAnsi="Calibri" w:cs="Calibri"/>
        </w:rPr>
        <w:t>PM Utökad undersökning, SWECO, (2025-11-13).</w:t>
      </w:r>
    </w:p>
    <w:p>
      <w:pPr>
        <w:pStyle w:val="P2"/>
        <w:rPr>
          <w:rFonts w:cs="Calibri"/>
        </w:rPr>
      </w:pPr>
      <w:bookmarkEnd w:id="87"/>
      <w:bookmarkStart w:id="88" w:name="_Toc219101372"/>
      <w:r>
        <w:rPr>
          <w:rFonts w:cs="Calibri"/>
        </w:rPr>
        <w:t>Regionala underlag</w:t>
      </w:r>
      <w:bookmarkEnd w:id="88"/>
    </w:p>
    <w:p>
      <w:pPr>
        <w:pStyle w:val="P3"/>
        <w:rPr>
          <w:rFonts w:cs="Calibri"/>
        </w:rPr>
      </w:pPr>
      <w:r>
        <w:rPr>
          <w:rFonts w:cs="Calibri"/>
        </w:rPr>
        <w:t xml:space="preserve">Dalastrategi 2030 </w:t>
      </w:r>
    </w:p>
    <w:p>
      <w:pPr>
        <w:ind w:left="720"/>
        <w:rPr>
          <w:rFonts w:ascii="Calibri" w:hAnsi="Calibri" w:cs="Calibri"/>
        </w:rPr>
      </w:pPr>
      <w:bookmarkStart w:id="89" w:name="pu_regionala01"/>
      <w:r>
        <w:rPr>
          <w:rFonts w:ascii="Calibri" w:hAnsi="Calibri" w:cs="Calibri"/>
        </w:rPr>
        <w:t xml:space="preserve">Den regionala utvecklingsstrategin Dalastrategin 2030 anger att satsningar inom ett klimatsmart, ett konkurrenskraftigt och ett sammanhållet Dalarna, som ska bidra till det övergripande målet om ett hållbart Dalarna. I det </w:t>
      </w:r>
      <w:r>
        <w:rPr>
          <w:rFonts w:ascii="Calibri" w:hAnsi="Calibri" w:cs="Calibri"/>
          <w:i w:val="1"/>
          <w:iCs w:val="1"/>
        </w:rPr>
        <w:t>Klimatsmarta Dalarna</w:t>
      </w:r>
      <w:r>
        <w:rPr>
          <w:rFonts w:ascii="Calibri" w:hAnsi="Calibri" w:cs="Calibri"/>
        </w:rPr>
        <w:t xml:space="preserve"> så tas upp att prioritering ska ske resurseffektivitet för att minska klimatpåverkan. Detta för att även nå de nationella energi- och klimatmålen, vilket möjliggörs bland annat genom prioriteringen; Verka för ett diversifierat näringsliv som är i framkant av hållbarhetsarbetet. </w:t>
      </w:r>
    </w:p>
    <w:p>
      <w:pPr>
        <w:ind w:left="720"/>
        <w:rPr>
          <w:rFonts w:ascii="Calibri" w:hAnsi="Calibri" w:cs="Calibri"/>
        </w:rPr>
      </w:pPr>
      <w:r>
        <w:rPr>
          <w:rFonts w:ascii="Calibri" w:hAnsi="Calibri" w:cs="Calibri"/>
        </w:rPr>
        <w:t xml:space="preserve">Genom att i detaljplaneförslaget förtätar befintlig industrimark och utvecklar tekniska anläggningar så kan planen möjliggöra energibesparingar och effektivitet, främst inom områden för el-omvandling och el-produktion, som hushåller med resurser. Planförslaget ligger i fas och är förenlig med den regionala utvecklingsstrategin. </w:t>
      </w:r>
    </w:p>
    <w:p>
      <w:pPr>
        <w:pStyle w:val="P2"/>
        <w:rPr>
          <w:rFonts w:cs="Calibri"/>
        </w:rPr>
      </w:pPr>
      <w:bookmarkEnd w:id="89"/>
      <w:bookmarkStart w:id="90" w:name="_Toc219101373"/>
      <w:r>
        <w:rPr>
          <w:rFonts w:cs="Calibri"/>
        </w:rPr>
        <w:t>Riksintressen</w:t>
      </w:r>
      <w:bookmarkEnd w:id="90"/>
      <w:r>
        <w:rPr>
          <w:rFonts w:cs="Calibri"/>
        </w:rPr>
        <w:t xml:space="preserve"> </w:t>
      </w:r>
    </w:p>
    <w:p>
      <w:pPr>
        <w:ind w:left="576"/>
        <w:rPr>
          <w:rFonts w:ascii="Calibri" w:hAnsi="Calibri" w:cs="Calibri"/>
        </w:rPr>
      </w:pPr>
      <w:bookmarkStart w:id="91" w:name="pf_riksintressen01"/>
      <w:r>
        <w:rPr>
          <w:rFonts w:ascii="Calibri" w:hAnsi="Calibri" w:cs="Calibri"/>
        </w:rPr>
        <w:t xml:space="preserve">Riksintressen avser geografiska områden som har identifierats för att de innehar värden och kvaliteter av nationell betydelse. Dessa områden ska särskilt beaktas vid detaljplanering för att säkerställa att deras unika egenskaper bevaras och främjas. Det aktuella planområdet omfattas inte av några riksintressen. </w:t>
      </w:r>
    </w:p>
    <w:p>
      <w:pPr>
        <w:pStyle w:val="P2"/>
        <w:rPr>
          <w:rFonts w:cs="Calibri"/>
        </w:rPr>
      </w:pPr>
      <w:bookmarkEnd w:id="91"/>
      <w:bookmarkStart w:id="92" w:name="_Toc219101374"/>
      <w:r>
        <w:rPr>
          <w:rFonts w:cs="Calibri"/>
        </w:rPr>
        <w:t>Hushållningsbestämmelser enligt 3, 4 kap. Miljöbalken</w:t>
      </w:r>
      <w:bookmarkEnd w:id="92"/>
      <w:r>
        <w:rPr>
          <w:rFonts w:cs="Calibri"/>
        </w:rPr>
        <w:t xml:space="preserve"> </w:t>
      </w:r>
    </w:p>
    <w:p>
      <w:pPr>
        <w:ind w:left="576"/>
        <w:rPr>
          <w:rFonts w:ascii="Calibri" w:hAnsi="Calibri" w:cs="Calibri"/>
        </w:rPr>
      </w:pPr>
      <w:bookmarkStart w:id="93" w:name="pf_hushållningsbestämmelserenl3kap_mb01"/>
      <w:r>
        <w:rPr>
          <w:rFonts w:ascii="Calibri" w:hAnsi="Calibri" w:cs="Calibri"/>
        </w:rPr>
        <w:t>Vid framtagande av denna detaljplan har det gjorts prövningar enligt 3 och 4 kap. Miljöbalken (MB). Detaljplanen har även granskats mot kommunens översiktsplan i enlighet med 5 § förordningen om hushållning med mark- och vattenområden. Bedömningen är att föreslagna användningar anses vara ur allmän synpunkt mest lämpliga utifrån områdets förutsättningar och efterfrågan.</w:t>
      </w:r>
    </w:p>
    <w:p>
      <w:pPr>
        <w:pStyle w:val="P3"/>
        <w:numPr>
          <w:ilvl w:val="2"/>
          <w:numId w:val="2"/>
        </w:numPr>
        <w:rPr>
          <w:rFonts w:cs="Calibri"/>
        </w:rPr>
      </w:pPr>
      <w:bookmarkEnd w:id="93"/>
      <w:bookmarkStart w:id="94" w:name="pf_hushållningsbestämmelserenl3kap_mb02"/>
      <w:r>
        <w:rPr>
          <w:rFonts w:cs="Calibri"/>
        </w:rPr>
        <w:t xml:space="preserve">Hushållningsbestämmelserna 3 kap </w:t>
      </w:r>
    </w:p>
    <w:p>
      <w:pPr>
        <w:ind w:left="720"/>
        <w:rPr>
          <w:rFonts w:ascii="Calibri" w:hAnsi="Calibri" w:cs="Calibri"/>
        </w:rPr>
      </w:pPr>
      <w:r>
        <w:rPr>
          <w:rFonts w:ascii="Calibri" w:hAnsi="Calibri" w:cs="Calibri"/>
        </w:rPr>
        <w:t>Enligt hushållningsbestämmelserna 3 kap. om god hushållning så ska enligt</w:t>
      </w:r>
      <w:r>
        <w:rPr>
          <w:rFonts w:ascii="Calibri" w:hAnsi="Calibri" w:cs="Calibri"/>
          <w:color w:val="1B1B1B"/>
          <w:sz w:val="27"/>
          <w:szCs w:val="27"/>
          <w:shd w:val="clear" w:color="auto" w:fill="FFFFFF"/>
        </w:rPr>
        <w:t xml:space="preserve"> </w:t>
      </w:r>
      <w:r>
        <w:rPr>
          <w:rFonts w:ascii="Calibri" w:hAnsi="Calibri" w:cs="Calibri"/>
        </w:rPr>
        <w:t>1 §; mark- och vattenområden användas för det eller de ändamål för vilka områdena är mest lämpade med hänsyn till beskaffenhet och läge samt föreliggande behov. Företräde ska ges sådan användning som medför en från allmän synpunkt god hushållning. Ändamålet i planen uppfyller miljöbalken krav på god hushållning.</w:t>
      </w:r>
    </w:p>
    <w:p>
      <w:pPr>
        <w:pStyle w:val="P3"/>
        <w:numPr>
          <w:ilvl w:val="2"/>
          <w:numId w:val="2"/>
        </w:numPr>
        <w:rPr>
          <w:rFonts w:cs="Calibri"/>
        </w:rPr>
      </w:pPr>
      <w:bookmarkEnd w:id="94"/>
      <w:r>
        <w:rPr>
          <w:rFonts w:cs="Calibri"/>
        </w:rPr>
        <w:t xml:space="preserve">Hushållningsbestämmelserna 4 kap </w:t>
      </w:r>
    </w:p>
    <w:p>
      <w:pPr>
        <w:ind w:left="720"/>
        <w:rPr>
          <w:rFonts w:ascii="Calibri" w:hAnsi="Calibri" w:cs="Calibri"/>
        </w:rPr>
      </w:pPr>
      <w:bookmarkStart w:id="95" w:name="pf_hushållningsbestämmelserenl3kap_mb03"/>
      <w:r>
        <w:rPr>
          <w:rFonts w:ascii="Calibri" w:hAnsi="Calibri" w:cs="Calibri"/>
        </w:rPr>
        <w:t>I miljöbalkens 4 kap. föreskrivs bland annat att områden som i sin helhet är av riksintresse. Planförslaget omfattas inte av hushållningsbestämmelserna enligt 4 kap. MB.</w:t>
      </w:r>
    </w:p>
    <w:p>
      <w:pPr>
        <w:pStyle w:val="P3"/>
        <w:numPr>
          <w:ilvl w:val="2"/>
          <w:numId w:val="2"/>
        </w:numPr>
        <w:rPr>
          <w:rFonts w:cs="Calibri"/>
        </w:rPr>
      </w:pPr>
      <w:bookmarkEnd w:id="95"/>
      <w:r>
        <w:rPr>
          <w:rFonts w:cs="Calibri"/>
        </w:rPr>
        <w:t>Jordbruksmark av nationell betydelse</w:t>
      </w:r>
    </w:p>
    <w:p>
      <w:pPr>
        <w:ind w:left="720"/>
        <w:rPr>
          <w:rFonts w:ascii="Calibri" w:hAnsi="Calibri" w:cs="Calibri"/>
          <w:szCs w:val="24"/>
        </w:rPr>
      </w:pPr>
      <w:bookmarkStart w:id="96" w:name="pf_jordbruksmark01"/>
      <w:r>
        <w:rPr>
          <w:rFonts w:ascii="Calibri" w:hAnsi="Calibri" w:cs="Calibri"/>
          <w:szCs w:val="24"/>
        </w:rPr>
        <w:t>Ingen brukningsvärd jordbruksmark tas i anspråk i planförslaget.</w:t>
      </w:r>
    </w:p>
    <w:p>
      <w:pPr>
        <w:pStyle w:val="P3"/>
        <w:numPr>
          <w:ilvl w:val="2"/>
          <w:numId w:val="2"/>
        </w:numPr>
        <w:rPr>
          <w:rFonts w:cs="Calibri"/>
        </w:rPr>
      </w:pPr>
      <w:bookmarkEnd w:id="96"/>
      <w:r>
        <w:rPr>
          <w:rFonts w:cs="Calibri"/>
        </w:rPr>
        <w:t>Skogsbruk av nationell betydelse</w:t>
      </w:r>
    </w:p>
    <w:p>
      <w:pPr>
        <w:spacing w:lineRule="auto" w:line="276" w:beforeAutospacing="0" w:afterAutospacing="0"/>
        <w:ind w:left="720"/>
        <w:rPr>
          <w:rFonts w:ascii="Calibri" w:hAnsi="Calibri" w:cs="Calibri"/>
          <w:szCs w:val="24"/>
        </w:rPr>
      </w:pPr>
      <w:bookmarkStart w:id="97" w:name="pf_skogsbruk01"/>
      <w:r>
        <w:rPr>
          <w:rFonts w:ascii="Calibri" w:hAnsi="Calibri" w:cs="Calibri"/>
          <w:color w:val="333333"/>
          <w:szCs w:val="24"/>
          <w:shd w:val="clear" w:color="auto" w:fill="FFFFFF"/>
        </w:rPr>
        <w:t>I</w:t>
      </w:r>
      <w:r>
        <w:rPr>
          <w:rFonts w:ascii="Calibri" w:hAnsi="Calibri" w:cs="Calibri"/>
          <w:szCs w:val="24"/>
        </w:rPr>
        <w:t>ngen brukningsvärd skogsmark har tagits i anspråk i planförslaget.</w:t>
      </w:r>
    </w:p>
    <w:p>
      <w:pPr>
        <w:pStyle w:val="P1"/>
        <w:rPr>
          <w:rFonts w:cs="Calibri"/>
        </w:rPr>
      </w:pPr>
      <w:bookmarkEnd w:id="97"/>
      <w:bookmarkStart w:id="98" w:name="_Toc219101375"/>
      <w:r>
        <w:rPr>
          <w:rFonts w:cs="Calibri"/>
        </w:rPr>
        <w:t>Förutsättningar, förändringar och konsekvenser</w:t>
      </w:r>
      <w:bookmarkEnd w:id="98"/>
      <w:r>
        <w:rPr>
          <w:rFonts w:cs="Calibri"/>
        </w:rPr>
        <w:t xml:space="preserve"> </w:t>
      </w:r>
    </w:p>
    <w:p>
      <w:pPr>
        <w:ind w:left="432"/>
        <w:rPr>
          <w:rFonts w:ascii="Calibri" w:hAnsi="Calibri" w:cs="Calibri"/>
        </w:rPr>
      </w:pPr>
      <w:r>
        <w:rPr>
          <w:rFonts w:ascii="Calibri" w:hAnsi="Calibri" w:cs="Calibri"/>
        </w:rPr>
        <w:t xml:space="preserve">Detta avsnitt innehåller redovisning av de förutsättningar på platsen och i omgivningen som har haft betydelse för planens utformning och omfattning. Avsnittet redovisar också förändringar och konsekvenser som ett genomförande av detaljplanen kan innebära.  </w:t>
      </w:r>
    </w:p>
    <w:p>
      <w:pPr>
        <w:pStyle w:val="P2"/>
        <w:rPr>
          <w:rFonts w:cs="Calibri"/>
          <w:color w:val="auto"/>
        </w:rPr>
      </w:pPr>
      <w:bookmarkStart w:id="99" w:name="_Toc219101376"/>
      <w:r>
        <w:rPr>
          <w:rFonts w:cs="Calibri"/>
          <w:color w:val="auto"/>
        </w:rPr>
        <w:t>Befintlig detaljplan inom planområdet för planförslaget</w:t>
      </w:r>
      <w:bookmarkEnd w:id="99"/>
    </w:p>
    <w:p>
      <w:pPr>
        <w:ind w:left="576"/>
        <w:rPr>
          <w:rFonts w:ascii="Calibri" w:hAnsi="Calibri" w:cs="Calibri"/>
          <w:szCs w:val="24"/>
        </w:rPr>
      </w:pPr>
      <w:bookmarkStart w:id="100" w:name="_Hlk197345344"/>
      <w:bookmarkStart w:id="101" w:name="pf_detaljplan01"/>
      <w:r>
        <w:rPr>
          <w:rFonts w:ascii="Calibri" w:hAnsi="Calibri" w:cs="Calibri"/>
          <w:szCs w:val="24"/>
        </w:rPr>
        <w:t xml:space="preserve">När föreslagen detaljplan får laga kraft, upphör tidigare detaljplan att gälla inom planområdet, men fortsätter att gälla som tidigare utanför planområdesgränsen </w:t>
      </w:r>
      <w:r>
        <w:rPr>
          <w:rFonts w:cstheme="minorHAnsi"/>
        </w:rPr>
        <w:t>i Ovako södra entrén tilltänkta detaljplan. Detta innebär att en mindre del av befintliga detaljplanens sydvästra industriområde kommer att brytas ut till en egen detaljplan.</w:t>
      </w:r>
    </w:p>
    <w:p>
      <w:pPr>
        <w:ind w:left="576"/>
        <w:rPr>
          <w:rFonts w:ascii="Calibri" w:hAnsi="Calibri" w:cs="Calibri"/>
        </w:rPr>
      </w:pPr>
      <w:bookmarkEnd w:id="100"/>
      <w:r>
        <w:rPr>
          <w:rFonts w:ascii="Calibri" w:hAnsi="Calibri" w:cs="Calibri"/>
        </w:rPr>
        <w:t xml:space="preserve">Nyttjandegraden jämfört med befintlig detaljplan kommer primärt att utökas med byggnadshöjder samtidigt som bebyggelse kommer möjliggöras vid den befintliga detaljplanens prickmark. Användningarna i befintlig detaljplan bygger på äldre föreskrifter som inte är helt jämförbara med dagens användningar, men generellt kan sägas att användningarna; </w:t>
      </w:r>
      <w:r>
        <w:rPr>
          <w:rFonts w:ascii="Calibri" w:hAnsi="Calibri" w:cs="Calibri"/>
          <w:i w:val="1"/>
          <w:iCs w:val="1"/>
        </w:rPr>
        <w:t>Tekniska anläggningar</w:t>
      </w:r>
      <w:r>
        <w:rPr>
          <w:rFonts w:ascii="Calibri" w:hAnsi="Calibri" w:cs="Calibri"/>
        </w:rPr>
        <w:t xml:space="preserve"> och </w:t>
      </w:r>
      <w:r>
        <w:rPr>
          <w:rFonts w:ascii="Calibri" w:hAnsi="Calibri" w:cs="Calibri"/>
          <w:i w:val="1"/>
          <w:iCs w:val="1"/>
        </w:rPr>
        <w:t xml:space="preserve">Verksamheter </w:t>
      </w:r>
      <w:r>
        <w:rPr>
          <w:rFonts w:ascii="Calibri" w:hAnsi="Calibri" w:cs="Calibri"/>
        </w:rPr>
        <w:t xml:space="preserve">har tillkommit och blivit mer omfattande, samtidigt har ytor för </w:t>
      </w:r>
      <w:r>
        <w:rPr>
          <w:rFonts w:ascii="Calibri" w:hAnsi="Calibri" w:cs="Calibri"/>
          <w:i w:val="1"/>
          <w:iCs w:val="1"/>
        </w:rPr>
        <w:t>Kontor</w:t>
      </w:r>
      <w:r>
        <w:rPr>
          <w:rFonts w:ascii="Calibri" w:hAnsi="Calibri" w:cs="Calibri"/>
        </w:rPr>
        <w:t xml:space="preserve"> och </w:t>
      </w:r>
      <w:r>
        <w:rPr>
          <w:rFonts w:ascii="Calibri" w:hAnsi="Calibri" w:cs="Calibri"/>
          <w:i w:val="1"/>
          <w:iCs w:val="1"/>
        </w:rPr>
        <w:t>Industri</w:t>
      </w:r>
      <w:r>
        <w:rPr>
          <w:rFonts w:ascii="Calibri" w:hAnsi="Calibri" w:cs="Calibri"/>
        </w:rPr>
        <w:t xml:space="preserve"> samt </w:t>
      </w:r>
      <w:r>
        <w:rPr>
          <w:rFonts w:ascii="Calibri" w:hAnsi="Calibri" w:cs="Calibri"/>
          <w:i w:val="1"/>
          <w:iCs w:val="1"/>
        </w:rPr>
        <w:t>kraftverk</w:t>
      </w:r>
      <w:r>
        <w:rPr>
          <w:rFonts w:ascii="Calibri" w:hAnsi="Calibri" w:cs="Calibri"/>
        </w:rPr>
        <w:t xml:space="preserve"> minskat. </w:t>
      </w:r>
      <w:r>
        <w:rPr>
          <w:rFonts w:ascii="Calibri" w:hAnsi="Calibri" w:cs="Calibri"/>
          <w:i w:val="1"/>
          <w:iCs w:val="1"/>
        </w:rPr>
        <w:t>Huvudgata</w:t>
      </w:r>
      <w:r>
        <w:rPr>
          <w:rFonts w:ascii="Calibri" w:hAnsi="Calibri" w:cs="Calibri"/>
        </w:rPr>
        <w:t xml:space="preserve"> - allmän plats har ersatts av användningen </w:t>
      </w:r>
      <w:r>
        <w:rPr>
          <w:rFonts w:ascii="Calibri" w:hAnsi="Calibri" w:cs="Calibri"/>
          <w:i w:val="1"/>
          <w:iCs w:val="1"/>
        </w:rPr>
        <w:t>Gata</w:t>
      </w:r>
      <w:r>
        <w:rPr>
          <w:rFonts w:ascii="Calibri" w:hAnsi="Calibri" w:cs="Calibri"/>
        </w:rPr>
        <w:t xml:space="preserve"> - allmän plats, samt </w:t>
      </w:r>
      <w:r>
        <w:rPr>
          <w:rFonts w:ascii="Calibri" w:hAnsi="Calibri" w:cs="Calibri"/>
          <w:i w:val="1"/>
          <w:iCs w:val="1"/>
        </w:rPr>
        <w:t xml:space="preserve">Park </w:t>
      </w:r>
      <w:r>
        <w:rPr>
          <w:rFonts w:ascii="Calibri" w:hAnsi="Calibri" w:cs="Calibri"/>
        </w:rPr>
        <w:t xml:space="preserve">- allmän plats har tillkommit och ersatt del av kvartersmark gällande industri och kontor samt kraftverk. </w:t>
      </w:r>
      <w:bookmarkEnd w:id="101"/>
      <w:r>
        <w:rPr>
          <w:rFonts w:ascii="Calibri" w:hAnsi="Calibri" w:cs="Calibri"/>
        </w:rPr>
        <w:br w:type="textWrapping"/>
      </w:r>
      <w:bookmarkStart w:id="102" w:name="ko_annat01"/>
      <w:r>
        <w:rPr>
          <w:rFonts w:ascii="Calibri" w:hAnsi="Calibri" w:cs="Calibri"/>
        </w:rPr>
        <w:t>Denna förändring skapar mer flexibilitet på platsen med möjligheter för verksamheter och tekniska anläggningar, samtidigt som ytorna närmast genomfarten inte är lika lämpliga för storindustri och kontor. Parkmark tar anspråk över industriområde närmast gata för att kunna utformas i samspel med gata och grönska i området. Eftersom bebyggelse ges möjlighet att anordnas närmare gata och blir mer påtagliga i gaturummet, så ställs högre krav på utformning, särskilt i västra delarna av planområdet som ligger generellt sett på högre marknivå.</w:t>
      </w:r>
    </w:p>
    <w:p>
      <w:pPr>
        <w:pStyle w:val="P2"/>
        <w:spacing w:lineRule="auto" w:line="240" w:beforeAutospacing="0" w:afterAutospacing="0"/>
        <w:rPr>
          <w:rFonts w:cs="Calibri"/>
        </w:rPr>
      </w:pPr>
      <w:bookmarkEnd w:id="102"/>
      <w:bookmarkStart w:id="103" w:name="_Toc219101377"/>
      <w:r>
        <w:rPr>
          <w:rFonts w:cs="Calibri"/>
        </w:rPr>
        <w:t>Bebyggelse</w:t>
      </w:r>
      <w:bookmarkEnd w:id="103"/>
    </w:p>
    <w:p>
      <w:pPr>
        <w:pStyle w:val="P3"/>
        <w:rPr>
          <w:rFonts w:cs="Calibri"/>
        </w:rPr>
      </w:pPr>
      <w:r>
        <w:rPr>
          <w:rFonts w:cs="Calibri"/>
        </w:rPr>
        <w:t>Befintlig bebyggelse och värdefull kulturhistorisk miljö</w:t>
      </w:r>
    </w:p>
    <w:p>
      <w:pPr>
        <w:spacing w:after="0" w:beforeAutospacing="0" w:afterAutospacing="0"/>
        <w:ind w:firstLine="720"/>
        <w:rPr>
          <w:rFonts w:ascii="Calibri" w:hAnsi="Calibri" w:cs="Calibri"/>
          <w:b w:val="1"/>
          <w:bCs w:val="1"/>
        </w:rPr>
      </w:pPr>
    </w:p>
    <w:p>
      <w:pPr>
        <w:spacing w:after="0" w:beforeAutospacing="0" w:afterAutospacing="0"/>
        <w:ind w:firstLine="720"/>
        <w:rPr>
          <w:rFonts w:ascii="Calibri" w:hAnsi="Calibri" w:cs="Calibri"/>
        </w:rPr>
      </w:pPr>
      <w:bookmarkStart w:id="104" w:name="pf_fysiskmiljö01"/>
      <w:r>
        <w:rPr>
          <w:rFonts w:ascii="Calibri" w:hAnsi="Calibri" w:cs="Calibri"/>
          <w:b w:val="1"/>
          <w:bCs w:val="1"/>
        </w:rPr>
        <w:t>Ovakos (tidigare valsverket) kontor</w:t>
      </w:r>
      <w:r>
        <w:rPr>
          <w:rFonts w:ascii="Calibri" w:hAnsi="Calibri" w:cs="Calibri"/>
        </w:rPr>
        <w:t xml:space="preserve"> </w:t>
      </w:r>
    </w:p>
    <w:p>
      <w:pPr>
        <w:ind w:left="720"/>
        <w:rPr>
          <w:rFonts w:ascii="Calibri" w:hAnsi="Calibri" w:cs="Calibri"/>
        </w:rPr>
      </w:pPr>
      <w:r>
        <w:rPr>
          <w:rFonts w:ascii="Calibri" w:hAnsi="Calibri" w:cs="Calibri"/>
        </w:rPr>
        <w:t>Kontoren innehar viktiga kulturvärden.</w:t>
      </w:r>
      <w:r>
        <w:rPr>
          <w:rFonts w:ascii="Calibri" w:hAnsi="Calibri" w:cs="Calibri"/>
          <w:sz w:val="22"/>
        </w:rPr>
        <w:t xml:space="preserve"> </w:t>
      </w:r>
      <w:r>
        <w:rPr>
          <w:rFonts w:ascii="Calibri" w:hAnsi="Calibri" w:cs="Calibri"/>
        </w:rPr>
        <w:t>Kontoren närmast vägen uppfördes i tegel under runt tidigt 1950-tal. Kontoren (speciellt det södra) har sedan dess funnits i siktlinjefånget och förknippas starkt med både den industriella verksamheten i Smedjebacken och som vy för trafikanter som reser in mot orten från riksväg 66. Söder om befintlig faskompensering finns en huvudsakligen tegelmurad kontorsbyggnad, som också har fasader av Plåt. Längre österut om planområdet finns storskaliga industribyggnader i plåt som saknar fönster och innehar många utstickande detaljer.</w:t>
      </w:r>
    </w:p>
    <w:p>
      <w:pPr>
        <w:spacing w:after="0" w:beforeAutospacing="0" w:afterAutospacing="0"/>
        <w:ind w:firstLine="720"/>
        <w:rPr>
          <w:rFonts w:ascii="Calibri" w:hAnsi="Calibri" w:cs="Calibri"/>
          <w:b w:val="1"/>
          <w:bCs w:val="1"/>
        </w:rPr>
      </w:pPr>
      <w:r>
        <w:rPr>
          <w:rFonts w:ascii="Calibri" w:hAnsi="Calibri" w:cs="Calibri"/>
          <w:b w:val="1"/>
          <w:bCs w:val="1"/>
        </w:rPr>
        <w:t>Kraftstationsbyggnaden</w:t>
      </w:r>
    </w:p>
    <w:p>
      <w:pPr>
        <w:ind w:left="720"/>
        <w:rPr>
          <w:rFonts w:ascii="Calibri" w:hAnsi="Calibri" w:cs="Calibri"/>
        </w:rPr>
      </w:pPr>
      <w:r>
        <w:rPr>
          <w:rFonts w:ascii="Calibri" w:hAnsi="Calibri" w:cs="Calibri"/>
        </w:rPr>
        <w:t>Uppförd i tegel då viadukten byggdes 1994 för att smälta in på platsen och har idag ett viktigt kulturmiljövärde.</w:t>
      </w:r>
    </w:p>
    <w:p>
      <w:pPr>
        <w:spacing w:after="0" w:beforeAutospacing="0" w:afterAutospacing="0"/>
        <w:ind w:firstLine="720"/>
        <w:rPr>
          <w:rFonts w:ascii="Calibri" w:hAnsi="Calibri" w:cs="Calibri"/>
          <w:b w:val="1"/>
          <w:bCs w:val="1"/>
        </w:rPr>
      </w:pPr>
      <w:r>
        <w:rPr>
          <w:rFonts w:ascii="Calibri" w:hAnsi="Calibri" w:cs="Calibri"/>
          <w:b w:val="1"/>
          <w:bCs w:val="1"/>
        </w:rPr>
        <w:t>Den gamla kvarnen</w:t>
      </w:r>
    </w:p>
    <w:p>
      <w:pPr>
        <w:ind w:left="720"/>
        <w:rPr>
          <w:rFonts w:ascii="Calibri" w:hAnsi="Calibri" w:cs="Calibri"/>
          <w:szCs w:val="24"/>
        </w:rPr>
      </w:pPr>
      <w:r>
        <w:rPr>
          <w:rFonts w:ascii="Calibri" w:hAnsi="Calibri" w:cs="Calibri"/>
          <w:szCs w:val="24"/>
        </w:rPr>
        <w:t>Kvarnen har funnits på platsen sedan cirka slutet på 1600-talet. Uppgifter från 1758 anger att den vid tiden var den största kvarnen i hela Norrbärke socken. Vattenhjulen ersattes med turbiner 1921. Kvarnen uppfyllde en viktig funktion historiskt, framför allt för smeder- och hyttarbetarfamiljer som bodde i Västansjö och på gamla Smedjebacken.</w:t>
      </w:r>
    </w:p>
    <w:p>
      <w:pPr>
        <w:spacing w:after="0" w:beforeAutospacing="0" w:afterAutospacing="0"/>
        <w:ind w:firstLine="720"/>
        <w:rPr>
          <w:rFonts w:ascii="Calibri" w:hAnsi="Calibri" w:cs="Calibri"/>
          <w:b w:val="1"/>
          <w:bCs w:val="1"/>
        </w:rPr>
      </w:pPr>
    </w:p>
    <w:p>
      <w:pPr>
        <w:spacing w:after="0" w:beforeAutospacing="0" w:afterAutospacing="0"/>
        <w:ind w:firstLine="720"/>
        <w:rPr>
          <w:rFonts w:ascii="Calibri" w:hAnsi="Calibri" w:cs="Calibri"/>
          <w:b w:val="1"/>
          <w:bCs w:val="1"/>
        </w:rPr>
      </w:pPr>
      <w:r>
        <w:rPr>
          <w:rFonts w:ascii="Calibri" w:hAnsi="Calibri" w:cs="Calibri"/>
          <w:b w:val="1"/>
          <w:bCs w:val="1"/>
        </w:rPr>
        <w:t>Meken</w:t>
      </w:r>
    </w:p>
    <w:p>
      <w:pPr>
        <w:ind w:left="720"/>
        <w:rPr>
          <w:rFonts w:ascii="Calibri" w:hAnsi="Calibri" w:cs="Calibri"/>
          <w:noProof w:val="1"/>
          <w:sz w:val="16"/>
          <w:szCs w:val="16"/>
        </w:rPr>
      </w:pPr>
      <w:r>
        <w:rPr>
          <w:rFonts w:ascii="Calibri" w:hAnsi="Calibri" w:cs="Calibri"/>
        </w:rPr>
        <w:t xml:space="preserve">Från början kolhus, senare </w:t>
      </w:r>
      <w:r>
        <w:rPr>
          <w:rFonts w:ascii="Calibri" w:hAnsi="Calibri" w:cs="Calibri"/>
          <w:i w:val="1"/>
          <w:iCs w:val="1"/>
        </w:rPr>
        <w:t>by smedja</w:t>
      </w:r>
      <w:r>
        <w:rPr>
          <w:rFonts w:ascii="Calibri" w:hAnsi="Calibri" w:cs="Calibri"/>
        </w:rPr>
        <w:t xml:space="preserve"> som fanns på platsen från 1600-talet, därefter från tidigt 1900-tal mekanisk verkstad till valsverket och sedan 2006 kommunal konsthall och aktivitetsplats för bygden. </w:t>
      </w:r>
    </w:p>
    <w:p>
      <w:pPr>
        <w:spacing w:after="0" w:beforeAutospacing="0" w:afterAutospacing="0"/>
        <w:ind w:firstLine="720"/>
        <w:rPr>
          <w:rFonts w:ascii="Calibri" w:hAnsi="Calibri" w:cs="Calibri"/>
          <w:b w:val="1"/>
          <w:bCs w:val="1"/>
        </w:rPr>
      </w:pPr>
      <w:r>
        <w:rPr>
          <w:rFonts w:ascii="Calibri" w:hAnsi="Calibri" w:cs="Calibri"/>
          <w:b w:val="1"/>
          <w:bCs w:val="1"/>
        </w:rPr>
        <w:t xml:space="preserve">Grenanderska huset </w:t>
      </w:r>
    </w:p>
    <w:p>
      <w:pPr>
        <w:ind w:left="720"/>
        <w:rPr>
          <w:rFonts w:ascii="Calibri" w:hAnsi="Calibri" w:cs="Calibri"/>
        </w:rPr>
      </w:pPr>
      <w:r>
        <w:rPr>
          <w:rFonts w:ascii="Calibri" w:hAnsi="Calibri" w:cs="Calibri"/>
        </w:rPr>
        <w:t>Norr om planområdet ligger Grenanderska huset som har många arkitektoniska kvalitativa inslag. Gården omges av en träd-rik och sommartid en förhållandevis tät grönska och är en del av början på kulturgatan Kyrkogatan som sträcker sig öster ut mot hamnen och vidare norr ut med närhet till Norra barken. Byggnaden är en del av ursprunglig trästadsbebyggelse från 1820-talet som var ett hem åt häradshövding Ernst Grenander. Idag ett viktigt kulturmiljövärde som används som kommunalkontor för fritid, upphandling och näringsliv.</w:t>
      </w:r>
      <w:bookmarkEnd w:id="104"/>
    </w:p>
    <w:p>
      <w:pPr>
        <w:ind w:left="720"/>
        <w:rPr>
          <w:rFonts w:ascii="Calibri" w:hAnsi="Calibri" w:cs="Calibri"/>
        </w:rPr>
      </w:pPr>
    </w:p>
    <w:p>
      <w:pPr>
        <w:ind w:left="720"/>
        <w:rPr>
          <w:rFonts w:ascii="Calibri" w:hAnsi="Calibri" w:cs="Calibri"/>
          <w:sz w:val="16"/>
          <w:szCs w:val="16"/>
        </w:rPr>
      </w:pPr>
      <w:r>
        <w:rPr>
          <w:rFonts w:ascii="Calibri" w:hAnsi="Calibri" w:cs="Calibri"/>
          <w:noProof w:val="1"/>
          <w:sz w:val="16"/>
          <w:szCs w:val="16"/>
        </w:rPr>
        <w:drawing>
          <wp:inline xmlns:wp="http://schemas.openxmlformats.org/drawingml/2006/wordprocessingDrawing" distT="0" distB="0" distL="0" distR="0">
            <wp:extent cx="5231130" cy="2947035"/>
            <wp:effectExtent l="19050" t="19050" r="26670" b="24765"/>
            <wp:docPr id="20620412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1" cstate="print"/>
                    <a:srcRect/>
                    <a:stretch>
                      <a:fillRect/>
                    </a:stretch>
                  </pic:blipFill>
                  <pic:spPr bwMode="auto">
                    <a:xfrm>
                      <a:off x="0" y="0"/>
                      <a:ext cx="5243151" cy="2954083"/>
                    </a:xfrm>
                    <a:prstGeom prst="rect"/>
                    <a:noFill/>
                    <a:ln w="6350">
                      <a:solidFill>
                        <a:schemeClr val="tx1"/>
                      </a:solidFill>
                    </a:ln>
                  </pic:spPr>
                </pic:pic>
              </a:graphicData>
            </a:graphic>
          </wp:inline>
        </w:drawing>
      </w:r>
    </w:p>
    <w:p>
      <w:pPr>
        <w:ind w:left="720"/>
        <w:rPr>
          <w:rFonts w:ascii="Calibri" w:hAnsi="Calibri" w:cs="Calibri"/>
          <w:sz w:val="16"/>
          <w:szCs w:val="16"/>
        </w:rPr>
      </w:pPr>
      <w:r>
        <w:rPr>
          <w:rFonts w:ascii="Calibri" w:hAnsi="Calibri" w:cs="Calibri"/>
          <w:sz w:val="16"/>
          <w:szCs w:val="16"/>
        </w:rPr>
        <w:t>Figur 8: Grenanderska gården (sensommarbild). Vy från kyrkogatan mot planområdet i söder.</w:t>
      </w:r>
    </w:p>
    <w:p>
      <w:pPr>
        <w:ind w:left="720"/>
        <w:rPr>
          <w:rFonts w:ascii="Calibri" w:hAnsi="Calibri" w:cs="Calibri"/>
          <w:sz w:val="16"/>
          <w:szCs w:val="16"/>
        </w:rPr>
      </w:pPr>
    </w:p>
    <w:p>
      <w:pPr>
        <w:pStyle w:val="P3"/>
        <w:rPr>
          <w:rFonts w:cs="Calibri"/>
        </w:rPr>
      </w:pPr>
      <w:r>
        <w:rPr>
          <w:rFonts w:cs="Calibri"/>
        </w:rPr>
        <w:t>Bebyggelse som detaljplanen möjliggör</w:t>
      </w:r>
    </w:p>
    <w:p>
      <w:pPr>
        <w:ind w:left="720"/>
        <w:rPr>
          <w:rFonts w:ascii="Calibri" w:hAnsi="Calibri" w:cs="Calibri"/>
        </w:rPr>
      </w:pPr>
      <w:bookmarkStart w:id="105" w:name="pf_fysiskmiljö02"/>
      <w:r>
        <w:rPr>
          <w:rFonts w:ascii="Calibri" w:hAnsi="Calibri" w:cs="Calibri"/>
        </w:rPr>
        <w:t xml:space="preserve">Ny bebyggelse som detaljplanen möjliggör ska anpassas i färg, material och volymer till kringliggande område för att bättre smälta in i landskapet. Industriområdet präglas av tegel och plåt som material samt den röd-orangea färgen som ska användas där planbestämmelse om röd kulör finns. </w:t>
      </w:r>
    </w:p>
    <w:p>
      <w:pPr>
        <w:ind w:left="720"/>
        <w:rPr>
          <w:rFonts w:ascii="Calibri" w:hAnsi="Calibri" w:cs="Calibri"/>
        </w:rPr>
      </w:pPr>
      <w:r>
        <w:rPr>
          <w:rFonts w:ascii="Calibri" w:hAnsi="Calibri" w:cs="Calibri"/>
        </w:rPr>
        <w:t>Den mörkgråa kulören som är kolgrå/grafitgrå (mörk i tonen), som återfinns på järnstaketet och som omger planområdet, vid kyrkogatan, vid brofästet och längst gångvägarna norr om planområdet, ska användas där planbestämmelse om stängsel för mörkgrå kulör finns. Stängsel i västra delen av planområdet ska vara genomsiktligt utförande med vertikala spjälor, likt den omgivande utförande som finns i området. Stängslet ska vara integrerad med resterande tilltänkta bebyggelsen som kan komma att byggas i detaljplanens genomförande. Detta genom att inte onödigt omsluta bebyggelsen, utan i stället länka ihop stängslet med bebyggelsen för att stängslet inte ska uppfattas för omfattande. Det betyder att stängsel och bebyggelse tillsammans skapar en slags gårdskänsla och som kan smält in i kringliggande miljö, vilket värnar landskapsbilden.</w:t>
      </w:r>
    </w:p>
    <w:p>
      <w:pPr>
        <w:ind w:left="720"/>
        <w:rPr>
          <w:rFonts w:ascii="Calibri" w:hAnsi="Calibri" w:cs="Calibri"/>
        </w:rPr>
      </w:pPr>
      <w:r>
        <w:rPr>
          <w:rFonts w:ascii="Calibri" w:hAnsi="Calibri" w:cs="Calibri"/>
        </w:rPr>
        <w:t xml:space="preserve">Nyttjandegraden säkerställs att inte bli för hög inom planområdet genom planbestämmelser, vilket betyder att bebyggelse endast kan utökas till en mindre grad mer än vad som kan ses i illustrationsplanen. En större teknisk anläggning i form av en faskompenseringbyggnad möjliggörs att upprättas i östra delen av planområdet med krav på färg, takvinkel och höjd. Fasaden ska bestå av röd kulör (röd-orange), medan tak och dörrar ska bestå av mörkgrå kulör. Detta för att samspela med kringliggande bebyggelsen och brytning av olika kulör på tak och fasad är lämpligt vid stora volymer. Stomme och andra detaljer kan vara av avvikande kulör. Faskompenseringen kommer begränsas i höjd för nock och totalhöjd som kan inbegripa skyddsräcke samt åskledare. Markberedning för byggnaden bör hållas låg så att inte volymen uppfattas för påtagligt. Kyltornet får vara i orange-röd kulör, mörkgrå, metall eller en blandning av de tre men mindre avvikelser får förekomma. </w:t>
      </w:r>
    </w:p>
    <w:p>
      <w:pPr>
        <w:ind w:left="720"/>
        <w:rPr>
          <w:rFonts w:ascii="Calibri" w:hAnsi="Calibri" w:cs="Calibri"/>
        </w:rPr>
      </w:pPr>
      <w:r>
        <w:rPr>
          <w:rFonts w:ascii="Calibri" w:hAnsi="Calibri" w:cs="Calibri"/>
        </w:rPr>
        <w:t>Faskompenseringen möjliggör utveckling för Industrin av el-överföring och ersätter den äldre anläggningen. För att möjliggöra detta kommer Smedjebacken Energi AB överföra mark från sin fastighet. I Västra delen av planområdet så vill Smedjebacken energi utöka sin fastighet för att i framtiden möjliggöra för fler tekniska anläggningar och verksamheter relaterat till deras kraftnätsfokus. Befintliga verksamheter i västra delen av planområdet ska kunna fortgå när faskompenseringen uppförs. Därför ska möjligheter för att vända av större fordon och yta för parkering vara möjlig väster ut. Kyltornet till faskompenseringen som behövs möjliggörs i planen både norr och väster om faskompenseringen.</w:t>
      </w:r>
    </w:p>
    <w:p>
      <w:pPr>
        <w:ind w:left="720"/>
        <w:rPr>
          <w:rFonts w:ascii="Calibri" w:hAnsi="Calibri" w:cs="Calibri"/>
        </w:rPr>
      </w:pPr>
      <w:r>
        <w:rPr>
          <w:rFonts w:ascii="Calibri" w:hAnsi="Calibri" w:cs="Calibri"/>
        </w:rPr>
        <w:t>Inom planområdet så finns det omfattande ledningar med större kapacitet främst i utkanten i nord och syd, där bebyggelse är mindre lämpligt. Vissa ledningar kan dock komma att behöva flyttas i främst västra delen av planområdet för att möjliggöra exploatering.</w:t>
      </w:r>
      <w:bookmarkEnd w:id="105"/>
    </w:p>
    <w:p>
      <w:pPr>
        <w:ind w:left="720"/>
        <w:rPr>
          <w:rFonts w:ascii="Calibri" w:hAnsi="Calibri" w:cs="Calibri"/>
        </w:rPr>
      </w:pPr>
      <w:r>
        <w:rPr>
          <w:rFonts w:ascii="Calibri" w:hAnsi="Calibri" w:cs="Calibri"/>
        </w:rPr>
        <w:br w:type="textWrapping"/>
      </w:r>
    </w:p>
    <w:p>
      <w:pPr>
        <w:ind w:left="720"/>
        <w:rPr>
          <w:rFonts w:ascii="Calibri" w:hAnsi="Calibri" w:cs="Calibri"/>
        </w:rPr>
      </w:pPr>
    </w:p>
    <w:p>
      <w:pPr>
        <w:ind w:firstLine="720"/>
        <w:rPr>
          <w:rFonts w:ascii="Calibri" w:hAnsi="Calibri" w:cs="Calibri"/>
        </w:rPr>
      </w:pPr>
    </w:p>
    <w:p>
      <w:pPr>
        <w:ind w:firstLine="720"/>
        <w:rPr>
          <w:rFonts w:ascii="Calibri" w:hAnsi="Calibri" w:cs="Calibri"/>
          <w:noProof w:val="1"/>
        </w:rPr>
      </w:pPr>
    </w:p>
    <w:p>
      <w:pPr>
        <w:ind w:firstLine="720"/>
        <w:rPr>
          <w:rFonts w:ascii="Calibri" w:hAnsi="Calibri" w:cs="Calibri"/>
          <w:noProof w:val="1"/>
        </w:rPr>
      </w:pPr>
    </w:p>
    <w:p>
      <w:pPr>
        <w:ind w:firstLine="720"/>
        <w:rPr>
          <w:rFonts w:ascii="Calibri" w:hAnsi="Calibri" w:cs="Calibri"/>
          <w:noProof w:val="1"/>
        </w:rPr>
      </w:pPr>
    </w:p>
    <w:p>
      <w:pPr>
        <w:ind w:firstLine="720"/>
        <w:rPr>
          <w:rFonts w:ascii="Calibri" w:hAnsi="Calibri" w:cs="Calibri"/>
        </w:rPr>
      </w:pPr>
      <w:r>
        <w:rPr>
          <w:rFonts w:ascii="Calibri" w:hAnsi="Calibri" w:cs="Calibri"/>
          <w:noProof w:val="1"/>
        </w:rPr>
        <w:drawing>
          <wp:inline xmlns:wp="http://schemas.openxmlformats.org/drawingml/2006/wordprocessingDrawing" distT="0" distB="0" distL="0" distR="0">
            <wp:extent cx="5662295" cy="5464175"/>
            <wp:effectExtent l="19050" t="19050" r="14605" b="22225"/>
            <wp:docPr id="40296963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2" cstate="print"/>
                    <a:srcRect l="771" t="1235" r="867" b="506"/>
                    <a:stretch>
                      <a:fillRect/>
                    </a:stretch>
                  </pic:blipFill>
                  <pic:spPr bwMode="auto">
                    <a:xfrm>
                      <a:off x="0" y="0"/>
                      <a:ext cx="5664499" cy="5465759"/>
                    </a:xfrm>
                    <a:prstGeom prst="rect"/>
                    <a:noFill/>
                    <a:ln w="6350" cmpd="sng" algn="ctr">
                      <a:solidFill>
                        <a:sysClr val="windowText"/>
                      </a:solidFill>
                      <a:prstDash val="solid"/>
                      <a:round/>
                    </a:ln>
                  </pic:spPr>
                </pic:pic>
              </a:graphicData>
            </a:graphic>
          </wp:inline>
        </w:drawing>
      </w:r>
    </w:p>
    <w:p>
      <w:pPr>
        <w:ind w:left="720"/>
        <w:rPr>
          <w:rFonts w:ascii="Calibri" w:hAnsi="Calibri" w:cs="Calibri"/>
          <w:sz w:val="16"/>
          <w:szCs w:val="16"/>
        </w:rPr>
      </w:pPr>
      <w:r>
        <w:rPr>
          <w:rFonts w:ascii="Calibri" w:hAnsi="Calibri" w:cs="Calibri"/>
          <w:sz w:val="16"/>
          <w:szCs w:val="16"/>
        </w:rPr>
        <w:t>Figur 9: Illustrationsplan över; Ovako södra entrén. Exempel på möjlig exploatering. Vattenkraftbyggnaden är en befintlig byggnad. Fastighet 3:49 och 3:2 har avstyckats till nya tilltänkta dragningar enligt illustrationen.</w:t>
      </w:r>
    </w:p>
    <w:p>
      <w:pPr>
        <w:ind w:left="720"/>
        <w:rPr>
          <w:rFonts w:ascii="Calibri" w:hAnsi="Calibri" w:cs="Calibri"/>
          <w:sz w:val="16"/>
          <w:szCs w:val="16"/>
        </w:rPr>
      </w:pPr>
    </w:p>
    <w:p>
      <w:pPr>
        <w:pStyle w:val="P2"/>
        <w:spacing w:lineRule="auto" w:line="240" w:beforeAutospacing="0" w:afterAutospacing="0"/>
        <w:rPr>
          <w:rFonts w:cs="Calibri"/>
        </w:rPr>
      </w:pPr>
      <w:bookmarkStart w:id="106" w:name="_Toc219101378"/>
      <w:r>
        <w:rPr>
          <w:rFonts w:cs="Calibri"/>
        </w:rPr>
        <w:t>Natur</w:t>
      </w:r>
      <w:bookmarkEnd w:id="106"/>
    </w:p>
    <w:p>
      <w:pPr>
        <w:pStyle w:val="P3"/>
        <w:spacing w:lineRule="auto" w:line="276" w:beforeAutospacing="0" w:afterAutospacing="0"/>
        <w:rPr>
          <w:rFonts w:cs="Calibri"/>
        </w:rPr>
      </w:pPr>
      <w:r>
        <w:rPr>
          <w:rFonts w:cs="Calibri"/>
        </w:rPr>
        <w:t>Landskapsbild</w:t>
      </w:r>
    </w:p>
    <w:p>
      <w:pPr>
        <w:ind w:left="720"/>
        <w:rPr>
          <w:rFonts w:ascii="Calibri" w:hAnsi="Calibri" w:cs="Calibri"/>
        </w:rPr>
      </w:pPr>
      <w:r>
        <w:rPr>
          <w:rFonts w:ascii="Calibri" w:hAnsi="Calibri" w:cs="Calibri"/>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3052445</wp:posOffset>
            </wp:positionH>
            <wp:positionV relativeFrom="paragraph">
              <wp:posOffset>40005</wp:posOffset>
            </wp:positionV>
            <wp:extent cx="2701925" cy="3818890"/>
            <wp:effectExtent l="19050" t="19050" r="22225" b="10160"/>
            <wp:wrapSquare wrapText="bothSides"/>
            <wp:docPr id="2019241363"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dpi="0">
                    <a:blip xmlns:r="http://schemas.openxmlformats.org/officeDocument/2006/relationships" r:embed="Relimage13" cstate="print"/>
                    <a:srcRect l="20176" t="25358" r="37376" b="33710"/>
                    <a:stretch>
                      <a:fillRect/>
                    </a:stretch>
                  </pic:blipFill>
                  <pic:spPr bwMode="auto">
                    <a:xfrm>
                      <a:off x="0" y="0"/>
                      <a:ext cx="2701925" cy="3818890"/>
                    </a:xfrm>
                    <a:prstGeom prst="rect"/>
                    <a:noFill/>
                    <a:ln w="6350">
                      <a:solidFill>
                        <a:schemeClr val="tx1"/>
                      </a:solidFill>
                    </a:ln>
                  </pic:spPr>
                </pic:pic>
              </a:graphicData>
            </a:graphic>
          </wp:anchor>
        </w:drawing>
      </w:r>
      <w:bookmarkStart w:id="107" w:name="ko_landskapsbild01"/>
      <w:r>
        <w:rPr>
          <w:rFonts w:ascii="Calibri" w:hAnsi="Calibri" w:cs="Calibri"/>
        </w:rPr>
        <w:t xml:space="preserve">Den slingrande gröna genomfarten och bron tillsammans med Ovakos industri är en del av landskapsidentiteten i området. Viktiga siktlinjer finns i form av stadens siluetter, arkitektur, överblickbarhet i landskapet och grönskan ner mot Kolbäcksån. Planområdet syns även från andra håll, såsom Stegelbacken i nordväst, Vasagatan från norr och gångstråken som ligger norr om Kolbäcksån. </w:t>
      </w:r>
    </w:p>
    <w:p>
      <w:pPr>
        <w:ind w:left="720"/>
        <w:rPr>
          <w:rFonts w:ascii="Calibri" w:hAnsi="Calibri" w:cs="Calibri"/>
          <w:sz w:val="16"/>
          <w:szCs w:val="16"/>
        </w:rPr>
      </w:pPr>
      <w:r>
        <w:rPr>
          <w:rFonts w:ascii="Calibri" w:hAnsi="Calibri" w:cs="Calibri"/>
        </w:rPr>
        <w:t>Planområdet är en del av den gemensamma södra entrén för Smedjebacken tätort och är en viktig infart för boende såsom besökare till hela stadskärnan. Gestaltning av planområdet spelar stor roll om landskapsbilden i stort påverkas negativt, blir oförändrad eller bidrar till helheten.</w:t>
        <w:tab/>
        <w:tab/>
        <w:t xml:space="preserve">                     </w:t>
      </w:r>
      <w:r>
        <w:rPr>
          <w:rFonts w:ascii="Calibri" w:hAnsi="Calibri" w:cs="Calibri"/>
          <w:sz w:val="16"/>
          <w:szCs w:val="16"/>
        </w:rPr>
        <w:t xml:space="preserve">Figur 10: Viktiga siktlinjer (pilar) samt gult område med </w:t>
        <w:br w:type="textWrapping"/>
        <w:t xml:space="preserve">                                                                                                                        överblickbarhet mot planområdet.</w:t>
      </w:r>
    </w:p>
    <w:p>
      <w:pPr>
        <w:ind w:left="720"/>
        <w:rPr>
          <w:rFonts w:ascii="Calibri" w:hAnsi="Calibri" w:cs="Calibri"/>
        </w:rPr>
      </w:pPr>
    </w:p>
    <w:p>
      <w:pPr>
        <w:ind w:left="720"/>
        <w:rPr>
          <w:rFonts w:ascii="Calibri" w:hAnsi="Calibri" w:cs="Calibri"/>
          <w:sz w:val="22"/>
        </w:rPr>
      </w:pPr>
      <w:r>
        <w:rPr>
          <w:rFonts w:ascii="Calibri" w:hAnsi="Calibri" w:cs="Calibri"/>
        </w:rPr>
        <w:t>Gestaltning som samspelar med den befintliga landskapsbilden, genom arkitekturkrav eller skala kan bidra att utveckla landskapsbilden positivt. I planförslagets genomförande i västra delen av planområdet så planeras ett stängsel kapsla in bebyggelsen. Stängslet bör integreras och samspela med bebyggelsen genom att inte bli för omfattande så att inte en påtaglig synlig ”vägg” uppträder, utan bebyggelsen ska kopplas samman med stängslet så en gårdskänsla i låg skala skapas. Detta tillsammans med anpassade planteringar för kringliggande miljö kan bidra till landskapsbilden som helhet.</w:t>
      </w:r>
    </w:p>
    <w:p>
      <w:pPr>
        <w:ind w:left="720"/>
        <w:rPr>
          <w:rFonts w:ascii="Calibri" w:hAnsi="Calibri" w:cs="Calibri"/>
        </w:rPr>
      </w:pPr>
      <w:r>
        <w:rPr>
          <w:rFonts w:ascii="Calibri" w:hAnsi="Calibri" w:cs="Calibri"/>
        </w:rPr>
        <w:t>De två fyrkantiga kontorsbyggnaderna från 1950-talet som är placerade närmast genomfarten samt vattenkraftverket i norr är viktiga historiska och kulturella byggnader närmast planområdet. Byggnader berör landskapsbilden i sin arkitektur och uttryck. Dessa kulturella uttryck behöver tas hänsyn till vid utformning och placering av ny exploatering så att inte de kulturella värdena påtagligt skadas. Planbestämmelserna i detaljplanen reglerar att skalan och utformningskrav för att tillmötesgå landskapsbildintresset.</w:t>
      </w:r>
      <w:bookmarkEnd w:id="107"/>
    </w:p>
    <w:p>
      <w:pPr>
        <w:pStyle w:val="P3"/>
        <w:rPr>
          <w:rFonts w:cs="Calibri"/>
        </w:rPr>
      </w:pPr>
      <w:r>
        <w:rPr>
          <w:rFonts w:cs="Calibri"/>
        </w:rPr>
        <w:t>Strandskydd</w:t>
      </w:r>
    </w:p>
    <w:p>
      <w:pPr>
        <w:ind w:left="720"/>
        <w:rPr>
          <w:rFonts w:ascii="Calibri" w:hAnsi="Calibri" w:cs="Calibri"/>
        </w:rPr>
      </w:pPr>
      <w:bookmarkStart w:id="108" w:name="ko_strandskydd01"/>
      <w:r>
        <w:rPr>
          <w:rFonts w:ascii="Calibri" w:hAnsi="Calibri" w:cs="Calibri"/>
        </w:rPr>
        <w:t>Hela planområdet ligger inom 100 meter från strandlinjen. När en ny detaljplan upprättas och detta förefaller så kommer strandskyddet träda i kraft igen, om inte strandskyddet upphävs i den nya detaljplanen. Enligt miljöbalken så ges möjlighet till upphävande av strandskyddet i detaljplanen om det föreligger särskilda skäl. Dessa skäl är;</w:t>
      </w:r>
    </w:p>
    <w:p>
      <w:pPr>
        <w:pStyle w:val="P31"/>
        <w:numPr>
          <w:ilvl w:val="0"/>
          <w:numId w:val="15"/>
        </w:numPr>
        <w:rPr>
          <w:rFonts w:ascii="Calibri" w:hAnsi="Calibri" w:cs="Calibri"/>
        </w:rPr>
      </w:pPr>
      <w:r>
        <w:rPr>
          <w:rFonts w:ascii="Calibri" w:hAnsi="Calibri" w:cs="Calibri"/>
        </w:rPr>
        <w:t>Om området redan har tagits i anspråk på ett sätt som gör att det saknar betydelse för strandskyddets syften.</w:t>
        <w:br w:type="textWrapping"/>
      </w:r>
    </w:p>
    <w:p>
      <w:pPr>
        <w:pStyle w:val="P31"/>
        <w:numPr>
          <w:ilvl w:val="0"/>
          <w:numId w:val="15"/>
        </w:numPr>
        <w:rPr>
          <w:rFonts w:ascii="Calibri" w:hAnsi="Calibri" w:cs="Calibri"/>
        </w:rPr>
      </w:pPr>
      <w:r>
        <w:rPr>
          <w:rFonts w:ascii="Calibri" w:hAnsi="Calibri" w:cs="Calibri"/>
        </w:rPr>
        <w:t>Om området är genom en väg, järnväg, bebyggelse, verksamhet eller annan exploatering är väl avskilt från området närmast strandlinjen.</w:t>
        <w:br w:type="textWrapping"/>
      </w:r>
    </w:p>
    <w:p>
      <w:pPr>
        <w:pStyle w:val="P31"/>
        <w:numPr>
          <w:ilvl w:val="0"/>
          <w:numId w:val="15"/>
        </w:numPr>
        <w:rPr>
          <w:rFonts w:ascii="Calibri" w:hAnsi="Calibri" w:cs="Calibri"/>
        </w:rPr>
      </w:pPr>
      <w:r>
        <w:rPr>
          <w:rFonts w:ascii="Calibri" w:hAnsi="Calibri" w:cs="Calibri"/>
        </w:rPr>
        <w:t>Om området behövs för en anläggning som för sin funktion måste ligga vid vattnet och behovet inte kan tillgodoses utanför området.</w:t>
        <w:br w:type="textWrapping"/>
      </w:r>
    </w:p>
    <w:p>
      <w:pPr>
        <w:pStyle w:val="P31"/>
        <w:numPr>
          <w:ilvl w:val="0"/>
          <w:numId w:val="15"/>
        </w:numPr>
        <w:rPr>
          <w:rFonts w:ascii="Calibri" w:hAnsi="Calibri" w:cs="Calibri"/>
        </w:rPr>
      </w:pPr>
      <w:r>
        <w:rPr>
          <w:rFonts w:ascii="Calibri" w:hAnsi="Calibri" w:cs="Calibri"/>
        </w:rPr>
        <w:t>Om området behövs för att utvidga en pågående verksamhet och utvidgningen inte kan genomföras utanför området.</w:t>
        <w:br w:type="textWrapping"/>
      </w:r>
    </w:p>
    <w:p>
      <w:pPr>
        <w:pStyle w:val="P31"/>
        <w:numPr>
          <w:ilvl w:val="0"/>
          <w:numId w:val="15"/>
        </w:numPr>
        <w:rPr>
          <w:rFonts w:ascii="Calibri" w:hAnsi="Calibri" w:cs="Calibri"/>
        </w:rPr>
      </w:pPr>
      <w:r>
        <w:rPr>
          <w:rFonts w:ascii="Calibri" w:hAnsi="Calibri" w:cs="Calibri"/>
        </w:rPr>
        <w:t>Om området behöver tas i anspråk för att tillgodose ett angeläget allmänt intresse som inte kan tillgodoses utanför området.</w:t>
        <w:br w:type="textWrapping"/>
      </w:r>
    </w:p>
    <w:p>
      <w:pPr>
        <w:pStyle w:val="P31"/>
        <w:numPr>
          <w:ilvl w:val="0"/>
          <w:numId w:val="15"/>
        </w:numPr>
        <w:rPr>
          <w:rFonts w:ascii="Calibri" w:hAnsi="Calibri" w:cs="Calibri"/>
          <w:b w:val="1"/>
          <w:bCs w:val="1"/>
        </w:rPr>
      </w:pPr>
      <w:r>
        <w:rPr>
          <w:rFonts w:ascii="Calibri" w:hAnsi="Calibri" w:cs="Calibri"/>
        </w:rPr>
        <w:t>Om området behöver tas i anspråk för att tillgodose ett annat mycket angeläget intresse.</w:t>
      </w:r>
    </w:p>
    <w:p>
      <w:pPr>
        <w:ind w:left="720"/>
        <w:rPr>
          <w:rFonts w:ascii="Calibri" w:hAnsi="Calibri" w:cs="Calibri"/>
        </w:rPr>
      </w:pPr>
      <w:r>
        <w:rPr>
          <w:rFonts w:ascii="Calibri" w:hAnsi="Calibri" w:cs="Calibri"/>
        </w:rPr>
        <w:t xml:space="preserve">De skäl som åberopas är; </w:t>
        <w:br w:type="textWrapping"/>
        <w:t>Marken är redan är tagen i anspråk. Hela strandskyddsområdet befinner sig på otillgänglig industrimark som är väl avskilt av en väg, som samtidigt är olämplig för vistelse för allmänheten enligt punkt 1 och 2.</w:t>
      </w:r>
      <w:r>
        <w:rPr>
          <w:rFonts w:ascii="Calibri" w:hAnsi="Calibri" w:cs="Calibri"/>
          <w:color w:val="C00000"/>
        </w:rPr>
        <w:t xml:space="preserve"> </w:t>
      </w:r>
      <w:r>
        <w:rPr>
          <w:rFonts w:ascii="Calibri" w:hAnsi="Calibri" w:cs="Calibri"/>
        </w:rPr>
        <w:t xml:space="preserve">Infrastruktur för stora ledningar och anläggningar finns redan på plats. Det befintliga faskompenseringen ska kopplas ihop med den nya som är förlagd intill strandlinjen enligt punkt 3. Området behövs för att utveckla och utvidga en pågående verksamhet enligt punkt 3 och 4. </w:t>
      </w:r>
    </w:p>
    <w:p>
      <w:pPr>
        <w:ind w:left="720"/>
        <w:rPr>
          <w:rFonts w:ascii="Calibri" w:hAnsi="Calibri" w:cs="Calibri"/>
          <w:color w:val="C00000"/>
        </w:rPr>
      </w:pPr>
      <w:r>
        <w:rPr>
          <w:rFonts w:ascii="Calibri" w:hAnsi="Calibri" w:cs="Calibri"/>
        </w:rPr>
        <w:t xml:space="preserve">Verksamheter och tekniska anläggningar i västra delen av planområdet tillgodoser det allmänna intresset, genom utveckling av det kommunala bolaget, som genom nya anläggningar får betydelse för elnätet. Dessa anläggningar bör förläggas samlat eftersom antagna nytillkomna funktioner är relaterade till eldriften, vilket sammantaget är skäl enligt punkt 5. Faskompenseringen är ett angeläget intresse eftersom den är vital för driften av hela industrin och berör människor som arbetar där enligt punkt 6. Bedömningen är därför att strandskyddet i detaljplanen kommer enligt dessa skäl att upphävas. </w:t>
      </w:r>
    </w:p>
    <w:p>
      <w:pPr>
        <w:ind w:left="720"/>
        <w:rPr>
          <w:rFonts w:ascii="Calibri" w:hAnsi="Calibri" w:cs="Calibri"/>
          <w:b w:val="1"/>
          <w:bCs w:val="1"/>
        </w:rPr>
      </w:pPr>
      <w:bookmarkEnd w:id="108"/>
      <w:bookmarkStart w:id="109" w:name="K7P18c"/>
    </w:p>
    <w:p>
      <w:pPr>
        <w:ind w:left="720"/>
        <w:rPr>
          <w:rFonts w:ascii="Calibri" w:hAnsi="Calibri" w:cs="Calibri"/>
        </w:rPr>
      </w:pPr>
      <w:bookmarkEnd w:id="109"/>
    </w:p>
    <w:p>
      <w:pPr>
        <w:pStyle w:val="P3"/>
        <w:rPr>
          <w:rFonts w:cs="Calibri"/>
        </w:rPr>
      </w:pPr>
      <w:r>
        <w:rPr>
          <w:rFonts w:cs="Calibri"/>
        </w:rPr>
        <w:t>Mark och vegetation</w:t>
      </w:r>
    </w:p>
    <w:p>
      <w:pPr>
        <w:ind w:left="720"/>
        <w:rPr>
          <w:rFonts w:ascii="Calibri" w:hAnsi="Calibri" w:cs="Calibri"/>
          <w:szCs w:val="24"/>
        </w:rPr>
      </w:pPr>
      <w:bookmarkStart w:id="110" w:name="ko_natur01"/>
      <w:r>
        <w:rPr>
          <w:rFonts w:ascii="Calibri" w:hAnsi="Calibri" w:cs="Calibri"/>
          <w:szCs w:val="24"/>
        </w:rPr>
        <w:t xml:space="preserve">Marken i planområdet har en generell lutning från söder mot Vasagatans sträckning norrut samt ner mot Kolbäcksån. Planområde utgörs i huvudsak av hårdgjorda ytor och öppna kortklippa grönytor med inslag av buskvegetation och träd såsom stora lönn- och lindträd, med tätt bladverk sommartid som påverkar genomsiktlighet betydligt. Vegetationen längs planområdets kant mot angränsande väg som består av buskvegetation och något enstaka mellanstort träd. Träden bidrar till områdes grönstruktur och visuella uttryck, och har ett värde för mikroklimatet, dagvatten-uppsugningsförmåga samt livsmiljö för fåglar och insekter. </w:t>
      </w:r>
    </w:p>
    <w:p>
      <w:pPr>
        <w:ind w:left="720"/>
        <w:rPr>
          <w:rFonts w:ascii="Calibri" w:hAnsi="Calibri" w:cs="Calibri"/>
          <w:szCs w:val="24"/>
        </w:rPr>
      </w:pPr>
    </w:p>
    <w:p>
      <w:pPr>
        <w:ind w:firstLine="720"/>
        <w:rPr>
          <w:rFonts w:ascii="Calibri" w:hAnsi="Calibri" w:cs="Calibri"/>
          <w:color w:val="3B3939" w:themeColor="background2" w:themeShade="40"/>
          <w:sz w:val="16"/>
          <w:szCs w:val="16"/>
        </w:rPr>
      </w:pPr>
      <w:r>
        <w:rPr>
          <w:rFonts w:ascii="Calibri" w:hAnsi="Calibri" w:cs="Calibri"/>
          <w:noProof w:val="1"/>
        </w:rPr>
        <w:drawing>
          <wp:inline xmlns:wp="http://schemas.openxmlformats.org/drawingml/2006/wordprocessingDrawing" distT="0" distB="0" distL="0" distR="0">
            <wp:extent cx="5147945" cy="4954270"/>
            <wp:effectExtent l="19050" t="19050" r="14605" b="17780"/>
            <wp:docPr id="1172277166" name="Bildobjekt 3" descr="En bild som visar text, karta, diagram,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77166" name="Bildobjekt 3" descr="En bild som visar text, karta, diagram, Plan&#10;&#10;AI-genererat innehåll kan vara felaktigt."/>
                    <pic:cNvPicPr>
                      <a:picLocks noChangeAspect="1" noChangeArrowheads="1"/>
                    </pic:cNvPicPr>
                  </pic:nvPicPr>
                  <pic:blipFill dpi="0">
                    <a:blip xmlns:r="http://schemas.openxmlformats.org/officeDocument/2006/relationships" r:embed="Relimage14" cstate="print"/>
                    <a:srcRect l="3213" t="3477" r="41591" b="21383"/>
                    <a:stretch>
                      <a:fillRect/>
                    </a:stretch>
                  </pic:blipFill>
                  <pic:spPr bwMode="auto">
                    <a:xfrm>
                      <a:off x="0" y="0"/>
                      <a:ext cx="5166236" cy="4971766"/>
                    </a:xfrm>
                    <a:prstGeom prst="rect"/>
                    <a:noFill/>
                    <a:ln w="6350">
                      <a:solidFill>
                        <a:schemeClr val="tx1"/>
                      </a:solidFill>
                    </a:ln>
                  </pic:spPr>
                </pic:pic>
              </a:graphicData>
            </a:graphic>
          </wp:inline>
        </w:drawing>
      </w:r>
    </w:p>
    <w:p>
      <w:pPr>
        <w:ind w:firstLine="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Figur 11: Höjdskillnader. Planområdet lutar ner mot Kolbäcksån i nordöst. Vissa utplattade områden finns.</w:t>
      </w:r>
    </w:p>
    <w:p>
      <w:pPr>
        <w:ind w:left="720"/>
        <w:rPr>
          <w:rFonts w:ascii="Calibri" w:hAnsi="Calibri" w:cs="Calibri"/>
          <w:szCs w:val="24"/>
        </w:rPr>
      </w:pPr>
    </w:p>
    <w:p>
      <w:pPr>
        <w:ind w:firstLine="720"/>
        <w:rPr>
          <w:rFonts w:ascii="Calibri" w:hAnsi="Calibri" w:cs="Calibri"/>
          <w:szCs w:val="24"/>
        </w:rPr>
      </w:pPr>
      <w:r>
        <w:rPr>
          <w:rFonts w:ascii="Calibri" w:hAnsi="Calibri" w:cs="Calibri"/>
          <w:noProof w:val="1"/>
          <w:szCs w:val="24"/>
        </w:rPr>
        <w:drawing>
          <wp:inline xmlns:wp="http://schemas.openxmlformats.org/drawingml/2006/wordprocessingDrawing" distT="0" distB="0" distL="0" distR="0">
            <wp:extent cx="2241550" cy="2102485"/>
            <wp:effectExtent l="19050" t="19050" r="25400" b="12065"/>
            <wp:docPr id="18303053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05328" name="Picture 20"/>
                    <pic:cNvPicPr/>
                  </pic:nvPicPr>
                  <pic:blipFill dpi="0">
                    <a:blip xmlns:r="http://schemas.openxmlformats.org/officeDocument/2006/relationships" r:embed="Relimage15"/>
                    <a:srcRect t="5436" r="9685" b="4141"/>
                    <a:stretch>
                      <a:fillRect/>
                    </a:stretch>
                  </pic:blipFill>
                  <pic:spPr bwMode="auto">
                    <a:xfrm>
                      <a:off x="0" y="0"/>
                      <a:ext cx="2287346" cy="2145685"/>
                    </a:xfrm>
                    <a:prstGeom prst="rect"/>
                    <a:ln w="6350">
                      <a:solidFill>
                        <a:schemeClr val="tx1"/>
                      </a:solidFill>
                    </a:ln>
                  </pic:spPr>
                </pic:pic>
              </a:graphicData>
            </a:graphic>
          </wp:inline>
        </w:drawing>
      </w:r>
      <w:r>
        <w:rPr>
          <w:rFonts w:ascii="Calibri" w:hAnsi="Calibri" w:cs="Calibri"/>
          <w:szCs w:val="24"/>
        </w:rPr>
        <w:t xml:space="preserve">    </w:t>
      </w:r>
      <w:r>
        <w:rPr>
          <w:rFonts w:ascii="Calibri" w:hAnsi="Calibri" w:cs="Calibri"/>
          <w:noProof w:val="1"/>
          <w:szCs w:val="24"/>
        </w:rPr>
        <w:drawing>
          <wp:inline xmlns:wp="http://schemas.openxmlformats.org/drawingml/2006/wordprocessingDrawing" distT="0" distB="0" distL="0" distR="0">
            <wp:extent cx="2712720" cy="2094865"/>
            <wp:effectExtent l="19050" t="19050" r="11430" b="19685"/>
            <wp:docPr id="133461160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dpi="0">
                    <a:blip xmlns:r="http://schemas.openxmlformats.org/officeDocument/2006/relationships" r:embed="Relimage16" cstate="print"/>
                    <a:srcRect/>
                    <a:stretch>
                      <a:fillRect/>
                    </a:stretch>
                  </pic:blipFill>
                  <pic:spPr bwMode="auto">
                    <a:xfrm>
                      <a:off x="0" y="0"/>
                      <a:ext cx="2759173" cy="2131118"/>
                    </a:xfrm>
                    <a:prstGeom prst="rect"/>
                    <a:noFill/>
                    <a:ln w="6350">
                      <a:solidFill>
                        <a:schemeClr val="tx1"/>
                      </a:solidFill>
                    </a:ln>
                  </pic:spPr>
                </pic:pic>
              </a:graphicData>
            </a:graphic>
          </wp:inline>
        </w:drawing>
      </w:r>
    </w:p>
    <w:p>
      <w:pPr>
        <w:ind w:firstLine="720"/>
        <w:rPr>
          <w:rFonts w:ascii="Calibri" w:hAnsi="Calibri" w:cs="Calibri"/>
          <w:szCs w:val="24"/>
        </w:rPr>
      </w:pPr>
      <w:r>
        <w:rPr>
          <w:rFonts w:ascii="Calibri" w:hAnsi="Calibri" w:cs="Calibri"/>
          <w:color w:val="3B3939" w:themeColor="background2" w:themeShade="40"/>
          <w:sz w:val="16"/>
          <w:szCs w:val="16"/>
        </w:rPr>
        <w:t xml:space="preserve"> Figur 12: Krontäckning kring Planområdet.                             Figur 13: En större alm cirka 20 meter hög. Vy mot bron i norr.</w:t>
      </w:r>
    </w:p>
    <w:p>
      <w:pPr>
        <w:rPr>
          <w:rFonts w:ascii="Calibri" w:hAnsi="Calibri" w:cs="Calibri"/>
          <w:noProof w:val="1"/>
          <w:color w:val="3B3939" w:themeColor="background2" w:themeShade="40"/>
          <w:sz w:val="16"/>
          <w:szCs w:val="16"/>
        </w:rPr>
      </w:pPr>
    </w:p>
    <w:p>
      <w:pPr>
        <w:ind w:left="720"/>
        <w:rPr>
          <w:rFonts w:ascii="Calibri" w:hAnsi="Calibri" w:cs="Calibri"/>
          <w:szCs w:val="24"/>
        </w:rPr>
      </w:pPr>
      <w:r>
        <w:rPr>
          <w:rFonts w:ascii="Calibri" w:hAnsi="Calibri" w:cs="Calibri"/>
          <w:szCs w:val="24"/>
        </w:rPr>
        <w:t>Vid kommande exploatering ska hänsyn tas till vegetationen i området, där träden har viktiga bevarelsevärden. För att den tilltänkta faskompenseringen ska få plats krävs att några av träden tas ner sydöst om vattenkraftsbyggnaden i planområdet.</w:t>
        <w:br w:type="textWrapping"/>
        <w:br w:type="textWrapping"/>
        <w:t>Den större Almen (figur 13) som befinner sig närmast västerut vid Ovakos norra kontor ska bevaras och ej tas ner med några undantag;</w:t>
      </w:r>
    </w:p>
    <w:p>
      <w:pPr>
        <w:pStyle w:val="P31"/>
        <w:numPr>
          <w:ilvl w:val="0"/>
          <w:numId w:val="12"/>
        </w:numPr>
        <w:rPr>
          <w:rFonts w:ascii="Calibri" w:hAnsi="Calibri" w:cs="Calibri"/>
          <w:szCs w:val="24"/>
        </w:rPr>
      </w:pPr>
      <w:r>
        <w:rPr>
          <w:rFonts w:ascii="Calibri" w:hAnsi="Calibri" w:cs="Calibri"/>
          <w:szCs w:val="24"/>
        </w:rPr>
        <w:t>Om trädet utgör ett hinder för att tilltänkta fordon ska kunna vända väster ut inom planområdet, vid den befintliga lokalgatan som kan komma att breddas.</w:t>
      </w:r>
    </w:p>
    <w:p>
      <w:pPr>
        <w:pStyle w:val="P31"/>
        <w:numPr>
          <w:ilvl w:val="0"/>
          <w:numId w:val="11"/>
        </w:numPr>
        <w:rPr>
          <w:rFonts w:ascii="Calibri" w:hAnsi="Calibri" w:cs="Calibri"/>
          <w:szCs w:val="24"/>
        </w:rPr>
      </w:pPr>
      <w:r>
        <w:rPr>
          <w:rFonts w:ascii="Calibri" w:hAnsi="Calibri" w:cs="Calibri"/>
          <w:szCs w:val="24"/>
        </w:rPr>
        <w:t xml:space="preserve">Om trädet utgör hinder för uppförande av tilltänkt bebyggelse på grund av dess närhet till byggnaders grundläggning, om bebyggelsen inte kan placeras på ett annat lämpligt ställe inom fastigheten. </w:t>
      </w:r>
    </w:p>
    <w:p>
      <w:pPr>
        <w:pStyle w:val="P31"/>
        <w:numPr>
          <w:ilvl w:val="0"/>
          <w:numId w:val="11"/>
        </w:numPr>
        <w:rPr>
          <w:rFonts w:ascii="Calibri" w:hAnsi="Calibri" w:cs="Calibri"/>
          <w:szCs w:val="24"/>
        </w:rPr>
      </w:pPr>
      <w:r>
        <w:rPr>
          <w:rFonts w:ascii="Calibri" w:hAnsi="Calibri" w:cs="Calibri"/>
          <w:szCs w:val="24"/>
        </w:rPr>
        <w:t>Om trädet förhindrar att stängslet kan dras fram till något av kontorsbyggnadens hörn och inget alternativ lämplig dragning är möjlig.</w:t>
      </w:r>
    </w:p>
    <w:p>
      <w:pPr>
        <w:ind w:left="720"/>
        <w:rPr>
          <w:rFonts w:ascii="Calibri" w:hAnsi="Calibri" w:cs="Calibri"/>
          <w:szCs w:val="24"/>
        </w:rPr>
      </w:pPr>
      <w:r>
        <w:rPr>
          <w:rFonts w:ascii="Calibri" w:hAnsi="Calibri" w:cs="Calibri"/>
          <w:szCs w:val="24"/>
        </w:rPr>
        <w:t xml:space="preserve">I första hand bör lokalgatan flyttas något närmare kontorsbyggnaden så att svängradien för tilltänkta fordon inte blir för snäv, vilket möjliggör att trädet kan stå kvar. En del av kompensationen för att grönska såsom träd och grönytor försvinner, är att marken närmast Vasagatan med användningen PARK tillkommer och att bebyggelsen ska samspela den parkmiljön längst med Vasagatan. </w:t>
      </w:r>
    </w:p>
    <w:p>
      <w:pPr>
        <w:ind w:firstLine="720"/>
        <w:rPr>
          <w:rFonts w:ascii="Calibri" w:hAnsi="Calibri" w:cs="Calibri"/>
          <w:color w:val="3B3939" w:themeColor="background2" w:themeShade="40"/>
          <w:sz w:val="16"/>
          <w:szCs w:val="16"/>
        </w:rPr>
      </w:pPr>
      <w:bookmarkEnd w:id="110"/>
    </w:p>
    <w:p>
      <w:pPr>
        <w:pStyle w:val="P3"/>
        <w:spacing w:lineRule="auto" w:line="276" w:beforeAutospacing="0" w:afterAutospacing="0"/>
        <w:rPr>
          <w:rFonts w:cs="Calibri"/>
        </w:rPr>
      </w:pPr>
      <w:r>
        <w:rPr>
          <w:rFonts w:cs="Calibri"/>
        </w:rPr>
        <w:t>Grönområde</w:t>
      </w:r>
    </w:p>
    <w:p>
      <w:pPr>
        <w:ind w:left="720"/>
        <w:rPr>
          <w:rFonts w:ascii="Calibri" w:hAnsi="Calibri" w:cs="Calibri"/>
          <w:sz w:val="16"/>
          <w:szCs w:val="16"/>
        </w:rPr>
      </w:pPr>
      <w:bookmarkStart w:id="111" w:name="ko_grönområde01"/>
      <w:r>
        <w:rPr>
          <w:rFonts w:ascii="Calibri" w:hAnsi="Calibri" w:cs="Calibri"/>
        </w:rPr>
        <w:t xml:space="preserve">Grönområden längs med Vasagatan är förhållandevis rikt, och innehar, buskar, träd och stora delar kortklippta gräsmattor som är en viktig del av landskapsbilden vid genomfarten. På västra sidan om Vasagatan löper gång- och cykelvägen mellan riksväg 66, järnvägsstationen och Smedjebackens tätortskärna. Stråket har även kopplingar västerut samt längs Kolbäcksån mot ett större grönt rekreationsområde och lite längre bort finns Söppenmyren, som är ett naturreservat och natura 2000 område.  </w:t>
      </w:r>
      <w:r>
        <w:rPr>
          <w:rFonts w:ascii="Calibri" w:hAnsi="Calibri" w:cs="Calibri"/>
          <w:sz w:val="16"/>
          <w:szCs w:val="16"/>
        </w:rPr>
        <w:t xml:space="preserve">        </w:t>
      </w:r>
    </w:p>
    <w:p>
      <w:pPr>
        <w:ind w:left="720"/>
        <w:rPr>
          <w:rFonts w:ascii="Calibri" w:hAnsi="Calibri" w:cs="Calibri"/>
          <w:sz w:val="16"/>
          <w:szCs w:val="16"/>
        </w:rPr>
      </w:pPr>
    </w:p>
    <w:p>
      <w:pPr>
        <w:ind w:left="720"/>
        <w:rPr>
          <w:rFonts w:ascii="Calibri" w:hAnsi="Calibri" w:cs="Calibri"/>
          <w:sz w:val="16"/>
          <w:szCs w:val="16"/>
        </w:rPr>
      </w:pPr>
      <w:r>
        <w:rPr>
          <w:rFonts w:ascii="Calibri" w:hAnsi="Calibri" w:cs="Calibri"/>
          <w:noProof w:val="1"/>
          <w:sz w:val="16"/>
          <w:szCs w:val="16"/>
        </w:rPr>
        <w:drawing>
          <wp:inline xmlns:wp="http://schemas.openxmlformats.org/drawingml/2006/wordprocessingDrawing" distT="0" distB="0" distL="0" distR="0">
            <wp:extent cx="5200650" cy="2179955"/>
            <wp:effectExtent l="19050" t="19050" r="19050" b="10795"/>
            <wp:docPr id="1675286987" name="Bildobjekt 1" descr="En bild som visar utomhus, moln, himmel, väg&#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6987" name="Bildobjekt 1" descr="En bild som visar utomhus, moln, himmel, väg&#10;&#10;AI-genererat innehåll kan vara felaktigt."/>
                    <pic:cNvPicPr/>
                  </pic:nvPicPr>
                  <pic:blipFill dpi="0">
                    <a:blip xmlns:r="http://schemas.openxmlformats.org/officeDocument/2006/relationships" r:embed="Relimage17"/>
                    <a:srcRect t="3153" b="10198"/>
                    <a:stretch>
                      <a:fillRect/>
                    </a:stretch>
                  </pic:blipFill>
                  <pic:spPr bwMode="auto">
                    <a:xfrm>
                      <a:off x="0" y="0"/>
                      <a:ext cx="5214826" cy="2186083"/>
                    </a:xfrm>
                    <a:prstGeom prst="rect"/>
                    <a:ln w="6350" cmpd="sng" algn="ctr">
                      <a:solidFill>
                        <a:sysClr val="windowText"/>
                      </a:solidFill>
                      <a:prstDash val="solid"/>
                      <a:round/>
                    </a:ln>
                  </pic:spPr>
                </pic:pic>
              </a:graphicData>
            </a:graphic>
          </wp:inline>
        </w:drawing>
      </w:r>
    </w:p>
    <w:p>
      <w:pPr>
        <w:ind w:left="720"/>
        <w:rPr>
          <w:rFonts w:ascii="Calibri" w:hAnsi="Calibri" w:cs="Calibri"/>
          <w:sz w:val="16"/>
          <w:szCs w:val="16"/>
        </w:rPr>
      </w:pPr>
      <w:r>
        <w:rPr>
          <w:rFonts w:ascii="Calibri" w:hAnsi="Calibri" w:cs="Calibri"/>
          <w:sz w:val="16"/>
          <w:szCs w:val="16"/>
        </w:rPr>
        <w:t>Figur 14:</w:t>
        <w:tab/>
        <w:t xml:space="preserve"> Grönytan i planområdet (sensommarbild). Vy från Vasagatan mot öst (planområdets västra sida).</w:t>
        <w:tab/>
        <w:t xml:space="preserve">             </w:t>
      </w:r>
    </w:p>
    <w:p>
      <w:pPr>
        <w:ind w:left="720"/>
        <w:rPr>
          <w:rFonts w:ascii="Calibri" w:hAnsi="Calibri" w:cs="Calibri"/>
          <w:sz w:val="16"/>
          <w:szCs w:val="16"/>
        </w:rPr>
      </w:pPr>
      <w:r>
        <w:rPr>
          <w:rFonts w:ascii="Calibri" w:hAnsi="Calibri" w:cs="Calibri"/>
          <w:sz w:val="16"/>
          <w:szCs w:val="16"/>
        </w:rPr>
        <w:t xml:space="preserve">        </w:t>
      </w:r>
    </w:p>
    <w:p>
      <w:pPr>
        <w:ind w:left="720"/>
        <w:rPr>
          <w:rFonts w:ascii="Calibri" w:hAnsi="Calibri" w:cs="Calibri"/>
          <w:sz w:val="22"/>
        </w:rPr>
      </w:pPr>
      <w:r>
        <w:rPr>
          <w:rFonts w:ascii="Calibri" w:hAnsi="Calibri" w:cs="Calibri"/>
        </w:rPr>
        <w:t>Västra delen av planområdet har en grönyta, där träd och buskar kapslar in en grönt rum. I planens genomförande så kommer de stora (cirka 20 meter) träden i bakgrunden mot planområdets mitt att försvinna samt grönytor att hårdgjöras i och med förtätningen av tekniska anläggningar. Detta kommer samtidigt medföra en större genomsiktlighet mot industriområdets norra sida, speciellt sommartid, då bladverk återfinns på träd och buskar som skapar volym och lummighet. Tilltänkt bebyggelse inom planområdet ska ta hänsyn till landskapsbilden i området, vilket medför högre gestaltningskrav, så att bebyggelse- och naturmiljön samspelar ur landskapsbildsynpunkt. Krav för att bebyggelsen ska samspela med miljön regleras med nyttjandegrad bland annat i material, färger, skala och takvinklar.</w:t>
      </w:r>
    </w:p>
    <w:p>
      <w:pPr>
        <w:ind w:left="720"/>
        <w:rPr>
          <w:rFonts w:ascii="Calibri" w:hAnsi="Calibri" w:cs="Calibri"/>
          <w:szCs w:val="24"/>
        </w:rPr>
      </w:pPr>
      <w:r>
        <w:rPr>
          <w:rFonts w:ascii="Calibri" w:hAnsi="Calibri" w:cs="Calibri"/>
        </w:rPr>
        <w:t xml:space="preserve">Ett grönområde som har användningen PARK regleras i västra delen av planområdet. </w:t>
      </w:r>
      <w:r>
        <w:rPr>
          <w:rFonts w:ascii="Calibri" w:hAnsi="Calibri" w:cs="Calibri"/>
          <w:szCs w:val="24"/>
        </w:rPr>
        <w:t xml:space="preserve">Detta läge är det mest synliga delen av planområdet närmast stråken på Vasagatan. </w:t>
      </w:r>
      <w:r>
        <w:rPr>
          <w:rFonts w:ascii="Calibri" w:hAnsi="Calibri" w:cs="Calibri"/>
        </w:rPr>
        <w:t xml:space="preserve">Grönytan på parkmarken och grönytan för gata möjliggör tillsammans ett grönt samband för nyplantering av blomprakt, växter, buskar och träd som ligger närmast genomfarten. Parkmarken bevarar den biologiska mångfalden och attraktiviteten på platsen, samtidigt som den verkar för ekosystemtjänster såsom dagvattenhantering och mikroklimat. </w:t>
      </w:r>
    </w:p>
    <w:p>
      <w:pPr>
        <w:pStyle w:val="P2"/>
        <w:rPr>
          <w:rFonts w:cs="Calibri"/>
        </w:rPr>
      </w:pPr>
      <w:bookmarkEnd w:id="111"/>
      <w:bookmarkStart w:id="112" w:name="_Toc219101379"/>
      <w:r>
        <w:rPr>
          <w:rFonts w:cs="Calibri"/>
        </w:rPr>
        <w:t>Geotekniska förhållanden</w:t>
      </w:r>
      <w:bookmarkEnd w:id="112"/>
      <w:r>
        <w:rPr>
          <w:rFonts w:cs="Calibri"/>
        </w:rPr>
        <w:t xml:space="preserve"> </w:t>
      </w:r>
    </w:p>
    <w:p>
      <w:pPr>
        <w:ind w:left="576"/>
        <w:rPr>
          <w:rFonts w:ascii="Calibri" w:hAnsi="Calibri" w:cs="Calibri"/>
        </w:rPr>
      </w:pPr>
      <w:bookmarkStart w:id="113" w:name="pf_geotekniskaförhållanden01"/>
      <w:r>
        <w:rPr>
          <w:rFonts w:ascii="Calibri" w:hAnsi="Calibri" w:cs="Calibri"/>
        </w:rPr>
        <w:t xml:space="preserve">Jordartskartan från SGU (Sveriges geologiska undersökning) ger en övergripande bild av de olika jordarternas utbredning i ett område. Ett radonstråk med graderingen </w:t>
      </w:r>
      <w:r>
        <w:rPr>
          <w:rFonts w:ascii="Calibri" w:hAnsi="Calibri" w:cs="Calibri"/>
          <w:i w:val="1"/>
          <w:iCs w:val="1"/>
        </w:rPr>
        <w:t>låg risk</w:t>
      </w:r>
      <w:r>
        <w:rPr>
          <w:rFonts w:ascii="Calibri" w:hAnsi="Calibri" w:cs="Calibri"/>
        </w:rPr>
        <w:t xml:space="preserve"> är identifierat och täcker hela planområdet. </w:t>
      </w:r>
    </w:p>
    <w:p>
      <w:pPr>
        <w:ind w:left="576"/>
        <w:rPr>
          <w:rFonts w:ascii="Calibri" w:hAnsi="Calibri" w:cs="Calibri"/>
        </w:rPr>
      </w:pPr>
      <w:r>
        <w:rPr>
          <w:rFonts w:ascii="Calibri" w:hAnsi="Calibri" w:cs="Calibri"/>
        </w:rPr>
        <w:t xml:space="preserve">Den fördjupade geotekniska undersökningen har studerat förhållande i aktuellt undersökningsområde. Underlaget visar på att markens huvudsakliga beståndsdelar är fyllningsmaterial med inslag av sand och som underlagras av moränjord. Djupare ner i marken vid cirka 20 meters djup återfinns uppskattningsvis berggrund. De överliggande fyllningsmassorna består av mulljord silt, sand och grus som skapar den höga genomsläppligheten. Sten och stenblock förekommer i marken. Grundvatten noterades på mellan 2,5 m – 3 m djup som också varierar mellan olika årstider. </w:t>
      </w:r>
    </w:p>
    <w:p>
      <w:pPr>
        <w:pStyle w:val="P2"/>
        <w:spacing w:lineRule="auto" w:line="360" w:beforeAutospacing="0" w:afterAutospacing="0"/>
        <w:rPr>
          <w:rFonts w:cs="Calibri"/>
        </w:rPr>
      </w:pPr>
      <w:bookmarkEnd w:id="113"/>
      <w:bookmarkStart w:id="114" w:name="_Toc219101380"/>
      <w:r>
        <w:rPr>
          <w:rFonts w:cs="Calibri"/>
        </w:rPr>
        <w:t>Fornlämningar och värdefull kulturhistorisk miljö</w:t>
      </w:r>
      <w:bookmarkEnd w:id="114"/>
    </w:p>
    <w:p>
      <w:pPr>
        <w:ind w:left="576"/>
        <w:rPr>
          <w:rFonts w:ascii="Calibri" w:hAnsi="Calibri" w:cs="Calibri"/>
        </w:rPr>
      </w:pPr>
      <w:bookmarkStart w:id="115" w:name="pf_fornlämningar01"/>
      <w:r>
        <w:rPr>
          <w:rFonts w:ascii="Calibri" w:hAnsi="Calibri" w:cs="Calibri"/>
        </w:rPr>
        <w:t xml:space="preserve">Inga utpekade fornlämningar, byggnadsminnen eller känd kulturhistorisk miljö finns inom eller i direkt anslutning till planområdet </w:t>
      </w:r>
    </w:p>
    <w:p>
      <w:pPr>
        <w:pStyle w:val="P2"/>
        <w:spacing w:lineRule="auto" w:line="276" w:beforeAutospacing="0" w:afterAutospacing="0"/>
        <w:rPr>
          <w:rFonts w:cs="Calibri"/>
        </w:rPr>
      </w:pPr>
      <w:bookmarkEnd w:id="115"/>
      <w:bookmarkStart w:id="116" w:name="_Toc219101381"/>
      <w:r>
        <w:rPr>
          <w:rFonts w:cs="Calibri"/>
        </w:rPr>
        <w:t>Gator och trafik</w:t>
      </w:r>
      <w:bookmarkEnd w:id="116"/>
    </w:p>
    <w:p>
      <w:pPr>
        <w:pStyle w:val="P3"/>
        <w:rPr>
          <w:rFonts w:cs="Calibri"/>
        </w:rPr>
      </w:pPr>
      <w:r>
        <w:rPr>
          <w:rFonts w:cs="Calibri"/>
        </w:rPr>
        <w:t>Gator och trafikmängd</w:t>
      </w:r>
    </w:p>
    <w:p>
      <w:pPr>
        <w:ind w:left="720"/>
        <w:rPr>
          <w:rFonts w:ascii="Calibri" w:hAnsi="Calibri" w:cs="Calibri"/>
        </w:rPr>
      </w:pPr>
      <w:bookmarkStart w:id="117" w:name="pf_lokalgata01"/>
      <w:r>
        <w:rPr>
          <w:rFonts w:ascii="Calibri" w:hAnsi="Calibri" w:cs="Calibri"/>
        </w:rPr>
        <w:t xml:space="preserve">Nuvarande genomfart Vasagatan som gränsar till väster om planområdet löper från riksväg 66 och vidare kring centrum, kommer inte påverkas ur trafiksynpunkt. Lokalgatan som används idag förbi parkeringen på Ovakos område kommer fortfarande att brukas men kommer att bli begränsade av en Stängsel och grind. </w:t>
        <w:br w:type="textWrapping"/>
        <w:t>Mer hårdgjorda ytor kommer uppstå för trafik och parkering på ytor som idag är grönytor, men är förhållandevis små sett till areal. Ingen direkt skillnad i trafikmängd kommer att uppstå. Vid planförslagets genomförande så möjliggörs en tilltänkt vändplats västerut, så att större fordon inte behöver vända österut i planområdet.</w:t>
      </w:r>
    </w:p>
    <w:p>
      <w:pPr>
        <w:ind w:left="720"/>
        <w:rPr>
          <w:rFonts w:ascii="Calibri" w:hAnsi="Calibri" w:cs="Calibri"/>
        </w:rPr>
      </w:pPr>
      <w:bookmarkEnd w:id="117"/>
      <w:bookmarkStart w:id="118" w:name="pf_gångochcykeltrafik01"/>
      <w:r>
        <w:rPr>
          <w:rFonts w:ascii="Calibri" w:hAnsi="Calibri" w:cs="Calibri"/>
        </w:rPr>
        <w:t>Det finns befintliga separerade gång- och cykelvägar längst med Vasagatan, en gångtunnel under genomfarten mellan Ovako och gång- och cykelvägen, samt en gångväg och rekreationsstråk längst norra sidan av Kolbäcksån, som inte kommer påverkas av planförslaget.</w:t>
      </w:r>
      <w:bookmarkEnd w:id="118"/>
      <w:r>
        <w:rPr>
          <w:rFonts w:ascii="Calibri" w:hAnsi="Calibri" w:cs="Calibri"/>
        </w:rPr>
        <w:t xml:space="preserve"> </w:t>
      </w:r>
      <w:bookmarkStart w:id="119" w:name="pf_lokalgata02"/>
      <w:r>
        <w:rPr>
          <w:rFonts w:ascii="Calibri" w:hAnsi="Calibri" w:cs="Calibri"/>
        </w:rPr>
        <w:t>Parkering ska hanteras inom respektive fastighet och posthantering kommer inte att påverkas. Ett servitut kommer att behövas för Smedjebacken Energi AB på lokalgatan för att kunna föra fram fordon från angöringen till Vasagatan i söder.</w:t>
      </w:r>
    </w:p>
    <w:p>
      <w:pPr>
        <w:ind w:left="720"/>
        <w:rPr>
          <w:rFonts w:ascii="Calibri" w:hAnsi="Calibri" w:cs="Calibri"/>
        </w:rPr>
      </w:pPr>
      <w:r>
        <w:rPr>
          <w:rFonts w:ascii="Calibri" w:hAnsi="Calibri" w:cs="Calibri"/>
        </w:rPr>
        <w:t>Utfartsförbud finns i västra delarna mot allmänplats för att förhindra utfart till Vasagatan, där den samlade utfart söderut ska användas. Utfartsförbudet förhindrar även att fler hårdgjorda ytor uppstår samt bibehåller den gröna passagen längs med Vasagatans riktning.</w:t>
      </w:r>
    </w:p>
    <w:p>
      <w:pPr>
        <w:ind w:left="720"/>
        <w:rPr>
          <w:rFonts w:ascii="Calibri" w:hAnsi="Calibri" w:cs="Calibri"/>
        </w:rPr>
      </w:pPr>
      <w:bookmarkEnd w:id="119"/>
    </w:p>
    <w:p>
      <w:pPr>
        <w:ind w:left="720"/>
        <w:rPr>
          <w:rFonts w:ascii="Calibri" w:hAnsi="Calibri" w:cs="Calibri"/>
          <w:sz w:val="16"/>
          <w:szCs w:val="16"/>
        </w:rPr>
      </w:pPr>
      <w:r>
        <w:rPr>
          <w:rFonts w:ascii="Calibri" w:hAnsi="Calibri" w:cs="Calibri"/>
          <w:noProof w:val="1"/>
        </w:rPr>
        <w:drawing>
          <wp:inline xmlns:wp="http://schemas.openxmlformats.org/drawingml/2006/wordprocessingDrawing" distT="0" distB="0" distL="0" distR="0">
            <wp:extent cx="2492375" cy="1524635"/>
            <wp:effectExtent l="19050" t="19050" r="22225" b="18415"/>
            <wp:docPr id="1521899003"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xmlns:r="http://schemas.openxmlformats.org/officeDocument/2006/relationships" r:embed="Relimage18" cstate="print"/>
                    <a:srcRect l="3315" r="4662"/>
                    <a:stretch>
                      <a:fillRect/>
                    </a:stretch>
                  </pic:blipFill>
                  <pic:spPr bwMode="auto">
                    <a:xfrm>
                      <a:off x="0" y="0"/>
                      <a:ext cx="2540163" cy="1553826"/>
                    </a:xfrm>
                    <a:prstGeom prst="rect"/>
                    <a:noFill/>
                    <a:ln w="6350" cmpd="sng" algn="ctr">
                      <a:solidFill>
                        <a:sysClr val="windowText"/>
                      </a:solidFill>
                      <a:prstDash val="solid"/>
                      <a:round/>
                    </a:ln>
                  </pic:spPr>
                </pic:pic>
              </a:graphicData>
            </a:graphic>
          </wp:inline>
        </w:drawing>
      </w:r>
      <w:r>
        <w:rPr>
          <w:rFonts w:ascii="Calibri" w:hAnsi="Calibri" w:cs="Calibri"/>
          <w:sz w:val="16"/>
          <w:szCs w:val="16"/>
        </w:rPr>
        <w:t xml:space="preserve">     </w:t>
      </w:r>
      <w:r>
        <w:rPr>
          <w:rFonts w:ascii="Calibri" w:hAnsi="Calibri" w:cs="Calibri"/>
          <w:noProof w:val="1"/>
          <w:sz w:val="16"/>
          <w:szCs w:val="16"/>
        </w:rPr>
        <w:drawing>
          <wp:inline xmlns:wp="http://schemas.openxmlformats.org/drawingml/2006/wordprocessingDrawing" distT="0" distB="0" distL="0" distR="0">
            <wp:extent cx="2548890" cy="1528445"/>
            <wp:effectExtent l="19050" t="19050" r="22860" b="14605"/>
            <wp:docPr id="1016722999" name="Bildobjekt 1" descr="En bild som visar utomhus, träd, himmel, vä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22999" name="Bildobjekt 1" descr="En bild som visar utomhus, träd, himmel, växt&#10;&#10;AI-genererat innehåll kan vara felaktigt."/>
                    <pic:cNvPicPr/>
                  </pic:nvPicPr>
                  <pic:blipFill dpi="0">
                    <a:blip xmlns:r="http://schemas.openxmlformats.org/officeDocument/2006/relationships" r:embed="Relimage19"/>
                    <a:srcRect l="5751" t="794"/>
                    <a:stretch>
                      <a:fillRect/>
                    </a:stretch>
                  </pic:blipFill>
                  <pic:spPr bwMode="auto">
                    <a:xfrm>
                      <a:off x="0" y="0"/>
                      <a:ext cx="2575134" cy="1544423"/>
                    </a:xfrm>
                    <a:prstGeom prst="rect"/>
                    <a:ln w="6350" cmpd="sng" algn="ctr">
                      <a:solidFill>
                        <a:sysClr val="windowText"/>
                      </a:solidFill>
                      <a:prstDash val="solid"/>
                      <a:round/>
                    </a:ln>
                  </pic:spPr>
                </pic:pic>
              </a:graphicData>
            </a:graphic>
          </wp:inline>
        </w:drawing>
      </w:r>
      <w:r>
        <w:rPr>
          <w:noProof w:val="1"/>
        </w:rPr>
        <w:t xml:space="preserve"> </w:t>
      </w:r>
    </w:p>
    <w:p>
      <w:pPr>
        <w:ind w:left="720"/>
        <w:rPr>
          <w:rFonts w:ascii="Calibri" w:hAnsi="Calibri" w:cs="Calibri"/>
          <w:color w:val="3B3939" w:themeColor="background2" w:themeShade="40"/>
          <w:sz w:val="16"/>
          <w:szCs w:val="16"/>
        </w:rPr>
      </w:pPr>
      <w:r>
        <w:rPr>
          <w:rFonts w:ascii="Calibri" w:hAnsi="Calibri" w:cs="Calibri"/>
          <w:sz w:val="16"/>
          <w:szCs w:val="16"/>
        </w:rPr>
        <w:t>Figur 15: Genomfartsvägen Vasagatan.</w:t>
        <w:tab/>
        <w:t xml:space="preserve">                                 Figur 16: Den nya tilltänkta v</w:t>
      </w:r>
      <w:r>
        <w:rPr>
          <w:rFonts w:ascii="Calibri" w:hAnsi="Calibri" w:cs="Calibri"/>
          <w:color w:val="3B3939" w:themeColor="background2" w:themeShade="40"/>
          <w:sz w:val="16"/>
          <w:szCs w:val="16"/>
        </w:rPr>
        <w:t>ändplatsen.</w:t>
      </w:r>
    </w:p>
    <w:p>
      <w:pPr>
        <w:ind w:left="720"/>
        <w:rPr>
          <w:rFonts w:ascii="Calibri" w:hAnsi="Calibri" w:cs="Calibri"/>
        </w:rPr>
      </w:pPr>
    </w:p>
    <w:p>
      <w:pPr>
        <w:pStyle w:val="P3"/>
        <w:rPr>
          <w:rFonts w:cs="Calibri"/>
        </w:rPr>
      </w:pPr>
      <w:r>
        <w:rPr>
          <w:rFonts w:cs="Calibri"/>
        </w:rPr>
        <w:t>Kollektivtrafik</w:t>
      </w:r>
    </w:p>
    <w:p>
      <w:pPr>
        <w:ind w:left="720"/>
        <w:rPr>
          <w:rFonts w:ascii="Calibri" w:hAnsi="Calibri" w:cs="Calibri"/>
        </w:rPr>
      </w:pPr>
      <w:bookmarkStart w:id="120" w:name="pf_kollektivtrafik01"/>
      <w:r>
        <w:rPr>
          <w:rFonts w:ascii="Calibri" w:hAnsi="Calibri" w:cs="Calibri"/>
        </w:rPr>
        <w:t>Busshållplatser och målpunkter för kollektivtrafik ligger cirka 130 meter från planområdet och ansluts idag via tunneln till gång- och cykelvägen under Vasagatan.</w:t>
        <w:br w:type="textWrapping"/>
        <w:t>Planområdet ligger cirka 300 meter från järnväg- och busstation.</w:t>
      </w:r>
    </w:p>
    <w:p>
      <w:pPr>
        <w:pStyle w:val="P3"/>
        <w:rPr>
          <w:rFonts w:cs="Calibri"/>
        </w:rPr>
      </w:pPr>
      <w:bookmarkEnd w:id="120"/>
      <w:r>
        <w:rPr>
          <w:rFonts w:cs="Calibri"/>
        </w:rPr>
        <w:t xml:space="preserve">Tillgänglighet </w:t>
      </w:r>
    </w:p>
    <w:p>
      <w:pPr>
        <w:ind w:left="720"/>
        <w:rPr>
          <w:rFonts w:ascii="Calibri" w:hAnsi="Calibri" w:cs="Calibri"/>
        </w:rPr>
      </w:pPr>
      <w:bookmarkStart w:id="121" w:name="pf_tillgänglighet01"/>
      <w:r>
        <w:rPr>
          <w:rFonts w:ascii="Calibri" w:hAnsi="Calibri" w:cs="Calibri"/>
        </w:rPr>
        <w:t>Planområdets grönytor som idag ligger på Industrimark samt gatumark är inte tillgängliga för allmänheten, främst på grund av gatan som barriär men också därför att inga stråk för gång- och cykel är utbyggda på östra sidan om Vasagatan. Förändringarna som sker i den nya planen kommer inte tillgängliggöra marken mer för allmänheten, eftersom västra sidan av Vasagatan kommer fortsatt att vara rörelsestråket. Parkmarken i planen kommer fungera som en landskapsbilds-vy, som är en del av trafikanters upplevelse och siktlinjer.</w:t>
      </w:r>
    </w:p>
    <w:p>
      <w:pPr>
        <w:pStyle w:val="P2"/>
        <w:rPr>
          <w:rFonts w:cs="Calibri"/>
        </w:rPr>
      </w:pPr>
      <w:bookmarkEnd w:id="121"/>
      <w:bookmarkStart w:id="122" w:name="_Toc219101382"/>
      <w:r>
        <w:rPr>
          <w:rFonts w:cs="Calibri"/>
        </w:rPr>
        <w:t>Sociala</w:t>
      </w:r>
      <w:bookmarkEnd w:id="122"/>
      <w:r>
        <w:rPr>
          <w:rFonts w:cs="Calibri"/>
        </w:rPr>
        <w:t xml:space="preserve"> </w:t>
      </w:r>
    </w:p>
    <w:p>
      <w:pPr>
        <w:pStyle w:val="P3"/>
        <w:spacing w:lineRule="auto" w:line="276" w:beforeAutospacing="0" w:afterAutospacing="0"/>
        <w:rPr>
          <w:rFonts w:cs="Calibri"/>
        </w:rPr>
      </w:pPr>
      <w:r>
        <w:rPr>
          <w:rFonts w:cs="Calibri"/>
        </w:rPr>
        <w:t>Barn, trygghet och jämlikhet</w:t>
      </w:r>
    </w:p>
    <w:p>
      <w:pPr>
        <w:spacing w:lineRule="auto" w:line="276" w:beforeAutospacing="0" w:afterAutospacing="0"/>
        <w:ind w:left="720"/>
        <w:rPr>
          <w:rFonts w:ascii="Calibri" w:hAnsi="Calibri" w:cs="Calibri"/>
          <w:i w:val="1"/>
          <w:iCs w:val="1"/>
        </w:rPr>
      </w:pPr>
      <w:bookmarkStart w:id="123" w:name="_Hlk198273945"/>
      <w:bookmarkStart w:id="124" w:name="ko_barn01"/>
      <w:r>
        <w:rPr>
          <w:rFonts w:ascii="Calibri" w:hAnsi="Calibri" w:cs="Calibri"/>
        </w:rPr>
        <w:t xml:space="preserve">FN:s konvention om barnets rättigheter är sedan 1 januari 2020 en del av svensk lagstiftning. Det innebär förtydligande av att barnets rättigheter ska beaktas vid avvägningar och bedömningar. Barnet får inte diskrimineras på någon grund. Barnets bästa ska beaktas vid alla åtgärder som rör barns liv, utveckling samt att barnet ska ha möjlighet att berätta sin mening och få den respekterad. Smedjebackens kommun har en checklista som ett underlag i planprocessen för bedömning av hur barn berörs av planförslaget. Resultaten av checklistan redovisas nedan, för mer information se bilagan; </w:t>
      </w:r>
      <w:r>
        <w:rPr>
          <w:rFonts w:ascii="Calibri" w:hAnsi="Calibri" w:cs="Calibri"/>
          <w:i w:val="1"/>
          <w:iCs w:val="1"/>
        </w:rPr>
        <w:t xml:space="preserve">Barnchecklista. </w:t>
      </w:r>
    </w:p>
    <w:p>
      <w:pPr>
        <w:spacing w:lineRule="auto" w:line="276" w:beforeAutospacing="0" w:afterAutospacing="0"/>
        <w:ind w:left="720"/>
        <w:rPr>
          <w:rFonts w:ascii="Calibri" w:hAnsi="Calibri" w:cs="Calibri"/>
        </w:rPr>
      </w:pPr>
      <w:r>
        <w:rPr>
          <w:rFonts w:ascii="Calibri" w:hAnsi="Calibri" w:cs="Calibri"/>
        </w:rPr>
        <w:t xml:space="preserve">Barngrupper som skulle kunna beröras av en detaljplan är; </w:t>
      </w:r>
    </w:p>
    <w:p>
      <w:pPr>
        <w:pStyle w:val="P31"/>
        <w:numPr>
          <w:ilvl w:val="0"/>
          <w:numId w:val="4"/>
        </w:numPr>
        <w:spacing w:lineRule="auto" w:line="276" w:beforeAutospacing="0" w:afterAutospacing="0"/>
        <w:ind w:left="1440"/>
        <w:rPr>
          <w:rFonts w:ascii="Calibri" w:hAnsi="Calibri" w:cs="Calibri"/>
        </w:rPr>
      </w:pPr>
      <w:r>
        <w:rPr>
          <w:rFonts w:ascii="Calibri" w:hAnsi="Calibri" w:cs="Calibri"/>
        </w:rPr>
        <w:t xml:space="preserve">Barn som bor i närområdet </w:t>
      </w:r>
    </w:p>
    <w:p>
      <w:pPr>
        <w:pStyle w:val="P31"/>
        <w:numPr>
          <w:ilvl w:val="0"/>
          <w:numId w:val="4"/>
        </w:numPr>
        <w:spacing w:lineRule="auto" w:line="276" w:beforeAutospacing="0" w:afterAutospacing="0"/>
        <w:ind w:left="1440"/>
        <w:rPr>
          <w:rFonts w:ascii="Calibri" w:hAnsi="Calibri" w:cs="Calibri"/>
        </w:rPr>
      </w:pPr>
      <w:r>
        <w:rPr>
          <w:rFonts w:ascii="Calibri" w:hAnsi="Calibri" w:cs="Calibri"/>
        </w:rPr>
        <w:t xml:space="preserve">Barn som flyttar till närområdet </w:t>
      </w:r>
    </w:p>
    <w:p>
      <w:pPr>
        <w:pStyle w:val="P31"/>
        <w:numPr>
          <w:ilvl w:val="0"/>
          <w:numId w:val="4"/>
        </w:numPr>
        <w:spacing w:lineRule="auto" w:line="276" w:beforeAutospacing="0" w:afterAutospacing="0"/>
        <w:ind w:left="1440"/>
        <w:rPr>
          <w:rFonts w:ascii="Calibri" w:hAnsi="Calibri" w:cs="Calibri"/>
        </w:rPr>
      </w:pPr>
      <w:r>
        <w:rPr>
          <w:rFonts w:ascii="Calibri" w:hAnsi="Calibri" w:cs="Calibri"/>
        </w:rPr>
        <w:t>Barn som vistas i området</w:t>
      </w:r>
    </w:p>
    <w:p>
      <w:pPr>
        <w:spacing w:lineRule="auto" w:line="276" w:beforeAutospacing="0" w:afterAutospacing="0"/>
        <w:ind w:left="720"/>
        <w:rPr>
          <w:rFonts w:ascii="Calibri" w:hAnsi="Calibri" w:cs="Calibri"/>
        </w:rPr>
      </w:pPr>
      <w:bookmarkEnd w:id="123"/>
      <w:r>
        <w:rPr>
          <w:rFonts w:ascii="Calibri" w:hAnsi="Calibri" w:cs="Calibri"/>
        </w:rPr>
        <w:t>Eftersom planområdet antigen ligger på privat mark eller otillgänglig mark som inte har tillgänglig plats för vistelse, samt är generell otrygg på grund av den snabba trafikgenomströmningen, så bedöms tillgängligheten till service och aktiviteter för barn förbli oförändrad med förändringarna i planförslaget.</w:t>
        <w:br w:type="textWrapping"/>
        <w:t>Marken används inte av barn, däremot påverkas landskapsbilden av barn precis som för vuxna, vilket ställer krav på utformning i detaljplanen genom bland annat planbestämmelser. En separat barnkonsekvensanalys bedöms inte behöva upprättas i planförslaget.</w:t>
      </w:r>
      <w:bookmarkEnd w:id="124"/>
      <w:r>
        <w:rPr>
          <w:rFonts w:ascii="Calibri" w:hAnsi="Calibri" w:cs="Calibri"/>
        </w:rPr>
        <w:t xml:space="preserve"> </w:t>
      </w:r>
    </w:p>
    <w:p>
      <w:pPr>
        <w:spacing w:lineRule="auto" w:line="276" w:beforeAutospacing="0" w:afterAutospacing="0"/>
        <w:ind w:left="720"/>
        <w:rPr>
          <w:rFonts w:ascii="Calibri" w:hAnsi="Calibri" w:cs="Calibri"/>
        </w:rPr>
      </w:pPr>
      <w:bookmarkStart w:id="125" w:name="ko_jämlikhet01"/>
      <w:r>
        <w:rPr>
          <w:rFonts w:ascii="Calibri" w:hAnsi="Calibri" w:cs="Calibri"/>
        </w:rPr>
        <w:t>Eftersom planområdet ligger centralt och har goda transportmöjligheter, genom kollektivt, gång- och cykel samt rullstolsburna, så gynnas jämlikhetsperspektivet i ett arbetsplatsperspektiv. Detta är viktigt då alla människor oavsett kön, etnicitet och funktionshinder ska känna sig trygga och ha tillgänglighet till platser dit människor behöver ta sig.</w:t>
      </w:r>
    </w:p>
    <w:p>
      <w:pPr>
        <w:pStyle w:val="P2"/>
        <w:rPr>
          <w:rFonts w:cs="Calibri"/>
        </w:rPr>
      </w:pPr>
      <w:bookmarkEnd w:id="125"/>
      <w:bookmarkStart w:id="126" w:name="_Toc219101383"/>
      <w:bookmarkStart w:id="127" w:name="_Hlk161318678"/>
      <w:r>
        <w:rPr>
          <w:rFonts w:cs="Calibri"/>
        </w:rPr>
        <w:t>Teknisk försörjning</w:t>
      </w:r>
      <w:bookmarkEnd w:id="126"/>
    </w:p>
    <w:p>
      <w:pPr>
        <w:pStyle w:val="P3"/>
        <w:spacing w:lineRule="auto" w:line="360" w:beforeAutospacing="0" w:afterAutospacing="0"/>
        <w:rPr>
          <w:rFonts w:cs="Calibri"/>
        </w:rPr>
      </w:pPr>
      <w:r>
        <w:rPr>
          <w:rFonts w:cs="Calibri"/>
        </w:rPr>
        <w:t>Vatten och avlopp</w:t>
      </w:r>
    </w:p>
    <w:p>
      <w:pPr>
        <w:ind w:left="720"/>
        <w:rPr>
          <w:rFonts w:ascii="Calibri" w:hAnsi="Calibri" w:cs="Calibri"/>
        </w:rPr>
      </w:pPr>
      <w:bookmarkStart w:id="128" w:name="pf_vattenochavlopp01"/>
      <w:r>
        <w:rPr>
          <w:rFonts w:ascii="Calibri" w:hAnsi="Calibri" w:cs="Calibri"/>
        </w:rPr>
        <w:t>Planområdet ligger inom verksamhetsområde för vatten och avlopp.</w:t>
      </w:r>
    </w:p>
    <w:p>
      <w:pPr>
        <w:pStyle w:val="P3"/>
        <w:spacing w:lineRule="auto" w:line="276" w:beforeAutospacing="0" w:afterAutospacing="0"/>
        <w:rPr>
          <w:rFonts w:cs="Calibri"/>
        </w:rPr>
      </w:pPr>
      <w:bookmarkEnd w:id="128"/>
      <w:r>
        <w:rPr>
          <w:rFonts w:cs="Calibri"/>
        </w:rPr>
        <w:t>Dagvatten</w:t>
      </w:r>
    </w:p>
    <w:p>
      <w:pPr>
        <w:ind w:left="720"/>
        <w:rPr>
          <w:rFonts w:ascii="Calibri" w:hAnsi="Calibri" w:cs="Calibri"/>
          <w:szCs w:val="24"/>
        </w:rPr>
      </w:pPr>
      <w:bookmarkStart w:id="129" w:name="pf_dagvatten01"/>
      <w:r>
        <w:rPr>
          <w:rFonts w:ascii="Calibri" w:hAnsi="Calibri" w:cs="Calibri"/>
          <w:szCs w:val="24"/>
        </w:rPr>
        <w:t xml:space="preserve">För att utreda dagvattnets infiltrationsmöjlighet i ett område är markens genomsläpplighet en viktig faktor att beakta. Inom planområdet är genomsläppligheten hög, som består främst av fyllnadsmark men också morän djupare ner. Dessa förutsättningar är gynnsamma för filtrering och uppsugningsförmåga av dagvatten. Dagvatten- och spillvattenledningar finns tillgängliga inom planområdet. Vid planens genomförande så kommer fler grönytor att hårdgöras, träd kommer försvinna samt en markant lutning finns i huvudsakligen mot norr och nordöst, vilket kan leda till större ansamlingar av dagvatten kan uppstå eller en ökad avrinning ner mot Kolbäcksån. </w:t>
      </w:r>
    </w:p>
    <w:p>
      <w:pPr>
        <w:ind w:left="720"/>
        <w:rPr>
          <w:rFonts w:ascii="Calibri" w:hAnsi="Calibri" w:cs="Calibri"/>
          <w:szCs w:val="24"/>
        </w:rPr>
      </w:pPr>
      <w:r>
        <w:rPr>
          <w:rFonts w:ascii="Calibri" w:hAnsi="Calibri" w:cs="Calibri"/>
          <w:szCs w:val="24"/>
        </w:rPr>
        <w:t xml:space="preserve">Fastighetsägaren ansvarar för lokalt omhändertagande av vatten på den egna fastigheten, så att filtrering och fördröjning av den möjliga förhöjda avrinningen mot Kolbäcksån kan renas tillräckligt. Parkmarken som säkerställs västerut blir en del av funktionen för att ta hand om vatten, där planeringar med stor uppsugningsförmåga på sikt såsom träd och växter kan hjälpa till med överblivet vatten. </w:t>
      </w:r>
    </w:p>
    <w:p>
      <w:pPr>
        <w:ind w:left="720"/>
        <w:rPr>
          <w:rFonts w:ascii="Calibri" w:hAnsi="Calibri" w:cs="Calibri"/>
          <w:szCs w:val="24"/>
        </w:rPr>
      </w:pPr>
      <w:r>
        <w:rPr>
          <w:rFonts w:ascii="Calibri" w:hAnsi="Calibri" w:cs="Calibri"/>
          <w:szCs w:val="24"/>
        </w:rPr>
        <w:t>Fastighetsägaren bör så långt som möjligt minimera andelen hårdgjorda ytor vid exploatering, så att områdets gynnsamma genomsläppliga ytor såsom grus och grönytor kan bevaras. Dessa ytor kan hjälpa till med filtrering i grundvattnet för att säkerställa en god dagvattenhantering, så att inte andra kostsamma och resurskrävande dagvattenlösningar behöver upprättas.</w:t>
      </w:r>
    </w:p>
    <w:p>
      <w:pPr>
        <w:ind w:left="720"/>
        <w:rPr>
          <w:rFonts w:ascii="Calibri" w:hAnsi="Calibri" w:cs="Calibri"/>
          <w:szCs w:val="24"/>
        </w:rPr>
      </w:pPr>
      <w:bookmarkEnd w:id="129"/>
      <w:bookmarkStart w:id="130" w:name="ko_dagvatten01"/>
      <w:r>
        <w:rPr>
          <w:rFonts w:ascii="Calibri" w:hAnsi="Calibri" w:cs="Calibri"/>
          <w:szCs w:val="24"/>
        </w:rPr>
        <w:t>En utredning om hur dagvattnet hanteras idag och hur det ska hanteras har tagits fram. Faskompenseringen kommer att anpassas så att dagvattnet likt befintliga förhållanden kommer att leda vattnet mot ytor med hög genomsläpplighet. Den största delen av dagvattnet kommer i första hand löpa från lokalgatan till de genomsläppliga ytorna i öster under och vid den befintliga faskompenseringen samt grusytan till öst, där ett ökat flöde av avrinning kan tillåtas som inte påverkar dess funktion. Mindre andel av dagvatten från den tilltänkta faskompenseringen tak, kommer avvattnats huvudsakligen ner i en planerad genomsläpplig underhållsgång, där breddning finns mot genomsläppliga ytor. Nyttjandegraden, prickmarken samt faskompenseringens begränsade yta den kan placeras på, säkerställer marken lämplighet för dagvattenavrinning enligt underlaget kan följas.</w:t>
      </w:r>
    </w:p>
    <w:p>
      <w:pPr>
        <w:rPr>
          <w:rFonts w:ascii="Calibri" w:hAnsi="Calibri" w:cs="Calibri"/>
          <w:szCs w:val="24"/>
        </w:rPr>
      </w:pPr>
    </w:p>
    <w:p>
      <w:pPr>
        <w:ind w:left="720"/>
        <w:rPr>
          <w:rFonts w:ascii="Calibri" w:hAnsi="Calibri" w:cs="Calibri"/>
          <w:sz w:val="16"/>
          <w:szCs w:val="16"/>
        </w:rPr>
      </w:pPr>
    </w:p>
    <w:p>
      <w:pPr>
        <w:ind w:left="720"/>
        <w:rPr>
          <w:rFonts w:ascii="Calibri" w:hAnsi="Calibri" w:cs="Calibri"/>
          <w:sz w:val="16"/>
          <w:szCs w:val="16"/>
        </w:rPr>
      </w:pPr>
      <w:r>
        <w:rPr>
          <w:rFonts w:ascii="Calibri" w:hAnsi="Calibri" w:cs="Calibri"/>
          <w:noProof w:val="1"/>
          <w:szCs w:val="24"/>
        </w:rPr>
        <w:drawing>
          <wp:anchor xmlns:wp="http://schemas.openxmlformats.org/drawingml/2006/wordprocessingDrawing" distT="0" distB="0" distL="114300" distR="114300" simplePos="0" relativeHeight="3" behindDoc="0" locked="0" layoutInCell="1" allowOverlap="1">
            <wp:simplePos x="0" y="0"/>
            <wp:positionH relativeFrom="margin">
              <wp:align>center</wp:align>
            </wp:positionH>
            <wp:positionV relativeFrom="paragraph">
              <wp:posOffset>13970</wp:posOffset>
            </wp:positionV>
            <wp:extent cx="6593205" cy="6342380"/>
            <wp:effectExtent l="19050" t="19050" r="17145" b="20320"/>
            <wp:wrapNone/>
            <wp:docPr id="20678293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0" cstate="print"/>
                    <a:srcRect l="670" t="1143" r="822" b="845"/>
                    <a:stretch>
                      <a:fillRect/>
                    </a:stretch>
                  </pic:blipFill>
                  <pic:spPr bwMode="auto">
                    <a:xfrm>
                      <a:off x="0" y="0"/>
                      <a:ext cx="6593205" cy="6342380"/>
                    </a:xfrm>
                    <a:prstGeom prst="rect"/>
                    <a:noFill/>
                    <a:ln w="6350" cmpd="sng" algn="ctr">
                      <a:solidFill>
                        <a:sysClr val="windowText"/>
                      </a:solidFill>
                      <a:prstDash val="solid"/>
                      <a:round/>
                    </a:ln>
                  </pic:spPr>
                </pic:pic>
              </a:graphicData>
            </a:graphic>
          </wp:anchor>
        </w:drawing>
      </w: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 w:val="16"/>
          <w:szCs w:val="16"/>
        </w:rPr>
      </w:pPr>
      <w:r>
        <w:rPr>
          <w:rFonts w:ascii="Calibri" w:hAnsi="Calibri" w:cs="Calibri"/>
          <w:noProof w:val="1"/>
          <w:sz w:val="16"/>
          <w:szCs w:val="16"/>
        </w:rPr>
        <w:drawing>
          <wp:anchor xmlns:wp="http://schemas.openxmlformats.org/drawingml/2006/wordprocessingDrawing" distT="0" distB="0" distL="114300" distR="114300" simplePos="0" relativeHeight="4" behindDoc="0" locked="0" layoutInCell="1" allowOverlap="1">
            <wp:simplePos x="0" y="0"/>
            <wp:positionH relativeFrom="column">
              <wp:posOffset>-414655</wp:posOffset>
            </wp:positionH>
            <wp:positionV relativeFrom="paragraph">
              <wp:posOffset>130175</wp:posOffset>
            </wp:positionV>
            <wp:extent cx="5760720" cy="259080"/>
            <wp:effectExtent l="0" t="0" r="0" b="7620"/>
            <wp:wrapNone/>
            <wp:docPr id="202675667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56679" name="Picture 21"/>
                    <pic:cNvPicPr/>
                  </pic:nvPicPr>
                  <pic:blipFill dpi="0">
                    <a:blip xmlns:r="http://schemas.openxmlformats.org/officeDocument/2006/relationships" r:embed="Relimage21"/>
                    <a:srcRect/>
                    <a:stretch>
                      <a:fillRect/>
                    </a:stretch>
                  </pic:blipFill>
                  <pic:spPr>
                    <a:xfrm>
                      <a:off x="0" y="0"/>
                      <a:ext cx="5760720" cy="259080"/>
                    </a:xfrm>
                    <a:prstGeom prst="rect"/>
                  </pic:spPr>
                </pic:pic>
              </a:graphicData>
            </a:graphic>
          </wp:anchor>
        </w:drawing>
      </w:r>
    </w:p>
    <w:p>
      <w:pPr>
        <w:ind w:left="720"/>
        <w:rPr>
          <w:rFonts w:ascii="Calibri" w:hAnsi="Calibri" w:cs="Calibri"/>
          <w:sz w:val="16"/>
          <w:szCs w:val="16"/>
        </w:rPr>
      </w:pPr>
    </w:p>
    <w:p>
      <w:pPr>
        <w:ind w:left="720"/>
        <w:rPr>
          <w:rFonts w:ascii="Calibri" w:hAnsi="Calibri" w:cs="Calibri"/>
          <w:sz w:val="16"/>
          <w:szCs w:val="16"/>
        </w:rPr>
      </w:pPr>
    </w:p>
    <w:p>
      <w:pPr>
        <w:ind w:left="720"/>
        <w:rPr>
          <w:rFonts w:ascii="Calibri" w:hAnsi="Calibri" w:cs="Calibri"/>
          <w:szCs w:val="24"/>
        </w:rPr>
      </w:pPr>
      <w:r>
        <w:rPr>
          <w:rFonts w:ascii="Calibri" w:hAnsi="Calibri" w:cs="Calibri"/>
          <w:szCs w:val="24"/>
        </w:rPr>
        <w:t xml:space="preserve">Den västra delen av planområdet kan komma att behöva fördröjningsmagasin, infiltrationsmagasin, damm eller liknande anläggningar, som fördröjer och renar vattnet innan det löper ut mot Kolbäcksån via dagvattenledning. Beroende på hur bebyggelsen utformas, hur omfattande den är och var den placeras, så bör om möjligt i första hand grönområden i söder och i väst användas i ett avrinningsperspektiv, innan det leds till dagvattenbrunnen i norr. Det är dock inte lämpligt att ange planbestämmelser om exakt lokalisering dagvattenanläggningar, då bebyggelsen i västra delen av området kan komma att utformas olikartad samt om tekniska infiltration- och fördröjningsanläggningar upprättas, innan det når de primära genomsläppliga ytorna vid Kolbäcksån, så är det tillräckligt enligt underlaget om dagvattenhanteringen. Vid ny exploatering i västra delen av planområdet så ska dagvattenhanteringen förbättras genom filtrering samt fördröjning så inte ett ökat flöde norrut mot befintlig brunn sker. Vattnet ska vid utloppet av dagvattenledningen i första hand infiltreras till befintlig fyllning med lång avrinningsväg på genomsläppliga ytor ner mot Kolbäcksån. Utredningen visar på att det framtida dagvattenhanteringen inte kommer avledas direkt till Kolbäcksån. </w:t>
      </w:r>
      <w:r>
        <w:rPr>
          <w:rFonts w:ascii="Calibri" w:hAnsi="Calibri" w:cs="Calibri"/>
        </w:rPr>
        <w:t xml:space="preserve">För fördjupad information se; </w:t>
      </w:r>
      <w:r>
        <w:rPr>
          <w:rFonts w:ascii="Calibri" w:hAnsi="Calibri" w:cs="Calibri"/>
          <w:i w:val="1"/>
          <w:iCs w:val="1"/>
        </w:rPr>
        <w:t>PM Dagvattenhantering.</w:t>
      </w:r>
    </w:p>
    <w:p>
      <w:pPr>
        <w:pStyle w:val="P3"/>
        <w:rPr>
          <w:rFonts w:cs="Calibri"/>
        </w:rPr>
      </w:pPr>
      <w:bookmarkEnd w:id="130"/>
      <w:r>
        <w:rPr>
          <w:rFonts w:cs="Calibri"/>
        </w:rPr>
        <w:t>Energi</w:t>
      </w:r>
    </w:p>
    <w:p>
      <w:pPr>
        <w:ind w:left="720"/>
        <w:rPr>
          <w:rFonts w:ascii="Calibri" w:hAnsi="Calibri" w:cs="Calibri"/>
        </w:rPr>
      </w:pPr>
      <w:bookmarkStart w:id="131" w:name="_Hlk198278581"/>
      <w:bookmarkStart w:id="132" w:name="_Hlk163115332"/>
      <w:bookmarkStart w:id="133" w:name="pf_eltelevärmeochbredband01"/>
      <w:r>
        <w:rPr>
          <w:rFonts w:ascii="Calibri" w:hAnsi="Calibri" w:cs="Calibri"/>
        </w:rPr>
        <w:t xml:space="preserve">El-ledningarna ägs och drivs av Smedjebackens Energi AB. </w:t>
      </w:r>
      <w:bookmarkEnd w:id="131"/>
      <w:r>
        <w:rPr>
          <w:rFonts w:ascii="Calibri" w:hAnsi="Calibri" w:cs="Calibri"/>
        </w:rPr>
        <w:t>Infrastruktur för el finns i norra delen av planområdet.</w:t>
      </w:r>
    </w:p>
    <w:p>
      <w:pPr>
        <w:pStyle w:val="P3"/>
        <w:rPr>
          <w:rFonts w:cs="Calibri"/>
        </w:rPr>
      </w:pPr>
      <w:bookmarkEnd w:id="132"/>
      <w:bookmarkEnd w:id="133"/>
      <w:r>
        <w:rPr>
          <w:rFonts w:cs="Calibri"/>
        </w:rPr>
        <w:t>Stadsnät och fjärrvärme</w:t>
      </w:r>
    </w:p>
    <w:p>
      <w:pPr>
        <w:ind w:left="720"/>
        <w:rPr>
          <w:rFonts w:ascii="Calibri" w:hAnsi="Calibri" w:cs="Calibri"/>
        </w:rPr>
      </w:pPr>
      <w:bookmarkStart w:id="134" w:name="_Hlk198279043"/>
      <w:bookmarkStart w:id="135" w:name="pf_eltelevärmeochbredband02"/>
      <w:r>
        <w:rPr>
          <w:rFonts w:ascii="Calibri" w:hAnsi="Calibri" w:cs="Calibri"/>
        </w:rPr>
        <w:t xml:space="preserve">Stadsnät och telekommunikationsledningar finns inom planområdet från Smedjebacken Energi AB och Skanova. </w:t>
      </w:r>
      <w:bookmarkEnd w:id="134"/>
      <w:r>
        <w:rPr>
          <w:rFonts w:ascii="Calibri" w:hAnsi="Calibri" w:cs="Calibri"/>
        </w:rPr>
        <w:t>Vid planområdes genomförande så kan det finnas behov av anslutning med ny infrastruktur till nya tekniska anläggningar, där redan befintlig infrastruktur återfinns i närheten. Fjärrvärme finns i kringliggande område intill planområdet.</w:t>
      </w:r>
    </w:p>
    <w:p>
      <w:pPr>
        <w:pStyle w:val="P3"/>
        <w:rPr>
          <w:rFonts w:cs="Calibri"/>
        </w:rPr>
      </w:pPr>
      <w:bookmarkEnd w:id="135"/>
      <w:r>
        <w:rPr>
          <w:rFonts w:cs="Calibri"/>
        </w:rPr>
        <w:t>Återvinning och avfallshantering</w:t>
      </w:r>
      <w:bookmarkStart w:id="136" w:name="pf_avfall01"/>
    </w:p>
    <w:p>
      <w:pPr>
        <w:ind w:left="720"/>
        <w:rPr>
          <w:rFonts w:ascii="Calibri" w:hAnsi="Calibri" w:cs="Calibri"/>
          <w:b w:val="1"/>
          <w:bCs w:val="1"/>
        </w:rPr>
      </w:pPr>
      <w:bookmarkStart w:id="137" w:name="_Hlk198279135"/>
      <w:r>
        <w:rPr>
          <w:rFonts w:ascii="Calibri" w:hAnsi="Calibri" w:cs="Calibri"/>
        </w:rPr>
        <w:t xml:space="preserve">Avfallshantering är en del av samhällets tekniska försörjningsystem av både miljö- och hälsoskäl. Föreskrifter om avfallshantering för Smedjebackens kommun samt avfallsplanen </w:t>
      </w:r>
      <w:r>
        <w:rPr>
          <w:rFonts w:ascii="Calibri" w:hAnsi="Calibri" w:cs="Calibri"/>
          <w:i w:val="1"/>
          <w:iCs w:val="1"/>
        </w:rPr>
        <w:t xml:space="preserve">Kretsloppsplan 2024–2030 Förebygga och hantera avfall i Ludvika kommun och Smedjebackens kommun </w:t>
      </w:r>
      <w:r>
        <w:rPr>
          <w:rFonts w:ascii="Calibri" w:hAnsi="Calibri" w:cs="Calibri"/>
        </w:rPr>
        <w:t xml:space="preserve">ska följas, till dess att en ny avfallsplan antas. Ansvarig för avfall i området är WBAB WessmanBarken Vatten &amp; Återvinning AB. </w:t>
      </w:r>
      <w:bookmarkEnd w:id="127"/>
    </w:p>
    <w:p>
      <w:pPr>
        <w:pStyle w:val="P2"/>
        <w:rPr>
          <w:rFonts w:cs="Calibri"/>
        </w:rPr>
      </w:pPr>
      <w:bookmarkEnd w:id="136"/>
      <w:bookmarkEnd w:id="137"/>
      <w:r>
        <w:rPr>
          <w:rFonts w:cs="Calibri"/>
        </w:rPr>
        <w:t xml:space="preserve"> </w:t>
      </w:r>
      <w:bookmarkStart w:id="138" w:name="_Toc219101384"/>
      <w:r>
        <w:rPr>
          <w:rFonts w:cs="Calibri"/>
        </w:rPr>
        <w:t>Miljökvalitetsnormer</w:t>
      </w:r>
      <w:bookmarkEnd w:id="138"/>
    </w:p>
    <w:p>
      <w:pPr>
        <w:ind w:left="720"/>
        <w:rPr>
          <w:rFonts w:ascii="Calibri" w:hAnsi="Calibri" w:cs="Calibri"/>
        </w:rPr>
      </w:pPr>
      <w:bookmarkStart w:id="139" w:name="pf_miljökvalitetsnormer01"/>
      <w:r>
        <w:rPr>
          <w:rFonts w:ascii="Calibri" w:hAnsi="Calibri" w:cs="Calibri"/>
        </w:rPr>
        <w:t xml:space="preserve">Miljökvalitetsnormerna (MKN) är bestämmelser om kvaliteten på mark, vatten, luft eller miljön i övrigt och regleras i miljöbalken. Vid planläggning och i andra ärenden enligt plan- och bygglagen ska miljökvalitetsnormerna följas. </w:t>
      </w:r>
    </w:p>
    <w:p>
      <w:pPr>
        <w:pStyle w:val="P3"/>
        <w:rPr>
          <w:rFonts w:cs="Calibri"/>
        </w:rPr>
      </w:pPr>
      <w:bookmarkEnd w:id="139"/>
      <w:r>
        <w:rPr>
          <w:rFonts w:cs="Calibri"/>
        </w:rPr>
        <w:t>Miljökvalitetsnormerna för Luft</w:t>
      </w:r>
    </w:p>
    <w:p>
      <w:pPr>
        <w:ind w:left="720"/>
        <w:rPr>
          <w:rFonts w:ascii="Calibri" w:hAnsi="Calibri" w:cs="Calibri"/>
        </w:rPr>
      </w:pPr>
      <w:bookmarkStart w:id="140" w:name="_Hlk198279672"/>
      <w:bookmarkStart w:id="141" w:name="pf_luft01"/>
      <w:r>
        <w:rPr>
          <w:rFonts w:ascii="Calibri" w:hAnsi="Calibri" w:cs="Calibri"/>
        </w:rPr>
        <w:t>Miljökvalitetsnormerna för luft bedöms inte påverkas negativt som en följd av planförslaget</w:t>
      </w:r>
      <w:bookmarkEnd w:id="140"/>
      <w:r>
        <w:rPr>
          <w:rFonts w:ascii="Calibri" w:hAnsi="Calibri" w:cs="Calibri"/>
        </w:rPr>
        <w:t xml:space="preserve">, då verksamheternas omfattning och utsläpp bedöms vara små eller obefintliga. </w:t>
      </w:r>
    </w:p>
    <w:p>
      <w:pPr>
        <w:pStyle w:val="P3"/>
        <w:rPr>
          <w:rFonts w:cs="Calibri"/>
        </w:rPr>
      </w:pPr>
      <w:bookmarkEnd w:id="141"/>
      <w:r>
        <w:rPr>
          <w:rFonts w:cs="Calibri"/>
        </w:rPr>
        <w:t>Miljökvalitetsnormerna för Vatten</w:t>
      </w:r>
    </w:p>
    <w:p>
      <w:pPr>
        <w:ind w:left="720"/>
        <w:rPr>
          <w:rFonts w:ascii="Calibri" w:hAnsi="Calibri" w:cs="Calibri"/>
        </w:rPr>
      </w:pPr>
      <w:bookmarkStart w:id="142" w:name="_Hlk198410546"/>
      <w:bookmarkStart w:id="143" w:name="pf_vatten01"/>
      <w:r>
        <w:rPr>
          <w:rFonts w:ascii="Calibri" w:hAnsi="Calibri" w:cs="Calibri"/>
        </w:rPr>
        <w:t xml:space="preserve">Miljökvalitetsnormerna för vatten beskriver den kvalitet en så kallad vattenförekomst ska ha nått vid en viss tidpunkt. Syftet med normerna är att säkra Sveriges vattenkvalitet. Miljökvalitetsnormerna omfattar ekologisk- och kemisk status. Den ekologiska statusen bedöms på en femgradig skala som är färgkodade; </w:t>
      </w:r>
    </w:p>
    <w:p>
      <w:pPr>
        <w:pStyle w:val="P31"/>
        <w:numPr>
          <w:ilvl w:val="0"/>
          <w:numId w:val="13"/>
        </w:numPr>
        <w:rPr>
          <w:rFonts w:ascii="Calibri" w:hAnsi="Calibri" w:cs="Calibri"/>
        </w:rPr>
      </w:pPr>
      <w:r>
        <w:rPr>
          <w:rFonts w:ascii="Calibri" w:hAnsi="Calibri" w:cs="Calibri"/>
          <w:shd w:val="clear" w:color="auto" w:fill="00B0F0"/>
        </w:rPr>
        <w:t>Hög</w:t>
      </w:r>
    </w:p>
    <w:p>
      <w:pPr>
        <w:pStyle w:val="P31"/>
        <w:numPr>
          <w:ilvl w:val="0"/>
          <w:numId w:val="13"/>
        </w:numPr>
        <w:rPr>
          <w:rFonts w:ascii="Calibri" w:hAnsi="Calibri" w:cs="Calibri"/>
        </w:rPr>
      </w:pPr>
      <w:r>
        <w:rPr>
          <w:rFonts w:ascii="Calibri" w:hAnsi="Calibri" w:cs="Calibri"/>
          <w:shd w:val="clear" w:color="auto" w:fill="89D798"/>
        </w:rPr>
        <w:t>God</w:t>
      </w:r>
    </w:p>
    <w:p>
      <w:pPr>
        <w:pStyle w:val="P31"/>
        <w:numPr>
          <w:ilvl w:val="0"/>
          <w:numId w:val="13"/>
        </w:numPr>
        <w:rPr>
          <w:rFonts w:ascii="Calibri" w:hAnsi="Calibri" w:cs="Calibri"/>
        </w:rPr>
      </w:pPr>
      <w:r>
        <w:rPr>
          <w:rFonts w:ascii="Calibri" w:hAnsi="Calibri" w:cs="Calibri"/>
          <w:highlight w:val="yellow"/>
          <w:shd w:val="clear" w:color="auto" w:fill="F8FB7D"/>
        </w:rPr>
        <w:t>Måttlig</w:t>
      </w:r>
    </w:p>
    <w:p>
      <w:pPr>
        <w:pStyle w:val="P31"/>
        <w:numPr>
          <w:ilvl w:val="0"/>
          <w:numId w:val="13"/>
        </w:numPr>
        <w:rPr>
          <w:rFonts w:ascii="Calibri" w:hAnsi="Calibri" w:cs="Calibri"/>
        </w:rPr>
      </w:pPr>
      <w:r>
        <w:rPr>
          <w:rFonts w:ascii="Calibri" w:hAnsi="Calibri" w:cs="Calibri"/>
          <w:shd w:val="clear" w:color="auto" w:fill="FFD966" w:themeFill="accent4" w:themeFillTint="99"/>
        </w:rPr>
        <w:t>Otillfredsställande</w:t>
      </w:r>
    </w:p>
    <w:p>
      <w:pPr>
        <w:pStyle w:val="P31"/>
        <w:numPr>
          <w:ilvl w:val="0"/>
          <w:numId w:val="13"/>
        </w:numPr>
        <w:rPr>
          <w:rFonts w:ascii="Calibri" w:hAnsi="Calibri" w:cs="Calibri"/>
        </w:rPr>
      </w:pPr>
      <w:r>
        <w:rPr>
          <w:rFonts w:ascii="Calibri" w:hAnsi="Calibri" w:cs="Calibri"/>
          <w:shd w:val="clear" w:color="auto" w:fill="EC7A7A"/>
        </w:rPr>
        <w:t>Dålig</w:t>
      </w:r>
    </w:p>
    <w:p>
      <w:pPr>
        <w:ind w:left="720"/>
        <w:rPr>
          <w:rFonts w:ascii="Calibri" w:hAnsi="Calibri" w:cs="Calibri"/>
        </w:rPr>
      </w:pPr>
      <w:r>
        <w:rPr>
          <w:rFonts w:ascii="Calibri" w:hAnsi="Calibri" w:cs="Calibri"/>
        </w:rPr>
        <w:t>Den kemiska statusen har två nivåer som är färgkodade;</w:t>
      </w:r>
    </w:p>
    <w:p>
      <w:pPr>
        <w:pStyle w:val="P31"/>
        <w:numPr>
          <w:ilvl w:val="0"/>
          <w:numId w:val="14"/>
        </w:numPr>
        <w:rPr>
          <w:rFonts w:ascii="Calibri" w:hAnsi="Calibri" w:cs="Calibri"/>
        </w:rPr>
      </w:pPr>
      <w:r>
        <w:rPr>
          <w:rFonts w:ascii="Calibri" w:hAnsi="Calibri" w:cs="Calibri"/>
          <w:shd w:val="clear" w:color="auto" w:fill="89D798"/>
        </w:rPr>
        <w:t>God</w:t>
      </w:r>
    </w:p>
    <w:p>
      <w:pPr>
        <w:pStyle w:val="P31"/>
        <w:numPr>
          <w:ilvl w:val="0"/>
          <w:numId w:val="14"/>
        </w:numPr>
        <w:rPr>
          <w:rFonts w:ascii="Calibri" w:hAnsi="Calibri" w:cs="Calibri"/>
        </w:rPr>
      </w:pPr>
      <w:r>
        <w:rPr>
          <w:rFonts w:ascii="Calibri" w:hAnsi="Calibri" w:cs="Calibri"/>
          <w:shd w:val="clear" w:color="auto" w:fill="EC7A7A"/>
        </w:rPr>
        <w:t>Uppnår ej god</w:t>
      </w:r>
    </w:p>
    <w:p>
      <w:pPr>
        <w:ind w:left="720"/>
        <w:rPr>
          <w:rFonts w:ascii="Calibri" w:hAnsi="Calibri" w:cs="Calibri"/>
        </w:rPr>
      </w:pPr>
      <w:r>
        <w:rPr>
          <w:rFonts w:ascii="Calibri" w:hAnsi="Calibri" w:cs="Calibri"/>
        </w:rPr>
        <w:t>Planområdet har sin avrinning till vattenförekomsten Kolbäcksån som är direktanslutande till planområdet. Vattnet rinner sedan vidare ut i recipienten Norra barken och hamnar till slut i Östersjön via Mälaren, vilket betyder att vattnets föroreningar kan påverka många platser nedströms.</w:t>
      </w:r>
    </w:p>
    <w:p>
      <w:pPr>
        <w:ind w:left="720"/>
        <w:rPr>
          <w:rFonts w:ascii="Calibri" w:hAnsi="Calibri" w:cs="Calibri"/>
          <w:b w:val="1"/>
          <w:bCs w:val="1"/>
        </w:rPr>
      </w:pPr>
      <w:r>
        <w:rPr>
          <w:rFonts w:ascii="Calibri" w:hAnsi="Calibri" w:cs="Calibri"/>
        </w:rPr>
        <w:br w:type="textWrapping"/>
      </w:r>
      <w:r>
        <w:rPr>
          <w:rFonts w:ascii="Calibri" w:hAnsi="Calibri" w:cs="Calibri"/>
          <w:b w:val="1"/>
          <w:bCs w:val="1"/>
        </w:rPr>
        <w:t>Kemisk status</w:t>
        <w:br w:type="textWrapping"/>
      </w:r>
      <w:r>
        <w:rPr>
          <w:rFonts w:ascii="Calibri" w:hAnsi="Calibri" w:cs="Calibri"/>
        </w:rPr>
        <w:t xml:space="preserve">Kemisk status; </w:t>
      </w:r>
      <w:r>
        <w:rPr>
          <w:rFonts w:ascii="Calibri" w:hAnsi="Calibri" w:cs="Calibri"/>
          <w:shd w:val="clear" w:color="auto" w:fill="EC7A7A"/>
        </w:rPr>
        <w:t>Uppnår ej god</w:t>
      </w:r>
    </w:p>
    <w:p>
      <w:pPr>
        <w:ind w:left="720"/>
        <w:rPr>
          <w:rFonts w:ascii="Calibri" w:hAnsi="Calibri" w:cs="Calibri"/>
        </w:rPr>
      </w:pPr>
      <w:r>
        <w:rPr>
          <w:rFonts w:ascii="Calibri" w:hAnsi="Calibri" w:cs="Calibri"/>
        </w:rPr>
        <w:t>Den kemiska statusen uppnår ej god status som baseras på att gränsvärdena för kvicksilver (Hg), polybromerade difenyletrar (PBDE) samt PFOS (Perfluoroktansulfonsyra och dess derivater) överskrids.</w:t>
      </w:r>
    </w:p>
    <w:p>
      <w:pPr>
        <w:ind w:left="720"/>
        <w:rPr>
          <w:rFonts w:ascii="Calibri" w:hAnsi="Calibri" w:cs="Calibri"/>
        </w:rPr>
      </w:pPr>
      <w:r>
        <w:rPr>
          <w:rFonts w:ascii="Calibri" w:hAnsi="Calibri" w:cs="Calibri"/>
        </w:rPr>
        <w:t>Gränsvärdena för PBDE och Hg överskrids i alla Sveriges undersökta ytvattenförekomster; sjöar, vattendrag och kustvatten. Utsläpp av PBDE har under lång tid skett i både Sverige och utomlands vilket lett till långväga luftburen spridning och storskalig atmosfärisk deposition av dessa ämnen.</w:t>
      </w:r>
    </w:p>
    <w:p>
      <w:pPr>
        <w:ind w:left="720"/>
        <w:rPr>
          <w:rFonts w:ascii="Calibri" w:hAnsi="Calibri" w:cs="Calibri"/>
        </w:rPr>
      </w:pPr>
      <w:r>
        <w:rPr>
          <w:rFonts w:ascii="Calibri" w:hAnsi="Calibri" w:cs="Calibri"/>
        </w:rPr>
        <w:t xml:space="preserve">PFOS överstiger gränsvärdet. PFOS är mycket långlivat och bioackumulerande, och hör till ämnen som inte får öka enligt miljökvalitetsnormerna. Data för den exakta mängden har låg tillförlitlighet då det saknas mätdata. Åtgärder för att minska föroreningen är fördröjning, filtrering och rening av dagvattnet innan det släpps vidare till recipienten. Andra åtgärder är materialval vid byggnation, minimera hårdgjorda ytor nära vattendraget samt att dagvattnet ska tas hands om lokalt på den egna fastigheten, vilket är fastighetsägarens ansvar. </w:t>
      </w:r>
    </w:p>
    <w:p>
      <w:pPr>
        <w:ind w:left="720"/>
        <w:rPr>
          <w:rFonts w:ascii="Calibri" w:hAnsi="Calibri" w:cs="Calibri"/>
          <w:b w:val="1"/>
          <w:bCs w:val="1"/>
        </w:rPr>
      </w:pPr>
    </w:p>
    <w:p>
      <w:pPr>
        <w:ind w:left="720"/>
        <w:rPr>
          <w:rFonts w:ascii="Calibri" w:hAnsi="Calibri" w:cs="Calibri"/>
          <w:b w:val="1"/>
          <w:bCs w:val="1"/>
        </w:rPr>
      </w:pPr>
      <w:r>
        <w:rPr>
          <w:rFonts w:ascii="Calibri" w:hAnsi="Calibri" w:cs="Calibri"/>
          <w:b w:val="1"/>
          <w:bCs w:val="1"/>
        </w:rPr>
        <w:t>Ekologisk status</w:t>
        <w:br w:type="textWrapping"/>
      </w:r>
      <w:r>
        <w:rPr>
          <w:rFonts w:ascii="Calibri" w:hAnsi="Calibri" w:cs="Calibri"/>
        </w:rPr>
        <w:t xml:space="preserve">Ekologisk status; </w:t>
      </w:r>
      <w:r>
        <w:rPr>
          <w:rFonts w:ascii="Calibri" w:hAnsi="Calibri" w:cs="Calibri"/>
          <w:highlight w:val="yellow"/>
          <w:shd w:val="clear" w:color="auto" w:fill="F8FB7D"/>
        </w:rPr>
        <w:t>Måttlig</w:t>
      </w:r>
    </w:p>
    <w:p>
      <w:pPr>
        <w:ind w:left="720"/>
        <w:rPr>
          <w:rFonts w:ascii="Calibri" w:hAnsi="Calibri" w:cs="Calibri"/>
        </w:rPr>
      </w:pPr>
      <w:r>
        <w:rPr>
          <w:rFonts w:ascii="Calibri" w:hAnsi="Calibri" w:cs="Calibri"/>
        </w:rPr>
        <w:t xml:space="preserve">Den ekologiska statusen är en sammanvägning av de biologiska, kemiska och fysiska egenskaperna i vattnet. Om vattnet påverkas i betydande utsträckning av näringsbelastning, försurning, särskilt förorenade ämnen eller är förändrat genom fysiska ingrepp speglas det i bedömningen av den ekologiska statusen.  </w:t>
      </w:r>
    </w:p>
    <w:p>
      <w:pPr>
        <w:pStyle w:val="P31"/>
        <w:rPr>
          <w:rFonts w:ascii="Calibri" w:hAnsi="Calibri" w:cs="Calibri"/>
        </w:rPr>
      </w:pPr>
      <w:r>
        <w:rPr>
          <w:rFonts w:ascii="Calibri" w:hAnsi="Calibri" w:cs="Calibri"/>
        </w:rPr>
        <w:t xml:space="preserve">Följande faktorer är undermåliga i Kolbäcksån och beror på den måttliga statusen, som måste förstärkas för att uppnå </w:t>
      </w:r>
      <w:r>
        <w:rPr>
          <w:rFonts w:ascii="Calibri" w:hAnsi="Calibri" w:cs="Calibri"/>
          <w:shd w:val="clear" w:color="auto" w:fill="89D798"/>
        </w:rPr>
        <w:t>God</w:t>
      </w:r>
      <w:r>
        <w:rPr>
          <w:rFonts w:ascii="Calibri" w:hAnsi="Calibri" w:cs="Calibri"/>
        </w:rPr>
        <w:t xml:space="preserve"> eller </w:t>
      </w:r>
      <w:r>
        <w:rPr>
          <w:rFonts w:ascii="Calibri" w:hAnsi="Calibri" w:cs="Calibri"/>
          <w:shd w:val="clear" w:color="auto" w:fill="00B0F0"/>
        </w:rPr>
        <w:t>Hög</w:t>
      </w:r>
      <w:r>
        <w:rPr>
          <w:rFonts w:ascii="Calibri" w:hAnsi="Calibri" w:cs="Calibri"/>
        </w:rPr>
        <w:t xml:space="preserve"> status;</w:t>
      </w:r>
    </w:p>
    <w:p>
      <w:pPr>
        <w:ind w:firstLine="720"/>
        <w:rPr>
          <w:rFonts w:ascii="Calibri" w:hAnsi="Calibri" w:cs="Calibri"/>
        </w:rPr>
      </w:pPr>
      <w:r>
        <w:rPr>
          <w:rFonts w:ascii="Calibri" w:hAnsi="Calibri" w:cs="Calibri"/>
          <w:i w:val="1"/>
          <w:iCs w:val="1"/>
        </w:rPr>
        <w:t>Fisk i rinnande vatten (VIX/VIXMORF/VIXh/VIXsm)</w:t>
      </w:r>
      <w:r>
        <w:rPr>
          <w:rFonts w:ascii="Calibri" w:hAnsi="Calibri" w:cs="Calibri"/>
        </w:rPr>
        <w:t xml:space="preserve"> som påverkas av bland annat;</w:t>
      </w:r>
    </w:p>
    <w:p>
      <w:pPr>
        <w:pStyle w:val="P31"/>
        <w:numPr>
          <w:ilvl w:val="0"/>
          <w:numId w:val="10"/>
        </w:numPr>
        <w:rPr>
          <w:rFonts w:ascii="Calibri" w:hAnsi="Calibri" w:cs="Calibri"/>
        </w:rPr>
      </w:pPr>
      <w:r>
        <w:rPr>
          <w:rFonts w:ascii="Calibri" w:hAnsi="Calibri" w:cs="Calibri"/>
        </w:rPr>
        <w:t>Artantal</w:t>
      </w:r>
    </w:p>
    <w:p>
      <w:pPr>
        <w:pStyle w:val="P31"/>
        <w:numPr>
          <w:ilvl w:val="0"/>
          <w:numId w:val="9"/>
        </w:numPr>
        <w:rPr>
          <w:rFonts w:ascii="Calibri" w:hAnsi="Calibri" w:cs="Calibri"/>
        </w:rPr>
      </w:pPr>
      <w:r>
        <w:rPr>
          <w:rFonts w:ascii="Calibri" w:hAnsi="Calibri" w:cs="Calibri"/>
        </w:rPr>
        <w:t>Förekomst av känsliga/ krävande arter</w:t>
      </w:r>
    </w:p>
    <w:p>
      <w:pPr>
        <w:pStyle w:val="P31"/>
        <w:numPr>
          <w:ilvl w:val="0"/>
          <w:numId w:val="9"/>
        </w:numPr>
        <w:rPr>
          <w:rFonts w:ascii="Calibri" w:hAnsi="Calibri" w:cs="Calibri"/>
        </w:rPr>
      </w:pPr>
      <w:r>
        <w:rPr>
          <w:rFonts w:ascii="Calibri" w:hAnsi="Calibri" w:cs="Calibri"/>
        </w:rPr>
        <w:t>Sammansättning och åldersstruktur</w:t>
      </w:r>
    </w:p>
    <w:p>
      <w:pPr>
        <w:pStyle w:val="P31"/>
        <w:numPr>
          <w:ilvl w:val="0"/>
          <w:numId w:val="9"/>
        </w:numPr>
        <w:rPr>
          <w:rFonts w:ascii="Calibri" w:hAnsi="Calibri" w:cs="Calibri"/>
        </w:rPr>
      </w:pPr>
      <w:r>
        <w:rPr>
          <w:rFonts w:ascii="Calibri" w:hAnsi="Calibri" w:cs="Calibri"/>
        </w:rPr>
        <w:t>Påverkan av vandringshinder, vattenreglering och morfologi i miljön</w:t>
      </w:r>
    </w:p>
    <w:p>
      <w:pPr>
        <w:ind w:left="720"/>
        <w:rPr>
          <w:rFonts w:ascii="Calibri" w:hAnsi="Calibri" w:cs="Calibri"/>
        </w:rPr>
      </w:pPr>
      <w:r>
        <w:rPr>
          <w:rFonts w:ascii="Calibri" w:hAnsi="Calibri" w:cs="Calibri"/>
        </w:rPr>
        <w:t>Dess status kan åtgärdas bland annat genom mer mängd mätdata samlas in vid osäkerhet för att säkerställa status, problem och lösningar samt genom att tillmötesgå statusen för; Särskilt förorenade ämnen, Konnektivitet i vattendrag, Hydrologisk regim i vattendrag och Morfologiskt tillstånd i vattendrag.</w:t>
      </w:r>
    </w:p>
    <w:p>
      <w:pPr>
        <w:spacing w:after="0" w:beforeAutospacing="0" w:afterAutospacing="0"/>
        <w:ind w:left="720"/>
        <w:rPr>
          <w:rFonts w:ascii="Calibri" w:hAnsi="Calibri" w:cs="Calibri"/>
          <w:i w:val="1"/>
          <w:iCs w:val="1"/>
        </w:rPr>
      </w:pPr>
      <w:r>
        <w:rPr>
          <w:rFonts w:ascii="Calibri" w:hAnsi="Calibri" w:cs="Calibri"/>
          <w:i w:val="1"/>
          <w:iCs w:val="1"/>
        </w:rPr>
        <w:t xml:space="preserve">Särskilt förorenade ämnen. </w:t>
      </w:r>
    </w:p>
    <w:p>
      <w:pPr>
        <w:ind w:left="720"/>
        <w:rPr>
          <w:rFonts w:ascii="Calibri" w:hAnsi="Calibri" w:cs="Calibri"/>
        </w:rPr>
      </w:pPr>
      <w:r>
        <w:rPr>
          <w:rFonts w:ascii="Calibri" w:hAnsi="Calibri" w:cs="Calibri"/>
        </w:rPr>
        <w:t xml:space="preserve">Uran har för höga halter i vattnet, men data för exakta mängden har låg tillförlitlighet då det saknas mätdata i underlaget. </w:t>
      </w:r>
    </w:p>
    <w:p>
      <w:pPr>
        <w:ind w:left="720"/>
        <w:rPr>
          <w:rFonts w:ascii="Calibri" w:hAnsi="Calibri" w:cs="Calibri"/>
        </w:rPr>
      </w:pPr>
      <w:r>
        <w:rPr>
          <w:rFonts w:ascii="Calibri" w:hAnsi="Calibri" w:cs="Calibri"/>
          <w:i w:val="1"/>
          <w:iCs w:val="1"/>
        </w:rPr>
        <w:t>Konnektivitet i vattendrag</w:t>
        <w:br w:type="textWrapping"/>
      </w:r>
      <w:r>
        <w:rPr>
          <w:rFonts w:ascii="Calibri" w:hAnsi="Calibri" w:cs="Calibri"/>
        </w:rPr>
        <w:t xml:space="preserve">Vilket betyder att det finns för många vandringshinder eller fysiska barriärer som begränsar fiskar och levande vattenorganismers möjligheter för föda, vandra, sprida sig eller återhämta sig. Exempel på detta i Kolbäcksån är dammar och vattenkraftverk utan fiskvägar. Det kan också vara vägtrummor och broar som är felaktigt konstruerade. </w:t>
      </w:r>
      <w:bookmarkEnd w:id="142"/>
      <w:r>
        <w:rPr>
          <w:rFonts w:ascii="Calibri" w:hAnsi="Calibri" w:cs="Calibri"/>
        </w:rPr>
        <w:t>Nya krav nationellt kommer tillämpas för fiskvägar för större anläggningar framgent, vilket på sikt kan förbättra framkomligheten vid vattenkraftverket i anslutande område samt längst med Kolbäcksåns sträckning.</w:t>
      </w:r>
    </w:p>
    <w:p>
      <w:pPr>
        <w:ind w:left="720"/>
        <w:rPr>
          <w:rFonts w:ascii="Calibri" w:hAnsi="Calibri" w:cs="Calibri"/>
          <w:i w:val="1"/>
          <w:iCs w:val="1"/>
        </w:rPr>
      </w:pPr>
      <w:r>
        <w:rPr>
          <w:rFonts w:ascii="Calibri" w:hAnsi="Calibri" w:cs="Calibri"/>
          <w:i w:val="1"/>
          <w:iCs w:val="1"/>
        </w:rPr>
        <w:t>Hydrologisk regim i vattendrag</w:t>
      </w:r>
      <w:r>
        <w:rPr>
          <w:rFonts w:ascii="Calibri" w:hAnsi="Calibri" w:cs="Calibri"/>
        </w:rPr>
        <w:t xml:space="preserve"> </w:t>
        <w:br w:type="textWrapping"/>
        <w:t>Detta handlar om vattenflödenas storlek, variation över året, naturliga höga- och låga flöden och flödesdynamiken. Det finns volymavvikelse i vattendrag som behöver åtgärdas. Aktuell vattenförekomst innehåller en så kallad torrfåra som periodvis saknar eller har ett mycket lågt flöde, vilket utöver flödesregleringen ytterligare påverkar hydrologin. Hydrologisk regim i vattendrag</w:t>
      </w:r>
      <w:r>
        <w:rPr>
          <w:rFonts w:ascii="Calibri" w:hAnsi="Calibri" w:cs="Calibri"/>
          <w:i w:val="1"/>
          <w:iCs w:val="1"/>
        </w:rPr>
        <w:t xml:space="preserve"> </w:t>
      </w:r>
      <w:r>
        <w:rPr>
          <w:rFonts w:ascii="Calibri" w:hAnsi="Calibri" w:cs="Calibri"/>
        </w:rPr>
        <w:t xml:space="preserve">kan bero på vattenreglering från kraftverk, uttag eller påledning av vatten, markavvattning, dagvattenpåverkan eller urban påverkan. Åtgärder för detta kan vara anpassa vattnets reglering, återställning av flödesynamiken, fördröjning av dagvatten och skydd av vattenmiljöer. Detta kan inom detaljplanen åtgärdas bland annat med fördröjning och omhändertagande av vatten på den egna fastigheten vilket är fastighetsägarens ansvar. </w:t>
      </w:r>
      <w:bookmarkStart w:id="144" w:name="_Hlk198410798"/>
      <w:r>
        <w:rPr>
          <w:rFonts w:ascii="Calibri" w:hAnsi="Calibri" w:cs="Calibri"/>
        </w:rPr>
        <w:t>Åtgärder som minimerar hårdgjorda ytor är av vikt så inte statusen för Hydrologisk regim i vattendrag riskerar att försämras, vilket påverkar miljökvalitetsnormerna för vatten negativt.</w:t>
      </w:r>
      <w:bookmarkEnd w:id="144"/>
    </w:p>
    <w:p>
      <w:pPr>
        <w:spacing w:after="0" w:beforeAutospacing="0" w:afterAutospacing="0"/>
        <w:ind w:left="720"/>
        <w:rPr>
          <w:rFonts w:ascii="Calibri" w:hAnsi="Calibri" w:cs="Calibri"/>
          <w:i w:val="1"/>
          <w:iCs w:val="1"/>
        </w:rPr>
      </w:pPr>
      <w:bookmarkStart w:id="145" w:name="_Hlk198410949"/>
      <w:r>
        <w:rPr>
          <w:rFonts w:ascii="Calibri" w:hAnsi="Calibri" w:cs="Calibri"/>
          <w:i w:val="1"/>
          <w:iCs w:val="1"/>
        </w:rPr>
        <w:t>Morfologiskt tillstånd i vattendrag.</w:t>
      </w:r>
    </w:p>
    <w:p>
      <w:pPr>
        <w:ind w:left="720"/>
        <w:rPr>
          <w:rFonts w:ascii="Calibri" w:hAnsi="Calibri" w:cs="Calibri"/>
        </w:rPr>
      </w:pPr>
      <w:r>
        <w:rPr>
          <w:rFonts w:ascii="Calibri" w:hAnsi="Calibri" w:cs="Calibri"/>
        </w:rPr>
        <w:t xml:space="preserve">För att förbättra statusen så bör återställning av naturliga strukturer med naturliga inslag ske samt att naturliga slingrande former av vattendraget skapas, vilket är ett arbete längst hela Kolbäcksåns sträckning. Andra åtgärder är att begränsa fysisk påverkan på vattendraget och återställa svämplan. För att förbättra denna status behöver vattendragets närområde åtgärdas. Hårdgjorda eller anlagda ytor, såsom vägar, industrimark, jordbruk, parkeringsytor eller gräsmattor ska om möjligt begränsas. </w:t>
      </w:r>
    </w:p>
    <w:p>
      <w:pPr>
        <w:ind w:left="720"/>
        <w:rPr>
          <w:rFonts w:ascii="Calibri" w:hAnsi="Calibri" w:cs="Calibri"/>
        </w:rPr>
      </w:pPr>
      <w:bookmarkEnd w:id="145"/>
      <w:r>
        <w:rPr>
          <w:rFonts w:ascii="Calibri" w:hAnsi="Calibri" w:cs="Calibri"/>
        </w:rPr>
        <w:t>Detta måste väga mot industrimark som redan är tagen i anspråk och behöver utvecklas, jämfört med att helt ta nya områden i anspråk för utveckling, där det förstnämnda ofta är att föredra för att undvika större negativa effekter av miljökvalitetsnormerna. För att hushålla med markresurser mer effektivt är det rimligt att den befintliga Industrimarken förtätas och utnyttjas, men samtidigt bejaka miljökvalitetsnormerna. Detta kan möjliggöras exempelvis genom begräsning av hårdgjorda ytor så mycket som möjligt. Planförslagets tilltänkta förtätning vid genomförande av planen förväntas förhållandevis inte bli omfattande i hårdgjöring av ytorna. Marken är också svårtillgänglig för allmänheten och har få andra möjliga ändamål. Planen säkerställer att bebyggelse och mark inte mer än nödvändig tas i anspråk genom nyttjandegrad. Planförslaget ställer krav på att Kolbäcksån inte ska påverkas negativt genom dämning eller liknande som kan komma att påverka miljökvalitetsnormerna för vatten negativt. Större åtgärder för Kolbäcksån behöver arbetas med uppströms och nerströms utanför planområdet.</w:t>
      </w:r>
    </w:p>
    <w:p>
      <w:pPr>
        <w:ind w:left="720"/>
        <w:rPr>
          <w:rFonts w:ascii="Calibri" w:hAnsi="Calibri" w:cs="Calibri"/>
        </w:rPr>
      </w:pPr>
      <w:bookmarkEnd w:id="143"/>
      <w:bookmarkStart w:id="146" w:name="ko_vatten01"/>
      <w:r>
        <w:rPr>
          <w:rFonts w:ascii="Calibri" w:hAnsi="Calibri" w:cs="Calibri"/>
        </w:rPr>
        <w:t xml:space="preserve">Planförslaget förväntas inte ha en påtaglig negativ påverkan på vattenförekomstens status och inte försämra dess status. Verksamheterna förväntas inte heller medföra någon direkt förorening som försämrar vattnets status. Åtgärder i genomförandefasen vid markberedning, byggnation och lokalt omhändertagande av dagvatten är fastighetsägarens eget ansvar så inte Kolbäcksån, Norra barkens vattenförekomst och recipient inte påverkas negativt. En utredning av dagvatten har utförts för hantering av framtida dagvattenlösningar, se bilagan </w:t>
      </w:r>
      <w:r>
        <w:rPr>
          <w:rFonts w:ascii="Calibri" w:hAnsi="Calibri" w:cs="Calibri"/>
          <w:i w:val="1"/>
          <w:iCs w:val="1"/>
        </w:rPr>
        <w:t>PM Dagvattenhantering</w:t>
      </w:r>
      <w:r>
        <w:rPr>
          <w:rFonts w:ascii="Calibri" w:hAnsi="Calibri" w:cs="Calibri"/>
        </w:rPr>
        <w:t>.</w:t>
      </w:r>
    </w:p>
    <w:p>
      <w:pPr>
        <w:pStyle w:val="P3"/>
        <w:rPr>
          <w:rFonts w:cs="Calibri"/>
        </w:rPr>
      </w:pPr>
      <w:bookmarkEnd w:id="146"/>
      <w:r>
        <w:rPr>
          <w:rFonts w:cs="Calibri"/>
        </w:rPr>
        <w:t>Miljökvalitetsnormen för Buller</w:t>
      </w:r>
    </w:p>
    <w:p>
      <w:pPr>
        <w:ind w:left="720"/>
        <w:rPr>
          <w:rFonts w:ascii="Calibri" w:hAnsi="Calibri" w:cs="Calibri"/>
        </w:rPr>
      </w:pPr>
      <w:bookmarkStart w:id="147" w:name="pf_buller01"/>
      <w:r>
        <w:rPr>
          <w:rFonts w:ascii="Calibri" w:hAnsi="Calibri" w:cs="Calibri"/>
        </w:rPr>
        <w:t>Inga bostäder finns i närheten eller inom planområdet som påverkas av buller samt inga nya bostäder kommer kunna tillföras. Däremot finns kontor cirka 60 meter från den tilltänkta Faskompenseringen i norr samt kontor utan uteplats 10 meter söderut som också redan ligger vid befintliga bullerkällor. Ett hotell finns på cirka 80 meters avstånd från planområdet, men vistelsen där är tillfällig och bullerpåverkan från den planerade anläggning förväntas inte att öka, därför förväntas bullerpåverkan att vara ungefär den samma eller mindre än idag.</w:t>
      </w:r>
    </w:p>
    <w:p>
      <w:pPr>
        <w:ind w:left="720"/>
        <w:rPr>
          <w:rFonts w:ascii="Calibri" w:hAnsi="Calibri" w:cs="Calibri"/>
        </w:rPr>
      </w:pPr>
      <w:bookmarkEnd w:id="147"/>
      <w:bookmarkStart w:id="148" w:name="ko_buller01"/>
      <w:r>
        <w:rPr>
          <w:rFonts w:ascii="Calibri" w:hAnsi="Calibri" w:cs="Calibri"/>
        </w:rPr>
        <w:t>Vid genomförande av detaljplan så kommer två befintliga bullerkällor att försvinna från befintlig faskompensering, samtidigt som bullerkällor från de tilltänkta nyproducerade faskompensering samt ett kyltorn i modernt utförande kommer att upprättas. Faskompenseringsanläggningen kommer omslutas av en modulbyggnad med ljuddämpande väggar och tak. Det nya faskompenseringen och kyltornet förväntas avge totalt sett mindre buller jämfört med de befintliga äldre anläggningarna och bullerkällorna från 1970–80 talet och framåt.</w:t>
      </w:r>
    </w:p>
    <w:p>
      <w:pPr>
        <w:ind w:left="720"/>
        <w:rPr>
          <w:rFonts w:ascii="Calibri" w:hAnsi="Calibri" w:cs="Calibri"/>
        </w:rPr>
      </w:pPr>
      <w:r>
        <w:rPr>
          <w:rFonts w:ascii="Calibri" w:hAnsi="Calibri" w:cs="Calibri"/>
        </w:rPr>
        <w:t xml:space="preserve">Den största trafikbullerkällan i området är Vasagatan. Byggnationen som hamnar väster ut i planområdet kan ge bättre värden på buller i det befintliga kontoret, då trafikbuller kan komma att avskärmas av möjlig bebyggelse. Buller förväntas vara högre vid begränsad period vid byggnation av bebyggelsen. Ingen förväntad förändring i trafik på Vasagatan kommer att ske vid detaljplanens genomförande. Få extra fordon förväntas använda de nya hårdgjorda ytorna och trafikbuller med fordon i låg hastighet bedöms vara små eller obetydliga. Detta innebär att området anses vara i en situation där bullernivåerna inte anses vara störande eller hälsoskadliga. Bullervärdena bedöms inte påverkas miljökvalitetsnormen negativt, så att miljökvalitetsnormen för buller överskrids. </w:t>
      </w:r>
    </w:p>
    <w:p>
      <w:pPr>
        <w:pStyle w:val="P2"/>
        <w:rPr>
          <w:rFonts w:cs="Calibri"/>
        </w:rPr>
      </w:pPr>
      <w:bookmarkEnd w:id="148"/>
      <w:r>
        <w:rPr>
          <w:rFonts w:cs="Calibri"/>
        </w:rPr>
        <w:t xml:space="preserve">  </w:t>
      </w:r>
      <w:bookmarkStart w:id="149" w:name="_Toc219101385"/>
      <w:r>
        <w:rPr>
          <w:rFonts w:cs="Calibri"/>
        </w:rPr>
        <w:t>Hälsa och säkerhet</w:t>
      </w:r>
      <w:bookmarkEnd w:id="149"/>
    </w:p>
    <w:p>
      <w:pPr>
        <w:pStyle w:val="P3"/>
        <w:rPr>
          <w:rFonts w:cs="Calibri"/>
        </w:rPr>
      </w:pPr>
      <w:r>
        <w:rPr>
          <w:rFonts w:cs="Calibri"/>
        </w:rPr>
        <w:t>Beräkning av omgivningsbuller</w:t>
      </w:r>
    </w:p>
    <w:p>
      <w:pPr>
        <w:ind w:left="720"/>
        <w:rPr>
          <w:rFonts w:ascii="Calibri" w:hAnsi="Calibri" w:cs="Calibri"/>
          <w:color w:val="000000" w:themeColor="text1"/>
        </w:rPr>
      </w:pPr>
      <w:bookmarkStart w:id="150" w:name="pf_omgivningsbuller01"/>
      <w:r>
        <w:rPr>
          <w:rFonts w:ascii="Calibri" w:hAnsi="Calibri" w:cs="Calibri"/>
        </w:rPr>
        <w:t xml:space="preserve">Vid planläggning ska bebyggelse och byggnadsverk lokaliseras till mark som är lämpad för ändamålet med hänsyn till bullerstörningar enligt 2 kap. 5 § Plan- och bygglagen. Bulluträkning anses inte nödvändigt i planen eftersom det inte är behövligt med hänsyn till att inga bostäder förväntas upprättas i planområdet eller boende förväntas finnas inom planområdets närhet enligt 4 kap. 16 § PBL. Buller från byggnationen av faskompensering och kyltorn förväntas ha ett liknande buller eller ett lägre buller från källan jämfört med befintliga bullerkällor. Inga nya kontorsverksamheter förväntas uppföras. Endast tillfälliga arbeten förväntas utföras inom planområdet. Förändring i trafik inom planområdes antas bli detsamma som dagens förhållande, vilket ger samma bullernivåer som i dagens förhållande. </w:t>
      </w:r>
      <w:r>
        <w:rPr>
          <w:rFonts w:ascii="Calibri" w:hAnsi="Calibri" w:cs="Calibri"/>
          <w:color w:val="000000" w:themeColor="text1"/>
        </w:rPr>
        <w:t xml:space="preserve">Bedömningen är att inga bulleråtgärder krävs. </w:t>
      </w:r>
    </w:p>
    <w:p>
      <w:pPr>
        <w:pStyle w:val="P3"/>
        <w:rPr>
          <w:rFonts w:cs="Calibri"/>
        </w:rPr>
      </w:pPr>
      <w:bookmarkEnd w:id="150"/>
      <w:r>
        <w:rPr>
          <w:rFonts w:cs="Calibri"/>
        </w:rPr>
        <w:t>Risk för Magnetfält</w:t>
      </w:r>
    </w:p>
    <w:p>
      <w:pPr>
        <w:ind w:left="720"/>
        <w:rPr>
          <w:rFonts w:ascii="Calibri" w:hAnsi="Calibri" w:cs="Calibri"/>
        </w:rPr>
      </w:pPr>
      <w:bookmarkStart w:id="151" w:name="pf_hälsaochsäkerhet02"/>
      <w:r>
        <w:rPr>
          <w:rFonts w:ascii="Calibri" w:hAnsi="Calibri" w:cs="Calibri"/>
        </w:rPr>
        <w:t xml:space="preserve">Anläggningens reaktorer producerar magnetfält, men har minimerats i designen genom skyddsåtgärder och ett skyddande hölje. Magnetfälten ligger under tillåtna nivåer enligt underlaget. Bedömningen är att inga åtgärder relaterat magnetfält i detaljplanen inbegrips. För mer information av magnetfält från anläggningen se bilagan; </w:t>
      </w:r>
      <w:r>
        <w:rPr>
          <w:rFonts w:ascii="Calibri" w:hAnsi="Calibri" w:cs="Calibri"/>
          <w:i w:val="1"/>
          <w:iCs w:val="1"/>
        </w:rPr>
        <w:t>Magnetfält faskompensering</w:t>
      </w:r>
      <w:r>
        <w:rPr>
          <w:rFonts w:ascii="Calibri" w:hAnsi="Calibri" w:cs="Calibri"/>
        </w:rPr>
        <w:t xml:space="preserve">.  </w:t>
      </w:r>
    </w:p>
    <w:p>
      <w:pPr>
        <w:pStyle w:val="P3"/>
        <w:rPr>
          <w:rFonts w:cs="Calibri"/>
        </w:rPr>
      </w:pPr>
      <w:bookmarkEnd w:id="151"/>
      <w:r>
        <w:rPr>
          <w:rFonts w:cs="Calibri"/>
        </w:rPr>
        <w:t>Risk för olyckor</w:t>
      </w:r>
    </w:p>
    <w:p>
      <w:pPr>
        <w:ind w:left="720"/>
        <w:rPr>
          <w:rFonts w:ascii="Calibri" w:hAnsi="Calibri" w:cs="Calibri"/>
        </w:rPr>
      </w:pPr>
      <w:bookmarkStart w:id="152" w:name="pf_riskförolyckor01"/>
      <w:bookmarkStart w:id="153" w:name="_Hlk198293215"/>
      <w:r>
        <w:rPr>
          <w:rFonts w:ascii="Calibri" w:hAnsi="Calibri" w:cs="Calibri"/>
        </w:rPr>
        <w:t xml:space="preserve">Riksväg 66 ligger cirka 850 meter från planområdet och Järnvägen ligger cirka 330 m från planområdet, där genomfartstrafiken för farligt gods transporteras. Farligt gods transporteras också till Ovakos anläggningar 200 meter söderut om planområdet. Enligt Trafikverkets </w:t>
      </w:r>
      <w:r>
        <w:rPr>
          <w:rFonts w:ascii="Calibri" w:hAnsi="Calibri" w:cs="Calibri"/>
          <w:i w:val="1"/>
          <w:iCs w:val="1"/>
        </w:rPr>
        <w:t xml:space="preserve">Risker och riskanalys i detaljplaneringen </w:t>
      </w:r>
      <w:r>
        <w:rPr>
          <w:rFonts w:ascii="Calibri" w:hAnsi="Calibri" w:cs="Calibri"/>
        </w:rPr>
        <w:t xml:space="preserve">så bör undersökningar om farligt gods utredas mer detaljerat om tilltänkt Industri eller verksamhetsområde uppkommer inom 30 m (järnväg) respektive 40 m (väg) från riskkällan. </w:t>
      </w:r>
      <w:bookmarkEnd w:id="152"/>
      <w:bookmarkStart w:id="154" w:name="ko_olyckor01"/>
      <w:r>
        <w:rPr>
          <w:rFonts w:ascii="Calibri" w:hAnsi="Calibri" w:cs="Calibri"/>
        </w:rPr>
        <w:t xml:space="preserve">Eftersom planområdet ligger med god marginal utanför denna riskgräns bedöms ingen vidare undersökning krävas. Inga riskreducerande åtgärder bedöms därmed motiverade. </w:t>
      </w:r>
    </w:p>
    <w:p>
      <w:pPr>
        <w:ind w:left="720"/>
        <w:rPr>
          <w:rFonts w:ascii="Calibri" w:hAnsi="Calibri" w:cs="Calibri"/>
        </w:rPr>
      </w:pPr>
      <w:r>
        <w:rPr>
          <w:rFonts w:ascii="Calibri" w:hAnsi="Calibri" w:cs="Calibri"/>
        </w:rPr>
        <w:t>På industrimark så är länsstyrelsen Oftast tillsynsmyndighet gällande risker som då inte omfattas av kommunen. Det handlar vanligtvis om anläggningar av större karaktär eller som innehar risker av regional eller statlig betydelse.</w:t>
      </w:r>
    </w:p>
    <w:p>
      <w:pPr>
        <w:ind w:left="720"/>
        <w:rPr>
          <w:rFonts w:ascii="Calibri" w:hAnsi="Calibri" w:cs="Calibri"/>
        </w:rPr>
      </w:pPr>
    </w:p>
    <w:p>
      <w:pPr>
        <w:ind w:firstLine="720"/>
        <w:rPr>
          <w:rFonts w:ascii="Calibri" w:hAnsi="Calibri" w:cs="Calibri"/>
        </w:rPr>
      </w:pPr>
      <w:bookmarkEnd w:id="154"/>
      <w:r>
        <w:rPr>
          <w:rFonts w:ascii="Calibri" w:hAnsi="Calibri" w:cs="Calibri"/>
          <w:noProof w:val="1"/>
        </w:rPr>
        <w:drawing>
          <wp:inline xmlns:wp="http://schemas.openxmlformats.org/drawingml/2006/wordprocessingDrawing" distT="0" distB="0" distL="0" distR="0">
            <wp:extent cx="2482850" cy="2073910"/>
            <wp:effectExtent l="19050" t="19050" r="12700" b="21590"/>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3"/>
                    <pic:cNvPicPr/>
                  </pic:nvPicPr>
                  <pic:blipFill dpi="0">
                    <a:blip xmlns:r="http://schemas.openxmlformats.org/officeDocument/2006/relationships" r:embed="Relimage22"/>
                    <a:srcRect t="2802" b="-1103"/>
                    <a:stretch>
                      <a:fillRect/>
                    </a:stretch>
                  </pic:blipFill>
                  <pic:spPr bwMode="auto">
                    <a:xfrm>
                      <a:off x="0" y="0"/>
                      <a:ext cx="2518872" cy="2104071"/>
                    </a:xfrm>
                    <a:prstGeom prst="rect"/>
                    <a:ln>
                      <a:solidFill>
                        <a:schemeClr val="tx1"/>
                      </a:solidFill>
                    </a:ln>
                  </pic:spPr>
                </pic:pic>
              </a:graphicData>
            </a:graphic>
          </wp:inline>
        </w:drawing>
      </w:r>
      <w:r>
        <w:rPr>
          <w:rFonts w:ascii="Calibri" w:hAnsi="Calibri" w:cs="Calibri"/>
        </w:rPr>
        <w:t xml:space="preserve"> </w:t>
      </w:r>
      <w:r>
        <w:rPr>
          <w:rFonts w:ascii="Calibri" w:hAnsi="Calibri" w:cs="Calibri"/>
          <w:noProof w:val="1"/>
        </w:rPr>
        <w:drawing>
          <wp:inline xmlns:wp="http://schemas.openxmlformats.org/drawingml/2006/wordprocessingDrawing" distT="0" distB="0" distL="0" distR="0">
            <wp:extent cx="2546350" cy="2077085"/>
            <wp:effectExtent l="19050" t="19050" r="25400" b="18415"/>
            <wp:docPr id="666782858" name="Bildobjekt 8" descr="Bild som beskriver olika avstånd som måste beaktas från vägar med transporter av farligt g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ild som beskriver olika avstånd som måste beaktas från vägar med transporter av farligt gods. "/>
                    <pic:cNvPicPr>
                      <a:picLocks noChangeAspect="1" noChangeArrowheads="1"/>
                    </pic:cNvPicPr>
                  </pic:nvPicPr>
                  <pic:blipFill dpi="0">
                    <a:blip xmlns:r="http://schemas.openxmlformats.org/officeDocument/2006/relationships" r:embed="Relimage23"/>
                    <a:srcRect/>
                    <a:stretch>
                      <a:fillRect/>
                    </a:stretch>
                  </pic:blipFill>
                  <pic:spPr bwMode="auto">
                    <a:xfrm>
                      <a:off x="0" y="0"/>
                      <a:ext cx="2562900" cy="2090352"/>
                    </a:xfrm>
                    <a:prstGeom prst="rect"/>
                    <a:noFill/>
                    <a:ln>
                      <a:solidFill>
                        <a:schemeClr val="tx1"/>
                      </a:solidFill>
                    </a:ln>
                  </pic:spPr>
                </pic:pic>
              </a:graphicData>
            </a:graphic>
          </wp:inline>
        </w:drawing>
      </w:r>
    </w:p>
    <w:p>
      <w:pPr>
        <w:ind w:firstLine="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Figur 18: Riskhanteringsavstånd för farligt gods på järnväg och väg.</w:t>
      </w:r>
    </w:p>
    <w:p>
      <w:pPr>
        <w:ind w:firstLine="720"/>
        <w:rPr>
          <w:rFonts w:ascii="Calibri" w:hAnsi="Calibri" w:cs="Calibri"/>
        </w:rPr>
      </w:pPr>
      <w:bookmarkEnd w:id="153"/>
    </w:p>
    <w:p>
      <w:pPr>
        <w:pStyle w:val="P3"/>
        <w:rPr>
          <w:rFonts w:cs="Calibri"/>
        </w:rPr>
      </w:pPr>
      <w:bookmarkStart w:id="155" w:name="_Hlk213242570"/>
      <w:r>
        <w:rPr>
          <w:rFonts w:cs="Calibri"/>
        </w:rPr>
        <w:t xml:space="preserve">Risk för översvämning </w:t>
      </w:r>
      <w:bookmarkStart w:id="156" w:name="pf_riskföröversvämning01"/>
    </w:p>
    <w:p>
      <w:pPr>
        <w:ind w:left="720"/>
        <w:rPr>
          <w:rFonts w:ascii="Calibri" w:hAnsi="Calibri" w:cs="Calibri"/>
        </w:rPr>
      </w:pPr>
      <w:bookmarkEnd w:id="155"/>
      <w:r>
        <w:rPr>
          <w:rFonts w:ascii="Calibri" w:hAnsi="Calibri" w:cs="Calibri"/>
        </w:rPr>
        <w:t xml:space="preserve">Enligt Boverkets vägledning för översvämningsrisker till följd av skyfall bör, som ett minimum, ny sammanhållen bebyggelse planläggas så att den årliga sannolikheten för att bebyggelsen tar skada vid översvämning är mindre än 1/100. </w:t>
      </w:r>
    </w:p>
    <w:p>
      <w:pPr>
        <w:ind w:left="720"/>
        <w:rPr>
          <w:rFonts w:ascii="Calibri" w:hAnsi="Calibri" w:cs="Calibri"/>
        </w:rPr>
      </w:pPr>
      <w:r>
        <w:rPr>
          <w:rFonts w:ascii="Calibri" w:hAnsi="Calibri" w:cs="Calibri"/>
        </w:rPr>
        <w:t>För att få en uppfattning om olägenheter/skador som regnet orsakar kan följande djupintervall för vatten på markytan användas som ungefärliga riktvärden:</w:t>
      </w:r>
    </w:p>
    <w:p>
      <w:pPr>
        <w:pStyle w:val="P31"/>
        <w:numPr>
          <w:ilvl w:val="0"/>
          <w:numId w:val="5"/>
        </w:numPr>
        <w:rPr>
          <w:rFonts w:ascii="Calibri" w:hAnsi="Calibri" w:cs="Calibri"/>
        </w:rPr>
      </w:pPr>
      <w:r>
        <w:rPr>
          <w:rFonts w:ascii="Calibri" w:hAnsi="Calibri" w:cs="Calibri"/>
        </w:rPr>
        <w:t>0,1 – 0,3 m, besvärande framkomlighet</w:t>
      </w:r>
    </w:p>
    <w:p>
      <w:pPr>
        <w:pStyle w:val="P31"/>
        <w:numPr>
          <w:ilvl w:val="0"/>
          <w:numId w:val="5"/>
        </w:numPr>
        <w:rPr>
          <w:rFonts w:ascii="Calibri" w:hAnsi="Calibri" w:cs="Calibri"/>
        </w:rPr>
      </w:pPr>
      <w:r>
        <w:rPr>
          <w:rFonts w:ascii="Calibri" w:hAnsi="Calibri" w:cs="Calibri"/>
        </w:rPr>
        <w:t>0,3 – 0,5 m, ej möjligt att ta sig fram med motorfordon, risk för skada</w:t>
      </w:r>
    </w:p>
    <w:p>
      <w:pPr>
        <w:pStyle w:val="P31"/>
        <w:numPr>
          <w:ilvl w:val="0"/>
          <w:numId w:val="5"/>
        </w:numPr>
        <w:rPr>
          <w:rFonts w:ascii="Calibri" w:hAnsi="Calibri" w:cs="Calibri"/>
        </w:rPr>
      </w:pPr>
      <w:r>
        <w:rPr>
          <w:rFonts w:ascii="Calibri" w:hAnsi="Calibri" w:cs="Calibri"/>
        </w:rPr>
        <w:t>0,5 m och mer, stora materiella skador, risk för hälsa och liv</w:t>
      </w:r>
    </w:p>
    <w:p>
      <w:pPr>
        <w:ind w:left="720"/>
        <w:rPr>
          <w:rFonts w:ascii="Calibri" w:hAnsi="Calibri" w:cs="Calibri"/>
        </w:rPr>
      </w:pPr>
      <w:r>
        <w:rPr>
          <w:rFonts w:ascii="Calibri" w:hAnsi="Calibri" w:cs="Calibri"/>
        </w:rPr>
        <w:t xml:space="preserve">Inom och utanför planområdet bör det finnas mark som inte är hårdgjord för att hantera lokala översvämningar från dagvatten och skyfallsmängder. Grönytor med möjligheter till planteringar kommer att bibehållas längst med Vasagatans sträckning samt söder om planområdet, vilket är viktigt för att minska risken för översvämning från vägbana samt i tunneln i söder som löper under Vasagatan, där regnvatten kan samlas och där data visar på svårigheter vid skyfall. Markens genomsläpplighet samt närhet till vattendrag skapar goda förutsättningar för att leda vattenmängder norr och öster ut samt genom infiltration till grundvattnet. </w:t>
      </w:r>
    </w:p>
    <w:p>
      <w:pPr>
        <w:ind w:left="720"/>
        <w:rPr>
          <w:rFonts w:ascii="Calibri" w:hAnsi="Calibri" w:cs="Calibri"/>
        </w:rPr>
      </w:pPr>
      <w:r>
        <w:rPr>
          <w:rFonts w:ascii="Calibri" w:hAnsi="Calibri" w:cs="Calibri"/>
        </w:rPr>
        <w:t>Planområdet bedöms klara skyfall vid ett 100-års regn idag samt ett 100-års regn år 2100. Planområdet bedöms klara Kolbäcksåns nivåhöjning av vatten med risk av översvämning vid 100-års- samt ett 200-års återkomsttid.</w:t>
      </w:r>
    </w:p>
    <w:p>
      <w:pPr>
        <w:ind w:left="720"/>
        <w:rPr>
          <w:rFonts w:ascii="Calibri" w:hAnsi="Calibri" w:cs="Calibri"/>
        </w:rPr>
      </w:pPr>
      <w:r>
        <w:rPr>
          <w:rFonts w:ascii="Calibri" w:hAnsi="Calibri" w:cs="Calibri"/>
        </w:rPr>
        <w:t>Vid Högsta flöde, 10 000 års återkomsttid, gränsar det till översvämning i östra delen av planområdet, men den tilltänkta faskompenseringen kommer ligga i en högre nivå än den befintliga anläggningen samt östra delen av anläggningen är generellt inte lika känslig mot vatten.</w:t>
      </w:r>
      <w:bookmarkEnd w:id="156"/>
      <w:bookmarkStart w:id="157" w:name="ko_översvämning01"/>
      <w:r>
        <w:rPr>
          <w:rFonts w:ascii="Calibri" w:hAnsi="Calibri" w:cs="Calibri"/>
        </w:rPr>
        <w:t xml:space="preserve"> Risken ökar vid mer hårdgjorda ytor samt byggnation, men förväntas inte vara påtagliga, då många genomsläppliga ytor kring Faskompenseringen samt öster om Vattenkraftbyggnaden förväntas vara kvar. Detta på grund av byggrätten, prickmarken och den förväntade dagvattenhanteringen som planen medger. Bedömningen är att det inte förekommer risk för översvämning.</w:t>
      </w:r>
      <w:bookmarkEnd w:id="157"/>
    </w:p>
    <w:p>
      <w:pPr>
        <w:ind w:left="720"/>
        <w:rPr>
          <w:rFonts w:ascii="Calibri" w:hAnsi="Calibri" w:cs="Calibri"/>
        </w:rPr>
      </w:pPr>
      <w:bookmarkStart w:id="158" w:name="pf_riskföröversvämning02"/>
      <w:r>
        <w:rPr>
          <w:rFonts w:cstheme="minorHAnsi"/>
          <w:szCs w:val="24"/>
        </w:rPr>
        <w:t xml:space="preserve">Ett utlåtande från damm-teknisk sakkunnig för Smedjebackens kraftverk vid planområdet samt en konsekvensutredning visar på att planförslaget fortfarande är lämpligt vid dammhaveri eller utrivning. För mer information se bilagorna </w:t>
      </w:r>
      <w:r>
        <w:rPr>
          <w:rFonts w:ascii="Calibri" w:hAnsi="Calibri" w:cs="Calibri"/>
          <w:i w:val="1"/>
          <w:iCs w:val="1"/>
        </w:rPr>
        <w:t>Utlåtande Dammsäkerhet</w:t>
      </w:r>
      <w:r>
        <w:rPr>
          <w:rFonts w:ascii="Calibri" w:hAnsi="Calibri" w:cs="Calibri"/>
        </w:rPr>
        <w:t xml:space="preserve"> och </w:t>
      </w:r>
      <w:r>
        <w:rPr>
          <w:rFonts w:ascii="Calibri" w:hAnsi="Calibri" w:cs="Calibri"/>
          <w:i w:val="1"/>
          <w:iCs w:val="1"/>
        </w:rPr>
        <w:t>Kraftverk konsekvensutredning 2016</w:t>
      </w:r>
      <w:r>
        <w:rPr>
          <w:rFonts w:ascii="Calibri" w:hAnsi="Calibri" w:cs="Calibri"/>
        </w:rPr>
        <w:t>.</w:t>
      </w:r>
    </w:p>
    <w:p>
      <w:pPr>
        <w:ind w:left="720"/>
        <w:rPr>
          <w:rFonts w:ascii="Calibri" w:hAnsi="Calibri" w:cs="Calibri"/>
        </w:rPr>
      </w:pPr>
      <w:bookmarkEnd w:id="158"/>
    </w:p>
    <w:p>
      <w:pPr>
        <w:pStyle w:val="P3"/>
        <w:rPr>
          <w:rFonts w:cs="Calibri"/>
        </w:rPr>
      </w:pPr>
      <w:r>
        <w:rPr>
          <w:rFonts w:cs="Calibri"/>
        </w:rPr>
        <w:t>Risk för erosion, ras och skred</w:t>
      </w:r>
    </w:p>
    <w:p>
      <w:pPr>
        <w:ind w:left="720"/>
        <w:rPr>
          <w:rFonts w:ascii="Calibri" w:hAnsi="Calibri" w:cs="Calibri"/>
        </w:rPr>
      </w:pPr>
      <w:bookmarkStart w:id="159" w:name="pf_hälsaochsäkerhet01"/>
      <w:r>
        <w:rPr>
          <w:rFonts w:ascii="Calibri" w:hAnsi="Calibri" w:cs="Calibri"/>
        </w:rPr>
        <w:t>Inom planområdet så består marken av fyllningsmaterial med hög genomsläppbarhet och underbyggs av material som kan vara lera, silt och morän. Data visa på en låg erosionsrisk längst med vattenlinjen vid kolbäcksåns sträckning. Kyltornet om denna förläggs i branten ner mot Kolbäcksån i norr, behöver anpassas att motverka risker för erosion och ras. Det troliga alternativet är dock att Kyltornet förläggs väster om faskompenseringen som planförslaget möjliggör.</w:t>
      </w:r>
    </w:p>
    <w:p>
      <w:pPr>
        <w:ind w:left="720"/>
        <w:rPr>
          <w:rFonts w:ascii="Calibri" w:hAnsi="Calibri" w:cs="Calibri"/>
          <w:szCs w:val="24"/>
        </w:rPr>
      </w:pPr>
      <w:r>
        <w:rPr>
          <w:rFonts w:ascii="Calibri" w:hAnsi="Calibri" w:cs="Calibri"/>
          <w:bCs w:val="1"/>
          <w:szCs w:val="24"/>
        </w:rPr>
        <w:t xml:space="preserve">Angående skredrisker så visar generella data från SGI att det finns skredrisker för finkornig jordart i strandnära område men ej skredrisker i efterbearbetad lutningsana. I den fördjupade geotekniska undersökningen av platsen så har inga skredrisker identifierats. Vid byggnation kan eventuellt skredrisken behöva undersökas vidare. </w:t>
      </w:r>
    </w:p>
    <w:p>
      <w:pPr>
        <w:ind w:left="720"/>
        <w:rPr>
          <w:rFonts w:ascii="Calibri" w:hAnsi="Calibri" w:cs="Calibri"/>
        </w:rPr>
      </w:pPr>
      <w:bookmarkEnd w:id="159"/>
      <w:bookmarkStart w:id="160" w:name="ko_hälsaochsäkerhet01"/>
      <w:r>
        <w:rPr>
          <w:rFonts w:ascii="Calibri" w:hAnsi="Calibri" w:cs="Calibri"/>
        </w:rPr>
        <w:t>I detaljplanens genomförande så kommer tilltänkta byggnader att prövas i sin konstruktion så att inte risker förefaller och att rätt åtgärder för underbyggande konstruktion klarar skred-, erosion- och rasrisker. Detta kan resultera i att brantens beläggning och utförande kan komma behöva förstärkas och konstrueras vid faskompenserings byggnadens norra sida mot vattnet.</w:t>
      </w:r>
    </w:p>
    <w:p>
      <w:pPr>
        <w:ind w:left="720"/>
        <w:rPr>
          <w:rFonts w:ascii="Calibri" w:hAnsi="Calibri" w:cs="Calibri"/>
        </w:rPr>
      </w:pPr>
      <w:r>
        <w:rPr>
          <w:rFonts w:ascii="Calibri" w:hAnsi="Calibri" w:cs="Calibri"/>
        </w:rPr>
        <w:t xml:space="preserve">Underlaget i geotekniska undersökningen bedömer att det är generellt är låg risk för ras, skred eller sättningar i den naturliga lagrade jorden i området. Information saknas om lastuppgifter och hur befintlig fyllning är packad, som kan påverka risken för sättningar vid ökad belastning, därför bör inte ytlig grundläggning ske på befintlig fyllning. Bedömningen är att det inte föreligger några risker för erosion, skred och ras. </w:t>
      </w:r>
    </w:p>
    <w:p>
      <w:pPr>
        <w:ind w:left="720"/>
        <w:rPr>
          <w:rFonts w:ascii="Calibri" w:hAnsi="Calibri" w:cs="Calibri"/>
        </w:rPr>
      </w:pPr>
      <w:r>
        <w:rPr>
          <w:rFonts w:cstheme="minorHAnsi"/>
          <w:szCs w:val="24"/>
          <w:shd w:val="clear" w:color="auto" w:fill="FFFFFF"/>
        </w:rPr>
        <w:t>Separat avtal eller åtagande mellan Smedjebacken Energi AB och Ovako Bar AB bör upprättas angående ansvarsförhållande och skydd, för att motverka framtida risker såsom erosion samt återställning av erosionsskydd där ena parten kan drabba den andra. Finns inga sådana avtal, så är det främst fastighetsägarens ansvar att säkerställa skydd och förhindra förhöjda risker. Vid planens genomförande förväntas Ovako Bar AB åtagande bli större då största delen av fastigheten direkt norr om faskompenseringen förväntas avstyckas och tillfalla fastighet 2:3.</w:t>
      </w:r>
      <w:r>
        <w:rPr>
          <w:rFonts w:ascii="Calibri" w:hAnsi="Calibri" w:cs="Calibri"/>
        </w:rPr>
        <w:br w:type="textWrapping"/>
        <w:t xml:space="preserve">För mer information om den fördjupade geotekniska undersökningen och markförhållande, hänvisas till bilagorna </w:t>
      </w:r>
      <w:r>
        <w:rPr>
          <w:rFonts w:ascii="Calibri" w:hAnsi="Calibri" w:cs="Calibri"/>
          <w:i w:val="1"/>
          <w:iCs w:val="1"/>
        </w:rPr>
        <w:t>PM Geoteknik</w:t>
      </w:r>
      <w:r>
        <w:rPr>
          <w:rFonts w:ascii="Calibri" w:hAnsi="Calibri" w:cs="Calibri"/>
        </w:rPr>
        <w:t xml:space="preserve">, </w:t>
      </w:r>
      <w:r>
        <w:rPr>
          <w:rFonts w:ascii="Calibri" w:hAnsi="Calibri" w:cs="Calibri"/>
          <w:i w:val="1"/>
          <w:iCs w:val="1"/>
        </w:rPr>
        <w:t>Markteknisk undersökningsrapport</w:t>
      </w:r>
      <w:r>
        <w:rPr>
          <w:rFonts w:ascii="Calibri" w:hAnsi="Calibri" w:cs="Calibri"/>
        </w:rPr>
        <w:t xml:space="preserve">, </w:t>
      </w:r>
      <w:r>
        <w:rPr>
          <w:rFonts w:ascii="Calibri" w:hAnsi="Calibri" w:cs="Calibri"/>
          <w:i w:val="1"/>
          <w:iCs w:val="1"/>
        </w:rPr>
        <w:t>PM Miljöteknisk Markundersökning</w:t>
      </w:r>
      <w:r>
        <w:rPr>
          <w:rFonts w:ascii="Calibri" w:hAnsi="Calibri" w:cs="Calibri"/>
        </w:rPr>
        <w:t xml:space="preserve"> samt se illustrationsplanen (figur 9) för tilltänkt fastighetsindelning.</w:t>
      </w:r>
      <w:bookmarkEnd w:id="160"/>
      <w:r>
        <w:rPr>
          <w:rFonts w:ascii="Calibri" w:hAnsi="Calibri" w:cs="Calibri"/>
        </w:rPr>
        <w:t xml:space="preserve"> </w:t>
      </w:r>
    </w:p>
    <w:p>
      <w:pPr>
        <w:ind w:left="720"/>
        <w:rPr>
          <w:rFonts w:ascii="Calibri" w:hAnsi="Calibri" w:cs="Calibri"/>
        </w:rPr>
      </w:pPr>
    </w:p>
    <w:p>
      <w:pPr>
        <w:ind w:left="720"/>
        <w:rPr>
          <w:rFonts w:ascii="Calibri" w:hAnsi="Calibri" w:cs="Calibri"/>
        </w:rPr>
      </w:pPr>
      <w:r>
        <w:rPr>
          <w:rFonts w:ascii="Calibri" w:hAnsi="Calibri" w:cs="Calibri"/>
          <w:noProof w:val="1"/>
        </w:rPr>
        <w:drawing>
          <wp:inline xmlns:wp="http://schemas.openxmlformats.org/drawingml/2006/wordprocessingDrawing" distT="0" distB="0" distL="0" distR="0">
            <wp:extent cx="5083175" cy="959485"/>
            <wp:effectExtent l="19050" t="19050" r="22225" b="12065"/>
            <wp:docPr id="122477180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71801" name="Picture 22"/>
                    <pic:cNvPicPr/>
                  </pic:nvPicPr>
                  <pic:blipFill dpi="0">
                    <a:blip xmlns:r="http://schemas.openxmlformats.org/officeDocument/2006/relationships" r:embed="Relimage24"/>
                    <a:srcRect/>
                    <a:stretch>
                      <a:fillRect/>
                    </a:stretch>
                  </pic:blipFill>
                  <pic:spPr>
                    <a:xfrm>
                      <a:off x="0" y="0"/>
                      <a:ext cx="5096732" cy="962380"/>
                    </a:xfrm>
                    <a:prstGeom prst="rect"/>
                    <a:ln>
                      <a:solidFill>
                        <a:schemeClr val="tx1"/>
                      </a:solidFill>
                    </a:ln>
                  </pic:spPr>
                </pic:pic>
              </a:graphicData>
            </a:graphic>
          </wp:inline>
        </w:drawing>
      </w:r>
    </w:p>
    <w:p>
      <w:pPr>
        <w:ind w:left="720"/>
        <w:rPr>
          <w:rFonts w:ascii="Calibri" w:hAnsi="Calibri" w:cs="Calibri"/>
          <w:color w:val="3B3939" w:themeColor="background2" w:themeShade="40"/>
          <w:sz w:val="16"/>
          <w:szCs w:val="16"/>
        </w:rPr>
      </w:pPr>
      <w:r>
        <w:rPr>
          <w:rFonts w:ascii="Calibri" w:hAnsi="Calibri" w:cs="Calibri"/>
          <w:color w:val="3B3939" w:themeColor="background2" w:themeShade="40"/>
          <w:sz w:val="16"/>
          <w:szCs w:val="16"/>
        </w:rPr>
        <w:t>Figur 19: Del av vattenlinjens markbestånd, främst större och mindre stenblock.</w:t>
      </w:r>
    </w:p>
    <w:p>
      <w:pPr>
        <w:ind w:left="720"/>
        <w:rPr>
          <w:rFonts w:ascii="Calibri" w:hAnsi="Calibri" w:cs="Calibri"/>
        </w:rPr>
      </w:pPr>
    </w:p>
    <w:p>
      <w:pPr>
        <w:pStyle w:val="P3"/>
        <w:rPr>
          <w:rFonts w:cs="Calibri"/>
        </w:rPr>
      </w:pPr>
      <w:r>
        <w:rPr>
          <w:rFonts w:cs="Calibri"/>
        </w:rPr>
        <w:t>Förorenad mark</w:t>
      </w:r>
    </w:p>
    <w:p>
      <w:pPr>
        <w:ind w:left="720"/>
        <w:rPr>
          <w:rFonts w:ascii="Calibri" w:hAnsi="Calibri" w:cs="Calibri"/>
          <w:szCs w:val="24"/>
        </w:rPr>
      </w:pPr>
      <w:bookmarkStart w:id="161" w:name="pf_förorenadmark01"/>
      <w:r>
        <w:rPr>
          <w:rFonts w:ascii="Calibri" w:hAnsi="Calibri" w:cs="Calibri"/>
          <w:szCs w:val="24"/>
        </w:rPr>
        <w:t>Industriverksamheten som pågår inom fastigheten innehar miljöfarlig verksamhet, därför finns föroreningskällor på fastigheten, dock så är fastigheten stor och det är inget som direkt påverkar planområdet som ligger i hörnet av Industrifastigheten, omgiven av byggnader, anläggningar, parkmark och kontor.</w:t>
      </w:r>
    </w:p>
    <w:p>
      <w:pPr>
        <w:spacing w:lineRule="auto" w:line="240" w:after="0" w:beforeAutospacing="0" w:afterAutospacing="0"/>
        <w:ind w:left="720"/>
        <w:rPr>
          <w:rFonts w:ascii="Calibri" w:hAnsi="Calibri" w:cs="Calibri" w:eastAsia="Times New Roman"/>
          <w:szCs w:val="24"/>
          <w:lang w:eastAsia="sv-SE"/>
        </w:rPr>
      </w:pPr>
      <w:r>
        <w:rPr>
          <w:rFonts w:ascii="Calibri" w:hAnsi="Calibri" w:cs="Calibri"/>
          <w:szCs w:val="24"/>
        </w:rPr>
        <w:t xml:space="preserve">En undersökning har utförts där en enskild förorening hittades av 14 prover tagna på den östra delen av planområdet. Analysen visade på förhöjda barium-, krom- och zinkhalter som överskreds och har därefter avhjälpts. Prover tagna efter föroreningarna blev avhjälpta, visar på att värden i marken som är lämplig för </w:t>
      </w:r>
      <w:r>
        <w:rPr>
          <w:rFonts w:ascii="Calibri" w:hAnsi="Calibri" w:cs="Calibri"/>
          <w:i w:val="1"/>
          <w:iCs w:val="1"/>
          <w:szCs w:val="24"/>
        </w:rPr>
        <w:t>Mindre känslig mark</w:t>
      </w:r>
      <w:r>
        <w:rPr>
          <w:rFonts w:ascii="Calibri" w:hAnsi="Calibri" w:cs="Calibri"/>
          <w:szCs w:val="24"/>
        </w:rPr>
        <w:t xml:space="preserve"> (MKM). Det avhjälpande behovet av föroreningar har därmed hanterats och ska åtgärdas enligt 28 § FMVH.</w:t>
      </w:r>
      <w:r>
        <w:rPr>
          <w:rFonts w:ascii="Calibri" w:hAnsi="Calibri" w:cs="Calibri" w:eastAsia="Times New Roman"/>
          <w:color w:val="FF0000"/>
          <w:szCs w:val="24"/>
          <w:lang w:eastAsia="sv-SE"/>
        </w:rPr>
        <w:t xml:space="preserve"> </w:t>
      </w:r>
      <w:r>
        <w:rPr>
          <w:rFonts w:ascii="Calibri" w:hAnsi="Calibri" w:cs="Calibri" w:eastAsia="Times New Roman"/>
          <w:szCs w:val="24"/>
          <w:lang w:eastAsia="sv-SE"/>
        </w:rPr>
        <w:t xml:space="preserve">Åtagandet I beslutet innebär att avhjälpande och andra åtgärder ska ske i samband med markarbeten för Faskompenseringen. </w:t>
      </w:r>
      <w:r>
        <w:rPr>
          <w:rFonts w:ascii="Calibri" w:hAnsi="Calibri" w:cs="Calibri"/>
          <w:szCs w:val="24"/>
        </w:rPr>
        <w:t xml:space="preserve">Ett ytterligare underlag har tagits fram för att utöka undersökningsområdet för möjliga föroreningar. Underlaget visar på förhöjda halter av arsenik som överskrider MKM från bergkross. Vidare bedöms där att en god kunskap kring förekomsten av markföroreningar erhållits samt att ingen förekomst av industrirelaterade restprodukter har funnits. Föroreningar över MKM måste avhjälpas för att mark ska bli lämplig för byggnation eller markåtgärder. Planbestämmelse om prickmark - </w:t>
      </w:r>
      <w:r>
        <w:rPr>
          <w:rFonts w:ascii="Calibri" w:hAnsi="Calibri" w:cs="Calibri"/>
          <w:i w:val="1"/>
          <w:iCs w:val="1"/>
          <w:szCs w:val="24"/>
        </w:rPr>
        <w:t>Marken får inte förses med byggnadsverk</w:t>
      </w:r>
      <w:r>
        <w:rPr>
          <w:rFonts w:ascii="Calibri" w:hAnsi="Calibri" w:cs="Calibri"/>
          <w:szCs w:val="24"/>
        </w:rPr>
        <w:t xml:space="preserve"> samt planbestämmelse om villkor om startbesked kommer införas, så att sanering av föroreningar tillämpas inom användningarna EZ- (Tekniska anläggningar/ Verksamheter) och därmed säkerställa markens lämplighet för att möjliggöra detaljplanen. </w:t>
      </w:r>
    </w:p>
    <w:p>
      <w:pPr>
        <w:pStyle w:val="P31"/>
        <w:rPr>
          <w:rFonts w:ascii="Calibri" w:hAnsi="Calibri" w:cs="Calibri"/>
          <w:szCs w:val="24"/>
        </w:rPr>
      </w:pPr>
    </w:p>
    <w:p>
      <w:pPr>
        <w:pStyle w:val="P31"/>
        <w:rPr>
          <w:rFonts w:ascii="Calibri" w:hAnsi="Calibri" w:cs="Calibri"/>
          <w:szCs w:val="24"/>
        </w:rPr>
      </w:pPr>
      <w:r>
        <w:rPr>
          <w:rFonts w:ascii="Calibri" w:hAnsi="Calibri" w:cs="Calibri"/>
          <w:szCs w:val="24"/>
        </w:rPr>
        <w:t>Fastighetsägaren måste säkerställa så att inte ytterligare föroreningar från fastigheten ökar och hamnar via bland annat dagvattnet i Kolbäcksån. De tilltänkta verksamheternas drift förväntas inte förorena marken ytterligare. Vid exploatering av planområdet så ska dagvattenbrunnar eller andra dagvattenanläggningar nya såsom befintliga ses över med filtrering och fördröjning, så att inte ett ökat flöde med större föroreningsmängder som följd hamnar i Kolbäcksån. Drän- och dagvatten ska i första hand infiltreras i de genomsläppliga ytorna för att förhindra detta.</w:t>
      </w:r>
    </w:p>
    <w:p>
      <w:pPr>
        <w:spacing w:lineRule="auto" w:line="240" w:after="0" w:beforeAutospacing="0" w:afterAutospacing="0"/>
        <w:ind w:left="720"/>
        <w:rPr>
          <w:rFonts w:ascii="Calibri" w:hAnsi="Calibri" w:cs="Calibri"/>
          <w:i w:val="1"/>
          <w:iCs w:val="1"/>
          <w:szCs w:val="24"/>
        </w:rPr>
      </w:pPr>
      <w:r>
        <w:rPr>
          <w:rFonts w:ascii="Calibri" w:hAnsi="Calibri" w:cs="Calibri"/>
          <w:szCs w:val="24"/>
        </w:rPr>
        <w:t xml:space="preserve">Bedömningen är att marken inte förväntas vara så förorenad att möjliga verksamheter och tekniska anläggningar tordes vara lämpliga för mark som möjliggörs i detaljplanen. För mer information om avhjälpande av förorening samt undersökning av planområdet se bilagan; </w:t>
      </w:r>
      <w:r>
        <w:rPr>
          <w:rFonts w:ascii="Calibri" w:hAnsi="Calibri" w:cs="Calibri"/>
          <w:i w:val="1"/>
          <w:iCs w:val="1"/>
          <w:szCs w:val="24"/>
        </w:rPr>
        <w:t xml:space="preserve">PM Efterbehandling Förorening </w:t>
      </w:r>
      <w:r>
        <w:rPr>
          <w:rFonts w:ascii="Calibri" w:hAnsi="Calibri" w:cs="Calibri"/>
          <w:szCs w:val="24"/>
        </w:rPr>
        <w:t xml:space="preserve">och </w:t>
      </w:r>
      <w:r>
        <w:rPr>
          <w:rFonts w:ascii="Calibri" w:hAnsi="Calibri" w:cs="Calibri"/>
          <w:i w:val="1"/>
          <w:iCs w:val="1"/>
          <w:szCs w:val="24"/>
        </w:rPr>
        <w:t>PM Utökad undersökning.</w:t>
      </w:r>
    </w:p>
    <w:p>
      <w:pPr>
        <w:spacing w:lineRule="auto" w:line="240" w:after="0" w:beforeAutospacing="0" w:afterAutospacing="0"/>
        <w:ind w:left="720"/>
        <w:rPr>
          <w:rFonts w:ascii="Calibri" w:hAnsi="Calibri" w:cs="Calibri"/>
          <w:i w:val="1"/>
          <w:iCs w:val="1"/>
          <w:szCs w:val="24"/>
        </w:rPr>
      </w:pPr>
      <w:bookmarkEnd w:id="161"/>
    </w:p>
    <w:p>
      <w:pPr>
        <w:pStyle w:val="P3"/>
        <w:rPr>
          <w:rFonts w:eastAsia="Times New Roman"/>
          <w:lang w:eastAsia="sv-SE"/>
        </w:rPr>
      </w:pPr>
      <w:r>
        <w:rPr>
          <w:rFonts w:eastAsia="Times New Roman"/>
          <w:lang w:eastAsia="sv-SE"/>
        </w:rPr>
        <w:t>Villkor för startbesked</w:t>
      </w:r>
    </w:p>
    <w:p>
      <w:pPr>
        <w:ind w:left="720"/>
        <w:rPr>
          <w:lang w:eastAsia="sv-SE"/>
        </w:rPr>
      </w:pPr>
      <w:bookmarkStart w:id="162" w:name="pf_förorenadmark02"/>
      <w:r>
        <w:rPr>
          <w:lang w:eastAsia="sv-SE"/>
        </w:rPr>
        <w:t>Villkor för startbesked samt prickmark införs på detaljplanen för att säkerställa att marken blir lämplig. Skälen som motiveras till att införa planbestämmelse om villkor är:</w:t>
      </w:r>
    </w:p>
    <w:p>
      <w:pPr>
        <w:pStyle w:val="P31"/>
        <w:numPr>
          <w:ilvl w:val="0"/>
          <w:numId w:val="22"/>
        </w:numPr>
        <w:rPr>
          <w:lang w:eastAsia="sv-SE"/>
        </w:rPr>
      </w:pPr>
      <w:r>
        <w:rPr>
          <w:lang w:eastAsia="sv-SE"/>
        </w:rPr>
        <w:t>Planområdet är begränsat i omfattning genom ett egenskapsområde. Dels så är den totala kvadratytan förhållandevis liten. Dels så täcker egenskapsområdet endast en tredjedel av planområdet, vilket anses som en mindre del.</w:t>
      </w:r>
    </w:p>
    <w:p>
      <w:pPr>
        <w:pStyle w:val="P31"/>
        <w:numPr>
          <w:ilvl w:val="0"/>
          <w:numId w:val="22"/>
        </w:numPr>
        <w:rPr>
          <w:lang w:eastAsia="sv-SE"/>
        </w:rPr>
      </w:pPr>
      <w:r>
        <w:rPr>
          <w:lang w:eastAsia="sv-SE"/>
        </w:rPr>
        <w:t>Villkoret inom egenskapsområde säkerställer att all byggnation inom området gör marken lämplig efter sanering skett.</w:t>
      </w:r>
    </w:p>
    <w:p>
      <w:pPr>
        <w:pStyle w:val="P31"/>
        <w:numPr>
          <w:ilvl w:val="0"/>
          <w:numId w:val="22"/>
        </w:numPr>
        <w:rPr>
          <w:lang w:eastAsia="sv-SE"/>
        </w:rPr>
      </w:pPr>
      <w:r>
        <w:rPr>
          <w:lang w:eastAsia="sv-SE"/>
        </w:rPr>
        <w:t>Planbestämmelsen har ett naturligt samband med övriga planbestämmelser genom att säkerställa sanering så kan detaljplanen byggas ut med dess tilltänkta syfte. Planbestämmelsen strider heller inte mot andra planbestämmelser.</w:t>
      </w:r>
    </w:p>
    <w:p>
      <w:pPr>
        <w:pStyle w:val="P31"/>
        <w:numPr>
          <w:ilvl w:val="0"/>
          <w:numId w:val="22"/>
        </w:numPr>
        <w:rPr>
          <w:lang w:eastAsia="sv-SE"/>
        </w:rPr>
      </w:pPr>
      <w:r>
        <w:rPr>
          <w:lang w:eastAsia="sv-SE"/>
        </w:rPr>
        <w:t>Planbestämmelsen är tydlig med rätt detaljeringsgrad för att säkerställa den förorenade marken som ska avhjälpas men samtidigt inte mer detaljerad än behovet för att göra marken lämplig.</w:t>
      </w:r>
    </w:p>
    <w:p>
      <w:pPr>
        <w:pStyle w:val="P31"/>
        <w:numPr>
          <w:ilvl w:val="0"/>
          <w:numId w:val="22"/>
        </w:numPr>
        <w:rPr>
          <w:lang w:eastAsia="sv-SE"/>
        </w:rPr>
      </w:pPr>
      <w:r>
        <w:rPr>
          <w:lang w:eastAsia="sv-SE"/>
        </w:rPr>
        <w:t xml:space="preserve">Planförslaget reglerar inte befintliga förhållanden, då nya användningar inbegrips samt nya funktioner på platsen. </w:t>
        <w:br w:type="textWrapping"/>
        <w:t>Befintlig detaljplan laga kraft 2007 regleras inom egenskapsområdet användningarna; Kraftverk och Industri/Kontor. Dessa ytor används som parkmark, grönytor samt kontor med med en stor del prickmark.</w:t>
      </w:r>
    </w:p>
    <w:p>
      <w:pPr>
        <w:pStyle w:val="P31"/>
        <w:ind w:left="1440"/>
        <w:rPr>
          <w:lang w:eastAsia="sv-SE"/>
        </w:rPr>
      </w:pPr>
      <w:r>
        <w:rPr>
          <w:lang w:eastAsia="sv-SE"/>
        </w:rPr>
        <w:t>Planförslaget regleras i stället inom egenskapsområdet användningarna; Verksamheter/Tekniska anläggningar. Dessa ytor möjliggörs att användas för verksamheter, bebyggelse och tekniska anläggningar, parkering samt dagvattensystem. Kontors- industri- och parkmarksytor kommer därmed att försvinna inom egenskapsområdet genom förtätning av marken med de nya användningarna. Prickmarken har samtidigt tagits bort helt på ytorna som förväntas till stor andel byggas ut. Sammantaget är syftet, användningarna och funktionerna är något helt annan än de befintliga förhållandena.</w:t>
      </w:r>
    </w:p>
    <w:p>
      <w:pPr>
        <w:ind w:left="720"/>
        <w:rPr>
          <w:rFonts w:ascii="Calibri" w:hAnsi="Calibri" w:cs="Calibri"/>
          <w:szCs w:val="24"/>
        </w:rPr>
      </w:pPr>
      <w:bookmarkEnd w:id="162"/>
    </w:p>
    <w:p>
      <w:pPr>
        <w:pStyle w:val="P3"/>
        <w:rPr>
          <w:rFonts w:cs="Calibri"/>
        </w:rPr>
      </w:pPr>
      <w:r>
        <w:rPr>
          <w:rFonts w:cs="Calibri"/>
        </w:rPr>
        <w:t>Räddningstjänstens insatstid</w:t>
      </w:r>
    </w:p>
    <w:p>
      <w:pPr>
        <w:ind w:left="720"/>
        <w:rPr>
          <w:rFonts w:ascii="Calibri" w:hAnsi="Calibri" w:cs="Calibri"/>
        </w:rPr>
      </w:pPr>
      <w:bookmarkStart w:id="163" w:name="pf_hälsaochsäkerhet03"/>
      <w:r>
        <w:rPr>
          <w:rFonts w:ascii="Calibri" w:hAnsi="Calibri" w:cs="Calibri"/>
        </w:rPr>
        <w:t xml:space="preserve">Räddningstjänsten finns i Smedjebacken tätort cirka 320 m från planområdet och beräknas till under cirka 10 minuter efter larm. </w:t>
      </w:r>
    </w:p>
    <w:p>
      <w:pPr>
        <w:pStyle w:val="P1"/>
        <w:rPr>
          <w:rFonts w:cs="Calibri"/>
        </w:rPr>
      </w:pPr>
      <w:bookmarkEnd w:id="163"/>
      <w:bookmarkStart w:id="164" w:name="_Toc219101386"/>
      <w:r>
        <w:rPr>
          <w:rFonts w:cs="Calibri"/>
        </w:rPr>
        <w:t>Genomförandefrågor</w:t>
      </w:r>
      <w:bookmarkEnd w:id="164"/>
    </w:p>
    <w:p>
      <w:pPr>
        <w:ind w:left="432"/>
        <w:rPr>
          <w:rFonts w:ascii="Calibri" w:hAnsi="Calibri" w:cs="Calibri"/>
        </w:rPr>
      </w:pPr>
      <w:r>
        <w:rPr>
          <w:rFonts w:ascii="Calibri" w:hAnsi="Calibri" w:cs="Calibri"/>
        </w:rPr>
        <w:t xml:space="preserve">Genomförandedelen har till uppgift att redovisa fastighetsrättsliga, tekniska, ekonomiska och organisatoriska åtgärder som behövs för att åstadkomma ett samordnat och ändamålsenligt genomförande av detaljplanen. Redovisning ska också ske om vilka konsekvenser dessa åtgärder får för fastighetsägare och andra berörda. Avsikten med beskrivningen är att den ska vara vägledande vid genomförande av detaljplanen. Genomförandebeskrivningen har i övrigt ingen rättsverkan. </w:t>
      </w:r>
    </w:p>
    <w:p>
      <w:pPr>
        <w:pStyle w:val="P2"/>
        <w:rPr>
          <w:rFonts w:cs="Calibri"/>
        </w:rPr>
      </w:pPr>
      <w:bookmarkStart w:id="165" w:name="_Toc219101387"/>
      <w:r>
        <w:rPr>
          <w:rFonts w:cs="Calibri"/>
        </w:rPr>
        <w:t>Fastighetsrättsliga frågor</w:t>
      </w:r>
      <w:bookmarkEnd w:id="165"/>
    </w:p>
    <w:p>
      <w:pPr>
        <w:pStyle w:val="P3"/>
        <w:rPr>
          <w:rFonts w:cs="Calibri"/>
        </w:rPr>
      </w:pPr>
      <w:r>
        <w:rPr>
          <w:rFonts w:cs="Calibri"/>
        </w:rPr>
        <w:t>Förändrad fastighetsdelning</w:t>
      </w:r>
    </w:p>
    <w:p>
      <w:pPr>
        <w:ind w:left="720"/>
        <w:rPr>
          <w:rFonts w:ascii="Calibri" w:hAnsi="Calibri" w:cs="Calibri"/>
        </w:rPr>
      </w:pPr>
      <w:bookmarkStart w:id="166" w:name="gf_förändradfastighetsindelning01"/>
      <w:r>
        <w:rPr>
          <w:rFonts w:ascii="Calibri" w:hAnsi="Calibri" w:cs="Calibri"/>
        </w:rPr>
        <w:t>Genomförandet av detaljplanen kommer kräva överföring av del av fastigheter. Marköverföringar kommer att behövas, eftersom tilltänkt byggnation vid befintliga fastigheter kommer hamna på mark där rådighet idag saknas. Smedjebackens kommun ansvarar för att ansöka om och bekosta lantmäterikostnader för fastighetsförändring gällande fastighet som ägs av kommunen, om inte annat har överenskommits med exploatörer eller fastighetsägare.</w:t>
      </w:r>
    </w:p>
    <w:p>
      <w:pPr>
        <w:ind w:left="720"/>
        <w:rPr>
          <w:rFonts w:ascii="Calibri" w:hAnsi="Calibri" w:cs="Calibri"/>
        </w:rPr>
      </w:pPr>
      <w:r>
        <w:rPr>
          <w:rFonts w:ascii="Calibri" w:hAnsi="Calibri" w:cs="Calibri"/>
        </w:rPr>
        <w:t xml:space="preserve">De fastighetsrättsliga konsekvenserna inom planområdet blir; </w:t>
        <w:br w:type="textWrapping"/>
        <w:t xml:space="preserve">Stamfastigheten </w:t>
      </w:r>
      <w:r>
        <w:rPr>
          <w:rFonts w:ascii="Calibri" w:hAnsi="Calibri" w:cs="Calibri"/>
          <w:i w:val="1"/>
          <w:iCs w:val="1"/>
        </w:rPr>
        <w:t>Smedjebacken 3:49</w:t>
      </w:r>
      <w:r>
        <w:rPr>
          <w:rFonts w:ascii="Calibri" w:hAnsi="Calibri" w:cs="Calibri"/>
        </w:rPr>
        <w:t xml:space="preserve"> kommer överföra mark till fastighet </w:t>
      </w:r>
      <w:r>
        <w:rPr>
          <w:rFonts w:ascii="Calibri" w:hAnsi="Calibri" w:cs="Calibri"/>
          <w:i w:val="1"/>
          <w:iCs w:val="1"/>
        </w:rPr>
        <w:t>Smedjebacken 2:3</w:t>
      </w:r>
      <w:r>
        <w:rPr>
          <w:rFonts w:ascii="Calibri" w:hAnsi="Calibri" w:cs="Calibri"/>
        </w:rPr>
        <w:t xml:space="preserve"> för att möjliggöra den tilltänkta faskompenseringen. </w:t>
      </w:r>
    </w:p>
    <w:p>
      <w:pPr>
        <w:ind w:left="720"/>
        <w:rPr>
          <w:rFonts w:ascii="Calibri" w:hAnsi="Calibri" w:cs="Calibri"/>
        </w:rPr>
      </w:pPr>
      <w:r>
        <w:rPr>
          <w:rFonts w:ascii="Calibri" w:hAnsi="Calibri" w:cs="Calibri"/>
        </w:rPr>
        <w:t xml:space="preserve">Stamfastigheten </w:t>
      </w:r>
      <w:r>
        <w:rPr>
          <w:rFonts w:ascii="Calibri" w:hAnsi="Calibri" w:cs="Calibri"/>
          <w:i w:val="1"/>
          <w:iCs w:val="1"/>
        </w:rPr>
        <w:t>Smedjebacken 3:2</w:t>
      </w:r>
      <w:r>
        <w:rPr>
          <w:rFonts w:ascii="Calibri" w:hAnsi="Calibri" w:cs="Calibri"/>
        </w:rPr>
        <w:t xml:space="preserve"> kommer överföra mark till fastighet </w:t>
      </w:r>
      <w:r>
        <w:rPr>
          <w:rFonts w:ascii="Calibri" w:hAnsi="Calibri" w:cs="Calibri"/>
          <w:i w:val="1"/>
          <w:iCs w:val="1"/>
        </w:rPr>
        <w:t>Smedjebacken 3:49</w:t>
      </w:r>
      <w:r>
        <w:rPr>
          <w:rFonts w:ascii="Calibri" w:hAnsi="Calibri" w:cs="Calibri"/>
        </w:rPr>
        <w:t xml:space="preserve"> för att möjliggöra mark för primärt bestående av tekniska anläggningar, byggnader, vändplats och parkeringsyta. </w:t>
      </w:r>
    </w:p>
    <w:p>
      <w:pPr>
        <w:ind w:left="720"/>
        <w:rPr>
          <w:rFonts w:ascii="Calibri" w:hAnsi="Calibri" w:cs="Calibri"/>
        </w:rPr>
      </w:pPr>
      <w:r>
        <w:rPr>
          <w:rFonts w:ascii="Calibri" w:hAnsi="Calibri" w:cs="Calibri"/>
        </w:rPr>
        <w:t xml:space="preserve">Detta kommer resultera i att del av Smedjebackens kommuns fastighet kommer byta användning från Industri och kontor samt Kraftverk till användningen Park, så att kommunen kan behålla och utveckla ett grönt stråk längst med Vasagatans sträckning, där nya planteringar möjliggörs. </w:t>
        <w:br w:type="textWrapping"/>
        <w:t xml:space="preserve">Marken som avyttras till Smedjebackens Energi AB möjliggör ny byggnation och utökade användningar för fler olika typer av anläggningar. Prickmarken på befintlig fastighet har minskats samt höjder har ökats, vilket även möjliggör nya byggnationsmöjligheter. Ovako Bar AB kommer få en utökad fastighet mot vatten i norr samt väster ut. Detta kommer ge plats för Faskompenseringen och dess nödvändiga komplementbyggnader i volym med en viss flexibilitet, för tilltänkta dragningar se illustrationsplan (Figur 9). Exakta dragningar kommer avtalas mellan respektive fastighetsägare. </w:t>
      </w:r>
    </w:p>
    <w:p>
      <w:pPr>
        <w:pStyle w:val="P3"/>
      </w:pPr>
      <w:bookmarkEnd w:id="166"/>
      <w:r>
        <w:t xml:space="preserve">Mark- och utrymmesförvärv </w:t>
      </w:r>
    </w:p>
    <w:p>
      <w:pPr>
        <w:ind w:left="720"/>
        <w:rPr>
          <w:b w:val="1"/>
          <w:bCs w:val="1"/>
          <w:color w:val="7030A0"/>
          <w:szCs w:val="24"/>
        </w:rPr>
      </w:pPr>
      <w:bookmarkStart w:id="167" w:name="gf_markochutrymmesförvärv01"/>
      <w:r>
        <w:rPr>
          <w:rFonts w:ascii="Calibri" w:hAnsi="Calibri" w:cs="Calibri"/>
        </w:rPr>
        <w:t xml:space="preserve">Användningen E – Tekniska anläggningar som finns inom planområdet kan i vissa fall anses vara allmän kvartersmark, där inlösning av mark kan inbegripas. </w:t>
      </w:r>
      <w:r>
        <w:rPr>
          <w:szCs w:val="24"/>
        </w:rPr>
        <w:t>Enligt 6 kap. 13 § PBL har kommunen rätt att lösa sådan mark som ska användas för annat än enskilt bebyggande, om användningen för det avsedda ändamålet inte kan anses säkerställd. Markägaren kan även begära att kommunen löser in sådan mark enligt 14 kap. 14 § PBL. Bedömningen är att ingen inlösning förväntas ske, planens syfte är att bygga ut de tilltänka tekniska byggnaderna samt att övriga förhållande i planförslaget är tilltänkt att genomföras.</w:t>
      </w:r>
      <w:r>
        <w:rPr>
          <w:b w:val="1"/>
          <w:bCs w:val="1"/>
          <w:color w:val="7030A0"/>
          <w:szCs w:val="24"/>
        </w:rPr>
        <w:t xml:space="preserve"> </w:t>
      </w:r>
    </w:p>
    <w:p>
      <w:pPr>
        <w:pStyle w:val="P3"/>
        <w:rPr>
          <w:rFonts w:cs="Calibri"/>
        </w:rPr>
      </w:pPr>
      <w:bookmarkEnd w:id="167"/>
      <w:r>
        <w:rPr>
          <w:rFonts w:cs="Calibri"/>
        </w:rPr>
        <w:t>Gemensamhetsanläggningar</w:t>
      </w:r>
    </w:p>
    <w:p>
      <w:pPr>
        <w:ind w:left="720"/>
        <w:rPr>
          <w:rFonts w:ascii="Calibri" w:hAnsi="Calibri" w:cs="Calibri"/>
          <w:shd w:val="clear" w:color="auto" w:fill="FFFFFF"/>
        </w:rPr>
      </w:pPr>
      <w:bookmarkStart w:id="168" w:name="gf_fastighetsrättsligafrågor01"/>
      <w:bookmarkStart w:id="169" w:name="gf_gemensamhetsanläggningar01"/>
      <w:r>
        <w:rPr>
          <w:rFonts w:ascii="Calibri" w:hAnsi="Calibri" w:cs="Calibri"/>
          <w:shd w:val="clear" w:color="auto" w:fill="FFFFFF"/>
        </w:rPr>
        <w:t xml:space="preserve">En gemensamhetsanläggning är en anläggning som inte är allmän, utan endast är till för att tillgodose en grupp av fastigheters gemensamma behov. Det finns inga tidigare gemensamhetsanläggningar inom planområdet. </w:t>
      </w:r>
    </w:p>
    <w:p>
      <w:pPr>
        <w:pStyle w:val="P3"/>
        <w:rPr>
          <w:rFonts w:cs="Calibri"/>
        </w:rPr>
      </w:pPr>
      <w:bookmarkEnd w:id="168"/>
      <w:r>
        <w:rPr>
          <w:rFonts w:cs="Calibri"/>
        </w:rPr>
        <w:t>Rättigheter och Servitut</w:t>
      </w:r>
    </w:p>
    <w:p>
      <w:pPr>
        <w:ind w:left="720"/>
        <w:rPr>
          <w:rFonts w:ascii="Calibri" w:hAnsi="Calibri" w:cs="Calibri"/>
        </w:rPr>
      </w:pPr>
      <w:bookmarkStart w:id="170" w:name="gf_rättigheter01"/>
      <w:r>
        <w:rPr>
          <w:rFonts w:ascii="Calibri" w:hAnsi="Calibri" w:cs="Calibri"/>
        </w:rPr>
        <w:t>Servitut ger rätt för en fastighet att i något avseende nyttja en annan fastighet</w:t>
      </w:r>
      <w:bookmarkEnd w:id="169"/>
      <w:r>
        <w:rPr>
          <w:rFonts w:ascii="Calibri" w:hAnsi="Calibri" w:cs="Calibri"/>
        </w:rPr>
        <w:t>. Gällande b</w:t>
      </w:r>
      <w:r>
        <w:rPr>
          <w:szCs w:val="24"/>
        </w:rPr>
        <w:t>efintliga servitut så kan de ändras genom lantmäteriförrättning samt att ledningshavare kan söka ledningsrätt för ledningarna.</w:t>
      </w:r>
    </w:p>
    <w:p>
      <w:pPr>
        <w:ind w:left="720"/>
        <w:rPr>
          <w:rFonts w:ascii="Calibri" w:hAnsi="Calibri" w:cs="Calibri"/>
        </w:rPr>
      </w:pPr>
      <w:r>
        <w:rPr>
          <w:rFonts w:ascii="Calibri" w:hAnsi="Calibri" w:cs="Calibri"/>
        </w:rPr>
        <w:t>De ledningar som finns idag inom planområdet:</w:t>
      </w:r>
    </w:p>
    <w:p>
      <w:pPr>
        <w:pStyle w:val="P31"/>
        <w:numPr>
          <w:ilvl w:val="0"/>
          <w:numId w:val="21"/>
        </w:numPr>
        <w:rPr>
          <w:rFonts w:ascii="Calibri" w:hAnsi="Calibri" w:cs="Calibri"/>
        </w:rPr>
      </w:pPr>
      <w:r>
        <w:rPr>
          <w:rFonts w:ascii="Calibri" w:hAnsi="Calibri" w:cs="Calibri"/>
        </w:rPr>
        <w:t xml:space="preserve">Skanova AB, Telekommunikationsledningar </w:t>
      </w:r>
    </w:p>
    <w:p>
      <w:pPr>
        <w:pStyle w:val="P31"/>
        <w:numPr>
          <w:ilvl w:val="0"/>
          <w:numId w:val="21"/>
        </w:numPr>
        <w:rPr>
          <w:rFonts w:ascii="Calibri" w:hAnsi="Calibri" w:cs="Calibri"/>
        </w:rPr>
      </w:pPr>
      <w:r>
        <w:rPr>
          <w:rFonts w:ascii="Calibri" w:hAnsi="Calibri" w:cs="Calibri"/>
        </w:rPr>
        <w:t>Smedjebacken Energi Nät AB, Elledningar</w:t>
      </w:r>
    </w:p>
    <w:p>
      <w:pPr>
        <w:pStyle w:val="P31"/>
        <w:numPr>
          <w:ilvl w:val="0"/>
          <w:numId w:val="21"/>
        </w:numPr>
        <w:rPr>
          <w:rFonts w:ascii="Calibri" w:hAnsi="Calibri" w:cs="Calibri"/>
        </w:rPr>
      </w:pPr>
      <w:r>
        <w:rPr>
          <w:rFonts w:ascii="Calibri" w:hAnsi="Calibri" w:cs="Calibri"/>
        </w:rPr>
        <w:t>Smedjebacken Energi Stadsnät, Telekommunikationsledningar</w:t>
      </w:r>
    </w:p>
    <w:p>
      <w:pPr>
        <w:pStyle w:val="P31"/>
        <w:numPr>
          <w:ilvl w:val="0"/>
          <w:numId w:val="21"/>
        </w:numPr>
        <w:rPr>
          <w:rFonts w:ascii="Calibri" w:hAnsi="Calibri" w:cs="Calibri"/>
        </w:rPr>
      </w:pPr>
      <w:r>
        <w:rPr>
          <w:rFonts w:ascii="Calibri" w:hAnsi="Calibri" w:cs="Calibri"/>
        </w:rPr>
        <w:t>Smedjebacken Energi AB, VA- ledningar</w:t>
      </w:r>
    </w:p>
    <w:p>
      <w:pPr>
        <w:pStyle w:val="P31"/>
        <w:numPr>
          <w:ilvl w:val="0"/>
          <w:numId w:val="21"/>
        </w:numPr>
        <w:rPr>
          <w:rFonts w:ascii="Calibri" w:hAnsi="Calibri" w:cs="Calibri"/>
        </w:rPr>
      </w:pPr>
      <w:r>
        <w:rPr>
          <w:rFonts w:ascii="Calibri" w:hAnsi="Calibri" w:cs="Calibri"/>
        </w:rPr>
        <w:t>WBAB, VA-ledningar</w:t>
      </w:r>
    </w:p>
    <w:p>
      <w:pPr>
        <w:ind w:firstLine="720"/>
        <w:rPr>
          <w:rFonts w:ascii="Calibri" w:hAnsi="Calibri" w:cs="Calibri"/>
        </w:rPr>
      </w:pPr>
      <w:r>
        <w:rPr>
          <w:rFonts w:ascii="Calibri" w:hAnsi="Calibri" w:cs="Calibri"/>
        </w:rPr>
        <w:t>De servitut som finns idag inom planområdet</w:t>
      </w:r>
    </w:p>
    <w:p>
      <w:pPr>
        <w:pStyle w:val="P31"/>
        <w:numPr>
          <w:ilvl w:val="0"/>
          <w:numId w:val="20"/>
        </w:numPr>
        <w:rPr>
          <w:rFonts w:ascii="Calibri" w:hAnsi="Calibri" w:cs="Calibri"/>
        </w:rPr>
      </w:pPr>
      <w:r>
        <w:rPr>
          <w:rFonts w:ascii="Calibri" w:hAnsi="Calibri" w:cs="Calibri"/>
        </w:rPr>
        <w:t>Ledningsrätt, till last för Smedjebacken Energi AB, till förmån för Smedjebacken Energi Nät AB</w:t>
      </w:r>
    </w:p>
    <w:p>
      <w:pPr>
        <w:ind w:left="720"/>
        <w:rPr>
          <w:rFonts w:ascii="Calibri" w:hAnsi="Calibri" w:cs="Calibri"/>
        </w:rPr>
      </w:pPr>
      <w:r>
        <w:rPr>
          <w:rFonts w:ascii="Calibri" w:hAnsi="Calibri" w:cs="Calibri"/>
        </w:rPr>
        <w:t>De förändringar som kan ske vid planens genomförande;</w:t>
      </w:r>
    </w:p>
    <w:p>
      <w:pPr>
        <w:pStyle w:val="P31"/>
        <w:numPr>
          <w:ilvl w:val="0"/>
          <w:numId w:val="19"/>
        </w:numPr>
        <w:rPr>
          <w:rFonts w:ascii="Calibri" w:hAnsi="Calibri" w:cs="Calibri"/>
        </w:rPr>
      </w:pPr>
      <w:r>
        <w:rPr>
          <w:rFonts w:ascii="Calibri" w:hAnsi="Calibri" w:cs="Calibri"/>
        </w:rPr>
        <w:t>Smedjebacken Energi Nät AB har elledningar i området kan komma att utöka/upprätta servitut till last för Smedjebacken Energi AB och delvis flyttas vid exploatering</w:t>
      </w:r>
    </w:p>
    <w:p>
      <w:pPr>
        <w:pStyle w:val="P31"/>
        <w:numPr>
          <w:ilvl w:val="0"/>
          <w:numId w:val="19"/>
        </w:numPr>
        <w:rPr>
          <w:rFonts w:ascii="Calibri" w:hAnsi="Calibri" w:cs="Calibri"/>
        </w:rPr>
      </w:pPr>
      <w:r>
        <w:rPr>
          <w:rFonts w:ascii="Calibri" w:hAnsi="Calibri" w:cs="Calibri"/>
        </w:rPr>
        <w:t>Smedjebacken Energi Stadsnät har telekommunikationsledningar i planområdet och kan komma att upprätta servitut till last för Smedjebacken Energi AB och delvis flyttas vid exploatering</w:t>
      </w:r>
    </w:p>
    <w:p>
      <w:pPr>
        <w:pStyle w:val="P31"/>
        <w:numPr>
          <w:ilvl w:val="0"/>
          <w:numId w:val="19"/>
        </w:numPr>
        <w:rPr>
          <w:rFonts w:ascii="Calibri" w:hAnsi="Calibri" w:cs="Calibri"/>
        </w:rPr>
      </w:pPr>
      <w:r>
        <w:rPr>
          <w:rFonts w:ascii="Calibri" w:hAnsi="Calibri" w:cs="Calibri"/>
        </w:rPr>
        <w:t>WBAB har VA- ledningar i planområdet och kan komma att upprätta servitut till last för Ovako Bar AB och Smedjebacken Energi AB</w:t>
      </w:r>
    </w:p>
    <w:p>
      <w:pPr>
        <w:pStyle w:val="P31"/>
        <w:numPr>
          <w:ilvl w:val="0"/>
          <w:numId w:val="19"/>
        </w:numPr>
        <w:rPr>
          <w:rFonts w:ascii="Calibri" w:hAnsi="Calibri" w:cs="Calibri"/>
        </w:rPr>
      </w:pPr>
      <w:r>
        <w:rPr>
          <w:rFonts w:ascii="Calibri" w:hAnsi="Calibri" w:cs="Calibri"/>
        </w:rPr>
        <w:t>Smedjebacken Energi AB kan komma att upprätta servitut för väg till last för Ovako Bar AB</w:t>
      </w:r>
    </w:p>
    <w:p>
      <w:pPr>
        <w:pStyle w:val="P31"/>
        <w:numPr>
          <w:ilvl w:val="0"/>
          <w:numId w:val="19"/>
        </w:numPr>
        <w:rPr>
          <w:rFonts w:ascii="Calibri" w:hAnsi="Calibri" w:cs="Calibri"/>
        </w:rPr>
      </w:pPr>
      <w:r>
        <w:rPr>
          <w:rFonts w:ascii="Calibri" w:hAnsi="Calibri" w:cs="Calibri"/>
        </w:rPr>
        <w:t>Skanova AB har telekommunikationsledningar som kan komma att upprätta servitut och kan komma att flyttas vid exploatering</w:t>
      </w:r>
    </w:p>
    <w:p>
      <w:pPr>
        <w:ind w:left="720"/>
        <w:rPr>
          <w:rFonts w:ascii="Calibri" w:hAnsi="Calibri" w:cs="Calibri"/>
        </w:rPr>
      </w:pPr>
      <w:r>
        <w:rPr>
          <w:rFonts w:ascii="Calibri" w:hAnsi="Calibri" w:cs="Calibri"/>
        </w:rPr>
        <w:t xml:space="preserve">För att fastighet </w:t>
      </w:r>
      <w:r>
        <w:rPr>
          <w:rFonts w:ascii="Calibri" w:hAnsi="Calibri" w:cs="Calibri"/>
          <w:i w:val="1"/>
          <w:iCs w:val="1"/>
        </w:rPr>
        <w:t xml:space="preserve">Smedjebacken 3:49 </w:t>
      </w:r>
      <w:r>
        <w:rPr>
          <w:rFonts w:ascii="Calibri" w:hAnsi="Calibri" w:cs="Calibri"/>
        </w:rPr>
        <w:t xml:space="preserve">ska kunna nyttja sin mark vid gemensam infart och angöring via lokalgata på fastighet </w:t>
      </w:r>
      <w:r>
        <w:rPr>
          <w:rFonts w:ascii="Calibri" w:hAnsi="Calibri" w:cs="Calibri"/>
          <w:i w:val="1"/>
          <w:iCs w:val="1"/>
        </w:rPr>
        <w:t>Smedjebacken 2:3</w:t>
      </w:r>
      <w:r>
        <w:rPr>
          <w:rFonts w:ascii="Calibri" w:hAnsi="Calibri" w:cs="Calibri"/>
        </w:rPr>
        <w:t xml:space="preserve"> mark, så behöver fastigheten </w:t>
      </w:r>
      <w:r>
        <w:rPr>
          <w:rFonts w:ascii="Calibri" w:hAnsi="Calibri" w:cs="Calibri"/>
          <w:i w:val="1"/>
          <w:iCs w:val="1"/>
        </w:rPr>
        <w:t xml:space="preserve">Smedjebacken 3:49 </w:t>
      </w:r>
      <w:r>
        <w:rPr>
          <w:rFonts w:ascii="Calibri" w:hAnsi="Calibri" w:cs="Calibri"/>
        </w:rPr>
        <w:t xml:space="preserve">ett servitut. Detta servitut ska löpa från planområdet till infarten söder om planområdet så att fordon kan angöra till Vasagatan. Detta kommer att möjliggöra för gemensam infart vid och över Ovako Bar AB mark. </w:t>
      </w:r>
    </w:p>
    <w:p>
      <w:pPr>
        <w:ind w:left="720"/>
        <w:rPr>
          <w:rFonts w:ascii="Calibri" w:hAnsi="Calibri" w:cs="Calibri"/>
        </w:rPr>
      </w:pPr>
      <w:bookmarkStart w:id="171" w:name="_Hlk198299183"/>
      <w:r>
        <w:rPr>
          <w:rFonts w:ascii="Calibri" w:hAnsi="Calibri" w:cs="Calibri"/>
        </w:rPr>
        <w:t>I befintlig detaljplan finns två u-områden för underjordiska ledningar, där u-området i syd kommer bibehållas över kvartersmark i detaljplanen</w:t>
      </w:r>
      <w:bookmarkEnd w:id="171"/>
      <w:r>
        <w:rPr>
          <w:rFonts w:ascii="Calibri" w:hAnsi="Calibri" w:cs="Calibri"/>
        </w:rPr>
        <w:t xml:space="preserve"> för Ovako södra entrén. Detta då det inte är lämpligt att flytta ledningarna på grund av kostnader men också för att bebyggelse bör exploateras mer samlat i norr och grönytor bör bevaras, vilket sparar resurser och använder ytorna mer effektivt. U-området i norr kommer att tas bort då den saknar sitt syfte och för att möjliggöra tilltänkt exploatering. Eventuellt kan mindre andel av ledningar komma att flyttas vid exploatering. Största andelen av ledningarna kommer inte att behöva flyttas, då det inte går att exploatera i omfattande delar i norra delen av planområdet, på grund av angöring till vattenkraftverket. Om ledningar behöver flyttas så ska de bekostas av den som initierar exploateringen om inte annat är avtalat mellan parterna som är berörda.</w:t>
      </w:r>
    </w:p>
    <w:p>
      <w:pPr>
        <w:pStyle w:val="P3"/>
        <w:numPr>
          <w:ilvl w:val="2"/>
          <w:numId w:val="2"/>
        </w:numPr>
        <w:rPr>
          <w:rFonts w:cs="Calibri"/>
        </w:rPr>
      </w:pPr>
      <w:bookmarkEnd w:id="170"/>
      <w:r>
        <w:rPr>
          <w:rFonts w:cs="Calibri"/>
        </w:rPr>
        <w:t>Kvalitet på fastighetsgränser</w:t>
      </w:r>
    </w:p>
    <w:p>
      <w:pPr>
        <w:ind w:left="720"/>
      </w:pPr>
      <w:bookmarkStart w:id="172" w:name="gf_annat01"/>
      <w:r>
        <w:t>Inför framtagandet av grundkarta har kontroll av fastighetskartan och fastighetsgränsernas kvalitet utförts. Bedömningen är att inga övriga kontroller och utredningar angående fastigheters kvalitet behöver utföras.</w:t>
      </w:r>
    </w:p>
    <w:p>
      <w:pPr>
        <w:pStyle w:val="P2"/>
        <w:rPr>
          <w:rFonts w:cs="Calibri"/>
        </w:rPr>
      </w:pPr>
      <w:bookmarkEnd w:id="172"/>
      <w:bookmarkStart w:id="173" w:name="_Toc219101388"/>
      <w:r>
        <w:rPr>
          <w:rFonts w:cs="Calibri"/>
        </w:rPr>
        <w:t>Tekniska frågor</w:t>
      </w:r>
      <w:bookmarkEnd w:id="173"/>
    </w:p>
    <w:p>
      <w:pPr>
        <w:pStyle w:val="P3"/>
        <w:rPr>
          <w:rFonts w:cs="Calibri"/>
        </w:rPr>
      </w:pPr>
      <w:r>
        <w:rPr>
          <w:rFonts w:cs="Calibri"/>
        </w:rPr>
        <w:t>Tekniska åtgärder</w:t>
      </w:r>
    </w:p>
    <w:p>
      <w:pPr>
        <w:ind w:left="720"/>
        <w:rPr>
          <w:rStyle w:val="C30"/>
          <w:rFonts w:ascii="Calibri" w:hAnsi="Calibri" w:cs="Calibri"/>
          <w:sz w:val="24"/>
          <w:szCs w:val="24"/>
        </w:rPr>
      </w:pPr>
      <w:bookmarkStart w:id="174" w:name="gf_tekniskaåtgärder01"/>
      <w:r>
        <w:rPr>
          <w:rFonts w:ascii="Calibri" w:hAnsi="Calibri" w:cs="Calibri"/>
          <w:szCs w:val="24"/>
        </w:rPr>
        <w:t xml:space="preserve">Kring och i planområdet så finns det befintlig infrastruktur för stadsnät, fjärrvärme, elnät samt vatten och avlopp. </w:t>
      </w:r>
      <w:r>
        <w:rPr>
          <w:rStyle w:val="C30"/>
          <w:rFonts w:ascii="Calibri" w:hAnsi="Calibri" w:cs="Calibri"/>
          <w:sz w:val="24"/>
          <w:szCs w:val="24"/>
        </w:rPr>
        <w:t>Kostnader relaterade till tekniska åtgärder bekostas av den som initierar dem, om inget annat har överenskommits med respektive ledningsägare. Planen möjliggör att komplettera dessa anläggningar samt använda befintlig infrastruktur som finns inom och kring planområdet.</w:t>
      </w:r>
    </w:p>
    <w:p>
      <w:pPr>
        <w:pStyle w:val="P3"/>
        <w:rPr>
          <w:rFonts w:cs="Calibri"/>
        </w:rPr>
      </w:pPr>
      <w:bookmarkEnd w:id="174"/>
      <w:r>
        <w:rPr>
          <w:rFonts w:cs="Calibri"/>
        </w:rPr>
        <w:t>Utbyggnad allmän plats</w:t>
      </w:r>
    </w:p>
    <w:p>
      <w:pPr>
        <w:ind w:left="720"/>
        <w:rPr>
          <w:rFonts w:ascii="Calibri" w:hAnsi="Calibri" w:cs="Calibri"/>
        </w:rPr>
      </w:pPr>
      <w:bookmarkStart w:id="175" w:name="gf_utbyggnadallmänplats01"/>
      <w:r>
        <w:rPr>
          <w:rFonts w:ascii="Calibri" w:hAnsi="Calibri" w:cs="Calibri"/>
        </w:rPr>
        <w:t>Grönytan inom användningen park (PARK) i detaljplanekartan kommer anläggas av kommunen. Ansvar för bekostade av framtida planteringar för grönytan kan komma att bekostas helt eller delvis genom avtal med privat part. Vid utbyggnad av Parkmarken så kan på sikt planområdet komma att döljas av grönska från genomfartslederna i väster, vilket värnar landskapsintresset. Gata är redan utbyggd inom användningen GATA.</w:t>
      </w:r>
    </w:p>
    <w:p>
      <w:pPr>
        <w:pStyle w:val="P3"/>
        <w:numPr>
          <w:ilvl w:val="2"/>
          <w:numId w:val="2"/>
        </w:numPr>
        <w:rPr>
          <w:rFonts w:cs="Calibri"/>
        </w:rPr>
      </w:pPr>
      <w:bookmarkEnd w:id="175"/>
      <w:r>
        <w:rPr>
          <w:rFonts w:cs="Calibri"/>
        </w:rPr>
        <w:t xml:space="preserve">Utbyggnad av kvartersmark </w:t>
      </w:r>
    </w:p>
    <w:p>
      <w:pPr>
        <w:ind w:left="720"/>
        <w:rPr>
          <w:rFonts w:ascii="Calibri" w:hAnsi="Calibri" w:cs="Calibri"/>
        </w:rPr>
      </w:pPr>
      <w:bookmarkStart w:id="176" w:name="gf_tekniskafrågor01"/>
      <w:r>
        <w:rPr>
          <w:rFonts w:ascii="Calibri" w:hAnsi="Calibri" w:cs="Calibri"/>
        </w:rPr>
        <w:t xml:space="preserve">Utbyggnad av kvartersmark ansvarar respektive fastighetsägare på kvartersmark och ska förhålla sig till i enlighet med detaljplanen. Vid eventuellt enstaka anslutning till VA eller elnät bedöms tillräcklig kapacitet finnas i näten som helhet vid ny bebyggelse som kan tillkomma. </w:t>
      </w:r>
    </w:p>
    <w:p>
      <w:pPr>
        <w:pStyle w:val="P3"/>
        <w:rPr>
          <w:rFonts w:cs="Calibri"/>
        </w:rPr>
      </w:pPr>
      <w:bookmarkEnd w:id="176"/>
      <w:r>
        <w:rPr>
          <w:rFonts w:cs="Calibri"/>
        </w:rPr>
        <w:t xml:space="preserve">Avfallshantering </w:t>
      </w:r>
    </w:p>
    <w:p>
      <w:pPr>
        <w:ind w:left="720"/>
        <w:rPr>
          <w:rFonts w:ascii="Calibri" w:hAnsi="Calibri" w:cs="Calibri"/>
        </w:rPr>
      </w:pPr>
      <w:bookmarkStart w:id="177" w:name="_Hlk198299601"/>
      <w:bookmarkStart w:id="178" w:name="gf_avfall01"/>
      <w:r>
        <w:rPr>
          <w:rFonts w:ascii="Calibri" w:hAnsi="Calibri" w:cs="Calibri"/>
        </w:rPr>
        <w:t xml:space="preserve">Utrymme för avfall ska anordnas på kvartersmark inom den egna fastigheten nära allmän plats-gata. Ingen skillnad i avfallshantering jämfört med befintlig användning bedöms ske efter genomförandet av den nya detaljplanen. </w:t>
      </w:r>
      <w:bookmarkEnd w:id="177"/>
      <w:r>
        <w:rPr>
          <w:rFonts w:ascii="Calibri" w:hAnsi="Calibri" w:cs="Calibri"/>
        </w:rPr>
        <w:t>Vid uppkomst av enstaka avfallskärl vid genomförandet av planen, ska kärlen placeras utom synhåll från Vasagatan eller nordligt väderstreck. Vid uppkomst av många kärl så ska ett miljöhus eller liknande med samma karaktär som kringliggande bebyggelse upprättas. Avfallscontainrar som idag finns på platsen bör förläggas utom synhåll och eller långt in på kvartersmark från genomfartsvägen och Kolbäcksån. Förslagsvis gömda vid den nya bebyggelsen, innanför det tilltänkta stängslet eller vid Ovakos kontor. Detta för att få till en enhetlig struktur, inte hindra nya anlagda ytor samt ur landskapsbildsynpunkt.</w:t>
      </w:r>
    </w:p>
    <w:p>
      <w:pPr>
        <w:pStyle w:val="P2"/>
        <w:rPr>
          <w:rFonts w:cs="Calibri"/>
        </w:rPr>
      </w:pPr>
      <w:bookmarkEnd w:id="178"/>
      <w:bookmarkStart w:id="179" w:name="_Toc219101389"/>
      <w:r>
        <w:rPr>
          <w:rFonts w:cs="Calibri"/>
        </w:rPr>
        <w:t>Ekonomiska frågor</w:t>
      </w:r>
      <w:bookmarkEnd w:id="179"/>
    </w:p>
    <w:p>
      <w:pPr>
        <w:pStyle w:val="P3"/>
        <w:spacing w:lineRule="auto" w:line="276" w:beforeAutospacing="0" w:afterAutospacing="0"/>
        <w:rPr>
          <w:rFonts w:cs="Calibri"/>
        </w:rPr>
      </w:pPr>
      <w:r>
        <w:rPr>
          <w:rFonts w:cs="Calibri"/>
        </w:rPr>
        <w:t xml:space="preserve">Planekonomisk bedömning </w:t>
      </w:r>
    </w:p>
    <w:p>
      <w:pPr>
        <w:spacing w:lineRule="auto" w:line="276" w:beforeAutospacing="0" w:afterAutospacing="0"/>
        <w:ind w:left="720"/>
        <w:rPr>
          <w:rFonts w:ascii="Calibri" w:hAnsi="Calibri" w:cs="Calibri"/>
        </w:rPr>
      </w:pPr>
      <w:bookmarkStart w:id="180" w:name="gf_planekonomiskbedömning01"/>
      <w:r>
        <w:rPr>
          <w:rFonts w:ascii="Calibri" w:hAnsi="Calibri" w:cs="Calibri"/>
        </w:rPr>
        <w:t>Enligt BFS 2020:8 ska planbeskrivningen redovisa en ekonomisk bedömning av de viktigaste konsekvenserna som genomförandet av detaljplanen kan medföra för berörda parter. Redovisningen ska även inkludera information om kostnadsfördelning och betalningsansvar som kan uppkomma i samband med detaljplanens genomförande.</w:t>
      </w:r>
    </w:p>
    <w:p>
      <w:pPr>
        <w:pStyle w:val="P31"/>
        <w:numPr>
          <w:ilvl w:val="0"/>
          <w:numId w:val="5"/>
        </w:numPr>
        <w:spacing w:lineRule="auto" w:line="276" w:beforeAutospacing="0" w:afterAutospacing="0"/>
        <w:rPr>
          <w:rFonts w:ascii="Calibri" w:hAnsi="Calibri" w:cs="Calibri"/>
        </w:rPr>
      </w:pPr>
      <w:r>
        <w:rPr>
          <w:rFonts w:ascii="Calibri" w:hAnsi="Calibri" w:cs="Calibri"/>
        </w:rPr>
        <w:t>Ovako Bar AB ansvarar för kostnader avseende planavgiften.</w:t>
      </w:r>
    </w:p>
    <w:p>
      <w:pPr>
        <w:pStyle w:val="P31"/>
        <w:numPr>
          <w:ilvl w:val="0"/>
          <w:numId w:val="5"/>
        </w:numPr>
        <w:spacing w:lineRule="auto" w:line="276" w:beforeAutospacing="0" w:afterAutospacing="0"/>
        <w:rPr>
          <w:rFonts w:ascii="Calibri" w:hAnsi="Calibri" w:cs="Calibri"/>
        </w:rPr>
      </w:pPr>
      <w:r>
        <w:rPr>
          <w:rFonts w:ascii="Calibri" w:hAnsi="Calibri" w:cs="Calibri"/>
        </w:rPr>
        <w:t>Den part som initierar byggnation är den part som bekostar den.</w:t>
      </w:r>
    </w:p>
    <w:p>
      <w:pPr>
        <w:pStyle w:val="P31"/>
        <w:numPr>
          <w:ilvl w:val="0"/>
          <w:numId w:val="5"/>
        </w:numPr>
        <w:spacing w:lineRule="auto" w:line="276" w:beforeAutospacing="0" w:afterAutospacing="0"/>
        <w:rPr>
          <w:rFonts w:ascii="Calibri" w:hAnsi="Calibri" w:cs="Calibri"/>
        </w:rPr>
      </w:pPr>
      <w:r>
        <w:rPr>
          <w:rFonts w:ascii="Calibri" w:hAnsi="Calibri" w:cs="Calibri"/>
        </w:rPr>
        <w:t>Kommunen ansvarar för utbyggnad och drift av allmän plats inom planområdet.</w:t>
      </w:r>
    </w:p>
    <w:p>
      <w:pPr>
        <w:pStyle w:val="P31"/>
        <w:numPr>
          <w:ilvl w:val="0"/>
          <w:numId w:val="5"/>
        </w:numPr>
        <w:spacing w:lineRule="auto" w:line="276" w:beforeAutospacing="0" w:afterAutospacing="0"/>
        <w:rPr>
          <w:rFonts w:ascii="Calibri" w:hAnsi="Calibri" w:cs="Calibri"/>
        </w:rPr>
      </w:pPr>
      <w:r>
        <w:rPr>
          <w:rFonts w:ascii="Calibri" w:hAnsi="Calibri" w:cs="Calibri"/>
        </w:rPr>
        <w:t>Kostnader för anslutning till VA, fiber, el samt annan nödvändig teknisk infrastruktur bekostas av den part som initierar åtgärden.</w:t>
      </w:r>
    </w:p>
    <w:p>
      <w:pPr>
        <w:pStyle w:val="P31"/>
        <w:numPr>
          <w:ilvl w:val="0"/>
          <w:numId w:val="5"/>
        </w:numPr>
        <w:spacing w:lineRule="auto" w:line="276" w:beforeAutospacing="0" w:afterAutospacing="0"/>
        <w:rPr>
          <w:rFonts w:ascii="Calibri" w:hAnsi="Calibri" w:cs="Calibri"/>
        </w:rPr>
      </w:pPr>
      <w:r>
        <w:rPr>
          <w:rFonts w:ascii="Calibri" w:hAnsi="Calibri" w:cs="Calibri"/>
        </w:rPr>
        <w:t xml:space="preserve">Kommunen får intäkter vid försäljning av mark till fastighet </w:t>
      </w:r>
      <w:r>
        <w:rPr>
          <w:rFonts w:ascii="Calibri" w:hAnsi="Calibri" w:cs="Calibri"/>
          <w:i w:val="1"/>
          <w:iCs w:val="1"/>
        </w:rPr>
        <w:t>Smedjebacken 3:49.</w:t>
      </w:r>
    </w:p>
    <w:p>
      <w:pPr>
        <w:pStyle w:val="P31"/>
        <w:numPr>
          <w:ilvl w:val="0"/>
          <w:numId w:val="5"/>
        </w:numPr>
        <w:spacing w:lineRule="auto" w:line="276" w:beforeAutospacing="0" w:afterAutospacing="0"/>
        <w:rPr>
          <w:rFonts w:ascii="Calibri" w:hAnsi="Calibri" w:cs="Calibri"/>
        </w:rPr>
      </w:pPr>
      <w:r>
        <w:rPr>
          <w:rFonts w:ascii="Calibri" w:hAnsi="Calibri" w:cs="Calibri"/>
        </w:rPr>
        <w:t xml:space="preserve">Fastighetsreglering av mark, servitut, lantmäteriavgifter och dess tillhörande kostnader gällande fastighetsägare för </w:t>
      </w:r>
      <w:r>
        <w:rPr>
          <w:rFonts w:ascii="Calibri" w:hAnsi="Calibri" w:cs="Calibri"/>
          <w:i w:val="1"/>
          <w:iCs w:val="1"/>
        </w:rPr>
        <w:t>Smedjebacken 3:49</w:t>
      </w:r>
      <w:r>
        <w:rPr>
          <w:rFonts w:ascii="Calibri" w:hAnsi="Calibri" w:cs="Calibri"/>
        </w:rPr>
        <w:t xml:space="preserve"> samt </w:t>
      </w:r>
      <w:r>
        <w:rPr>
          <w:rFonts w:ascii="Calibri" w:hAnsi="Calibri" w:cs="Calibri"/>
          <w:i w:val="1"/>
          <w:iCs w:val="1"/>
        </w:rPr>
        <w:t>Smedjebacken 2:3</w:t>
      </w:r>
      <w:r>
        <w:rPr>
          <w:rFonts w:ascii="Calibri" w:hAnsi="Calibri" w:cs="Calibri"/>
        </w:rPr>
        <w:t xml:space="preserve"> ansvarar dessa parter för i överenskommelse.</w:t>
      </w:r>
    </w:p>
    <w:p>
      <w:pPr>
        <w:pStyle w:val="P31"/>
        <w:numPr>
          <w:ilvl w:val="0"/>
          <w:numId w:val="5"/>
        </w:numPr>
        <w:spacing w:lineRule="auto" w:line="276" w:beforeAutospacing="0" w:afterAutospacing="0"/>
        <w:rPr>
          <w:rFonts w:ascii="Calibri" w:hAnsi="Calibri" w:cs="Calibri"/>
        </w:rPr>
      </w:pPr>
      <w:r>
        <w:rPr>
          <w:rFonts w:ascii="Calibri" w:hAnsi="Calibri" w:cs="Calibri"/>
        </w:rPr>
        <w:t>Den som initierar fastighetsförrättningen ansvarar för att ansöka om och bekosta lantmäterikostnader för fastighetsreglering gällande fastigheter som berörs, om inte annat har överenskommits genom avtal eller åtaganden.</w:t>
      </w:r>
    </w:p>
    <w:p>
      <w:pPr>
        <w:pStyle w:val="P31"/>
        <w:numPr>
          <w:ilvl w:val="0"/>
          <w:numId w:val="5"/>
        </w:numPr>
        <w:spacing w:lineRule="auto" w:line="276" w:beforeAutospacing="0" w:afterAutospacing="0"/>
        <w:rPr>
          <w:rFonts w:ascii="Calibri" w:hAnsi="Calibri" w:cs="Calibri"/>
        </w:rPr>
      </w:pPr>
      <w:r>
        <w:rPr>
          <w:rFonts w:ascii="Calibri" w:hAnsi="Calibri" w:cs="Calibri"/>
        </w:rPr>
        <w:t>Kostnader för ras- skred- och erosionsskydd gällande fastigheterna 3:49 och 2:3 där anläggningar från ena fastigheten påverkar den andra som ger upphov till ökade risker längst Kolbäcksåns sträckning ansvarar Smedjebacken Energi AB och Ovako Bar AB genom åtaganden och eller avtal sinsemellan.</w:t>
      </w:r>
    </w:p>
    <w:p>
      <w:pPr>
        <w:pStyle w:val="P31"/>
        <w:numPr>
          <w:ilvl w:val="0"/>
          <w:numId w:val="5"/>
        </w:numPr>
        <w:spacing w:lineRule="auto" w:line="276" w:beforeAutospacing="0" w:afterAutospacing="0"/>
        <w:rPr>
          <w:rFonts w:ascii="Calibri" w:hAnsi="Calibri" w:cs="Calibri"/>
        </w:rPr>
      </w:pPr>
      <w:r>
        <w:rPr>
          <w:rFonts w:ascii="Calibri" w:hAnsi="Calibri" w:cs="Calibri"/>
        </w:rPr>
        <w:t>Kostnader som uppkommer för att säkerställa skydd eller återställning av skydd för ras- skred- och erosionsriskser ansvarar respektive fastighetsägare för, så ett tillräckligt skydd för risker erhålls. Detta kan betyda ombyggnation av nuvarande markbestånd närmast Kolbäcksåns sträckning.</w:t>
      </w:r>
    </w:p>
    <w:p>
      <w:pPr>
        <w:pStyle w:val="P31"/>
        <w:numPr>
          <w:ilvl w:val="0"/>
          <w:numId w:val="5"/>
        </w:numPr>
        <w:spacing w:lineRule="auto" w:line="276" w:beforeAutospacing="0" w:afterAutospacing="0"/>
        <w:rPr>
          <w:rFonts w:ascii="Calibri" w:hAnsi="Calibri" w:cs="Calibri"/>
        </w:rPr>
      </w:pPr>
      <w:r>
        <w:rPr>
          <w:rFonts w:ascii="Calibri" w:hAnsi="Calibri" w:cs="Calibri"/>
        </w:rPr>
        <w:t>Ledningar som kan komma att behöva flyttas vid exploatering bekostats av den part som initierar exploateringen om inte annat är avtalat mellan berörda parter.</w:t>
      </w:r>
    </w:p>
    <w:p>
      <w:pPr>
        <w:pStyle w:val="P31"/>
        <w:spacing w:lineRule="auto" w:line="276" w:beforeAutospacing="0" w:afterAutospacing="0"/>
        <w:ind w:left="1440"/>
        <w:rPr>
          <w:rFonts w:ascii="Calibri" w:hAnsi="Calibri" w:cs="Calibri"/>
        </w:rPr>
      </w:pPr>
    </w:p>
    <w:p>
      <w:pPr>
        <w:pStyle w:val="P3"/>
        <w:rPr>
          <w:rFonts w:cs="Calibri"/>
        </w:rPr>
      </w:pPr>
      <w:bookmarkEnd w:id="180"/>
      <w:r>
        <w:rPr>
          <w:rFonts w:cs="Calibri"/>
        </w:rPr>
        <w:t>Planavgift</w:t>
      </w:r>
    </w:p>
    <w:p>
      <w:pPr>
        <w:ind w:left="720"/>
        <w:rPr>
          <w:rFonts w:ascii="Calibri" w:hAnsi="Calibri" w:cs="Calibri"/>
        </w:rPr>
      </w:pPr>
      <w:bookmarkStart w:id="181" w:name="gf_planavgift01"/>
      <w:r>
        <w:rPr>
          <w:rFonts w:ascii="Calibri" w:hAnsi="Calibri" w:cs="Calibri"/>
        </w:rPr>
        <w:t xml:space="preserve">Planavgift tas ut för att täcka kostnader för åtgärder som behövs för att upprätta detaljplanen. Avgiften fastställs enligt kommunens plan- och bygglovstaxa för 2025 och debiteras och är uppdelad i tre olika tillfällen, vid planstart, vid granskning och vid antagande. Ovako Bar AB ansvarar för att betala planavgiften, medan intäkterna tillfaller Miljö- och byggkontoret. Kostnaden för att ta fram detaljplanen har reglerats i ett planavtal. Någon planavgift tas därmed inte ut i samband med bygglovsansökan. </w:t>
      </w:r>
    </w:p>
    <w:p>
      <w:pPr>
        <w:pStyle w:val="P3"/>
        <w:rPr>
          <w:rFonts w:cs="Calibri"/>
        </w:rPr>
      </w:pPr>
      <w:bookmarkEnd w:id="181"/>
      <w:r>
        <w:rPr>
          <w:rFonts w:cs="Calibri"/>
        </w:rPr>
        <w:t>Drift och underhåll allmän plats</w:t>
      </w:r>
    </w:p>
    <w:p>
      <w:pPr>
        <w:ind w:firstLine="720"/>
        <w:rPr>
          <w:rFonts w:ascii="Calibri" w:hAnsi="Calibri" w:cs="Calibri"/>
        </w:rPr>
      </w:pPr>
      <w:bookmarkStart w:id="182" w:name="gf_driftallmänplats01"/>
      <w:r>
        <w:rPr>
          <w:rFonts w:ascii="Calibri" w:hAnsi="Calibri" w:cs="Calibri"/>
        </w:rPr>
        <w:t xml:space="preserve">Smedjebackens kommun ansvarar för drift och underhåll av allmän plats. </w:t>
      </w:r>
    </w:p>
    <w:p>
      <w:pPr>
        <w:pStyle w:val="P3"/>
        <w:rPr>
          <w:rFonts w:cs="Calibri"/>
        </w:rPr>
      </w:pPr>
      <w:bookmarkEnd w:id="182"/>
      <w:r>
        <w:rPr>
          <w:rFonts w:cs="Calibri"/>
        </w:rPr>
        <w:t>Drift vatten och avlopp</w:t>
      </w:r>
    </w:p>
    <w:p>
      <w:pPr>
        <w:ind w:left="720"/>
        <w:rPr>
          <w:rFonts w:ascii="Calibri" w:hAnsi="Calibri" w:cs="Calibri"/>
        </w:rPr>
      </w:pPr>
      <w:bookmarkStart w:id="183" w:name="gf_driftvattenochavlopp01"/>
      <w:r>
        <w:rPr>
          <w:rFonts w:ascii="Calibri" w:hAnsi="Calibri" w:cs="Calibri"/>
        </w:rPr>
        <w:t>WBAB ansvarar för drift och underhåll av de allmänna VA-ledningarna.</w:t>
      </w:r>
    </w:p>
    <w:p>
      <w:pPr>
        <w:pStyle w:val="P3"/>
        <w:rPr>
          <w:rFonts w:cs="Calibri"/>
        </w:rPr>
      </w:pPr>
      <w:bookmarkEnd w:id="183"/>
      <w:r>
        <w:rPr>
          <w:rFonts w:cs="Calibri"/>
        </w:rPr>
        <w:t>Drift Elnät</w:t>
      </w:r>
    </w:p>
    <w:p>
      <w:pPr>
        <w:ind w:left="720"/>
        <w:rPr>
          <w:rFonts w:ascii="Calibri" w:hAnsi="Calibri" w:cs="Calibri"/>
        </w:rPr>
      </w:pPr>
      <w:bookmarkStart w:id="184" w:name="_Hlk163118625"/>
      <w:bookmarkStart w:id="185" w:name="gf_ekonomiskafrågor01"/>
      <w:r>
        <w:rPr>
          <w:rFonts w:ascii="Calibri" w:hAnsi="Calibri" w:cs="Calibri"/>
        </w:rPr>
        <w:t>Smedjebacken Energi AB ansvarar för drift och underhåll av elnätet.</w:t>
      </w:r>
    </w:p>
    <w:p>
      <w:pPr>
        <w:pStyle w:val="P2"/>
        <w:rPr>
          <w:rFonts w:cs="Calibri"/>
        </w:rPr>
      </w:pPr>
      <w:bookmarkEnd w:id="184"/>
      <w:bookmarkEnd w:id="185"/>
      <w:bookmarkStart w:id="186" w:name="_Toc219101390"/>
      <w:r>
        <w:rPr>
          <w:rFonts w:cs="Calibri"/>
        </w:rPr>
        <w:t>Organisatoriska frågor</w:t>
      </w:r>
      <w:bookmarkEnd w:id="186"/>
    </w:p>
    <w:p>
      <w:pPr>
        <w:pStyle w:val="P3"/>
        <w:rPr>
          <w:rFonts w:cs="Calibri"/>
        </w:rPr>
      </w:pPr>
      <w:r>
        <w:rPr>
          <w:rFonts w:cs="Calibri"/>
        </w:rPr>
        <w:t>Exploateringsavtal och Köpeavtal</w:t>
      </w:r>
    </w:p>
    <w:p>
      <w:pPr>
        <w:ind w:left="720"/>
        <w:rPr>
          <w:rFonts w:ascii="Calibri" w:hAnsi="Calibri" w:cs="Calibri"/>
        </w:rPr>
      </w:pPr>
      <w:bookmarkStart w:id="187" w:name="gf_exploateringsavtal01"/>
      <w:r>
        <w:rPr>
          <w:rFonts w:ascii="Calibri" w:hAnsi="Calibri" w:cs="Calibri"/>
        </w:rPr>
        <w:t xml:space="preserve">Eftersom det är befintliga verksamheter som endast förvärvar mark så kommer från kommunens sida inget exploateringsavtal att tecknas, däremot kommer ett köpeavtal upprättas vid överföring av mark på fastighet från </w:t>
      </w:r>
      <w:r>
        <w:rPr>
          <w:rFonts w:ascii="Calibri" w:hAnsi="Calibri" w:cs="Calibri"/>
          <w:i w:val="1"/>
          <w:iCs w:val="1"/>
        </w:rPr>
        <w:t xml:space="preserve">Smedjebacken 3:2, </w:t>
      </w:r>
      <w:r>
        <w:rPr>
          <w:rFonts w:ascii="Calibri" w:hAnsi="Calibri" w:cs="Calibri"/>
        </w:rPr>
        <w:t xml:space="preserve">så att Smedjebacken Energi AB får mark för att uppföra bland annat tekniska anläggningar. </w:t>
      </w:r>
      <w:bookmarkEnd w:id="187"/>
      <w:r>
        <w:rPr>
          <w:rFonts w:ascii="Calibri" w:hAnsi="Calibri" w:cs="Calibri"/>
        </w:rPr>
        <w:br w:type="textWrapping"/>
      </w:r>
    </w:p>
    <w:p>
      <w:pPr>
        <w:pStyle w:val="P3"/>
        <w:rPr>
          <w:rFonts w:cs="Calibri"/>
        </w:rPr>
      </w:pPr>
      <w:r>
        <w:rPr>
          <w:rFonts w:cs="Calibri"/>
        </w:rPr>
        <w:t>Tidplan och planförfarande</w:t>
      </w:r>
    </w:p>
    <w:p>
      <w:pPr>
        <w:ind w:left="720"/>
        <w:rPr>
          <w:rFonts w:ascii="Calibri" w:hAnsi="Calibri" w:cs="Calibri"/>
          <w:szCs w:val="24"/>
        </w:rPr>
      </w:pPr>
      <w:bookmarkStart w:id="188" w:name="gf_tidplan01"/>
      <w:r>
        <w:rPr>
          <w:rFonts w:ascii="Calibri" w:hAnsi="Calibri" w:cs="Calibri"/>
          <w:szCs w:val="24"/>
        </w:rPr>
        <w:t>Detaljplanen tas fram med standardförfarande och antas av kommunfullmäktige. Förfarande kan komma att ändras under planprocessens gång om kriterier för ett annat planförfarande blir uppfyllda. Planförfarande och andra förutsättningar som uppmärksammas i planprocessens gång kan påverka tiden för detaljplanen. Preliminär tidplan för detaljplanen är;</w:t>
      </w:r>
    </w:p>
    <w:p>
      <w:pPr>
        <w:ind w:left="720"/>
        <w:rPr>
          <w:rFonts w:ascii="Calibri" w:hAnsi="Calibri" w:cs="Calibri"/>
        </w:rPr>
      </w:pPr>
      <w:r>
        <w:rPr>
          <w:rFonts w:ascii="Calibri" w:hAnsi="Calibri" w:cs="Calibri"/>
          <w:noProof w:val="1"/>
          <w:szCs w:val="24"/>
        </w:rPr>
        <w:drawing>
          <wp:inline xmlns:wp="http://schemas.openxmlformats.org/drawingml/2006/wordprocessingDrawing" distT="0" distB="0" distL="0" distR="0">
            <wp:extent cx="3950335" cy="2100580"/>
            <wp:effectExtent l="19050" t="19050" r="12065" b="13970"/>
            <wp:docPr id="71353569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35692" name="Picture 23"/>
                    <pic:cNvPicPr/>
                  </pic:nvPicPr>
                  <pic:blipFill dpi="0">
                    <a:blip xmlns:r="http://schemas.openxmlformats.org/officeDocument/2006/relationships" r:embed="Relimage25"/>
                    <a:srcRect/>
                    <a:stretch>
                      <a:fillRect/>
                    </a:stretch>
                  </pic:blipFill>
                  <pic:spPr>
                    <a:xfrm>
                      <a:off x="0" y="0"/>
                      <a:ext cx="3973471" cy="2112877"/>
                    </a:xfrm>
                    <a:prstGeom prst="rect"/>
                    <a:ln>
                      <a:solidFill>
                        <a:schemeClr val="tx1"/>
                      </a:solidFill>
                    </a:ln>
                  </pic:spPr>
                </pic:pic>
              </a:graphicData>
            </a:graphic>
          </wp:inline>
        </w:drawing>
      </w:r>
      <w:bookmarkEnd w:id="188"/>
      <w:r>
        <w:rPr>
          <w:rFonts w:ascii="Calibri" w:hAnsi="Calibri" w:cs="Calibri"/>
        </w:rPr>
        <w:t xml:space="preserve">  </w:t>
      </w: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ind w:left="720"/>
        <w:rPr>
          <w:rFonts w:ascii="Calibri" w:hAnsi="Calibri" w:cs="Calibri"/>
        </w:rPr>
      </w:pPr>
    </w:p>
    <w:p>
      <w:pPr>
        <w:jc w:val="center"/>
        <w:rPr>
          <w:rFonts w:ascii="Calibri" w:hAnsi="Calibri" w:cs="Calibri" w:eastAsiaTheme="minorHAnsi"/>
          <w:b w:val="1"/>
          <w:bCs w:val="1"/>
          <w:color w:val="C00000"/>
          <w:sz w:val="28"/>
          <w:szCs w:val="28"/>
        </w:rPr>
      </w:pPr>
    </w:p>
    <w:p>
      <w:pPr>
        <w:jc w:val="center"/>
        <w:rPr>
          <w:rFonts w:ascii="Calibri" w:hAnsi="Calibri" w:cs="Calibri" w:eastAsiaTheme="minorHAnsi"/>
          <w:b w:val="1"/>
          <w:bCs w:val="1"/>
          <w:color w:val="C00000"/>
          <w:sz w:val="28"/>
          <w:szCs w:val="28"/>
        </w:rPr>
      </w:pPr>
      <w:r>
        <w:rPr>
          <w:rFonts w:ascii="Calibri" w:hAnsi="Calibri" w:cs="Calibri" w:eastAsiaTheme="minorHAnsi"/>
          <w:b w:val="1"/>
          <w:bCs w:val="1"/>
          <w:color w:val="C00000"/>
          <w:sz w:val="28"/>
          <w:szCs w:val="28"/>
        </w:rPr>
        <w:t>Medverkande</w:t>
      </w:r>
    </w:p>
    <w:p>
      <w:pPr>
        <w:jc w:val="center"/>
        <w:rPr>
          <w:rFonts w:ascii="Calibri" w:hAnsi="Calibri" w:cs="Calibri" w:eastAsiaTheme="minorHAnsi"/>
          <w:szCs w:val="24"/>
        </w:rPr>
      </w:pPr>
      <w:r>
        <w:rPr>
          <w:rFonts w:ascii="Calibri" w:hAnsi="Calibri" w:cs="Calibri" w:eastAsiaTheme="minorHAnsi"/>
          <w:szCs w:val="24"/>
        </w:rPr>
        <w:t>Handlingarna har upprättats av Miljö- och byggkontoret.</w:t>
      </w:r>
    </w:p>
    <w:p>
      <w:pPr>
        <w:spacing w:lineRule="auto" w:line="360" w:beforeAutospacing="0" w:afterAutospacing="0"/>
        <w:rPr>
          <w:rFonts w:ascii="Calibri" w:hAnsi="Calibri" w:cs="Calibri" w:eastAsiaTheme="minorHAnsi"/>
          <w:szCs w:val="24"/>
        </w:rPr>
      </w:pPr>
      <w:r>
        <w:rPr>
          <w:rFonts w:ascii="Calibri" w:hAnsi="Calibri" w:cs="Calibri" w:eastAsiaTheme="minorHAnsi"/>
          <w:szCs w:val="24"/>
        </w:rPr>
        <w:t xml:space="preserve">                                                              Smedjebackens kommun. </w:t>
      </w:r>
    </w:p>
    <w:p>
      <w:pPr>
        <w:spacing w:lineRule="auto" w:line="360" w:beforeAutospacing="0" w:afterAutospacing="0"/>
        <w:rPr>
          <w:rFonts w:ascii="Calibri" w:hAnsi="Calibri" w:cs="Calibri" w:eastAsiaTheme="minorHAnsi"/>
          <w:szCs w:val="24"/>
        </w:rPr>
      </w:pPr>
    </w:p>
    <w:p>
      <w:pPr>
        <w:spacing w:lineRule="auto" w:line="240" w:after="0" w:beforeAutospacing="0" w:afterAutospacing="0"/>
        <w:ind w:left="1304"/>
        <w:jc w:val="both"/>
        <w:rPr>
          <w:rFonts w:ascii="Calibri" w:hAnsi="Calibri" w:cs="Calibri" w:eastAsiaTheme="minorHAnsi"/>
          <w:i w:val="1"/>
          <w:iCs w:val="1"/>
          <w:szCs w:val="24"/>
        </w:rPr>
      </w:pPr>
      <w:r>
        <w:rPr>
          <w:rFonts w:ascii="Calibri" w:hAnsi="Calibri" w:cs="Calibri" w:eastAsiaTheme="minorHAnsi"/>
          <w:i w:val="1"/>
          <w:iCs w:val="1"/>
          <w:szCs w:val="24"/>
        </w:rPr>
        <w:t xml:space="preserve">      Gunilla Skoog                                                  Mattias Rostock</w:t>
      </w:r>
    </w:p>
    <w:p>
      <w:pPr>
        <w:spacing w:lineRule="auto" w:line="360" w:beforeAutospacing="0" w:afterAutospacing="0"/>
        <w:ind w:left="1304"/>
        <w:jc w:val="both"/>
        <w:rPr>
          <w:rFonts w:ascii="Calibri" w:hAnsi="Calibri" w:cs="Calibri" w:eastAsiaTheme="minorHAnsi"/>
          <w:i w:val="1"/>
          <w:iCs w:val="1"/>
          <w:szCs w:val="24"/>
        </w:rPr>
      </w:pPr>
      <w:r>
        <w:rPr>
          <w:rFonts w:ascii="Calibri" w:hAnsi="Calibri" w:cs="Calibri" w:eastAsiaTheme="minorHAnsi"/>
          <w:i w:val="1"/>
          <w:iCs w:val="1"/>
          <w:szCs w:val="24"/>
        </w:rPr>
        <w:t xml:space="preserve">      Miljö- och byggchef                                       Samhällsplanerare</w:t>
      </w:r>
    </w:p>
    <w:p>
      <w:pPr>
        <w:spacing w:lineRule="auto" w:line="360" w:beforeAutospacing="0" w:afterAutospacing="0"/>
        <w:jc w:val="both"/>
        <w:rPr>
          <w:rFonts w:ascii="Calibri" w:hAnsi="Calibri" w:cs="Calibri" w:eastAsiaTheme="minorHAnsi"/>
          <w:i w:val="1"/>
          <w:iCs w:val="1"/>
          <w:szCs w:val="24"/>
        </w:rPr>
      </w:pPr>
    </w:p>
    <w:p>
      <w:pPr>
        <w:spacing w:lineRule="auto" w:line="360" w:beforeAutospacing="0" w:afterAutospacing="0"/>
        <w:jc w:val="both"/>
        <w:rPr>
          <w:rFonts w:ascii="Calibri" w:hAnsi="Calibri" w:cs="Calibri" w:eastAsiaTheme="minorHAnsi"/>
          <w:i w:val="1"/>
          <w:iCs w:val="1"/>
          <w:szCs w:val="24"/>
        </w:rPr>
      </w:pPr>
    </w:p>
    <w:p>
      <w:pPr>
        <w:spacing w:lineRule="auto" w:line="360" w:beforeAutospacing="0" w:afterAutospacing="0"/>
        <w:jc w:val="both"/>
        <w:rPr>
          <w:rFonts w:ascii="Calibri" w:hAnsi="Calibri" w:cs="Calibri" w:eastAsiaTheme="minorHAnsi"/>
          <w:i w:val="1"/>
          <w:iCs w:val="1"/>
          <w:szCs w:val="24"/>
        </w:rPr>
      </w:pPr>
    </w:p>
    <w:p>
      <w:pPr>
        <w:spacing w:lineRule="auto" w:line="360" w:beforeAutospacing="0" w:afterAutospacing="0"/>
        <w:jc w:val="both"/>
        <w:rPr>
          <w:rFonts w:ascii="Calibri" w:hAnsi="Calibri" w:cs="Calibri" w:eastAsiaTheme="minorHAnsi"/>
          <w:i w:val="1"/>
          <w:iCs w:val="1"/>
          <w:szCs w:val="24"/>
        </w:rPr>
      </w:pPr>
    </w:p>
    <w:p>
      <w:pPr>
        <w:spacing w:lineRule="auto" w:line="360" w:beforeAutospacing="0" w:afterAutospacing="0"/>
        <w:jc w:val="both"/>
        <w:rPr>
          <w:rFonts w:ascii="Calibri" w:hAnsi="Calibri" w:cs="Calibri" w:eastAsiaTheme="minorHAnsi"/>
          <w:i w:val="1"/>
          <w:iCs w:val="1"/>
          <w:szCs w:val="24"/>
        </w:rPr>
      </w:pPr>
    </w:p>
    <w:p>
      <w:pPr>
        <w:spacing w:lineRule="auto" w:line="360" w:beforeAutospacing="0" w:afterAutospacing="0"/>
        <w:jc w:val="both"/>
        <w:rPr>
          <w:rFonts w:ascii="Calibri" w:hAnsi="Calibri" w:cs="Calibri" w:eastAsiaTheme="minorHAnsi"/>
          <w:i w:val="1"/>
          <w:iCs w:val="1"/>
          <w:szCs w:val="24"/>
        </w:rPr>
      </w:pPr>
    </w:p>
    <w:p>
      <w:pPr>
        <w:spacing w:lineRule="auto" w:line="360" w:beforeAutospacing="0" w:afterAutospacing="0"/>
        <w:jc w:val="both"/>
        <w:rPr>
          <w:rFonts w:ascii="Calibri" w:hAnsi="Calibri" w:cs="Calibri" w:eastAsiaTheme="minorHAnsi"/>
          <w:szCs w:val="24"/>
        </w:rPr>
      </w:pPr>
      <w:r>
        <w:rPr>
          <w:rFonts w:ascii="Calibri" w:hAnsi="Calibri" w:cs="Calibri" w:eastAsia="Times New Roman"/>
          <w:noProof w:val="1"/>
          <w:sz w:val="22"/>
          <w:lang w:eastAsia="sv-SE"/>
        </w:rPr>
        <w:drawing>
          <wp:anchor xmlns:wp="http://schemas.openxmlformats.org/drawingml/2006/wordprocessingDrawing" distT="0" distB="0" distL="114300" distR="114300" simplePos="0" relativeHeight="1" behindDoc="0" locked="0" layoutInCell="1" allowOverlap="1">
            <wp:simplePos x="0" y="0"/>
            <wp:positionH relativeFrom="margin">
              <wp:align>center</wp:align>
            </wp:positionH>
            <wp:positionV relativeFrom="paragraph">
              <wp:posOffset>95885</wp:posOffset>
            </wp:positionV>
            <wp:extent cx="2635250" cy="414020"/>
            <wp:effectExtent l="0" t="0" r="0" b="5080"/>
            <wp:wrapThrough wrapText="bothSides">
              <wp:wrapPolygon edited="0">
                <wp:start x="0" y="0"/>
                <wp:lineTo x="0" y="14908"/>
                <wp:lineTo x="13585" y="18883"/>
                <wp:lineTo x="14521" y="20871"/>
                <wp:lineTo x="15771" y="20871"/>
                <wp:lineTo x="16707" y="20871"/>
                <wp:lineTo x="21392" y="19877"/>
                <wp:lineTo x="21392" y="0"/>
                <wp:lineTo x="0" y="0"/>
              </wp:wrapPolygon>
            </wp:wrapThrough>
            <wp:docPr id="11" name="Bildobjekt 11" descr="En bild som visar text, porslin, kop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dpi="0">
                    <a:blip xmlns:r="http://schemas.openxmlformats.org/officeDocument/2006/relationships" r:embed="Relimage26"/>
                    <a:srcRect/>
                    <a:stretch>
                      <a:fillRect/>
                    </a:stretch>
                  </pic:blipFill>
                  <pic:spPr bwMode="auto">
                    <a:xfrm>
                      <a:off x="0" y="0"/>
                      <a:ext cx="2635250" cy="414020"/>
                    </a:xfrm>
                    <a:prstGeom prst="rect"/>
                    <a:noFill/>
                    <a:ln>
                      <a:noFill/>
                    </a:ln>
                  </pic:spPr>
                </pic:pic>
              </a:graphicData>
            </a:graphic>
          </wp:anchor>
        </w:drawing>
      </w:r>
    </w:p>
    <w:p>
      <w:pPr>
        <w:spacing w:lineRule="auto" w:line="360" w:beforeAutospacing="0" w:afterAutospacing="0"/>
        <w:jc w:val="both"/>
        <w:rPr>
          <w:rFonts w:ascii="Calibri" w:hAnsi="Calibri" w:cs="Calibri" w:eastAsiaTheme="minorHAnsi"/>
          <w:szCs w:val="24"/>
        </w:rPr>
      </w:pPr>
    </w:p>
    <w:p>
      <w:pPr>
        <w:widowControl w:val="0"/>
        <w:spacing w:lineRule="auto" w:line="288" w:after="0" w:beforeAutospacing="0" w:afterAutospacing="0"/>
        <w:jc w:val="center"/>
        <w:rPr>
          <w:rFonts w:ascii="Calibri" w:hAnsi="Calibri" w:cs="Calibri" w:eastAsia="Times New Roman"/>
          <w:color w:val="000000"/>
          <w:szCs w:val="24"/>
        </w:rPr>
      </w:pPr>
      <w:r>
        <w:rPr>
          <w:rFonts w:ascii="Calibri" w:hAnsi="Calibri" w:cs="Calibri" w:eastAsia="Times New Roman"/>
          <w:color w:val="000000"/>
          <w:szCs w:val="24"/>
        </w:rPr>
        <w:t xml:space="preserve">Smedjebackens kommun • Miljö- och byggkontoret • 777 81 Smedjebacken </w:t>
      </w:r>
    </w:p>
    <w:p>
      <w:pPr>
        <w:widowControl w:val="0"/>
        <w:spacing w:lineRule="auto" w:line="288" w:after="0" w:beforeAutospacing="0" w:afterAutospacing="0"/>
        <w:jc w:val="center"/>
        <w:rPr>
          <w:rFonts w:ascii="Calibri" w:hAnsi="Calibri" w:cs="Calibri"/>
        </w:rPr>
      </w:pPr>
      <w:r>
        <w:rPr>
          <w:rFonts w:ascii="Calibri" w:hAnsi="Calibri" w:cs="Calibri" w:eastAsia="Times New Roman"/>
          <w:color w:val="000000"/>
          <w:szCs w:val="24"/>
        </w:rPr>
        <w:t xml:space="preserve"> E-post: miljobygg@smedjebacken.se • Telefon: 0240-66 00 00 • Säte Smedjebacken</w: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7" w:right="1417" w:top="1417" w:bottom="1417" w:header="397" w:footer="567"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tabs>
        <w:tab w:val="clear" w:pos="9072" w:leader="none"/>
      </w:tabs>
      <w:spacing w:after="40" w:beforeAutospacing="0" w:afterAutospacing="0"/>
      <w:ind w:left="-1418" w:right="-709"/>
      <w:jc w:val="center"/>
      <w:rPr>
        <w:rFonts w:cstheme="minorHAnsi"/>
        <w:sz w:val="20"/>
        <w:szCs w:val="20"/>
      </w:rPr>
    </w:pPr>
    <w:r>
      <w:rPr>
        <w:rFonts w:cstheme="minorHAnsi"/>
        <w:sz w:val="20"/>
        <w:szCs w:val="20"/>
      </w:rPr>
      <w:t xml:space="preserve">Smedjebackens kommun </w:t>
    </w:r>
    <w:r>
      <w:rPr>
        <w:rFonts w:ascii="Wingdings" w:hAnsi="Wingdings" w:cs="Wingdings" w:eastAsia="Wingdings"/>
        <w:sz w:val="20"/>
        <w:szCs w:val="20"/>
      </w:rPr>
      <w:t></w:t>
    </w:r>
    <w:r>
      <w:rPr>
        <w:rFonts w:cstheme="minorHAnsi"/>
        <w:sz w:val="20"/>
        <w:szCs w:val="20"/>
      </w:rPr>
      <w:t xml:space="preserve"> 777 81 Smedjebacken </w:t>
    </w:r>
    <w:r>
      <w:rPr>
        <w:rFonts w:ascii="Wingdings" w:hAnsi="Wingdings" w:cs="Wingdings" w:eastAsia="Wingdings"/>
        <w:sz w:val="20"/>
        <w:szCs w:val="20"/>
      </w:rPr>
      <w:t></w:t>
    </w:r>
    <w:r>
      <w:rPr>
        <w:rFonts w:cstheme="minorHAnsi"/>
        <w:sz w:val="20"/>
        <w:szCs w:val="20"/>
      </w:rPr>
      <w:t xml:space="preserve"> E-post </w:t>
    </w:r>
    <w:r>
      <w:rPr>
        <w:rFonts w:ascii="Wingdings" w:hAnsi="Wingdings" w:cs="Wingdings" w:eastAsia="Wingdings"/>
        <w:sz w:val="20"/>
        <w:szCs w:val="20"/>
      </w:rPr>
      <w:t></w:t>
    </w:r>
    <w:r>
      <w:rPr>
        <w:rFonts w:cstheme="minorHAnsi"/>
        <w:sz w:val="20"/>
        <w:szCs w:val="20"/>
      </w:rPr>
      <w:t xml:space="preserve"> kommun@smedjebacken.se</w:t>
    </w:r>
  </w:p>
  <w:p>
    <w:pPr>
      <w:pStyle w:val="P11"/>
      <w:tabs>
        <w:tab w:val="clear" w:pos="9072" w:leader="none"/>
      </w:tabs>
      <w:spacing w:after="40" w:beforeAutospacing="0" w:afterAutospacing="0"/>
      <w:ind w:left="-1418" w:right="-709"/>
      <w:jc w:val="center"/>
      <w:rPr>
        <w:rFonts w:cstheme="minorHAnsi"/>
        <w:sz w:val="20"/>
        <w:szCs w:val="20"/>
      </w:rPr>
    </w:pPr>
    <w:r>
      <w:rPr>
        <w:rFonts w:cstheme="minorHAnsi"/>
        <w:sz w:val="20"/>
        <w:szCs w:val="20"/>
      </w:rPr>
      <w:t xml:space="preserve">Telefon: 0240-66 00 00 </w:t>
    </w:r>
    <w:r>
      <w:rPr>
        <w:rFonts w:ascii="Wingdings" w:hAnsi="Wingdings" w:cs="Wingdings" w:eastAsia="Wingdings"/>
        <w:sz w:val="20"/>
        <w:szCs w:val="20"/>
      </w:rPr>
      <w:t></w:t>
    </w:r>
    <w:r>
      <w:rPr>
        <w:rFonts w:cstheme="minorHAnsi"/>
        <w:sz w:val="20"/>
        <w:szCs w:val="20"/>
      </w:rPr>
      <w:t xml:space="preserve"> Telefax: 0240-742 41 </w:t>
    </w:r>
    <w:r>
      <w:rPr>
        <w:rFonts w:ascii="Wingdings" w:hAnsi="Wingdings" w:cs="Wingdings" w:eastAsia="Wingdings"/>
        <w:sz w:val="20"/>
        <w:szCs w:val="20"/>
      </w:rPr>
      <w:t></w:t>
    </w:r>
    <w:r>
      <w:rPr>
        <w:rFonts w:cstheme="minorHAnsi"/>
        <w:sz w:val="20"/>
        <w:szCs w:val="20"/>
      </w:rPr>
      <w:t xml:space="preserve"> Bankgiro:820–9538 </w:t>
    </w:r>
    <w:r>
      <w:rPr>
        <w:rFonts w:ascii="Wingdings" w:hAnsi="Wingdings" w:cs="Wingdings" w:eastAsia="Wingdings"/>
        <w:sz w:val="20"/>
        <w:szCs w:val="20"/>
      </w:rPr>
      <w:t></w:t>
    </w:r>
    <w:r>
      <w:rPr>
        <w:rFonts w:cstheme="minorHAnsi"/>
        <w:sz w:val="20"/>
        <w:szCs w:val="20"/>
      </w:rPr>
      <w:t xml:space="preserve"> Org.nr: SE2120002205 </w:t>
    </w:r>
    <w:r>
      <w:rPr>
        <w:rFonts w:ascii="Wingdings" w:hAnsi="Wingdings" w:cs="Wingdings" w:eastAsia="Wingdings"/>
        <w:sz w:val="20"/>
        <w:szCs w:val="20"/>
      </w:rPr>
      <w:t></w:t>
    </w:r>
    <w:r>
      <w:rPr>
        <w:rFonts w:cstheme="minorHAnsi"/>
        <w:sz w:val="20"/>
        <w:szCs w:val="20"/>
      </w:rPr>
      <w:t xml:space="preserve"> Säte Smedjebacken</w:t>
    </w:r>
    <w:r>
      <w:rPr>
        <w:rFonts w:cstheme="minorHAnsi" w:eastAsia="Calibri"/>
        <w:noProof w:val="1"/>
        <w:color w:val="C00000"/>
        <w:sz w:val="44"/>
        <w:szCs w:val="44"/>
        <w:lang w:eastAsia="sv-SE"/>
      </w:rPr>
      <w:drawing>
        <wp:anchor xmlns:wp="http://schemas.openxmlformats.org/drawingml/2006/wordprocessingDrawing" distT="0" distB="0" distL="114300" distR="114300" simplePos="0" relativeHeight="251659265" behindDoc="1" locked="0" layoutInCell="1" allowOverlap="1">
          <wp:simplePos x="0" y="0"/>
          <wp:positionH relativeFrom="column">
            <wp:posOffset>2668270</wp:posOffset>
          </wp:positionH>
          <wp:positionV relativeFrom="page">
            <wp:posOffset>5824220</wp:posOffset>
          </wp:positionV>
          <wp:extent cx="5759450" cy="5759450"/>
          <wp:effectExtent l="0" t="0" r="0" b="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B_kugghjul_grey.png"/>
                  <pic:cNvPicPr/>
                </pic:nvPicPr>
                <pic:blipFill dpi="0">
                  <a:blip xmlns:r="http://schemas.openxmlformats.org/officeDocument/2006/relationships" r:embed="Relimage29"/>
                  <a:srcRect/>
                  <a:stretch>
                    <a:fillRect/>
                  </a:stretch>
                </pic:blipFill>
                <pic:spPr>
                  <a:xfrm>
                    <a:off x="0" y="0"/>
                    <a:ext cx="5759450" cy="5759450"/>
                  </a:xfrm>
                  <a:prstGeom prst="rect"/>
                </pic:spPr>
              </pic:pic>
            </a:graphicData>
          </a:graphic>
        </wp:anchor>
      </w:drawing>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jc w:val="center"/>
    </w:pPr>
  </w:p>
  <w:p>
    <w:pPr>
      <w:pStyle w:val="P11"/>
      <w:jc w:val="center"/>
    </w:pPr>
    <w:r>
      <w:fldChar w:fldCharType="begin"/>
    </w:r>
    <w:r>
      <w:instrText xml:space="preserve">PAGE   \* MERGEFORMAT</w:instrText>
    </w:r>
    <w:r>
      <w:fldChar w:fldCharType="separate"/>
    </w:r>
    <w:r>
      <w:t>#</w:t>
    </w:r>
    <w: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6" behindDoc="1" locked="0" layoutInCell="1" allowOverlap="1">
          <wp:simplePos x="0" y="0"/>
          <wp:positionH relativeFrom="margin">
            <wp:posOffset>-521335</wp:posOffset>
          </wp:positionH>
          <wp:positionV relativeFrom="paragraph">
            <wp:posOffset>15240</wp:posOffset>
          </wp:positionV>
          <wp:extent cx="2483485" cy="384810"/>
          <wp:effectExtent l="0" t="0" r="0" b="0"/>
          <wp:wrapSquare wrapText="bothSides"/>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7"/>
                  <a:srcRect/>
                  <a:stretch>
                    <a:fillRect/>
                  </a:stretch>
                </pic:blipFill>
                <pic:spPr bwMode="auto">
                  <a:xfrm>
                    <a:off x="0" y="0"/>
                    <a:ext cx="2483485" cy="384810"/>
                  </a:xfrm>
                  <a:prstGeom prst="rect"/>
                  <a:noFill/>
                  <a:ln>
                    <a:noFill/>
                  </a:ln>
                </pic:spPr>
              </pic:pic>
            </a:graphicData>
          </a:graphic>
        </wp:anchor>
      </w:drawing>
    </w:r>
    <w:r>
      <w:t xml:space="preserve">                                                                    </w:t>
    </w:r>
    <w:r>
      <w:rPr>
        <w:rStyle w:val="C25"/>
      </w:rPr>
      <w:t>MBN 2025–261</w:t>
    </w:r>
  </w:p>
  <w:p>
    <w:pPr>
      <w:pStyle w:val="P10"/>
    </w:pPr>
    <w:r>
      <w:t xml:space="preserve">                                                                    Lagakrafthandling</w: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4" behindDoc="1" locked="0" layoutInCell="1" allowOverlap="1">
          <wp:simplePos x="0" y="0"/>
          <wp:positionH relativeFrom="margin">
            <wp:posOffset>-482600</wp:posOffset>
          </wp:positionH>
          <wp:positionV relativeFrom="paragraph">
            <wp:posOffset>63500</wp:posOffset>
          </wp:positionV>
          <wp:extent cx="2483485" cy="384810"/>
          <wp:effectExtent l="0" t="0" r="0" b="0"/>
          <wp:wrapSquare wrapText="bothSides"/>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8"/>
                  <a:srcRect/>
                  <a:stretch>
                    <a:fillRect/>
                  </a:stretch>
                </pic:blipFill>
                <pic:spPr bwMode="auto">
                  <a:xfrm>
                    <a:off x="0" y="0"/>
                    <a:ext cx="2483485" cy="384810"/>
                  </a:xfrm>
                  <a:prstGeom prst="rect"/>
                  <a:noFill/>
                  <a:ln>
                    <a:noFill/>
                  </a:ln>
                </pic:spPr>
              </pic:pic>
            </a:graphicData>
          </a:graphic>
        </wp:anchor>
      </w:drawing>
    </w:r>
    <w:r>
      <w:t xml:space="preserve">                                                                     </w:t>
    </w:r>
    <w:r>
      <w:rPr>
        <w:rStyle w:val="C25"/>
      </w:rPr>
      <w:t>MBN 2025–261</w:t>
    </w:r>
  </w:p>
  <w:p>
    <w:pPr>
      <w:pStyle w:val="P10"/>
      <w:jc w:val="center"/>
    </w:pPr>
    <w:r>
      <w:t xml:space="preserve">                                                                 Lagakrafthandling</w:t>
    </w:r>
  </w:p>
  <w:p>
    <w:pPr>
      <w:pStyle w:val="P10"/>
      <w:jc w:val="center"/>
    </w:pPr>
  </w:p>
</w:hdr>
</file>

<file path=word/numbering.xml><?xml version="1.0" encoding="utf-8"?>
<w:numbering xmlns:w="http://schemas.openxmlformats.org/wordprocessingml/2006/main">
  <w:abstractNum w:abstractNumId="0">
    <w:nsid w:val="0474065F"/>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
    <w:nsid w:val="10245704"/>
    <w:multiLevelType w:val="multilevel"/>
    <w:lvl w:ilvl="0">
      <w:start w:val="1"/>
      <w:numFmt w:val="decimal"/>
      <w:pStyle w:val="P14"/>
      <w:suff w:val="tab"/>
      <w:lvlText w:val="%1"/>
      <w:lvlJc w:val="left"/>
      <w:pPr>
        <w:ind w:hanging="432" w:left="432"/>
      </w:pPr>
      <w:rPr>
        <w:rFonts w:hint="default"/>
      </w:rPr>
    </w:lvl>
    <w:lvl w:ilvl="1">
      <w:start w:val="1"/>
      <w:numFmt w:val="decimal"/>
      <w:pStyle w:val="P15"/>
      <w:suff w:val="space"/>
      <w:lvlText w:val="%1.%2"/>
      <w:lvlJc w:val="left"/>
      <w:pPr>
        <w:ind w:hanging="463" w:left="576"/>
      </w:pPr>
      <w:rPr>
        <w:rFonts w:hint="default"/>
      </w:rPr>
    </w:lvl>
    <w:lvl w:ilvl="2">
      <w:start w:val="1"/>
      <w:numFmt w:val="decimal"/>
      <w:pStyle w:val="P16"/>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
    <w:nsid w:val="13240F92"/>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3">
    <w:nsid w:val="1482775B"/>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4">
    <w:nsid w:val="18233C31"/>
    <w:multiLevelType w:val="hybridMultilevel"/>
    <w:lvl w:ilvl="0" w:tplc="041D0001">
      <w:start w:val="1"/>
      <w:numFmt w:val="bullet"/>
      <w:suff w:val="tab"/>
      <w:lvlText w:val=""/>
      <w:lvlJc w:val="left"/>
      <w:pPr>
        <w:ind w:hanging="360" w:left="1080"/>
      </w:pPr>
      <w:rPr>
        <w:rFonts w:ascii="Symbol" w:hAnsi="Symbol"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5">
    <w:nsid w:val="18F80557"/>
    <w:multiLevelType w:val="hybridMultilevel"/>
    <w:lvl w:ilvl="0" w:tplc="041D0001">
      <w:start w:val="1"/>
      <w:numFmt w:val="bullet"/>
      <w:suff w:val="tab"/>
      <w:lvlText w:val=""/>
      <w:lvlJc w:val="left"/>
      <w:pPr>
        <w:ind w:hanging="360" w:left="1080"/>
      </w:pPr>
      <w:rPr>
        <w:rFonts w:ascii="Symbol" w:hAnsi="Symbol"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6">
    <w:nsid w:val="20A46DF2"/>
    <w:multiLevelType w:val="hybridMultilevel"/>
    <w:lvl w:ilvl="0" w:tplc="1AB62E2E">
      <w:start w:val="1"/>
      <w:numFmt w:val="decimal"/>
      <w:suff w:val="tab"/>
      <w:lvlText w:val="%1."/>
      <w:lvlJc w:val="left"/>
      <w:pPr>
        <w:ind w:hanging="360" w:left="1080"/>
      </w:pPr>
      <w:rPr>
        <w:rFonts w:hint="default"/>
      </w:rPr>
    </w:lvl>
    <w:lvl w:ilvl="1" w:tplc="041D0019">
      <w:start w:val="1"/>
      <w:numFmt w:val="lowerLetter"/>
      <w:suff w:val="tab"/>
      <w:lvlText w:val="%2."/>
      <w:lvlJc w:val="left"/>
      <w:pPr>
        <w:ind w:hanging="360" w:left="1800"/>
      </w:pPr>
      <w:rPr/>
    </w:lvl>
    <w:lvl w:ilvl="2" w:tplc="041D001B">
      <w:start w:val="1"/>
      <w:numFmt w:val="lowerRoman"/>
      <w:suff w:val="tab"/>
      <w:lvlText w:val="%3."/>
      <w:lvlJc w:val="right"/>
      <w:pPr>
        <w:ind w:hanging="180" w:left="2520"/>
      </w:pPr>
      <w:rPr/>
    </w:lvl>
    <w:lvl w:ilvl="3" w:tplc="041D000F">
      <w:start w:val="1"/>
      <w:numFmt w:val="decimal"/>
      <w:suff w:val="tab"/>
      <w:lvlText w:val="%4."/>
      <w:lvlJc w:val="left"/>
      <w:pPr>
        <w:ind w:hanging="360" w:left="3240"/>
      </w:pPr>
      <w:rPr/>
    </w:lvl>
    <w:lvl w:ilvl="4" w:tplc="041D0019">
      <w:start w:val="1"/>
      <w:numFmt w:val="lowerLetter"/>
      <w:suff w:val="tab"/>
      <w:lvlText w:val="%5."/>
      <w:lvlJc w:val="left"/>
      <w:pPr>
        <w:ind w:hanging="360" w:left="3960"/>
      </w:pPr>
      <w:rPr/>
    </w:lvl>
    <w:lvl w:ilvl="5" w:tplc="041D001B">
      <w:start w:val="1"/>
      <w:numFmt w:val="lowerRoman"/>
      <w:suff w:val="tab"/>
      <w:lvlText w:val="%6."/>
      <w:lvlJc w:val="right"/>
      <w:pPr>
        <w:ind w:hanging="180" w:left="4680"/>
      </w:pPr>
      <w:rPr/>
    </w:lvl>
    <w:lvl w:ilvl="6" w:tplc="041D000F">
      <w:start w:val="1"/>
      <w:numFmt w:val="decimal"/>
      <w:suff w:val="tab"/>
      <w:lvlText w:val="%7."/>
      <w:lvlJc w:val="left"/>
      <w:pPr>
        <w:ind w:hanging="360" w:left="5400"/>
      </w:pPr>
      <w:rPr/>
    </w:lvl>
    <w:lvl w:ilvl="7" w:tplc="041D0019">
      <w:start w:val="1"/>
      <w:numFmt w:val="lowerLetter"/>
      <w:suff w:val="tab"/>
      <w:lvlText w:val="%8."/>
      <w:lvlJc w:val="left"/>
      <w:pPr>
        <w:ind w:hanging="360" w:left="6120"/>
      </w:pPr>
      <w:rPr/>
    </w:lvl>
    <w:lvl w:ilvl="8" w:tplc="041D001B">
      <w:start w:val="1"/>
      <w:numFmt w:val="lowerRoman"/>
      <w:suff w:val="tab"/>
      <w:lvlText w:val="%9."/>
      <w:lvlJc w:val="right"/>
      <w:pPr>
        <w:ind w:hanging="180" w:left="6840"/>
      </w:pPr>
      <w:rPr/>
    </w:lvl>
  </w:abstractNum>
  <w:abstractNum w:abstractNumId="7">
    <w:nsid w:val="22026745"/>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8">
    <w:nsid w:val="2C1C601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9">
    <w:nsid w:val="371853C1"/>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0">
    <w:nsid w:val="37FE3FAC"/>
    <w:multiLevelType w:val="hybridMultilevel"/>
    <w:lvl w:ilvl="0" w:tplc="37AC114C">
      <w:start w:val="1"/>
      <w:numFmt w:val="decimal"/>
      <w:suff w:val="tab"/>
      <w:lvlText w:val="%1."/>
      <w:lvlJc w:val="left"/>
      <w:pPr>
        <w:ind w:hanging="360" w:left="1440"/>
      </w:pPr>
      <w:rPr>
        <w:rFonts w:hint="default"/>
        <w:b w:val="1"/>
        <w:bCs w:val="1"/>
      </w:rPr>
    </w:lvl>
    <w:lvl w:ilvl="1" w:tplc="FFFFFFFF">
      <w:start w:val="1"/>
      <w:numFmt w:val="bullet"/>
      <w:suff w:val="tab"/>
      <w:lvlText w:val="o"/>
      <w:lvlJc w:val="left"/>
      <w:pPr>
        <w:ind w:hanging="360" w:left="2160"/>
      </w:pPr>
      <w:rPr>
        <w:rFonts w:ascii="Courier New" w:hAnsi="Courier New" w:cs="Courier New" w:hint="default"/>
      </w:rPr>
    </w:lvl>
    <w:lvl w:ilvl="2" w:tplc="FFFFFFFF">
      <w:start w:val="1"/>
      <w:numFmt w:val="bullet"/>
      <w:suff w:val="tab"/>
      <w:lvlText w:val=""/>
      <w:lvlJc w:val="left"/>
      <w:pPr>
        <w:ind w:hanging="360" w:left="2880"/>
      </w:pPr>
      <w:rPr>
        <w:rFonts w:ascii="Wingdings" w:hAnsi="Wingdings" w:hint="default"/>
      </w:rPr>
    </w:lvl>
    <w:lvl w:ilvl="3" w:tplc="FFFFFFFF">
      <w:start w:val="1"/>
      <w:numFmt w:val="bullet"/>
      <w:suff w:val="tab"/>
      <w:lvlText w:val=""/>
      <w:lvlJc w:val="left"/>
      <w:pPr>
        <w:ind w:hanging="360" w:left="3600"/>
      </w:pPr>
      <w:rPr>
        <w:rFonts w:ascii="Symbol" w:hAnsi="Symbol" w:hint="default"/>
      </w:rPr>
    </w:lvl>
    <w:lvl w:ilvl="4" w:tplc="FFFFFFFF">
      <w:start w:val="1"/>
      <w:numFmt w:val="bullet"/>
      <w:suff w:val="tab"/>
      <w:lvlText w:val="o"/>
      <w:lvlJc w:val="left"/>
      <w:pPr>
        <w:ind w:hanging="360" w:left="4320"/>
      </w:pPr>
      <w:rPr>
        <w:rFonts w:ascii="Courier New" w:hAnsi="Courier New" w:cs="Courier New" w:hint="default"/>
      </w:rPr>
    </w:lvl>
    <w:lvl w:ilvl="5" w:tplc="FFFFFFFF">
      <w:start w:val="1"/>
      <w:numFmt w:val="bullet"/>
      <w:suff w:val="tab"/>
      <w:lvlText w:val=""/>
      <w:lvlJc w:val="left"/>
      <w:pPr>
        <w:ind w:hanging="360" w:left="5040"/>
      </w:pPr>
      <w:rPr>
        <w:rFonts w:ascii="Wingdings" w:hAnsi="Wingdings" w:hint="default"/>
      </w:rPr>
    </w:lvl>
    <w:lvl w:ilvl="6" w:tplc="FFFFFFFF">
      <w:start w:val="1"/>
      <w:numFmt w:val="bullet"/>
      <w:suff w:val="tab"/>
      <w:lvlText w:val=""/>
      <w:lvlJc w:val="left"/>
      <w:pPr>
        <w:ind w:hanging="360" w:left="5760"/>
      </w:pPr>
      <w:rPr>
        <w:rFonts w:ascii="Symbol" w:hAnsi="Symbol" w:hint="default"/>
      </w:rPr>
    </w:lvl>
    <w:lvl w:ilvl="7" w:tplc="FFFFFFFF">
      <w:start w:val="1"/>
      <w:numFmt w:val="bullet"/>
      <w:suff w:val="tab"/>
      <w:lvlText w:val="o"/>
      <w:lvlJc w:val="left"/>
      <w:pPr>
        <w:ind w:hanging="360" w:left="6480"/>
      </w:pPr>
      <w:rPr>
        <w:rFonts w:ascii="Courier New" w:hAnsi="Courier New" w:cs="Courier New" w:hint="default"/>
      </w:rPr>
    </w:lvl>
    <w:lvl w:ilvl="8" w:tplc="FFFFFFFF">
      <w:start w:val="1"/>
      <w:numFmt w:val="bullet"/>
      <w:suff w:val="tab"/>
      <w:lvlText w:val=""/>
      <w:lvlJc w:val="left"/>
      <w:pPr>
        <w:ind w:hanging="360" w:left="7200"/>
      </w:pPr>
      <w:rPr>
        <w:rFonts w:ascii="Wingdings" w:hAnsi="Wingdings" w:hint="default"/>
      </w:rPr>
    </w:lvl>
  </w:abstractNum>
  <w:abstractNum w:abstractNumId="11">
    <w:nsid w:val="3AD53C9E"/>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2">
    <w:nsid w:val="51492B09"/>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3">
    <w:nsid w:val="5524104F"/>
    <w:multiLevelType w:val="hybridMultilevel"/>
    <w:lvl w:ilvl="0" w:tplc="8E38728A">
      <w:start w:val="0"/>
      <w:numFmt w:val="bullet"/>
      <w:suff w:val="tab"/>
      <w:lvlText w:val=""/>
      <w:lvlJc w:val="left"/>
      <w:pPr>
        <w:ind w:hanging="360" w:left="720"/>
      </w:pPr>
      <w:rPr>
        <w:rFonts w:ascii="Symbol" w:hAnsi="Symbol" w:cstheme="minorBidi" w:eastAsiaTheme="minorEastAs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4">
    <w:nsid w:val="56DA27D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5">
    <w:nsid w:val="5B3415B8"/>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6">
    <w:nsid w:val="5C933E0C"/>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7">
    <w:nsid w:val="77CC1B24"/>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8">
    <w:nsid w:val="79C67AF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9">
    <w:nsid w:val="79DE036D"/>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20">
    <w:nsid w:val="7EEB5FEC"/>
    <w:multiLevelType w:val="hybridMultilevel"/>
    <w:lvl w:ilvl="0" w:tplc="041D0001">
      <w:start w:val="1"/>
      <w:numFmt w:val="bullet"/>
      <w:suff w:val="tab"/>
      <w:lvlText w:val=""/>
      <w:lvlJc w:val="left"/>
      <w:pPr>
        <w:ind w:hanging="360" w:left="1296"/>
      </w:pPr>
      <w:rPr>
        <w:rFonts w:ascii="Symbol" w:hAnsi="Symbol" w:hint="default"/>
      </w:rPr>
    </w:lvl>
    <w:lvl w:ilvl="1" w:tplc="041D0003">
      <w:start w:val="1"/>
      <w:numFmt w:val="bullet"/>
      <w:suff w:val="tab"/>
      <w:lvlText w:val="o"/>
      <w:lvlJc w:val="left"/>
      <w:pPr>
        <w:ind w:hanging="360" w:left="2016"/>
      </w:pPr>
      <w:rPr>
        <w:rFonts w:ascii="Courier New" w:hAnsi="Courier New" w:cs="Courier New" w:hint="default"/>
      </w:rPr>
    </w:lvl>
    <w:lvl w:ilvl="2" w:tplc="041D0005">
      <w:start w:val="1"/>
      <w:numFmt w:val="bullet"/>
      <w:suff w:val="tab"/>
      <w:lvlText w:val=""/>
      <w:lvlJc w:val="left"/>
      <w:pPr>
        <w:ind w:hanging="360" w:left="2736"/>
      </w:pPr>
      <w:rPr>
        <w:rFonts w:ascii="Wingdings" w:hAnsi="Wingdings" w:hint="default"/>
      </w:rPr>
    </w:lvl>
    <w:lvl w:ilvl="3" w:tplc="041D0001">
      <w:start w:val="1"/>
      <w:numFmt w:val="bullet"/>
      <w:suff w:val="tab"/>
      <w:lvlText w:val=""/>
      <w:lvlJc w:val="left"/>
      <w:pPr>
        <w:ind w:hanging="360" w:left="3456"/>
      </w:pPr>
      <w:rPr>
        <w:rFonts w:ascii="Symbol" w:hAnsi="Symbol" w:hint="default"/>
      </w:rPr>
    </w:lvl>
    <w:lvl w:ilvl="4" w:tplc="041D0003">
      <w:start w:val="1"/>
      <w:numFmt w:val="bullet"/>
      <w:suff w:val="tab"/>
      <w:lvlText w:val="o"/>
      <w:lvlJc w:val="left"/>
      <w:pPr>
        <w:ind w:hanging="360" w:left="4176"/>
      </w:pPr>
      <w:rPr>
        <w:rFonts w:ascii="Courier New" w:hAnsi="Courier New" w:cs="Courier New" w:hint="default"/>
      </w:rPr>
    </w:lvl>
    <w:lvl w:ilvl="5" w:tplc="041D0005">
      <w:start w:val="1"/>
      <w:numFmt w:val="bullet"/>
      <w:suff w:val="tab"/>
      <w:lvlText w:val=""/>
      <w:lvlJc w:val="left"/>
      <w:pPr>
        <w:ind w:hanging="360" w:left="4896"/>
      </w:pPr>
      <w:rPr>
        <w:rFonts w:ascii="Wingdings" w:hAnsi="Wingdings" w:hint="default"/>
      </w:rPr>
    </w:lvl>
    <w:lvl w:ilvl="6" w:tplc="041D0001">
      <w:start w:val="1"/>
      <w:numFmt w:val="bullet"/>
      <w:suff w:val="tab"/>
      <w:lvlText w:val=""/>
      <w:lvlJc w:val="left"/>
      <w:pPr>
        <w:ind w:hanging="360" w:left="5616"/>
      </w:pPr>
      <w:rPr>
        <w:rFonts w:ascii="Symbol" w:hAnsi="Symbol" w:hint="default"/>
      </w:rPr>
    </w:lvl>
    <w:lvl w:ilvl="7" w:tplc="041D0003">
      <w:start w:val="1"/>
      <w:numFmt w:val="bullet"/>
      <w:suff w:val="tab"/>
      <w:lvlText w:val="o"/>
      <w:lvlJc w:val="left"/>
      <w:pPr>
        <w:ind w:hanging="360" w:left="6336"/>
      </w:pPr>
      <w:rPr>
        <w:rFonts w:ascii="Courier New" w:hAnsi="Courier New" w:cs="Courier New" w:hint="default"/>
      </w:rPr>
    </w:lvl>
    <w:lvl w:ilvl="8" w:tplc="041D0005">
      <w:start w:val="1"/>
      <w:numFmt w:val="bullet"/>
      <w:suff w:val="tab"/>
      <w:lvlText w:val=""/>
      <w:lvlJc w:val="left"/>
      <w:pPr>
        <w:ind w:hanging="360" w:left="7056"/>
      </w:pPr>
      <w:rPr>
        <w:rFonts w:ascii="Wingdings" w:hAnsi="Wingdings" w:hint="default"/>
      </w:rPr>
    </w:lvl>
  </w:abstractNum>
  <w:num w:numId="1">
    <w:abstractNumId w:val="1"/>
  </w:num>
  <w:num w:numId="2">
    <w:abstractNumId w:val="3"/>
  </w:num>
  <w:num w:numId="3">
    <w:abstractNumId w:val="3"/>
  </w:num>
  <w:num w:numId="4">
    <w:abstractNumId w:val="13"/>
  </w:num>
  <w:num w:numId="5">
    <w:abstractNumId w:val="12"/>
  </w:num>
  <w:num w:numId="6">
    <w:abstractNumId w:val="18"/>
  </w:num>
  <w:num w:numId="7">
    <w:abstractNumId w:val="7"/>
  </w:num>
  <w:num w:numId="8">
    <w:abstractNumId w:val="6"/>
  </w:num>
  <w:num w:numId="9">
    <w:abstractNumId w:val="15"/>
  </w:num>
  <w:num w:numId="10">
    <w:abstractNumId w:val="8"/>
  </w:num>
  <w:num w:numId="11">
    <w:abstractNumId w:val="2"/>
  </w:num>
  <w:num w:numId="12">
    <w:abstractNumId w:val="0"/>
  </w:num>
  <w:num w:numId="13">
    <w:abstractNumId w:val="17"/>
  </w:num>
  <w:num w:numId="14">
    <w:abstractNumId w:val="9"/>
  </w:num>
  <w:num w:numId="15">
    <w:abstractNumId w:val="10"/>
  </w:num>
  <w:num w:numId="16">
    <w:abstractNumId w:val="5"/>
  </w:num>
  <w:num w:numId="17">
    <w:abstractNumId w:val="4"/>
  </w:num>
  <w:num w:numId="18">
    <w:abstractNumId w:val="20"/>
  </w:num>
  <w:num w:numId="19">
    <w:abstractNumId w:val="11"/>
  </w:num>
  <w:num w:numId="20">
    <w:abstractNumId w:val="14"/>
  </w:num>
  <w:num w:numId="21">
    <w:abstractNumId w:val="19"/>
  </w:num>
  <w:num w:numId="22">
    <w:abstractNumId w:val="16"/>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z w:val="24"/>
    </w:rPr>
  </w:style>
  <w:style w:type="paragraph" w:styleId="P1">
    <w:name w:val="Heading 1"/>
    <w:basedOn w:val="P0"/>
    <w:next w:val="P0"/>
    <w:link w:val="C5"/>
    <w:qFormat/>
    <w:pPr>
      <w:keepNext w:val="1"/>
      <w:keepLines w:val="1"/>
      <w:numPr>
        <w:numId w:val="3"/>
      </w:numPr>
      <w:pBdr>
        <w:top w:val="none" w:sz="0" w:space="0" w:shadow="0" w:frame="0" w:color="auto"/>
        <w:left w:val="none" w:sz="0" w:space="0" w:shadow="0" w:frame="0" w:color="auto"/>
        <w:bottom w:val="single" w:sz="4" w:space="1" w:shadow="0" w:frame="0" w:color="595959" w:themeColor="text1" w:themeTint="A6"/>
        <w:right w:val="none" w:sz="0" w:space="0" w:shadow="0" w:frame="0" w:color="auto"/>
        <w:between w:val="none" w:sz="0" w:space="0" w:shadow="0" w:frame="0" w:color="auto"/>
      </w:pBdr>
      <w:spacing w:before="360" w:beforeAutospacing="0" w:afterAutospacing="0"/>
      <w:outlineLvl w:val="0"/>
    </w:pPr>
    <w:rPr>
      <w:rFonts w:ascii="Calibri" w:hAnsi="Calibri" w:cstheme="majorBidi" w:eastAsiaTheme="majorEastAsia"/>
      <w:b w:val="1"/>
      <w:bCs w:val="1"/>
      <w:smallCaps w:val="1"/>
      <w:color w:val="000000" w:themeColor="text1"/>
      <w:sz w:val="36"/>
      <w:szCs w:val="36"/>
    </w:rPr>
  </w:style>
  <w:style w:type="paragraph" w:styleId="P2">
    <w:name w:val="Heading 2"/>
    <w:basedOn w:val="P0"/>
    <w:next w:val="P0"/>
    <w:link w:val="C6"/>
    <w:qFormat/>
    <w:pPr>
      <w:keepNext w:val="1"/>
      <w:keepLines w:val="1"/>
      <w:numPr>
        <w:ilvl w:val="1"/>
        <w:numId w:val="3"/>
      </w:numPr>
      <w:spacing w:before="360" w:after="0" w:beforeAutospacing="0" w:afterAutospacing="0"/>
      <w:outlineLvl w:val="1"/>
    </w:pPr>
    <w:rPr>
      <w:rFonts w:ascii="Calibri" w:hAnsi="Calibri" w:cstheme="majorBidi" w:eastAsiaTheme="majorEastAsia"/>
      <w:b w:val="1"/>
      <w:bCs w:val="1"/>
      <w:smallCaps w:val="1"/>
      <w:color w:val="000000" w:themeColor="text1"/>
      <w:sz w:val="32"/>
      <w:szCs w:val="28"/>
    </w:rPr>
  </w:style>
  <w:style w:type="paragraph" w:styleId="P3">
    <w:name w:val="Heading 3"/>
    <w:basedOn w:val="P0"/>
    <w:next w:val="P0"/>
    <w:link w:val="C7"/>
    <w:qFormat/>
    <w:pPr>
      <w:keepNext w:val="1"/>
      <w:keepLines w:val="1"/>
      <w:numPr>
        <w:ilvl w:val="2"/>
        <w:numId w:val="3"/>
      </w:numPr>
      <w:spacing w:before="200" w:after="0" w:beforeAutospacing="0" w:afterAutospacing="0"/>
      <w:outlineLvl w:val="2"/>
    </w:pPr>
    <w:rPr>
      <w:rFonts w:ascii="Calibri" w:hAnsi="Calibri" w:cstheme="majorBidi" w:eastAsiaTheme="majorEastAsia"/>
      <w:b w:val="1"/>
      <w:bCs w:val="1"/>
      <w:color w:val="000000" w:themeColor="text1"/>
    </w:rPr>
  </w:style>
  <w:style w:type="paragraph" w:styleId="P4">
    <w:name w:val="Heading 4"/>
    <w:basedOn w:val="P0"/>
    <w:next w:val="P0"/>
    <w:link w:val="C9"/>
    <w:qFormat/>
    <w:pPr>
      <w:keepNext w:val="1"/>
      <w:keepLines w:val="1"/>
      <w:numPr>
        <w:ilvl w:val="3"/>
        <w:numId w:val="3"/>
      </w:numPr>
      <w:spacing w:before="200" w:after="0" w:beforeAutospacing="0" w:afterAutospacing="0"/>
      <w:outlineLvl w:val="3"/>
    </w:pPr>
    <w:rPr>
      <w:rFonts w:asciiTheme="majorHAnsi" w:hAnsiTheme="majorHAnsi" w:cstheme="majorBidi" w:eastAsiaTheme="majorEastAsia"/>
      <w:b w:val="1"/>
      <w:i w:val="1"/>
      <w:bCs w:val="1"/>
      <w:iCs w:val="1"/>
      <w:color w:val="000000" w:themeColor="text1"/>
    </w:rPr>
  </w:style>
  <w:style w:type="paragraph" w:styleId="P5">
    <w:name w:val="Heading 5"/>
    <w:basedOn w:val="P0"/>
    <w:next w:val="P0"/>
    <w:link w:val="C11"/>
    <w:semiHidden/>
    <w:qFormat/>
    <w:pPr>
      <w:keepNext w:val="1"/>
      <w:keepLines w:val="1"/>
      <w:numPr>
        <w:ilvl w:val="4"/>
        <w:numId w:val="3"/>
      </w:numPr>
      <w:spacing w:before="200" w:after="0" w:beforeAutospacing="0" w:afterAutospacing="0"/>
      <w:outlineLvl w:val="4"/>
    </w:pPr>
    <w:rPr>
      <w:rFonts w:asciiTheme="majorHAnsi" w:hAnsiTheme="majorHAnsi" w:cstheme="majorBidi" w:eastAsiaTheme="majorEastAsia"/>
      <w:color w:val="333F4F" w:themeColor="text2" w:themeShade="BF"/>
    </w:rPr>
  </w:style>
  <w:style w:type="paragraph" w:styleId="P6">
    <w:name w:val="Heading 6"/>
    <w:basedOn w:val="P0"/>
    <w:next w:val="P0"/>
    <w:link w:val="C12"/>
    <w:semiHidden/>
    <w:qFormat/>
    <w:pPr>
      <w:keepNext w:val="1"/>
      <w:keepLines w:val="1"/>
      <w:numPr>
        <w:ilvl w:val="5"/>
        <w:numId w:val="3"/>
      </w:numPr>
      <w:spacing w:before="200" w:after="0" w:beforeAutospacing="0" w:afterAutospacing="0"/>
      <w:outlineLvl w:val="5"/>
    </w:pPr>
    <w:rPr>
      <w:rFonts w:asciiTheme="majorHAnsi" w:hAnsiTheme="majorHAnsi" w:cstheme="majorBidi" w:eastAsiaTheme="majorEastAsia"/>
      <w:i w:val="1"/>
      <w:iCs w:val="1"/>
      <w:color w:val="333F4F" w:themeColor="text2" w:themeShade="BF"/>
    </w:rPr>
  </w:style>
  <w:style w:type="paragraph" w:styleId="P7">
    <w:name w:val="Heading 7"/>
    <w:basedOn w:val="P0"/>
    <w:next w:val="P0"/>
    <w:link w:val="C13"/>
    <w:qFormat/>
    <w:pPr>
      <w:keepNext w:val="1"/>
      <w:keepLines w:val="1"/>
      <w:numPr>
        <w:ilvl w:val="6"/>
        <w:numId w:val="3"/>
      </w:numPr>
      <w:spacing w:before="200" w:after="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4"/>
    <w:semiHidden/>
    <w:qFormat/>
    <w:pPr>
      <w:keepNext w:val="1"/>
      <w:keepLines w:val="1"/>
      <w:numPr>
        <w:ilvl w:val="7"/>
        <w:numId w:val="3"/>
      </w:numPr>
      <w:spacing w:before="200" w:after="0" w:beforeAutospacing="0" w:afterAutospacing="0"/>
      <w:outlineLvl w:val="7"/>
    </w:pPr>
    <w:rPr>
      <w:rFonts w:asciiTheme="majorHAnsi" w:hAnsiTheme="majorHAnsi" w:cstheme="majorBidi" w:eastAsiaTheme="majorEastAsia"/>
      <w:color w:val="404040" w:themeColor="text1" w:themeTint="BF"/>
      <w:sz w:val="20"/>
      <w:szCs w:val="20"/>
    </w:rPr>
  </w:style>
  <w:style w:type="paragraph" w:styleId="P9">
    <w:name w:val="Heading 9"/>
    <w:basedOn w:val="P0"/>
    <w:next w:val="P0"/>
    <w:link w:val="C15"/>
    <w:semiHidden/>
    <w:qFormat/>
    <w:pPr>
      <w:keepNext w:val="1"/>
      <w:keepLines w:val="1"/>
      <w:numPr>
        <w:ilvl w:val="8"/>
        <w:numId w:val="3"/>
      </w:numPr>
      <w:spacing w:before="200" w:after="0" w:beforeAutospacing="0" w:afterAutospacing="0"/>
      <w:outlineLvl w:val="8"/>
    </w:pPr>
    <w:rPr>
      <w:rFonts w:asciiTheme="majorHAnsi" w:hAnsiTheme="majorHAnsi" w:cstheme="majorBidi" w:eastAsiaTheme="majorEastAsia"/>
      <w:i w:val="1"/>
      <w:iCs w:val="1"/>
      <w:color w:val="404040" w:themeColor="text1" w:themeTint="BF"/>
      <w:sz w:val="20"/>
      <w:szCs w:val="20"/>
    </w:rPr>
  </w:style>
  <w:style w:type="paragraph" w:styleId="P10">
    <w:name w:val="Header"/>
    <w:basedOn w:val="P0"/>
    <w:link w:val="C3"/>
    <w:pPr>
      <w:tabs>
        <w:tab w:val="center" w:pos="4536" w:leader="none"/>
        <w:tab w:val="right" w:pos="9072" w:leader="none"/>
      </w:tabs>
      <w:spacing w:lineRule="auto" w:line="240" w:after="0" w:beforeAutospacing="0" w:afterAutospacing="0"/>
    </w:pPr>
    <w:rPr/>
  </w:style>
  <w:style w:type="paragraph" w:styleId="P11">
    <w:name w:val="Footer"/>
    <w:basedOn w:val="P0"/>
    <w:link w:val="C4"/>
    <w:pPr>
      <w:tabs>
        <w:tab w:val="center" w:pos="4536" w:leader="none"/>
        <w:tab w:val="right" w:pos="9072" w:leader="none"/>
      </w:tabs>
      <w:spacing w:lineRule="auto" w:line="240" w:after="0" w:beforeAutospacing="0" w:afterAutospacing="0"/>
    </w:pPr>
    <w:rPr/>
  </w:style>
  <w:style w:type="paragraph" w:styleId="P12">
    <w:name w:val="Title"/>
    <w:basedOn w:val="P0"/>
    <w:next w:val="P0"/>
    <w:link w:val="C8"/>
    <w:qFormat/>
    <w:pPr>
      <w:spacing w:lineRule="auto" w:line="240" w:after="0" w:beforeAutospacing="0" w:afterAutospacing="0"/>
      <w:contextualSpacing w:val="1"/>
    </w:pPr>
    <w:rPr>
      <w:rFonts w:asciiTheme="majorHAnsi" w:hAnsiTheme="majorHAnsi" w:cstheme="majorBidi" w:eastAsiaTheme="majorEastAsia"/>
      <w:color w:val="000000" w:themeColor="text1"/>
      <w:sz w:val="56"/>
      <w:szCs w:val="56"/>
    </w:rPr>
  </w:style>
  <w:style w:type="paragraph" w:styleId="P13">
    <w:name w:val="Subtitle"/>
    <w:basedOn w:val="P0"/>
    <w:next w:val="P0"/>
    <w:link w:val="C10"/>
    <w:qFormat/>
    <w:pPr/>
    <w:rPr>
      <w:color w:val="5A5A5A" w:themeColor="text1" w:themeTint="A5"/>
      <w:spacing w:val="10"/>
    </w:rPr>
  </w:style>
  <w:style w:type="paragraph" w:styleId="P14">
    <w:name w:val="Tema/kapitel"/>
    <w:basedOn w:val="P0"/>
    <w:pPr>
      <w:numPr>
        <w:numId w:val="1"/>
      </w:numPr>
    </w:pPr>
    <w:rPr>
      <w:b w:val="1"/>
      <w:sz w:val="36"/>
    </w:rPr>
  </w:style>
  <w:style w:type="paragraph" w:styleId="P15">
    <w:name w:val="Grupp"/>
    <w:basedOn w:val="P0"/>
    <w:pPr>
      <w:numPr>
        <w:ilvl w:val="1"/>
        <w:numId w:val="1"/>
      </w:numPr>
    </w:pPr>
    <w:rPr>
      <w:b w:val="1"/>
      <w:sz w:val="28"/>
    </w:rPr>
  </w:style>
  <w:style w:type="paragraph" w:styleId="P16">
    <w:name w:val="Undergrupp"/>
    <w:basedOn w:val="P0"/>
    <w:pPr>
      <w:numPr>
        <w:ilvl w:val="2"/>
        <w:numId w:val="1"/>
      </w:numPr>
    </w:pPr>
    <w:rPr>
      <w:b w:val="1"/>
      <w:sz w:val="28"/>
    </w:rPr>
  </w:style>
  <w:style w:type="paragraph" w:styleId="P17">
    <w:name w:val="TOC Heading"/>
    <w:basedOn w:val="P1"/>
    <w:next w:val="P0"/>
    <w:qFormat/>
    <w:pPr>
      <w:outlineLvl w:val="9"/>
    </w:pPr>
    <w:rPr/>
  </w:style>
  <w:style w:type="paragraph" w:styleId="P18">
    <w:name w:val="Caption"/>
    <w:basedOn w:val="P0"/>
    <w:next w:val="P0"/>
    <w:qFormat/>
    <w:pPr>
      <w:spacing w:lineRule="auto" w:line="240" w:after="200" w:beforeAutospacing="0" w:afterAutospacing="0"/>
    </w:pPr>
    <w:rPr>
      <w:i w:val="1"/>
      <w:iCs w:val="1"/>
      <w:color w:val="44546A" w:themeColor="text2"/>
      <w:sz w:val="18"/>
      <w:szCs w:val="18"/>
    </w:rPr>
  </w:style>
  <w:style w:type="paragraph" w:styleId="P19">
    <w:name w:val="No Spacing"/>
    <w:qFormat/>
    <w:pPr>
      <w:spacing w:lineRule="auto" w:line="240" w:after="0" w:beforeAutospacing="0" w:afterAutospacing="0"/>
    </w:pPr>
    <w:rPr/>
  </w:style>
  <w:style w:type="paragraph" w:styleId="P20">
    <w:name w:val="Quote"/>
    <w:basedOn w:val="P0"/>
    <w:next w:val="P0"/>
    <w:link w:val="C18"/>
    <w:qFormat/>
    <w:pPr>
      <w:spacing w:before="160" w:beforeAutospacing="0" w:afterAutospacing="0"/>
      <w:ind w:left="720" w:right="720"/>
    </w:pPr>
    <w:rPr>
      <w:i w:val="1"/>
      <w:iCs w:val="1"/>
      <w:color w:val="000000" w:themeColor="text1"/>
    </w:rPr>
  </w:style>
  <w:style w:type="paragraph" w:styleId="P21">
    <w:name w:val="Intense Quote"/>
    <w:basedOn w:val="P0"/>
    <w:next w:val="P0"/>
    <w:link w:val="C19"/>
    <w:qFormat/>
    <w:pPr>
      <w:pBdr>
        <w:top w:val="single" w:sz="24" w:space="1" w:shadow="0" w:frame="0" w:color="F2F2F2" w:themeColor="background1" w:themeShade="F2"/>
        <w:left w:val="none" w:sz="0" w:space="0" w:shadow="0" w:frame="0" w:color="auto"/>
        <w:bottom w:val="single" w:sz="24" w:space="1" w:shadow="0" w:frame="0" w:color="F2F2F2" w:themeColor="background1" w:themeShade="F2"/>
        <w:right w:val="none" w:sz="0" w:space="0" w:shadow="0" w:frame="0" w:color="auto"/>
        <w:between w:val="none" w:sz="0" w:space="0" w:shadow="0" w:frame="0" w:color="auto"/>
      </w:pBdr>
      <w:shd w:val="clear" w:fill="F2F2F2" w:themeFill="background1" w:themeFillShade="F2"/>
      <w:spacing w:before="240" w:after="240" w:beforeAutospacing="0" w:afterAutospacing="0"/>
      <w:ind w:left="936" w:right="936"/>
      <w:jc w:val="center"/>
    </w:pPr>
    <w:rPr>
      <w:color w:val="000000" w:themeColor="text1"/>
    </w:rPr>
  </w:style>
  <w:style w:type="paragraph" w:styleId="P22">
    <w:name w:val="TOC 1"/>
    <w:basedOn w:val="P0"/>
    <w:next w:val="P0"/>
    <w:pPr>
      <w:spacing w:before="120" w:after="120" w:beforeAutospacing="0" w:afterAutospacing="0"/>
    </w:pPr>
    <w:rPr>
      <w:rFonts w:cstheme="minorHAnsi"/>
      <w:b w:val="1"/>
      <w:bCs w:val="1"/>
      <w:caps w:val="1"/>
      <w:sz w:val="20"/>
      <w:szCs w:val="20"/>
    </w:rPr>
  </w:style>
  <w:style w:type="paragraph" w:styleId="P23">
    <w:name w:val="TOC 2"/>
    <w:basedOn w:val="P0"/>
    <w:next w:val="P0"/>
    <w:pPr>
      <w:spacing w:after="0" w:beforeAutospacing="0" w:afterAutospacing="0"/>
      <w:ind w:left="220"/>
    </w:pPr>
    <w:rPr>
      <w:rFonts w:cstheme="minorHAnsi"/>
      <w:smallCaps w:val="1"/>
      <w:sz w:val="20"/>
      <w:szCs w:val="20"/>
    </w:rPr>
  </w:style>
  <w:style w:type="paragraph" w:styleId="P24">
    <w:name w:val="TOC 3"/>
    <w:basedOn w:val="P0"/>
    <w:next w:val="P0"/>
    <w:pPr>
      <w:spacing w:after="0" w:beforeAutospacing="0" w:afterAutospacing="0"/>
      <w:ind w:left="440"/>
    </w:pPr>
    <w:rPr>
      <w:rFonts w:cstheme="minorHAnsi"/>
      <w:i w:val="1"/>
      <w:iCs w:val="1"/>
      <w:sz w:val="20"/>
      <w:szCs w:val="20"/>
    </w:rPr>
  </w:style>
  <w:style w:type="paragraph" w:styleId="P25">
    <w:name w:val="TOC 4"/>
    <w:basedOn w:val="P0"/>
    <w:next w:val="P0"/>
    <w:pPr>
      <w:spacing w:after="0" w:beforeAutospacing="0" w:afterAutospacing="0"/>
      <w:ind w:left="660"/>
    </w:pPr>
    <w:rPr>
      <w:rFonts w:cstheme="minorHAnsi"/>
      <w:sz w:val="18"/>
      <w:szCs w:val="18"/>
    </w:rPr>
  </w:style>
  <w:style w:type="paragraph" w:styleId="P26">
    <w:name w:val="TOC 5"/>
    <w:basedOn w:val="P0"/>
    <w:next w:val="P0"/>
    <w:pPr>
      <w:spacing w:after="0" w:beforeAutospacing="0" w:afterAutospacing="0"/>
      <w:ind w:left="880"/>
    </w:pPr>
    <w:rPr>
      <w:rFonts w:cstheme="minorHAnsi"/>
      <w:sz w:val="18"/>
      <w:szCs w:val="18"/>
    </w:rPr>
  </w:style>
  <w:style w:type="paragraph" w:styleId="P27">
    <w:name w:val="TOC 6"/>
    <w:basedOn w:val="P0"/>
    <w:next w:val="P0"/>
    <w:pPr>
      <w:spacing w:after="0" w:beforeAutospacing="0" w:afterAutospacing="0"/>
      <w:ind w:left="1100"/>
    </w:pPr>
    <w:rPr>
      <w:rFonts w:cstheme="minorHAnsi"/>
      <w:sz w:val="18"/>
      <w:szCs w:val="18"/>
    </w:rPr>
  </w:style>
  <w:style w:type="paragraph" w:styleId="P28">
    <w:name w:val="TOC 7"/>
    <w:basedOn w:val="P0"/>
    <w:next w:val="P0"/>
    <w:pPr>
      <w:spacing w:after="0" w:beforeAutospacing="0" w:afterAutospacing="0"/>
      <w:ind w:left="1320"/>
    </w:pPr>
    <w:rPr>
      <w:rFonts w:cstheme="minorHAnsi"/>
      <w:sz w:val="18"/>
      <w:szCs w:val="18"/>
    </w:rPr>
  </w:style>
  <w:style w:type="paragraph" w:styleId="P29">
    <w:name w:val="TOC 8"/>
    <w:basedOn w:val="P0"/>
    <w:next w:val="P0"/>
    <w:pPr>
      <w:spacing w:after="0" w:beforeAutospacing="0" w:afterAutospacing="0"/>
      <w:ind w:left="1540"/>
    </w:pPr>
    <w:rPr>
      <w:rFonts w:cstheme="minorHAnsi"/>
      <w:sz w:val="18"/>
      <w:szCs w:val="18"/>
    </w:rPr>
  </w:style>
  <w:style w:type="paragraph" w:styleId="P30">
    <w:name w:val="TOC 9"/>
    <w:basedOn w:val="P0"/>
    <w:next w:val="P0"/>
    <w:pPr>
      <w:spacing w:after="0" w:beforeAutospacing="0" w:afterAutospacing="0"/>
      <w:ind w:left="1760"/>
    </w:pPr>
    <w:rPr>
      <w:rFonts w:cstheme="minorHAnsi"/>
      <w:sz w:val="18"/>
      <w:szCs w:val="18"/>
    </w:rPr>
  </w:style>
  <w:style w:type="paragraph" w:styleId="P31">
    <w:name w:val="List Paragraph"/>
    <w:basedOn w:val="P0"/>
    <w:qFormat/>
    <w:pPr>
      <w:ind w:left="720"/>
      <w:contextualSpacing w:val="1"/>
    </w:pPr>
    <w:rPr/>
  </w:style>
  <w:style w:type="paragraph" w:styleId="P32">
    <w:name w:val="Revision"/>
    <w:hidden/>
    <w:semiHidden/>
    <w:pPr>
      <w:spacing w:lineRule="auto" w:line="240" w:after="0" w:beforeAutospacing="0" w:afterAutospacing="0"/>
    </w:pPr>
    <w:rPr>
      <w:sz w:val="24"/>
    </w:rPr>
  </w:style>
  <w:style w:type="paragraph" w:styleId="P33">
    <w:name w:val="Default"/>
    <w:pPr>
      <w:spacing w:lineRule="auto" w:line="240" w:after="0" w:beforeAutospacing="0" w:afterAutospacing="0"/>
    </w:pPr>
    <w:rPr>
      <w:rFonts w:ascii="Arial" w:hAnsi="Arial" w:cs="Arial"/>
      <w:color w:val="000000"/>
      <w:sz w:val="24"/>
      <w:szCs w:val="24"/>
    </w:rPr>
  </w:style>
  <w:style w:type="paragraph" w:styleId="P34">
    <w:name w:val="annotation text"/>
    <w:basedOn w:val="P0"/>
    <w:link w:val="C28"/>
    <w:pPr>
      <w:spacing w:lineRule="auto" w:line="240" w:beforeAutospacing="0" w:afterAutospacing="0"/>
    </w:pPr>
    <w:rPr>
      <w:sz w:val="20"/>
      <w:szCs w:val="20"/>
    </w:rPr>
  </w:style>
  <w:style w:type="paragraph" w:styleId="P35">
    <w:name w:val="annotation subject"/>
    <w:basedOn w:val="P34"/>
    <w:next w:val="P34"/>
    <w:link w:val="C29"/>
    <w:semiHidden/>
    <w:pPr/>
    <w:rPr>
      <w:b w:val="1"/>
      <w:bCs w:val="1"/>
    </w:rPr>
  </w:style>
  <w:style w:type="paragraph" w:styleId="P36">
    <w:name w:val="Footnote Text"/>
    <w:link w:val="C32"/>
    <w:semiHidden/>
    <w:pPr>
      <w:spacing w:lineRule="auto" w:line="240" w:after="0" w:beforeAutospacing="0" w:afterAutospacing="0"/>
    </w:pPr>
    <w:rPr>
      <w:sz w:val="20"/>
      <w:szCs w:val="20"/>
    </w:rPr>
  </w:style>
  <w:style w:type="paragraph" w:styleId="P37">
    <w:name w:val="Endnote Text"/>
    <w:link w:val="C34"/>
    <w:semiHidden/>
    <w:pPr>
      <w:spacing w:lineRule="auto" w:line="240" w:after="0" w:beforeAutospacing="0" w:afterAutospacing="0"/>
    </w:pPr>
    <w:rPr>
      <w:sz w:val="20"/>
      <w:szCs w:val="20"/>
    </w:rPr>
  </w:style>
  <w:style w:type="paragraph" w:styleId="P38">
    <w:name w:val="Normal (Web)"/>
    <w:basedOn w:val="P0"/>
    <w:semiHidden/>
    <w:pPr>
      <w:spacing w:lineRule="auto" w:line="240" w:before="100" w:after="100" w:beforeAutospacing="1" w:afterAutospacing="1"/>
    </w:pPr>
    <w:rPr>
      <w:rFonts w:ascii="Times New Roman" w:hAnsi="Times New Roman" w:cs="Times New Roman" w:eastAsia="Times New Roman"/>
      <w:szCs w:val="24"/>
      <w:lang w:eastAsia="sv-SE"/>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Sidhuvud Char"/>
    <w:basedOn w:val="C0"/>
    <w:link w:val="P10"/>
    <w:rPr/>
  </w:style>
  <w:style w:type="character" w:styleId="C4">
    <w:name w:val="Sidfot Char"/>
    <w:basedOn w:val="C0"/>
    <w:link w:val="P11"/>
    <w:rPr/>
  </w:style>
  <w:style w:type="character" w:styleId="C5">
    <w:name w:val="Rubrik 1 Char"/>
    <w:basedOn w:val="C0"/>
    <w:link w:val="P1"/>
    <w:rPr>
      <w:rFonts w:ascii="Calibri" w:hAnsi="Calibri" w:cstheme="majorBidi" w:eastAsiaTheme="majorEastAsia"/>
      <w:b w:val="1"/>
      <w:bCs w:val="1"/>
      <w:smallCaps w:val="1"/>
      <w:color w:val="000000" w:themeColor="text1"/>
      <w:sz w:val="36"/>
      <w:szCs w:val="36"/>
    </w:rPr>
  </w:style>
  <w:style w:type="character" w:styleId="C6">
    <w:name w:val="Rubrik 2 Char"/>
    <w:basedOn w:val="C0"/>
    <w:link w:val="P2"/>
    <w:rPr>
      <w:rFonts w:ascii="Calibri" w:hAnsi="Calibri" w:cstheme="majorBidi" w:eastAsiaTheme="majorEastAsia"/>
      <w:b w:val="1"/>
      <w:bCs w:val="1"/>
      <w:smallCaps w:val="1"/>
      <w:color w:val="000000" w:themeColor="text1"/>
      <w:sz w:val="32"/>
      <w:szCs w:val="28"/>
    </w:rPr>
  </w:style>
  <w:style w:type="character" w:styleId="C7">
    <w:name w:val="Rubrik 3 Char"/>
    <w:basedOn w:val="C0"/>
    <w:link w:val="P3"/>
    <w:rPr>
      <w:rFonts w:ascii="Calibri" w:hAnsi="Calibri" w:cstheme="majorBidi" w:eastAsiaTheme="majorEastAsia"/>
      <w:b w:val="1"/>
      <w:bCs w:val="1"/>
      <w:color w:val="000000" w:themeColor="text1"/>
      <w:sz w:val="24"/>
    </w:rPr>
  </w:style>
  <w:style w:type="character" w:styleId="C8">
    <w:name w:val="Rubrik Char"/>
    <w:basedOn w:val="C0"/>
    <w:link w:val="P12"/>
    <w:rPr>
      <w:rFonts w:asciiTheme="majorHAnsi" w:hAnsiTheme="majorHAnsi" w:cstheme="majorBidi" w:eastAsiaTheme="majorEastAsia"/>
      <w:color w:val="000000" w:themeColor="text1"/>
      <w:sz w:val="56"/>
      <w:szCs w:val="56"/>
    </w:rPr>
  </w:style>
  <w:style w:type="character" w:styleId="C9">
    <w:name w:val="Rubrik 4 Char"/>
    <w:basedOn w:val="C0"/>
    <w:link w:val="P4"/>
    <w:rPr>
      <w:rFonts w:asciiTheme="majorHAnsi" w:hAnsiTheme="majorHAnsi" w:cstheme="majorBidi" w:eastAsiaTheme="majorEastAsia"/>
      <w:b w:val="1"/>
      <w:i w:val="1"/>
      <w:bCs w:val="1"/>
      <w:iCs w:val="1"/>
      <w:color w:val="000000" w:themeColor="text1"/>
      <w:sz w:val="24"/>
    </w:rPr>
  </w:style>
  <w:style w:type="character" w:styleId="C10">
    <w:name w:val="Underrubrik Char"/>
    <w:basedOn w:val="C0"/>
    <w:link w:val="P13"/>
    <w:rPr>
      <w:color w:val="5A5A5A" w:themeColor="text1" w:themeTint="A5"/>
      <w:spacing w:val="10"/>
    </w:rPr>
  </w:style>
  <w:style w:type="character" w:styleId="C11">
    <w:name w:val="Rubrik 5 Char"/>
    <w:basedOn w:val="C0"/>
    <w:link w:val="P5"/>
    <w:semiHidden/>
    <w:rPr>
      <w:rFonts w:asciiTheme="majorHAnsi" w:hAnsiTheme="majorHAnsi" w:cstheme="majorBidi" w:eastAsiaTheme="majorEastAsia"/>
      <w:color w:val="333F4F" w:themeColor="text2" w:themeShade="BF"/>
      <w:sz w:val="24"/>
    </w:rPr>
  </w:style>
  <w:style w:type="character" w:styleId="C12">
    <w:name w:val="Rubrik 6 Char"/>
    <w:basedOn w:val="C0"/>
    <w:link w:val="P6"/>
    <w:semiHidden/>
    <w:rPr>
      <w:rFonts w:asciiTheme="majorHAnsi" w:hAnsiTheme="majorHAnsi" w:cstheme="majorBidi" w:eastAsiaTheme="majorEastAsia"/>
      <w:i w:val="1"/>
      <w:iCs w:val="1"/>
      <w:color w:val="333F4F" w:themeColor="text2" w:themeShade="BF"/>
      <w:sz w:val="24"/>
    </w:rPr>
  </w:style>
  <w:style w:type="character" w:styleId="C13">
    <w:name w:val="Rubrik 7 Char"/>
    <w:basedOn w:val="C0"/>
    <w:link w:val="P7"/>
    <w:rPr>
      <w:rFonts w:asciiTheme="majorHAnsi" w:hAnsiTheme="majorHAnsi" w:cstheme="majorBidi" w:eastAsiaTheme="majorEastAsia"/>
      <w:i w:val="1"/>
      <w:iCs w:val="1"/>
      <w:color w:val="404040" w:themeColor="text1" w:themeTint="BF"/>
      <w:sz w:val="24"/>
    </w:rPr>
  </w:style>
  <w:style w:type="character" w:styleId="C14">
    <w:name w:val="Rubrik 8 Char"/>
    <w:basedOn w:val="C0"/>
    <w:link w:val="P8"/>
    <w:semiHidden/>
    <w:rPr>
      <w:rFonts w:asciiTheme="majorHAnsi" w:hAnsiTheme="majorHAnsi" w:cstheme="majorBidi" w:eastAsiaTheme="majorEastAsia"/>
      <w:color w:val="404040" w:themeColor="text1" w:themeTint="BF"/>
      <w:sz w:val="20"/>
      <w:szCs w:val="20"/>
    </w:rPr>
  </w:style>
  <w:style w:type="character" w:styleId="C15">
    <w:name w:val="Rubrik 9 Char"/>
    <w:basedOn w:val="C0"/>
    <w:link w:val="P9"/>
    <w:semiHidden/>
    <w:rPr>
      <w:rFonts w:asciiTheme="majorHAnsi" w:hAnsiTheme="majorHAnsi" w:cstheme="majorBidi" w:eastAsiaTheme="majorEastAsia"/>
      <w:i w:val="1"/>
      <w:iCs w:val="1"/>
      <w:color w:val="404040" w:themeColor="text1" w:themeTint="BF"/>
      <w:sz w:val="20"/>
      <w:szCs w:val="20"/>
    </w:rPr>
  </w:style>
  <w:style w:type="character" w:styleId="C16">
    <w:name w:val="Strong"/>
    <w:basedOn w:val="C0"/>
    <w:qFormat/>
    <w:rPr>
      <w:b w:val="1"/>
      <w:bCs w:val="1"/>
      <w:color w:val="000000" w:themeColor="text1"/>
    </w:rPr>
  </w:style>
  <w:style w:type="character" w:styleId="C17">
    <w:name w:val="Emphasis"/>
    <w:basedOn w:val="C0"/>
    <w:qFormat/>
    <w:rPr>
      <w:i w:val="1"/>
      <w:iCs w:val="1"/>
      <w:color w:val="auto"/>
    </w:rPr>
  </w:style>
  <w:style w:type="character" w:styleId="C18">
    <w:name w:val="Citat Char"/>
    <w:basedOn w:val="C0"/>
    <w:link w:val="P20"/>
    <w:rPr>
      <w:i w:val="1"/>
      <w:iCs w:val="1"/>
      <w:color w:val="000000" w:themeColor="text1"/>
    </w:rPr>
  </w:style>
  <w:style w:type="character" w:styleId="C19">
    <w:name w:val="Starkt citat Char"/>
    <w:basedOn w:val="C0"/>
    <w:link w:val="P21"/>
    <w:rPr>
      <w:color w:val="000000" w:themeColor="text1"/>
      <w:shd w:val="clear" w:color="auto" w:fill="F2F2F2" w:themeFill="background1" w:themeFillShade="F2"/>
    </w:rPr>
  </w:style>
  <w:style w:type="character" w:styleId="C20">
    <w:name w:val="Subtle Emphasis"/>
    <w:basedOn w:val="C0"/>
    <w:qFormat/>
    <w:rPr>
      <w:i w:val="1"/>
      <w:iCs w:val="1"/>
      <w:color w:val="404040" w:themeColor="text1" w:themeTint="BF"/>
    </w:rPr>
  </w:style>
  <w:style w:type="character" w:styleId="C21">
    <w:name w:val="Intense Emphasis"/>
    <w:basedOn w:val="C0"/>
    <w:qFormat/>
    <w:rPr>
      <w:b w:val="1"/>
      <w:i w:val="1"/>
      <w:bCs w:val="1"/>
      <w:iCs w:val="1"/>
      <w:caps w:val="1"/>
    </w:rPr>
  </w:style>
  <w:style w:type="character" w:styleId="C22">
    <w:name w:val="Subtle Reference1"/>
    <w:basedOn w:val="C0"/>
    <w:qFormat/>
    <w:rPr>
      <w:smallCaps w:val="1"/>
      <w:color w:val="404040" w:themeColor="text1" w:themeTint="BF"/>
      <w:u w:val="single" w:color="7F7F7F" w:themeColor="text1" w:themeTint="80"/>
    </w:rPr>
  </w:style>
  <w:style w:type="character" w:styleId="C23">
    <w:name w:val="Intense Reference1"/>
    <w:basedOn w:val="C0"/>
    <w:qFormat/>
    <w:rPr>
      <w:b w:val="1"/>
      <w:bCs w:val="1"/>
      <w:smallCaps w:val="1"/>
      <w:u w:val="single"/>
    </w:rPr>
  </w:style>
  <w:style w:type="character" w:styleId="C24">
    <w:name w:val="Book Title"/>
    <w:basedOn w:val="C0"/>
    <w:qFormat/>
    <w:rPr>
      <w:b w:val="0"/>
      <w:bCs w:val="0"/>
      <w:smallCaps w:val="1"/>
      <w:spacing w:val="5"/>
    </w:rPr>
  </w:style>
  <w:style w:type="character" w:styleId="C25">
    <w:name w:val="ui-provider"/>
    <w:basedOn w:val="C0"/>
    <w:rPr/>
  </w:style>
  <w:style w:type="character" w:styleId="C26">
    <w:name w:val="A6"/>
    <w:rPr>
      <w:color w:val="000000"/>
    </w:rPr>
  </w:style>
  <w:style w:type="character" w:styleId="C27">
    <w:name w:val="annotation reference"/>
    <w:basedOn w:val="C0"/>
    <w:semiHidden/>
    <w:rPr>
      <w:sz w:val="16"/>
      <w:szCs w:val="16"/>
    </w:rPr>
  </w:style>
  <w:style w:type="character" w:styleId="C28">
    <w:name w:val="Kommentarer Char"/>
    <w:basedOn w:val="C0"/>
    <w:link w:val="P34"/>
    <w:rPr>
      <w:sz w:val="20"/>
      <w:szCs w:val="20"/>
    </w:rPr>
  </w:style>
  <w:style w:type="character" w:styleId="C29">
    <w:name w:val="Kommentarsämne Char"/>
    <w:basedOn w:val="C28"/>
    <w:link w:val="P35"/>
    <w:semiHidden/>
    <w:rPr>
      <w:b w:val="1"/>
      <w:bCs w:val="1"/>
      <w:sz w:val="20"/>
      <w:szCs w:val="20"/>
    </w:rPr>
  </w:style>
  <w:style w:type="character" w:styleId="C30">
    <w:name w:val="cf01"/>
    <w:basedOn w:val="C0"/>
    <w:rPr>
      <w:rFonts w:ascii="Segoe UI" w:hAnsi="Segoe UI" w:cs="Segoe UI" w:hint="default"/>
      <w:sz w:val="18"/>
      <w:szCs w:val="18"/>
    </w:rPr>
  </w:style>
  <w:style w:type="character" w:styleId="C31">
    <w:name w:val="Footnote Reference"/>
    <w:semiHidden/>
    <w:rPr>
      <w:vertAlign w:val="superscript"/>
    </w:rPr>
  </w:style>
  <w:style w:type="character" w:styleId="C32">
    <w:name w:val="Fotnotstext Char"/>
    <w:link w:val="P36"/>
    <w:semiHidden/>
    <w:rPr>
      <w:sz w:val="20"/>
      <w:szCs w:val="20"/>
    </w:rPr>
  </w:style>
  <w:style w:type="character" w:styleId="C33">
    <w:name w:val="Endnote Reference"/>
    <w:semiHidden/>
    <w:rPr>
      <w:vertAlign w:val="superscript"/>
    </w:rPr>
  </w:style>
  <w:style w:type="character" w:styleId="C34">
    <w:name w:val="Slutnotstext Char"/>
    <w:link w:val="P37"/>
    <w:semiHidden/>
    <w:rPr>
      <w:sz w:val="20"/>
      <w:szCs w:val="20"/>
    </w:rPr>
  </w:style>
  <w:style w:type="character" w:styleId="C35">
    <w:name w:val="Footnote Text Char"/>
    <w:semiHidden/>
    <w:rPr>
      <w:sz w:val="20"/>
      <w:szCs w:val="20"/>
    </w:rPr>
  </w:style>
  <w:style w:type="character" w:styleId="C36">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rPr>
      <w:rFonts w:eastAsia="Yu Mincho"/>
      <w:lang w:eastAsia="sv-SE"/>
    </w:rPr>
    <w:tblPr>
      <w:tblCellMar>
        <w:top w:w="0" w:type="dxa"/>
        <w:left w:w="0" w:type="dxa"/>
        <w:bottom w:w="0" w:type="dxa"/>
        <w:right w:w="0" w:type="dxa"/>
      </w:tblCellMar>
    </w:tblPr>
    <w:trPr/>
    <w:tcPr/>
  </w:style>
  <w:style w:type="table" w:styleId="T3">
    <w:name w:val="Table Grid"/>
    <w:basedOn w:val="T0"/>
    <w:pPr>
      <w:spacing w:lineRule="auto" w:line="240" w:after="0" w:beforeAutospacing="0" w:afterAutospacing="0"/>
    </w:pPr>
    <w:rPr>
      <w:rFonts w:eastAsiaTheme="minorHAnsi"/>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jpg" /><Relationship Id="Relimage3" Type="http://schemas.openxmlformats.org/officeDocument/2006/relationships/image" Target="/media/image3.pn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jpg" /><Relationship Id="Relimage19" Type="http://schemas.openxmlformats.org/officeDocument/2006/relationships/image" Target="/media/image19.png" /><Relationship Id="Relimage20" Type="http://schemas.openxmlformats.org/officeDocument/2006/relationships/image" Target="/media/image20.jp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29" Type="http://schemas.openxmlformats.org/officeDocument/2006/relationships/image" Target="/media/image29.pn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7" Type="http://schemas.openxmlformats.org/officeDocument/2006/relationships/image" Target="/media/image27.jpg" /></Relationships>
</file>

<file path=word/_rels/header2.xml.rels>&#65279;<?xml version="1.0" encoding="utf-8"?><Relationships xmlns="http://schemas.openxmlformats.org/package/2006/relationships"><Relationship Id="Relimage28" Type="http://schemas.openxmlformats.org/officeDocument/2006/relationships/image" Target="/media/image28.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2026-01-21T10:32:18.3231638+01:00</versionGiltigFran>
  <detaljplansreferens>c29661e5-d10f-42fe-9d3e-633092fe8ed6</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be_heladetaljplan02</identitet>
    <Lage>
      <planomrade>true</planomrade>
    </Lage>
    <Indelning>
      <tema>Beskrivning av detaljplanen</tema>
      <grupp>Hela detaljplan</grupp>
    </Indelning>
  </Omfattning>
  <Omfattning>
    <identitet>be_allmänplats01</identitet>
    <Lage>
      <planomrade>true</planomrade>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be_vattenområde01</identitet>
    <Lage>
      <planomrade>true</planomrade>
    </Lage>
    <Indelning>
      <tema>Beskrivning av detaljplanen</tema>
      <grupp>Vattenområde</grupp>
    </Indelning>
  </Omfattning>
  <Omfattning>
    <identitet>be_kvartersmark01</identitet>
    <Lage>
      <planomrade>true</planomrade>
    </Lage>
    <Indelning>
      <tema>Beskrivning av detaljplanen</tema>
      <grupp>Kvartersmark</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pu_planbesked01</identitet>
    <Lage>
      <planomrade>true</planomrade>
    </Lage>
    <Indelning>
      <tema>Planeringsunderlag</tema>
      <grupp>Kommunala</grupp>
      <undergrupp>Planbesked</undergrupp>
    </Indelning>
  </Omfattning>
  <Omfattning>
    <identitet>pu_detaljplan01</identitet>
    <Lage>
      <planomrade>true</planomrade>
    </Lage>
    <Indelning>
      <tema>Planeringsunderlag</tema>
      <grupp>Kommunala</grupp>
      <undergrupp>Detaljplan</undergrupp>
    </Indelning>
  </Omfattning>
  <Omfattning>
    <identitet>pu_detaljplan02</identitet>
    <Lage>
      <planomrade>true</planomrade>
    </Lage>
    <Indelning>
      <tema>Planeringsunderlag</tema>
      <grupp>Kommunala</grupp>
      <undergrupp>Detaljplan</undergrupp>
    </Indelning>
  </Omfattning>
  <Omfattning>
    <identitet>pu_detaljplan03</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pu_utredningar01</identitet>
    <Lage>
      <planomrade>true</planomrade>
    </Lage>
    <Indelning>
      <tema>Planeringsunderlag</tema>
      <grupp>Utredningar</grupp>
    </Indelning>
  </Omfattning>
  <Omfattning>
    <identitet>pu_regionala01</identitet>
    <Lage>
      <planomrade>true</planomrade>
    </Lage>
    <Indelning>
      <tema>Planeringsunderlag</tema>
      <grupp>Regionala</grupp>
    </Indelning>
  </Omfattning>
  <Omfattning>
    <identitet>pf_riksintressen01</identitet>
    <Lage>
      <planomrade>true</planomrade>
    </Lage>
    <Indelning>
      <tema>Planeringsförutsättningar</tema>
      <grupp>Riksintressen</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ko_natur01</identitet>
    <Lage>
      <planomrade>true</planomrade>
    </Lage>
    <Indelning>
      <tema>Konsekvenser</tema>
      <grupp>Natur</grupp>
    </Indelning>
  </Omfattning>
  <Omfattning>
    <identitet>ko_grönområde01</identitet>
    <Indelning>
      <tema>Konsekvenser</tema>
      <grupp>Natur</grupp>
      <undergrupp>Grönområde</undergrupp>
    </Indelning>
  </Omfattning>
  <Omfattning>
    <identitet>ko_landskapsbild01</identitet>
    <Lage>
      <planomrade>true</planomrade>
    </Lage>
    <Indelning>
      <tema>Konsekvenser</tema>
      <grupp>Natur</grupp>
      <undergrupp>Landskapsbild</under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pf_lokalgata01</identitet>
    <Lage>
      <planomrade>true</planomrade>
    </Lage>
    <Indelning>
      <tema>Planeringsförutsättningar</tema>
      <grupp>Trafik</grupp>
      <undergrupp>Lokalgata</undergrupp>
    </Indelning>
  </Omfattning>
  <Omfattning>
    <identitet>pf_kollektivtrafik01</identitet>
    <Lage>
      <planomrade>true</planomrade>
    </Lage>
    <Indelning>
      <tema>Planeringsförutsättningar</tema>
      <grupp>Trafik</grupp>
      <undergrupp>Kollektivtrafik</undergrupp>
    </Indelning>
  </Omfattning>
  <Omfattning>
    <identitet>pf_tillgänglighet01</identitet>
    <Lage>
      <planomrade>true</planomrade>
    </Lage>
    <Indelning>
      <tema>Planeringsförutsättningar</tema>
      <grupp>Trafik</grupp>
      <undergrupp>Tillgänglighet</undergrupp>
    </Indelning>
  </Omfattning>
  <Omfattning>
    <identitet>pf_vattenochavlopp01</identitet>
    <Lage>
      <planomrade>true</planomrade>
    </Lage>
    <Indelning>
      <tema>Planeringsförutsättningar</tema>
      <grupp>Teknik</grupp>
      <undergrupp>Vatten och avlopp</undergrupp>
    </Indelning>
  </Omfattning>
  <Omfattning>
    <identitet>ko_dagvatten01</identitet>
    <Lage>
      <planomrade>true</planomrade>
    </Lage>
    <Indelning>
      <tema>Konsekvenser</tema>
      <grupp>Miljö</grupp>
      <undergrupp>Dagvatten</undergrupp>
    </Indelning>
  </Omfattning>
  <Omfattning>
    <identitet>pf_eltelevärmeochbredband01</identitet>
    <Lage>
      <planomrade>true</planomrade>
    </Lage>
    <Indelning>
      <tema>Planeringsförutsättningar</tema>
      <grupp>Teknik</grupp>
      <undergrupp>El, tele, värme och bredband</undergrupp>
    </Indelning>
  </Omfattning>
  <Omfattning>
    <identitet>pf_eltelevärmeochbredband02</identitet>
    <Lage>
      <planomrade>true</planomrade>
    </Lage>
    <Indelning>
      <tema>Planeringsförutsättningar</tema>
      <grupp>Teknik</grupp>
      <undergrupp>El, tele, värme och bredband</undergrupp>
    </Indelning>
  </Omfattning>
  <Omfattning>
    <identitet>pf_avfall01</identitet>
    <Lage>
      <planomrade>true</planomrade>
    </Lage>
    <Indelning>
      <tema>Planeringsförutsättningar</tema>
      <grupp>Teknik</grupp>
      <undergrupp>Avfall</under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ko_vatten01</identitet>
    <Lage>
      <planomrade>true</planomrade>
    </Lage>
    <Indelning>
      <tema>Konsekvenser</tema>
      <grupp>Miljökvalitetsnormer</grupp>
      <undergrupp>Vatten</undergrupp>
    </Indelning>
  </Omfattning>
  <Omfattning>
    <identitet>pf_riskförolyckor01</identitet>
    <Lage>
      <planomrade>true</planomrade>
    </Lage>
    <Indelning>
      <tema>Planeringsförutsättningar</tema>
      <grupp>Hälsa och säkerhet</grupp>
      <undergrupp>Risk för olyckor</undergrupp>
    </Indelning>
  </Omfattning>
  <Omfattning>
    <identitet>ko_olyckor01</identitet>
    <Lage>
      <planomrade>true</planomrade>
    </Lage>
    <Indelning>
      <tema>Konsekvenser</tema>
      <grupp>Hälsa och säkerhet</grupp>
      <undergrupp>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ko_översvämning01</identitet>
    <Lage>
      <planomrade>true</planomrade>
    </Lage>
    <Indelning>
      <tema>Konsekvenser</tema>
      <grupp>Hälsa och säkerhet</grupp>
      <undergrupp>Översvämning</undergrupp>
    </Indelning>
  </Omfattning>
  <Omfattning>
    <identitet>pf_förorenadmark02</identitet>
    <Lage>
      <planomrade>true</planomrade>
    </Lage>
    <Indelning>
      <tema>Planeringsförutsättningar</tema>
      <grupp>Hälsa och säkerhet</grupp>
      <undergrupp>Förorenad mark</undergrupp>
    </Indelning>
  </Omfattning>
  <Omfattning>
    <identitet>pf_hälsaochsäkerhet02</identitet>
    <Lage>
      <planomrade>true</planomrade>
    </Lage>
    <Indelning>
      <tema>Planeringsförutsättningar</tema>
      <grupp>Hälsa och säkerhet</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gf_annat01</identitet>
    <Lage>
      <planomrade>true</planomrade>
    </Lage>
    <Indelning>
      <tema>Genomförandefrågor</tema>
      <grupp>Annat</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gf_avfall01</identitet>
    <Lage>
      <planomrade>true</planomrade>
    </Lage>
    <Indelning>
      <tema>Genomförandefrågor</tema>
      <grupp>Tekniska frågor</grupp>
      <undergrupp>Avfall</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gf_ekonomiskafrågor01</identitet>
    <Lage>
      <planomrade>true</planomrade>
    </Lage>
    <Indelning>
      <tema>Genomförandefrågor</tema>
      <grupp>Ekonomiska frågor</grupp>
    </Indelning>
  </Omfattning>
  <Omfattning>
    <identitet>gf_tidplan01</identitet>
    <Lage>
      <planomrade>true</planomrade>
    </Lage>
    <Indelning>
      <tema>Genomförandefrågor</tema>
      <grupp>Organisatoriska frågor</grupp>
      <undergrupp>Tidplan</undergrupp>
    </Indelning>
  </Omfattning>
  <Omfattning>
    <identitet>mo_motivtillreglering01</identitet>
    <Lage>
      <lmg:Yta>
        <lmg:absolutLagesosakerhetPlan>0</lmg:absolutLagesosakerhetPlan>
        <lmg:absolutLagesosakerhetHojd>0</lmg:absolutLagesosakerhetHojd>
        <lmg:hojdsystem>RH 2000</lmg:hojdsystem>
        <gml:Polygon gml:id="ID_7e11f4b5-bf97-4577-9292-7e509a47d885" srsName="EPSG:3009" srsDimension="2">
          <gml:exterior>
            <gml:LinearRing gml:id="ID_01c3f5de-1ba6-4e0d-b893-c978f8e8d5b6">
              <gml:posList>6669656.25 172664.641 6669657.47 172662.874 6669658.235 172661.765 6669659.636 172659.735 6669659.832 172659.81 6669662.319 172661.403 6669665.279 172663.298 6669666.78 172664.259 6669667.852 172664.946 6669670.949 172666.929 6669671.002 172666.963 6669672.838 172668.139 6669673.894 172668.815 6669676.191 172670.286 6669680.408 172674.582 6669686.779 172681.072 6669686.864 172681.159 6669689.09 172683.427 6669690.761 172685.129 6669694.153 172688.237 6669692.605 172689.64 6669689.948 172689.809 6669687.704 172689.951 6669687.342 172689.974 6669687.277 172689.979 6669687.179 172689.985 6669687.143 172689.951 6669686.47 172689.323 6669685.683 172688.521 6669684.868 172687.691 6669684.784 172687.605 6669683.941 172686.746 6669683.616 172686.415 6669672.226 172674.812 6669667.69 172671.967 6669664.329 172669.814 6669663.63 172669.367 6669663.469 172669.264 6669658.929 172666.357 6669657.982 172665.75 6669656.25 172664.641</gml:posList>
            </gml:LinearRing>
          </gml:exterior>
        </gml:Polygon>
      </lmg:Yta>
      <planbestammelsereferens>2163199e-9566-4459-b3fa-68b3721745de</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de0fed0d-60f3-43ed-8311-371e2ece8b53" srsName="EPSG:3009" srsDimension="2">
          <gml:exterior>
            <gml:LinearRing gml:id="ID_8e43be25-fb78-4aec-8c3c-b01219d8234e">
              <gml:posList>6669694.153 172688.237 6669698.664 172684.148 6669711.058 172699.106 6669711.93 172700.049 6669714.323 172703.159 6669713.53 172703.769 6669712.287 172702.154 6669711.165 172700.695 6669711.074 172700.685 6669711.038 172700.682 6669710.755 172700.652 6669710.405 172700.615 6669709.919 172700.564 6669707.541 172700.315 6669706.34 172699.016 6669705.367 172697.964 6669699.785 172691.931 6669699.778 172691.924 6669697.576 172689.543 6669695.568 172689.582 6669694.153 172688.237</gml:posList>
            </gml:LinearRing>
          </gml:exterior>
        </gml:Polygon>
      </lmg:Yta>
      <planbestammelsereferens>b59f2ad3-61c4-49ae-bf58-69ea5fd2423c</planbestammelsereferens>
    </Lage>
    <Indelning>
      <tema>Motiv till detaljplanens regleringar</tema>
      <grupp>Motiv till reglering</grupp>
    </Indelning>
  </Omfattning>
  <Omfattning>
    <identitet>mo_motivtillreglering03</identitet>
    <Lage>
      <lmg:Linje>
        <lmg:absolutLagesosakerhetPlan>0.1</lmg:absolutLagesosakerhetPlan>
        <lmg:absolutLagesosakerhetHojd>0</lmg:absolutLagesosakerhetHojd>
        <lmg:hojdsystem>RH 2000</lmg:hojdsystem>
        <gml:LineString gml:id="ID_5086fb5f-ef99-4c15-805a-6f06d1b31d8f" srsName="EPSG:3009" srsDimension="2">
          <gml:posList>6669713.53 172703.769 6669712.287 172702.154 6669711.165 172700.695 6669711.074 172700.685 6669711.038 172700.682 6669710.755 172700.652 6669710.405 172700.615 6669709.919 172700.564 6669707.541 172700.315 6669706.34 172699.016 6669705.367 172697.964 6669699.785 172691.931 6669699.778 172691.924 6669697.576 172689.543 6669695.568 172689.582 6669694.153 172688.237</gml:posList>
        </gml:LineString>
      </lmg:Linje>
      <planbestammelsereferens>8f684ed3-5f63-4ac8-ab68-979a510db482</planbestammelsereferens>
    </Lage>
    <Lage>
      <lmg:Linje>
        <lmg:absolutLagesosakerhetPlan>0.1</lmg:absolutLagesosakerhetPlan>
        <lmg:absolutLagesosakerhetHojd>0</lmg:absolutLagesosakerhetHojd>
        <lmg:hojdsystem>RH 2000</lmg:hojdsystem>
        <gml:LineString gml:id="ID_13cecf21-61ab-4974-8244-520be19dab64" srsName="EPSG:3009" srsDimension="2">
          <gml:posList>6669694.153 172688.237 6669692.605 172689.64 6669689.948 172689.809 6669687.704 172689.951 6669687.342 172689.974 6669687.277 172689.979 6669687.179 172689.985 6669687.143 172689.951 6669686.47 172689.323 6669685.683 172688.521 6669684.868 172687.691 6669684.784 172687.605 6669683.941 172686.746 6669683.616 172686.415 6669672.226 172674.812 6669667.69 172671.967 6669664.329 172669.814 6669663.63 172669.367 6669663.469 172669.264 6669658.929 172666.357 6669657.982 172665.75 6669656.25 172664.641</gml:posList>
        </gml:LineString>
      </lmg:Linje>
      <planbestammelsereferens>f60492cb-6212-4e8b-8b95-a41f31c0c26b</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634c4266-6340-471a-a7a1-857a84212a90" srsName="EPSG:3009" srsDimension="2">
          <gml:exterior>
            <gml:LinearRing gml:id="ID_3e059d21-377f-48a4-8ecb-33f547363e83">
              <gml:posList>6669694.153 172688.237 6669698.664 172684.148 6669711.058 172699.106 6669711.93 172700.049 6669714.323 172703.159 6669713.53 172703.769 6669712.287 172702.154 6669711.165 172700.695 6669711.074 172700.685 6669711.038 172700.682 6669710.755 172700.652 6669710.405 172700.615 6669709.919 172700.564 6669707.541 172700.315 6669706.34 172699.016 6669705.367 172697.964 6669699.785 172691.931 6669699.778 172691.924 6669697.576 172689.543 6669695.568 172689.582 6669694.153 172688.237</gml:posList>
            </gml:LinearRing>
          </gml:exterior>
        </gml:Polygon>
      </lmg:Yta>
      <planbestammelsereferens>16938974-bd9e-4267-874d-775a11558e3e</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e3dabbfe-9d6e-45b8-9088-4f4d572c5181" srsName="EPSG:3009" srsDimension="2">
          <gml:exterior>
            <gml:LinearRing gml:id="ID_4d1bb28a-643f-4f71-b84b-b1f3d976f78e">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ef00a2e6-9b8f-4ccc-937c-a144043971f2</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d226da14-4775-4130-8406-7439d19afacb" srsName="EPSG:3009" srsDimension="2">
          <gml:exterior>
            <gml:LinearRing gml:id="ID_0f63aaa4-e8bb-49ff-8602-9b541bedfb0c">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f9bf2c69-57df-448b-b585-c25c6bc752d8</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a8020670-d80d-4986-bbe7-1a164ad50764" srsName="EPSG:3009" srsDimension="2">
          <gml:exterior>
            <gml:LinearRing gml:id="ID_29c0a2d7-965d-4e2f-b1e7-1e35d5b372e3">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daaba3ae-6ff2-411d-9020-5c01868adc7d</planbestammelsereferens>
    </Lage>
    <Indelning>
      <tema>Motiv till detaljplanens regleringar</tema>
      <grupp>Motiv till reglering</grupp>
    </Indelning>
  </Omfattning>
  <Omfattning>
    <identitet>mo_motivtillreglering08</identitet>
    <Lage>
      <lmg:Yta>
        <lmg:absolutLagesosakerhetPlan>0.1</lmg:absolutLagesosakerhetPlan>
        <lmg:absolutLagesosakerhetHojd>0</lmg:absolutLagesosakerhetHojd>
        <lmg:hojdsystem>RH 2000</lmg:hojdsystem>
        <gml:Polygon gml:id="ID_b6207211-8ffd-491b-a452-3883f8bb7774" srsName="EPSG:3009" srsDimension="2">
          <gml:exterior>
            <gml:LinearRing gml:id="ID_d5772ff7-bb2f-479a-b889-fb4606aabac1">
              <gml:posList>6669668.645 172740.702 6669667.504 172740.331 6669675.194 172717.739 6669675.563 172716.683 6669675.709 172716.266 6669676.831 172716.654 6669679.273 172717.498 6669681.24 172711.808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gml:posList>
            </gml:LinearRing>
          </gml:exterior>
        </gml:Polygon>
      </lmg:Yta>
      <planbestammelsereferens>93b54498-8613-4698-a2ca-ba9c29dc5569</planbestammelsereferens>
    </Lage>
    <Lage>
      <lmg:Yta>
        <lmg:absolutLagesosakerhetPlan>0.1</lmg:absolutLagesosakerhetPlan>
        <lmg:absolutLagesosakerhetHojd>0</lmg:absolutLagesosakerhetHojd>
        <lmg:hojdsystem>RH 2000</lmg:hojdsystem>
        <gml:Polygon gml:id="ID_12eaa8c5-3d42-4fcc-b011-e8574157b933" srsName="EPSG:3009" srsDimension="2">
          <gml:exterior>
            <gml:LinearRing gml:id="ID_c14a10fd-d292-4971-805f-9eb55359695a">
              <gml:posList>6669706.342 172709.694 6669702.06 172713.229 6669696.821 172717.554 6669693.591 172717.62 6669692.111 172716.721 6669681.724 172710.41 6669683.6 172708.584 6669686.062 172707.748 6669698.212 172703.62 6669698.561 172703.501 6669699.343 172703.236 6669699.537 172703.379 6669703.912 172706.61 6669706.342 172709.694</gml:posList>
            </gml:LinearRing>
          </gml:exterior>
        </gml:Polygon>
      </lmg:Yta>
      <planbestammelsereferens>9f91751d-f49c-43cb-8aee-769bec1cb5d1</planbestammelsereferens>
    </Lage>
    <Lage>
      <lmg:Yta>
        <lmg:absolutLagesosakerhetPlan>0.1</lmg:absolutLagesosakerhetPlan>
        <lmg:absolutLagesosakerhetHojd>0</lmg:absolutLagesosakerhetHojd>
        <lmg:hojdsystem>RH 2000</lmg:hojdsystem>
        <gml:Polygon gml:id="ID_bd37fb98-35b0-4882-ba16-138021c1e920" srsName="EPSG:3009" srsDimension="2">
          <gml:exterior>
            <gml:LinearRing gml:id="ID_5e091347-3096-4f55-b59a-43f11da6be86">
              <gml:posList>6669687.179 172689.985 6669687.277 172689.979 6669687.342 172689.974 6669687.704 172689.951 6669689.948 172689.809 6669692.605 172689.64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 6669707.402 172705.948 6669708.791 172707.673 6669707.788 172708.501 6669706.393 172707.763 6669704.96 172705.948 6669697.737 172700.986 6669696.733 172697.92 6669684.16 172702.027 6669679.667 172698.074 6669687.179 172689.985</gml:posList>
            </gml:LinearRing>
          </gml:exterior>
        </gml:Polygon>
      </lmg:Yta>
      <planbestammelsereferens>7c41b3fc-5dbf-464e-9e42-b4017b491f3f</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4da86332-f097-4ae2-b573-c2d11a840d34" srsName="EPSG:3009" srsDimension="2">
          <gml:exterior>
            <gml:LinearRing gml:id="ID_3c32105d-3337-4377-834b-b6ac42529997">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7345da71-aa8b-43af-acaa-0c4bd9430f03</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f6df043b-c5c5-4884-b04d-18c4f57becf8" srsName="EPSG:3009" srsDimension="2">
          <gml:exterior>
            <gml:LinearRing gml:id="ID_a9d2fe47-ca51-47eb-b882-ceb29363b19f">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afbf190e-501a-4650-8847-a50bfc5d0104</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df6b6a32-87ac-494b-a75e-5655023f6bae" srsName="EPSG:3009" srsDimension="2">
          <gml:exterior>
            <gml:LinearRing gml:id="ID_cea25cbf-10d1-4dbf-b9f1-48487c6104bf">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e72d3f5b-b299-41c2-a297-06fb21685df3</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5411ee43-b569-4a85-bbea-04eb1836bd28" srsName="EPSG:3009" srsDimension="2">
          <gml:exterior>
            <gml:LinearRing gml:id="ID_4d5d7c21-fda8-4bfd-913f-54449f0b85e5">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5fba89cb-7fd9-4f8d-a2b4-478c1704af8c</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475f963a-95e7-40f4-9de5-d1bf263df9ac" srsName="EPSG:3009" srsDimension="2">
          <gml:exterior>
            <gml:LinearRing gml:id="ID_60d82b41-be45-43d0-be50-555cb21a7b71">
              <gml:posList>6669646.87 172685.977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6669652.75 172685.81 6669646.87 172685.977</gml:posList>
            </gml:LinearRing>
          </gml:exterior>
        </gml:Polygon>
      </lmg:Yta>
      <planbestammelsereferens>b0366c09-f6bf-4460-a467-7e00239f2b35</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6ca28e7f-5e47-4ac4-8b45-fd776502c396" srsName="EPSG:3009" srsDimension="2">
          <gml:exterior>
            <gml:LinearRing gml:id="ID_7a225f30-3f8a-408a-b4e3-252a90ff78a0">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f9b801c4-97e3-4041-b277-98ecab83c7d9</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44e03b6b-0cd0-4a30-8759-085a8dbf9d59" srsName="EPSG:3009" srsDimension="2">
          <gml:exterior>
            <gml:LinearRing gml:id="ID_c0c25597-345d-4264-98de-3c46b5de484b">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6d6f1800-47e0-4462-bf29-4946fab7cc90</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41e8245b-11f7-4d1f-b23c-c6bc1930ea7c" srsName="EPSG:3009" srsDimension="2">
          <gml:exterior>
            <gml:LinearRing gml:id="ID_97ceab08-7fd8-40eb-a5bc-e73005b0a723">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136d7378-ca95-47b7-8d29-5a888ddf3c26</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6a524adb-5f94-444f-abcb-60db14ec70ac" srsName="EPSG:3009" srsDimension="2">
          <gml:exterior>
            <gml:LinearRing gml:id="ID_e75e440b-6582-4b58-9883-b1640189f0a8">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931b8336-8224-4e3a-a2f5-3282f2b71585</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b6c78491-e375-4e72-b870-b71c99df7a6f" srsName="EPSG:3009" srsDimension="2">
          <gml:exterior>
            <gml:LinearRing gml:id="ID_5e19f7c3-cd0c-485b-b7d9-b3ef01b7231a">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620910f4-8f3c-4a7d-804b-844e83cf6ce4</planbestammelsereferens>
    </Lage>
    <Indelning>
      <tema>Motiv till detaljplanens regleringar</tema>
      <grupp>Motiv till reglering</grupp>
    </Indelning>
  </Omfattning>
  <Omfattning>
    <identitet>mo_motivtillreglering19</identitet>
    <Lage>
      <lmg:Yta>
        <lmg:absolutLagesosakerhetPlan>0</lmg:absolutLagesosakerhetPlan>
        <lmg:absolutLagesosakerhetHojd>0</lmg:absolutLagesosakerhetHojd>
        <lmg:hojdsystem>RH 2000</lmg:hojdsystem>
        <gml:Polygon gml:id="ID_d0e590d3-ef48-404c-b24f-66ee4285bacd" srsName="EPSG:3009" srsDimension="2">
          <gml:exterior>
            <gml:LinearRing gml:id="ID_76b8b849-0cf3-4cfa-ac93-256aa4010202">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3c603078-6a43-4d84-80fa-304938b49ac4</planbestammelsereferens>
    </Lage>
    <Lage>
      <lmg:Yta>
        <lmg:absolutLagesosakerhetPlan>0</lmg:absolutLagesosakerhetPlan>
        <lmg:absolutLagesosakerhetHojd>0</lmg:absolutLagesosakerhetHojd>
        <lmg:hojdsystem>RH 2000</lmg:hojdsystem>
        <gml:Polygon gml:id="ID_736dab49-18d7-47a0-9722-981016f2880b" srsName="EPSG:3009" srsDimension="2">
          <gml:exterior>
            <gml:LinearRing gml:id="ID_1f6bedec-2e51-46fa-ac57-0a0975432d24">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a24b8357-6c49-471e-93d0-8bd66f7bae18</planbestammelsereferens>
    </Lage>
    <Indelning>
      <tema>Motiv till detaljplanens regleringar</tema>
      <grupp>Motiv till reglering</grupp>
    </Indelning>
  </Omfattning>
  <Omfattning>
    <identitet>mo_motivtillreglering20</identitet>
    <Lage>
      <lmg:Yta>
        <lmg:absolutLagesosakerhetPlan>0</lmg:absolutLagesosakerhetPlan>
        <lmg:absolutLagesosakerhetHojd>0</lmg:absolutLagesosakerhetHojd>
        <lmg:hojdsystem>RH 2000</lmg:hojdsystem>
        <gml:Polygon gml:id="ID_53a2f468-72b2-415a-9050-bf53fd4d956f" srsName="EPSG:3009" srsDimension="2">
          <gml:exterior>
            <gml:LinearRing gml:id="ID_b4034d6d-6f0c-4cc7-a9b9-e94923eda903">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8feb09ea-5bd4-4e17-83bf-7a8bfee6cfd8</planbestammelsereferens>
    </Lage>
    <Indelning>
      <tema>Motiv till detaljplanens regleringar</tema>
      <grupp>Motiv till reglering</grupp>
    </Indelning>
  </Omfattning>
  <Omfattning>
    <identitet>mo_motivtillreglering21</identitet>
    <Lage>
      <lmg:Yta>
        <lmg:absolutLagesosakerhetPlan>0</lmg:absolutLagesosakerhetPlan>
        <lmg:absolutLagesosakerhetHojd>0</lmg:absolutLagesosakerhetHojd>
        <lmg:hojdsystem>RH 2000</lmg:hojdsystem>
        <gml:Polygon gml:id="ID_528c7444-71da-4df9-b181-55239d845afe" srsName="EPSG:3009" srsDimension="2">
          <gml:exterior>
            <gml:LinearRing gml:id="ID_28864b20-6bbc-44bf-b530-3fd49413b9ba">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c5695f14-91a9-4fa1-8835-c2c7196815f1</planbestammelsereferens>
    </Lage>
    <Indelning>
      <tema>Motiv till detaljplanens regleringar</tema>
      <grupp>Motiv till reglering</grupp>
    </Indelning>
  </Omfattning>
  <Omfattning>
    <identitet>mo_motivtillreglering22</identitet>
    <Lage>
      <lmg:Yta>
        <lmg:absolutLagesosakerhetPlan>0</lmg:absolutLagesosakerhetPlan>
        <lmg:absolutLagesosakerhetHojd>0</lmg:absolutLagesosakerhetHojd>
        <lmg:hojdsystem>RH 2000</lmg:hojdsystem>
        <gml:Polygon gml:id="ID_979a7a3f-0fda-4eaf-8b3a-42e39558fc30" srsName="EPSG:3009" srsDimension="2">
          <gml:exterior>
            <gml:LinearRing gml:id="ID_d5f1eb52-96ab-4d38-8a98-911fb5dbb075">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2cbdcb5f-d9b6-474c-bdf8-3b724deff908</planbestammelsereferens>
    </Lage>
    <Indelning>
      <tema>Motiv till detaljplanens regleringar</tema>
      <grupp>Motiv till reglering</grupp>
    </Indelning>
  </Omfattning>
  <Omfattning>
    <identitet>mo_motivtillreglering23</identitet>
    <Lage>
      <lmg:Yta>
        <lmg:absolutLagesosakerhetPlan>0</lmg:absolutLagesosakerhetPlan>
        <lmg:absolutLagesosakerhetHojd>0</lmg:absolutLagesosakerhetHojd>
        <lmg:hojdsystem>RH 2000</lmg:hojdsystem>
        <gml:Polygon gml:id="ID_7ed8930f-7911-41dd-87bb-54ea58c6600b" srsName="EPSG:3009" srsDimension="2">
          <gml:exterior>
            <gml:LinearRing gml:id="ID_d7775128-55ef-4d6b-a6f5-d462ba6fe5b3">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cf638a3d-c09c-41d8-9b05-69b0a0edb8f2</planbestammelsereferens>
    </Lage>
    <Indelning>
      <tema>Motiv till detaljplanens regleringar</tema>
      <grupp>Motiv till reglering</grupp>
    </Indelning>
  </Omfattning>
  <Omfattning>
    <identitet>mo_motivtillreglering24</identitet>
    <Lage>
      <lmg:Yta>
        <lmg:absolutLagesosakerhetPlan>0</lmg:absolutLagesosakerhetPlan>
        <lmg:absolutLagesosakerhetHojd>0</lmg:absolutLagesosakerhetHojd>
        <lmg:hojdsystem>RH 2000</lmg:hojdsystem>
        <gml:Polygon gml:id="ID_66033b57-5c9c-4d8f-b8e1-1791644f6cee" srsName="EPSG:3009" srsDimension="2">
          <gml:exterior>
            <gml:LinearRing gml:id="ID_4ffaa522-36fe-46ee-bfd8-ee726a6cf4e8">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d4ff0608-a878-4554-9e3f-219aa88b0749</planbestammelsereferens>
    </Lage>
    <Indelning>
      <tema>Motiv till detaljplanens regleringar</tema>
      <grupp>Motiv till reglering</grupp>
    </Indelning>
  </Omfattning>
  <Omfattning>
    <identitet>mo_motivtillreglering25</identitet>
    <Lage>
      <lmg:Yta>
        <lmg:absolutLagesosakerhetPlan>0</lmg:absolutLagesosakerhetPlan>
        <lmg:absolutLagesosakerhetHojd>0</lmg:absolutLagesosakerhetHojd>
        <lmg:hojdsystem>RH 2000</lmg:hojdsystem>
        <gml:Polygon gml:id="ID_a812c198-2555-4ca9-afca-ab719a1b8ff4" srsName="EPSG:3009" srsDimension="2">
          <gml:exterior>
            <gml:LinearRing gml:id="ID_e28a97e4-c7dc-4382-8946-3c6476bb57a1">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a574bbb3-8641-44f8-a687-309494e6cf13</planbestammelsereferens>
    </Lage>
    <Indelning>
      <tema>Motiv till detaljplanens regleringar</tema>
      <grupp>Motiv till reglering</grupp>
    </Indelning>
  </Omfattning>
  <Omfattning>
    <identitet>mo_motivtillreglering26</identitet>
    <Lage>
      <lmg:Yta>
        <lmg:absolutLagesosakerhetPlan>0</lmg:absolutLagesosakerhetPlan>
        <lmg:absolutLagesosakerhetHojd>0</lmg:absolutLagesosakerhetHojd>
        <lmg:hojdsystem>RH 2000</lmg:hojdsystem>
        <gml:Polygon gml:id="ID_01c6306b-9e97-4ba9-b02a-573b7b604f0c" srsName="EPSG:3009" srsDimension="2">
          <gml:exterior>
            <gml:LinearRing gml:id="ID_87bee2dd-64d1-461c-9da6-038a6510f3f8">
              <gml:posList>6669710.416 172703.441 6669707.402 172705.948 6669708.791 172707.673 6669707.788 172708.501 6669706.342 172709.694 6669702.06 172713.229 6669696.821 172717.554 6669693.591 172717.62 6669692.111 172716.721 6669681.724 172710.41 6669677.488 172707.358 6669674.282 172706.25 6669662.177 172702.066 6669654.82 172699.37 6669654.753 172699.345 6669651.287 172704.963 6669639.525 172698.479 6669633.206 172694.995 6669635.064 172692.686 6669636.584 172690.796 6669642.186 172683.833 6669642.456 172683.498 6669647.943 172676.678 6669649.693 172674.142 6669650.149 172673.481 6669650.522 172672.94 6669651.872 172670.986 6669652.526 172670.037 6669654.435 172667.271 6669654.511 172667.161 6669654.82 172666.713 6669656.25 172664.641 6669657.982 172665.75 6669658.929 172666.357 6669663.469 172669.264 6669663.63 172669.367 6669664.329 172669.814 6669667.69 172671.967 6669672.226 172674.812 6669683.616 172686.415 6669683.941 172686.746 6669684.784 172687.605 6669684.868 172687.691 6669685.683 172688.521 6669686.47 172689.323 6669687.143 172689.951 6669687.179 172689.985 6669687.277 172689.979 6669687.342 172689.974 6669687.704 172689.951 6669689.948 172689.809 6669692.605 172689.64 6669694.153 172688.237 6669695.568 172689.582 6669697.576 172689.543 6669699.778 172691.924 6669699.785 172691.931 6669705.367 172697.964 6669706.34 172699.016 6669707.541 172700.315 6669709.919 172700.564 6669710.405 172700.615 6669710.755 172700.652 6669711.038 172700.682 6669711.074 172700.685 6669711.165 172700.695 6669712.287 172702.154 6669713.53 172703.769 6669711.828 172705.166 6669710.416 172703.441</gml:posList>
            </gml:LinearRing>
          </gml:exterior>
        </gml:Polygon>
      </lmg:Yta>
      <planbestammelsereferens>e2c4c8b3-1d4a-4e8f-96f2-12ebd923e6fb</planbestammelsereferens>
    </Lage>
    <Lage>
      <lmg:Yta>
        <lmg:absolutLagesosakerhetPlan>0</lmg:absolutLagesosakerhetPlan>
        <lmg:absolutLagesosakerhetHojd>0</lmg:absolutLagesosakerhetHojd>
        <lmg:hojdsystem>RH 2000</lmg:hojdsystem>
        <gml:Polygon gml:id="ID_90b332fe-6cbf-4598-9d4c-ce74b575e3be" srsName="EPSG:3009" srsDimension="2">
          <gml:exterior>
            <gml:LinearRing gml:id="ID_61e99607-c718-4818-9232-c7ed187eb4c1">
              <gml:posList>6669641.521 172722.703 6669651.287 172704.963 6669654.753 172699.345 6669654.82 172699.37 6669662.177 172702.066 6669674.282 172706.25 6669677.488 172707.358 6669681.724 172710.41 6669692.111 172716.721 6669693.591 172717.62 6669692.17 172718.374 6669689.114 172719.996 6669687.91 172720.636 6669687.47 172720.869 6669681.202 172725.209 6669680.56 172725.836 6669679.445 172726.924 6669678.801 172727.553 6669677.527 172730.939 6669676.39 172733.959 6669675.67 172735.874 6669675.037 172737.897 6669674.305 172740.239 6669674.291 172740.236 6669673.63 172742.325 6669668.645 172740.702 6669667.504 172740.331 6669666.458 172739.99 6669644.601 172732.874 6669642.273 172732.116 6669646.11 172725.272 6669641.521 172722.703</gml:posList>
            </gml:LinearRing>
          </gml:exterior>
        </gml:Polygon>
      </lmg:Yta>
      <planbestammelsereferens>1e4a7772-91ff-4e1a-aa71-04d63def64e2</planbestammelsereferens>
    </Lage>
    <Indelning>
      <tema>Motiv till detaljplanens regleringar</tema>
      <grupp>Motiv till reglering</grupp>
    </Indelning>
  </Omfattning>
  <Omfattning>
    <identitet>mo_motivtillreglering27</identitet>
    <Lage>
      <lmg:Yta>
        <lmg:absolutLagesosakerhetPlan>0</lmg:absolutLagesosakerhetPlan>
        <lmg:absolutLagesosakerhetHojd>0</lmg:absolutLagesosakerhetHojd>
        <lmg:hojdsystem>RH 2000</lmg:hojdsystem>
        <gml:Polygon gml:id="ID_a3c0e59d-20eb-482c-9288-0495c1cd55de" srsName="EPSG:3009" srsDimension="2">
          <gml:exterior>
            <gml:LinearRing gml:id="ID_2eae4063-cc96-49b0-a209-aba0231ea8d2">
              <gml:posList>6669642.456 172683.498 6669646.87 172685.977 6669652.75 172685.81 6669664.329 172669.814 6669667.69 172671.967 6669672.226 172674.812 6669683.616 172686.415 6669683.941 172686.746 6669684.784 172687.605 6669684.868 172687.691 6669685.683 172688.521 6669686.47 172689.323 6669687.143 172689.951 6669687.179 172689.985 6669679.667 172698.074 6669684.16 172702.027 6669696.733 172697.92 6669697.737 172700.986 6669704.96 172705.948 6669706.393 172707.763 6669707.788 172708.501 6669706.342 172709.694 6669703.912 172706.61 6669699.537 172703.379 6669699.343 172703.236 6669698.561 172703.501 6669698.212 172703.62 6669686.062 172707.748 6669683.6 172708.584 6669681.724 172710.41 6669677.488 172707.358 6669674.282 172706.25 6669662.177 172702.066 6669654.82 172699.37 6669654.753 172699.345 6669651.287 172704.963 6669639.525 172698.479 6669633.206 172694.995 6669635.064 172692.686 6669636.584 172690.796 6669642.186 172683.833 6669642.456 172683.498</gml:posList>
            </gml:LinearRing>
          </gml:exterior>
        </gml:Polygon>
      </lmg:Yta>
      <planbestammelsereferens>823dde39-e7ee-4db9-bf62-755f583a575c</planbestammelsereferens>
    </Lage>
    <Indelning>
      <tema>Motiv till detaljplanens regleringar</tema>
      <grupp>Motiv till reglering</grupp>
    </Indelning>
  </Omfattning>
  <Omfattning>
    <identitet>pu_planbesked01</identitet>
    <Lage>
      <planomrade>true</planomrade>
    </Lage>
    <Indelning>
      <tema>Planeringsunderlag</tema>
      <grupp>Kommunala</grupp>
      <undergrupp>Planbesked</undergrupp>
    </Indelning>
  </Omfattning>
  <Omfattning>
    <identitet>pu_översiktsplan01</identitet>
    <Lage>
      <planomrade>true</planomrade>
    </Lage>
    <Indelning>
      <tema>Planeringsunderlag</tema>
      <grupp>Kommunala</grupp>
      <undergrupp>Översiktsplan</undergrupp>
    </Indelning>
  </Omfattning>
  <Omfattning>
    <identitet>pu_översiktsplan02</identitet>
    <Lage>
      <planomrade>true</planomrade>
    </Lage>
    <Indelning>
      <tema>Planeringsunderlag</tema>
      <grupp>Kommunala</grupp>
      <undergrupp>Översiktsplan</undergrupp>
    </Indelning>
  </Omfattning>
  <Omfattning>
    <identitet>pu_barnchecklista01</identitet>
    <Lage>
      <planomrade>true</planomrade>
    </Lage>
    <Indelning>
      <tema>Planeringsunderlag</tema>
      <grupp>Annat</grupp>
      <undergrupp>Barnchecklista</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pf_hushållningsbestämmelserenl3kap_mb02</identitet>
    <Lage>
      <planomrade>true</planomrade>
    </Lage>
    <Indelning>
      <tema>Planeringsförutsättningar</tema>
      <grupp>Hushållningsbestämmelser enligt 3 kap. miljöbalken</grupp>
    </Indelning>
  </Omfattning>
  <Omfattning>
    <identitet>pf_hushållningsbestämmelserenl3kap_mb03</identitet>
    <Lage>
      <planomrade>true</planomrade>
    </Lage>
    <Indelning>
      <tema>Planeringsförutsättningar</tema>
      <grupp>Hushållningsbestämmelser enligt 3 kap. miljöbalken</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pf_detaljplan01</identitet>
    <Lage>
      <planomrade>true</planomrade>
    </Lage>
    <Indelning>
      <tema>Planeringsförutsättningar</tema>
      <grupp>Kommunala</grupp>
      <undergrupp>Detaljplan</undergrupp>
    </Indelning>
  </Omfattning>
  <Omfattning>
    <identitet>ko_annat01</identitet>
    <Lage>
      <planomrade>true</planomrade>
    </Lage>
    <Indelning>
      <tema>Konsekvenser</tema>
      <grupp>Annat</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ko_strandskydd01</identitet>
    <Lage>
      <planomrade>true</planomrade>
    </Lage>
    <Indelning>
      <tema>Konsekvenser</tema>
      <grupp>Miljö</grupp>
      <undergrupp>Strandskydd</undergrupp>
    </Indelning>
  </Omfattning>
  <Omfattning>
    <identitet>ko_landskapsbild01</identitet>
    <Lage>
      <planomrade>true</planomrade>
    </Lage>
    <Indelning>
      <tema>Konsekvenser</tema>
      <grupp>Natur</grupp>
      <undergrupp>Landskapsbild</undergrupp>
    </Indelning>
  </Omfattning>
  <Omfattning>
    <identitet>ko_grönområde01</identitet>
    <Lage>
      <planomrade>true</planomrade>
    </Lage>
    <Indelning>
      <tema>Konsekvenser</tema>
      <grupp>Natur</grupp>
      <undergrupp>Grönområde</undergrupp>
    </Indelning>
  </Omfattning>
  <Omfattning>
    <identitet>pf_geotekniskaförhållanden01</identitet>
    <Lage>
      <planomrade>true</planomrade>
    </Lage>
    <Indelning>
      <tema>Planeringsförutsättningar</tema>
      <grupp>Geotekniska förhållanden</grupp>
    </Indelning>
  </Omfattning>
  <Omfattning>
    <identitet>pf_fornlämningar01</identitet>
    <Lage>
      <planomrade>true</planomrade>
    </Lage>
    <Indelning>
      <tema>Planeringsförutsättningar</tema>
      <grupp>Kulturmiljö</grupp>
      <undergrupp>Fornlämningar</undergrupp>
    </Indelning>
  </Omfattning>
  <Omfattning>
    <identitet>pf_gångochcykeltrafik01</identitet>
    <Lage>
      <planomrade>true</planomrade>
    </Lage>
    <Indelning>
      <tema>Planeringsförutsättningar</tema>
      <grupp>Trafik</grupp>
      <undergrupp>Gång- och cykeltrafik</undergrupp>
    </Indelning>
  </Omfattning>
  <Omfattning>
    <identitet>pf_lokalgata02</identitet>
    <Lage>
      <planomrade>true</planomrade>
    </Lage>
    <Indelning>
      <tema>Planeringsförutsättningar</tema>
      <grupp>Trafik</grupp>
      <undergrupp>Lokalgata</under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pf_dagvatten01</identitet>
    <Lage>
      <planomrade>true</planomrade>
    </Lage>
    <Indelning>
      <tema>Planeringsförutsättningar</tema>
      <grupp>Miljö</grupp>
      <undergrupp>Dagvatten</undergrupp>
    </Indelning>
  </Omfattning>
  <Omfattning>
    <identitet>ko_dagvatten01</identitet>
    <Lage>
      <planomrade>true</planomrade>
    </Lage>
    <Indelning>
      <tema>Konsekvenser</tema>
      <grupp>Miljö</grupp>
      <undergrupp>Dagvatten</undergrupp>
    </Indelning>
  </Omfattning>
  <Omfattning>
    <identitet>ko_buller01</identitet>
    <Lage>
      <planomrade>true</planomrade>
    </Lage>
    <Indelning>
      <tema>Konsekvenser</tema>
      <grupp>Miljökvalitetsnormer</grupp>
      <undergrupp>Buller</undergrupp>
    </Indelning>
  </Omfattning>
  <Omfattning>
    <identitet>pf_buller01</identitet>
    <Lage>
      <planomrade>true</planomrade>
    </Lage>
    <Indelning>
      <tema>Planeringsförutsättningar</tema>
      <grupp>Miljökvalitetsnormer</grupp>
      <undergrupp>Buller</undergrupp>
    </Indelning>
  </Omfattning>
  <Omfattning>
    <identitet>pf_omgivningsbuller01</identitet>
    <Lage>
      <planomrade>true</planomrade>
    </Lage>
    <Indelning>
      <tema>Planeringsförutsättningar</tema>
      <grupp>Hälsa och säkerhet</grupp>
      <undergrupp>Omgivningsbuller</undergrupp>
    </Indelning>
  </Omfattning>
  <Omfattning>
    <identitet>pf_hälsaochsäkerhet02</identitet>
    <Lage>
      <planomrade>true</planomrade>
    </Lage>
    <Indelning>
      <tema>Planeringsförutsättningar</tema>
      <grupp>Hälsa och säkerhet</grupp>
    </Indelning>
  </Omfattning>
  <Omfattning>
    <identitet>pf_riskföröversvämning02</identitet>
    <Lage>
      <planomrade>true</planomrade>
    </Lage>
    <Indelning>
      <tema>Planeringsförutsättningar</tema>
      <grupp>Hälsa och säkerhet</grupp>
      <undergrupp>Risk för översvämning</undergrupp>
    </Indelning>
  </Omfattning>
  <Omfattning>
    <identitet>pf_hälsaochsäkerhet01</identitet>
    <Lage>
      <planomrade>true</planomrade>
    </Lage>
    <Indelning>
      <tema>Planeringsförutsättningar</tema>
      <grupp>Hälsa och säkerhet</grupp>
    </Indelning>
  </Omfattning>
  <Omfattning>
    <identitet>ko_hälsaochsäkerhet01</identitet>
    <Lage>
      <planomrade>true</planomrade>
    </Lage>
    <Indelning>
      <tema>Konsekvenser</tema>
      <grupp>Hälsa och säkerhet</grupp>
    </Indelning>
  </Omfattning>
  <Omfattning>
    <identitet>pf_förorenadmark01</identitet>
    <Lage>
      <planomrade>true</planomrade>
    </Lage>
    <Indelning>
      <tema>Planeringsförutsättningar</tema>
      <grupp>Hälsa och säkerhet</grupp>
      <undergrupp>Förorenad mark</undergrupp>
    </Indelning>
  </Omfattning>
  <Omfattning>
    <identitet>pf_förorenadmark02</identitet>
    <Lage>
      <planomrade>true</planomrade>
    </Lage>
    <Indelning>
      <tema>Planeringsförutsättningar</tema>
      <grupp>Hälsa och säkerhet</grupp>
      <undergrupp>Förorenad mark</undergrupp>
    </Indelning>
  </Omfattning>
  <Omfattning>
    <identitet>pf_hälsaochsäkerhet03</identitet>
    <Lage>
      <planomrade>true</planomrade>
    </Lage>
    <Indelning>
      <tema>Planeringsförutsättningar</tema>
      <grupp>Hälsa och säkerhet</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gf_markochutrymmesförvärv01</identitet>
    <Lage>
      <planomrade>true</planomrade>
    </Lage>
    <Indelning>
      <tema>Genomförandefrågor</tema>
      <grupp>Mark- och utrymmesförvärv</grupp>
    </Indelning>
  </Omfattning>
  <Omfattning>
    <identitet>gf_tekniskafrågor01</identitet>
    <Lage>
      <planomrade>true</planomrade>
    </Lage>
    <Indelning>
      <tema>Genomförandefrågor</tema>
      <grupp>Tekniska frågor</grupp>
    </Indelning>
  </Omfattning>
  <Omfattning>
    <identitet>gf_exploateringsavtal01</identitet>
    <Lage>
      <planomrade>true</planomrade>
    </Lage>
    <Indelning>
      <tema>Genomförandefrågor</tema>
      <grupp>Organisatoriska frågor</grupp>
      <undergrupp>Exploateringsavtal</undergrupp>
    </Indelning>
  </Omfattning>
  <Omfattning>
    <identitet>gf_fastighetsrättsligafrågor01</identitet>
    <Lage>
      <planomrade>true</planomrade>
    </Lage>
    <Indelning>
      <tema>Genomförandefrågor</tema>
      <grupp>Fastighetsrättsliga frågor</grupp>
    </Indelning>
  </Omfattning>
  <Omfattning>
    <identitet>gf_rättigheter01</identitet>
    <Lage>
      <planomrade>true</planomrade>
    </Lage>
    <Indelning>
      <tema>Genomförandefrågor</tema>
      <grupp>Fastighetsrättsliga frågor</grupp>
      <undergrupp>Rättigheter</undergrupp>
    </Indelning>
  </Omfattning>
</Planbeskrivning>
</file>

<file path=customXml/itemProps1.xml><?xml version="1.0" encoding="utf-8"?>
<ds:datastoreItem xmlns:ds="http://schemas.openxmlformats.org/officeDocument/2006/customXml" ds:itemID="{2e06f410-3202-408a-9724-fe63d09ceb4c}">
  <ds:schemaRefs>
    <ds:schemaRef ds:uri="http://schemas.microsoft.com/vsto/samples"/>
  </ds:schemaRefs>
</ds:datastoreItem>
</file>

<file path=customXml/itemProps2.xml><?xml version="1.0" encoding="utf-8"?>
<ds:datastoreItem xmlns:ds="http://schemas.openxmlformats.org/officeDocument/2006/customXml" ds:itemID="a21fb861-95b4-48a9-83a2-1aa3ae88386a">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Mattias Rostock</dc:creator>
  <dcterms:created xsi:type="dcterms:W3CDTF">2024-12-09T13:09:00Z</dcterms:created>
  <cp:lastModifiedBy>Mattias Rostock</cp:lastModifiedBy>
  <cp:lastPrinted>2026-01-12T09:23:00Z</cp:lastPrinted>
  <dcterms:modified xsi:type="dcterms:W3CDTF">2026-01-21T09:32:53Z</dcterms:modified>
  <cp:revision>433</cp:revision>
</cp:coreProperties>
</file>