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tif" ContentType="image/tiff"/>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Types>
</file>

<file path=_rels/.rels>&#65279;<?xml version="1.0" encoding="utf-8"?><Relationships xmlns="http://schemas.openxmlformats.org/package/2006/relationships"><Relationship Id="R1" Type="http://schemas.openxmlformats.org/officeDocument/2006/relationships/officeDocument" Target="/word/document.xml" /><Relationship Id="coreR1" Type="http://schemas.openxmlformats.org/package/2006/relationships/metadata/core-properties" Target="/docProps/core.xml" /><Relationship Id="appR1" Type="http://schemas.openxmlformats.org/officeDocument/2006/relationships/extended-properties" Target="/docProps/app.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body>
    <w:p/>
    <w:p>
      <w:bookmarkStart w:id="0" w:name="_Hlk99013880"/>
    </w:p>
    <w:p>
      <w:pPr>
        <w:jc w:val="center"/>
        <w:rPr>
          <w:color w:val="C00000"/>
          <w:sz w:val="56"/>
          <w:szCs w:val="56"/>
        </w:rPr>
      </w:pPr>
      <w:r>
        <w:rPr>
          <w:rFonts w:ascii="Times New Roman" w:hAnsi="Times New Roman" w:cs="Times New Roman"/>
          <w:color w:val="C00000"/>
          <w:sz w:val="56"/>
          <w:szCs w:val="56"/>
        </w:rPr>
        <w:t>PLANBESKRIVNING</w:t>
      </w:r>
    </w:p>
    <w:p>
      <w:pPr>
        <w:jc w:val="center"/>
        <w:rPr>
          <w:rFonts w:ascii="Times New Roman" w:hAnsi="Times New Roman" w:cs="Times New Roman"/>
          <w:color w:val="C00000"/>
          <w:sz w:val="28"/>
          <w:szCs w:val="28"/>
        </w:rPr>
      </w:pPr>
      <w:bookmarkStart w:id="1" w:name="_Hlk103004653"/>
      <w:bookmarkStart w:id="2" w:name="_Hlk99013969"/>
      <w:r>
        <w:rPr>
          <w:rFonts w:ascii="Times New Roman" w:hAnsi="Times New Roman" w:cs="Times New Roman"/>
          <w:color w:val="C00000"/>
          <w:sz w:val="28"/>
          <w:szCs w:val="28"/>
        </w:rPr>
        <w:t xml:space="preserve">Detaljplan för Norra Brustorpet, del av Söderbärke Kyrkby 8:76 m.fl. </w:t>
      </w:r>
    </w:p>
    <w:p>
      <w:pPr>
        <w:jc w:val="center"/>
        <w:rPr>
          <w:rFonts w:ascii="Times New Roman" w:hAnsi="Times New Roman" w:cs="Times New Roman"/>
          <w:sz w:val="28"/>
          <w:szCs w:val="28"/>
        </w:rPr>
      </w:pPr>
      <w:bookmarkEnd w:id="1"/>
    </w:p>
    <w:p>
      <w:pPr>
        <w:rPr>
          <w:b w:val="1"/>
          <w:bCs w:val="1"/>
        </w:rPr>
      </w:pPr>
      <w:r>
        <w:rPr>
          <w:b w:val="1"/>
          <w:bCs w:val="1"/>
          <w:noProof w:val="1"/>
        </w:rPr>
        <w:drawing>
          <wp:inline xmlns:wp="http://schemas.openxmlformats.org/drawingml/2006/wordprocessingDrawing" distT="0" distB="0" distL="0" distR="0">
            <wp:extent cx="5760720" cy="5659120"/>
            <wp:effectExtent l="0" t="0" r="0" b="0"/>
            <wp:docPr id="55" name="Bildobjekt 5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Bildobjekt 55" descr="En bild som visar karta&#10;&#10;Automatiskt genererad beskrivning"/>
                    <pic:cNvPicPr/>
                  </pic:nvPicPr>
                  <pic:blipFill dpi="0">
                    <a:blip xmlns:r="http://schemas.openxmlformats.org/officeDocument/2006/relationships" r:embed="Relimage1"/>
                    <a:srcRect/>
                    <a:stretch>
                      <a:fillRect/>
                    </a:stretch>
                  </pic:blipFill>
                  <pic:spPr>
                    <a:xfrm>
                      <a:off x="0" y="0"/>
                      <a:ext cx="5760720" cy="5659120"/>
                    </a:xfrm>
                    <a:prstGeom prst="rect"/>
                  </pic:spPr>
                </pic:pic>
              </a:graphicData>
            </a:graphic>
          </wp:inline>
        </w:drawing>
      </w:r>
    </w:p>
    <w:p>
      <w:pPr>
        <w:rPr>
          <w:rFonts w:ascii="Times New Roman" w:hAnsi="Times New Roman" w:cs="Times New Roman"/>
          <w:sz w:val="40"/>
          <w:szCs w:val="40"/>
        </w:rPr>
      </w:pPr>
    </w:p>
    <w:p>
      <w:pPr>
        <w:spacing w:after="0" w:beforeAutospacing="0" w:afterAutospacing="0"/>
        <w:jc w:val="center"/>
        <w:rPr>
          <w:rFonts w:ascii="Times New Roman" w:hAnsi="Times New Roman" w:cs="Times New Roman"/>
          <w:color w:val="C00000"/>
          <w:sz w:val="36"/>
          <w:szCs w:val="36"/>
        </w:rPr>
      </w:pPr>
    </w:p>
    <w:p>
      <w:pPr>
        <w:spacing w:after="0" w:beforeAutospacing="0" w:afterAutospacing="0"/>
        <w:jc w:val="center"/>
        <w:rPr>
          <w:rFonts w:ascii="Times New Roman" w:hAnsi="Times New Roman" w:cs="Times New Roman"/>
          <w:color w:val="C00000"/>
          <w:sz w:val="24"/>
          <w:szCs w:val="24"/>
        </w:rPr>
      </w:pPr>
    </w:p>
    <w:p>
      <w:pPr>
        <w:jc w:val="right"/>
        <w:rPr>
          <w:color w:val="C00000"/>
          <w:sz w:val="32"/>
          <w:szCs w:val="32"/>
        </w:rPr>
      </w:pPr>
    </w:p>
    <w:p>
      <w:pPr>
        <w:jc w:val="right"/>
        <w:rPr>
          <w:color w:val="C00000"/>
          <w:sz w:val="32"/>
          <w:szCs w:val="32"/>
        </w:rPr>
      </w:pPr>
      <w:r>
        <w:rPr>
          <w:color w:val="C00000"/>
          <w:sz w:val="32"/>
          <w:szCs w:val="32"/>
        </w:rPr>
        <w:t>PLANARKITEKT</w:t>
      </w:r>
    </w:p>
    <w:p>
      <w:pPr>
        <w:spacing w:lineRule="auto" w:line="240" w:beforeAutospacing="0" w:afterAutospacing="0"/>
        <w:jc w:val="right"/>
        <w:rPr>
          <w:sz w:val="24"/>
          <w:szCs w:val="24"/>
        </w:rPr>
      </w:pPr>
      <w:r>
        <w:rPr>
          <w:sz w:val="24"/>
          <w:szCs w:val="24"/>
        </w:rPr>
        <w:t>Samir Hazrat</w:t>
      </w:r>
    </w:p>
    <w:p>
      <w:pPr>
        <w:spacing w:lineRule="auto" w:line="240" w:beforeAutospacing="0" w:afterAutospacing="0"/>
        <w:jc w:val="right"/>
        <w:rPr>
          <w:color w:val="C00000"/>
          <w:sz w:val="32"/>
          <w:szCs w:val="32"/>
        </w:rPr>
      </w:pPr>
      <w:r>
        <w:rPr>
          <w:color w:val="C00000"/>
          <w:sz w:val="32"/>
          <w:szCs w:val="32"/>
        </w:rPr>
        <w:t xml:space="preserve">MILJÖ-OCH BYGGCHEF </w:t>
      </w:r>
    </w:p>
    <w:p>
      <w:pPr>
        <w:spacing w:lineRule="auto" w:line="240" w:beforeAutospacing="0" w:afterAutospacing="0"/>
        <w:jc w:val="right"/>
        <w:rPr>
          <w:color w:val="000000" w:themeColor="text1"/>
          <w:sz w:val="24"/>
          <w:szCs w:val="24"/>
        </w:rPr>
      </w:pPr>
      <w:r>
        <w:rPr>
          <w:color w:val="000000" w:themeColor="text1"/>
          <w:sz w:val="24"/>
          <w:szCs w:val="24"/>
        </w:rPr>
        <w:t>Gunilla Skoog</w:t>
      </w:r>
    </w:p>
    <w:p>
      <w:pPr>
        <w:jc w:val="right"/>
        <w:rPr>
          <w:color w:val="C00000"/>
          <w:sz w:val="32"/>
          <w:szCs w:val="32"/>
        </w:rPr>
      </w:pPr>
      <w:bookmarkStart w:id="3" w:name="_Hlk103070339"/>
      <w:r>
        <w:rPr>
          <w:color w:val="C00000"/>
          <w:sz w:val="32"/>
          <w:szCs w:val="32"/>
        </w:rPr>
        <w:t>PLANHANDLINGAR</w:t>
      </w:r>
    </w:p>
    <w:p>
      <w:pPr>
        <w:jc w:val="right"/>
        <w:rPr>
          <w:sz w:val="24"/>
          <w:szCs w:val="24"/>
        </w:rPr>
      </w:pPr>
      <w:bookmarkEnd w:id="3"/>
      <w:r>
        <w:rPr>
          <w:sz w:val="24"/>
          <w:szCs w:val="24"/>
        </w:rPr>
        <w:t xml:space="preserve"> Planbeskrivning </w:t>
      </w:r>
    </w:p>
    <w:p>
      <w:pPr>
        <w:jc w:val="right"/>
        <w:rPr>
          <w:sz w:val="24"/>
          <w:szCs w:val="24"/>
        </w:rPr>
      </w:pPr>
      <w:r>
        <w:rPr>
          <w:sz w:val="24"/>
          <w:szCs w:val="24"/>
        </w:rPr>
        <w:t>Plankarta i skala 1:1 000</w:t>
      </w:r>
    </w:p>
    <w:p>
      <w:pPr>
        <w:jc w:val="right"/>
        <w:rPr>
          <w:sz w:val="24"/>
          <w:szCs w:val="24"/>
        </w:rPr>
      </w:pPr>
      <w:r>
        <w:rPr>
          <w:sz w:val="24"/>
          <w:szCs w:val="24"/>
        </w:rPr>
        <w:t>Grundkarta</w:t>
      </w:r>
    </w:p>
    <w:p>
      <w:pPr>
        <w:jc w:val="right"/>
        <w:rPr>
          <w:sz w:val="24"/>
          <w:szCs w:val="24"/>
        </w:rPr>
      </w:pPr>
      <w:r>
        <w:rPr>
          <w:sz w:val="24"/>
          <w:szCs w:val="24"/>
        </w:rPr>
        <w:t>Samrådsredogörelse</w:t>
      </w:r>
    </w:p>
    <w:p>
      <w:pPr>
        <w:jc w:val="right"/>
        <w:rPr>
          <w:sz w:val="24"/>
          <w:szCs w:val="24"/>
        </w:rPr>
      </w:pPr>
      <w:r>
        <w:rPr>
          <w:sz w:val="24"/>
          <w:szCs w:val="24"/>
        </w:rPr>
        <w:t xml:space="preserve">Granskningsutlåtande </w:t>
      </w:r>
    </w:p>
    <w:p>
      <w:pPr>
        <w:jc w:val="right"/>
        <w:rPr>
          <w:sz w:val="24"/>
          <w:szCs w:val="24"/>
        </w:rPr>
      </w:pPr>
      <w:r>
        <w:rPr>
          <w:sz w:val="24"/>
          <w:szCs w:val="24"/>
        </w:rPr>
        <w:t>Fastighetsförteckning</w:t>
      </w:r>
    </w:p>
    <w:p>
      <w:pPr>
        <w:jc w:val="right"/>
        <w:rPr>
          <w:color w:val="C00000"/>
          <w:sz w:val="32"/>
          <w:szCs w:val="32"/>
        </w:rPr>
      </w:pPr>
      <w:r>
        <w:rPr>
          <w:color w:val="C00000"/>
          <w:sz w:val="32"/>
          <w:szCs w:val="32"/>
        </w:rPr>
        <w:t>Övriga handlingar</w:t>
      </w:r>
    </w:p>
    <w:p>
      <w:pPr>
        <w:jc w:val="right"/>
        <w:rPr>
          <w:sz w:val="24"/>
          <w:szCs w:val="24"/>
        </w:rPr>
      </w:pPr>
      <w:r>
        <w:rPr>
          <w:sz w:val="24"/>
          <w:szCs w:val="24"/>
        </w:rPr>
        <w:t>Undersökning om betydande miljöpåverkan</w:t>
      </w:r>
    </w:p>
    <w:p>
      <w:pPr>
        <w:jc w:val="right"/>
        <w:rPr>
          <w:sz w:val="24"/>
          <w:szCs w:val="24"/>
        </w:rPr>
      </w:pPr>
      <w:r>
        <w:rPr>
          <w:sz w:val="24"/>
          <w:szCs w:val="24"/>
        </w:rPr>
        <w:t>Riskbedömning för förorenad mark</w:t>
      </w:r>
    </w:p>
    <w:p>
      <w:pPr>
        <w:jc w:val="right"/>
        <w:rPr>
          <w:sz w:val="24"/>
          <w:szCs w:val="24"/>
        </w:rPr>
      </w:pPr>
      <w:r>
        <w:rPr>
          <w:sz w:val="24"/>
          <w:szCs w:val="24"/>
          <w:rtl w:val="0"/>
          <w:lang w:val="sv-SE" w:bidi="sv-SE" w:eastAsia="sv-SE"/>
        </w:rPr>
        <w:t>Beräkning av vägtrafikbuller</w:t>
      </w:r>
    </w:p>
    <w:p>
      <w:pPr>
        <w:jc w:val="right"/>
        <w:rPr>
          <w:sz w:val="24"/>
          <w:szCs w:val="24"/>
        </w:rPr>
      </w:pPr>
      <w:r>
        <w:rPr>
          <w:sz w:val="24"/>
          <w:szCs w:val="24"/>
        </w:rPr>
        <w:t>Barnchecklista – undersökning om barnkonsekvensanalys</w:t>
      </w:r>
    </w:p>
    <w:p>
      <w:pPr>
        <w:jc w:val="right"/>
        <w:rPr>
          <w:color w:val="C00000"/>
          <w:sz w:val="32"/>
          <w:szCs w:val="32"/>
        </w:rPr>
      </w:pPr>
      <w:r>
        <w:rPr>
          <w:color w:val="C00000"/>
          <w:sz w:val="32"/>
          <w:szCs w:val="32"/>
        </w:rPr>
        <w:t>VAD ÄR EN DETALJPLAN</w:t>
      </w:r>
    </w:p>
    <w:p>
      <w:pPr>
        <w:jc w:val="right"/>
        <w:rPr>
          <w:sz w:val="24"/>
          <w:szCs w:val="24"/>
        </w:rPr>
      </w:pPr>
      <w:r>
        <w:rPr>
          <w:sz w:val="24"/>
          <w:szCs w:val="24"/>
        </w:rPr>
        <w:t>En detaljplan är ett juridiskt bindande dokument där kommunen reglerar hur mark och vattenområden får användas och hur området får bebyggas. I detaljplanen redovisas gränser för allmänna platser, kvartersmark samt vattenområden.</w:t>
      </w:r>
    </w:p>
    <w:p>
      <w:pPr>
        <w:jc w:val="right"/>
        <w:rPr>
          <w:color w:val="C00000"/>
          <w:sz w:val="32"/>
          <w:szCs w:val="32"/>
        </w:rPr>
      </w:pPr>
      <w:r>
        <w:rPr>
          <w:color w:val="C00000"/>
          <w:sz w:val="32"/>
          <w:szCs w:val="32"/>
        </w:rPr>
        <w:t>SÅ HÄR LÄSER DU DETALJPLANEN</w:t>
      </w:r>
    </w:p>
    <w:p>
      <w:pPr>
        <w:jc w:val="right"/>
        <w:rPr>
          <w:sz w:val="24"/>
          <w:szCs w:val="24"/>
        </w:rPr>
      </w:pPr>
      <w:r>
        <w:rPr>
          <w:sz w:val="24"/>
          <w:szCs w:val="24"/>
        </w:rPr>
        <w:t xml:space="preserve">Detaljplanen består av en plankarta med olika planbestämmelser. Med plankartan följer även en planbeskrivning (det här dokumentet) som förklarar syftet och innehållet i plankartan. </w:t>
      </w:r>
    </w:p>
    <w:p>
      <w:pPr>
        <w:jc w:val="right"/>
        <w:rPr>
          <w:color w:val="C00000"/>
          <w:sz w:val="32"/>
          <w:szCs w:val="32"/>
        </w:rPr>
      </w:pPr>
      <w:r>
        <w:rPr>
          <w:color w:val="C00000"/>
          <w:sz w:val="32"/>
          <w:szCs w:val="32"/>
        </w:rPr>
        <w:t>PLANPROCESS</w:t>
      </w:r>
    </w:p>
    <w:p>
      <w:pPr>
        <w:jc w:val="right"/>
        <w:rPr>
          <w:sz w:val="24"/>
          <w:szCs w:val="24"/>
        </w:rPr>
      </w:pPr>
      <w:bookmarkStart w:id="4" w:name="_Hlk86318565"/>
      <w:r>
        <w:rPr>
          <w:sz w:val="24"/>
          <w:szCs w:val="24"/>
        </w:rPr>
        <w:t>Detaljplanen tas fram med standardförfarande i överensstämmelse med översiktsplanen samt enligt plan- och bygglagen 2010:900 (2014:900)</w:t>
      </w:r>
      <w:bookmarkEnd w:id="4"/>
      <w:r>
        <w:rPr>
          <w:sz w:val="24"/>
          <w:szCs w:val="24"/>
        </w:rPr>
        <w:t xml:space="preserve">. Processen ser ut som följande: </w:t>
      </w:r>
    </w:p>
    <w:p>
      <w:r>
        <w:tab/>
      </w:r>
    </w:p>
    <w:p>
      <w:r>
        <w:drawing>
          <wp:inline xmlns:wp="http://schemas.openxmlformats.org/drawingml/2006/wordprocessingDrawing" distT="0" distB="0" distL="0" distR="0">
            <wp:extent cx="5760720" cy="44386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dpi="0">
                    <a:blip xmlns:r="http://schemas.openxmlformats.org/officeDocument/2006/relationships" r:embed="Relimage2"/>
                    <a:srcRect/>
                    <a:stretch>
                      <a:fillRect/>
                    </a:stretch>
                  </pic:blipFill>
                  <pic:spPr>
                    <a:xfrm>
                      <a:off x="0" y="0"/>
                      <a:ext cx="5760720" cy="443865"/>
                    </a:xfrm>
                    <a:prstGeom prst="rect"/>
                  </pic:spPr>
                </pic:pic>
              </a:graphicData>
            </a:graphic>
          </wp:inline>
        </w:drawing>
      </w:r>
    </w:p>
    <w:p>
      <w:pPr>
        <w:rPr>
          <w:rFonts w:ascii="Times New Roman" w:hAnsi="Times New Roman" w:cs="Times New Roman"/>
          <w:sz w:val="28"/>
          <w:szCs w:val="28"/>
        </w:rPr>
      </w:pPr>
      <w:r>
        <w:rPr>
          <w:rFonts w:ascii="Times New Roman" w:hAnsi="Times New Roman" w:cs="Times New Roman"/>
          <w:sz w:val="28"/>
          <w:szCs w:val="28"/>
        </w:rPr>
        <w:t>Innehållsförteckning</w:t>
      </w:r>
    </w:p>
    <w:p>
      <w:pPr>
        <w:pStyle w:val="P17"/>
        <w:tabs>
          <w:tab w:val="left" w:pos="440" w:leader="none"/>
          <w:tab w:val="right" w:pos="9062" w:leader="dot"/>
        </w:tabs>
        <w:rPr>
          <w:rFonts w:cstheme="minorBidi" w:eastAsiaTheme="minorEastAsia"/>
          <w:b w:val="0"/>
          <w:bCs w:val="0"/>
          <w:caps w:val="0"/>
          <w:noProof w:val="1"/>
          <w:sz w:val="22"/>
          <w:szCs w:val="22"/>
          <w:lang w:eastAsia="sv-SE"/>
        </w:rPr>
      </w:pPr>
      <w:r>
        <w:rPr>
          <w:rFonts w:ascii="Times New Roman" w:hAnsi="Times New Roman" w:cs="Times New Roman"/>
          <w:b w:val="0"/>
          <w:bCs w:val="0"/>
          <w:caps w:val="0"/>
          <w:sz w:val="28"/>
          <w:szCs w:val="28"/>
        </w:rPr>
        <w:fldChar w:fldCharType="begin"/>
      </w:r>
      <w:r>
        <w:rPr>
          <w:rFonts w:ascii="Times New Roman" w:hAnsi="Times New Roman" w:cs="Times New Roman"/>
          <w:b w:val="0"/>
          <w:bCs w:val="0"/>
          <w:caps w:val="0"/>
          <w:sz w:val="28"/>
          <w:szCs w:val="28"/>
        </w:rPr>
        <w:instrText xml:space="preserve"> TOC \o "1-2" \h \z \u </w:instrText>
      </w:r>
      <w:r>
        <w:rPr>
          <w:rFonts w:ascii="Times New Roman" w:hAnsi="Times New Roman" w:cs="Times New Roman"/>
          <w:b w:val="0"/>
          <w:bCs w:val="0"/>
          <w:caps w:val="0"/>
          <w:sz w:val="28"/>
          <w:szCs w:val="28"/>
        </w:rPr>
        <w:fldChar w:fldCharType="separate"/>
      </w:r>
      <w:hyperlink w:anchor="_Toc126834292">
        <w:r>
          <w:rPr>
            <w:rStyle w:val="C2"/>
            <w:noProof w:val="1"/>
          </w:rPr>
          <w:t>1</w:t>
        </w:r>
        <w:r>
          <w:rPr>
            <w:rFonts w:cstheme="minorBidi" w:eastAsiaTheme="minorEastAsia"/>
            <w:b w:val="0"/>
            <w:bCs w:val="0"/>
            <w:caps w:val="0"/>
            <w:noProof w:val="1"/>
            <w:sz w:val="22"/>
            <w:szCs w:val="22"/>
            <w:lang w:eastAsia="sv-SE"/>
          </w:rPr>
          <w:tab/>
        </w:r>
        <w:r>
          <w:rPr>
            <w:rStyle w:val="C2"/>
            <w:noProof w:val="1"/>
          </w:rPr>
          <w:t>DETALJPLANENS SYFTE</w:t>
        </w:r>
        <w:r>
          <w:rPr>
            <w:noProof w:val="1"/>
          </w:rPr>
          <w:tab/>
        </w:r>
        <w:r>
          <w:rPr>
            <w:noProof w:val="1"/>
          </w:rPr>
          <w:fldChar w:fldCharType="begin"/>
        </w:r>
        <w:r>
          <w:rPr>
            <w:noProof w:val="1"/>
          </w:rPr>
          <w:instrText xml:space="preserve"> PAGEREF _Toc126834292 \h </w:instrText>
        </w:r>
        <w:r>
          <w:rPr>
            <w:noProof w:val="1"/>
          </w:rPr>
          <w:fldChar w:fldCharType="separate"/>
        </w:r>
        <w:r>
          <w:rPr>
            <w:noProof w:val="1"/>
          </w:rPr>
          <w:t>4</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293">
        <w:r>
          <w:rPr>
            <w:rStyle w:val="C2"/>
            <w:noProof w:val="1"/>
          </w:rPr>
          <w:t>2</w:t>
        </w:r>
        <w:r>
          <w:rPr>
            <w:rFonts w:cstheme="minorBidi" w:eastAsiaTheme="minorEastAsia"/>
            <w:b w:val="0"/>
            <w:bCs w:val="0"/>
            <w:caps w:val="0"/>
            <w:noProof w:val="1"/>
            <w:sz w:val="22"/>
            <w:szCs w:val="22"/>
            <w:lang w:eastAsia="sv-SE"/>
          </w:rPr>
          <w:tab/>
        </w:r>
        <w:r>
          <w:rPr>
            <w:rStyle w:val="C2"/>
            <w:noProof w:val="1"/>
          </w:rPr>
          <w:t>BESKRIVNING AV DETALJPLANEN</w:t>
        </w:r>
        <w:r>
          <w:rPr>
            <w:noProof w:val="1"/>
          </w:rPr>
          <w:tab/>
        </w:r>
        <w:r>
          <w:rPr>
            <w:noProof w:val="1"/>
          </w:rPr>
          <w:fldChar w:fldCharType="begin"/>
        </w:r>
        <w:r>
          <w:rPr>
            <w:noProof w:val="1"/>
          </w:rPr>
          <w:instrText xml:space="preserve"> PAGEREF _Toc126834293 \h </w:instrText>
        </w:r>
        <w:r>
          <w:rPr>
            <w:noProof w:val="1"/>
          </w:rPr>
          <w:fldChar w:fldCharType="separate"/>
        </w:r>
        <w:r>
          <w:rPr>
            <w:noProof w:val="1"/>
          </w:rPr>
          <w:t>4</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4">
        <w:r>
          <w:rPr>
            <w:rStyle w:val="C2"/>
            <w:noProof w:val="1"/>
          </w:rPr>
          <w:t>2.1 HELA DETALJPLANEN</w:t>
        </w:r>
        <w:r>
          <w:rPr>
            <w:noProof w:val="1"/>
          </w:rPr>
          <w:tab/>
        </w:r>
        <w:r>
          <w:rPr>
            <w:noProof w:val="1"/>
          </w:rPr>
          <w:fldChar w:fldCharType="begin"/>
        </w:r>
        <w:r>
          <w:rPr>
            <w:noProof w:val="1"/>
          </w:rPr>
          <w:instrText xml:space="preserve"> PAGEREF _Toc126834294 \h </w:instrText>
        </w:r>
        <w:r>
          <w:rPr>
            <w:noProof w:val="1"/>
          </w:rPr>
          <w:fldChar w:fldCharType="separate"/>
        </w:r>
        <w:r>
          <w:rPr>
            <w:noProof w:val="1"/>
          </w:rPr>
          <w:t>4</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5">
        <w:r>
          <w:rPr>
            <w:rStyle w:val="C2"/>
            <w:noProof w:val="1"/>
          </w:rPr>
          <w:t>2.2 GENOMFÖRANDETID</w:t>
        </w:r>
        <w:r>
          <w:rPr>
            <w:noProof w:val="1"/>
          </w:rPr>
          <w:tab/>
        </w:r>
        <w:r>
          <w:rPr>
            <w:noProof w:val="1"/>
          </w:rPr>
          <w:fldChar w:fldCharType="begin"/>
        </w:r>
        <w:r>
          <w:rPr>
            <w:noProof w:val="1"/>
          </w:rPr>
          <w:instrText xml:space="preserve"> PAGEREF _Toc126834295 \h </w:instrText>
        </w:r>
        <w:r>
          <w:rPr>
            <w:noProof w:val="1"/>
          </w:rPr>
          <w:fldChar w:fldCharType="separate"/>
        </w:r>
        <w:r>
          <w:rPr>
            <w:noProof w:val="1"/>
          </w:rPr>
          <w:t>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6">
        <w:r>
          <w:rPr>
            <w:rStyle w:val="C2"/>
            <w:noProof w:val="1"/>
          </w:rPr>
          <w:t>2.3 ALLMÄN PLATS</w:t>
        </w:r>
        <w:r>
          <w:rPr>
            <w:noProof w:val="1"/>
          </w:rPr>
          <w:tab/>
        </w:r>
        <w:r>
          <w:rPr>
            <w:noProof w:val="1"/>
          </w:rPr>
          <w:fldChar w:fldCharType="begin"/>
        </w:r>
        <w:r>
          <w:rPr>
            <w:noProof w:val="1"/>
          </w:rPr>
          <w:instrText xml:space="preserve"> PAGEREF _Toc126834296 \h </w:instrText>
        </w:r>
        <w:r>
          <w:rPr>
            <w:noProof w:val="1"/>
          </w:rPr>
          <w:fldChar w:fldCharType="separate"/>
        </w:r>
        <w:r>
          <w:rPr>
            <w:noProof w:val="1"/>
          </w:rPr>
          <w:t>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7">
        <w:r>
          <w:rPr>
            <w:rStyle w:val="C2"/>
            <w:noProof w:val="1"/>
          </w:rPr>
          <w:t>2.4 KVARTERSMARK</w:t>
        </w:r>
        <w:r>
          <w:rPr>
            <w:noProof w:val="1"/>
          </w:rPr>
          <w:tab/>
        </w:r>
        <w:r>
          <w:rPr>
            <w:noProof w:val="1"/>
          </w:rPr>
          <w:fldChar w:fldCharType="begin"/>
        </w:r>
        <w:r>
          <w:rPr>
            <w:noProof w:val="1"/>
          </w:rPr>
          <w:instrText xml:space="preserve"> PAGEREF _Toc126834297 \h </w:instrText>
        </w:r>
        <w:r>
          <w:rPr>
            <w:noProof w:val="1"/>
          </w:rPr>
          <w:fldChar w:fldCharType="separate"/>
        </w:r>
        <w:r>
          <w:rPr>
            <w:noProof w:val="1"/>
          </w:rPr>
          <w:t>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8">
        <w:r>
          <w:rPr>
            <w:rStyle w:val="C2"/>
            <w:noProof w:val="1"/>
          </w:rPr>
          <w:t>2.5 BEFINTLIGT</w:t>
        </w:r>
        <w:r>
          <w:rPr>
            <w:noProof w:val="1"/>
          </w:rPr>
          <w:tab/>
        </w:r>
        <w:r>
          <w:rPr>
            <w:noProof w:val="1"/>
          </w:rPr>
          <w:fldChar w:fldCharType="begin"/>
        </w:r>
        <w:r>
          <w:rPr>
            <w:noProof w:val="1"/>
          </w:rPr>
          <w:instrText xml:space="preserve"> PAGEREF _Toc126834298 \h </w:instrText>
        </w:r>
        <w:r>
          <w:rPr>
            <w:noProof w:val="1"/>
          </w:rPr>
          <w:fldChar w:fldCharType="separate"/>
        </w:r>
        <w:r>
          <w:rPr>
            <w:noProof w:val="1"/>
          </w:rPr>
          <w:t>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299">
        <w:r>
          <w:rPr>
            <w:rStyle w:val="C2"/>
            <w:noProof w:val="1"/>
          </w:rPr>
          <w:t>2.6 ÄRENDEINFORMATION</w:t>
        </w:r>
        <w:r>
          <w:rPr>
            <w:noProof w:val="1"/>
          </w:rPr>
          <w:tab/>
        </w:r>
        <w:r>
          <w:rPr>
            <w:noProof w:val="1"/>
          </w:rPr>
          <w:fldChar w:fldCharType="begin"/>
        </w:r>
        <w:r>
          <w:rPr>
            <w:noProof w:val="1"/>
          </w:rPr>
          <w:instrText xml:space="preserve"> PAGEREF _Toc126834299 \h </w:instrText>
        </w:r>
        <w:r>
          <w:rPr>
            <w:noProof w:val="1"/>
          </w:rPr>
          <w:fldChar w:fldCharType="separate"/>
        </w:r>
        <w:r>
          <w:rPr>
            <w:noProof w:val="1"/>
          </w:rPr>
          <w:t>5</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300">
        <w:r>
          <w:rPr>
            <w:rStyle w:val="C2"/>
            <w:noProof w:val="1"/>
          </w:rPr>
          <w:t>3</w:t>
        </w:r>
        <w:r>
          <w:rPr>
            <w:rFonts w:cstheme="minorBidi" w:eastAsiaTheme="minorEastAsia"/>
            <w:b w:val="0"/>
            <w:bCs w:val="0"/>
            <w:caps w:val="0"/>
            <w:noProof w:val="1"/>
            <w:sz w:val="22"/>
            <w:szCs w:val="22"/>
            <w:lang w:eastAsia="sv-SE"/>
          </w:rPr>
          <w:tab/>
        </w:r>
        <w:r>
          <w:rPr>
            <w:rStyle w:val="C2"/>
            <w:noProof w:val="1"/>
          </w:rPr>
          <w:t>MOTIV TILL DETALJPLANENS REGLERINGAR</w:t>
        </w:r>
        <w:r>
          <w:rPr>
            <w:noProof w:val="1"/>
          </w:rPr>
          <w:tab/>
        </w:r>
        <w:r>
          <w:rPr>
            <w:noProof w:val="1"/>
          </w:rPr>
          <w:fldChar w:fldCharType="begin"/>
        </w:r>
        <w:r>
          <w:rPr>
            <w:noProof w:val="1"/>
          </w:rPr>
          <w:instrText xml:space="preserve"> PAGEREF _Toc126834300 \h </w:instrText>
        </w:r>
        <w:r>
          <w:rPr>
            <w:noProof w:val="1"/>
          </w:rPr>
          <w:fldChar w:fldCharType="separate"/>
        </w:r>
        <w:r>
          <w:rPr>
            <w:noProof w:val="1"/>
          </w:rPr>
          <w:t>6</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1">
        <w:r>
          <w:rPr>
            <w:rStyle w:val="C2"/>
            <w:noProof w:val="1"/>
          </w:rPr>
          <w:t>3.1 MOTIV TILL REGLERINGAR</w:t>
        </w:r>
        <w:r>
          <w:rPr>
            <w:noProof w:val="1"/>
          </w:rPr>
          <w:tab/>
        </w:r>
        <w:r>
          <w:rPr>
            <w:noProof w:val="1"/>
          </w:rPr>
          <w:fldChar w:fldCharType="begin"/>
        </w:r>
        <w:r>
          <w:rPr>
            <w:noProof w:val="1"/>
          </w:rPr>
          <w:instrText xml:space="preserve"> PAGEREF _Toc126834301 \h </w:instrText>
        </w:r>
        <w:r>
          <w:rPr>
            <w:noProof w:val="1"/>
          </w:rPr>
          <w:fldChar w:fldCharType="separate"/>
        </w:r>
        <w:r>
          <w:rPr>
            <w:noProof w:val="1"/>
          </w:rPr>
          <w:t>6</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302">
        <w:r>
          <w:rPr>
            <w:rStyle w:val="C2"/>
            <w:noProof w:val="1"/>
          </w:rPr>
          <w:t>4</w:t>
        </w:r>
        <w:r>
          <w:rPr>
            <w:rFonts w:cstheme="minorBidi" w:eastAsiaTheme="minorEastAsia"/>
            <w:b w:val="0"/>
            <w:bCs w:val="0"/>
            <w:caps w:val="0"/>
            <w:noProof w:val="1"/>
            <w:sz w:val="22"/>
            <w:szCs w:val="22"/>
            <w:lang w:eastAsia="sv-SE"/>
          </w:rPr>
          <w:tab/>
        </w:r>
        <w:r>
          <w:rPr>
            <w:rStyle w:val="C2"/>
            <w:noProof w:val="1"/>
          </w:rPr>
          <w:t>PLANERINGSFÖRUTSÄTTNINGAR</w:t>
        </w:r>
        <w:r>
          <w:rPr>
            <w:noProof w:val="1"/>
          </w:rPr>
          <w:tab/>
        </w:r>
        <w:r>
          <w:rPr>
            <w:noProof w:val="1"/>
          </w:rPr>
          <w:fldChar w:fldCharType="begin"/>
        </w:r>
        <w:r>
          <w:rPr>
            <w:noProof w:val="1"/>
          </w:rPr>
          <w:instrText xml:space="preserve"> PAGEREF _Toc126834302 \h </w:instrText>
        </w:r>
        <w:r>
          <w:rPr>
            <w:noProof w:val="1"/>
          </w:rPr>
          <w:fldChar w:fldCharType="separate"/>
        </w:r>
        <w:r>
          <w:rPr>
            <w:noProof w:val="1"/>
          </w:rPr>
          <w:t>10</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3">
        <w:r>
          <w:rPr>
            <w:rStyle w:val="C2"/>
            <w:noProof w:val="1"/>
          </w:rPr>
          <w:t>4.1 KOMMUNALA</w:t>
        </w:r>
        <w:r>
          <w:rPr>
            <w:noProof w:val="1"/>
          </w:rPr>
          <w:tab/>
        </w:r>
        <w:r>
          <w:rPr>
            <w:noProof w:val="1"/>
          </w:rPr>
          <w:fldChar w:fldCharType="begin"/>
        </w:r>
        <w:r>
          <w:rPr>
            <w:noProof w:val="1"/>
          </w:rPr>
          <w:instrText xml:space="preserve"> PAGEREF _Toc126834303 \h </w:instrText>
        </w:r>
        <w:r>
          <w:rPr>
            <w:noProof w:val="1"/>
          </w:rPr>
          <w:fldChar w:fldCharType="separate"/>
        </w:r>
        <w:r>
          <w:rPr>
            <w:noProof w:val="1"/>
          </w:rPr>
          <w:t>10</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4">
        <w:r>
          <w:rPr>
            <w:rStyle w:val="C2"/>
            <w:noProof w:val="1"/>
          </w:rPr>
          <w:t>4.2 REGIONALA</w:t>
        </w:r>
        <w:r>
          <w:rPr>
            <w:noProof w:val="1"/>
          </w:rPr>
          <w:tab/>
        </w:r>
        <w:r>
          <w:rPr>
            <w:noProof w:val="1"/>
          </w:rPr>
          <w:fldChar w:fldCharType="begin"/>
        </w:r>
        <w:r>
          <w:rPr>
            <w:noProof w:val="1"/>
          </w:rPr>
          <w:instrText xml:space="preserve"> PAGEREF _Toc126834304 \h </w:instrText>
        </w:r>
        <w:r>
          <w:rPr>
            <w:noProof w:val="1"/>
          </w:rPr>
          <w:fldChar w:fldCharType="separate"/>
        </w:r>
        <w:r>
          <w:rPr>
            <w:noProof w:val="1"/>
          </w:rPr>
          <w:t>12</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5">
        <w:r>
          <w:rPr>
            <w:rStyle w:val="C2"/>
            <w:noProof w:val="1"/>
          </w:rPr>
          <w:t>4.3 RIKSINTRESSEN</w:t>
        </w:r>
        <w:r>
          <w:rPr>
            <w:noProof w:val="1"/>
          </w:rPr>
          <w:tab/>
        </w:r>
        <w:r>
          <w:rPr>
            <w:noProof w:val="1"/>
          </w:rPr>
          <w:fldChar w:fldCharType="begin"/>
        </w:r>
        <w:r>
          <w:rPr>
            <w:noProof w:val="1"/>
          </w:rPr>
          <w:instrText xml:space="preserve"> PAGEREF _Toc126834305 \h </w:instrText>
        </w:r>
        <w:r>
          <w:rPr>
            <w:noProof w:val="1"/>
          </w:rPr>
          <w:fldChar w:fldCharType="separate"/>
        </w:r>
        <w:r>
          <w:rPr>
            <w:noProof w:val="1"/>
          </w:rPr>
          <w:t>13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6">
        <w:r>
          <w:rPr>
            <w:rStyle w:val="C2"/>
            <w:noProof w:val="1"/>
          </w:rPr>
          <w:t>4.4 HUSHÅLLNINGSBESTÄMMELSER ENLIGT 3 KAP. MILJÖBALKEN</w:t>
        </w:r>
        <w:r>
          <w:rPr>
            <w:noProof w:val="1"/>
          </w:rPr>
          <w:tab/>
        </w:r>
        <w:r>
          <w:rPr>
            <w:noProof w:val="1"/>
          </w:rPr>
          <w:fldChar w:fldCharType="begin"/>
        </w:r>
        <w:r>
          <w:rPr>
            <w:noProof w:val="1"/>
          </w:rPr>
          <w:instrText xml:space="preserve"> PAGEREF _Toc126834306 \h </w:instrText>
        </w:r>
        <w:r>
          <w:rPr>
            <w:noProof w:val="1"/>
          </w:rPr>
          <w:fldChar w:fldCharType="separate"/>
        </w:r>
        <w:r>
          <w:rPr>
            <w:noProof w:val="1"/>
          </w:rPr>
          <w:t>14</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7">
        <w:r>
          <w:rPr>
            <w:rStyle w:val="C2"/>
            <w:noProof w:val="1"/>
          </w:rPr>
          <w:t>4.5 MILJÖKVALITETSNORMER</w:t>
        </w:r>
        <w:r>
          <w:rPr>
            <w:noProof w:val="1"/>
          </w:rPr>
          <w:tab/>
        </w:r>
        <w:r>
          <w:rPr>
            <w:noProof w:val="1"/>
          </w:rPr>
          <w:fldChar w:fldCharType="begin"/>
        </w:r>
        <w:r>
          <w:rPr>
            <w:noProof w:val="1"/>
          </w:rPr>
          <w:instrText xml:space="preserve"> PAGEREF _Toc126834307 \h </w:instrText>
        </w:r>
        <w:r>
          <w:rPr>
            <w:noProof w:val="1"/>
          </w:rPr>
          <w:fldChar w:fldCharType="separate"/>
        </w:r>
        <w:r>
          <w:rPr>
            <w:noProof w:val="1"/>
          </w:rPr>
          <w:t>15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8">
        <w:r>
          <w:rPr>
            <w:rStyle w:val="C2"/>
            <w:noProof w:val="1"/>
          </w:rPr>
          <w:t>4.6 MILJÖ</w:t>
        </w:r>
        <w:r>
          <w:rPr>
            <w:noProof w:val="1"/>
          </w:rPr>
          <w:tab/>
        </w:r>
        <w:r>
          <w:rPr>
            <w:noProof w:val="1"/>
          </w:rPr>
          <w:fldChar w:fldCharType="begin"/>
        </w:r>
        <w:r>
          <w:rPr>
            <w:noProof w:val="1"/>
          </w:rPr>
          <w:instrText xml:space="preserve"> PAGEREF _Toc126834308 \h </w:instrText>
        </w:r>
        <w:r>
          <w:rPr>
            <w:noProof w:val="1"/>
          </w:rPr>
          <w:fldChar w:fldCharType="separate"/>
        </w:r>
        <w:r>
          <w:rPr>
            <w:noProof w:val="1"/>
          </w:rPr>
          <w:t>15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09">
        <w:r>
          <w:rPr>
            <w:rStyle w:val="C2"/>
            <w:noProof w:val="1"/>
          </w:rPr>
          <w:t>4.7 HÄLSA OCH SÄKERHET</w:t>
        </w:r>
        <w:r>
          <w:rPr>
            <w:noProof w:val="1"/>
          </w:rPr>
          <w:tab/>
        </w:r>
        <w:r>
          <w:rPr>
            <w:noProof w:val="1"/>
          </w:rPr>
          <w:fldChar w:fldCharType="begin"/>
        </w:r>
        <w:r>
          <w:rPr>
            <w:noProof w:val="1"/>
          </w:rPr>
          <w:instrText xml:space="preserve"> PAGEREF _Toc126834309 \h </w:instrText>
        </w:r>
        <w:r>
          <w:rPr>
            <w:noProof w:val="1"/>
          </w:rPr>
          <w:fldChar w:fldCharType="separate"/>
        </w:r>
        <w:r>
          <w:rPr>
            <w:noProof w:val="1"/>
          </w:rPr>
          <w:t>16</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0">
        <w:r>
          <w:rPr>
            <w:rStyle w:val="C2"/>
            <w:noProof w:val="1"/>
            <w:lang w:val="en-US"/>
          </w:rPr>
          <w:t>4.8</w:t>
        </w:r>
        <w:r>
          <w:rPr>
            <w:rStyle w:val="C2"/>
            <w:noProof w:val="1"/>
          </w:rPr>
          <w:t xml:space="preserve"> GEOTEKNISKA FÖRHÅLLANDEN</w:t>
        </w:r>
        <w:r>
          <w:rPr>
            <w:noProof w:val="1"/>
          </w:rPr>
          <w:tab/>
        </w:r>
        <w:r>
          <w:rPr>
            <w:noProof w:val="1"/>
          </w:rPr>
          <w:fldChar w:fldCharType="begin"/>
        </w:r>
        <w:r>
          <w:rPr>
            <w:noProof w:val="1"/>
          </w:rPr>
          <w:instrText xml:space="preserve"> PAGEREF _Toc126834310 \h </w:instrText>
        </w:r>
        <w:r>
          <w:rPr>
            <w:noProof w:val="1"/>
          </w:rPr>
          <w:fldChar w:fldCharType="separate"/>
        </w:r>
        <w:r>
          <w:rPr>
            <w:noProof w:val="1"/>
          </w:rPr>
          <w:t>18</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1">
        <w:r>
          <w:rPr>
            <w:rStyle w:val="C2"/>
            <w:noProof w:val="1"/>
          </w:rPr>
          <w:t>4.9 HYDROLOGISKA FÖRHÅLLANDEN</w:t>
        </w:r>
        <w:r>
          <w:rPr>
            <w:noProof w:val="1"/>
          </w:rPr>
          <w:tab/>
        </w:r>
        <w:r>
          <w:rPr>
            <w:noProof w:val="1"/>
          </w:rPr>
          <w:fldChar w:fldCharType="begin"/>
        </w:r>
        <w:r>
          <w:rPr>
            <w:noProof w:val="1"/>
          </w:rPr>
          <w:instrText xml:space="preserve"> PAGEREF _Toc126834311 \h </w:instrText>
        </w:r>
        <w:r>
          <w:rPr>
            <w:noProof w:val="1"/>
          </w:rPr>
          <w:fldChar w:fldCharType="separate"/>
        </w:r>
        <w:r>
          <w:rPr>
            <w:noProof w:val="1"/>
          </w:rPr>
          <w:t>18</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2">
        <w:r>
          <w:rPr>
            <w:rStyle w:val="C2"/>
            <w:noProof w:val="1"/>
          </w:rPr>
          <w:t>4.10 KULTURMILJÖ</w:t>
        </w:r>
        <w:r>
          <w:rPr>
            <w:noProof w:val="1"/>
          </w:rPr>
          <w:tab/>
        </w:r>
        <w:r>
          <w:rPr>
            <w:noProof w:val="1"/>
          </w:rPr>
          <w:fldChar w:fldCharType="begin"/>
        </w:r>
        <w:r>
          <w:rPr>
            <w:noProof w:val="1"/>
          </w:rPr>
          <w:instrText xml:space="preserve"> PAGEREF _Toc126834312 \h </w:instrText>
        </w:r>
        <w:r>
          <w:rPr>
            <w:noProof w:val="1"/>
          </w:rPr>
          <w:fldChar w:fldCharType="separate"/>
        </w:r>
        <w:r>
          <w:rPr>
            <w:noProof w:val="1"/>
          </w:rPr>
          <w:t>19</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3">
        <w:r>
          <w:rPr>
            <w:rStyle w:val="C2"/>
            <w:noProof w:val="1"/>
            <w:lang w:val="en-US"/>
          </w:rPr>
          <w:t>4.11</w:t>
        </w:r>
        <w:r>
          <w:rPr>
            <w:rStyle w:val="C2"/>
            <w:noProof w:val="1"/>
          </w:rPr>
          <w:t xml:space="preserve"> FYSISK MILJÖ</w:t>
        </w:r>
        <w:r>
          <w:rPr>
            <w:noProof w:val="1"/>
          </w:rPr>
          <w:tab/>
        </w:r>
        <w:r>
          <w:rPr>
            <w:noProof w:val="1"/>
          </w:rPr>
          <w:fldChar w:fldCharType="begin"/>
        </w:r>
        <w:r>
          <w:rPr>
            <w:noProof w:val="1"/>
          </w:rPr>
          <w:instrText xml:space="preserve"> PAGEREF _Toc126834313 \h </w:instrText>
        </w:r>
        <w:r>
          <w:rPr>
            <w:noProof w:val="1"/>
          </w:rPr>
          <w:fldChar w:fldCharType="separate"/>
        </w:r>
        <w:r>
          <w:rPr>
            <w:noProof w:val="1"/>
          </w:rPr>
          <w:t>19</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4">
        <w:r>
          <w:rPr>
            <w:rStyle w:val="C2"/>
            <w:noProof w:val="1"/>
            <w:lang w:val="en-US"/>
          </w:rPr>
          <w:t>4.12</w:t>
        </w:r>
        <w:r>
          <w:rPr>
            <w:rStyle w:val="C2"/>
            <w:noProof w:val="1"/>
          </w:rPr>
          <w:t xml:space="preserve"> SOCIALA</w:t>
        </w:r>
        <w:r>
          <w:rPr>
            <w:noProof w:val="1"/>
          </w:rPr>
          <w:tab/>
        </w:r>
        <w:r>
          <w:rPr>
            <w:noProof w:val="1"/>
          </w:rPr>
          <w:fldChar w:fldCharType="begin"/>
        </w:r>
        <w:r>
          <w:rPr>
            <w:noProof w:val="1"/>
          </w:rPr>
          <w:instrText xml:space="preserve"> PAGEREF _Toc126834314 \h </w:instrText>
        </w:r>
        <w:r>
          <w:rPr>
            <w:noProof w:val="1"/>
          </w:rPr>
          <w:fldChar w:fldCharType="separate"/>
        </w:r>
        <w:r>
          <w:rPr>
            <w:noProof w:val="1"/>
          </w:rPr>
          <w:t>19</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5">
        <w:r>
          <w:rPr>
            <w:rStyle w:val="C2"/>
            <w:noProof w:val="1"/>
            <w:lang w:val="en-US"/>
          </w:rPr>
          <w:t>4.13</w:t>
        </w:r>
        <w:r>
          <w:rPr>
            <w:rStyle w:val="C2"/>
            <w:noProof w:val="1"/>
          </w:rPr>
          <w:t xml:space="preserve"> TEKNIK</w:t>
        </w:r>
        <w:r>
          <w:rPr>
            <w:noProof w:val="1"/>
          </w:rPr>
          <w:tab/>
        </w:r>
        <w:r>
          <w:rPr>
            <w:noProof w:val="1"/>
          </w:rPr>
          <w:fldChar w:fldCharType="begin"/>
        </w:r>
        <w:r>
          <w:rPr>
            <w:noProof w:val="1"/>
          </w:rPr>
          <w:instrText xml:space="preserve"> PAGEREF _Toc126834315 \h </w:instrText>
        </w:r>
        <w:r>
          <w:rPr>
            <w:noProof w:val="1"/>
          </w:rPr>
          <w:fldChar w:fldCharType="separate"/>
        </w:r>
        <w:r>
          <w:rPr>
            <w:noProof w:val="1"/>
          </w:rPr>
          <w:t>19</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6">
        <w:r>
          <w:rPr>
            <w:rStyle w:val="C2"/>
            <w:noProof w:val="1"/>
            <w:lang w:val="en-US"/>
          </w:rPr>
          <w:t>4.14</w:t>
        </w:r>
        <w:r>
          <w:rPr>
            <w:rStyle w:val="C2"/>
            <w:noProof w:val="1"/>
          </w:rPr>
          <w:t xml:space="preserve"> SERVICE</w:t>
        </w:r>
        <w:r>
          <w:rPr>
            <w:noProof w:val="1"/>
          </w:rPr>
          <w:tab/>
        </w:r>
        <w:r>
          <w:rPr>
            <w:noProof w:val="1"/>
          </w:rPr>
          <w:fldChar w:fldCharType="begin"/>
        </w:r>
        <w:r>
          <w:rPr>
            <w:noProof w:val="1"/>
          </w:rPr>
          <w:instrText xml:space="preserve"> PAGEREF _Toc126834316 \h </w:instrText>
        </w:r>
        <w:r>
          <w:rPr>
            <w:noProof w:val="1"/>
          </w:rPr>
          <w:fldChar w:fldCharType="separate"/>
        </w:r>
        <w:r>
          <w:rPr>
            <w:noProof w:val="1"/>
          </w:rPr>
          <w:t>20</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7">
        <w:r>
          <w:rPr>
            <w:rStyle w:val="C2"/>
            <w:noProof w:val="1"/>
            <w:lang w:val="en-US"/>
          </w:rPr>
          <w:t>4.15</w:t>
        </w:r>
        <w:r>
          <w:rPr>
            <w:rStyle w:val="C2"/>
            <w:noProof w:val="1"/>
          </w:rPr>
          <w:t xml:space="preserve"> TRAFIK</w:t>
        </w:r>
        <w:r>
          <w:rPr>
            <w:noProof w:val="1"/>
          </w:rPr>
          <w:tab/>
        </w:r>
        <w:r>
          <w:rPr>
            <w:noProof w:val="1"/>
          </w:rPr>
          <w:fldChar w:fldCharType="begin"/>
        </w:r>
        <w:r>
          <w:rPr>
            <w:noProof w:val="1"/>
          </w:rPr>
          <w:instrText xml:space="preserve"> PAGEREF _Toc126834317 \h </w:instrText>
        </w:r>
        <w:r>
          <w:rPr>
            <w:noProof w:val="1"/>
          </w:rPr>
          <w:fldChar w:fldCharType="separate"/>
        </w:r>
        <w:r>
          <w:rPr>
            <w:noProof w:val="1"/>
          </w:rPr>
          <w:t>20</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318">
        <w:r>
          <w:rPr>
            <w:rStyle w:val="C2"/>
            <w:noProof w:val="1"/>
            <w:lang w:val="en-US"/>
          </w:rPr>
          <w:t>5</w:t>
        </w:r>
        <w:r>
          <w:rPr>
            <w:rFonts w:cstheme="minorBidi" w:eastAsiaTheme="minorEastAsia"/>
            <w:b w:val="0"/>
            <w:bCs w:val="0"/>
            <w:caps w:val="0"/>
            <w:noProof w:val="1"/>
            <w:sz w:val="22"/>
            <w:szCs w:val="22"/>
            <w:lang w:eastAsia="sv-SE"/>
          </w:rPr>
          <w:tab/>
        </w:r>
        <w:r>
          <w:rPr>
            <w:rStyle w:val="C2"/>
            <w:noProof w:val="1"/>
          </w:rPr>
          <w:t>PLANERINGSUNDERLAG</w:t>
        </w:r>
        <w:r>
          <w:rPr>
            <w:noProof w:val="1"/>
          </w:rPr>
          <w:tab/>
        </w:r>
        <w:r>
          <w:rPr>
            <w:noProof w:val="1"/>
          </w:rPr>
          <w:fldChar w:fldCharType="begin"/>
        </w:r>
        <w:r>
          <w:rPr>
            <w:noProof w:val="1"/>
          </w:rPr>
          <w:instrText xml:space="preserve"> PAGEREF _Toc126834318 \h </w:instrText>
        </w:r>
        <w:r>
          <w:rPr>
            <w:noProof w:val="1"/>
          </w:rPr>
          <w:fldChar w:fldCharType="separate"/>
        </w:r>
        <w:r>
          <w:rPr>
            <w:noProof w:val="1"/>
          </w:rPr>
          <w:t>21</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19">
        <w:r>
          <w:rPr>
            <w:rStyle w:val="C2"/>
            <w:noProof w:val="1"/>
          </w:rPr>
          <w:t>5.1 KOMMUNALA</w:t>
        </w:r>
        <w:r>
          <w:rPr>
            <w:noProof w:val="1"/>
          </w:rPr>
          <w:tab/>
        </w:r>
        <w:r>
          <w:rPr>
            <w:noProof w:val="1"/>
          </w:rPr>
          <w:fldChar w:fldCharType="begin"/>
        </w:r>
        <w:r>
          <w:rPr>
            <w:noProof w:val="1"/>
          </w:rPr>
          <w:instrText xml:space="preserve"> PAGEREF _Toc126834319 \h </w:instrText>
        </w:r>
        <w:r>
          <w:rPr>
            <w:noProof w:val="1"/>
          </w:rPr>
          <w:fldChar w:fldCharType="separate"/>
        </w:r>
        <w:r>
          <w:rPr>
            <w:noProof w:val="1"/>
          </w:rPr>
          <w:t>21</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0">
        <w:r>
          <w:rPr>
            <w:rStyle w:val="C2"/>
            <w:noProof w:val="1"/>
          </w:rPr>
          <w:t>5.2 UTREDNINGAR</w:t>
        </w:r>
        <w:r>
          <w:rPr>
            <w:noProof w:val="1"/>
          </w:rPr>
          <w:tab/>
        </w:r>
        <w:r>
          <w:rPr>
            <w:noProof w:val="1"/>
          </w:rPr>
          <w:fldChar w:fldCharType="begin"/>
        </w:r>
        <w:r>
          <w:rPr>
            <w:noProof w:val="1"/>
          </w:rPr>
          <w:instrText xml:space="preserve"> PAGEREF _Toc126834320 \h </w:instrText>
        </w:r>
        <w:r>
          <w:rPr>
            <w:noProof w:val="1"/>
          </w:rPr>
          <w:fldChar w:fldCharType="separate"/>
        </w:r>
        <w:r>
          <w:rPr>
            <w:noProof w:val="1"/>
          </w:rPr>
          <w:t>21</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321">
        <w:r>
          <w:rPr>
            <w:rStyle w:val="C2"/>
            <w:noProof w:val="1"/>
          </w:rPr>
          <w:t>6</w:t>
        </w:r>
        <w:r>
          <w:rPr>
            <w:rFonts w:cstheme="minorBidi" w:eastAsiaTheme="minorEastAsia"/>
            <w:b w:val="0"/>
            <w:bCs w:val="0"/>
            <w:caps w:val="0"/>
            <w:noProof w:val="1"/>
            <w:sz w:val="22"/>
            <w:szCs w:val="22"/>
            <w:lang w:eastAsia="sv-SE"/>
          </w:rPr>
          <w:tab/>
        </w:r>
        <w:r>
          <w:rPr>
            <w:rStyle w:val="C2"/>
            <w:noProof w:val="1"/>
          </w:rPr>
          <w:t>KONSEKVENSER</w:t>
        </w:r>
        <w:r>
          <w:rPr>
            <w:noProof w:val="1"/>
          </w:rPr>
          <w:tab/>
        </w:r>
        <w:r>
          <w:rPr>
            <w:noProof w:val="1"/>
          </w:rPr>
          <w:fldChar w:fldCharType="begin"/>
        </w:r>
        <w:r>
          <w:rPr>
            <w:noProof w:val="1"/>
          </w:rPr>
          <w:instrText xml:space="preserve"> PAGEREF _Toc126834321 \h </w:instrText>
        </w:r>
        <w:r>
          <w:rPr>
            <w:noProof w:val="1"/>
          </w:rPr>
          <w:fldChar w:fldCharType="separate"/>
        </w:r>
        <w:r>
          <w:rPr>
            <w:noProof w:val="1"/>
          </w:rPr>
          <w:t>23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2">
        <w:r>
          <w:rPr>
            <w:rStyle w:val="C2"/>
            <w:noProof w:val="1"/>
            <w:lang w:val="en-US"/>
          </w:rPr>
          <w:t>6.1</w:t>
        </w:r>
        <w:r>
          <w:rPr>
            <w:rStyle w:val="C2"/>
            <w:noProof w:val="1"/>
          </w:rPr>
          <w:t xml:space="preserve"> FASTIGHETER OCH RÄTTIGHETER</w:t>
        </w:r>
        <w:r>
          <w:rPr>
            <w:noProof w:val="1"/>
          </w:rPr>
          <w:tab/>
        </w:r>
        <w:r>
          <w:rPr>
            <w:noProof w:val="1"/>
          </w:rPr>
          <w:fldChar w:fldCharType="begin"/>
        </w:r>
        <w:r>
          <w:rPr>
            <w:noProof w:val="1"/>
          </w:rPr>
          <w:instrText xml:space="preserve"> PAGEREF _Toc126834322 \h </w:instrText>
        </w:r>
        <w:r>
          <w:rPr>
            <w:noProof w:val="1"/>
          </w:rPr>
          <w:fldChar w:fldCharType="separate"/>
        </w:r>
        <w:r>
          <w:rPr>
            <w:noProof w:val="1"/>
          </w:rPr>
          <w:t>23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3">
        <w:r>
          <w:rPr>
            <w:rStyle w:val="C2"/>
            <w:noProof w:val="1"/>
          </w:rPr>
          <w:t>6.2 NATUR</w:t>
        </w:r>
        <w:r>
          <w:rPr>
            <w:noProof w:val="1"/>
          </w:rPr>
          <w:tab/>
        </w:r>
        <w:r>
          <w:rPr>
            <w:noProof w:val="1"/>
          </w:rPr>
          <w:fldChar w:fldCharType="begin"/>
        </w:r>
        <w:r>
          <w:rPr>
            <w:noProof w:val="1"/>
          </w:rPr>
          <w:instrText xml:space="preserve"> PAGEREF _Toc126834323 \h </w:instrText>
        </w:r>
        <w:r>
          <w:rPr>
            <w:noProof w:val="1"/>
          </w:rPr>
          <w:fldChar w:fldCharType="separate"/>
        </w:r>
        <w:r>
          <w:rPr>
            <w:noProof w:val="1"/>
          </w:rPr>
          <w:t>23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4">
        <w:r>
          <w:rPr>
            <w:rStyle w:val="C2"/>
            <w:noProof w:val="1"/>
          </w:rPr>
          <w:t>6.3 MILJÖ</w:t>
        </w:r>
        <w:r>
          <w:rPr>
            <w:noProof w:val="1"/>
          </w:rPr>
          <w:tab/>
        </w:r>
        <w:r>
          <w:rPr>
            <w:noProof w:val="1"/>
          </w:rPr>
          <w:fldChar w:fldCharType="begin"/>
        </w:r>
        <w:r>
          <w:rPr>
            <w:noProof w:val="1"/>
          </w:rPr>
          <w:instrText xml:space="preserve"> PAGEREF _Toc126834324 \h </w:instrText>
        </w:r>
        <w:r>
          <w:rPr>
            <w:noProof w:val="1"/>
          </w:rPr>
          <w:fldChar w:fldCharType="separate"/>
        </w:r>
        <w:r>
          <w:rPr>
            <w:noProof w:val="1"/>
          </w:rPr>
          <w:t>24</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5">
        <w:r>
          <w:rPr>
            <w:rStyle w:val="C2"/>
            <w:noProof w:val="1"/>
          </w:rPr>
          <w:t>6.4 MILJÖKVALITETSNORMER</w:t>
        </w:r>
        <w:r>
          <w:rPr>
            <w:noProof w:val="1"/>
          </w:rPr>
          <w:tab/>
        </w:r>
        <w:r>
          <w:rPr>
            <w:noProof w:val="1"/>
          </w:rPr>
          <w:fldChar w:fldCharType="begin"/>
        </w:r>
        <w:r>
          <w:rPr>
            <w:noProof w:val="1"/>
          </w:rPr>
          <w:instrText xml:space="preserve"> PAGEREF _Toc126834325 \h </w:instrText>
        </w:r>
        <w:r>
          <w:rPr>
            <w:noProof w:val="1"/>
          </w:rPr>
          <w:fldChar w:fldCharType="separate"/>
        </w:r>
        <w:r>
          <w:rPr>
            <w:noProof w:val="1"/>
          </w:rPr>
          <w:t>25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6">
        <w:r>
          <w:rPr>
            <w:rStyle w:val="C2"/>
            <w:noProof w:val="1"/>
          </w:rPr>
          <w:t>6.5 HÄLSA OCH SÄKERHET</w:t>
        </w:r>
        <w:r>
          <w:rPr>
            <w:noProof w:val="1"/>
          </w:rPr>
          <w:tab/>
        </w:r>
        <w:r>
          <w:rPr>
            <w:noProof w:val="1"/>
          </w:rPr>
          <w:fldChar w:fldCharType="begin"/>
        </w:r>
        <w:r>
          <w:rPr>
            <w:noProof w:val="1"/>
          </w:rPr>
          <w:instrText xml:space="preserve"> PAGEREF _Toc126834326 \h </w:instrText>
        </w:r>
        <w:r>
          <w:rPr>
            <w:noProof w:val="1"/>
          </w:rPr>
          <w:fldChar w:fldCharType="separate"/>
        </w:r>
        <w:r>
          <w:rPr>
            <w:noProof w:val="1"/>
          </w:rPr>
          <w:t>25</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7">
        <w:r>
          <w:rPr>
            <w:rStyle w:val="C2"/>
            <w:noProof w:val="1"/>
          </w:rPr>
          <w:t>6.6 SOCIALA</w:t>
        </w:r>
        <w:r>
          <w:rPr>
            <w:noProof w:val="1"/>
          </w:rPr>
          <w:tab/>
        </w:r>
        <w:r>
          <w:rPr>
            <w:noProof w:val="1"/>
          </w:rPr>
          <w:fldChar w:fldCharType="begin"/>
        </w:r>
        <w:r>
          <w:rPr>
            <w:noProof w:val="1"/>
          </w:rPr>
          <w:instrText xml:space="preserve"> PAGEREF _Toc126834327 \h </w:instrText>
        </w:r>
        <w:r>
          <w:rPr>
            <w:noProof w:val="1"/>
          </w:rPr>
          <w:fldChar w:fldCharType="separate"/>
        </w:r>
        <w:r>
          <w:rPr>
            <w:noProof w:val="1"/>
          </w:rPr>
          <w:t>28</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8">
        <w:r>
          <w:rPr>
            <w:rStyle w:val="C2"/>
            <w:noProof w:val="1"/>
          </w:rPr>
          <w:t>6.7 RIKSINTRESSE</w:t>
        </w:r>
        <w:r>
          <w:rPr>
            <w:noProof w:val="1"/>
          </w:rPr>
          <w:tab/>
        </w:r>
        <w:r>
          <w:rPr>
            <w:noProof w:val="1"/>
          </w:rPr>
          <w:fldChar w:fldCharType="begin"/>
        </w:r>
        <w:r>
          <w:rPr>
            <w:noProof w:val="1"/>
          </w:rPr>
          <w:instrText xml:space="preserve"> PAGEREF _Toc126834328 \h </w:instrText>
        </w:r>
        <w:r>
          <w:rPr>
            <w:noProof w:val="1"/>
          </w:rPr>
          <w:fldChar w:fldCharType="separate"/>
        </w:r>
        <w:r>
          <w:rPr>
            <w:noProof w:val="1"/>
          </w:rPr>
          <w:t>29</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29">
        <w:r>
          <w:rPr>
            <w:rStyle w:val="C2"/>
            <w:noProof w:val="1"/>
          </w:rPr>
          <w:t>6.8 HUSHÅLLNINGSBESTÄMMELSER ENLIGT 3 KAP. MILJÖBALKEN</w:t>
        </w:r>
        <w:r>
          <w:rPr>
            <w:noProof w:val="1"/>
          </w:rPr>
          <w:tab/>
        </w:r>
        <w:r>
          <w:rPr>
            <w:noProof w:val="1"/>
          </w:rPr>
          <w:fldChar w:fldCharType="begin"/>
        </w:r>
        <w:r>
          <w:rPr>
            <w:noProof w:val="1"/>
          </w:rPr>
          <w:instrText xml:space="preserve"> PAGEREF _Toc126834329 \h </w:instrText>
        </w:r>
        <w:r>
          <w:rPr>
            <w:noProof w:val="1"/>
          </w:rPr>
          <w:fldChar w:fldCharType="separate"/>
        </w:r>
        <w:r>
          <w:rPr>
            <w:noProof w:val="1"/>
          </w:rPr>
          <w:t>30</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0">
        <w:r>
          <w:rPr>
            <w:rStyle w:val="C2"/>
            <w:noProof w:val="1"/>
          </w:rPr>
          <w:t>6.9 TRAFIK</w:t>
        </w:r>
        <w:r>
          <w:rPr>
            <w:noProof w:val="1"/>
          </w:rPr>
          <w:tab/>
        </w:r>
        <w:r>
          <w:rPr>
            <w:noProof w:val="1"/>
          </w:rPr>
          <w:fldChar w:fldCharType="begin"/>
        </w:r>
        <w:r>
          <w:rPr>
            <w:noProof w:val="1"/>
          </w:rPr>
          <w:instrText xml:space="preserve"> PAGEREF _Toc126834330 \h </w:instrText>
        </w:r>
        <w:r>
          <w:rPr>
            <w:noProof w:val="1"/>
          </w:rPr>
          <w:fldChar w:fldCharType="separate"/>
        </w:r>
        <w:r>
          <w:rPr>
            <w:noProof w:val="1"/>
          </w:rPr>
          <w:t>30</w:t>
        </w:r>
        <w:r>
          <w:rPr>
            <w:noProof w:val="1"/>
          </w:rPr>
          <w:fldChar w:fldCharType="end"/>
        </w:r>
      </w:hyperlink>
    </w:p>
    <w:p>
      <w:pPr>
        <w:pStyle w:val="P17"/>
        <w:tabs>
          <w:tab w:val="left" w:pos="440" w:leader="none"/>
          <w:tab w:val="right" w:pos="9062" w:leader="dot"/>
        </w:tabs>
        <w:rPr>
          <w:rFonts w:cstheme="minorBidi" w:eastAsiaTheme="minorEastAsia"/>
          <w:b w:val="0"/>
          <w:bCs w:val="0"/>
          <w:caps w:val="0"/>
          <w:noProof w:val="1"/>
          <w:sz w:val="22"/>
          <w:szCs w:val="22"/>
          <w:lang w:eastAsia="sv-SE"/>
        </w:rPr>
      </w:pPr>
      <w:hyperlink w:anchor="_Toc126834331">
        <w:r>
          <w:rPr>
            <w:rStyle w:val="C2"/>
            <w:noProof w:val="1"/>
          </w:rPr>
          <w:t>7</w:t>
        </w:r>
        <w:r>
          <w:rPr>
            <w:rFonts w:cstheme="minorBidi" w:eastAsiaTheme="minorEastAsia"/>
            <w:b w:val="0"/>
            <w:bCs w:val="0"/>
            <w:caps w:val="0"/>
            <w:noProof w:val="1"/>
            <w:sz w:val="22"/>
            <w:szCs w:val="22"/>
            <w:lang w:eastAsia="sv-SE"/>
          </w:rPr>
          <w:tab/>
        </w:r>
        <w:r>
          <w:rPr>
            <w:rStyle w:val="C2"/>
            <w:noProof w:val="1"/>
          </w:rPr>
          <w:t>Genomförandefrågor</w:t>
        </w:r>
        <w:r>
          <w:rPr>
            <w:noProof w:val="1"/>
          </w:rPr>
          <w:tab/>
        </w:r>
        <w:r>
          <w:rPr>
            <w:noProof w:val="1"/>
          </w:rPr>
          <w:fldChar w:fldCharType="begin"/>
        </w:r>
        <w:r>
          <w:rPr>
            <w:noProof w:val="1"/>
          </w:rPr>
          <w:instrText xml:space="preserve"> PAGEREF _Toc126834331 \h </w:instrText>
        </w:r>
        <w:r>
          <w:rPr>
            <w:noProof w:val="1"/>
          </w:rPr>
          <w:fldChar w:fldCharType="separate"/>
        </w:r>
        <w:r>
          <w:rPr>
            <w:noProof w:val="1"/>
          </w:rPr>
          <w:t>31</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2">
        <w:r>
          <w:rPr>
            <w:rStyle w:val="C2"/>
            <w:noProof w:val="1"/>
          </w:rPr>
          <w:t>7.1 Mark- och utrymmesförvärv</w:t>
        </w:r>
        <w:r>
          <w:rPr>
            <w:noProof w:val="1"/>
          </w:rPr>
          <w:tab/>
        </w:r>
        <w:r>
          <w:rPr>
            <w:noProof w:val="1"/>
          </w:rPr>
          <w:fldChar w:fldCharType="begin"/>
        </w:r>
        <w:r>
          <w:rPr>
            <w:noProof w:val="1"/>
          </w:rPr>
          <w:instrText xml:space="preserve"> PAGEREF _Toc126834332 \h </w:instrText>
        </w:r>
        <w:r>
          <w:rPr>
            <w:noProof w:val="1"/>
          </w:rPr>
          <w:fldChar w:fldCharType="separate"/>
        </w:r>
        <w:r>
          <w:rPr>
            <w:noProof w:val="1"/>
          </w:rPr>
          <w:t>31</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3">
        <w:r>
          <w:rPr>
            <w:rStyle w:val="C2"/>
            <w:noProof w:val="1"/>
          </w:rPr>
          <w:t>7.2 Fastighetsrättsliga frågor</w:t>
        </w:r>
        <w:r>
          <w:rPr>
            <w:noProof w:val="1"/>
          </w:rPr>
          <w:tab/>
        </w:r>
        <w:r>
          <w:rPr>
            <w:noProof w:val="1"/>
          </w:rPr>
          <w:fldChar w:fldCharType="begin"/>
        </w:r>
        <w:r>
          <w:rPr>
            <w:noProof w:val="1"/>
          </w:rPr>
          <w:instrText xml:space="preserve"> PAGEREF _Toc126834333 \h </w:instrText>
        </w:r>
        <w:r>
          <w:rPr>
            <w:noProof w:val="1"/>
          </w:rPr>
          <w:fldChar w:fldCharType="separate"/>
        </w:r>
        <w:r>
          <w:rPr>
            <w:noProof w:val="1"/>
          </w:rPr>
          <w:t>32</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4">
        <w:r>
          <w:rPr>
            <w:rStyle w:val="C2"/>
            <w:noProof w:val="1"/>
          </w:rPr>
          <w:t>7.3 Tekniska frågor</w:t>
        </w:r>
        <w:r>
          <w:rPr>
            <w:noProof w:val="1"/>
          </w:rPr>
          <w:tab/>
        </w:r>
        <w:r>
          <w:rPr>
            <w:noProof w:val="1"/>
          </w:rPr>
          <w:fldChar w:fldCharType="begin"/>
        </w:r>
        <w:r>
          <w:rPr>
            <w:noProof w:val="1"/>
          </w:rPr>
          <w:instrText xml:space="preserve"> PAGEREF _Toc126834334 \h </w:instrText>
        </w:r>
        <w:r>
          <w:rPr>
            <w:noProof w:val="1"/>
          </w:rPr>
          <w:fldChar w:fldCharType="separate"/>
        </w:r>
        <w:r>
          <w:rPr>
            <w:noProof w:val="1"/>
          </w:rPr>
          <w:t>33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5">
        <w:r>
          <w:rPr>
            <w:rStyle w:val="C2"/>
            <w:noProof w:val="1"/>
            <w:lang w:val="en-US"/>
          </w:rPr>
          <w:t>7.4 Ekonomiska frågor</w:t>
        </w:r>
        <w:r>
          <w:rPr>
            <w:noProof w:val="1"/>
          </w:rPr>
          <w:tab/>
        </w:r>
        <w:r>
          <w:rPr>
            <w:noProof w:val="1"/>
          </w:rPr>
          <w:fldChar w:fldCharType="begin"/>
        </w:r>
        <w:r>
          <w:rPr>
            <w:noProof w:val="1"/>
          </w:rPr>
          <w:instrText xml:space="preserve"> PAGEREF _Toc126834335 \h </w:instrText>
        </w:r>
        <w:r>
          <w:rPr>
            <w:noProof w:val="1"/>
          </w:rPr>
          <w:fldChar w:fldCharType="separate"/>
        </w:r>
        <w:r>
          <w:rPr>
            <w:noProof w:val="1"/>
          </w:rPr>
          <w:t>33</w:t>
        </w:r>
        <w:r>
          <w:rPr>
            <w:noProof w:val="1"/>
          </w:rPr>
          <w:fldChar w:fldCharType="end"/>
        </w:r>
      </w:hyperlink>
    </w:p>
    <w:p>
      <w:pPr>
        <w:pStyle w:val="P18"/>
        <w:tabs>
          <w:tab w:val="right" w:pos="9062" w:leader="dot"/>
        </w:tabs>
        <w:rPr>
          <w:rFonts w:cstheme="minorBidi" w:eastAsiaTheme="minorEastAsia"/>
          <w:smallCaps w:val="0"/>
          <w:noProof w:val="1"/>
          <w:sz w:val="22"/>
          <w:szCs w:val="22"/>
          <w:lang w:eastAsia="sv-SE"/>
        </w:rPr>
      </w:pPr>
      <w:hyperlink w:anchor="_Toc126834336">
        <w:r>
          <w:rPr>
            <w:rStyle w:val="C2"/>
            <w:noProof w:val="1"/>
          </w:rPr>
          <w:t>7.5 Organisatoriska frågor</w:t>
        </w:r>
        <w:r>
          <w:rPr>
            <w:noProof w:val="1"/>
          </w:rPr>
          <w:tab/>
        </w:r>
        <w:r>
          <w:rPr>
            <w:noProof w:val="1"/>
          </w:rPr>
          <w:fldChar w:fldCharType="begin"/>
        </w:r>
        <w:r>
          <w:rPr>
            <w:noProof w:val="1"/>
          </w:rPr>
          <w:instrText xml:space="preserve"> PAGEREF _Toc126834336 \h </w:instrText>
        </w:r>
        <w:r>
          <w:rPr>
            <w:noProof w:val="1"/>
          </w:rPr>
          <w:fldChar w:fldCharType="separate"/>
        </w:r>
        <w:r>
          <w:rPr>
            <w:noProof w:val="1"/>
          </w:rPr>
          <w:t>34</w:t>
        </w:r>
        <w:r>
          <w:rPr>
            <w:noProof w:val="1"/>
          </w:rPr>
          <w:fldChar w:fldCharType="end"/>
        </w:r>
      </w:hyperlink>
    </w:p>
    <w:p>
      <w:pPr>
        <w:rPr>
          <w:rFonts w:ascii="Times New Roman" w:hAnsi="Times New Roman" w:cs="Times New Roman"/>
          <w:sz w:val="28"/>
          <w:szCs w:val="28"/>
        </w:rPr>
      </w:pPr>
      <w:r>
        <w:rPr>
          <w:rFonts w:ascii="Times New Roman" w:hAnsi="Times New Roman" w:cs="Times New Roman"/>
          <w:b w:val="1"/>
          <w:bCs w:val="1"/>
          <w:caps w:val="1"/>
          <w:sz w:val="28"/>
          <w:szCs w:val="28"/>
        </w:rPr>
        <w:fldChar w:fldCharType="end"/>
      </w:r>
    </w:p>
    <w:p>
      <w:pPr>
        <w:pStyle w:val="P10"/>
        <w:rPr>
          <w:color w:val="C00000"/>
          <w:sz w:val="28"/>
          <w:szCs w:val="28"/>
          <w:u w:val="none"/>
        </w:rPr>
      </w:pPr>
      <w:bookmarkStart w:id="5" w:name="_Toc89445972"/>
      <w:bookmarkStart w:id="6" w:name="_Toc120016333"/>
      <w:bookmarkStart w:id="7" w:name="_Toc126834292"/>
      <w:bookmarkStart w:id="8" w:name="_Toc107476970"/>
      <w:bookmarkStart w:id="9" w:name="_Toc90561124"/>
      <w:r>
        <w:rPr>
          <w:color w:val="C00000"/>
          <w:sz w:val="28"/>
          <w:szCs w:val="28"/>
          <w:u w:val="none"/>
        </w:rPr>
        <w:t>DETALJPLANENS SYFTE</w:t>
      </w:r>
      <w:bookmarkEnd w:id="5"/>
      <w:bookmarkEnd w:id="6"/>
      <w:bookmarkEnd w:id="7"/>
      <w:bookmarkEnd w:id="8"/>
      <w:bookmarkEnd w:id="9"/>
    </w:p>
    <w:p>
      <w:pPr>
        <w:tabs>
          <w:tab w:val="left" w:pos="5761" w:leader="none"/>
          <w:tab w:val="left" w:pos="7815" w:leader="none"/>
        </w:tabs>
        <w:spacing w:lineRule="auto" w:line="240" w:after="0" w:beforeAutospacing="0" w:afterAutospacing="0"/>
        <w:ind w:left="432"/>
        <w:rPr>
          <w:rFonts w:ascii="Times New Roman" w:hAnsi="Times New Roman" w:cs="Times New Roman"/>
        </w:rPr>
      </w:pPr>
      <w:bookmarkStart w:id="10" w:name="sy_syfte01"/>
      <w:r>
        <w:rPr>
          <w:rFonts w:ascii="Times New Roman" w:hAnsi="Times New Roman" w:cs="Times New Roman"/>
        </w:rPr>
        <w:t xml:space="preserve">Miljö- och byggnadsnämnden har fått i uppdrag att ta fram en ny detaljplan för Norra Brustorpet. Syftet med planen är att skapa möjligheter för etablering av ca 16 nya en – och två bostadshus i centrala Söderbärke samt för att förskoleverksamheten ska kunna få permanenta bygglov. </w:t>
      </w:r>
    </w:p>
    <w:p>
      <w:pPr>
        <w:pStyle w:val="P10"/>
        <w:rPr>
          <w:color w:val="C00000"/>
          <w:sz w:val="28"/>
          <w:szCs w:val="28"/>
          <w:u w:val="none"/>
        </w:rPr>
      </w:pPr>
      <w:bookmarkEnd w:id="10"/>
      <w:bookmarkStart w:id="11" w:name="_Toc89445974"/>
      <w:bookmarkStart w:id="12" w:name="_Toc126834293"/>
      <w:bookmarkStart w:id="13" w:name="_Toc107476971"/>
      <w:bookmarkStart w:id="14" w:name="_Toc120016334"/>
      <w:bookmarkStart w:id="15" w:name="_Toc90561126"/>
      <w:r>
        <w:rPr>
          <w:color w:val="C00000"/>
          <w:sz w:val="28"/>
          <w:szCs w:val="28"/>
          <w:u w:val="none"/>
        </w:rPr>
        <w:t>BESKRIVNING AV DETALJPLANEN</w:t>
      </w:r>
      <w:bookmarkEnd w:id="11"/>
      <w:bookmarkEnd w:id="12"/>
      <w:bookmarkEnd w:id="13"/>
      <w:bookmarkEnd w:id="14"/>
      <w:bookmarkEnd w:id="15"/>
    </w:p>
    <w:p>
      <w:pPr>
        <w:pStyle w:val="P11"/>
        <w:rPr>
          <w:color w:val="C00000"/>
          <w:sz w:val="22"/>
          <w:szCs w:val="22"/>
        </w:rPr>
      </w:pPr>
      <w:bookmarkStart w:id="16" w:name="_Toc89445975"/>
      <w:bookmarkStart w:id="17" w:name="_Toc120016335"/>
      <w:bookmarkStart w:id="18" w:name="_Toc126834294"/>
      <w:bookmarkStart w:id="19" w:name="_Toc107476972"/>
      <w:bookmarkStart w:id="20" w:name="_Toc90561127"/>
      <w:r>
        <w:rPr>
          <w:caps w:val="0"/>
          <w:color w:val="C00000"/>
          <w:sz w:val="22"/>
          <w:szCs w:val="22"/>
        </w:rPr>
        <w:t>HELA DETALJPLANEN</w:t>
      </w:r>
      <w:bookmarkEnd w:id="16"/>
      <w:bookmarkEnd w:id="17"/>
      <w:bookmarkEnd w:id="18"/>
      <w:bookmarkEnd w:id="19"/>
      <w:bookmarkEnd w:id="20"/>
      <w:bookmarkStart w:id="21" w:name="_Toc89445976"/>
    </w:p>
    <w:p>
      <w:pPr>
        <w:jc w:val="both"/>
        <w:rPr>
          <w:rFonts w:ascii="Times New Roman" w:hAnsi="Times New Roman" w:cs="Times New Roman"/>
        </w:rPr>
      </w:pPr>
      <w:bookmarkStart w:id="22" w:name="be_heladetaljplan01"/>
      <w:r>
        <w:rPr>
          <w:rFonts w:ascii="Times New Roman" w:hAnsi="Times New Roman" w:cs="Times New Roman"/>
        </w:rPr>
        <w:t xml:space="preserve">Planområdet omfattar fastigheten del av Söderbärke Kyrkby 8:76, del av Söderbärke Kyrkby 8:57 och fastigheten Brustorpet 2:3 som ligger i centrala Söderbärke, ungefär 15 km från Smedjebackens tätort. För området finns två gällande detaljplaner som har vunnit laga kraft 1991-01-21 och 1998-09-24, sedan planen vunnit laga kraft har området utvecklats enormt. Den gällande detaljplanens syfte var att möjliggöra utbyggnaden av bostäder i Söderbärke, uppdraget är nu att ta fram en detaljplan som ska överensstämma med dagens verksamhet. </w:t>
      </w:r>
    </w:p>
    <w:p>
      <w:pPr>
        <w:jc w:val="both"/>
        <w:rPr>
          <w:rFonts w:ascii="Times New Roman" w:hAnsi="Times New Roman" w:cs="Times New Roman"/>
        </w:rPr>
      </w:pPr>
      <w:r>
        <w:rPr>
          <w:rFonts w:ascii="Times New Roman" w:hAnsi="Times New Roman" w:cs="Times New Roman"/>
        </w:rPr>
        <w:t>En viktig utgångspunkt för arbetet med planen är att ta hänsyn till så väl förtätningen av Söderbärke samt förskoleverksamhet inom planområdet. Detaljplanens ambition är att förbättra den rumsliga kopplingen till centrum, bevara förskoleverksamhet samt minska bilberoendet. Detaljplanen möjliggör ett effektivt markutnyttjande i centrala Söderbärke med närhet till offentlig och kommersiell service. Totalt möjliggör planförslaget för ca 16 nya bostäder i form av en – och tvåbostadshus samt fortsatt verksamhet för förskolan.</w:t>
      </w:r>
      <w:bookmarkStart w:id="23" w:name="_Toc90561128"/>
      <w:r>
        <w:rPr>
          <w:rFonts w:ascii="Times New Roman" w:hAnsi="Times New Roman" w:cs="Times New Roman"/>
        </w:rPr>
        <w:t xml:space="preserve"> Planområdet används idag som grönområde för förskolan och fritids, för att säkerställa att ny bebyggelse placeras på ett sätt som inte medför olägenhet för omgivningen förses planen med bestämmelser som begränsar bebyggelsens omfattning. Därtill skyddas en del av naturmarken och en säker gångväg från förskolan till naturmarken tillkommer. Detaljplanen är förenligt med översiktsplanen. </w:t>
      </w:r>
      <w:bookmarkEnd w:id="22"/>
    </w:p>
    <w:p>
      <w:pPr>
        <w:jc w:val="both"/>
        <w:rPr>
          <w:rFonts w:ascii="Times New Roman" w:hAnsi="Times New Roman" w:cs="Times New Roman"/>
        </w:rPr>
      </w:pPr>
      <w:bookmarkStart w:id="24" w:name="be_heladetaljplan02"/>
      <w:r>
        <w:rPr>
          <w:rFonts w:ascii="Times New Roman" w:hAnsi="Times New Roman" w:cs="Times New Roman"/>
          <w:noProof w:val="1"/>
          <w:sz w:val="40"/>
          <w:szCs w:val="40"/>
        </w:rPr>
        <w:drawing>
          <wp:anchor xmlns:wp="http://schemas.openxmlformats.org/drawingml/2006/wordprocessingDrawing" distT="0" distB="0" distL="114300" distR="114300" simplePos="0" relativeHeight="5" behindDoc="0" locked="0" layoutInCell="1" allowOverlap="1">
            <wp:simplePos x="0" y="0"/>
            <wp:positionH relativeFrom="margin">
              <wp:align>left</wp:align>
            </wp:positionH>
            <wp:positionV relativeFrom="paragraph">
              <wp:posOffset>24765</wp:posOffset>
            </wp:positionV>
            <wp:extent cx="4841875" cy="3161665"/>
            <wp:effectExtent l="0" t="0" r="0" b="635"/>
            <wp:wrapThrough wrapText="bothSides">
              <wp:wrapPolygon edited="0">
                <wp:start x="0" y="0"/>
                <wp:lineTo x="0" y="21474"/>
                <wp:lineTo x="21501" y="21474"/>
                <wp:lineTo x="21501" y="0"/>
                <wp:lineTo x="0" y="0"/>
              </wp:wrapPolygon>
            </wp:wrapThrough>
            <wp:docPr id="6" name="Bildobjekt 6"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karta&#10;&#10;Automatiskt genererad beskrivning"/>
                    <pic:cNvPicPr/>
                  </pic:nvPicPr>
                  <pic:blipFill dpi="0">
                    <a:blip xmlns:r="http://schemas.openxmlformats.org/officeDocument/2006/relationships" r:embed="Relimage3" cstate="print"/>
                    <a:srcRect/>
                    <a:stretch>
                      <a:fillRect/>
                    </a:stretch>
                  </pic:blipFill>
                  <pic:spPr>
                    <a:xfrm>
                      <a:off x="0" y="0"/>
                      <a:ext cx="4841875" cy="3161665"/>
                    </a:xfrm>
                    <a:prstGeom prst="rect"/>
                  </pic:spPr>
                </pic:pic>
              </a:graphicData>
            </a:graphic>
          </wp:anchor>
        </w:drawing>
      </w:r>
      <w:bookmarkEnd w:id="24"/>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bookmarkStart w:id="25" w:name="be_heladetaljplan03"/>
      <w:r>
        <w:rPr>
          <w:rFonts w:ascii="Times New Roman" w:hAnsi="Times New Roman" w:cs="Times New Roman"/>
          <w:noProof w:val="1"/>
        </w:rPr>
        <mc:AlternateContent>
          <mc:Choice Requires="wps">
            <w:drawing>
              <wp:anchor xmlns:wp="http://schemas.openxmlformats.org/drawingml/2006/wordprocessingDrawing" distT="0" distB="0" distL="114300" distR="114300" simplePos="0" relativeHeight="6" behindDoc="0" locked="0" layoutInCell="1" allowOverlap="1">
                <wp:simplePos x="0" y="0"/>
                <wp:positionH relativeFrom="margin">
                  <wp:align>left</wp:align>
                </wp:positionH>
                <wp:positionV relativeFrom="paragraph">
                  <wp:posOffset>156210</wp:posOffset>
                </wp:positionV>
                <wp:extent cx="2487930" cy="874395"/>
                <wp:effectExtent l="0" t="0" r="7620" b="1905"/>
                <wp:wrapNone/>
                <wp:docPr id="10" name="Textruta 10"/>
                <wp:cNvGraphicFramePr/>
                <a:graphic xmlns:a="http://schemas.openxmlformats.org/drawingml/2006/main">
                  <a:graphicData uri="http://schemas.microsoft.com/office/word/2010/wordprocessingShape">
                    <wps:wsp>
                      <wps:cNvSpPr txBox="1"/>
                      <wps:spPr>
                        <a:xfrm>
                          <a:off x="0" y="0"/>
                          <a:ext cx="2487930" cy="874395"/>
                        </a:xfrm>
                        <a:prstGeom prst="rect"/>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pPr>
                              <w:rPr>
                                <w:rFonts w:ascii="Times New Roman" w:hAnsi="Times New Roman" w:cs="Times New Roman"/>
                                <w:i w:val="1"/>
                                <w:iCs w:val="1"/>
                              </w:rPr>
                            </w:pPr>
                            <w:r>
                              <w:rPr>
                                <w:rFonts w:ascii="Times New Roman" w:hAnsi="Times New Roman" w:cs="Times New Roman"/>
                                <w:i w:val="1"/>
                                <w:iCs w:val="1"/>
                              </w:rPr>
                              <w:t>Planområdet ligger i centrala Söderbärke, ca 15 km från Smedjebackens tätort</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xmlns:o="urn:schemas-microsoft-com:office:office" id="_x0000_t202" coordsize="21600,21600" o:spt="202" path="m,l,21600r21600,l21600,xe">
                <v:stroke joinstyle="miter"/>
                <v:path gradientshapeok="t" o:connecttype="rect"/>
              </v:shapetype>
              <v:shape xmlns:o="urn:schemas-microsoft-com:office:office" type="#_x0000_t202" id="Textruta 10" o:spid="_x0000_s1026" style="position:absolute;width:195.9pt;height:68.85pt;z-index:6;mso-wrap-distance-left:9pt;mso-wrap-distance-top:0pt;mso-wrap-distance-right:9pt;mso-wrap-distance-bottom:0pt;margin-left:0pt;margin-top:12.3pt;mso-position-horizontal:left;mso-position-horizontal-relative:margin;mso-position-vertical:absolute;mso-position-vertical-relative:text" o:allowincell="t" fillcolor="#FFFFFF" strokeweight="0.5pt" stroked="f">
                <v:textbox inset="3mm,1mm,3mm,1mm">
                  <w:txbxContent>
                    <w:p>
                      <w:pPr>
                        <w:rPr>
                          <w:rFonts w:ascii="Times New Roman" w:hAnsi="Times New Roman" w:cs="Times New Roman"/>
                          <w:i w:val="1"/>
                          <w:iCs w:val="1"/>
                        </w:rPr>
                      </w:pPr>
                      <w:r>
                        <w:rPr>
                          <w:rFonts w:ascii="Times New Roman" w:hAnsi="Times New Roman" w:cs="Times New Roman"/>
                          <w:i w:val="1"/>
                          <w:iCs w:val="1"/>
                        </w:rPr>
                        <w:t>Planområdet ligger i centrala Söderbärke, ca 15 km från Smedjebackens tätort</w:t>
                      </w:r>
                    </w:p>
                  </w:txbxContent>
                </v:textbox>
              </v:shape>
            </w:pict>
          </mc:Fallback>
        </mc:AlternateContent>
      </w:r>
      <w:bookmarkEnd w:id="25"/>
    </w:p>
    <w:p>
      <w:pPr>
        <w:pStyle w:val="P11"/>
        <w:rPr>
          <w:color w:val="C00000"/>
          <w:sz w:val="22"/>
          <w:szCs w:val="22"/>
        </w:rPr>
      </w:pPr>
      <w:bookmarkStart w:id="26" w:name="_Toc107476973"/>
      <w:bookmarkStart w:id="27" w:name="_Toc126834295"/>
      <w:bookmarkStart w:id="28" w:name="_Toc120016336"/>
      <w:r>
        <w:rPr>
          <w:color w:val="C00000"/>
          <w:sz w:val="22"/>
          <w:szCs w:val="22"/>
        </w:rPr>
        <w:t>GENOMFÖRANDETID</w:t>
      </w:r>
      <w:bookmarkEnd w:id="21"/>
      <w:bookmarkEnd w:id="23"/>
      <w:bookmarkEnd w:id="26"/>
      <w:bookmarkEnd w:id="27"/>
      <w:bookmarkEnd w:id="28"/>
    </w:p>
    <w:p>
      <w:pPr>
        <w:jc w:val="both"/>
        <w:rPr>
          <w:rFonts w:ascii="Times New Roman" w:hAnsi="Times New Roman" w:cs="Times New Roman"/>
        </w:rPr>
      </w:pPr>
      <w:bookmarkStart w:id="29" w:name="be_genomförandetid01"/>
      <w:r>
        <w:rPr>
          <w:rFonts w:ascii="Times New Roman" w:hAnsi="Times New Roman" w:cs="Times New Roman"/>
        </w:rPr>
        <w:t xml:space="preserve">Detaljplanens genomförandetid är 180 månader från den dag planen vunnit laga kraft, dvs i 15 år. Under genomförandetiden kan planen normalt inte ändras eller upphävas om inte särskilda skäl finns till det. Om kommunen inte ändrar eller upphäver planen efter genomförandetidens utgång fortsätter den att gälla, däremot kan planen efter genomförandetiden ändras eller upphävas utan att uppkomna rättigheter i planen behöver beaktas. </w:t>
      </w:r>
    </w:p>
    <w:p>
      <w:pPr>
        <w:pStyle w:val="P11"/>
        <w:jc w:val="both"/>
        <w:rPr>
          <w:color w:val="C00000"/>
          <w:sz w:val="22"/>
          <w:szCs w:val="22"/>
        </w:rPr>
      </w:pPr>
      <w:bookmarkEnd w:id="29"/>
      <w:bookmarkStart w:id="30" w:name="_Toc89445977"/>
      <w:bookmarkStart w:id="31" w:name="_Toc107476974"/>
      <w:bookmarkStart w:id="32" w:name="_Toc126834296"/>
      <w:bookmarkStart w:id="33" w:name="_Toc90561129"/>
      <w:bookmarkStart w:id="34" w:name="_Toc120016337"/>
      <w:r>
        <w:rPr>
          <w:caps w:val="0"/>
          <w:color w:val="C00000"/>
          <w:sz w:val="22"/>
          <w:szCs w:val="22"/>
        </w:rPr>
        <w:t>ALLMÄN PLATS</w:t>
      </w:r>
      <w:bookmarkEnd w:id="30"/>
      <w:bookmarkEnd w:id="31"/>
      <w:bookmarkEnd w:id="32"/>
      <w:bookmarkEnd w:id="33"/>
      <w:bookmarkEnd w:id="34"/>
    </w:p>
    <w:p>
      <w:pPr>
        <w:jc w:val="both"/>
        <w:rPr>
          <w:rFonts w:ascii="Times New Roman" w:hAnsi="Times New Roman" w:cs="Times New Roman"/>
        </w:rPr>
      </w:pPr>
      <w:bookmarkStart w:id="35" w:name="be_allmänplats01"/>
      <w:r>
        <w:rPr>
          <w:rFonts w:ascii="Times New Roman" w:hAnsi="Times New Roman" w:cs="Times New Roman"/>
        </w:rPr>
        <w:t xml:space="preserve">Allmänna platser inom planområdet är huvudgatan, lokalgatorna, gång- och cykelvägen, naturmarken samt parkmarken. En ny lokalgata ska anordnas för att nya bostäder ska anslutas till befintliga vägar via Brusgatan och Kopparvägen. </w:t>
      </w:r>
    </w:p>
    <w:p>
      <w:pPr>
        <w:pStyle w:val="P12"/>
        <w:jc w:val="both"/>
        <w:rPr>
          <w:color w:val="C00000"/>
          <w:sz w:val="22"/>
        </w:rPr>
      </w:pPr>
      <w:bookmarkEnd w:id="35"/>
      <w:bookmarkStart w:id="36" w:name="_Toc89445978"/>
      <w:bookmarkStart w:id="37" w:name="_Toc90561130"/>
      <w:r>
        <w:rPr>
          <w:caps w:val="0"/>
          <w:color w:val="C00000"/>
          <w:sz w:val="22"/>
        </w:rPr>
        <w:t>HUVUDMANNASKAP</w:t>
      </w:r>
      <w:bookmarkEnd w:id="36"/>
      <w:bookmarkEnd w:id="37"/>
    </w:p>
    <w:p>
      <w:pPr>
        <w:ind w:left="340"/>
        <w:jc w:val="both"/>
        <w:rPr>
          <w:rFonts w:ascii="Times New Roman" w:hAnsi="Times New Roman" w:cs="Times New Roman"/>
        </w:rPr>
      </w:pPr>
      <w:bookmarkStart w:id="38" w:name="be_huvudmannaskap01"/>
      <w:r>
        <w:rPr>
          <w:rFonts w:ascii="Times New Roman" w:hAnsi="Times New Roman" w:cs="Times New Roman"/>
        </w:rPr>
        <w:t xml:space="preserve">Smedjebackens kommun ska vara huvudman för den allmänna platsen som är utlagd i detaljplanen, kommunen har därmed ansvar för områdets drift och skötsel. Kommunen är även huvudman för anslutande allmänna vatten-och </w:t>
      </w:r>
      <w:bookmarkStart w:id="39" w:name="_Hlk103084474"/>
      <w:r>
        <w:rPr>
          <w:rFonts w:ascii="Times New Roman" w:hAnsi="Times New Roman" w:cs="Times New Roman"/>
        </w:rPr>
        <w:t xml:space="preserve">avloppsledningar </w:t>
      </w:r>
      <w:bookmarkEnd w:id="39"/>
      <w:r>
        <w:rPr>
          <w:rFonts w:ascii="Times New Roman" w:hAnsi="Times New Roman" w:cs="Times New Roman"/>
        </w:rPr>
        <w:t>i området.</w:t>
      </w:r>
    </w:p>
    <w:p>
      <w:pPr>
        <w:pStyle w:val="P11"/>
        <w:jc w:val="both"/>
        <w:rPr>
          <w:color w:val="C00000"/>
          <w:sz w:val="22"/>
          <w:szCs w:val="22"/>
        </w:rPr>
      </w:pPr>
      <w:bookmarkEnd w:id="38"/>
      <w:bookmarkStart w:id="40" w:name="_Toc89445979"/>
      <w:bookmarkStart w:id="41" w:name="_Toc120016338"/>
      <w:bookmarkStart w:id="42" w:name="_Toc126834297"/>
      <w:bookmarkStart w:id="43" w:name="_Toc107476975"/>
      <w:bookmarkStart w:id="44" w:name="_Toc90561131"/>
      <w:r>
        <w:rPr>
          <w:caps w:val="0"/>
          <w:color w:val="C00000"/>
          <w:sz w:val="22"/>
          <w:szCs w:val="22"/>
        </w:rPr>
        <w:t>KVARTERSMARK</w:t>
      </w:r>
      <w:bookmarkEnd w:id="40"/>
      <w:bookmarkEnd w:id="41"/>
      <w:bookmarkEnd w:id="42"/>
      <w:bookmarkEnd w:id="43"/>
      <w:bookmarkEnd w:id="44"/>
    </w:p>
    <w:p>
      <w:pPr>
        <w:ind w:left="113"/>
        <w:jc w:val="both"/>
        <w:rPr>
          <w:rFonts w:ascii="Times New Roman" w:hAnsi="Times New Roman" w:cs="Times New Roman"/>
        </w:rPr>
      </w:pPr>
      <w:bookmarkStart w:id="45" w:name="be_kvartersmark01"/>
      <w:r>
        <w:rPr>
          <w:rFonts w:ascii="Times New Roman" w:hAnsi="Times New Roman" w:cs="Times New Roman"/>
        </w:rPr>
        <w:t xml:space="preserve">Ny kvartersmark bildas för syftet bostadsändamål som ska byggas i två etapper. Exploatören har fått bygglov på den gällande detaljplanen från 1991-01-21 och har påbörjat bebyggelsen för etapp 1. Etapp 2 skulle kunna påbörjas när denna detaljplan vunnit laga kraft. </w:t>
      </w:r>
    </w:p>
    <w:p>
      <w:pPr>
        <w:pStyle w:val="P11"/>
        <w:jc w:val="both"/>
        <w:rPr>
          <w:color w:val="C00000"/>
          <w:sz w:val="22"/>
          <w:szCs w:val="22"/>
        </w:rPr>
      </w:pPr>
      <w:bookmarkEnd w:id="45"/>
      <w:bookmarkStart w:id="46" w:name="_Toc89445981"/>
      <w:bookmarkStart w:id="47" w:name="_Toc126834298"/>
      <w:bookmarkStart w:id="48" w:name="_Toc120016339"/>
      <w:bookmarkStart w:id="49" w:name="_Toc90561133"/>
      <w:bookmarkStart w:id="50" w:name="_Toc107476976"/>
      <w:r>
        <w:rPr>
          <w:caps w:val="0"/>
          <w:color w:val="C00000"/>
          <w:sz w:val="22"/>
          <w:szCs w:val="22"/>
        </w:rPr>
        <w:t>BEFINTLIGT</w:t>
      </w:r>
      <w:bookmarkEnd w:id="46"/>
      <w:bookmarkEnd w:id="47"/>
      <w:bookmarkEnd w:id="48"/>
      <w:bookmarkEnd w:id="49"/>
      <w:bookmarkEnd w:id="50"/>
    </w:p>
    <w:p>
      <w:pPr>
        <w:ind w:left="113"/>
        <w:jc w:val="both"/>
        <w:rPr>
          <w:rFonts w:ascii="Times New Roman" w:hAnsi="Times New Roman" w:cs="Times New Roman"/>
        </w:rPr>
      </w:pPr>
      <w:bookmarkStart w:id="51" w:name="be_befintligt01"/>
      <w:r>
        <w:rPr>
          <w:rFonts w:ascii="Times New Roman" w:hAnsi="Times New Roman" w:cs="Times New Roman"/>
        </w:rPr>
        <w:t xml:space="preserve">Planområdet är detaljplanelagt för bostadsändamål men används idag främst som grönområde för förskoleverksamhet. Grönområden inom området används av förskoleverksamheten för olika utomhusaktiviteter, att bevara de träd och grönstruktur som finns inom planområdet är viktigt för att det kan bidra till natur- och rekreationsvärden. Området utgörs för närvarande i stora delar av åkermark, markytan lutar från norr och stigande mot söder. Ett större dike finns inom sydöstra delen av planområdet samt ett mindre dike på sydvästra delen av området. </w:t>
      </w:r>
    </w:p>
    <w:p>
      <w:pPr>
        <w:pStyle w:val="P11"/>
        <w:jc w:val="both"/>
        <w:rPr>
          <w:color w:val="C00000"/>
          <w:sz w:val="22"/>
          <w:szCs w:val="22"/>
        </w:rPr>
      </w:pPr>
      <w:bookmarkEnd w:id="51"/>
      <w:bookmarkStart w:id="52" w:name="_Toc89445983"/>
      <w:bookmarkStart w:id="53" w:name="_Toc126834299"/>
      <w:bookmarkStart w:id="54" w:name="_Toc120016340"/>
      <w:bookmarkStart w:id="55" w:name="_Toc90561135"/>
      <w:bookmarkStart w:id="56" w:name="_Toc107476977"/>
      <w:r>
        <w:rPr>
          <w:caps w:val="0"/>
          <w:color w:val="C00000"/>
          <w:sz w:val="22"/>
          <w:szCs w:val="22"/>
        </w:rPr>
        <w:t>ÄRENDEINFORMATION</w:t>
      </w:r>
      <w:bookmarkEnd w:id="52"/>
      <w:bookmarkEnd w:id="53"/>
      <w:bookmarkEnd w:id="54"/>
      <w:bookmarkEnd w:id="55"/>
      <w:bookmarkEnd w:id="56"/>
    </w:p>
    <w:p>
      <w:pPr>
        <w:ind w:left="113"/>
        <w:rPr>
          <w:rFonts w:ascii="Times New Roman" w:hAnsi="Times New Roman" w:cs="Times New Roman"/>
        </w:rPr>
      </w:pPr>
      <w:bookmarkStart w:id="57" w:name="be_ärendeinformation01"/>
      <w:r>
        <w:rPr>
          <w:rFonts w:ascii="Times New Roman" w:hAnsi="Times New Roman" w:cs="Times New Roman"/>
        </w:rPr>
        <w:t xml:space="preserve">Namn: Detaljplan för Norra Brustorpet, del av Söderbärke Kyrkby 8:76 m. fl. </w:t>
      </w:r>
    </w:p>
    <w:p>
      <w:pPr>
        <w:ind w:left="113"/>
        <w:rPr>
          <w:rFonts w:ascii="Times New Roman" w:hAnsi="Times New Roman" w:cs="Times New Roman"/>
        </w:rPr>
      </w:pPr>
      <w:r>
        <w:rPr>
          <w:rFonts w:ascii="Times New Roman" w:hAnsi="Times New Roman" w:cs="Times New Roman"/>
        </w:rPr>
        <w:t xml:space="preserve">Diarienummer: MBN 2022 – 775 </w:t>
      </w:r>
    </w:p>
    <w:p>
      <w:pPr>
        <w:ind w:left="113"/>
        <w:rPr>
          <w:rFonts w:ascii="Times New Roman" w:hAnsi="Times New Roman" w:cs="Times New Roman"/>
        </w:rPr>
      </w:pPr>
      <w:r>
        <w:rPr>
          <w:rFonts w:ascii="Times New Roman" w:hAnsi="Times New Roman" w:cs="Times New Roman"/>
        </w:rPr>
        <w:t>Kommundel: Söderbärke</w:t>
      </w:r>
    </w:p>
    <w:p>
      <w:pPr>
        <w:ind w:left="113"/>
        <w:rPr>
          <w:rFonts w:ascii="Times New Roman" w:hAnsi="Times New Roman" w:cs="Times New Roman"/>
        </w:rPr>
      </w:pPr>
      <w:r>
        <w:rPr>
          <w:rFonts w:ascii="Times New Roman" w:hAnsi="Times New Roman" w:cs="Times New Roman"/>
        </w:rPr>
        <w:t>Kommun: Smedjebackens kommun</w:t>
      </w:r>
    </w:p>
    <w:p>
      <w:pPr>
        <w:ind w:left="113"/>
        <w:rPr>
          <w:rFonts w:ascii="Times New Roman" w:hAnsi="Times New Roman" w:cs="Times New Roman"/>
        </w:rPr>
      </w:pPr>
      <w:r>
        <w:rPr>
          <w:rFonts w:ascii="Times New Roman" w:hAnsi="Times New Roman" w:cs="Times New Roman"/>
        </w:rPr>
        <w:t>Län: Dalarnas län</w:t>
      </w:r>
    </w:p>
    <w:p>
      <w:pPr>
        <w:ind w:left="113"/>
        <w:rPr>
          <w:rFonts w:ascii="Times New Roman" w:hAnsi="Times New Roman" w:cs="Times New Roman"/>
        </w:rPr>
      </w:pPr>
      <w:r>
        <w:rPr>
          <w:rFonts w:ascii="Times New Roman" w:hAnsi="Times New Roman" w:cs="Times New Roman"/>
        </w:rPr>
        <w:t xml:space="preserve">Planförfarande: Standardförfarande </w:t>
      </w:r>
    </w:p>
    <w:p>
      <w:pPr>
        <w:ind w:left="113"/>
        <w:rPr>
          <w:rFonts w:ascii="Times New Roman" w:hAnsi="Times New Roman" w:cs="Times New Roman"/>
        </w:rPr>
      </w:pPr>
      <w:r>
        <w:rPr>
          <w:rFonts w:ascii="Times New Roman" w:hAnsi="Times New Roman" w:cs="Times New Roman"/>
        </w:rPr>
        <w:t>Beslut om planbesked: 2022-03-16, Miljö- och byggnadsnämnden, §29/2022</w:t>
      </w:r>
    </w:p>
    <w:p>
      <w:pPr>
        <w:ind w:left="113"/>
        <w:rPr>
          <w:rFonts w:ascii="Times New Roman" w:hAnsi="Times New Roman" w:cs="Times New Roman"/>
        </w:rPr>
      </w:pPr>
      <w:r>
        <w:rPr>
          <w:rFonts w:ascii="Times New Roman" w:hAnsi="Times New Roman" w:cs="Times New Roman"/>
        </w:rPr>
        <w:t xml:space="preserve">Planstart: 2022-03-16 </w:t>
      </w:r>
    </w:p>
    <w:p>
      <w:pPr>
        <w:ind w:left="113"/>
        <w:rPr>
          <w:rFonts w:ascii="Times New Roman" w:hAnsi="Times New Roman" w:cs="Times New Roman"/>
        </w:rPr>
      </w:pPr>
      <w:r>
        <w:rPr>
          <w:rFonts w:ascii="Times New Roman" w:hAnsi="Times New Roman" w:cs="Times New Roman"/>
        </w:rPr>
        <w:t xml:space="preserve">Beslut om samråd: 2022-09-14 </w:t>
      </w:r>
    </w:p>
    <w:p>
      <w:pPr>
        <w:ind w:left="113"/>
        <w:rPr>
          <w:rFonts w:ascii="Times New Roman" w:hAnsi="Times New Roman" w:cs="Times New Roman"/>
        </w:rPr>
      </w:pPr>
      <w:r>
        <w:rPr>
          <w:rFonts w:ascii="Times New Roman" w:hAnsi="Times New Roman" w:cs="Times New Roman"/>
        </w:rPr>
        <w:t>Beslut om granskning: 2022-12- 21</w:t>
      </w:r>
    </w:p>
    <w:p>
      <w:pPr>
        <w:ind w:left="113"/>
        <w:rPr>
          <w:rFonts w:ascii="Times New Roman" w:hAnsi="Times New Roman" w:cs="Times New Roman"/>
        </w:rPr>
      </w:pPr>
      <w:r>
        <w:rPr>
          <w:rFonts w:ascii="Times New Roman" w:hAnsi="Times New Roman" w:cs="Times New Roman"/>
        </w:rPr>
        <w:t>Beslut om antagande: 2023-xx-xx</w:t>
      </w:r>
    </w:p>
    <w:p>
      <w:pPr>
        <w:ind w:left="113"/>
        <w:rPr>
          <w:rFonts w:ascii="Times New Roman" w:hAnsi="Times New Roman" w:cs="Times New Roman"/>
        </w:rPr>
      </w:pPr>
      <w:r>
        <w:rPr>
          <w:rFonts w:ascii="Times New Roman" w:hAnsi="Times New Roman" w:cs="Times New Roman"/>
        </w:rPr>
        <w:t>Laga kraft: 2023-xx-xx</w:t>
      </w:r>
    </w:p>
    <w:p>
      <w:pPr>
        <w:pStyle w:val="P10"/>
        <w:rPr>
          <w:color w:val="C00000"/>
          <w:sz w:val="28"/>
          <w:szCs w:val="28"/>
          <w:u w:val="none"/>
        </w:rPr>
      </w:pPr>
      <w:bookmarkEnd w:id="57"/>
      <w:bookmarkStart w:id="58" w:name="_Toc89445985"/>
      <w:bookmarkStart w:id="59" w:name="_Toc126834300"/>
      <w:bookmarkStart w:id="60" w:name="_Toc107476978"/>
      <w:bookmarkStart w:id="61" w:name="_Toc120016341"/>
      <w:bookmarkStart w:id="62" w:name="_Toc90561137"/>
      <w:r>
        <w:rPr>
          <w:caps w:val="0"/>
          <w:color w:val="C00000"/>
          <w:sz w:val="28"/>
          <w:szCs w:val="28"/>
          <w:u w:val="none"/>
        </w:rPr>
        <w:t>MOTIV TILL DETALJPLANENS REGLERINGAR</w:t>
      </w:r>
      <w:bookmarkEnd w:id="58"/>
      <w:bookmarkEnd w:id="59"/>
      <w:bookmarkEnd w:id="60"/>
      <w:bookmarkEnd w:id="61"/>
      <w:bookmarkEnd w:id="62"/>
    </w:p>
    <w:p>
      <w:pPr>
        <w:ind w:left="432"/>
        <w:rPr>
          <w:rFonts w:ascii="Times New Roman" w:hAnsi="Times New Roman" w:cs="Times New Roman"/>
        </w:rPr>
      </w:pPr>
      <w:r>
        <w:rPr>
          <w:rFonts w:ascii="Times New Roman" w:hAnsi="Times New Roman" w:cs="Times New Roman"/>
        </w:rPr>
        <w:t xml:space="preserve">Nedan redovisas motiven till de enskilda regleringarna i detaljplanen utifrån detaljplanens syfte samt lämplighetsbedömningen enligt PBL. Detaljplanen upprättas efter Boverkets nya föreskrifter (2020:5) om detaljplan samt nya allmänna råd (2020:6) om redovisning av reglering i detaljplanen. </w:t>
      </w:r>
    </w:p>
    <w:p>
      <w:pPr>
        <w:ind w:left="432"/>
        <w:rPr>
          <w:rFonts w:ascii="Times New Roman" w:hAnsi="Times New Roman" w:cs="Times New Roman"/>
        </w:rPr>
      </w:pPr>
    </w:p>
    <w:p>
      <w:pPr>
        <w:pStyle w:val="P11"/>
        <w:rPr>
          <w:color w:val="C00000"/>
          <w:sz w:val="22"/>
          <w:szCs w:val="22"/>
        </w:rPr>
      </w:pPr>
      <w:bookmarkStart w:id="63" w:name="_Toc89445986"/>
      <w:bookmarkStart w:id="64" w:name="_Toc107476979"/>
      <w:bookmarkStart w:id="65" w:name="_Toc126834301"/>
      <w:bookmarkStart w:id="66" w:name="_Toc90561138"/>
      <w:bookmarkStart w:id="67" w:name="_Toc120016342"/>
      <w:r>
        <w:rPr>
          <w:caps w:val="0"/>
          <w:color w:val="C00000"/>
          <w:sz w:val="22"/>
          <w:szCs w:val="22"/>
        </w:rPr>
        <w:t>MOTIV TILL REGLERINGAR</w:t>
      </w:r>
      <w:bookmarkEnd w:id="63"/>
      <w:bookmarkEnd w:id="64"/>
      <w:bookmarkEnd w:id="65"/>
      <w:bookmarkEnd w:id="66"/>
      <w:bookmarkEnd w:id="67"/>
    </w:p>
    <w:p>
      <w:pPr>
        <w:pStyle w:val="P3"/>
        <w:spacing w:after="120" w:beforeAutospacing="0" w:afterAutospacing="0"/>
        <w:ind w:hanging="11" w:left="317"/>
        <w:rPr>
          <w:color w:val="C00000"/>
          <w:sz w:val="22"/>
          <w:szCs w:val="22"/>
        </w:rPr>
      </w:pPr>
      <w:bookmarkStart w:id="68" w:name="_Toc89445987"/>
      <w:bookmarkStart w:id="69" w:name="_Toc90561139"/>
      <w:r>
        <w:rPr>
          <w:color w:val="C00000"/>
          <w:sz w:val="22"/>
          <w:szCs w:val="22"/>
        </w:rPr>
        <w:t>ANVÄNDNING AV ALLMÄN PLATS</w:t>
      </w:r>
      <w:bookmarkEnd w:id="68"/>
      <w:bookmarkEnd w:id="69"/>
    </w:p>
    <w:p>
      <w:pPr>
        <w:ind w:left="306"/>
        <w:rPr>
          <w:rFonts w:ascii="Times New Roman" w:hAnsi="Times New Roman" w:cs="Times New Roman"/>
        </w:rPr>
      </w:pPr>
      <w:r>
        <w:rPr>
          <w:rFonts w:ascii="Times New Roman" w:hAnsi="Times New Roman" w:cs="Times New Roman"/>
        </w:rPr>
        <w:t xml:space="preserve">Med allmän plats avses områden som i en detaljplan är avsett för ett gemensamt behov och kan till exempel vara en gata, torg eller parkering. </w:t>
      </w:r>
    </w:p>
    <w:p>
      <w:pPr>
        <w:ind w:left="306"/>
        <w:jc w:val="both"/>
        <w:rPr>
          <w:rFonts w:ascii="Times New Roman" w:hAnsi="Times New Roman" w:cs="Times New Roman"/>
        </w:rPr>
      </w:pPr>
      <w:r>
        <w:rPr>
          <w:rFonts w:ascii="Times New Roman" w:hAnsi="Times New Roman" w:cs="Times New Roman"/>
          <w:rtl w:val="0"/>
          <w:lang w:val="sv-SE" w:bidi="sv-SE" w:eastAsia="sv-SE"/>
        </w:rPr>
        <w:t xml:space="preserve">GATA1 - </w:t>
      </w:r>
      <w:bookmarkStart w:id="70" w:name="mo_motivtillreglering01"/>
      <w:r>
        <w:rPr>
          <w:rFonts w:ascii="Times New Roman" w:hAnsi="Times New Roman" w:cs="Times New Roman"/>
        </w:rPr>
        <w:t>Huvudgatan är avsatt för trafik och blir kvar i sitt nuvarande läge.</w:t>
      </w:r>
      <w:bookmarkEnd w:id="70"/>
      <w:r>
        <w:rPr>
          <w:rFonts w:ascii="Times New Roman" w:hAnsi="Times New Roman" w:cs="Times New Roman"/>
        </w:rPr>
        <w:t xml:space="preserve"> </w:t>
      </w:r>
    </w:p>
    <w:p>
      <w:pPr>
        <w:ind w:left="306"/>
        <w:jc w:val="both"/>
        <w:rPr>
          <w:rFonts w:ascii="Times New Roman" w:hAnsi="Times New Roman" w:cs="Times New Roman"/>
        </w:rPr>
      </w:pPr>
      <w:r>
        <w:rPr>
          <w:rFonts w:ascii="Times New Roman" w:hAnsi="Times New Roman" w:cs="Times New Roman"/>
          <w:rtl w:val="0"/>
          <w:lang w:val="sv-SE" w:bidi="sv-SE" w:eastAsia="sv-SE"/>
        </w:rPr>
        <w:t xml:space="preserve">GATA2 - </w:t>
      </w:r>
      <w:bookmarkStart w:id="71" w:name="mo_motivtillreglering02"/>
      <w:r>
        <w:rPr>
          <w:rFonts w:ascii="Times New Roman" w:hAnsi="Times New Roman" w:cs="Times New Roman"/>
        </w:rPr>
        <w:t>En ny planerad lokal gata som är avsedd för fordonstrafik. Gatan är nödvändig för tomternas angöring och tillgänglighet.</w:t>
      </w:r>
      <w:bookmarkEnd w:id="71"/>
    </w:p>
    <w:p>
      <w:pPr>
        <w:ind w:left="306"/>
        <w:jc w:val="both"/>
        <w:rPr>
          <w:rFonts w:ascii="Times New Roman" w:hAnsi="Times New Roman" w:cs="Times New Roman"/>
        </w:rPr>
      </w:pPr>
      <w:r>
        <w:rPr>
          <w:rFonts w:ascii="Times New Roman" w:hAnsi="Times New Roman" w:cs="Times New Roman"/>
          <w:rtl w:val="0"/>
          <w:lang w:val="sv-SE" w:bidi="sv-SE" w:eastAsia="sv-SE"/>
        </w:rPr>
        <w:t xml:space="preserve">GATA3 - </w:t>
      </w:r>
      <w:bookmarkStart w:id="72" w:name="mo_motivtillreglering03"/>
      <w:r>
        <w:rPr>
          <w:rFonts w:ascii="Times New Roman" w:hAnsi="Times New Roman" w:cs="Times New Roman"/>
        </w:rPr>
        <w:t>Lokalgatan till Skarv Einars väg blir kvar i sitt nuvarande läge.</w:t>
      </w:r>
    </w:p>
    <w:p>
      <w:pPr>
        <w:ind w:left="306"/>
        <w:jc w:val="both"/>
        <w:rPr>
          <w:rFonts w:ascii="Times New Roman" w:hAnsi="Times New Roman" w:cs="Times New Roman"/>
        </w:rPr>
      </w:pPr>
      <w:bookmarkEnd w:id="72"/>
      <w:bookmarkStart w:id="73" w:name="mo_motivtillreglering04"/>
      <w:r>
        <w:rPr>
          <w:rFonts w:ascii="Times New Roman" w:hAnsi="Times New Roman" w:cs="Times New Roman"/>
          <w:rtl w:val="0"/>
          <w:lang w:val="sv-SE" w:bidi="sv-SE" w:eastAsia="sv-SE"/>
        </w:rPr>
        <w:t xml:space="preserve">GCVÄG - </w:t>
      </w:r>
      <w:r>
        <w:rPr>
          <w:rFonts w:ascii="Times New Roman" w:hAnsi="Times New Roman" w:cs="Times New Roman"/>
        </w:rPr>
        <w:t xml:space="preserve">Gång- och cykelvägen blir kvar i sitt nuvarande läge. </w:t>
      </w:r>
      <w:bookmarkEnd w:id="73"/>
    </w:p>
    <w:p>
      <w:pPr>
        <w:ind w:left="306"/>
        <w:jc w:val="both"/>
        <w:rPr>
          <w:rFonts w:ascii="Times New Roman" w:hAnsi="Times New Roman" w:cs="Times New Roman"/>
        </w:rPr>
      </w:pPr>
      <w:r>
        <w:rPr>
          <w:rFonts w:ascii="Times New Roman" w:hAnsi="Times New Roman" w:cs="Times New Roman"/>
          <w:rtl w:val="0"/>
          <w:lang w:val="sv-SE" w:bidi="sv-SE" w:eastAsia="sv-SE"/>
        </w:rPr>
        <w:t xml:space="preserve">NATUR - </w:t>
      </w:r>
      <w:bookmarkStart w:id="74" w:name="mo_motivtillreglering22"/>
      <w:r>
        <w:rPr>
          <w:rFonts w:ascii="Times New Roman" w:hAnsi="Times New Roman" w:cs="Times New Roman"/>
        </w:rPr>
        <w:t xml:space="preserve">Naturområdet omfattas av befintlig skogsdunge. Naturområdet utgör även ett visuellt skydd. Uppvuxna träd har en klimatreglerande förmåga genom att bidra till att sänka temperaturen i bostäder, både genom avdunstning och som skugga, växtlighet kan även hindra solinstrålning inomhus. Användningen natur används för att bevara grönområdet. </w:t>
      </w:r>
      <w:bookmarkEnd w:id="74"/>
    </w:p>
    <w:p>
      <w:pPr>
        <w:ind w:left="306"/>
        <w:jc w:val="both"/>
        <w:rPr>
          <w:rFonts w:ascii="Times New Roman" w:hAnsi="Times New Roman" w:cs="Times New Roman"/>
        </w:rPr>
      </w:pPr>
      <w:r>
        <w:rPr>
          <w:rFonts w:ascii="Times New Roman" w:hAnsi="Times New Roman" w:cs="Times New Roman"/>
          <w:rtl w:val="0"/>
          <w:lang w:val="sv-SE" w:bidi="sv-SE" w:eastAsia="sv-SE"/>
        </w:rPr>
        <w:t xml:space="preserve">PARK - </w:t>
      </w:r>
      <w:bookmarkStart w:id="75" w:name="mo_motivtillreglering23"/>
      <w:r>
        <w:rPr>
          <w:rFonts w:ascii="Times New Roman" w:hAnsi="Times New Roman" w:cs="Times New Roman"/>
        </w:rPr>
        <w:t xml:space="preserve">Parkområdet inrymmer planteringar och mindre lekplatser. Bestämmelser park används för att området kräver skötsel och är lämplig för planteringar, mindre lekplatser etc. </w:t>
      </w:r>
    </w:p>
    <w:p>
      <w:pPr>
        <w:pStyle w:val="P3"/>
        <w:spacing w:after="120" w:beforeAutospacing="0" w:afterAutospacing="0"/>
        <w:ind w:firstLine="0" w:left="0"/>
        <w:rPr>
          <w:color w:val="C00000"/>
          <w:sz w:val="22"/>
          <w:szCs w:val="22"/>
        </w:rPr>
      </w:pPr>
      <w:bookmarkEnd w:id="75"/>
      <w:bookmarkStart w:id="76" w:name="_Toc89445988"/>
      <w:bookmarkStart w:id="77" w:name="_Toc90561140"/>
      <w:r>
        <w:rPr>
          <w:color w:val="C00000"/>
          <w:sz w:val="22"/>
          <w:szCs w:val="22"/>
        </w:rPr>
        <w:t>ANVÄNDNING AV KVARTERSMARK</w:t>
      </w:r>
      <w:bookmarkEnd w:id="76"/>
      <w:bookmarkEnd w:id="77"/>
      <w:bookmarkStart w:id="78" w:name="_Toc89445989"/>
    </w:p>
    <w:p>
      <w:pPr>
        <w:ind w:left="306"/>
        <w:jc w:val="both"/>
        <w:rPr>
          <w:rFonts w:ascii="Times New Roman" w:hAnsi="Times New Roman" w:cs="Times New Roman"/>
        </w:rPr>
      </w:pPr>
      <w:r>
        <w:rPr>
          <w:rFonts w:ascii="Times New Roman" w:hAnsi="Times New Roman" w:cs="Times New Roman"/>
        </w:rPr>
        <w:t>Med kvartersmark avses all mark inom ett planområde som inte ska vara allmän plats eller vattenområde. Användning av kvartersmark kan till exempel vara bostäder, skola eller industri.</w:t>
      </w:r>
    </w:p>
    <w:p>
      <w:pPr>
        <w:ind w:left="306"/>
        <w:jc w:val="both"/>
      </w:pPr>
      <w:r>
        <w:rPr>
          <w:rFonts w:ascii="Times New Roman" w:hAnsi="Times New Roman" w:cs="Times New Roman"/>
          <w:rtl w:val="0"/>
          <w:lang w:val="sv-SE" w:bidi="sv-SE" w:eastAsia="sv-SE"/>
        </w:rPr>
        <w:t xml:space="preserve">B - </w:t>
      </w:r>
      <w:bookmarkStart w:id="79" w:name="mo_motivtillreglering24"/>
      <w:r>
        <w:t>Användningsområdet möjliggör fastighetsbildning för bostadsändamål.</w:t>
      </w:r>
      <w:bookmarkEnd w:id="79"/>
    </w:p>
    <w:p>
      <w:pPr>
        <w:ind w:left="306"/>
        <w:jc w:val="both"/>
      </w:pPr>
      <w:r>
        <w:rPr>
          <w:rtl w:val="0"/>
          <w:lang w:val="sv-SE" w:bidi="sv-SE" w:eastAsia="sv-SE"/>
        </w:rPr>
        <w:t xml:space="preserve">E - </w:t>
      </w:r>
      <w:bookmarkStart w:id="80" w:name="mo_motivtillreglering25"/>
      <w:r>
        <w:t>Användningsområdet är avsatt för tekniska anläggningar.</w:t>
      </w:r>
    </w:p>
    <w:p>
      <w:pPr>
        <w:ind w:left="306"/>
        <w:jc w:val="both"/>
      </w:pPr>
      <w:bookmarkEnd w:id="80"/>
      <w:r>
        <w:rPr>
          <w:rtl w:val="0"/>
          <w:lang w:val="sv-SE" w:bidi="sv-SE" w:eastAsia="sv-SE"/>
        </w:rPr>
        <w:t xml:space="preserve">S - </w:t>
      </w:r>
      <w:bookmarkStart w:id="81" w:name="mo_motivtillreglering26"/>
      <w:r>
        <w:t>Användningsområdet är avsatt som huvudanvändning för skolverksamhet. Bestämmelsen S är nödvändig för att uppnå detaljplanens syfte. Utformning och omfattning av byggnader som får uppföras inom användningen är reglerad med egenskapsbestämmelser. Detaljplanen möjliggör att i framtiden även använda marken för annat ändamål om behov uppstår och då möjliggöra för centrumverksamhet. Vanligtvis ska centrum ges brun färg vid färgläggning, i planbestämmelselistan är det redovisat som vit färg och det följer gällande bestämmelse (BFS 2020:5), användningar som inte är huvudanvändning ska redovisas på det sättet.</w:t>
      </w:r>
    </w:p>
    <w:p>
      <w:pPr>
        <w:ind w:left="306"/>
        <w:jc w:val="both"/>
      </w:pPr>
      <w:r>
        <w:t>Detaljplanen möjliggör att i framtiden även använda marken för annat ändamål om behov uppstår och då möjliggöra för vårdverksamhet. Vanligtvis ska vård ges röd färg vid färgläggning, i planbestämmelselistan är det redovisat som vit färg och det följer gällande bestämmelse (BFS 2020:5), användningar som inte är huvudanvändning ska redovisas på det sättet.</w:t>
      </w:r>
      <w:r>
        <w:rPr>
          <w:rtl w:val="0"/>
          <w:lang w:val="sv-SE" w:bidi="sv-SE" w:eastAsia="sv-SE"/>
        </w:rPr>
        <w:t xml:space="preserve"> </w:t>
      </w:r>
      <w:r>
        <w:t xml:space="preserve">Dessa användningsbestämmelser passar att reglera i detaljplan utifrån områdets förutsättningar och dess karaktär, området ligger centralt och är lätt att nå. </w:t>
      </w:r>
      <w:bookmarkStart w:id="82" w:name="_Toc90561142"/>
    </w:p>
    <w:p>
      <w:pPr>
        <w:pStyle w:val="P3"/>
        <w:spacing w:after="120" w:beforeAutospacing="0" w:afterAutospacing="0"/>
        <w:ind w:left="306"/>
        <w:jc w:val="both"/>
        <w:rPr>
          <w:color w:val="C00000"/>
          <w:sz w:val="22"/>
          <w:szCs w:val="22"/>
        </w:rPr>
      </w:pPr>
      <w:bookmarkEnd w:id="81"/>
      <w:r>
        <w:rPr>
          <w:color w:val="C00000"/>
          <w:sz w:val="22"/>
          <w:szCs w:val="22"/>
        </w:rPr>
        <w:t>EGENSKAPSBESTÄMMELSER FÖR ALLMÄN PLATS</w:t>
      </w:r>
      <w:bookmarkEnd w:id="78"/>
      <w:bookmarkEnd w:id="82"/>
    </w:p>
    <w:p>
      <w:pPr>
        <w:ind w:left="306"/>
        <w:jc w:val="both"/>
        <w:rPr>
          <w:rFonts w:ascii="Times New Roman" w:hAnsi="Times New Roman" w:cs="Times New Roman"/>
        </w:rPr>
      </w:pPr>
      <w:r>
        <w:rPr>
          <w:rFonts w:ascii="Times New Roman" w:hAnsi="Times New Roman" w:cs="Times New Roman"/>
        </w:rPr>
        <w:t xml:space="preserve">Egenskapsbestämmelser om utformning av allmän plats används för att reglera utformning av allmän plats. </w:t>
      </w:r>
    </w:p>
    <w:p>
      <w:pPr>
        <w:ind w:left="306"/>
        <w:jc w:val="both"/>
        <w:rPr>
          <w:rFonts w:ascii="Times New Roman" w:hAnsi="Times New Roman" w:cs="Times New Roman"/>
          <w:rtl w:val="0"/>
          <w:lang w:val="sv-SE" w:bidi="sv-SE" w:eastAsia="sv-SE"/>
        </w:rPr>
      </w:pPr>
      <w:r>
        <w:rPr>
          <w:rFonts w:ascii="Times New Roman" w:hAnsi="Times New Roman" w:cs="Times New Roman"/>
          <w:rtl w:val="0"/>
          <w:lang w:val="sv-SE" w:bidi="sv-SE" w:eastAsia="sv-SE"/>
        </w:rPr>
        <w:t xml:space="preserve">GÅNG - </w:t>
      </w:r>
      <w:bookmarkStart w:id="83" w:name="mo_motivtillreglering27"/>
      <w:r>
        <w:rPr>
          <w:rFonts w:ascii="Times New Roman" w:hAnsi="Times New Roman" w:cs="Times New Roman"/>
        </w:rPr>
        <w:t>En gångväg ska anordnas för att förskolebarnen ska kunna på ett säkert sätt ta sig till naturmarken på sydvästra delen av planområdet</w:t>
      </w:r>
      <w:bookmarkEnd w:id="83"/>
      <w:r>
        <w:rPr>
          <w:rFonts w:ascii="Times New Roman" w:hAnsi="Times New Roman" w:cs="Times New Roman"/>
        </w:rPr>
        <w:t>.</w:t>
      </w:r>
    </w:p>
    <w:p>
      <w:pPr>
        <w:ind w:left="306"/>
        <w:jc w:val="both"/>
        <w:rPr>
          <w:rFonts w:ascii="Times New Roman" w:hAnsi="Times New Roman" w:cs="Times New Roman"/>
        </w:rPr>
      </w:pPr>
      <w:r>
        <w:rPr>
          <w:rFonts w:ascii="Times New Roman" w:hAnsi="Times New Roman" w:cs="Times New Roman"/>
          <w:rtl w:val="0"/>
          <w:lang w:val="sv-SE" w:bidi="sv-SE" w:eastAsia="sv-SE"/>
        </w:rPr>
        <w:t xml:space="preserve">LEK - </w:t>
      </w:r>
      <w:bookmarkStart w:id="84" w:name="mo_motivtillreglering28"/>
      <w:r>
        <w:rPr>
          <w:rFonts w:ascii="Times New Roman" w:hAnsi="Times New Roman" w:cs="Times New Roman"/>
        </w:rPr>
        <w:t xml:space="preserve">Egenskapsbestämmelsen används för att reglera vilken yta som är tänkt för lekplats och bollplan, både förskolebarnen och närboende kommer ha tillgång till området. Ytan är 800 kvm som är lämplig för en 5-manna bollplan. </w:t>
      </w:r>
      <w:bookmarkEnd w:id="84"/>
    </w:p>
    <w:p>
      <w:pPr>
        <w:ind w:left="306"/>
        <w:jc w:val="both"/>
        <w:rPr>
          <w:rFonts w:ascii="Times New Roman" w:hAnsi="Times New Roman" w:cs="Times New Roman"/>
        </w:rPr>
      </w:pPr>
      <w:r>
        <w:rPr>
          <w:rFonts w:ascii="Times New Roman" w:hAnsi="Times New Roman" w:cs="Times New Roman"/>
          <w:rtl w:val="0"/>
          <w:lang w:val="sv-SE" w:bidi="sv-SE" w:eastAsia="sv-SE"/>
        </w:rPr>
        <w:t xml:space="preserve">U1 - </w:t>
      </w:r>
      <w:bookmarkStart w:id="85" w:name="Kartlänk_04"/>
      <w:r>
        <w:rPr>
          <w:rFonts w:ascii="Times New Roman" w:hAnsi="Times New Roman" w:cs="Times New Roman"/>
        </w:rPr>
        <w:t xml:space="preserve">Markreservat för allmännyttiga underjordiska ledningar. Syftet med bestämmelsen är att säkerställa plats för de befintliga allmänna ledningarna.  </w:t>
      </w:r>
    </w:p>
    <w:p>
      <w:pPr>
        <w:jc w:val="both"/>
        <w:rPr>
          <w:color w:val="C00000"/>
        </w:rPr>
      </w:pPr>
      <w:bookmarkEnd w:id="85"/>
      <w:bookmarkStart w:id="86" w:name="_Toc89445990"/>
    </w:p>
    <w:p>
      <w:pPr>
        <w:pStyle w:val="P3"/>
        <w:spacing w:after="120" w:beforeAutospacing="0" w:afterAutospacing="0"/>
        <w:ind w:hanging="11" w:left="317"/>
        <w:jc w:val="both"/>
        <w:rPr>
          <w:color w:val="C00000"/>
          <w:sz w:val="22"/>
          <w:szCs w:val="22"/>
        </w:rPr>
      </w:pPr>
      <w:bookmarkStart w:id="87" w:name="_Toc90561143"/>
      <w:r>
        <w:rPr>
          <w:color w:val="C00000"/>
          <w:sz w:val="22"/>
          <w:szCs w:val="22"/>
        </w:rPr>
        <w:t>EGENSKAPSBESTÄMMELSER FÖR KVARTERSMARK</w:t>
      </w:r>
      <w:bookmarkEnd w:id="86"/>
      <w:bookmarkEnd w:id="87"/>
    </w:p>
    <w:p>
      <w:pPr>
        <w:ind w:left="306"/>
        <w:jc w:val="both"/>
        <w:rPr>
          <w:rFonts w:ascii="Times New Roman" w:hAnsi="Times New Roman" w:cs="Times New Roman"/>
        </w:rPr>
      </w:pPr>
      <w:r>
        <w:rPr>
          <w:rFonts w:ascii="Times New Roman" w:hAnsi="Times New Roman" w:cs="Times New Roman"/>
        </w:rPr>
        <w:t xml:space="preserve">Egenskapsbestämmelser för kvartersmark reglerar hur mycket som maximalt får bebyggas, utformning samt placering för att uppnå ändamålsenlig bebyggelse. Samt att beakta markens lämplighet, omgivningens påverkan, människors hälsa och säkerhet, påverkan på miljön och närboende. </w:t>
      </w:r>
    </w:p>
    <w:p>
      <w:pPr>
        <w:ind w:left="306"/>
        <w:jc w:val="both"/>
        <w:rPr>
          <w:rFonts w:ascii="Times New Roman" w:hAnsi="Times New Roman" w:cs="Times New Roman"/>
        </w:rPr>
      </w:pPr>
    </w:p>
    <w:p>
      <w:pPr>
        <w:ind w:left="306"/>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10" behindDoc="0" locked="0" layoutInCell="1" allowOverlap="1">
            <wp:simplePos x="0" y="0"/>
            <wp:positionH relativeFrom="margin">
              <wp:posOffset>85090</wp:posOffset>
            </wp:positionH>
            <wp:positionV relativeFrom="paragraph">
              <wp:posOffset>1905</wp:posOffset>
            </wp:positionV>
            <wp:extent cx="790575" cy="409575"/>
            <wp:effectExtent l="0" t="0" r="9525" b="9525"/>
            <wp:wrapThrough wrapText="bothSides">
              <wp:wrapPolygon edited="0">
                <wp:start x="0" y="0"/>
                <wp:lineTo x="0" y="21098"/>
                <wp:lineTo x="21340" y="21098"/>
                <wp:lineTo x="21340" y="0"/>
                <wp:lineTo x="0" y="0"/>
              </wp:wrapPolygon>
            </wp:wrapThrough>
            <wp:docPr id="28" name="Bildobjekt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Bildobjekt 28"/>
                    <pic:cNvPicPr/>
                  </pic:nvPicPr>
                  <pic:blipFill dpi="0">
                    <a:blip xmlns:r="http://schemas.openxmlformats.org/officeDocument/2006/relationships" r:embed="Relimage4"/>
                    <a:srcRect/>
                    <a:stretch>
                      <a:fillRect/>
                    </a:stretch>
                  </pic:blipFill>
                  <pic:spPr>
                    <a:xfrm>
                      <a:off x="0" y="0"/>
                      <a:ext cx="790575" cy="409575"/>
                    </a:xfrm>
                    <a:prstGeom prst="rect"/>
                  </pic:spPr>
                </pic:pic>
              </a:graphicData>
            </a:graphic>
          </wp:anchor>
        </w:drawing>
      </w:r>
      <w:r>
        <w:rPr>
          <w:rFonts w:ascii="Times New Roman" w:hAnsi="Times New Roman" w:cs="Times New Roman"/>
          <w:rtl w:val="0"/>
          <w:lang w:val="sv-SE" w:bidi="sv-SE" w:eastAsia="sv-SE"/>
        </w:rPr>
        <w:t xml:space="preserve"> </w:t>
      </w:r>
      <w:bookmarkStart w:id="88" w:name="mo_motivtillreglering29"/>
      <w:r>
        <w:rPr>
          <w:rFonts w:ascii="Times New Roman" w:hAnsi="Times New Roman" w:cs="Times New Roman"/>
        </w:rPr>
        <w:t xml:space="preserve">Marken får inte förses med byggnad. Syftet är att säkerställa att marken som omfattar </w:t>
      </w:r>
      <w:r>
        <w:rPr>
          <w:rFonts w:ascii="Times New Roman" w:hAnsi="Times New Roman" w:cs="Times New Roman"/>
          <w:rtl w:val="0"/>
          <w:lang w:val="sv-SE" w:bidi="sv-SE" w:eastAsia="sv-SE"/>
        </w:rPr>
        <w:t xml:space="preserve"> </w:t>
      </w:r>
      <w:r>
        <w:rPr>
          <w:rFonts w:ascii="Times New Roman" w:hAnsi="Times New Roman" w:cs="Times New Roman"/>
        </w:rPr>
        <w:t xml:space="preserve">underjordiska ledningar inom kvartersmark inte förses med några byggnadsverk. </w:t>
      </w:r>
      <w:bookmarkEnd w:id="88"/>
    </w:p>
    <w:p>
      <w:pPr>
        <w:jc w:val="both"/>
        <w:rPr>
          <w:rFonts w:ascii="Times New Roman" w:hAnsi="Times New Roman" w:cs="Times New Roman"/>
          <w:color w:val="C00000"/>
        </w:rPr>
      </w:pPr>
    </w:p>
    <w:p>
      <w:pPr>
        <w:jc w:val="both"/>
        <w:rPr>
          <w:sz w:val="28"/>
          <w:szCs w:val="28"/>
        </w:rPr>
      </w:pPr>
      <w:r>
        <w:rPr>
          <w:noProof w:val="1"/>
        </w:rPr>
        <w:drawing>
          <wp:anchor xmlns:wp="http://schemas.openxmlformats.org/drawingml/2006/wordprocessingDrawing" distT="0" distB="0" distL="114300" distR="114300" simplePos="0" relativeHeight="13" behindDoc="0" locked="0" layoutInCell="1" allowOverlap="1">
            <wp:simplePos x="0" y="0"/>
            <wp:positionH relativeFrom="column">
              <wp:posOffset>140970</wp:posOffset>
            </wp:positionH>
            <wp:positionV relativeFrom="paragraph">
              <wp:posOffset>83185</wp:posOffset>
            </wp:positionV>
            <wp:extent cx="819150" cy="323850"/>
            <wp:effectExtent l="0" t="0" r="0" b="0"/>
            <wp:wrapThrough wrapText="bothSides">
              <wp:wrapPolygon edited="0">
                <wp:start x="0" y="0"/>
                <wp:lineTo x="0" y="20329"/>
                <wp:lineTo x="21098" y="20329"/>
                <wp:lineTo x="21098" y="0"/>
                <wp:lineTo x="0" y="0"/>
              </wp:wrapPolygon>
            </wp:wrapThrough>
            <wp:docPr id="32" name="Bildobjekt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ildobjekt 32"/>
                    <pic:cNvPicPr/>
                  </pic:nvPicPr>
                  <pic:blipFill dpi="0">
                    <a:blip xmlns:r="http://schemas.openxmlformats.org/officeDocument/2006/relationships" r:embed="Relimage5"/>
                    <a:srcRect/>
                    <a:stretch>
                      <a:fillRect/>
                    </a:stretch>
                  </pic:blipFill>
                  <pic:spPr>
                    <a:xfrm>
                      <a:off x="0" y="0"/>
                      <a:ext cx="819150" cy="323850"/>
                    </a:xfrm>
                    <a:prstGeom prst="rect"/>
                  </pic:spPr>
                </pic:pic>
              </a:graphicData>
            </a:graphic>
          </wp:anchor>
        </w:drawing>
      </w:r>
      <w:bookmarkStart w:id="89" w:name="_Hlk107319735"/>
      <w:bookmarkStart w:id="90" w:name="mo_motivtillreglering05"/>
      <w:r>
        <w:rPr>
          <w:rFonts w:ascii="Times New Roman" w:hAnsi="Times New Roman" w:cs="Times New Roman"/>
        </w:rPr>
        <w:t xml:space="preserve">Totalhöjden ska vara angivet värde i meter. Syftet med bestämmelsen är att styra omfattningen på det som får byggas samt reglera byggnaders utformning och den inverkan som byggnaders höjd får på den byggda miljön. </w:t>
      </w:r>
      <w:bookmarkEnd w:id="89"/>
    </w:p>
    <w:p>
      <w:pPr>
        <w:jc w:val="both"/>
        <w:rPr>
          <w:rFonts w:ascii="Times New Roman" w:hAnsi="Times New Roman" w:cs="Times New Roman"/>
        </w:rPr>
      </w:pPr>
      <w:bookmarkEnd w:id="90"/>
      <w:r>
        <w:rPr>
          <w:rFonts w:ascii="Times New Roman" w:hAnsi="Times New Roman" w:cs="Times New Roman"/>
          <w:noProof w:val="1"/>
        </w:rPr>
        <w:drawing>
          <wp:anchor xmlns:wp="http://schemas.openxmlformats.org/drawingml/2006/wordprocessingDrawing" distT="0" distB="0" distL="114300" distR="114300" simplePos="0" relativeHeight="23" behindDoc="0" locked="0" layoutInCell="1" allowOverlap="1">
            <wp:simplePos x="0" y="0"/>
            <wp:positionH relativeFrom="column">
              <wp:posOffset>227330</wp:posOffset>
            </wp:positionH>
            <wp:positionV relativeFrom="paragraph">
              <wp:posOffset>8255</wp:posOffset>
            </wp:positionV>
            <wp:extent cx="733425" cy="438150"/>
            <wp:effectExtent l="0" t="0" r="9525" b="0"/>
            <wp:wrapThrough wrapText="bothSides">
              <wp:wrapPolygon edited="0">
                <wp:start x="0" y="0"/>
                <wp:lineTo x="0" y="20661"/>
                <wp:lineTo x="21319" y="20661"/>
                <wp:lineTo x="21319" y="0"/>
                <wp:lineTo x="0" y="0"/>
              </wp:wrapPolygon>
            </wp:wrapThrough>
            <wp:docPr id="31" name="Bildobjekt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Bildobjekt 31"/>
                    <pic:cNvPicPr/>
                  </pic:nvPicPr>
                  <pic:blipFill dpi="0">
                    <a:blip xmlns:r="http://schemas.openxmlformats.org/officeDocument/2006/relationships" r:embed="Relimage6"/>
                    <a:srcRect/>
                    <a:stretch>
                      <a:fillRect/>
                    </a:stretch>
                  </pic:blipFill>
                  <pic:spPr>
                    <a:xfrm>
                      <a:off x="0" y="0"/>
                      <a:ext cx="733425" cy="438150"/>
                    </a:xfrm>
                    <a:prstGeom prst="rect"/>
                  </pic:spPr>
                </pic:pic>
              </a:graphicData>
            </a:graphic>
          </wp:anchor>
        </w:drawing>
      </w:r>
      <w:bookmarkStart w:id="91" w:name="mo_motivtillreglering06"/>
      <w:r>
        <w:rPr>
          <w:rFonts w:ascii="Times New Roman" w:hAnsi="Times New Roman" w:cs="Times New Roman"/>
        </w:rPr>
        <w:t>Totalhöjden ska vara angivet värde i meter. Syftet med bestämmelsen är att styra omfattningen på det som får byggas samt reglera byggnaders utformning och den inverkan som byggnaders höjd får på den byggda miljön</w:t>
      </w:r>
      <w:bookmarkEnd w:id="91"/>
      <w:r>
        <w:rPr>
          <w:rFonts w:ascii="Times New Roman" w:hAnsi="Times New Roman" w:cs="Times New Roman"/>
        </w:rPr>
        <w:t xml:space="preserve">. </w:t>
      </w:r>
    </w:p>
    <w:p>
      <w:pPr>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5" behindDoc="0" locked="0" layoutInCell="1" allowOverlap="1">
            <wp:simplePos x="0" y="0"/>
            <wp:positionH relativeFrom="column">
              <wp:posOffset>212090</wp:posOffset>
            </wp:positionH>
            <wp:positionV relativeFrom="paragraph">
              <wp:posOffset>253365</wp:posOffset>
            </wp:positionV>
            <wp:extent cx="733425" cy="350520"/>
            <wp:effectExtent l="0" t="0" r="9525" b="0"/>
            <wp:wrapSquare wrapText="bothSides"/>
            <wp:docPr id="61" name="Bildobjekt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Bildobjekt 61"/>
                    <pic:cNvPicPr/>
                  </pic:nvPicPr>
                  <pic:blipFill dpi="0">
                    <a:blip xmlns:r="http://schemas.openxmlformats.org/officeDocument/2006/relationships" r:embed="Relimage7"/>
                    <a:srcRect/>
                    <a:stretch>
                      <a:fillRect/>
                    </a:stretch>
                  </pic:blipFill>
                  <pic:spPr>
                    <a:xfrm>
                      <a:off x="0" y="0"/>
                      <a:ext cx="733425" cy="350520"/>
                    </a:xfrm>
                    <a:prstGeom prst="rect"/>
                  </pic:spPr>
                </pic:pic>
              </a:graphicData>
            </a:graphic>
          </wp:anchor>
        </w:drawing>
      </w:r>
    </w:p>
    <w:p>
      <w:pPr>
        <w:jc w:val="both"/>
        <w:rPr>
          <w:rFonts w:ascii="Times New Roman" w:hAnsi="Times New Roman" w:cs="Times New Roman"/>
        </w:rPr>
      </w:pPr>
      <w:bookmarkStart w:id="92" w:name="mo_motivtillreglering07"/>
      <w:r>
        <w:rPr>
          <w:rFonts w:ascii="Times New Roman" w:hAnsi="Times New Roman" w:cs="Times New Roman"/>
        </w:rPr>
        <w:t>Nockhöjden ska vara angivet värde i meter. Syftet med bestämmelsen är att styra höjd på byggnadsverk inom egenskapsområdet n1.</w:t>
      </w:r>
    </w:p>
    <w:p>
      <w:pPr>
        <w:jc w:val="both"/>
        <w:rPr>
          <w:rFonts w:ascii="Times New Roman" w:hAnsi="Times New Roman" w:cs="Times New Roman"/>
        </w:rPr>
      </w:pPr>
      <w:bookmarkEnd w:id="92"/>
    </w:p>
    <w:p>
      <w:pPr>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6" behindDoc="0" locked="0" layoutInCell="1" allowOverlap="1">
            <wp:simplePos x="0" y="0"/>
            <wp:positionH relativeFrom="column">
              <wp:posOffset>298450</wp:posOffset>
            </wp:positionH>
            <wp:positionV relativeFrom="paragraph">
              <wp:posOffset>8255</wp:posOffset>
            </wp:positionV>
            <wp:extent cx="647700" cy="285750"/>
            <wp:effectExtent l="0" t="0" r="0" b="0"/>
            <wp:wrapSquare wrapText="bothSides"/>
            <wp:docPr id="62" name="Bildobjekt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Bildobjekt 62"/>
                    <pic:cNvPicPr/>
                  </pic:nvPicPr>
                  <pic:blipFill dpi="0">
                    <a:blip xmlns:r="http://schemas.openxmlformats.org/officeDocument/2006/relationships" r:embed="Relimage8"/>
                    <a:srcRect/>
                    <a:stretch>
                      <a:fillRect/>
                    </a:stretch>
                  </pic:blipFill>
                  <pic:spPr>
                    <a:xfrm>
                      <a:off x="0" y="0"/>
                      <a:ext cx="647700" cy="285750"/>
                    </a:xfrm>
                    <a:prstGeom prst="rect"/>
                  </pic:spPr>
                </pic:pic>
              </a:graphicData>
            </a:graphic>
          </wp:anchor>
        </w:drawing>
      </w:r>
      <w:bookmarkStart w:id="93" w:name="mo_motivtillreglering08"/>
      <w:r>
        <w:rPr>
          <w:rFonts w:ascii="Times New Roman" w:hAnsi="Times New Roman" w:cs="Times New Roman"/>
        </w:rPr>
        <w:t>Nockhöjden på huvudbyggnader ska vara angivet värde i meter. Syftet med bestämmelsen är att styra höjd på befintliga bostäder på östra</w:t>
      </w:r>
      <w:r>
        <w:rPr>
          <w:rFonts w:ascii="Times New Roman" w:hAnsi="Times New Roman" w:cs="Times New Roman"/>
          <w:rtl w:val="0"/>
          <w:lang w:val="sv-SE" w:bidi="sv-SE" w:eastAsia="sv-SE"/>
        </w:rPr>
        <w:t xml:space="preserve"> </w:t>
      </w:r>
      <w:r>
        <w:rPr>
          <w:rFonts w:ascii="Times New Roman" w:hAnsi="Times New Roman" w:cs="Times New Roman"/>
        </w:rPr>
        <w:t xml:space="preserve">delen av planområdet. </w:t>
      </w:r>
      <w:bookmarkEnd w:id="93"/>
    </w:p>
    <w:p>
      <w:pPr>
        <w:jc w:val="both"/>
        <w:rPr>
          <w:rFonts w:ascii="Times New Roman" w:hAnsi="Times New Roman" w:cs="Times New Roman"/>
        </w:rPr>
      </w:pPr>
      <w:r>
        <w:rPr>
          <w:noProof w:val="1"/>
        </w:rPr>
        <w:drawing>
          <wp:anchor xmlns:wp="http://schemas.openxmlformats.org/drawingml/2006/wordprocessingDrawing" distT="0" distB="0" distL="114300" distR="114300" simplePos="0" relativeHeight="14" behindDoc="0" locked="0" layoutInCell="1" allowOverlap="1">
            <wp:simplePos x="0" y="0"/>
            <wp:positionH relativeFrom="column">
              <wp:posOffset>137795</wp:posOffset>
            </wp:positionH>
            <wp:positionV relativeFrom="paragraph">
              <wp:posOffset>185420</wp:posOffset>
            </wp:positionV>
            <wp:extent cx="381000" cy="438150"/>
            <wp:effectExtent l="0" t="0" r="0" b="0"/>
            <wp:wrapThrough wrapText="bothSides">
              <wp:wrapPolygon edited="0">
                <wp:start x="0" y="0"/>
                <wp:lineTo x="0" y="20661"/>
                <wp:lineTo x="20520" y="20661"/>
                <wp:lineTo x="20520" y="0"/>
                <wp:lineTo x="0" y="0"/>
              </wp:wrapPolygon>
            </wp:wrapThrough>
            <wp:docPr id="33" name="Bildobjekt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ildobjekt 33"/>
                    <pic:cNvPicPr/>
                  </pic:nvPicPr>
                  <pic:blipFill dpi="0">
                    <a:blip xmlns:r="http://schemas.openxmlformats.org/officeDocument/2006/relationships" r:embed="Relimage9"/>
                    <a:srcRect/>
                    <a:stretch>
                      <a:fillRect/>
                    </a:stretch>
                  </pic:blipFill>
                  <pic:spPr>
                    <a:xfrm>
                      <a:off x="0" y="0"/>
                      <a:ext cx="381000" cy="438150"/>
                    </a:xfrm>
                    <a:prstGeom prst="rect"/>
                  </pic:spPr>
                </pic:pic>
              </a:graphicData>
            </a:graphic>
          </wp:anchor>
        </w:drawing>
      </w:r>
    </w:p>
    <w:p>
      <w:pPr>
        <w:jc w:val="both"/>
        <w:rPr>
          <w:rFonts w:ascii="Times New Roman" w:hAnsi="Times New Roman" w:cs="Times New Roman"/>
        </w:rPr>
      </w:pPr>
      <w:bookmarkStart w:id="94" w:name="mo_motivtillreglering09"/>
      <w:bookmarkStart w:id="95" w:name="_Toc89445991"/>
      <w:bookmarkStart w:id="96" w:name="_Toc90561145"/>
      <w:r>
        <w:rPr>
          <w:rFonts w:ascii="Times New Roman" w:hAnsi="Times New Roman" w:cs="Times New Roman"/>
        </w:rPr>
        <w:t xml:space="preserve">Markreservat för allmännyttiga underjordiska ledningar. Syftet är att säkerställa plats för de befintliga ledningarna. </w:t>
      </w:r>
    </w:p>
    <w:p>
      <w:pPr>
        <w:jc w:val="both"/>
        <w:rPr>
          <w:rFonts w:ascii="Times New Roman" w:hAnsi="Times New Roman" w:cs="Times New Roman"/>
        </w:rPr>
      </w:pPr>
      <w:bookmarkEnd w:id="94"/>
      <w:bookmarkStart w:id="97" w:name="_Hlk107320071"/>
      <w:r>
        <w:rPr>
          <w:noProof w:val="1"/>
        </w:rPr>
        <w:drawing>
          <wp:anchor xmlns:wp="http://schemas.openxmlformats.org/drawingml/2006/wordprocessingDrawing" distT="0" distB="0" distL="114300" distR="114300" simplePos="0" relativeHeight="11" behindDoc="0" locked="0" layoutInCell="1" allowOverlap="1">
            <wp:simplePos x="0" y="0"/>
            <wp:positionH relativeFrom="column">
              <wp:posOffset>41275</wp:posOffset>
            </wp:positionH>
            <wp:positionV relativeFrom="paragraph">
              <wp:posOffset>11430</wp:posOffset>
            </wp:positionV>
            <wp:extent cx="381000" cy="314325"/>
            <wp:effectExtent l="0" t="0" r="0" b="9525"/>
            <wp:wrapThrough wrapText="bothSides">
              <wp:wrapPolygon edited="0">
                <wp:start x="0" y="0"/>
                <wp:lineTo x="0" y="20945"/>
                <wp:lineTo x="20520" y="20945"/>
                <wp:lineTo x="20520" y="0"/>
                <wp:lineTo x="0" y="0"/>
              </wp:wrapPolygon>
            </wp:wrapThrough>
            <wp:docPr id="29" name="Bildobjekt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Bildobjekt 29"/>
                    <pic:cNvPicPr/>
                  </pic:nvPicPr>
                  <pic:blipFill dpi="0">
                    <a:blip xmlns:r="http://schemas.openxmlformats.org/officeDocument/2006/relationships" r:embed="Relimage10"/>
                    <a:srcRect/>
                    <a:stretch>
                      <a:fillRect/>
                    </a:stretch>
                  </pic:blipFill>
                  <pic:spPr>
                    <a:xfrm>
                      <a:off x="0" y="0"/>
                      <a:ext cx="381000" cy="314325"/>
                    </a:xfrm>
                    <a:prstGeom prst="rect"/>
                  </pic:spPr>
                </pic:pic>
              </a:graphicData>
            </a:graphic>
          </wp:anchor>
        </w:drawing>
      </w:r>
      <w:r>
        <w:rPr>
          <w:rFonts w:ascii="Times New Roman" w:hAnsi="Times New Roman" w:cs="Times New Roman"/>
          <w:rtl w:val="0"/>
          <w:lang w:val="sv-SE" w:bidi="sv-SE" w:eastAsia="sv-SE"/>
        </w:rPr>
        <w:t xml:space="preserve"> </w:t>
      </w:r>
      <w:bookmarkStart w:id="98" w:name="mo_motivtillreglering10"/>
      <w:r>
        <w:rPr>
          <w:rFonts w:ascii="Times New Roman" w:hAnsi="Times New Roman" w:cs="Times New Roman"/>
        </w:rPr>
        <w:t>Takvinkeln ska vara minst 21° och högst 30°. Syftet är att reglera byggnaders utformning samt säkerställa en god upplevelse av den bebyggda miljön.</w:t>
      </w:r>
      <w:bookmarkEnd w:id="98"/>
      <w:r>
        <w:rPr>
          <w:rFonts w:ascii="Times New Roman" w:hAnsi="Times New Roman" w:cs="Times New Roman"/>
        </w:rPr>
        <w:t xml:space="preserve"> </w:t>
      </w:r>
    </w:p>
    <w:p>
      <w:pPr>
        <w:jc w:val="both"/>
        <w:rPr>
          <w:rFonts w:ascii="Times New Roman" w:hAnsi="Times New Roman" w:cs="Times New Roman"/>
        </w:rPr>
      </w:pPr>
      <w:bookmarkEnd w:id="97"/>
      <w:r>
        <w:rPr>
          <w:noProof w:val="1"/>
        </w:rPr>
        <w:drawing>
          <wp:anchor xmlns:wp="http://schemas.openxmlformats.org/drawingml/2006/wordprocessingDrawing" distT="0" distB="0" distL="114300" distR="114300" simplePos="0" relativeHeight="12" behindDoc="0" locked="0" layoutInCell="1" allowOverlap="1">
            <wp:simplePos x="0" y="0"/>
            <wp:positionH relativeFrom="column">
              <wp:posOffset>0</wp:posOffset>
            </wp:positionH>
            <wp:positionV relativeFrom="paragraph">
              <wp:posOffset>7620</wp:posOffset>
            </wp:positionV>
            <wp:extent cx="409575" cy="323850"/>
            <wp:effectExtent l="0" t="0" r="9525" b="0"/>
            <wp:wrapThrough wrapText="bothSides">
              <wp:wrapPolygon edited="0">
                <wp:start x="0" y="0"/>
                <wp:lineTo x="0" y="20329"/>
                <wp:lineTo x="21098" y="20329"/>
                <wp:lineTo x="21098" y="0"/>
                <wp:lineTo x="0" y="0"/>
              </wp:wrapPolygon>
            </wp:wrapThrough>
            <wp:docPr id="30" name="Bildobjekt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Bildobjekt 30"/>
                    <pic:cNvPicPr/>
                  </pic:nvPicPr>
                  <pic:blipFill dpi="0">
                    <a:blip xmlns:r="http://schemas.openxmlformats.org/officeDocument/2006/relationships" r:embed="Relimage11"/>
                    <a:srcRect/>
                    <a:stretch>
                      <a:fillRect/>
                    </a:stretch>
                  </pic:blipFill>
                  <pic:spPr>
                    <a:xfrm>
                      <a:off x="0" y="0"/>
                      <a:ext cx="409575" cy="323850"/>
                    </a:xfrm>
                    <a:prstGeom prst="rect"/>
                  </pic:spPr>
                </pic:pic>
              </a:graphicData>
            </a:graphic>
          </wp:anchor>
        </w:drawing>
      </w:r>
      <w:r>
        <w:rPr>
          <w:rFonts w:ascii="Times New Roman" w:hAnsi="Times New Roman" w:cs="Times New Roman"/>
          <w:rtl w:val="0"/>
          <w:lang w:val="sv-SE" w:bidi="sv-SE" w:eastAsia="sv-SE"/>
        </w:rPr>
        <w:t xml:space="preserve"> </w:t>
      </w:r>
      <w:bookmarkStart w:id="99" w:name="mo_motivtillreglering11"/>
      <w:r>
        <w:rPr>
          <w:rFonts w:ascii="Times New Roman" w:hAnsi="Times New Roman" w:cs="Times New Roman"/>
        </w:rPr>
        <w:t xml:space="preserve">Takvinkeln ska vara minst 21° och högst 38°. Syftet är att reglera byggnaders utformning samt säkerställa en god upplevelse av den bebyggda miljön. </w:t>
      </w:r>
      <w:bookmarkEnd w:id="99"/>
    </w:p>
    <w:p>
      <w:pPr>
        <w:jc w:val="both"/>
        <w:rPr>
          <w:rFonts w:ascii="Times New Roman" w:hAnsi="Times New Roman" w:cs="Times New Roman"/>
        </w:rPr>
      </w:pPr>
    </w:p>
    <w:p>
      <w:pPr>
        <w:jc w:val="both"/>
      </w:pPr>
      <w:r>
        <w:rPr>
          <w:noProof w:val="1"/>
        </w:rPr>
        <w:drawing>
          <wp:anchor xmlns:wp="http://schemas.openxmlformats.org/drawingml/2006/wordprocessingDrawing" distT="0" distB="0" distL="114300" distR="114300" simplePos="0" relativeHeight="7" behindDoc="0" locked="0" layoutInCell="1" allowOverlap="1">
            <wp:simplePos x="0" y="0"/>
            <wp:positionH relativeFrom="margin">
              <wp:posOffset>-259715</wp:posOffset>
            </wp:positionH>
            <wp:positionV relativeFrom="paragraph">
              <wp:posOffset>154305</wp:posOffset>
            </wp:positionV>
            <wp:extent cx="767080" cy="246380"/>
            <wp:effectExtent l="0" t="0" r="0" b="1270"/>
            <wp:wrapThrough wrapText="bothSides">
              <wp:wrapPolygon edited="0">
                <wp:start x="0" y="0"/>
                <wp:lineTo x="0" y="20041"/>
                <wp:lineTo x="20921" y="20041"/>
                <wp:lineTo x="20921" y="0"/>
                <wp:lineTo x="0" y="0"/>
              </wp:wrapPolygon>
            </wp:wrapThrough>
            <wp:docPr id="24" name="Bildobjekt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Bildobjekt 24"/>
                    <pic:cNvPicPr/>
                  </pic:nvPicPr>
                  <pic:blipFill dpi="0">
                    <a:blip xmlns:r="http://schemas.openxmlformats.org/officeDocument/2006/relationships" r:embed="Relimage12"/>
                    <a:srcRect/>
                    <a:stretch>
                      <a:fillRect/>
                    </a:stretch>
                  </pic:blipFill>
                  <pic:spPr>
                    <a:xfrm>
                      <a:off x="0" y="0"/>
                      <a:ext cx="767080" cy="246380"/>
                    </a:xfrm>
                    <a:prstGeom prst="rect"/>
                  </pic:spPr>
                </pic:pic>
              </a:graphicData>
            </a:graphic>
          </wp:anchor>
        </w:drawing>
      </w:r>
      <w:r>
        <w:rPr>
          <w:rFonts w:ascii="Times New Roman" w:hAnsi="Times New Roman" w:cs="Times New Roman"/>
          <w:rtl w:val="0"/>
          <w:lang w:val="sv-SE" w:bidi="sv-SE" w:eastAsia="sv-SE"/>
        </w:rPr>
        <w:t xml:space="preserve"> </w:t>
      </w:r>
      <w:bookmarkStart w:id="100" w:name="mo_motivtillreglering12"/>
      <w:r>
        <w:rPr>
          <w:rFonts w:ascii="Times New Roman" w:hAnsi="Times New Roman" w:cs="Times New Roman"/>
        </w:rPr>
        <w:t xml:space="preserve">Största byggnadsarea är angivet värde i </w:t>
      </w:r>
      <w:r>
        <w:t xml:space="preserve">m² inom användningsområdet. Syftet är att reglera </w:t>
      </w:r>
      <w:r>
        <w:rPr>
          <w:rtl w:val="0"/>
          <w:lang w:val="sv-SE" w:bidi="sv-SE" w:eastAsia="sv-SE"/>
        </w:rPr>
        <w:t xml:space="preserve"> </w:t>
      </w:r>
      <w:r>
        <w:t xml:space="preserve">byggnaders största omfattning för att undvika för hög exploatering inom kvartersmark för förskolan, samt säkerställa tillräcklig friyta för barnen. </w:t>
      </w:r>
      <w:bookmarkEnd w:id="100"/>
    </w:p>
    <w:p>
      <w:pPr>
        <w:jc w:val="both"/>
      </w:pPr>
      <w:r>
        <w:rPr>
          <w:noProof w:val="1"/>
        </w:rPr>
        <w:drawing>
          <wp:anchor xmlns:wp="http://schemas.openxmlformats.org/drawingml/2006/wordprocessingDrawing" distT="0" distB="0" distL="114300" distR="114300" simplePos="0" relativeHeight="42" behindDoc="0" locked="0" layoutInCell="1" allowOverlap="1">
            <wp:simplePos x="0" y="0"/>
            <wp:positionH relativeFrom="column">
              <wp:posOffset>-215265</wp:posOffset>
            </wp:positionH>
            <wp:positionV relativeFrom="paragraph">
              <wp:posOffset>127635</wp:posOffset>
            </wp:positionV>
            <wp:extent cx="810260" cy="292735"/>
            <wp:effectExtent l="0" t="0" r="8890" b="0"/>
            <wp:wrapThrough wrapText="bothSides">
              <wp:wrapPolygon edited="0">
                <wp:start x="0" y="0"/>
                <wp:lineTo x="0" y="19679"/>
                <wp:lineTo x="21329" y="19679"/>
                <wp:lineTo x="21329" y="0"/>
                <wp:lineTo x="0" y="0"/>
              </wp:wrapPolygon>
            </wp:wrapThrough>
            <wp:docPr id="9" name="Bildobjekt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Bildobjekt 9"/>
                    <pic:cNvPicPr/>
                  </pic:nvPicPr>
                  <pic:blipFill dpi="0">
                    <a:blip xmlns:r="http://schemas.openxmlformats.org/officeDocument/2006/relationships" r:embed="Relimage13"/>
                    <a:srcRect/>
                    <a:stretch>
                      <a:fillRect/>
                    </a:stretch>
                  </pic:blipFill>
                  <pic:spPr>
                    <a:xfrm>
                      <a:off x="0" y="0"/>
                      <a:ext cx="810260" cy="292735"/>
                    </a:xfrm>
                    <a:prstGeom prst="rect"/>
                  </pic:spPr>
                </pic:pic>
              </a:graphicData>
            </a:graphic>
          </wp:anchor>
        </w:drawing>
      </w:r>
      <w:bookmarkStart w:id="101" w:name="mo_motivtillreglering13"/>
      <w:r>
        <w:t>Största byggnadsarea är angivet värde i procent av fastighetsarean inom användningsområdet. Syftet med bestämmelsen är att styra byggnaders största omfattning och undvika för hög exploatering.</w:t>
      </w:r>
      <w:bookmarkEnd w:id="101"/>
      <w:r>
        <w:t xml:space="preserve"> </w:t>
      </w:r>
    </w:p>
    <w:p>
      <w:pPr>
        <w:jc w:val="both"/>
      </w:pPr>
      <w:r>
        <w:rPr>
          <w:noProof w:val="1"/>
        </w:rPr>
        <w:drawing>
          <wp:anchor xmlns:wp="http://schemas.openxmlformats.org/drawingml/2006/wordprocessingDrawing" distT="0" distB="0" distL="114300" distR="114300" simplePos="0" relativeHeight="43" behindDoc="0" locked="0" layoutInCell="1" allowOverlap="1">
            <wp:simplePos x="0" y="0"/>
            <wp:positionH relativeFrom="column">
              <wp:posOffset>-118110</wp:posOffset>
            </wp:positionH>
            <wp:positionV relativeFrom="paragraph">
              <wp:posOffset>130175</wp:posOffset>
            </wp:positionV>
            <wp:extent cx="732790" cy="318770"/>
            <wp:effectExtent l="0" t="0" r="0" b="5080"/>
            <wp:wrapThrough wrapText="bothSides">
              <wp:wrapPolygon edited="0">
                <wp:start x="0" y="0"/>
                <wp:lineTo x="0" y="20653"/>
                <wp:lineTo x="20776" y="20653"/>
                <wp:lineTo x="20776" y="0"/>
                <wp:lineTo x="0" y="0"/>
              </wp:wrapPolygon>
            </wp:wrapThrough>
            <wp:docPr id="21" name="Bildobjekt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Bildobjekt 21"/>
                    <pic:cNvPicPr/>
                  </pic:nvPicPr>
                  <pic:blipFill dpi="0">
                    <a:blip xmlns:r="http://schemas.openxmlformats.org/officeDocument/2006/relationships" r:embed="Relimage14"/>
                    <a:srcRect/>
                    <a:stretch>
                      <a:fillRect/>
                    </a:stretch>
                  </pic:blipFill>
                  <pic:spPr>
                    <a:xfrm>
                      <a:off x="0" y="0"/>
                      <a:ext cx="732790" cy="318770"/>
                    </a:xfrm>
                    <a:prstGeom prst="rect"/>
                  </pic:spPr>
                </pic:pic>
              </a:graphicData>
            </a:graphic>
          </wp:anchor>
        </w:drawing>
      </w:r>
      <w:bookmarkStart w:id="102" w:name="mo_motivtillreglering14"/>
      <w:r>
        <w:t>Största byggnadsarea är angivet värde i procent av fastighetsarean inom användningsområdet. Syftet med bestämmelsen är att styra utnyttjandegraden för befintliga bostäder på östra delen av planområdet.</w:t>
      </w:r>
      <w:bookmarkEnd w:id="102"/>
      <w:r>
        <w:t xml:space="preserve"> </w:t>
      </w:r>
    </w:p>
    <w:p>
      <w:pPr>
        <w:jc w:val="both"/>
        <w:rPr>
          <w:rFonts w:ascii="Times New Roman" w:hAnsi="Times New Roman" w:cs="Times New Roman"/>
        </w:rPr>
      </w:pPr>
      <w:r>
        <w:rPr>
          <w:noProof w:val="1"/>
        </w:rPr>
        <w:drawing>
          <wp:anchor xmlns:wp="http://schemas.openxmlformats.org/drawingml/2006/wordprocessingDrawing" distT="0" distB="0" distL="114300" distR="114300" simplePos="0" relativeHeight="8" behindDoc="0" locked="0" layoutInCell="1" allowOverlap="1">
            <wp:simplePos x="0" y="0"/>
            <wp:positionH relativeFrom="margin">
              <wp:posOffset>223520</wp:posOffset>
            </wp:positionH>
            <wp:positionV relativeFrom="paragraph">
              <wp:posOffset>175895</wp:posOffset>
            </wp:positionV>
            <wp:extent cx="314325" cy="352425"/>
            <wp:effectExtent l="0" t="0" r="9525" b="9525"/>
            <wp:wrapThrough wrapText="bothSides">
              <wp:wrapPolygon edited="0">
                <wp:start x="0" y="0"/>
                <wp:lineTo x="0" y="21016"/>
                <wp:lineTo x="20945" y="21016"/>
                <wp:lineTo x="20945" y="0"/>
                <wp:lineTo x="0" y="0"/>
              </wp:wrapPolygon>
            </wp:wrapThrough>
            <wp:docPr id="25" name="Bildobjekt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Bildobjekt 25"/>
                    <pic:cNvPicPr/>
                  </pic:nvPicPr>
                  <pic:blipFill dpi="0">
                    <a:blip xmlns:r="http://schemas.openxmlformats.org/officeDocument/2006/relationships" r:embed="Relimage15"/>
                    <a:srcRect/>
                    <a:stretch>
                      <a:fillRect/>
                    </a:stretch>
                  </pic:blipFill>
                  <pic:spPr>
                    <a:xfrm>
                      <a:off x="0" y="0"/>
                      <a:ext cx="314325" cy="352425"/>
                    </a:xfrm>
                    <a:prstGeom prst="rect"/>
                  </pic:spPr>
                </pic:pic>
              </a:graphicData>
            </a:graphic>
          </wp:anchor>
        </w:drawing>
      </w:r>
    </w:p>
    <w:p>
      <w:pPr>
        <w:jc w:val="both"/>
      </w:pPr>
      <w:r>
        <w:rPr>
          <w:rFonts w:ascii="Times New Roman" w:hAnsi="Times New Roman" w:cs="Times New Roman"/>
          <w:rtl w:val="0"/>
          <w:lang w:val="sv-SE" w:bidi="sv-SE" w:eastAsia="sv-SE"/>
        </w:rPr>
        <w:t xml:space="preserve"> </w:t>
      </w:r>
      <w:bookmarkStart w:id="103" w:name="mo_motivtillreglering15"/>
      <w:r>
        <w:rPr>
          <w:rFonts w:ascii="Times New Roman" w:hAnsi="Times New Roman" w:cs="Times New Roman"/>
        </w:rPr>
        <w:t xml:space="preserve">En- och tvåbostadshus. Syftet är att reglera vad för typ av byggnadsverk som får uppföras. </w:t>
      </w:r>
      <w:bookmarkEnd w:id="103"/>
      <w:r>
        <w:rPr>
          <w:rFonts w:ascii="Times New Roman" w:hAnsi="Times New Roman" w:cs="Times New Roman"/>
        </w:rPr>
        <w:t xml:space="preserve"> </w:t>
      </w:r>
    </w:p>
    <w:p>
      <w:pPr>
        <w:jc w:val="both"/>
      </w:pPr>
      <w:r>
        <w:rPr>
          <w:noProof w:val="1"/>
        </w:rPr>
        <w:drawing>
          <wp:anchor xmlns:wp="http://schemas.openxmlformats.org/drawingml/2006/wordprocessingDrawing" distT="0" distB="0" distL="114300" distR="114300" simplePos="0" relativeHeight="24" behindDoc="0" locked="0" layoutInCell="1" allowOverlap="1">
            <wp:simplePos x="0" y="0"/>
            <wp:positionH relativeFrom="margin">
              <wp:posOffset>185420</wp:posOffset>
            </wp:positionH>
            <wp:positionV relativeFrom="paragraph">
              <wp:posOffset>0</wp:posOffset>
            </wp:positionV>
            <wp:extent cx="352425" cy="428625"/>
            <wp:effectExtent l="0" t="0" r="9525" b="9525"/>
            <wp:wrapThrough wrapText="bothSides">
              <wp:wrapPolygon edited="0">
                <wp:start x="0" y="0"/>
                <wp:lineTo x="0" y="21120"/>
                <wp:lineTo x="21016" y="21120"/>
                <wp:lineTo x="21016" y="0"/>
                <wp:lineTo x="0" y="0"/>
              </wp:wrapPolygon>
            </wp:wrapThrough>
            <wp:docPr id="48" name="Bildobjekt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Bildobjekt 48"/>
                    <pic:cNvPicPr/>
                  </pic:nvPicPr>
                  <pic:blipFill dpi="0">
                    <a:blip xmlns:r="http://schemas.openxmlformats.org/officeDocument/2006/relationships" r:embed="Relimage16"/>
                    <a:srcRect/>
                    <a:stretch>
                      <a:fillRect/>
                    </a:stretch>
                  </pic:blipFill>
                  <pic:spPr>
                    <a:xfrm>
                      <a:off x="0" y="0"/>
                      <a:ext cx="352425" cy="428625"/>
                    </a:xfrm>
                    <a:prstGeom prst="rect"/>
                  </pic:spPr>
                </pic:pic>
              </a:graphicData>
            </a:graphic>
          </wp:anchor>
        </w:drawing>
      </w:r>
      <w:bookmarkStart w:id="104" w:name="mo_motivtillreglering16"/>
      <w:r>
        <w:t xml:space="preserve">Endast parhus får finnas, området är redan bebyggd sedan tidigare med parhus och får fortsättningsvis vara så. </w:t>
      </w:r>
      <w:bookmarkEnd w:id="104"/>
    </w:p>
    <w:p>
      <w:pPr>
        <w:jc w:val="both"/>
      </w:pPr>
      <w:r>
        <w:rPr>
          <w:noProof w:val="1"/>
        </w:rPr>
        <w:drawing>
          <wp:anchor xmlns:wp="http://schemas.openxmlformats.org/drawingml/2006/wordprocessingDrawing" distT="0" distB="0" distL="114300" distR="114300" simplePos="0" relativeHeight="25" behindDoc="0" locked="0" layoutInCell="1" allowOverlap="1">
            <wp:simplePos x="0" y="0"/>
            <wp:positionH relativeFrom="column">
              <wp:posOffset>286385</wp:posOffset>
            </wp:positionH>
            <wp:positionV relativeFrom="paragraph">
              <wp:posOffset>29845</wp:posOffset>
            </wp:positionV>
            <wp:extent cx="352425" cy="438150"/>
            <wp:effectExtent l="0" t="0" r="9525" b="0"/>
            <wp:wrapThrough wrapText="bothSides">
              <wp:wrapPolygon edited="0">
                <wp:start x="0" y="0"/>
                <wp:lineTo x="0" y="20661"/>
                <wp:lineTo x="21016" y="20661"/>
                <wp:lineTo x="21016" y="0"/>
                <wp:lineTo x="0" y="0"/>
              </wp:wrapPolygon>
            </wp:wrapThrough>
            <wp:docPr id="49" name="Bildobjekt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Bildobjekt 49"/>
                    <pic:cNvPicPr/>
                  </pic:nvPicPr>
                  <pic:blipFill dpi="0">
                    <a:blip xmlns:r="http://schemas.openxmlformats.org/officeDocument/2006/relationships" r:embed="Relimage17"/>
                    <a:srcRect/>
                    <a:stretch>
                      <a:fillRect/>
                    </a:stretch>
                  </pic:blipFill>
                  <pic:spPr>
                    <a:xfrm>
                      <a:off x="0" y="0"/>
                      <a:ext cx="352425" cy="438150"/>
                    </a:xfrm>
                    <a:prstGeom prst="rect"/>
                  </pic:spPr>
                </pic:pic>
              </a:graphicData>
            </a:graphic>
          </wp:anchor>
        </w:drawing>
      </w:r>
      <w:bookmarkStart w:id="105" w:name="mo_motivtillreglering17"/>
      <w:r>
        <w:t>Komplementbyggnader får uppföras om maximalt 10 kvm per bostad och till en högsta nockhöjd om 3 meter. Syftet är att möjliggöra för boenden att uppföra mindre komplementbyggnader och styra vart den ska placeras.</w:t>
      </w:r>
      <w:bookmarkEnd w:id="105"/>
      <w:r>
        <w:t xml:space="preserve">  </w:t>
      </w:r>
    </w:p>
    <w:p>
      <w:pPr>
        <w:jc w:val="both"/>
      </w:pPr>
      <w:r>
        <w:rPr>
          <w:noProof w:val="1"/>
        </w:rPr>
        <w:drawing>
          <wp:anchor xmlns:wp="http://schemas.openxmlformats.org/drawingml/2006/wordprocessingDrawing" distT="0" distB="0" distL="114300" distR="114300" simplePos="0" relativeHeight="9" behindDoc="0" locked="0" layoutInCell="1" allowOverlap="1">
            <wp:simplePos x="0" y="0"/>
            <wp:positionH relativeFrom="column">
              <wp:posOffset>316865</wp:posOffset>
            </wp:positionH>
            <wp:positionV relativeFrom="paragraph">
              <wp:posOffset>100330</wp:posOffset>
            </wp:positionV>
            <wp:extent cx="323850" cy="428625"/>
            <wp:effectExtent l="0" t="0" r="0" b="9525"/>
            <wp:wrapThrough wrapText="bothSides">
              <wp:wrapPolygon edited="0">
                <wp:start x="0" y="0"/>
                <wp:lineTo x="0" y="21120"/>
                <wp:lineTo x="20329" y="21120"/>
                <wp:lineTo x="20329" y="0"/>
                <wp:lineTo x="0" y="0"/>
              </wp:wrapPolygon>
            </wp:wrapThrough>
            <wp:docPr id="27" name="Bildobjekt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Bildobjekt 27"/>
                    <pic:cNvPicPr/>
                  </pic:nvPicPr>
                  <pic:blipFill dpi="0">
                    <a:blip xmlns:r="http://schemas.openxmlformats.org/officeDocument/2006/relationships" r:embed="Relimage18"/>
                    <a:srcRect/>
                    <a:stretch>
                      <a:fillRect/>
                    </a:stretch>
                  </pic:blipFill>
                  <pic:spPr>
                    <a:xfrm>
                      <a:off x="0" y="0"/>
                      <a:ext cx="323850" cy="428625"/>
                    </a:xfrm>
                    <a:prstGeom prst="rect"/>
                  </pic:spPr>
                </pic:pic>
              </a:graphicData>
            </a:graphic>
          </wp:anchor>
        </w:drawing>
      </w:r>
    </w:p>
    <w:p>
      <w:pPr>
        <w:jc w:val="both"/>
        <w:rPr>
          <w:rFonts w:ascii="Times New Roman" w:hAnsi="Times New Roman" w:cs="Times New Roman"/>
        </w:rPr>
      </w:pPr>
      <w:bookmarkStart w:id="106" w:name="mo_motivtillreglering18"/>
      <w:r>
        <w:rPr>
          <w:rFonts w:ascii="Times New Roman" w:hAnsi="Times New Roman" w:cs="Times New Roman"/>
        </w:rPr>
        <w:t xml:space="preserve">Huvudbyggnader ska placeras med långsidan parallellt mot Skarv Einars väg. Syftet med bestämmelsen är att styra byggnaders placering. </w:t>
      </w:r>
      <w:bookmarkEnd w:id="106"/>
    </w:p>
    <w:p>
      <w:pPr>
        <w:jc w:val="both"/>
        <w:rPr>
          <w:rFonts w:ascii="Times New Roman" w:hAnsi="Times New Roman" w:cs="Times New Roman"/>
        </w:rPr>
      </w:pPr>
    </w:p>
    <w:p>
      <w:pPr>
        <w:tabs>
          <w:tab w:val="left" w:pos="6120" w:leader="none"/>
        </w:tabs>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7" behindDoc="0" locked="0" layoutInCell="1" allowOverlap="1">
            <wp:simplePos x="0" y="0"/>
            <wp:positionH relativeFrom="column">
              <wp:posOffset>164465</wp:posOffset>
            </wp:positionH>
            <wp:positionV relativeFrom="paragraph">
              <wp:posOffset>12065</wp:posOffset>
            </wp:positionV>
            <wp:extent cx="474345" cy="389255"/>
            <wp:effectExtent l="0" t="0" r="1905" b="0"/>
            <wp:wrapSquare wrapText="bothSides"/>
            <wp:docPr id="64" name="Bildobjekt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Bildobjekt 64"/>
                    <pic:cNvPicPr/>
                  </pic:nvPicPr>
                  <pic:blipFill dpi="0">
                    <a:blip xmlns:r="http://schemas.openxmlformats.org/officeDocument/2006/relationships" r:embed="Relimage19"/>
                    <a:srcRect/>
                    <a:stretch>
                      <a:fillRect/>
                    </a:stretch>
                  </pic:blipFill>
                  <pic:spPr>
                    <a:xfrm>
                      <a:off x="0" y="0"/>
                      <a:ext cx="474345" cy="389255"/>
                    </a:xfrm>
                    <a:prstGeom prst="rect"/>
                  </pic:spPr>
                </pic:pic>
              </a:graphicData>
            </a:graphic>
          </wp:anchor>
        </w:drawing>
      </w:r>
      <w:bookmarkStart w:id="107" w:name="mo_motivtillreglering19"/>
      <w:r>
        <w:rPr>
          <w:rFonts w:ascii="Times New Roman" w:hAnsi="Times New Roman" w:cs="Times New Roman"/>
        </w:rPr>
        <w:t>Byggnad ska placeras minst 4,5 meter från fastighetsgräns. Syftet med bestämmelsen är att styra placering av byggnader.</w:t>
      </w:r>
      <w:bookmarkEnd w:id="107"/>
      <w:r>
        <w:rPr>
          <w:rFonts w:ascii="Times New Roman" w:hAnsi="Times New Roman" w:cs="Times New Roman"/>
        </w:rPr>
        <w:t xml:space="preserve">  </w:t>
      </w:r>
    </w:p>
    <w:p>
      <w:pPr>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26" behindDoc="0" locked="0" layoutInCell="1" allowOverlap="1">
            <wp:simplePos x="0" y="0"/>
            <wp:positionH relativeFrom="column">
              <wp:posOffset>319405</wp:posOffset>
            </wp:positionH>
            <wp:positionV relativeFrom="paragraph">
              <wp:posOffset>143510</wp:posOffset>
            </wp:positionV>
            <wp:extent cx="342900" cy="381000"/>
            <wp:effectExtent l="0" t="0" r="0" b="0"/>
            <wp:wrapThrough wrapText="bothSides">
              <wp:wrapPolygon edited="0">
                <wp:start x="0" y="0"/>
                <wp:lineTo x="0" y="20520"/>
                <wp:lineTo x="20400" y="20520"/>
                <wp:lineTo x="20400" y="0"/>
                <wp:lineTo x="0" y="0"/>
              </wp:wrapPolygon>
            </wp:wrapThrough>
            <wp:docPr id="50" name="Bildobjekt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Bildobjekt 50"/>
                    <pic:cNvPicPr/>
                  </pic:nvPicPr>
                  <pic:blipFill dpi="0">
                    <a:blip xmlns:r="http://schemas.openxmlformats.org/officeDocument/2006/relationships" r:embed="Relimage20"/>
                    <a:srcRect/>
                    <a:stretch>
                      <a:fillRect/>
                    </a:stretch>
                  </pic:blipFill>
                  <pic:spPr>
                    <a:xfrm>
                      <a:off x="0" y="0"/>
                      <a:ext cx="342948" cy="381053"/>
                    </a:xfrm>
                    <a:prstGeom prst="rect"/>
                  </pic:spPr>
                </pic:pic>
              </a:graphicData>
            </a:graphic>
          </wp:anchor>
        </w:drawing>
      </w:r>
    </w:p>
    <w:p>
      <w:pPr>
        <w:jc w:val="both"/>
        <w:rPr>
          <w:rFonts w:ascii="Times New Roman" w:hAnsi="Times New Roman" w:cs="Times New Roman"/>
        </w:rPr>
      </w:pPr>
      <w:bookmarkStart w:id="108" w:name="mo_motivtillreglering20"/>
      <w:r>
        <w:rPr>
          <w:rFonts w:ascii="Times New Roman" w:hAnsi="Times New Roman" w:cs="Times New Roman"/>
        </w:rPr>
        <w:t>Parkering och lastning. Syftet är att tydliggöra vart parkering och lastning får finnas.</w:t>
      </w:r>
      <w:bookmarkEnd w:id="108"/>
      <w:r>
        <w:rPr>
          <w:rFonts w:ascii="Times New Roman" w:hAnsi="Times New Roman" w:cs="Times New Roman"/>
        </w:rPr>
        <w:t xml:space="preserve"> </w:t>
      </w:r>
    </w:p>
    <w:p>
      <w:pPr>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8" behindDoc="0" locked="0" layoutInCell="1" allowOverlap="1">
            <wp:simplePos x="0" y="0"/>
            <wp:positionH relativeFrom="column">
              <wp:posOffset>299085</wp:posOffset>
            </wp:positionH>
            <wp:positionV relativeFrom="paragraph">
              <wp:posOffset>135890</wp:posOffset>
            </wp:positionV>
            <wp:extent cx="359410" cy="371475"/>
            <wp:effectExtent l="0" t="0" r="2540" b="9525"/>
            <wp:wrapSquare wrapText="bothSides"/>
            <wp:docPr id="65" name="Bildobjekt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Bildobjekt 65"/>
                    <pic:cNvPicPr/>
                  </pic:nvPicPr>
                  <pic:blipFill dpi="0">
                    <a:blip xmlns:r="http://schemas.openxmlformats.org/officeDocument/2006/relationships" r:embed="Relimage21"/>
                    <a:srcRect/>
                    <a:stretch>
                      <a:fillRect/>
                    </a:stretch>
                  </pic:blipFill>
                  <pic:spPr>
                    <a:xfrm>
                      <a:off x="0" y="0"/>
                      <a:ext cx="359410" cy="371475"/>
                    </a:xfrm>
                    <a:prstGeom prst="rect"/>
                  </pic:spPr>
                </pic:pic>
              </a:graphicData>
            </a:graphic>
          </wp:anchor>
        </w:drawing>
      </w:r>
    </w:p>
    <w:p>
      <w:pPr>
        <w:jc w:val="both"/>
        <w:rPr>
          <w:rFonts w:ascii="Times New Roman" w:hAnsi="Times New Roman" w:cs="Times New Roman"/>
        </w:rPr>
      </w:pPr>
      <w:bookmarkStart w:id="109" w:name="mo_motivtillreglering21"/>
      <w:r>
        <w:rPr>
          <w:rFonts w:ascii="Times New Roman" w:hAnsi="Times New Roman" w:cs="Times New Roman"/>
        </w:rPr>
        <w:t>Avgränsning i form av häck eller annan vegetation ska finnas mot allmän plats. Syftet med bestämmelsen är att avskilja vad som är privat mark och allmän plats.</w:t>
      </w:r>
    </w:p>
    <w:p>
      <w:pPr>
        <w:jc w:val="both"/>
        <w:rPr>
          <w:rFonts w:ascii="Times New Roman" w:hAnsi="Times New Roman" w:cs="Times New Roman"/>
        </w:rPr>
      </w:pPr>
      <w:bookmarkEnd w:id="109"/>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jc w:val="both"/>
        <w:rPr>
          <w:rFonts w:ascii="Times New Roman" w:hAnsi="Times New Roman" w:cs="Times New Roman"/>
        </w:rPr>
      </w:pPr>
    </w:p>
    <w:p>
      <w:pPr>
        <w:pStyle w:val="P10"/>
        <w:rPr>
          <w:color w:val="C00000"/>
          <w:sz w:val="28"/>
          <w:szCs w:val="28"/>
          <w:u w:val="none"/>
        </w:rPr>
      </w:pPr>
      <w:bookmarkStart w:id="110" w:name="_Toc107476980"/>
      <w:bookmarkStart w:id="111" w:name="_Toc126834302"/>
      <w:bookmarkStart w:id="112" w:name="_Toc120016343"/>
      <w:r>
        <w:rPr>
          <w:color w:val="C00000"/>
          <w:sz w:val="28"/>
          <w:szCs w:val="28"/>
          <w:u w:val="none"/>
        </w:rPr>
        <w:t>PLANERINGSFÖRUTSÄTTNINGAR</w:t>
      </w:r>
      <w:bookmarkEnd w:id="95"/>
      <w:bookmarkEnd w:id="96"/>
      <w:bookmarkEnd w:id="110"/>
      <w:bookmarkEnd w:id="111"/>
      <w:bookmarkEnd w:id="112"/>
    </w:p>
    <w:p>
      <w:pPr>
        <w:pStyle w:val="P11"/>
        <w:rPr>
          <w:color w:val="C00000"/>
          <w:sz w:val="22"/>
          <w:szCs w:val="22"/>
        </w:rPr>
      </w:pPr>
      <w:bookmarkStart w:id="113" w:name="_Toc89445992"/>
      <w:bookmarkStart w:id="114" w:name="_Toc107476981"/>
      <w:bookmarkStart w:id="115" w:name="_Toc120016344"/>
      <w:bookmarkStart w:id="116" w:name="_Toc126834303"/>
      <w:bookmarkStart w:id="117" w:name="_Toc90561146"/>
      <w:r>
        <w:rPr>
          <w:caps w:val="0"/>
          <w:color w:val="C00000"/>
          <w:sz w:val="22"/>
          <w:szCs w:val="22"/>
        </w:rPr>
        <w:t>KOMMUNALA</w:t>
      </w:r>
      <w:bookmarkEnd w:id="113"/>
      <w:bookmarkEnd w:id="114"/>
      <w:bookmarkEnd w:id="115"/>
      <w:bookmarkEnd w:id="116"/>
      <w:bookmarkEnd w:id="117"/>
    </w:p>
    <w:p>
      <w:pPr>
        <w:ind w:left="113"/>
        <w:jc w:val="both"/>
        <w:rPr>
          <w:rFonts w:ascii="Times New Roman" w:hAnsi="Times New Roman" w:cs="Times New Roman"/>
        </w:rPr>
      </w:pPr>
      <w:bookmarkStart w:id="118" w:name="pf_kommunala01"/>
      <w:r>
        <w:rPr>
          <w:rFonts w:ascii="Times New Roman" w:hAnsi="Times New Roman" w:cs="Times New Roman"/>
        </w:rPr>
        <w:t xml:space="preserve">Historiskt har bostadsbebyggelsen i kommunen koncentrerats till Kolbäcksåns dalgång, utmed Barkensjöarnas stränder, samt längst stråk av järnväg, vägar och i byar med hyttor och lantbruksfastigheter. Dessa stråk förstärks än idag med tydlig koncentration av nybyggnationer längst Barkens stränder och i befintliga orter. Enligt Smedjebackens översiktsplan (2018) ska kommunen ha en god planberedskap som ska bidra till att medvetet styra orters utbyggnad, centrala Söderbärke är en av områden som är tydligt utpekad i översiktsplanen som områden för framtida bebyggelse.  </w:t>
      </w:r>
    </w:p>
    <w:p>
      <w:pPr>
        <w:pStyle w:val="P12"/>
        <w:numPr>
          <w:ilvl w:val="2"/>
          <w:numId w:val="3"/>
        </w:numPr>
        <w:jc w:val="both"/>
        <w:rPr>
          <w:color w:val="C00000"/>
          <w:sz w:val="22"/>
        </w:rPr>
      </w:pPr>
      <w:bookmarkEnd w:id="118"/>
      <w:bookmarkStart w:id="119" w:name="_Toc89445993"/>
      <w:bookmarkStart w:id="120" w:name="_Toc90561147"/>
      <w:r>
        <w:rPr>
          <w:caps w:val="0"/>
          <w:color w:val="C00000"/>
          <w:sz w:val="22"/>
        </w:rPr>
        <w:t>GÄLLANDE DETALJPLAN</w:t>
      </w:r>
      <w:bookmarkEnd w:id="119"/>
      <w:bookmarkEnd w:id="120"/>
      <w:r>
        <w:rPr>
          <w:caps w:val="0"/>
          <w:color w:val="C00000"/>
          <w:sz w:val="22"/>
        </w:rPr>
        <w:t xml:space="preserve"> </w:t>
      </w:r>
    </w:p>
    <w:p>
      <w:pPr>
        <w:ind w:left="340"/>
        <w:jc w:val="both"/>
        <w:rPr>
          <w:rFonts w:ascii="Times New Roman" w:hAnsi="Times New Roman" w:cs="Times New Roman"/>
        </w:rPr>
      </w:pPr>
      <w:bookmarkStart w:id="121" w:name="pf_detaljplan01"/>
      <w:r>
        <w:rPr>
          <w:rFonts w:ascii="Times New Roman" w:hAnsi="Times New Roman" w:cs="Times New Roman"/>
        </w:rPr>
        <w:t xml:space="preserve">Hela området är detaljplanelagt sedan tidigare. Den gällande detaljplanen för området har vunnit laga kraft 1991-01-23 som medger användning av bostäder samt förskola. Sedan dess har området utvecklats och det har funnits behov för ytterligare lokaler för förskoleverksamhet, vilket har inneburit att Solhyttans förskola uppförts med tillfälliga bygglov på kvartersmark för bostäder. </w:t>
      </w:r>
    </w:p>
    <w:p>
      <w:pPr>
        <w:jc w:val="both"/>
        <w:rPr>
          <w:rFonts w:ascii="Times New Roman" w:hAnsi="Times New Roman" w:cs="Times New Roman"/>
        </w:rPr>
      </w:pPr>
    </w:p>
    <w:p>
      <w:pPr>
        <w:ind w:left="340"/>
        <w:jc w:val="both"/>
        <w:rPr>
          <w:rFonts w:ascii="Times New Roman" w:hAnsi="Times New Roman" w:cs="Times New Roman"/>
        </w:rPr>
      </w:pPr>
      <w:r>
        <w:rPr>
          <w:noProof w:val="1"/>
          <w:color w:val="C00000"/>
        </w:rPr>
        <w:drawing>
          <wp:anchor xmlns:wp="http://schemas.openxmlformats.org/drawingml/2006/wordprocessingDrawing" distT="0" distB="0" distL="114300" distR="114300" simplePos="0" relativeHeight="15" behindDoc="0" locked="0" layoutInCell="1" allowOverlap="1">
            <wp:simplePos x="0" y="0"/>
            <wp:positionH relativeFrom="margin">
              <wp:align>center</wp:align>
            </wp:positionH>
            <wp:positionV relativeFrom="paragraph">
              <wp:posOffset>200025</wp:posOffset>
            </wp:positionV>
            <wp:extent cx="6333490" cy="4735830"/>
            <wp:effectExtent l="0" t="0" r="0" b="7620"/>
            <wp:wrapThrough wrapText="bothSides">
              <wp:wrapPolygon edited="0">
                <wp:start x="0" y="0"/>
                <wp:lineTo x="0" y="21548"/>
                <wp:lineTo x="21505" y="21548"/>
                <wp:lineTo x="21505" y="0"/>
                <wp:lineTo x="0" y="0"/>
              </wp:wrapPolygon>
            </wp:wrapThrough>
            <wp:docPr id="35" name="Bildobjekt 35"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Bildobjekt 35" descr="En bild som visar karta&#10;&#10;Automatiskt genererad beskrivning"/>
                    <pic:cNvPicPr/>
                  </pic:nvPicPr>
                  <pic:blipFill dpi="0">
                    <a:blip xmlns:r="http://schemas.openxmlformats.org/officeDocument/2006/relationships" r:embed="Relimage22" cstate="print"/>
                    <a:srcRect/>
                    <a:stretch>
                      <a:fillRect/>
                    </a:stretch>
                  </pic:blipFill>
                  <pic:spPr>
                    <a:xfrm>
                      <a:off x="0" y="0"/>
                      <a:ext cx="6333490" cy="4735830"/>
                    </a:xfrm>
                    <a:prstGeom prst="rect"/>
                  </pic:spPr>
                </pic:pic>
              </a:graphicData>
            </a:graphic>
          </wp:anchor>
        </w:drawing>
      </w:r>
    </w:p>
    <w:p>
      <w:pPr>
        <w:ind w:left="340"/>
        <w:jc w:val="both"/>
        <w:rPr>
          <w:rFonts w:ascii="Times New Roman" w:hAnsi="Times New Roman" w:cs="Times New Roman"/>
        </w:rPr>
      </w:pPr>
    </w:p>
    <w:p>
      <w:pPr>
        <w:ind w:left="340"/>
        <w:jc w:val="both"/>
        <w:rPr>
          <w:rFonts w:ascii="Times New Roman" w:hAnsi="Times New Roman" w:cs="Times New Roman"/>
        </w:rPr>
      </w:pPr>
    </w:p>
    <w:p>
      <w:pPr>
        <w:jc w:val="both"/>
        <w:rPr>
          <w:rFonts w:ascii="Times New Roman" w:hAnsi="Times New Roman" w:cs="Times New Roman"/>
        </w:rPr>
      </w:pPr>
    </w:p>
    <w:p>
      <w:pPr>
        <w:ind w:left="340"/>
        <w:jc w:val="both"/>
        <w:rPr>
          <w:rFonts w:ascii="Times New Roman" w:hAnsi="Times New Roman" w:cs="Times New Roman"/>
        </w:rPr>
      </w:pPr>
      <w:r>
        <w:rPr>
          <w:rFonts w:ascii="Times New Roman" w:hAnsi="Times New Roman" w:cs="Times New Roman"/>
        </w:rPr>
        <w:t>E</w:t>
      </w:r>
      <w:bookmarkStart w:id="122" w:name="_Hlk112143126"/>
      <w:r>
        <w:rPr>
          <w:rFonts w:ascii="Times New Roman" w:hAnsi="Times New Roman" w:cs="Times New Roman"/>
        </w:rPr>
        <w:t xml:space="preserve">n detaljplaneändring gjordes 1998 för att överföra en del av ”naturpark” till kvartersmark. Planändringen omfattade ett relativt litet område, i samband med att förskolan byggdes på tomten intill, lades jordmassor upp i en kulle som började användas som lek - och pulkabacke av förskolans barn. Avsikten var att skydda detta lekområde och hänga in området med staket så att det blir en del av förskolans tomt. </w:t>
      </w:r>
    </w:p>
    <w:p>
      <w:pPr>
        <w:ind w:left="340"/>
        <w:jc w:val="both"/>
        <w:rPr>
          <w:rFonts w:ascii="Times New Roman" w:hAnsi="Times New Roman" w:cs="Times New Roman"/>
        </w:rPr>
      </w:pPr>
      <w:bookmarkEnd w:id="122"/>
      <w:r>
        <w:rPr>
          <w:rFonts w:ascii="Times New Roman" w:hAnsi="Times New Roman" w:cs="Times New Roman"/>
          <w:noProof w:val="1"/>
        </w:rPr>
        <w:drawing>
          <wp:anchor xmlns:wp="http://schemas.openxmlformats.org/drawingml/2006/wordprocessingDrawing" distT="0" distB="0" distL="114300" distR="114300" simplePos="0" relativeHeight="19" behindDoc="0" locked="0" layoutInCell="1" allowOverlap="1">
            <wp:simplePos x="0" y="0"/>
            <wp:positionH relativeFrom="margin">
              <wp:posOffset>221615</wp:posOffset>
            </wp:positionH>
            <wp:positionV relativeFrom="paragraph">
              <wp:posOffset>12065</wp:posOffset>
            </wp:positionV>
            <wp:extent cx="5201285" cy="3900170"/>
            <wp:effectExtent l="0" t="0" r="0" b="5080"/>
            <wp:wrapThrough wrapText="bothSides">
              <wp:wrapPolygon edited="0">
                <wp:start x="0" y="0"/>
                <wp:lineTo x="0" y="21523"/>
                <wp:lineTo x="21518" y="21523"/>
                <wp:lineTo x="21518" y="0"/>
                <wp:lineTo x="0" y="0"/>
              </wp:wrapPolygon>
            </wp:wrapThrough>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pic:cNvPicPr/>
                  </pic:nvPicPr>
                  <pic:blipFill dpi="0">
                    <a:blip xmlns:r="http://schemas.openxmlformats.org/officeDocument/2006/relationships" r:embed="Relimage23"/>
                    <a:srcRect/>
                    <a:stretch>
                      <a:fillRect/>
                    </a:stretch>
                  </pic:blipFill>
                  <pic:spPr>
                    <a:xfrm>
                      <a:off x="0" y="0"/>
                      <a:ext cx="5201285" cy="3900170"/>
                    </a:xfrm>
                    <a:prstGeom prst="rect"/>
                  </pic:spPr>
                </pic:pic>
              </a:graphicData>
            </a:graphic>
          </wp:anchor>
        </w:drawing>
      </w:r>
    </w:p>
    <w:p>
      <w:pPr>
        <w:ind w:left="340"/>
        <w:jc w:val="both"/>
        <w:rPr>
          <w:rFonts w:ascii="Times New Roman" w:hAnsi="Times New Roman" w:cs="Times New Roman"/>
        </w:rPr>
      </w:pPr>
      <w:r>
        <w:rPr>
          <w:rFonts w:ascii="Times New Roman" w:hAnsi="Times New Roman" w:cs="Times New Roman"/>
        </w:rPr>
        <w:t xml:space="preserve">Ovanstående detaljplaner berörs direkt av aktuell plan, dessa områden ingår i den nya detaljplanen och därmed upphör tidigare detaljplaner att gälla vid den tidpunkt då den nya detaljplanen vinner laga kraft. </w:t>
      </w:r>
    </w:p>
    <w:p>
      <w:pPr>
        <w:pStyle w:val="P13"/>
        <w:numPr>
          <w:ilvl w:val="0"/>
          <w:numId w:val="27"/>
        </w:numPr>
        <w:jc w:val="both"/>
        <w:rPr>
          <w:rFonts w:ascii="Times New Roman" w:hAnsi="Times New Roman" w:cs="Times New Roman"/>
        </w:rPr>
      </w:pPr>
      <w:r>
        <w:rPr>
          <w:rFonts w:ascii="Times New Roman" w:hAnsi="Times New Roman" w:cs="Times New Roman"/>
        </w:rPr>
        <w:t xml:space="preserve">Detaljplan för Norra Brustorpet, Smedjebackens kommun, fastställd 1991 – 01 – 23 </w:t>
      </w:r>
    </w:p>
    <w:p>
      <w:pPr>
        <w:pStyle w:val="P13"/>
        <w:ind w:left="1060"/>
        <w:jc w:val="both"/>
        <w:rPr>
          <w:rFonts w:ascii="Times New Roman" w:hAnsi="Times New Roman" w:cs="Times New Roman"/>
        </w:rPr>
      </w:pPr>
    </w:p>
    <w:p>
      <w:pPr>
        <w:pStyle w:val="P13"/>
        <w:numPr>
          <w:ilvl w:val="0"/>
          <w:numId w:val="27"/>
        </w:numPr>
        <w:jc w:val="both"/>
        <w:rPr>
          <w:rFonts w:ascii="Times New Roman" w:hAnsi="Times New Roman" w:cs="Times New Roman"/>
        </w:rPr>
      </w:pPr>
      <w:r>
        <w:rPr>
          <w:rFonts w:ascii="Times New Roman" w:hAnsi="Times New Roman" w:cs="Times New Roman"/>
        </w:rPr>
        <w:t xml:space="preserve">Detaljplan för område öster om daghemmet Solhyttan Söderbärke, Smedjebackens kommun, fastställd 1998 – 09 – 24 </w:t>
      </w:r>
    </w:p>
    <w:p>
      <w:pPr>
        <w:pStyle w:val="P13"/>
        <w:jc w:val="both"/>
        <w:rPr>
          <w:rFonts w:ascii="Times New Roman" w:hAnsi="Times New Roman" w:cs="Times New Roman"/>
        </w:rPr>
      </w:pPr>
    </w:p>
    <w:p>
      <w:pPr>
        <w:pStyle w:val="P13"/>
        <w:jc w:val="both"/>
        <w:rPr>
          <w:rFonts w:ascii="Times New Roman" w:hAnsi="Times New Roman" w:cs="Times New Roman"/>
        </w:rPr>
      </w:pPr>
    </w:p>
    <w:p>
      <w:pPr>
        <w:pStyle w:val="P12"/>
        <w:jc w:val="both"/>
        <w:rPr>
          <w:color w:val="C00000"/>
          <w:sz w:val="22"/>
        </w:rPr>
      </w:pPr>
      <w:bookmarkEnd w:id="121"/>
      <w:bookmarkStart w:id="123" w:name="_Toc89445994"/>
      <w:bookmarkStart w:id="124" w:name="_Toc90561148"/>
      <w:r>
        <w:rPr>
          <w:color w:val="C00000"/>
          <w:sz w:val="22"/>
        </w:rPr>
        <w:t>OMRÅDESBESTÄMMELSER</w:t>
      </w:r>
      <w:bookmarkEnd w:id="123"/>
      <w:bookmarkEnd w:id="124"/>
      <w:r>
        <w:rPr>
          <w:color w:val="C00000"/>
          <w:sz w:val="22"/>
        </w:rPr>
        <w:t xml:space="preserve"> </w:t>
      </w:r>
    </w:p>
    <w:p>
      <w:pPr>
        <w:ind w:left="340"/>
        <w:jc w:val="both"/>
        <w:rPr>
          <w:caps w:val="0"/>
          <w:color w:val="C00000"/>
          <w:sz w:val="22"/>
        </w:rPr>
      </w:pPr>
      <w:bookmarkStart w:id="125" w:name="pf_områdesbestämmelser01"/>
      <w:r>
        <w:rPr>
          <w:rFonts w:ascii="Times New Roman" w:hAnsi="Times New Roman" w:cs="Times New Roman"/>
        </w:rPr>
        <w:t xml:space="preserve">Kommunen får reglera användningen av mark- och vattenområden och bebyggelse i detaljplaner och områdesbestämmelser. Planområdet omfattas inte av någon områdesbestämmelse. </w:t>
      </w:r>
    </w:p>
    <w:p>
      <w:pPr>
        <w:ind w:left="340"/>
        <w:jc w:val="both"/>
        <w:rPr>
          <w:rFonts w:ascii="Times New Roman" w:hAnsi="Times New Roman" w:cs="Times New Roman"/>
        </w:rPr>
      </w:pPr>
      <w:bookmarkEnd w:id="125"/>
    </w:p>
    <w:p>
      <w:pPr>
        <w:pStyle w:val="P12"/>
        <w:numPr>
          <w:ilvl w:val="2"/>
          <w:numId w:val="3"/>
        </w:numPr>
        <w:jc w:val="both"/>
        <w:rPr>
          <w:color w:val="C00000"/>
          <w:sz w:val="22"/>
        </w:rPr>
      </w:pPr>
      <w:bookmarkStart w:id="126" w:name="_Toc89445997"/>
      <w:bookmarkStart w:id="127" w:name="_Toc90561151"/>
      <w:r>
        <w:rPr>
          <w:caps w:val="0"/>
          <w:color w:val="C00000"/>
          <w:sz w:val="22"/>
        </w:rPr>
        <w:t>PLANBESKED</w:t>
      </w:r>
      <w:bookmarkEnd w:id="126"/>
      <w:bookmarkEnd w:id="127"/>
    </w:p>
    <w:p>
      <w:pPr>
        <w:ind w:left="340"/>
        <w:jc w:val="both"/>
        <w:rPr>
          <w:rFonts w:ascii="Times New Roman" w:hAnsi="Times New Roman" w:cs="Times New Roman"/>
        </w:rPr>
      </w:pPr>
      <w:bookmarkStart w:id="128" w:name="pf_planbesked01"/>
      <w:r>
        <w:rPr>
          <w:rFonts w:ascii="Times New Roman" w:hAnsi="Times New Roman" w:cs="Times New Roman"/>
        </w:rPr>
        <w:t xml:space="preserve">Miljö-och byggnadsnämnden i Smedjebackens kommun beviljade begäran om planbesked 16 mars 2022 för Norra Brustorpet och gav miljö-och byggkontoret uppdrag att ta fram förslag till detaljplan. </w:t>
      </w:r>
    </w:p>
    <w:p>
      <w:pPr>
        <w:ind w:left="340"/>
        <w:jc w:val="both"/>
        <w:rPr>
          <w:rFonts w:ascii="Times New Roman" w:hAnsi="Times New Roman" w:cs="Times New Roman"/>
        </w:rPr>
      </w:pPr>
      <w:bookmarkEnd w:id="128"/>
    </w:p>
    <w:p>
      <w:pPr>
        <w:pStyle w:val="P12"/>
        <w:numPr>
          <w:ilvl w:val="2"/>
          <w:numId w:val="3"/>
        </w:numPr>
        <w:jc w:val="both"/>
        <w:rPr>
          <w:color w:val="C00000"/>
          <w:sz w:val="22"/>
        </w:rPr>
      </w:pPr>
      <w:bookmarkStart w:id="129" w:name="_Toc89445999"/>
      <w:bookmarkStart w:id="130" w:name="_Toc90561153"/>
      <w:r>
        <w:rPr>
          <w:color w:val="C00000"/>
          <w:sz w:val="22"/>
        </w:rPr>
        <w:t>ÖVERSIKTSPLAN</w:t>
      </w:r>
      <w:bookmarkEnd w:id="129"/>
      <w:bookmarkEnd w:id="130"/>
    </w:p>
    <w:p>
      <w:pPr>
        <w:ind w:left="340"/>
        <w:jc w:val="both"/>
        <w:rPr>
          <w:rFonts w:ascii="Times New Roman" w:hAnsi="Times New Roman" w:cs="Times New Roman"/>
        </w:rPr>
      </w:pPr>
      <w:bookmarkStart w:id="131" w:name="pf_översiktsplan01"/>
      <w:r>
        <w:rPr>
          <w:rFonts w:ascii="Times New Roman" w:hAnsi="Times New Roman" w:cs="Times New Roman"/>
        </w:rPr>
        <w:t xml:space="preserve">Enligt översiktsplanen ska landskapets och bomiljöernas värden prioriteras och bevaras genom att koncentrera ny bebyggelse till stråk och befintliga bebyggelsestrukturer. Planområdet är specifikt utpekad i översiktsplanen som bebyggelseområde. Kommunen ska ha långsiktig lokalplanering och hänsyn tas till möjligheterna att reducera transportbehov genom att göra det attraktivt att använda sig av cykel. Planförslag möjliggör förtätning av Söderbärke vilket i sin tur leder till att fler kan nå offentlig och kommersiell service via cykel eller till fots. </w:t>
      </w:r>
    </w:p>
    <w:p>
      <w:pPr>
        <w:ind w:left="340"/>
        <w:jc w:val="both"/>
        <w:rPr>
          <w:rFonts w:ascii="Times New Roman" w:hAnsi="Times New Roman" w:cs="Times New Roman"/>
        </w:rPr>
      </w:pPr>
      <w:bookmarkEnd w:id="131"/>
    </w:p>
    <w:p>
      <w:pPr>
        <w:pStyle w:val="P12"/>
        <w:numPr>
          <w:ilvl w:val="2"/>
          <w:numId w:val="3"/>
        </w:numPr>
        <w:rPr>
          <w:color w:val="C00000"/>
          <w:sz w:val="22"/>
        </w:rPr>
      </w:pPr>
      <w:r>
        <w:rPr>
          <w:color w:val="C00000"/>
          <w:sz w:val="22"/>
        </w:rPr>
        <w:t xml:space="preserve">Fördjupad Översiktsplan för söderbärke </w:t>
      </w:r>
    </w:p>
    <w:p>
      <w:pPr>
        <w:ind w:left="340"/>
        <w:jc w:val="both"/>
        <w:rPr>
          <w:rFonts w:ascii="Times New Roman" w:hAnsi="Times New Roman" w:cs="Times New Roman"/>
        </w:rPr>
      </w:pPr>
      <w:bookmarkStart w:id="132" w:name="pf_fördjupadöversiktsplanförsöderbärke01"/>
      <w:r>
        <w:rPr>
          <w:rFonts w:ascii="Times New Roman" w:hAnsi="Times New Roman" w:cs="Times New Roman"/>
        </w:rPr>
        <w:t xml:space="preserve">Syftet med den fördjupade översiktsplanen för Söderbärke är att ge de fysiska förutsättningarna för en positiv utveckling av kommunens näst största tätort, samt även möjliggöra en positiv befolkningsutveckling. Planområdet är utpekad som integrerad bebyggelseområden i fördjupade översiktsplanen, planförslaget möjliggör att intentionerna i fördjupade översiktsplanen tillämpas. </w:t>
      </w:r>
    </w:p>
    <w:p>
      <w:pPr>
        <w:ind w:left="340"/>
        <w:jc w:val="both"/>
        <w:rPr>
          <w:rFonts w:ascii="Times New Roman" w:hAnsi="Times New Roman" w:cs="Times New Roman"/>
        </w:rPr>
      </w:pPr>
      <w:r>
        <w:rPr>
          <w:rFonts w:ascii="Times New Roman" w:hAnsi="Times New Roman" w:cs="Times New Roman"/>
          <w:noProof w:val="1"/>
        </w:rPr>
        <w:drawing>
          <wp:inline xmlns:wp="http://schemas.openxmlformats.org/drawingml/2006/wordprocessingDrawing" distT="0" distB="0" distL="0" distR="0">
            <wp:extent cx="6071870" cy="4176395"/>
            <wp:effectExtent l="0" t="0" r="5080" b="0"/>
            <wp:docPr id="34" name="Bildobjekt 34"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Bildobjekt 34" descr="En bild som visar karta&#10;&#10;Automatiskt genererad beskrivning"/>
                    <pic:cNvPicPr/>
                  </pic:nvPicPr>
                  <pic:blipFill dpi="0">
                    <a:blip xmlns:r="http://schemas.openxmlformats.org/officeDocument/2006/relationships" r:embed="Relimage24" cstate="print"/>
                    <a:srcRect/>
                    <a:stretch>
                      <a:fillRect/>
                    </a:stretch>
                  </pic:blipFill>
                  <pic:spPr>
                    <a:xfrm>
                      <a:off x="0" y="0"/>
                      <a:ext cx="6080036" cy="4182035"/>
                    </a:xfrm>
                    <a:prstGeom prst="rect"/>
                  </pic:spPr>
                </pic:pic>
              </a:graphicData>
            </a:graphic>
          </wp:inline>
        </w:drawing>
      </w:r>
      <w:bookmarkEnd w:id="132"/>
    </w:p>
    <w:p>
      <w:pPr>
        <w:ind w:left="340"/>
        <w:jc w:val="both"/>
        <w:rPr>
          <w:rFonts w:ascii="Times New Roman" w:hAnsi="Times New Roman" w:cs="Times New Roman"/>
        </w:rPr>
      </w:pPr>
    </w:p>
    <w:p>
      <w:pPr>
        <w:pStyle w:val="P11"/>
        <w:jc w:val="both"/>
        <w:rPr>
          <w:color w:val="C00000"/>
          <w:sz w:val="22"/>
          <w:szCs w:val="22"/>
        </w:rPr>
      </w:pPr>
      <w:bookmarkStart w:id="133" w:name="_Toc89446000"/>
      <w:bookmarkStart w:id="134" w:name="_Toc107476982"/>
      <w:bookmarkStart w:id="135" w:name="_Toc126834304"/>
      <w:bookmarkStart w:id="136" w:name="_Toc90561154"/>
      <w:bookmarkStart w:id="137" w:name="_Toc120016345"/>
      <w:r>
        <w:rPr>
          <w:caps w:val="0"/>
          <w:color w:val="C00000"/>
          <w:sz w:val="22"/>
          <w:szCs w:val="22"/>
        </w:rPr>
        <w:t>REGIONALA</w:t>
      </w:r>
      <w:bookmarkEnd w:id="133"/>
      <w:bookmarkEnd w:id="134"/>
      <w:bookmarkEnd w:id="135"/>
      <w:bookmarkEnd w:id="136"/>
      <w:bookmarkEnd w:id="137"/>
    </w:p>
    <w:p>
      <w:pPr>
        <w:pStyle w:val="P12"/>
        <w:numPr>
          <w:ilvl w:val="2"/>
          <w:numId w:val="4"/>
        </w:numPr>
        <w:jc w:val="both"/>
        <w:rPr>
          <w:color w:val="C00000"/>
          <w:sz w:val="22"/>
        </w:rPr>
      </w:pPr>
      <w:r>
        <w:rPr>
          <w:caps w:val="0"/>
          <w:color w:val="C00000"/>
          <w:sz w:val="22"/>
        </w:rPr>
        <w:t>DALASTRATEGIN</w:t>
      </w:r>
    </w:p>
    <w:p>
      <w:pPr>
        <w:ind w:left="340"/>
        <w:jc w:val="both"/>
      </w:pPr>
      <w:bookmarkStart w:id="138" w:name="pf_regionplan01"/>
      <w:r>
        <w:t xml:space="preserve">Dalarna har strax under 300 000 invånare och består av 15 kommuner. Länet präglas av en flerkärnighet med många kommuner, flera av de små befolkningsmässigt däribland Smedjebackens kommun. Länets täta struktur med bland annat Ludvika som delregionala noder ger möjlighet att utveckla sammanhållna marknader för arbete, studier, boende och service för Smedjebackens kommun. Dalarnas tydligaste utmaning är demografin med låga födelseantal och ökad livslängd som har medfört en äldre befolkning. Smedjebackens medelålder ligger på 46,5 år jämfört med landets medelålder som ligger på 41,4 år. Detta kan medföra utmaningar för kompetensförsörjningen såväl som i Dalarna och Smedjebacken. Urbanisering är en annan utmaning som kan innebära krympande befolkning som i sin tur leder till svårigheter att upprätthålla offentlig och kommersiell service. Just därför är det viktigt att det planläggs för nya bostäder i Smedjebackens kommun för att locka till sig nattbefolkning. </w:t>
      </w:r>
      <w:bookmarkEnd w:id="138"/>
      <w:r>
        <w:t xml:space="preserve"> </w:t>
      </w:r>
    </w:p>
    <w:p>
      <w:pPr>
        <w:pStyle w:val="P11"/>
        <w:rPr>
          <w:color w:val="C00000"/>
          <w:sz w:val="22"/>
          <w:szCs w:val="22"/>
        </w:rPr>
      </w:pPr>
      <w:bookmarkEnd w:id="0"/>
      <w:bookmarkStart w:id="139" w:name="_Toc89446002"/>
      <w:bookmarkStart w:id="140" w:name="_Toc90561156"/>
      <w:bookmarkStart w:id="141" w:name="_Toc126834305"/>
      <w:bookmarkStart w:id="142" w:name="_Toc107476983"/>
      <w:bookmarkStart w:id="143" w:name="_Toc120016346"/>
      <w:r>
        <w:rPr>
          <w:color w:val="C00000"/>
          <w:sz w:val="22"/>
          <w:szCs w:val="22"/>
        </w:rPr>
        <w:t>RIKSINTRESSEN</w:t>
      </w:r>
      <w:bookmarkEnd w:id="139"/>
      <w:bookmarkEnd w:id="140"/>
      <w:bookmarkEnd w:id="141"/>
      <w:bookmarkEnd w:id="142"/>
      <w:bookmarkEnd w:id="143"/>
    </w:p>
    <w:p>
      <w:pPr>
        <w:pStyle w:val="P12"/>
        <w:rPr>
          <w:color w:val="C00000"/>
          <w:sz w:val="22"/>
          <w:lang w:val="en-US"/>
        </w:rPr>
      </w:pPr>
      <w:bookmarkStart w:id="144" w:name="_Toc89446005"/>
      <w:bookmarkStart w:id="145" w:name="_Toc90561159"/>
      <w:r>
        <w:rPr>
          <w:color w:val="C00000"/>
          <w:sz w:val="22"/>
        </w:rPr>
        <w:t>NATURVÅRD</w:t>
      </w:r>
      <w:bookmarkEnd w:id="144"/>
      <w:bookmarkEnd w:id="145"/>
    </w:p>
    <w:p>
      <w:pPr>
        <w:ind w:left="340"/>
        <w:jc w:val="both"/>
        <w:rPr>
          <w:rFonts w:ascii="Times New Roman" w:hAnsi="Times New Roman" w:cs="Times New Roman"/>
        </w:rPr>
      </w:pPr>
      <w:bookmarkStart w:id="146" w:name="pf_naturvård01"/>
      <w:r>
        <w:rPr>
          <w:rFonts w:ascii="Times New Roman" w:hAnsi="Times New Roman" w:cs="Times New Roman"/>
        </w:rPr>
        <w:t xml:space="preserve">Smedjebackens kommun är rik på områden med höga naturvärden och alla de olika naturtyperna är en del av den biologiska mångfalden som ska bevaras till kommande generationer och behöver skyddas på olika sätt. </w:t>
      </w:r>
      <w:bookmarkStart w:id="147" w:name="_Hlk106802736"/>
      <w:r>
        <w:rPr>
          <w:rFonts w:ascii="Times New Roman" w:hAnsi="Times New Roman" w:cs="Times New Roman"/>
        </w:rPr>
        <w:t xml:space="preserve">Nordöstra delen av planområdet där förskolan och fritids är placerad omfattas av grönstruktur som ett värdefullt område, planförslaget anses inte ha negativ inverkan på grönstrukturen på grund av att området redan är exploaterad. I områden med ökad förtätning är grönstrukturen särskilt sårbar och behovet av att skydda och bevara gröna värden är viktigt för befolkningens välbefinnande. Skogsdungen på sydvästra delen av planområdet skyddas som NATUR i detaljplanen för </w:t>
      </w:r>
      <w:bookmarkStart w:id="148" w:name="_Hlk99019583"/>
      <w:r>
        <w:rPr>
          <w:rFonts w:ascii="Times New Roman" w:hAnsi="Times New Roman" w:cs="Times New Roman"/>
        </w:rPr>
        <w:t>att</w:t>
      </w:r>
      <w:bookmarkEnd w:id="148"/>
      <w:r>
        <w:rPr>
          <w:rFonts w:ascii="Times New Roman" w:hAnsi="Times New Roman" w:cs="Times New Roman"/>
        </w:rPr>
        <w:t xml:space="preserve">: </w:t>
      </w:r>
    </w:p>
    <w:p>
      <w:pPr>
        <w:pStyle w:val="P13"/>
        <w:numPr>
          <w:ilvl w:val="0"/>
          <w:numId w:val="26"/>
        </w:numPr>
        <w:jc w:val="both"/>
        <w:rPr>
          <w:rFonts w:ascii="Times New Roman" w:hAnsi="Times New Roman" w:cs="Times New Roman"/>
        </w:rPr>
      </w:pPr>
      <w:r>
        <w:rPr>
          <w:rFonts w:ascii="Times New Roman" w:hAnsi="Times New Roman" w:cs="Times New Roman"/>
        </w:rPr>
        <w:t>Bevara den biologiska mångfalden</w:t>
      </w:r>
    </w:p>
    <w:p>
      <w:pPr>
        <w:pStyle w:val="P13"/>
        <w:numPr>
          <w:ilvl w:val="0"/>
          <w:numId w:val="26"/>
        </w:numPr>
        <w:jc w:val="both"/>
        <w:rPr>
          <w:rFonts w:ascii="Times New Roman" w:hAnsi="Times New Roman" w:cs="Times New Roman"/>
        </w:rPr>
      </w:pPr>
      <w:r>
        <w:rPr>
          <w:rFonts w:ascii="Times New Roman" w:hAnsi="Times New Roman" w:cs="Times New Roman"/>
        </w:rPr>
        <w:t>Reglera vattenflöden och lokalklimat</w:t>
      </w:r>
    </w:p>
    <w:p>
      <w:pPr>
        <w:pStyle w:val="P13"/>
        <w:numPr>
          <w:ilvl w:val="0"/>
          <w:numId w:val="26"/>
        </w:numPr>
        <w:jc w:val="both"/>
        <w:rPr>
          <w:rFonts w:ascii="Times New Roman" w:hAnsi="Times New Roman" w:cs="Times New Roman"/>
        </w:rPr>
      </w:pPr>
      <w:r>
        <w:rPr>
          <w:rFonts w:ascii="Times New Roman" w:hAnsi="Times New Roman" w:cs="Times New Roman"/>
        </w:rPr>
        <w:t>Människors möjlighet till rekreation</w:t>
      </w:r>
    </w:p>
    <w:p>
      <w:pPr>
        <w:pStyle w:val="P13"/>
        <w:numPr>
          <w:ilvl w:val="0"/>
          <w:numId w:val="26"/>
        </w:numPr>
        <w:jc w:val="both"/>
        <w:rPr>
          <w:rFonts w:ascii="Times New Roman" w:hAnsi="Times New Roman" w:cs="Times New Roman"/>
        </w:rPr>
      </w:pPr>
      <w:r>
        <w:rPr>
          <w:rFonts w:ascii="Times New Roman" w:hAnsi="Times New Roman" w:cs="Times New Roman"/>
        </w:rPr>
        <w:t xml:space="preserve">Förskolan och fritidsverksamhet kan dra nytta av skogsdungen för lek och utomhusaktivitet </w:t>
      </w:r>
    </w:p>
    <w:p>
      <w:pPr>
        <w:pStyle w:val="P13"/>
        <w:ind w:left="700"/>
        <w:jc w:val="both"/>
        <w:rPr>
          <w:rFonts w:ascii="Times New Roman" w:hAnsi="Times New Roman" w:cs="Times New Roman"/>
        </w:rPr>
      </w:pPr>
      <w:bookmarkEnd w:id="146"/>
    </w:p>
    <w:p>
      <w:pPr>
        <w:pStyle w:val="P12"/>
        <w:jc w:val="both"/>
        <w:rPr>
          <w:color w:val="C00000"/>
          <w:sz w:val="22"/>
          <w:lang w:val="en-US"/>
        </w:rPr>
      </w:pPr>
      <w:bookmarkEnd w:id="147"/>
      <w:bookmarkStart w:id="149" w:name="_Toc89446006"/>
      <w:bookmarkStart w:id="150" w:name="_Toc90561160"/>
      <w:r>
        <w:rPr>
          <w:color w:val="C00000"/>
          <w:sz w:val="22"/>
        </w:rPr>
        <w:t>FRILUFTSLIV</w:t>
      </w:r>
      <w:bookmarkEnd w:id="149"/>
      <w:bookmarkEnd w:id="150"/>
    </w:p>
    <w:p>
      <w:pPr>
        <w:ind w:left="340"/>
        <w:jc w:val="both"/>
        <w:rPr>
          <w:rFonts w:ascii="Times New Roman" w:hAnsi="Times New Roman" w:cs="Times New Roman"/>
        </w:rPr>
      </w:pPr>
      <w:bookmarkStart w:id="151" w:name="pf_friluftsliv01"/>
      <w:r>
        <w:rPr>
          <w:rFonts w:ascii="Times New Roman" w:hAnsi="Times New Roman" w:cs="Times New Roman"/>
        </w:rPr>
        <w:t xml:space="preserve">Friluftsliv innefattar olika fritidsaktiviteter som sker utomhus i naturen. Området omfattas inte av riksintresse för friluftsliv. </w:t>
      </w:r>
    </w:p>
    <w:p>
      <w:pPr>
        <w:pStyle w:val="P12"/>
        <w:jc w:val="both"/>
        <w:rPr>
          <w:color w:val="C00000"/>
          <w:sz w:val="22"/>
          <w:lang w:val="en-US"/>
        </w:rPr>
      </w:pPr>
      <w:bookmarkEnd w:id="151"/>
      <w:bookmarkStart w:id="152" w:name="_Toc89446007"/>
      <w:bookmarkStart w:id="153" w:name="_Toc90561161"/>
      <w:r>
        <w:rPr>
          <w:color w:val="C00000"/>
          <w:sz w:val="22"/>
        </w:rPr>
        <w:t>KULTURMILJÖVÅRD</w:t>
      </w:r>
      <w:bookmarkEnd w:id="152"/>
      <w:bookmarkEnd w:id="153"/>
    </w:p>
    <w:p>
      <w:pPr>
        <w:ind w:left="340"/>
        <w:jc w:val="both"/>
        <w:rPr>
          <w:lang w:val="en-US"/>
        </w:rPr>
      </w:pPr>
      <w:bookmarkStart w:id="154" w:name="_Hlk106805602"/>
      <w:bookmarkStart w:id="155" w:name="pf_kulturmiljövård01"/>
      <w:r>
        <w:rPr>
          <w:rFonts w:ascii="Times New Roman" w:hAnsi="Times New Roman" w:cs="Times New Roman"/>
        </w:rPr>
        <w:t>Kulturmiljö avser hela den av människor påverkade miljön, det vill säga som i varierande grad präglats av olika mänskliga verksamheter och aktiviteter. Området omfattas inte av riksintresse för kulturmiljövård</w:t>
      </w:r>
      <w:bookmarkEnd w:id="154"/>
      <w:r>
        <w:rPr>
          <w:rFonts w:ascii="Times New Roman" w:hAnsi="Times New Roman" w:cs="Times New Roman"/>
        </w:rPr>
        <w:t xml:space="preserve">. </w:t>
      </w:r>
    </w:p>
    <w:p>
      <w:pPr>
        <w:pStyle w:val="P12"/>
        <w:jc w:val="both"/>
        <w:rPr>
          <w:color w:val="C00000"/>
          <w:sz w:val="22"/>
          <w:lang w:val="en-US"/>
        </w:rPr>
      </w:pPr>
      <w:bookmarkEnd w:id="155"/>
      <w:r>
        <w:rPr>
          <w:color w:val="C00000"/>
          <w:sz w:val="22"/>
        </w:rPr>
        <w:t>Totalförsvar</w:t>
      </w:r>
    </w:p>
    <w:p>
      <w:pPr>
        <w:ind w:left="340"/>
        <w:jc w:val="both"/>
        <w:rPr>
          <w:lang w:val="en-US"/>
        </w:rPr>
      </w:pPr>
      <w:bookmarkStart w:id="156" w:name="pf_totalförsvar01"/>
      <w:r>
        <w:rPr>
          <w:rFonts w:ascii="Times New Roman" w:hAnsi="Times New Roman" w:cs="Times New Roman"/>
        </w:rPr>
        <w:t xml:space="preserve">Försvarsmakten är en av tolv riksintressemyndigheter som ansvarar för att lämna uppgifter om områden som anses vara av riksintresse, enligt 3 kap 2§ Miljöbalken (1998:808). Planförslaget påverkar inte riksintresset för totalförsvaret. </w:t>
      </w:r>
    </w:p>
    <w:p>
      <w:pPr>
        <w:pStyle w:val="P12"/>
        <w:jc w:val="both"/>
        <w:rPr>
          <w:color w:val="C00000"/>
          <w:sz w:val="22"/>
          <w:lang w:val="en-US"/>
        </w:rPr>
      </w:pPr>
      <w:bookmarkEnd w:id="156"/>
      <w:bookmarkStart w:id="157" w:name="_Toc89446017"/>
      <w:bookmarkStart w:id="158" w:name="_Toc90561171"/>
      <w:r>
        <w:rPr>
          <w:color w:val="C00000"/>
          <w:sz w:val="22"/>
        </w:rPr>
        <w:t>RÖRLIGT FRILUFTSLIV</w:t>
      </w:r>
      <w:bookmarkEnd w:id="157"/>
      <w:bookmarkEnd w:id="158"/>
    </w:p>
    <w:p>
      <w:pPr>
        <w:ind w:left="340"/>
        <w:jc w:val="both"/>
        <w:rPr>
          <w:rFonts w:ascii="Times New Roman" w:hAnsi="Times New Roman" w:cs="Times New Roman"/>
        </w:rPr>
      </w:pPr>
      <w:bookmarkStart w:id="159" w:name="pf_rörligtfriluftsliv01"/>
      <w:r>
        <w:rPr>
          <w:rFonts w:ascii="Times New Roman" w:hAnsi="Times New Roman" w:cs="Times New Roman"/>
        </w:rPr>
        <w:t xml:space="preserve">Rörligt friluftsliv inkluderar fysiska aktiviteter som sker utomhus i naturnära miljöer. Området omfattas inte av riksintresse för rörligt friluftsliv.  </w:t>
      </w:r>
    </w:p>
    <w:p>
      <w:pPr>
        <w:pStyle w:val="P12"/>
        <w:jc w:val="both"/>
        <w:rPr>
          <w:color w:val="C00000"/>
          <w:sz w:val="22"/>
          <w:lang w:val="en-US"/>
        </w:rPr>
      </w:pPr>
      <w:bookmarkEnd w:id="159"/>
      <w:bookmarkStart w:id="160" w:name="_Toc89446023"/>
      <w:bookmarkStart w:id="161" w:name="_Toc90561177"/>
      <w:r>
        <w:rPr>
          <w:color w:val="C00000"/>
          <w:sz w:val="22"/>
        </w:rPr>
        <w:t>NATURA 2000</w:t>
      </w:r>
      <w:bookmarkEnd w:id="160"/>
      <w:bookmarkEnd w:id="161"/>
    </w:p>
    <w:p>
      <w:pPr>
        <w:ind w:left="340"/>
        <w:jc w:val="both"/>
        <w:rPr>
          <w:rFonts w:ascii="Times New Roman" w:hAnsi="Times New Roman" w:cs="Times New Roman"/>
        </w:rPr>
      </w:pPr>
      <w:bookmarkStart w:id="162" w:name="pf_natura200001"/>
      <w:r>
        <w:rPr>
          <w:rFonts w:ascii="Times New Roman" w:hAnsi="Times New Roman" w:cs="Times New Roman"/>
        </w:rPr>
        <w:t xml:space="preserve">Natura 2000 är ett nätverk av värdefulla naturområden med arter eller naturtyper som i ett europeiskt perspektiv betraktas som särskild skyddsvärda. Planförslaget påverkar inte riksintresset för Natura 2000-områden. </w:t>
      </w:r>
    </w:p>
    <w:p>
      <w:pPr>
        <w:pStyle w:val="P12"/>
        <w:jc w:val="both"/>
        <w:rPr>
          <w:color w:val="C00000"/>
          <w:sz w:val="22"/>
          <w:lang w:val="en-US"/>
        </w:rPr>
      </w:pPr>
      <w:bookmarkEnd w:id="162"/>
      <w:r>
        <w:rPr>
          <w:color w:val="C00000"/>
          <w:sz w:val="22"/>
        </w:rPr>
        <w:t>Riksintressen för trafikkommunikation</w:t>
      </w:r>
    </w:p>
    <w:p>
      <w:pPr>
        <w:ind w:left="340"/>
        <w:jc w:val="both"/>
        <w:rPr>
          <w:lang w:val="en-US"/>
        </w:rPr>
      </w:pPr>
      <w:bookmarkStart w:id="163" w:name="_Hlk106807708"/>
      <w:bookmarkStart w:id="164" w:name="pf_trafikkommunikation01"/>
      <w:r>
        <w:rPr>
          <w:rFonts w:ascii="Times New Roman" w:hAnsi="Times New Roman" w:cs="Times New Roman"/>
        </w:rPr>
        <w:t xml:space="preserve">Bergslagspendeln är av Trafikverket utpekad som riksintresse. Banan är av särskild regional betydelse och trafikeras utöver regionaltåg av godståg. </w:t>
      </w:r>
      <w:bookmarkStart w:id="165" w:name="_Hlk106806555"/>
      <w:r>
        <w:rPr>
          <w:rFonts w:ascii="Times New Roman" w:hAnsi="Times New Roman" w:cs="Times New Roman"/>
        </w:rPr>
        <w:t xml:space="preserve">Riksväg 66 är utpekad av Trafikverket som riksintresse. </w:t>
      </w:r>
    </w:p>
    <w:p>
      <w:pPr>
        <w:ind w:left="340"/>
        <w:jc w:val="both"/>
        <w:rPr>
          <w:lang w:val="en-US"/>
        </w:rPr>
      </w:pPr>
      <w:bookmarkEnd w:id="163"/>
      <w:bookmarkEnd w:id="164"/>
      <w:bookmarkEnd w:id="165"/>
    </w:p>
    <w:p>
      <w:pPr>
        <w:ind w:left="340"/>
        <w:rPr>
          <w:lang w:val="en-US"/>
        </w:rPr>
      </w:pPr>
    </w:p>
    <w:p>
      <w:pPr>
        <w:pStyle w:val="P11"/>
        <w:rPr>
          <w:color w:val="C00000"/>
          <w:sz w:val="22"/>
          <w:szCs w:val="22"/>
        </w:rPr>
      </w:pPr>
      <w:bookmarkStart w:id="166" w:name="_Toc89446025"/>
      <w:bookmarkStart w:id="167" w:name="_Toc107476984"/>
      <w:bookmarkStart w:id="168" w:name="_Toc126834306"/>
      <w:bookmarkStart w:id="169" w:name="_Toc90561179"/>
      <w:bookmarkStart w:id="170" w:name="_Toc120016347"/>
      <w:r>
        <w:rPr>
          <w:color w:val="C00000"/>
          <w:sz w:val="22"/>
          <w:szCs w:val="22"/>
        </w:rPr>
        <w:t>HUSHÅLLNINGSBESTÄMMELSER ENLIGT 3 KAP. MILJÖBALKEN</w:t>
      </w:r>
      <w:bookmarkEnd w:id="166"/>
      <w:bookmarkEnd w:id="167"/>
      <w:bookmarkEnd w:id="168"/>
      <w:bookmarkEnd w:id="169"/>
      <w:bookmarkEnd w:id="170"/>
    </w:p>
    <w:p>
      <w:pPr>
        <w:pStyle w:val="P11"/>
        <w:numPr>
          <w:ilvl w:val="0"/>
          <w:numId w:val="0"/>
        </w:numPr>
        <w:ind w:firstLine="0" w:left="113"/>
        <w:rPr>
          <w:color w:val="C00000"/>
          <w:sz w:val="22"/>
          <w:szCs w:val="22"/>
        </w:rPr>
      </w:pPr>
    </w:p>
    <w:p>
      <w:pPr>
        <w:pStyle w:val="P12"/>
        <w:jc w:val="both"/>
        <w:rPr>
          <w:color w:val="C00000"/>
          <w:sz w:val="22"/>
          <w:lang w:val="en-US"/>
        </w:rPr>
      </w:pPr>
      <w:r>
        <w:rPr>
          <w:caps w:val="0"/>
          <w:color w:val="C00000"/>
          <w:sz w:val="22"/>
        </w:rPr>
        <w:t>GRUNDLÄGGANDE BESTÄMMELSER FÖR HUSHÅLLNING MED MARK OCH VATTENOMRÅDEN</w:t>
      </w:r>
    </w:p>
    <w:p>
      <w:pPr>
        <w:ind w:left="340"/>
        <w:jc w:val="both"/>
        <w:rPr>
          <w:rFonts w:ascii="Times New Roman" w:hAnsi="Times New Roman" w:cs="Times New Roman"/>
        </w:rPr>
      </w:pPr>
      <w:bookmarkStart w:id="171" w:name="pf_hushållningsbestämmelserenl3kap_mb01"/>
      <w:r>
        <w:rPr>
          <w:rFonts w:ascii="Times New Roman" w:hAnsi="Times New Roman" w:cs="Times New Roman"/>
        </w:rPr>
        <w:t>I miljöbalkens tredje kapitel föreskrivs bland annat att områden som är av riksintresse för naturvården, kulturmiljövården eller friluftsliv så långt som möjligt ska skyddas från åtgärder som kan skada natur eller kulturmiljön. Planförslaget omfattas inte av hushållningsbestämmelserna enligt 3 kapitlet miljöbalken.</w:t>
      </w:r>
    </w:p>
    <w:p>
      <w:pPr>
        <w:ind w:left="340"/>
        <w:jc w:val="both"/>
        <w:rPr>
          <w:rFonts w:ascii="Times New Roman" w:hAnsi="Times New Roman" w:cs="Times New Roman"/>
        </w:rPr>
      </w:pPr>
      <w:r>
        <w:rPr>
          <w:rFonts w:ascii="Times New Roman" w:hAnsi="Times New Roman" w:cs="Times New Roman"/>
        </w:rPr>
        <w:t xml:space="preserve">Vid framtagande av denna detaljplan har det gjorts prövningar enligt 2 kap. Plan och bygglagen samt enligt 3 och 4 kap. Miljöbalken. Detaljplanen har även granskats mot kommunens översiktsplan i enlighet med 5 § förordningen om hushållning med mark och vattenområden. Bedömningen är att föreslagna användningar anses vara ur allmän synpunkt mest lämpliga utifrån områdets förutsättningar och efterfrågan. </w:t>
      </w:r>
    </w:p>
    <w:p>
      <w:pPr>
        <w:pStyle w:val="P13"/>
        <w:numPr>
          <w:ilvl w:val="0"/>
          <w:numId w:val="25"/>
        </w:numPr>
        <w:jc w:val="both"/>
        <w:rPr>
          <w:rFonts w:ascii="Times New Roman" w:hAnsi="Times New Roman" w:cs="Times New Roman"/>
        </w:rPr>
      </w:pPr>
      <w:r>
        <w:rPr>
          <w:rFonts w:ascii="Times New Roman" w:hAnsi="Times New Roman" w:cs="Times New Roman"/>
        </w:rPr>
        <w:t xml:space="preserve">Förskolan är en samhällsviktig verksamhet och kommunen måste säkerställa att alla barn har tillgång till en bra förskola. Solhyttans förskola är uppförts med tillfälligt bygglov, detaljplanen möjliggör att förskolan kan få ett permanent bygglov. </w:t>
      </w:r>
    </w:p>
    <w:p>
      <w:pPr>
        <w:pStyle w:val="P13"/>
        <w:numPr>
          <w:ilvl w:val="0"/>
          <w:numId w:val="25"/>
        </w:numPr>
        <w:jc w:val="both"/>
        <w:rPr>
          <w:rFonts w:ascii="Times New Roman" w:hAnsi="Times New Roman" w:cs="Times New Roman"/>
        </w:rPr>
      </w:pPr>
      <w:r>
        <w:rPr>
          <w:rFonts w:ascii="Times New Roman" w:hAnsi="Times New Roman" w:cs="Times New Roman"/>
        </w:rPr>
        <w:t xml:space="preserve">Planområdet ligger i centrala Söderbärke och det finns sammanhängande bostäder i området, grönområde, kommersiell och offentlig service samt kollektivtrafik. </w:t>
      </w:r>
    </w:p>
    <w:p>
      <w:pPr>
        <w:pStyle w:val="P13"/>
        <w:numPr>
          <w:ilvl w:val="0"/>
          <w:numId w:val="25"/>
        </w:numPr>
        <w:jc w:val="both"/>
        <w:rPr>
          <w:rFonts w:ascii="Times New Roman" w:hAnsi="Times New Roman" w:cs="Times New Roman"/>
        </w:rPr>
      </w:pPr>
      <w:r>
        <w:rPr>
          <w:rFonts w:ascii="Times New Roman" w:hAnsi="Times New Roman" w:cs="Times New Roman"/>
        </w:rPr>
        <w:t xml:space="preserve">Byggnation i området möjliggör fortsatt utveckling av kommunens näst största tätort och förbinder området med resten av tätorten. </w:t>
      </w:r>
    </w:p>
    <w:p>
      <w:pPr>
        <w:pStyle w:val="P13"/>
        <w:numPr>
          <w:ilvl w:val="0"/>
          <w:numId w:val="25"/>
        </w:numPr>
        <w:jc w:val="both"/>
        <w:rPr>
          <w:rFonts w:ascii="Times New Roman" w:hAnsi="Times New Roman" w:cs="Times New Roman"/>
        </w:rPr>
      </w:pPr>
      <w:r>
        <w:rPr>
          <w:rFonts w:ascii="Times New Roman" w:hAnsi="Times New Roman" w:cs="Times New Roman"/>
        </w:rPr>
        <w:t xml:space="preserve">Inga riksintressen påverkas av planförslaget. </w:t>
      </w:r>
    </w:p>
    <w:p>
      <w:pPr>
        <w:pStyle w:val="P12"/>
        <w:rPr>
          <w:sz w:val="22"/>
        </w:rPr>
      </w:pPr>
      <w:bookmarkEnd w:id="171"/>
      <w:r>
        <w:rPr>
          <w:color w:val="C00000"/>
          <w:sz w:val="22"/>
        </w:rPr>
        <w:t xml:space="preserve">Jordbruksmark </w:t>
      </w:r>
    </w:p>
    <w:p>
      <w:pPr>
        <w:ind w:left="340"/>
        <w:jc w:val="both"/>
        <w:rPr>
          <w:rFonts w:ascii="Times New Roman" w:hAnsi="Times New Roman" w:cs="Times New Roman"/>
        </w:rPr>
      </w:pPr>
      <w:bookmarkStart w:id="172" w:name="pf_jordbruksmark02"/>
      <w:r>
        <w:rPr>
          <w:noProof w:val="1"/>
        </w:rPr>
        <w:drawing>
          <wp:anchor xmlns:wp="http://schemas.openxmlformats.org/drawingml/2006/wordprocessingDrawing" distT="0" distB="0" distL="114300" distR="114300" simplePos="0" relativeHeight="34" behindDoc="0" locked="0" layoutInCell="1" allowOverlap="1">
            <wp:simplePos x="0" y="0"/>
            <wp:positionH relativeFrom="margin">
              <wp:align>right</wp:align>
            </wp:positionH>
            <wp:positionV relativeFrom="paragraph">
              <wp:posOffset>1753235</wp:posOffset>
            </wp:positionV>
            <wp:extent cx="3216910" cy="2875915"/>
            <wp:effectExtent l="0" t="0" r="2540" b="635"/>
            <wp:wrapThrough wrapText="bothSides">
              <wp:wrapPolygon edited="0">
                <wp:start x="0" y="0"/>
                <wp:lineTo x="0" y="21462"/>
                <wp:lineTo x="21489" y="21462"/>
                <wp:lineTo x="21489" y="0"/>
                <wp:lineTo x="0" y="0"/>
              </wp:wrapPolygon>
            </wp:wrapThrough>
            <wp:docPr id="56" name="Bildobjekt 56"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Bildobjekt 56" descr="En bild som visar karta&#10;&#10;Automatiskt genererad beskrivning"/>
                    <pic:cNvPicPr/>
                  </pic:nvPicPr>
                  <pic:blipFill dpi="0">
                    <a:blip xmlns:r="http://schemas.openxmlformats.org/officeDocument/2006/relationships" r:embed="Relimage25" cstate="print"/>
                    <a:srcRect/>
                    <a:stretch>
                      <a:fillRect/>
                    </a:stretch>
                  </pic:blipFill>
                  <pic:spPr>
                    <a:xfrm>
                      <a:off x="0" y="0"/>
                      <a:ext cx="3216910" cy="2875915"/>
                    </a:xfrm>
                    <a:prstGeom prst="rect"/>
                  </pic:spPr>
                </pic:pic>
              </a:graphicData>
            </a:graphic>
          </wp:anchor>
        </w:drawing>
      </w:r>
      <w:bookmarkEnd w:id="172"/>
      <w:bookmarkStart w:id="173" w:name="pf_jordbruksmark01"/>
      <w:r>
        <w:rPr>
          <w:rFonts w:ascii="Times New Roman" w:hAnsi="Times New Roman" w:cs="Times New Roman"/>
        </w:rPr>
        <w:t xml:space="preserve">Enligt 3 kap. 4§ Miljöbalken får brukningsvärd jordbruksmark endast tas i anspråk för bebyggelse eller anläggningar på ett från allmän synpunkt tillfredställande sätt genom att annan mark tas i anspråk. I översiktsplanen anges att ny bebyggelse i första hand bör tillkomma i befintliga byar och stråk, genom komplettering och förtätning. Genom att förtäta och komplettera i centrala Söderbärke kan tillkommande bostäder nyttja befintlig infrastruktur, kollektivtrafik, offentlig och kommersiell service. För att landsbygden ska utvecklas är småtätorterna på landsbygden en viktig förutsättning, för att Söderbärke ska utvecklas är det viktigt att ny bebyggelse ska tillkomma i centrala delar av tätorten. Planområdet består idag av några parhus och en förskola, genomförandet av detaljplanen innebär bebyggelse av ca 16 nya bostäder vilket innebär att åkermarken ianspråktas. Bostadsbebyggelse är ett väsentligt samhällsintresse och en del av planområdet är sedan tidigare exploaterad samt ligger i anslutning till redan ianspråktagen mark och befintlig infrastruktur. Detaljplanen möjliggör fortsatt verksamhet för förskolan, befintliga och nya bostäder, park, lekplats och natur. Genom att tillgodose bostadsbehovet i centrala delar av Söderbärke och förtäta kan mark som är jordbrukningsvärd bevaras på andra ställen som brukas idag och som kan även brukas i framtiden. Planområdet är även utpekad som integrerat bebyggelseområde i översiktsplanen och FÖP för Söderbärke. Genom avvägningar av olika samhällsviktiga intressen bedöms intresset att utvecklas centrala Söderbärke väga tyngre än att bevara åkermarken. Samt att tillgodose bostadsbehovet på centrala delar av kommunens näst största tätort vara ur en allmän synpunkt viktig och på det sättet bevara marken för jordbruksändamål utanför tätorten som har större värde. Sammanfattningsvis bedöms samtliga delar av planförslaget vara ett väsentligt samhällsintresse och dessa behov inte kan tillgodoses från en allmän synpunkt tillfredsställande sätt genom att annan mark tas i anspråk. </w:t>
      </w:r>
    </w:p>
    <w:p>
      <w:pPr>
        <w:pStyle w:val="P11"/>
        <w:jc w:val="both"/>
        <w:rPr>
          <w:color w:val="C00000"/>
          <w:sz w:val="22"/>
          <w:szCs w:val="22"/>
        </w:rPr>
      </w:pPr>
      <w:bookmarkEnd w:id="173"/>
      <w:bookmarkStart w:id="174" w:name="_Toc89446030"/>
      <w:bookmarkStart w:id="175" w:name="_Toc107476985"/>
      <w:bookmarkStart w:id="176" w:name="_Toc126834307"/>
      <w:bookmarkStart w:id="177" w:name="_Toc90561184"/>
      <w:bookmarkStart w:id="178" w:name="_Toc120016348"/>
      <w:r>
        <w:rPr>
          <w:caps w:val="0"/>
          <w:color w:val="C00000"/>
          <w:sz w:val="22"/>
          <w:szCs w:val="22"/>
        </w:rPr>
        <w:t>MILJÖKVALITETSNORMER</w:t>
      </w:r>
      <w:bookmarkEnd w:id="174"/>
      <w:bookmarkEnd w:id="175"/>
      <w:bookmarkEnd w:id="176"/>
      <w:bookmarkEnd w:id="177"/>
      <w:bookmarkEnd w:id="178"/>
    </w:p>
    <w:p>
      <w:pPr>
        <w:ind w:left="113"/>
        <w:jc w:val="both"/>
        <w:rPr>
          <w:rFonts w:ascii="Times New Roman" w:hAnsi="Times New Roman" w:cs="Times New Roman"/>
        </w:rPr>
      </w:pPr>
      <w:bookmarkStart w:id="179" w:name="pf_miljökvalitetsnormer01"/>
      <w:r>
        <w:rPr>
          <w:rFonts w:ascii="Times New Roman" w:hAnsi="Times New Roman" w:cs="Times New Roman"/>
        </w:rPr>
        <w:t>Miljökvalitetsnormer är föreskrifter i miljöbalkens 5 kap om viss lägsta miljökvalitet för vatten, mark, luft eller miljön i övrigt inom ett geografiskt område. Miljökvalitetsnormerna omfattar bland annat föroreningar i utomhusluft, olika parametrar i vattenförekomster samt omgivningsbuller. MKN har funnits som styrmedel i svensk lagstiftning sedan 1999 då föreskrifterna om miljökvalitetsnormer skrevs in i miljöbalkens femte kapitel. Syftet med det är att skydda människors hälsa och naturmiljö.</w:t>
      </w:r>
    </w:p>
    <w:p>
      <w:pPr>
        <w:pStyle w:val="P12"/>
        <w:jc w:val="both"/>
        <w:rPr>
          <w:color w:val="C00000"/>
          <w:sz w:val="22"/>
          <w:lang w:val="en-US"/>
        </w:rPr>
      </w:pPr>
      <w:bookmarkEnd w:id="179"/>
      <w:bookmarkStart w:id="180" w:name="_Toc89446031"/>
      <w:bookmarkStart w:id="181" w:name="_Toc90561185"/>
      <w:r>
        <w:rPr>
          <w:caps w:val="0"/>
          <w:color w:val="C00000"/>
          <w:sz w:val="22"/>
        </w:rPr>
        <w:t>LUFT</w:t>
      </w:r>
      <w:bookmarkEnd w:id="180"/>
      <w:bookmarkEnd w:id="181"/>
    </w:p>
    <w:p>
      <w:pPr>
        <w:ind w:left="340"/>
        <w:jc w:val="both"/>
        <w:rPr>
          <w:rFonts w:ascii="Times New Roman" w:hAnsi="Times New Roman" w:cs="Times New Roman"/>
          <w:lang w:val="en-US"/>
        </w:rPr>
      </w:pPr>
      <w:bookmarkStart w:id="182" w:name="pf_luft01"/>
      <w:r>
        <w:rPr>
          <w:rFonts w:ascii="Times New Roman" w:hAnsi="Times New Roman" w:cs="Times New Roman"/>
        </w:rPr>
        <w:t xml:space="preserve">Luftföroreningar skadar människors hälsa, naturen och kulturföremål. De ämnen i utomhusluft som regleras genom miljökvalitetsnormer är halter av kvävedioxid/kväveoxider, svaveldioxid, bly, partiklar (PM10 och PM2,5), bensen, kolmonoxid, ozon, arsenik, kadmium, nickel och bens(a)pyren. Planförslaget förväntas medföra ökad trafik till och från planområdet, bedömningen är att denna ökning är marginell. Även om planen bedöms leda till en ökad trafik till och från området riskerar inte miljökvalitetsnormer för luft överskridas. Offentlig och kommersiell service är lokaliserad i centrala Söderbärke samt att befintliga och framtida utveckling av gång- och cykelvägar till och från planområdet skapar förutsättningar för ett mer hållbart resande. </w:t>
      </w:r>
    </w:p>
    <w:p>
      <w:pPr>
        <w:pStyle w:val="P12"/>
        <w:jc w:val="both"/>
        <w:rPr>
          <w:color w:val="C00000"/>
          <w:sz w:val="22"/>
          <w:lang w:val="en-US"/>
        </w:rPr>
      </w:pPr>
      <w:bookmarkEnd w:id="182"/>
      <w:bookmarkStart w:id="183" w:name="_Toc89446032"/>
      <w:bookmarkStart w:id="184" w:name="_Toc90561186"/>
      <w:r>
        <w:rPr>
          <w:color w:val="C00000"/>
          <w:sz w:val="22"/>
        </w:rPr>
        <w:t>VATTEN</w:t>
      </w:r>
      <w:bookmarkEnd w:id="183"/>
      <w:bookmarkEnd w:id="184"/>
    </w:p>
    <w:p>
      <w:pPr>
        <w:ind w:left="340"/>
        <w:jc w:val="both"/>
        <w:rPr>
          <w:rFonts w:ascii="Times New Roman" w:hAnsi="Times New Roman" w:cs="Times New Roman"/>
        </w:rPr>
      </w:pPr>
      <w:bookmarkStart w:id="185" w:name="pf_vatten01"/>
      <w:r>
        <w:rPr>
          <w:rFonts w:ascii="Times New Roman" w:hAnsi="Times New Roman" w:cs="Times New Roman"/>
        </w:rPr>
        <w:t>Miljökvalitetsnormer för vatten omfattar ytvatten (sjöar, vattendrag och kustvatten) och grundvatten. Syftet med normerna är att säkra vattenkvalitet runt om i landet. Ledningsnätet i Söderbärke består i huvudsak av kombinerat ledningsnät, medan ledningsnätet på Urnäsudden är så kallad duplikatsystem. Enligt Vatteninformationssystem (VISS) har grundvattnen god kemisk status, kemisk statusen för ytvatten är god. Södra Barken har en måttlig ekologisk status. En undersökning om betydande miljöpåverkan har genomförts för att säkerställa att påverkan från planförslaget är godtagbar. Syftet med undersökningen och den miljöbedömning som har genomförts är för att främja en hållbar utveckling.</w:t>
      </w:r>
    </w:p>
    <w:p>
      <w:pPr>
        <w:ind w:left="340"/>
        <w:jc w:val="both"/>
        <w:rPr>
          <w:rFonts w:ascii="Times New Roman" w:hAnsi="Times New Roman" w:cs="Times New Roman"/>
        </w:rPr>
      </w:pPr>
      <w:bookmarkEnd w:id="185"/>
    </w:p>
    <w:p>
      <w:pPr>
        <w:pStyle w:val="P12"/>
        <w:rPr>
          <w:color w:val="C00000"/>
          <w:sz w:val="22"/>
          <w:lang w:val="en-US"/>
        </w:rPr>
      </w:pPr>
      <w:bookmarkStart w:id="186" w:name="_Toc89446033"/>
      <w:bookmarkStart w:id="187" w:name="_Toc90561187"/>
      <w:r>
        <w:rPr>
          <w:caps w:val="0"/>
          <w:color w:val="C00000"/>
          <w:sz w:val="22"/>
        </w:rPr>
        <w:t>BULLER</w:t>
      </w:r>
      <w:bookmarkEnd w:id="186"/>
      <w:bookmarkEnd w:id="187"/>
    </w:p>
    <w:p>
      <w:pPr>
        <w:ind w:left="340"/>
        <w:jc w:val="both"/>
        <w:rPr>
          <w:rFonts w:ascii="Times New Roman" w:hAnsi="Times New Roman" w:cs="Times New Roman"/>
        </w:rPr>
      </w:pPr>
      <w:bookmarkStart w:id="188" w:name="pf_buller01"/>
      <w:r>
        <w:rPr>
          <w:rFonts w:ascii="Times New Roman" w:hAnsi="Times New Roman" w:cs="Times New Roman"/>
        </w:rPr>
        <w:t xml:space="preserve">Miljökvalitetsnormer för omgivningsbuller är en annan målsättning, normerna ska följas för att undvika skadliga effekter på människors hälsa och omgivningsbuller. Miljökvalitetsnormer för buller omfattar omgivningsbuller från större vägar, järnvägar och flygplatser. Planområdet ligger ca 300 meter från riksväg 66 och en översiktlig beräkning av bullervärden har genomförts för att säkerställa att påverkan från buller inte ska överskrida. Beräkningen redovisas under kapitlen </w:t>
      </w:r>
      <w:r>
        <w:rPr>
          <w:rFonts w:ascii="Times New Roman" w:hAnsi="Times New Roman" w:cs="Times New Roman"/>
          <w:i w:val="1"/>
          <w:iCs w:val="1"/>
        </w:rPr>
        <w:t xml:space="preserve">Konsekvenser (Hälsa och säkerhet 6.5.1). </w:t>
      </w:r>
      <w:r>
        <w:rPr>
          <w:rFonts w:ascii="Times New Roman" w:hAnsi="Times New Roman" w:cs="Times New Roman"/>
        </w:rPr>
        <w:t xml:space="preserve"> </w:t>
      </w:r>
      <w:bookmarkEnd w:id="188"/>
      <w:r>
        <w:rPr>
          <w:rFonts w:ascii="Times New Roman" w:hAnsi="Times New Roman" w:cs="Times New Roman"/>
        </w:rPr>
        <w:t xml:space="preserve"> </w:t>
      </w:r>
    </w:p>
    <w:p>
      <w:pPr>
        <w:ind w:left="340"/>
        <w:jc w:val="both"/>
        <w:rPr>
          <w:rFonts w:ascii="Times New Roman" w:hAnsi="Times New Roman" w:cs="Times New Roman"/>
        </w:rPr>
      </w:pPr>
    </w:p>
    <w:p>
      <w:pPr>
        <w:pStyle w:val="P11"/>
        <w:jc w:val="both"/>
        <w:rPr>
          <w:color w:val="C00000"/>
          <w:sz w:val="22"/>
          <w:szCs w:val="22"/>
        </w:rPr>
      </w:pPr>
      <w:bookmarkStart w:id="189" w:name="_Toc89446035"/>
      <w:bookmarkStart w:id="190" w:name="_Toc126834308"/>
      <w:bookmarkStart w:id="191" w:name="_Toc120016349"/>
      <w:bookmarkStart w:id="192" w:name="_Toc90561189"/>
      <w:bookmarkStart w:id="193" w:name="_Toc107476986"/>
      <w:r>
        <w:rPr>
          <w:caps w:val="0"/>
          <w:color w:val="C00000"/>
          <w:sz w:val="22"/>
          <w:szCs w:val="22"/>
        </w:rPr>
        <w:t>MILJÖ</w:t>
      </w:r>
      <w:bookmarkEnd w:id="189"/>
      <w:bookmarkEnd w:id="190"/>
      <w:bookmarkEnd w:id="191"/>
      <w:bookmarkEnd w:id="192"/>
      <w:bookmarkEnd w:id="193"/>
    </w:p>
    <w:p>
      <w:pPr>
        <w:pStyle w:val="P12"/>
        <w:jc w:val="both"/>
        <w:rPr>
          <w:color w:val="C00000"/>
          <w:sz w:val="22"/>
          <w:lang w:val="en-US"/>
        </w:rPr>
      </w:pPr>
      <w:bookmarkStart w:id="194" w:name="_Toc89446037"/>
      <w:bookmarkStart w:id="195" w:name="_Toc90561191"/>
      <w:r>
        <w:rPr>
          <w:caps w:val="0"/>
          <w:color w:val="C00000"/>
          <w:sz w:val="22"/>
        </w:rPr>
        <w:t>DAGVATTEN</w:t>
      </w:r>
      <w:bookmarkEnd w:id="194"/>
      <w:bookmarkEnd w:id="195"/>
    </w:p>
    <w:p>
      <w:pPr>
        <w:ind w:left="340"/>
        <w:jc w:val="both"/>
        <w:rPr>
          <w:rFonts w:ascii="Times New Roman" w:hAnsi="Times New Roman" w:cs="Times New Roman"/>
        </w:rPr>
      </w:pPr>
      <w:bookmarkStart w:id="196" w:name="pf_dagvatten01"/>
      <w:r>
        <w:rPr>
          <w:rFonts w:ascii="Times New Roman" w:hAnsi="Times New Roman" w:cs="Times New Roman"/>
        </w:rPr>
        <w:t xml:space="preserve">Dagvatten är regn och smältvatten som avled från tomt- och naturmark, tak, gator och liknande. Det är viktigt att dagvatten hanteras på ett hållbart sätt för att undvika problem med översvämningar och fuktskador på byggnader och anläggningar, minska spridningen av förorenat dagvatten samt skydda känsliga recipienter. Det finns en skyldighet för va-verksamheten att avleda och omhänderta dag-och dränvatten enligt gällande krav i Miljöbalken och VA-lagen inom detaljplanelagt område. Det är recipienten Södra Barken i Söderbärke som tar emot dagvatten från planområdet.   </w:t>
      </w:r>
      <w:bookmarkEnd w:id="196"/>
    </w:p>
    <w:p>
      <w:pPr>
        <w:pStyle w:val="P11"/>
        <w:jc w:val="both"/>
        <w:rPr>
          <w:color w:val="C00000"/>
          <w:sz w:val="22"/>
          <w:szCs w:val="22"/>
        </w:rPr>
      </w:pPr>
      <w:bookmarkStart w:id="197" w:name="_Toc89446038"/>
      <w:bookmarkStart w:id="198" w:name="_Toc107476987"/>
      <w:bookmarkStart w:id="199" w:name="_Toc120016350"/>
      <w:bookmarkStart w:id="200" w:name="_Toc126834309"/>
      <w:bookmarkStart w:id="201" w:name="_Toc90561192"/>
      <w:r>
        <w:rPr>
          <w:caps w:val="0"/>
          <w:color w:val="C00000"/>
          <w:sz w:val="22"/>
          <w:szCs w:val="22"/>
        </w:rPr>
        <w:t>HÄLSA OCH SÄKERHET</w:t>
      </w:r>
      <w:bookmarkEnd w:id="197"/>
      <w:bookmarkEnd w:id="198"/>
      <w:bookmarkEnd w:id="199"/>
      <w:bookmarkEnd w:id="200"/>
      <w:bookmarkEnd w:id="201"/>
    </w:p>
    <w:p>
      <w:pPr>
        <w:pStyle w:val="P12"/>
        <w:jc w:val="both"/>
        <w:rPr>
          <w:color w:val="C00000"/>
          <w:sz w:val="22"/>
          <w:lang w:val="en-US"/>
        </w:rPr>
      </w:pPr>
      <w:bookmarkStart w:id="202" w:name="_Toc89446039"/>
      <w:bookmarkStart w:id="203" w:name="_Toc90561193"/>
      <w:r>
        <w:rPr>
          <w:caps w:val="0"/>
          <w:color w:val="C00000"/>
          <w:sz w:val="22"/>
        </w:rPr>
        <w:t>OMGIVNINGSBULLER</w:t>
      </w:r>
      <w:bookmarkEnd w:id="202"/>
      <w:bookmarkEnd w:id="203"/>
      <w:r>
        <w:rPr>
          <w:caps w:val="0"/>
          <w:color w:val="C00000"/>
          <w:sz w:val="22"/>
        </w:rPr>
        <w:t xml:space="preserve"> </w:t>
      </w:r>
    </w:p>
    <w:p>
      <w:pPr>
        <w:ind w:left="340"/>
        <w:jc w:val="both"/>
        <w:rPr>
          <w:rFonts w:ascii="Times New Roman" w:hAnsi="Times New Roman" w:cs="Times New Roman"/>
        </w:rPr>
      </w:pPr>
      <w:bookmarkStart w:id="204" w:name="pf_omgivningsbuller01"/>
      <w:r>
        <w:rPr>
          <w:rFonts w:ascii="Times New Roman" w:hAnsi="Times New Roman" w:cs="Times New Roman"/>
        </w:rPr>
        <w:t xml:space="preserve">De vanligaste källorna till buller är väg, spår och flygtrafik, samt industrier och andra verksamheter. I dagsläget finns fastställda miljökvalitetsnormer för luftkvalitén, vattenkvalitén och omgivningsbuller. Enligt förordning 2004:675 (2012:51) om omgivningsbuller ska kommuner med en befolkning på över 100 000 invånare samt Trafikverket genomföra bullerkartläggning vart femte år. Detta innebär att Smedjebackens kommun inte behöver göra en bullerkartläggning i och med att det krävs en mycket högre trafik, den sammanlagda bedömningen är att planförslaget inte medför störningar eller hälsorisker för omgivningen. </w:t>
      </w:r>
    </w:p>
    <w:p>
      <w:pPr>
        <w:pStyle w:val="P12"/>
        <w:jc w:val="both"/>
        <w:rPr>
          <w:color w:val="C00000"/>
          <w:sz w:val="22"/>
          <w:lang w:val="en-US"/>
        </w:rPr>
      </w:pPr>
      <w:bookmarkEnd w:id="204"/>
      <w:bookmarkStart w:id="205" w:name="_Toc89446040"/>
      <w:bookmarkStart w:id="206" w:name="_Toc90561194"/>
      <w:r>
        <w:rPr>
          <w:caps w:val="0"/>
          <w:color w:val="C00000"/>
          <w:sz w:val="22"/>
        </w:rPr>
        <w:t>RISK FÖR OLYCKOR</w:t>
      </w:r>
      <w:bookmarkEnd w:id="205"/>
      <w:bookmarkEnd w:id="206"/>
      <w:r>
        <w:rPr>
          <w:caps w:val="0"/>
          <w:color w:val="C00000"/>
          <w:sz w:val="22"/>
        </w:rPr>
        <w:t xml:space="preserve"> </w:t>
      </w:r>
    </w:p>
    <w:p>
      <w:pPr>
        <w:ind w:left="340"/>
        <w:jc w:val="both"/>
        <w:rPr>
          <w:rFonts w:ascii="Times New Roman" w:hAnsi="Times New Roman" w:cs="Times New Roman"/>
        </w:rPr>
      </w:pPr>
      <w:bookmarkStart w:id="207" w:name="pf_riskförolyckor01"/>
      <w:r>
        <w:rPr>
          <w:rFonts w:ascii="Times New Roman" w:hAnsi="Times New Roman" w:cs="Times New Roman"/>
        </w:rPr>
        <w:t>Planområdet ligger ca 300 meter från riksväg 66 vilket kan innebära en risk för olyckor med farligt gods och andra trafikolyckor samt trafikbuller. I översiktsplanen nämns att ny bebyggelse och nya verksamheter i anslutning till riksväg 66 ska särskild hänsyn tas till bland annat olycksrisk vid transport av farligt gods. Det finns olika principer för hur säkerhet kan åstadkommas genom detaljplan, några planeringsprinciper för ökad säkerhet som har tillämpats är följande:</w:t>
      </w:r>
    </w:p>
    <w:p>
      <w:pPr>
        <w:pStyle w:val="P13"/>
        <w:numPr>
          <w:ilvl w:val="0"/>
          <w:numId w:val="13"/>
        </w:numPr>
        <w:jc w:val="both"/>
        <w:rPr>
          <w:lang w:val="en-US"/>
        </w:rPr>
      </w:pPr>
      <w:r>
        <w:rPr>
          <w:rFonts w:ascii="Times New Roman" w:hAnsi="Times New Roman" w:cs="Times New Roman"/>
        </w:rPr>
        <w:t xml:space="preserve">Detaljplanen säkerställer att ny bebyggelse ska tillkomma på lämpliga områden utifrån säkerhetsperspektiv. </w:t>
      </w:r>
    </w:p>
    <w:p>
      <w:pPr>
        <w:pStyle w:val="P13"/>
        <w:numPr>
          <w:ilvl w:val="0"/>
          <w:numId w:val="13"/>
        </w:numPr>
        <w:jc w:val="both"/>
        <w:rPr>
          <w:lang w:val="en-US"/>
        </w:rPr>
      </w:pPr>
      <w:r>
        <w:rPr>
          <w:rFonts w:ascii="Times New Roman" w:hAnsi="Times New Roman" w:cs="Times New Roman"/>
        </w:rPr>
        <w:t xml:space="preserve">I detaljplanen används bestämmelser om utformning och placering av byggnader, utformningen av bebyggelsemiljön kan bidra till ökad säkerhet. </w:t>
      </w:r>
    </w:p>
    <w:p>
      <w:pPr>
        <w:pStyle w:val="P13"/>
        <w:numPr>
          <w:ilvl w:val="0"/>
          <w:numId w:val="13"/>
        </w:numPr>
        <w:jc w:val="both"/>
        <w:rPr>
          <w:lang w:val="en-US"/>
        </w:rPr>
      </w:pPr>
      <w:bookmarkStart w:id="208" w:name="_Hlk106798642"/>
      <w:r>
        <w:rPr>
          <w:rFonts w:ascii="Times New Roman" w:hAnsi="Times New Roman" w:cs="Times New Roman"/>
        </w:rPr>
        <w:t>En säker och separat gång - och cykelväg finns i närområdet för att barnen på förskolan samt närboende ska kunna på ett säkert sätt ta sig till och från planområdet.</w:t>
      </w:r>
      <w:bookmarkEnd w:id="208"/>
    </w:p>
    <w:p>
      <w:pPr>
        <w:ind w:left="340"/>
        <w:rPr>
          <w:lang w:val="en-US"/>
        </w:rPr>
      </w:pPr>
      <w:r>
        <w:rPr>
          <w:rFonts w:ascii="Times New Roman" w:hAnsi="Times New Roman" w:cs="Times New Roman"/>
        </w:rPr>
        <w:t>På Brusgatan sker viss genomfart från bostadsområden i söder mot Söderbärke centrum, Kopparvägen fungerar som tillfartsväg till bostadsområden i södra delen av Kyrkbyn och vid Urnäsudden. Genomfartstrafik och tung trafik av någon större omfattning sker inte på dessa gator.</w:t>
      </w:r>
    </w:p>
    <w:p>
      <w:pPr>
        <w:ind w:left="340"/>
        <w:rPr>
          <w:lang w:val="en-US"/>
        </w:rPr>
      </w:pPr>
      <w:bookmarkEnd w:id="207"/>
      <w:bookmarkStart w:id="209" w:name="pf_riskförolyckor02"/>
      <w:r>
        <w:rPr>
          <w:noProof w:val="1"/>
          <w:lang w:val="en-US"/>
        </w:rPr>
        <w:drawing>
          <wp:anchor xmlns:wp="http://schemas.openxmlformats.org/drawingml/2006/wordprocessingDrawing" distT="0" distB="0" distL="114300" distR="114300" simplePos="0" relativeHeight="20" behindDoc="0" locked="0" layoutInCell="1" allowOverlap="1">
            <wp:simplePos x="0" y="0"/>
            <wp:positionH relativeFrom="margin">
              <wp:posOffset>237490</wp:posOffset>
            </wp:positionH>
            <wp:positionV relativeFrom="paragraph">
              <wp:posOffset>10160</wp:posOffset>
            </wp:positionV>
            <wp:extent cx="3167380" cy="2921000"/>
            <wp:effectExtent l="0" t="0" r="0" b="0"/>
            <wp:wrapThrough wrapText="bothSides">
              <wp:wrapPolygon edited="0">
                <wp:start x="0" y="0"/>
                <wp:lineTo x="0" y="21412"/>
                <wp:lineTo x="21435" y="21412"/>
                <wp:lineTo x="21435" y="0"/>
                <wp:lineTo x="0" y="0"/>
              </wp:wrapPolygon>
            </wp:wrapThrough>
            <wp:docPr id="2" name="Bildobjekt 2"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objekt 2" descr="En bild som visar karta&#10;&#10;Automatiskt genererad beskrivning"/>
                    <pic:cNvPicPr/>
                  </pic:nvPicPr>
                  <pic:blipFill dpi="0">
                    <a:blip xmlns:r="http://schemas.openxmlformats.org/officeDocument/2006/relationships" r:embed="Relimage26"/>
                    <a:srcRect/>
                    <a:stretch>
                      <a:fillRect/>
                    </a:stretch>
                  </pic:blipFill>
                  <pic:spPr>
                    <a:xfrm>
                      <a:off x="0" y="0"/>
                      <a:ext cx="3167380" cy="2921000"/>
                    </a:xfrm>
                    <a:prstGeom prst="rect"/>
                  </pic:spPr>
                </pic:pic>
              </a:graphicData>
            </a:graphic>
          </wp:anchor>
        </w:drawing>
      </w:r>
      <w:bookmarkEnd w:id="209"/>
    </w:p>
    <w:p>
      <w:pPr>
        <w:ind w:left="340"/>
        <w:rPr>
          <w:lang w:val="en-US"/>
        </w:rPr>
      </w:pPr>
    </w:p>
    <w:p>
      <w:pPr>
        <w:ind w:left="340"/>
        <w:rPr>
          <w:lang w:val="en-US"/>
        </w:rPr>
      </w:pPr>
    </w:p>
    <w:p>
      <w:pPr>
        <w:ind w:left="340"/>
        <w:rPr>
          <w:lang w:val="en-US"/>
        </w:rPr>
      </w:pPr>
    </w:p>
    <w:p>
      <w:pPr>
        <w:ind w:left="340"/>
        <w:rPr>
          <w:lang w:val="en-US"/>
        </w:rPr>
      </w:pPr>
    </w:p>
    <w:p>
      <w:pPr>
        <w:ind w:left="340"/>
        <w:rPr>
          <w:lang w:val="en-US"/>
        </w:rPr>
      </w:pPr>
    </w:p>
    <w:p>
      <w:pPr>
        <w:ind w:left="340"/>
        <w:rPr>
          <w:lang w:val="en-US"/>
        </w:rPr>
      </w:pPr>
    </w:p>
    <w:p>
      <w:pPr>
        <w:ind w:left="340"/>
        <w:rPr>
          <w:lang w:val="en-US"/>
        </w:rPr>
      </w:pPr>
    </w:p>
    <w:p>
      <w:pPr>
        <w:ind w:left="340"/>
        <w:rPr>
          <w:lang w:val="en-US"/>
        </w:rPr>
      </w:pPr>
    </w:p>
    <w:p>
      <w:pPr>
        <w:ind w:left="340"/>
        <w:rPr>
          <w:lang w:val="en-US"/>
        </w:rPr>
      </w:pPr>
    </w:p>
    <w:p>
      <w:pPr>
        <w:rPr>
          <w:lang w:val="en-US"/>
        </w:rPr>
      </w:pPr>
    </w:p>
    <w:p>
      <w:pPr>
        <w:pStyle w:val="P12"/>
        <w:rPr>
          <w:color w:val="C00000"/>
          <w:sz w:val="22"/>
          <w:lang w:val="en-US"/>
        </w:rPr>
      </w:pPr>
      <w:bookmarkStart w:id="210" w:name="_Toc89446041"/>
      <w:bookmarkStart w:id="211" w:name="_Toc90561195"/>
      <w:r>
        <w:rPr>
          <w:caps w:val="0"/>
          <w:color w:val="C00000"/>
          <w:sz w:val="22"/>
        </w:rPr>
        <w:t>RISK FÖR ÖVERSVÄMNING</w:t>
      </w:r>
      <w:bookmarkEnd w:id="210"/>
      <w:bookmarkEnd w:id="211"/>
      <w:r>
        <w:rPr>
          <w:caps w:val="0"/>
          <w:color w:val="C00000"/>
          <w:sz w:val="22"/>
        </w:rPr>
        <w:t xml:space="preserve"> </w:t>
      </w:r>
    </w:p>
    <w:p>
      <w:pPr>
        <w:ind w:left="340"/>
        <w:jc w:val="both"/>
        <w:rPr>
          <w:rFonts w:ascii="Times New Roman" w:hAnsi="Times New Roman" w:cs="Times New Roman"/>
          <w:lang w:val="en-US"/>
        </w:rPr>
      </w:pPr>
      <w:bookmarkStart w:id="212" w:name="pf_riskföröversvämning01"/>
      <w:r>
        <w:rPr>
          <w:rFonts w:ascii="Times New Roman" w:hAnsi="Times New Roman" w:cs="Times New Roman"/>
        </w:rPr>
        <w:t xml:space="preserve">Med ökade nederbördsmängder är en bra och väl genomarbetad planering för omhändertagande av dagvatten en förutsättning för att man i framtiden ska kunna undvika problem med översvämningar. Enligt MSB:s översvämningsportal finns det inga risker för översvämning inom planområdet, ungefär 1 km från planområdet finns sjön Barken som är översvämningsdrabbad. Däremot finns det inga indikationer för att planområdet är inom riskzon. </w:t>
      </w:r>
    </w:p>
    <w:p>
      <w:pPr>
        <w:pStyle w:val="P12"/>
        <w:jc w:val="both"/>
        <w:rPr>
          <w:color w:val="C00000"/>
          <w:sz w:val="22"/>
          <w:lang w:val="en-US"/>
        </w:rPr>
      </w:pPr>
      <w:bookmarkEnd w:id="212"/>
      <w:bookmarkStart w:id="213" w:name="_Toc89446042"/>
      <w:bookmarkStart w:id="214" w:name="_Toc90561196"/>
      <w:r>
        <w:rPr>
          <w:caps w:val="0"/>
          <w:color w:val="C00000"/>
          <w:sz w:val="22"/>
        </w:rPr>
        <w:t>RISK FÖR EROSION</w:t>
      </w:r>
      <w:bookmarkEnd w:id="213"/>
      <w:bookmarkEnd w:id="214"/>
      <w:r>
        <w:rPr>
          <w:caps w:val="0"/>
          <w:color w:val="C00000"/>
          <w:sz w:val="22"/>
        </w:rPr>
        <w:t xml:space="preserve"> </w:t>
      </w:r>
    </w:p>
    <w:p>
      <w:pPr>
        <w:ind w:left="340"/>
        <w:jc w:val="both"/>
        <w:rPr>
          <w:lang w:val="en-US"/>
        </w:rPr>
      </w:pPr>
      <w:bookmarkStart w:id="215" w:name="pf_riskförerosion01"/>
      <w:r>
        <w:rPr>
          <w:rFonts w:ascii="Times New Roman" w:hAnsi="Times New Roman" w:cs="Times New Roman"/>
        </w:rPr>
        <w:t xml:space="preserve">Erosion är den nednötning och transport av jord och berg som orsakas av bland annat vint, rinnande vatten och vågor. </w:t>
      </w:r>
      <w:bookmarkStart w:id="216" w:name="_Hlk106799067"/>
      <w:r>
        <w:rPr>
          <w:rFonts w:ascii="Times New Roman" w:hAnsi="Times New Roman" w:cs="Times New Roman"/>
        </w:rPr>
        <w:t>Erosion förekommer främst längst slänter mot vattendrag, inom planområdet finns inga indikationer om risk för erosion.</w:t>
      </w:r>
      <w:bookmarkEnd w:id="216"/>
    </w:p>
    <w:p>
      <w:pPr>
        <w:pStyle w:val="P12"/>
        <w:jc w:val="both"/>
        <w:rPr>
          <w:color w:val="C00000"/>
          <w:sz w:val="22"/>
          <w:lang w:val="en-US"/>
        </w:rPr>
      </w:pPr>
      <w:bookmarkEnd w:id="215"/>
      <w:bookmarkStart w:id="217" w:name="_Toc89446043"/>
      <w:bookmarkStart w:id="218" w:name="_Toc90561197"/>
      <w:r>
        <w:rPr>
          <w:caps w:val="0"/>
          <w:color w:val="C00000"/>
          <w:sz w:val="22"/>
        </w:rPr>
        <w:t>RISK FÖR SKRED</w:t>
      </w:r>
      <w:bookmarkEnd w:id="217"/>
      <w:bookmarkEnd w:id="218"/>
      <w:r>
        <w:rPr>
          <w:caps w:val="0"/>
          <w:color w:val="C00000"/>
          <w:sz w:val="22"/>
        </w:rPr>
        <w:t xml:space="preserve"> </w:t>
      </w:r>
    </w:p>
    <w:p>
      <w:pPr>
        <w:ind w:left="340"/>
        <w:jc w:val="both"/>
        <w:rPr>
          <w:i w:val="1"/>
          <w:iCs w:val="1"/>
          <w:lang w:val="en-US"/>
        </w:rPr>
      </w:pPr>
      <w:bookmarkStart w:id="219" w:name="pf_riskförskred01"/>
      <w:r>
        <w:rPr>
          <w:rFonts w:ascii="Times New Roman" w:hAnsi="Times New Roman" w:cs="Times New Roman"/>
        </w:rPr>
        <w:t xml:space="preserve">I ett skred är det en massa av jord eller större del av ett berg som kommer i rörelse, skred förekommer vanligen i jordar med slit och lera. Inom planområdet är jordarten lera och slit, för att säkerställa att ny bebyggelse inte ska utsättas för risker för skred har exploatören genomfört provgropar. </w:t>
      </w:r>
      <w:r>
        <w:rPr>
          <w:rFonts w:ascii="Times New Roman" w:hAnsi="Times New Roman" w:cs="Times New Roman"/>
          <w:i w:val="1"/>
          <w:iCs w:val="1"/>
        </w:rPr>
        <w:t>Resultaten av provgrop redovisas under kapitel Utredningar5.2, geoteknisk utredning 5.2.1</w:t>
      </w:r>
    </w:p>
    <w:p>
      <w:pPr>
        <w:pStyle w:val="P12"/>
        <w:jc w:val="both"/>
        <w:rPr>
          <w:color w:val="C00000"/>
          <w:sz w:val="22"/>
          <w:lang w:val="en-US"/>
        </w:rPr>
      </w:pPr>
      <w:bookmarkEnd w:id="219"/>
      <w:bookmarkStart w:id="220" w:name="_Toc89446044"/>
      <w:bookmarkStart w:id="221" w:name="_Toc90561198"/>
      <w:r>
        <w:rPr>
          <w:caps w:val="0"/>
          <w:color w:val="C00000"/>
          <w:sz w:val="22"/>
        </w:rPr>
        <w:t>RISK FÖR RAS</w:t>
      </w:r>
      <w:bookmarkEnd w:id="220"/>
      <w:bookmarkEnd w:id="221"/>
    </w:p>
    <w:p>
      <w:pPr>
        <w:ind w:left="340"/>
        <w:jc w:val="both"/>
        <w:rPr>
          <w:rFonts w:ascii="Times New Roman" w:hAnsi="Times New Roman" w:cs="Times New Roman"/>
        </w:rPr>
      </w:pPr>
      <w:bookmarkStart w:id="222" w:name="pf_riskförras01"/>
      <w:r>
        <w:rPr>
          <w:rFonts w:ascii="Times New Roman" w:hAnsi="Times New Roman" w:cs="Times New Roman"/>
        </w:rPr>
        <w:t>Ett ras är en snabb massrörelse i jord eller berg, ras utlöses ofta efter långvariga nederbörd eller vid snabb snösmältning. Enligt Statens Geotekniska Institut kartunderlag om ras, skred och erosion har planområdet jordarten inom lera-slit och klassas som ej fastmark. Till klassen ej fastmark räknas bland annat slit och lera. Enligt utfört provgrop finns det inga indikationer för risk för ras.</w:t>
      </w:r>
    </w:p>
    <w:p>
      <w:pPr>
        <w:ind w:left="340"/>
        <w:jc w:val="both"/>
        <w:rPr>
          <w:rFonts w:ascii="Times New Roman" w:hAnsi="Times New Roman" w:cs="Times New Roman"/>
        </w:rPr>
      </w:pPr>
      <w:bookmarkEnd w:id="222"/>
    </w:p>
    <w:p>
      <w:pPr>
        <w:pStyle w:val="P12"/>
        <w:jc w:val="both"/>
        <w:rPr>
          <w:color w:val="C00000"/>
          <w:sz w:val="22"/>
          <w:lang w:val="en-US"/>
        </w:rPr>
      </w:pPr>
      <w:bookmarkStart w:id="223" w:name="_Toc90561199"/>
      <w:r>
        <w:rPr>
          <w:caps w:val="0"/>
          <w:color w:val="C00000"/>
          <w:sz w:val="22"/>
        </w:rPr>
        <w:t>FÖRORENAD MARK</w:t>
      </w:r>
      <w:bookmarkEnd w:id="223"/>
    </w:p>
    <w:p>
      <w:pPr>
        <w:ind w:left="340"/>
        <w:jc w:val="both"/>
        <w:rPr>
          <w:rFonts w:ascii="Times New Roman" w:hAnsi="Times New Roman" w:cs="Times New Roman"/>
        </w:rPr>
      </w:pPr>
      <w:bookmarkStart w:id="224" w:name="pf_förorenadmark01"/>
      <w:r>
        <w:rPr>
          <w:rFonts w:ascii="Times New Roman" w:hAnsi="Times New Roman" w:cs="Times New Roman"/>
        </w:rPr>
        <w:t xml:space="preserve">Ett förorenat område är mark, grundvatten, ytvatten eller andra konstruktioner som innehåller föroreningar i sådan utsträckning att det kan vara en risk för människors hälsa eller miljön. Förorenade områden uppkommer genom utsläpp, spill, olyckor eller vid industriella verksamheter. Utanför planområdet finns det potentiellt två förorenade områden fastighet Västerby 22:18 och Brustorpet 1:5. </w:t>
      </w:r>
    </w:p>
    <w:p>
      <w:pPr>
        <w:pStyle w:val="P13"/>
        <w:numPr>
          <w:ilvl w:val="0"/>
          <w:numId w:val="29"/>
        </w:numPr>
        <w:jc w:val="both"/>
        <w:rPr>
          <w:rFonts w:ascii="Times New Roman" w:hAnsi="Times New Roman" w:cs="Times New Roman"/>
          <w:b w:val="1"/>
          <w:bCs w:val="1"/>
        </w:rPr>
      </w:pPr>
      <w:r>
        <w:rPr>
          <w:rFonts w:ascii="Times New Roman" w:hAnsi="Times New Roman" w:cs="Times New Roman"/>
          <w:b w:val="1"/>
          <w:bCs w:val="1"/>
        </w:rPr>
        <w:t>Riskbedömning för fastighet Västerby 22:18</w:t>
      </w:r>
    </w:p>
    <w:p>
      <w:pPr>
        <w:pStyle w:val="P13"/>
        <w:ind w:left="700"/>
        <w:jc w:val="both"/>
        <w:rPr>
          <w:rFonts w:ascii="Times New Roman" w:hAnsi="Times New Roman" w:cs="Times New Roman"/>
        </w:rPr>
      </w:pPr>
      <w:r>
        <w:rPr>
          <w:rFonts w:ascii="Times New Roman" w:hAnsi="Times New Roman" w:cs="Times New Roman"/>
        </w:rPr>
        <w:t>Det saknas uppgifter om hur exakt vilken typ av verksamhet som har bedrivits på platsen och hur omfattande verksamheten har varit. Den generella beskrivningen av verksamheten är bilvårdsanläggning, bilverkstad samt åkeri mm. Ingen provtagning har skett på fastigheten Västerby 22:18</w:t>
      </w:r>
      <w:r>
        <w:t xml:space="preserve">. </w:t>
      </w:r>
      <w:r>
        <w:rPr>
          <w:rFonts w:ascii="Times New Roman" w:hAnsi="Times New Roman" w:cs="Times New Roman"/>
        </w:rPr>
        <w:t>Spridningsrisken för Alifatiska kolväten beror på längden på kolkedjan. Desto kortare kolkedja desto mer lättlöslig är alifaterna i vatten och de kan därför sprida sig längre ifrån källan. Alifatiska kolväten kan tas upp av mikroorganismer i marken, alifaterna med kortare kolkedja tas lättare upp av mikroorganismer och har därför större påverkan. Hexan och Oktan har en kortare kolkedja, och kan därför sprida sig längre från källan. Det finns därmed risk för att Hexan och Oktan har spridits från fastigheten till grundvattnet. Det nya planområdet ligger inom kommunalt verksamhetsområde för dricksvatten. Risken med påverkan från dricksvattenintaget för boende eller arbetande inom planområdet bedöms därför vara lågt.</w:t>
      </w:r>
    </w:p>
    <w:p>
      <w:pPr>
        <w:pStyle w:val="P13"/>
        <w:ind w:left="700"/>
        <w:jc w:val="both"/>
        <w:rPr>
          <w:rFonts w:ascii="Times New Roman" w:hAnsi="Times New Roman" w:cs="Times New Roman"/>
        </w:rPr>
      </w:pPr>
      <w:r>
        <w:rPr>
          <w:rFonts w:ascii="Times New Roman" w:hAnsi="Times New Roman" w:cs="Times New Roman"/>
        </w:rPr>
        <w:t xml:space="preserve">Den totala riskbedömningen blir att det troligaste är att de flesta föroreningar borde vara knutan till fastigheten Västerby 22:18 eller det direkta området runt fastigheten. Det finns en risk att spridning av vissa föroreningar har skett till grundvattnet. Risken vid intag av dricksvatten inom planområdet bedöms vara låg då området ligger inom kommunalt verksamhetsområde för dricksvatten. </w:t>
      </w:r>
    </w:p>
    <w:p>
      <w:pPr>
        <w:pStyle w:val="P13"/>
        <w:ind w:left="700"/>
        <w:jc w:val="both"/>
        <w:rPr>
          <w:rFonts w:ascii="Times New Roman" w:hAnsi="Times New Roman" w:cs="Times New Roman"/>
          <w:i w:val="1"/>
          <w:iCs w:val="1"/>
        </w:rPr>
      </w:pPr>
      <w:r>
        <w:rPr>
          <w:rFonts w:ascii="Times New Roman" w:hAnsi="Times New Roman" w:cs="Times New Roman"/>
        </w:rPr>
        <w:t xml:space="preserve">För fullständig riskbedömning se bilaga </w:t>
      </w:r>
      <w:r>
        <w:rPr>
          <w:rFonts w:ascii="Times New Roman" w:hAnsi="Times New Roman" w:cs="Times New Roman"/>
          <w:i w:val="1"/>
          <w:iCs w:val="1"/>
        </w:rPr>
        <w:t xml:space="preserve">Riskbedömning av förorenad mark, Västerby 22:18. </w:t>
      </w:r>
    </w:p>
    <w:p>
      <w:pPr>
        <w:pStyle w:val="P13"/>
        <w:ind w:left="700"/>
        <w:jc w:val="both"/>
        <w:rPr>
          <w:rFonts w:ascii="Times New Roman" w:hAnsi="Times New Roman" w:cs="Times New Roman"/>
          <w:i w:val="1"/>
          <w:iCs w:val="1"/>
        </w:rPr>
      </w:pPr>
    </w:p>
    <w:p>
      <w:pPr>
        <w:pStyle w:val="P13"/>
        <w:numPr>
          <w:ilvl w:val="0"/>
          <w:numId w:val="29"/>
        </w:numPr>
        <w:jc w:val="both"/>
        <w:rPr>
          <w:rFonts w:ascii="Times New Roman" w:hAnsi="Times New Roman" w:cs="Times New Roman"/>
          <w:b w:val="1"/>
          <w:bCs w:val="1"/>
        </w:rPr>
      </w:pPr>
      <w:r>
        <w:rPr>
          <w:rFonts w:ascii="Times New Roman" w:hAnsi="Times New Roman" w:cs="Times New Roman"/>
          <w:b w:val="1"/>
          <w:bCs w:val="1"/>
        </w:rPr>
        <w:t>Riskbedömning för fastighet Brustorpet 5:1</w:t>
      </w:r>
    </w:p>
    <w:p>
      <w:pPr>
        <w:pStyle w:val="P13"/>
        <w:ind w:left="700"/>
        <w:jc w:val="both"/>
        <w:rPr>
          <w:rFonts w:ascii="Times New Roman" w:hAnsi="Times New Roman" w:cs="Times New Roman"/>
        </w:rPr>
      </w:pPr>
      <w:r>
        <w:rPr>
          <w:rFonts w:ascii="Times New Roman" w:hAnsi="Times New Roman" w:cs="Times New Roman"/>
        </w:rPr>
        <w:t>Det saknas uppgifter om hur exakt vilken typ av verksamhet som har bedrivits på platsen och hur omfattande verksamheten har varit. Den generella beskrivningen av verksamheten är verkstadsindustri utan halogenerade lösningsmedel (kopparslageri). Verksamheten avslutades troligen för 1969. Ingen provtagning har skett på fastigheten Brustorpet 1:5.</w:t>
      </w:r>
    </w:p>
    <w:p>
      <w:pPr>
        <w:pStyle w:val="P13"/>
        <w:ind w:left="700"/>
        <w:jc w:val="both"/>
        <w:rPr>
          <w:rFonts w:ascii="Times New Roman" w:hAnsi="Times New Roman" w:cs="Times New Roman"/>
        </w:rPr>
      </w:pPr>
      <w:r>
        <w:rPr>
          <w:rFonts w:ascii="Times New Roman" w:hAnsi="Times New Roman" w:cs="Times New Roman"/>
        </w:rPr>
        <w:t>En granskning av historiska ortofoto från 1960 och 1975 har skett över planområdet samt fastigheten Brustorpet 1:5. Det finns inget i ortofoto som tyder på att avfallslagring från verksamheter har skett inom planområdet. Det aktuella planområdet ser i ortofoto från både 1960 och 1975 ut att brukas som åkermark.</w:t>
      </w:r>
    </w:p>
    <w:p>
      <w:pPr>
        <w:pStyle w:val="P13"/>
        <w:ind w:left="700"/>
        <w:jc w:val="both"/>
        <w:rPr>
          <w:rFonts w:ascii="Times New Roman" w:hAnsi="Times New Roman" w:cs="Times New Roman"/>
        </w:rPr>
      </w:pPr>
      <w:r>
        <w:rPr>
          <w:rFonts w:ascii="Times New Roman" w:hAnsi="Times New Roman" w:cs="Times New Roman"/>
        </w:rPr>
        <w:t>Branschspecifika föroreningar från verkstadsindustri utan halogenerade lösningsmedel är Alifatiska kolväten (Hexan, Oktan), PAH (Antracen, Naftalen, Benso(a)pyren). Andra föroreningar som kan förekomma är många, bland annat metaller och petroleumprodukter PAH har en vattenskyende natur och vill hellre vara tillsammans med organiskt material än att befinna sig i lösning med vatten. Det betyder att när ämnena kommer i kontakt med en jord kommer de att fördela sig i en betydligt större utsträckning till det organiska materialet än till vattnet som finns i markens eller sedimentets porer. PAH borde därmed inte ha spridits så långt från fastigheten, utan det troliga bedöms vara att eventuella föroreningar finns kvar på eller nära fastigheten Brustorpet 1:5</w:t>
      </w:r>
    </w:p>
    <w:p>
      <w:pPr>
        <w:pStyle w:val="P13"/>
        <w:ind w:left="700"/>
        <w:jc w:val="both"/>
        <w:rPr>
          <w:rFonts w:ascii="Times New Roman" w:hAnsi="Times New Roman" w:cs="Times New Roman"/>
        </w:rPr>
      </w:pPr>
      <w:r>
        <w:rPr>
          <w:rFonts w:ascii="Times New Roman" w:hAnsi="Times New Roman" w:cs="Times New Roman"/>
        </w:rPr>
        <w:t>Den sammanlagda riskbedömningen blir att det troligaste är att de flesta föroreningar borde vara knutan till fastigheten Brustorpet 1:5 eller det direkta området runt fastigheten. Det finns en risk att spridning av vissa föroreningar har skett till grundvattnet. Risken vid intag av dricksvatten inom planområdet bedöms vara låg då området ligger inom kommunalt verksamhetsområde för dricksvatten.</w:t>
      </w:r>
    </w:p>
    <w:p>
      <w:pPr>
        <w:pStyle w:val="P13"/>
        <w:ind w:left="700"/>
        <w:jc w:val="both"/>
        <w:rPr>
          <w:rFonts w:ascii="Times New Roman" w:hAnsi="Times New Roman" w:cs="Times New Roman"/>
          <w:i w:val="1"/>
          <w:iCs w:val="1"/>
        </w:rPr>
      </w:pPr>
      <w:r>
        <w:rPr>
          <w:rFonts w:ascii="Times New Roman" w:hAnsi="Times New Roman" w:cs="Times New Roman"/>
        </w:rPr>
        <w:t xml:space="preserve">För fullständig riskbedömning se bilaga </w:t>
      </w:r>
      <w:r>
        <w:rPr>
          <w:rFonts w:ascii="Times New Roman" w:hAnsi="Times New Roman" w:cs="Times New Roman"/>
          <w:i w:val="1"/>
          <w:iCs w:val="1"/>
        </w:rPr>
        <w:t>Riskbedömning av förorenad mark, Brustorpet 1:5</w:t>
      </w:r>
    </w:p>
    <w:p>
      <w:pPr>
        <w:pStyle w:val="P11"/>
        <w:jc w:val="both"/>
        <w:rPr>
          <w:color w:val="C00000"/>
          <w:sz w:val="22"/>
          <w:szCs w:val="22"/>
          <w:lang w:val="en-US"/>
        </w:rPr>
      </w:pPr>
      <w:bookmarkEnd w:id="224"/>
      <w:bookmarkStart w:id="225" w:name="_Toc89446045"/>
      <w:bookmarkStart w:id="226" w:name="_Toc126834310"/>
      <w:bookmarkStart w:id="227" w:name="_Toc107476988"/>
      <w:bookmarkStart w:id="228" w:name="_Toc120016351"/>
      <w:bookmarkStart w:id="229" w:name="_Toc90561200"/>
      <w:r>
        <w:rPr>
          <w:color w:val="C00000"/>
          <w:sz w:val="22"/>
          <w:szCs w:val="22"/>
        </w:rPr>
        <w:t>GEOTEKNISKA FÖRHÅLLANDEN</w:t>
      </w:r>
      <w:bookmarkEnd w:id="225"/>
      <w:bookmarkEnd w:id="226"/>
      <w:bookmarkEnd w:id="227"/>
      <w:bookmarkEnd w:id="228"/>
      <w:bookmarkEnd w:id="229"/>
      <w:r>
        <w:rPr>
          <w:color w:val="C00000"/>
          <w:sz w:val="22"/>
          <w:szCs w:val="22"/>
        </w:rPr>
        <w:t xml:space="preserve"> </w:t>
      </w:r>
    </w:p>
    <w:p>
      <w:pPr>
        <w:ind w:left="576"/>
        <w:jc w:val="both"/>
        <w:rPr>
          <w:rFonts w:ascii="Times New Roman" w:hAnsi="Times New Roman" w:cs="Times New Roman"/>
        </w:rPr>
      </w:pPr>
      <w:bookmarkStart w:id="230" w:name="pf_geotekniskaförhållanden01"/>
      <w:r>
        <w:rPr>
          <w:rFonts w:ascii="Times New Roman" w:hAnsi="Times New Roman" w:cs="Times New Roman"/>
        </w:rPr>
        <w:t xml:space="preserve">Enligt Sveriges Geologiska Undersökning (SGU) består stora delar av området av jordtypen lera-slit. Resultaten av provgropar visar att jorddjupet på området består av 20–30 cm jord, sedan sandig till lerigt slit ner till 2 meter. Enligt SGU uppgår skattat jorddjup 10–20 meter till berg. </w:t>
      </w:r>
    </w:p>
    <w:p>
      <w:pPr>
        <w:pStyle w:val="P11"/>
        <w:numPr>
          <w:ilvl w:val="1"/>
          <w:numId w:val="2"/>
        </w:numPr>
        <w:jc w:val="both"/>
        <w:rPr>
          <w:color w:val="C00000"/>
          <w:sz w:val="22"/>
          <w:szCs w:val="22"/>
        </w:rPr>
      </w:pPr>
      <w:bookmarkEnd w:id="230"/>
      <w:bookmarkStart w:id="231" w:name="_Toc89446046"/>
      <w:bookmarkStart w:id="232" w:name="_Toc126834311"/>
      <w:bookmarkStart w:id="233" w:name="_Toc107476989"/>
      <w:bookmarkStart w:id="234" w:name="_Toc120016352"/>
      <w:bookmarkStart w:id="235" w:name="_Toc90561201"/>
      <w:r>
        <w:rPr>
          <w:color w:val="C00000"/>
          <w:sz w:val="22"/>
          <w:szCs w:val="22"/>
        </w:rPr>
        <w:t>HYDROLOGISKA FÖRHÅLLANDEN</w:t>
      </w:r>
      <w:bookmarkEnd w:id="231"/>
      <w:bookmarkEnd w:id="232"/>
      <w:bookmarkEnd w:id="233"/>
      <w:bookmarkEnd w:id="234"/>
      <w:bookmarkEnd w:id="235"/>
      <w:r>
        <w:rPr>
          <w:color w:val="C00000"/>
          <w:sz w:val="22"/>
          <w:szCs w:val="22"/>
        </w:rPr>
        <w:t xml:space="preserve"> </w:t>
      </w:r>
    </w:p>
    <w:p>
      <w:pPr>
        <w:ind w:left="576"/>
        <w:jc w:val="both"/>
        <w:rPr>
          <w:rFonts w:ascii="Times New Roman" w:hAnsi="Times New Roman" w:cs="Times New Roman"/>
        </w:rPr>
      </w:pPr>
      <w:bookmarkStart w:id="236" w:name="pf_hydrologiskaförhållanden01"/>
      <w:r>
        <w:rPr>
          <w:rFonts w:ascii="Times New Roman" w:hAnsi="Times New Roman" w:cs="Times New Roman"/>
        </w:rPr>
        <w:t xml:space="preserve">Planområdet ligger inom verksamhetsområde för vatten och spillvatten vilket inkluderar dagvatten. Ledningar för dagvatten finns i området och det finns kapacitet i ledningarna att hantera dagvatten från hårdgjorda ytor tillhörande befintlig och kommande bebyggelse enligt planen. Närmast vattendrag som berörs är Södra Barken vilket löper öster om planområdet ca 1 km. Södra Barken har för närvarande en måttlig ekologisk status och uppnår inte god kemisk status. Den ekologiska statusen beror på konnektivitet, hydrologisk regim, svämplanets struktur, syrgasförhållanden och den kemiska statusen. Att Södra Barken inte uppnår god kemisk status beror på förhöjda halter av bland annat antracen, bromerad difenyleter, bly, östradioler, kadmium, kvicksilver och tributylenn föreningar. Förekomsten av dessa ämnen härrör från källor som atmosfärisk deposition, förorenade områden, reningsverk och trafik. Dagvatten från bostadsbebyggelse eller urban markanvändning är inte angiven som en påverkanskälla i VISS. Den sammanvägda bedömningen av recipientens påverkan av dagvatten från planområdet är att statusen inte riskerar att försämras eller att miljökvalitetsnormer äventyras då dagvattnet inte antas innehålla de föroreningar som ligger till grund för vattenförekomstens klassning idag. Därav bedöms påverkan från planlagd bebyggelse inte vara av den omfattning att det kan sänka statusklassningen på Södra Barken. Grundvattnet bedöms inte bli påverkat av detaljplanen, planområdet ligger inte i ett utpekat översvämningsområde. VA – verksamheten i kommunen drivs av WessmanBarken Vatten &amp; Återvinning AB (WBAB). Avloppsreningsverken i Söderbärke kommer över tid byggas ut för att tillgodose det ökade behovet när fler fastigheter ansluts till systemet. </w:t>
      </w:r>
    </w:p>
    <w:p>
      <w:pPr>
        <w:ind w:left="576"/>
        <w:jc w:val="both"/>
        <w:rPr>
          <w:rFonts w:ascii="Times New Roman" w:hAnsi="Times New Roman" w:cs="Times New Roman"/>
        </w:rPr>
      </w:pPr>
      <w:bookmarkEnd w:id="236"/>
    </w:p>
    <w:p>
      <w:pPr>
        <w:ind w:left="576"/>
        <w:jc w:val="both"/>
        <w:rPr>
          <w:rFonts w:ascii="Times New Roman" w:hAnsi="Times New Roman" w:cs="Times New Roman"/>
        </w:rPr>
      </w:pPr>
    </w:p>
    <w:p>
      <w:pPr>
        <w:ind w:left="576"/>
        <w:jc w:val="both"/>
        <w:rPr>
          <w:rFonts w:ascii="Times New Roman" w:hAnsi="Times New Roman" w:cs="Times New Roman"/>
        </w:rPr>
      </w:pPr>
    </w:p>
    <w:p>
      <w:pPr>
        <w:ind w:left="576"/>
        <w:jc w:val="both"/>
        <w:rPr>
          <w:rFonts w:ascii="Times New Roman" w:hAnsi="Times New Roman" w:cs="Times New Roman"/>
        </w:rPr>
      </w:pPr>
    </w:p>
    <w:p>
      <w:pPr>
        <w:pStyle w:val="P11"/>
        <w:rPr>
          <w:color w:val="C00000"/>
          <w:sz w:val="22"/>
          <w:szCs w:val="22"/>
        </w:rPr>
      </w:pPr>
      <w:bookmarkStart w:id="237" w:name="_Toc89446047"/>
      <w:bookmarkStart w:id="238" w:name="_Toc126834312"/>
      <w:bookmarkStart w:id="239" w:name="_Toc107476990"/>
      <w:bookmarkStart w:id="240" w:name="_Toc120016353"/>
      <w:bookmarkStart w:id="241" w:name="_Toc90561202"/>
      <w:r>
        <w:rPr>
          <w:color w:val="C00000"/>
          <w:sz w:val="22"/>
          <w:szCs w:val="22"/>
        </w:rPr>
        <w:t>KULTURMILJÖ</w:t>
      </w:r>
      <w:bookmarkEnd w:id="237"/>
      <w:bookmarkEnd w:id="238"/>
      <w:bookmarkEnd w:id="239"/>
      <w:bookmarkEnd w:id="240"/>
      <w:bookmarkEnd w:id="241"/>
    </w:p>
    <w:p>
      <w:pPr>
        <w:pStyle w:val="P12"/>
        <w:rPr>
          <w:color w:val="C00000"/>
          <w:sz w:val="22"/>
          <w:lang w:val="en-US"/>
        </w:rPr>
      </w:pPr>
      <w:bookmarkStart w:id="242" w:name="_Toc89446048"/>
      <w:bookmarkStart w:id="243" w:name="_Toc90561203"/>
      <w:bookmarkStart w:id="244" w:name="_Hlk102469214"/>
      <w:r>
        <w:rPr>
          <w:caps w:val="0"/>
          <w:color w:val="C00000"/>
          <w:sz w:val="22"/>
        </w:rPr>
        <w:t>FORNLÄMNINGAR</w:t>
      </w:r>
      <w:bookmarkEnd w:id="242"/>
      <w:bookmarkEnd w:id="243"/>
      <w:r>
        <w:rPr>
          <w:caps w:val="0"/>
          <w:color w:val="C00000"/>
          <w:sz w:val="22"/>
        </w:rPr>
        <w:t xml:space="preserve"> </w:t>
      </w:r>
    </w:p>
    <w:p>
      <w:pPr>
        <w:ind w:left="340"/>
        <w:jc w:val="both"/>
        <w:rPr>
          <w:rFonts w:ascii="Times New Roman" w:hAnsi="Times New Roman" w:cs="Times New Roman"/>
        </w:rPr>
      </w:pPr>
      <w:bookmarkEnd w:id="244"/>
      <w:bookmarkStart w:id="245" w:name="pf_fornlämningar01"/>
      <w:r>
        <w:rPr>
          <w:rFonts w:ascii="Times New Roman" w:hAnsi="Times New Roman" w:cs="Times New Roman"/>
        </w:rPr>
        <w:t xml:space="preserve">Det finns inga utpekade fornlämningar eller övrigt kulturhistorisk lämning inom eller i anslutning till planområdet. </w:t>
      </w:r>
    </w:p>
    <w:p>
      <w:pPr>
        <w:ind w:left="340"/>
        <w:jc w:val="both"/>
        <w:rPr>
          <w:lang w:val="en-US"/>
        </w:rPr>
      </w:pPr>
      <w:bookmarkEnd w:id="245"/>
    </w:p>
    <w:p>
      <w:pPr>
        <w:pStyle w:val="P12"/>
        <w:jc w:val="both"/>
        <w:rPr>
          <w:color w:val="C00000"/>
          <w:sz w:val="22"/>
          <w:lang w:val="en-US"/>
        </w:rPr>
      </w:pPr>
      <w:bookmarkStart w:id="246" w:name="_Toc89446049"/>
      <w:bookmarkStart w:id="247" w:name="_Toc90561204"/>
      <w:bookmarkStart w:id="248" w:name="_Hlk102464815"/>
      <w:r>
        <w:rPr>
          <w:caps w:val="0"/>
          <w:color w:val="C00000"/>
          <w:sz w:val="22"/>
        </w:rPr>
        <w:t>BYGGNADSMINNEN</w:t>
      </w:r>
      <w:bookmarkEnd w:id="246"/>
      <w:bookmarkEnd w:id="247"/>
      <w:r>
        <w:rPr>
          <w:caps w:val="0"/>
          <w:color w:val="C00000"/>
          <w:sz w:val="22"/>
        </w:rPr>
        <w:t xml:space="preserve"> </w:t>
      </w:r>
    </w:p>
    <w:p>
      <w:pPr>
        <w:ind w:left="340"/>
        <w:jc w:val="both"/>
        <w:rPr>
          <w:rFonts w:ascii="Times New Roman" w:hAnsi="Times New Roman" w:cs="Times New Roman"/>
        </w:rPr>
      </w:pPr>
      <w:bookmarkEnd w:id="248"/>
      <w:bookmarkStart w:id="249" w:name="_Hlk106630883"/>
      <w:bookmarkStart w:id="250" w:name="pf_byggnadsminnen01"/>
      <w:r>
        <w:rPr>
          <w:rFonts w:ascii="Times New Roman" w:hAnsi="Times New Roman" w:cs="Times New Roman"/>
        </w:rPr>
        <w:t xml:space="preserve">Det finns inga utpekade byggnader, parker, trädgård eller annat högt kulturhistoriskt värde inom planområdet. </w:t>
      </w:r>
      <w:bookmarkEnd w:id="249"/>
    </w:p>
    <w:p>
      <w:pPr>
        <w:ind w:left="340"/>
        <w:jc w:val="both"/>
        <w:rPr>
          <w:rFonts w:ascii="Times New Roman" w:hAnsi="Times New Roman" w:cs="Times New Roman"/>
        </w:rPr>
      </w:pPr>
      <w:bookmarkEnd w:id="250"/>
    </w:p>
    <w:p>
      <w:pPr>
        <w:pStyle w:val="P11"/>
        <w:jc w:val="both"/>
        <w:rPr>
          <w:color w:val="C00000"/>
          <w:sz w:val="22"/>
          <w:szCs w:val="22"/>
          <w:lang w:val="en-US"/>
        </w:rPr>
      </w:pPr>
      <w:bookmarkStart w:id="251" w:name="_Toc89446051"/>
      <w:bookmarkStart w:id="252" w:name="_Toc126834313"/>
      <w:bookmarkStart w:id="253" w:name="_Toc120016354"/>
      <w:bookmarkStart w:id="254" w:name="_Toc90561206"/>
      <w:bookmarkStart w:id="255" w:name="_Toc107476991"/>
      <w:r>
        <w:rPr>
          <w:color w:val="C00000"/>
          <w:sz w:val="22"/>
          <w:szCs w:val="22"/>
        </w:rPr>
        <w:t>FYSISK MILJÖ</w:t>
      </w:r>
      <w:bookmarkEnd w:id="251"/>
      <w:bookmarkEnd w:id="252"/>
      <w:bookmarkEnd w:id="253"/>
      <w:bookmarkEnd w:id="254"/>
      <w:bookmarkEnd w:id="255"/>
      <w:r>
        <w:rPr>
          <w:color w:val="C00000"/>
          <w:sz w:val="22"/>
          <w:szCs w:val="22"/>
        </w:rPr>
        <w:t xml:space="preserve"> </w:t>
      </w:r>
    </w:p>
    <w:p>
      <w:pPr>
        <w:ind w:left="340"/>
        <w:jc w:val="both"/>
        <w:rPr>
          <w:rFonts w:ascii="Times New Roman" w:hAnsi="Times New Roman" w:cs="Times New Roman"/>
        </w:rPr>
      </w:pPr>
      <w:bookmarkStart w:id="256" w:name="pf_fysiskmiljö01"/>
      <w:r>
        <w:rPr>
          <w:rFonts w:ascii="Times New Roman" w:hAnsi="Times New Roman" w:cs="Times New Roman"/>
        </w:rPr>
        <w:t xml:space="preserve">Detaljplanens genomförande kommer innebära att området ges en ny, mer tätortsmässig karaktär med bebyggelse av bostäder. Det pågår och planeras flera olika projekt av olika karaktär i centrala Söderbärke, det finns idag en efterfrågan från både medborgare och mindre exploatörer efter tomtmark till villor och mindre flerbostadshus. Detaljplanen skapar förutsättningen för att Söderbärke ska utvecklas både som bostadsort och besöksmål. Fler bostäder kan skapa mervärden </w:t>
      </w:r>
      <w:bookmarkStart w:id="257" w:name="_Hlk102465460"/>
      <w:r>
        <w:rPr>
          <w:rFonts w:ascii="Times New Roman" w:hAnsi="Times New Roman" w:cs="Times New Roman"/>
        </w:rPr>
        <w:t xml:space="preserve">som </w:t>
      </w:r>
      <w:bookmarkEnd w:id="257"/>
      <w:r>
        <w:rPr>
          <w:rFonts w:ascii="Times New Roman" w:hAnsi="Times New Roman" w:cs="Times New Roman"/>
        </w:rPr>
        <w:t xml:space="preserve">ett stärkt bymiljö, ökad tillgänglighet till grönområden och även högre trygghetskänsla genom fler människor i rörelse. </w:t>
      </w:r>
    </w:p>
    <w:p>
      <w:pPr>
        <w:pStyle w:val="P11"/>
        <w:jc w:val="both"/>
        <w:rPr>
          <w:color w:val="C00000"/>
          <w:sz w:val="22"/>
          <w:szCs w:val="22"/>
          <w:lang w:val="en-US"/>
        </w:rPr>
      </w:pPr>
      <w:bookmarkEnd w:id="256"/>
      <w:bookmarkStart w:id="258" w:name="_Toc89446052"/>
      <w:bookmarkStart w:id="259" w:name="_Toc107476992"/>
      <w:bookmarkStart w:id="260" w:name="_Toc126834314"/>
      <w:bookmarkStart w:id="261" w:name="_Toc90561207"/>
      <w:bookmarkStart w:id="262" w:name="_Toc120016355"/>
      <w:r>
        <w:rPr>
          <w:caps w:val="0"/>
          <w:color w:val="C00000"/>
          <w:sz w:val="22"/>
          <w:szCs w:val="22"/>
        </w:rPr>
        <w:t>SOCIALA</w:t>
      </w:r>
      <w:bookmarkEnd w:id="258"/>
      <w:bookmarkEnd w:id="259"/>
      <w:bookmarkEnd w:id="260"/>
      <w:bookmarkEnd w:id="261"/>
      <w:bookmarkEnd w:id="262"/>
      <w:r>
        <w:rPr>
          <w:caps w:val="0"/>
          <w:color w:val="C00000"/>
          <w:sz w:val="22"/>
          <w:szCs w:val="22"/>
        </w:rPr>
        <w:t xml:space="preserve"> </w:t>
      </w:r>
    </w:p>
    <w:p>
      <w:pPr>
        <w:pStyle w:val="P12"/>
        <w:jc w:val="both"/>
        <w:rPr>
          <w:color w:val="C00000"/>
          <w:sz w:val="22"/>
          <w:lang w:val="en-US"/>
        </w:rPr>
      </w:pPr>
      <w:r>
        <w:rPr>
          <w:color w:val="C00000"/>
          <w:sz w:val="22"/>
          <w:lang w:val="en-US"/>
        </w:rPr>
        <w:t xml:space="preserve">Trygghet och säkerhet </w:t>
      </w:r>
    </w:p>
    <w:p>
      <w:pPr>
        <w:ind w:left="340"/>
        <w:jc w:val="both"/>
        <w:rPr>
          <w:lang w:val="en-US"/>
        </w:rPr>
      </w:pPr>
      <w:bookmarkStart w:id="263" w:name="pf_sociala01"/>
      <w:r>
        <w:rPr>
          <w:rFonts w:ascii="Times New Roman" w:hAnsi="Times New Roman" w:cs="Times New Roman"/>
        </w:rPr>
        <w:t xml:space="preserve">Detaljplanen innebär att området omfördelas för att säkerställa att förskole-och fritidsverksamhet kan bevaras samtidigt som området kan tas i anspråk för bostadsbebyggelse. Det innebär att offentliga rummet blir tillgänglig för fler människor som kommer kunna röra sig i området och använda sig av de befintliga gång- och </w:t>
      </w:r>
      <w:bookmarkStart w:id="264" w:name="_Hlk102466602"/>
      <w:r>
        <w:rPr>
          <w:rFonts w:ascii="Times New Roman" w:hAnsi="Times New Roman" w:cs="Times New Roman"/>
        </w:rPr>
        <w:t>cykelvägar</w:t>
      </w:r>
      <w:bookmarkEnd w:id="264"/>
      <w:r>
        <w:rPr>
          <w:rFonts w:ascii="Times New Roman" w:hAnsi="Times New Roman" w:cs="Times New Roman"/>
        </w:rPr>
        <w:t xml:space="preserve">. </w:t>
      </w:r>
    </w:p>
    <w:p>
      <w:pPr>
        <w:pStyle w:val="P12"/>
        <w:jc w:val="both"/>
        <w:rPr>
          <w:color w:val="C00000"/>
          <w:sz w:val="22"/>
          <w:lang w:val="en-US"/>
        </w:rPr>
      </w:pPr>
      <w:bookmarkEnd w:id="263"/>
      <w:r>
        <w:rPr>
          <w:color w:val="C00000"/>
          <w:sz w:val="22"/>
          <w:lang w:val="en-US"/>
        </w:rPr>
        <w:t xml:space="preserve">Stadsliv och mötesplatser </w:t>
      </w:r>
    </w:p>
    <w:p>
      <w:pPr>
        <w:ind w:left="340"/>
        <w:jc w:val="both"/>
        <w:rPr>
          <w:rFonts w:ascii="Times New Roman" w:hAnsi="Times New Roman" w:cs="Times New Roman"/>
        </w:rPr>
      </w:pPr>
      <w:bookmarkStart w:id="265" w:name="pf_sociala02"/>
      <w:bookmarkStart w:id="266" w:name="_Hlk106630907"/>
      <w:r>
        <w:rPr>
          <w:rFonts w:ascii="Times New Roman" w:hAnsi="Times New Roman" w:cs="Times New Roman"/>
        </w:rPr>
        <w:t xml:space="preserve">Detaljplanens genomförande innebär en förändring i stadsbilden, de nya bostäderna som byggs kommer att medföra en förändring i stadsbilden. Den planerade bebyggelsen av bostäder kommer att vara visuellt påtagligt men bedöms inte påverka stadsbilden negativt, utan det kommer ha positiva inverkan på stadsbilden. Det kommer även bidra till ökad social hållbarhet genom ett större underlag för handel och service, fler människor kommer även kunna vistas i de centrala delarna av </w:t>
      </w:r>
      <w:bookmarkStart w:id="267" w:name="_Hlk102469347"/>
      <w:r>
        <w:rPr>
          <w:rFonts w:ascii="Times New Roman" w:hAnsi="Times New Roman" w:cs="Times New Roman"/>
        </w:rPr>
        <w:t>Söderbärke</w:t>
      </w:r>
      <w:bookmarkEnd w:id="267"/>
      <w:r>
        <w:rPr>
          <w:rFonts w:ascii="Times New Roman" w:hAnsi="Times New Roman" w:cs="Times New Roman"/>
        </w:rPr>
        <w:t xml:space="preserve">. </w:t>
      </w:r>
    </w:p>
    <w:p>
      <w:pPr>
        <w:ind w:left="340"/>
        <w:jc w:val="both"/>
        <w:rPr>
          <w:rFonts w:ascii="Times New Roman" w:hAnsi="Times New Roman" w:cs="Times New Roman"/>
        </w:rPr>
      </w:pPr>
      <w:bookmarkEnd w:id="265"/>
    </w:p>
    <w:p>
      <w:pPr>
        <w:pStyle w:val="P11"/>
        <w:jc w:val="both"/>
        <w:rPr>
          <w:color w:val="C00000"/>
          <w:sz w:val="22"/>
          <w:szCs w:val="22"/>
          <w:lang w:val="en-US"/>
        </w:rPr>
      </w:pPr>
      <w:bookmarkEnd w:id="266"/>
      <w:bookmarkStart w:id="268" w:name="_Toc89446053"/>
      <w:bookmarkStart w:id="269" w:name="_Toc90561208"/>
      <w:bookmarkStart w:id="270" w:name="_Toc126834315"/>
      <w:bookmarkStart w:id="271" w:name="_Toc120016356"/>
      <w:bookmarkStart w:id="272" w:name="_Toc107476993"/>
      <w:r>
        <w:rPr>
          <w:caps w:val="0"/>
          <w:color w:val="C00000"/>
          <w:sz w:val="22"/>
          <w:szCs w:val="22"/>
        </w:rPr>
        <w:t>TEKNIK</w:t>
      </w:r>
      <w:bookmarkEnd w:id="268"/>
      <w:bookmarkEnd w:id="269"/>
      <w:bookmarkEnd w:id="270"/>
      <w:bookmarkEnd w:id="271"/>
      <w:bookmarkEnd w:id="272"/>
      <w:r>
        <w:rPr>
          <w:caps w:val="0"/>
          <w:color w:val="C00000"/>
          <w:sz w:val="22"/>
          <w:szCs w:val="22"/>
        </w:rPr>
        <w:t xml:space="preserve"> </w:t>
      </w:r>
    </w:p>
    <w:p>
      <w:pPr>
        <w:pStyle w:val="P12"/>
        <w:jc w:val="both"/>
        <w:rPr>
          <w:color w:val="C00000"/>
          <w:sz w:val="22"/>
          <w:lang w:val="en-US"/>
        </w:rPr>
      </w:pPr>
      <w:r>
        <w:rPr>
          <w:color w:val="C00000"/>
          <w:sz w:val="22"/>
          <w:lang w:val="en-US"/>
        </w:rPr>
        <w:t xml:space="preserve">vatten och avlopp </w:t>
      </w:r>
    </w:p>
    <w:p>
      <w:pPr>
        <w:ind w:left="340"/>
        <w:jc w:val="both"/>
        <w:rPr>
          <w:rFonts w:ascii="Times New Roman" w:hAnsi="Times New Roman" w:cs="Times New Roman"/>
        </w:rPr>
      </w:pPr>
      <w:bookmarkStart w:id="273" w:name="pf_vattenochavlopp01"/>
      <w:r>
        <w:rPr>
          <w:rFonts w:ascii="Times New Roman" w:hAnsi="Times New Roman" w:cs="Times New Roman"/>
        </w:rPr>
        <w:t xml:space="preserve">Planområdet ligger inom verksamhetsområde för vatten och spillvatten som även inkluderar dagvatten. Ledningar för dagvatten finns i området som har kapacitet i ledningar för att hantera dagvatten från hårdgjorda ytor. Den tillkommande bebyggelsen ska anslutas till det kommunala vatten- och avloppsnätet. Ledningar placeras i lokalgatan och anslutningspunkter skapas. </w:t>
      </w:r>
      <w:bookmarkEnd w:id="273"/>
      <w:r>
        <w:rPr>
          <w:rFonts w:ascii="Times New Roman" w:hAnsi="Times New Roman" w:cs="Times New Roman"/>
        </w:rPr>
        <w:t xml:space="preserve"> </w:t>
      </w:r>
    </w:p>
    <w:p>
      <w:pPr>
        <w:pStyle w:val="P12"/>
        <w:jc w:val="both"/>
        <w:rPr>
          <w:color w:val="C00000"/>
          <w:sz w:val="22"/>
          <w:lang w:val="en-US"/>
        </w:rPr>
      </w:pPr>
      <w:bookmarkStart w:id="274" w:name="_Hlk106890629"/>
      <w:r>
        <w:rPr>
          <w:color w:val="C00000"/>
          <w:sz w:val="22"/>
          <w:lang w:val="en-US"/>
        </w:rPr>
        <w:t>El, tele, Värme och bredband</w:t>
      </w:r>
    </w:p>
    <w:p>
      <w:pPr>
        <w:ind w:left="340"/>
        <w:jc w:val="both"/>
        <w:rPr>
          <w:rFonts w:ascii="Times New Roman" w:hAnsi="Times New Roman" w:cs="Times New Roman"/>
        </w:rPr>
      </w:pPr>
      <w:bookmarkStart w:id="275" w:name="_Hlk106890924"/>
      <w:bookmarkStart w:id="276" w:name="pf_eltelevärmeochbredband01"/>
      <w:r>
        <w:rPr>
          <w:rFonts w:ascii="Times New Roman" w:hAnsi="Times New Roman" w:cs="Times New Roman"/>
        </w:rPr>
        <w:t>Stadsnätet i Smedjebacken drivs idag av Smedjebackens Energi AB</w:t>
      </w:r>
      <w:bookmarkEnd w:id="275"/>
      <w:r>
        <w:rPr>
          <w:rFonts w:ascii="Times New Roman" w:hAnsi="Times New Roman" w:cs="Times New Roman"/>
        </w:rPr>
        <w:t xml:space="preserve">, i övriga kommundelar tillhandahålles bredband antingen via ADSL eller fiber. Området bedöms kunna anslutas till el- och telenätet samt bredband. Tillkommande byggnader kommer att anslutas till fjärrvärme, inom planområdet finns en avsatt plats (E-område) för teknikbod som kommer vara en mottagningscentral för fjärrvärme.  </w:t>
      </w:r>
    </w:p>
    <w:p>
      <w:pPr>
        <w:pStyle w:val="P12"/>
        <w:rPr>
          <w:color w:val="C00000"/>
          <w:sz w:val="22"/>
          <w:lang w:val="en-US"/>
        </w:rPr>
      </w:pPr>
      <w:bookmarkEnd w:id="274"/>
      <w:bookmarkEnd w:id="276"/>
      <w:bookmarkStart w:id="277" w:name="_Hlk106890775"/>
      <w:r>
        <w:rPr>
          <w:color w:val="C00000"/>
          <w:sz w:val="22"/>
          <w:lang w:val="en-US"/>
        </w:rPr>
        <w:t>avfall</w:t>
      </w:r>
    </w:p>
    <w:p>
      <w:pPr>
        <w:ind w:left="340"/>
        <w:jc w:val="both"/>
        <w:rPr>
          <w:rFonts w:ascii="Times New Roman" w:hAnsi="Times New Roman" w:cs="Times New Roman"/>
        </w:rPr>
      </w:pPr>
      <w:bookmarkStart w:id="278" w:name="pf_avfall01"/>
      <w:r>
        <w:rPr>
          <w:rFonts w:ascii="Times New Roman" w:hAnsi="Times New Roman" w:cs="Times New Roman"/>
        </w:rPr>
        <w:t xml:space="preserve">Avfallshantering är en viktig del av samhällets tekniska försörjningsystem av både miljö- och hälsoskäl. Föreskrifter om avfallshantering för Smedjebackens kommun ska följas och gällande avfallsplan framtagen av WBAB – </w:t>
      </w:r>
      <w:r>
        <w:rPr>
          <w:rFonts w:ascii="Times New Roman" w:hAnsi="Times New Roman" w:cs="Times New Roman"/>
          <w:i w:val="1"/>
          <w:iCs w:val="1"/>
        </w:rPr>
        <w:t>kommunal plan för avfallsförebyggande och hållbar avfallshantering 2018–2022</w:t>
      </w:r>
      <w:r>
        <w:rPr>
          <w:rFonts w:ascii="Times New Roman" w:hAnsi="Times New Roman" w:cs="Times New Roman"/>
        </w:rPr>
        <w:t xml:space="preserve">. Utrymme för </w:t>
      </w:r>
      <w:bookmarkStart w:id="279" w:name="_Hlk102481104"/>
      <w:r>
        <w:rPr>
          <w:rFonts w:ascii="Times New Roman" w:hAnsi="Times New Roman" w:cs="Times New Roman"/>
        </w:rPr>
        <w:t xml:space="preserve">avfall </w:t>
      </w:r>
      <w:bookmarkEnd w:id="279"/>
      <w:r>
        <w:rPr>
          <w:rFonts w:ascii="Times New Roman" w:hAnsi="Times New Roman" w:cs="Times New Roman"/>
        </w:rPr>
        <w:t>får anordnas på kvartersmark inom den egna fastigheten</w:t>
      </w:r>
      <w:bookmarkEnd w:id="277"/>
      <w:r>
        <w:rPr>
          <w:rFonts w:ascii="Times New Roman" w:hAnsi="Times New Roman" w:cs="Times New Roman"/>
        </w:rPr>
        <w:t>.</w:t>
      </w:r>
      <w:bookmarkEnd w:id="278"/>
      <w:r>
        <w:rPr>
          <w:rFonts w:ascii="Times New Roman" w:hAnsi="Times New Roman" w:cs="Times New Roman"/>
        </w:rPr>
        <w:t xml:space="preserve"> </w:t>
      </w:r>
    </w:p>
    <w:p/>
    <w:p>
      <w:pPr>
        <w:pStyle w:val="P11"/>
        <w:jc w:val="both"/>
        <w:rPr>
          <w:color w:val="C00000"/>
          <w:sz w:val="22"/>
          <w:szCs w:val="22"/>
          <w:lang w:val="en-US"/>
        </w:rPr>
      </w:pPr>
      <w:bookmarkStart w:id="280" w:name="_Toc89446054"/>
      <w:bookmarkStart w:id="281" w:name="_Toc90561209"/>
      <w:bookmarkStart w:id="282" w:name="_Toc126834316"/>
      <w:bookmarkStart w:id="283" w:name="_Toc120016357"/>
      <w:bookmarkStart w:id="284" w:name="_Toc107476994"/>
      <w:r>
        <w:rPr>
          <w:caps w:val="0"/>
          <w:color w:val="C00000"/>
          <w:sz w:val="22"/>
          <w:szCs w:val="22"/>
        </w:rPr>
        <w:t>SERVICE</w:t>
      </w:r>
      <w:bookmarkEnd w:id="280"/>
      <w:bookmarkEnd w:id="281"/>
      <w:bookmarkEnd w:id="282"/>
      <w:bookmarkEnd w:id="283"/>
      <w:bookmarkEnd w:id="284"/>
      <w:r>
        <w:rPr>
          <w:caps w:val="0"/>
          <w:color w:val="C00000"/>
          <w:sz w:val="22"/>
          <w:szCs w:val="22"/>
        </w:rPr>
        <w:t xml:space="preserve"> </w:t>
      </w:r>
    </w:p>
    <w:p>
      <w:pPr>
        <w:pStyle w:val="P12"/>
        <w:jc w:val="both"/>
        <w:rPr>
          <w:color w:val="C00000"/>
          <w:sz w:val="22"/>
          <w:lang w:val="en-US"/>
        </w:rPr>
      </w:pPr>
      <w:bookmarkStart w:id="285" w:name="_Hlk102483243"/>
      <w:r>
        <w:rPr>
          <w:color w:val="C00000"/>
          <w:sz w:val="22"/>
          <w:lang w:val="en-US"/>
        </w:rPr>
        <w:t xml:space="preserve">Offentlig </w:t>
      </w:r>
      <w:bookmarkEnd w:id="285"/>
      <w:r>
        <w:rPr>
          <w:color w:val="C00000"/>
          <w:sz w:val="22"/>
          <w:lang w:val="en-US"/>
        </w:rPr>
        <w:t xml:space="preserve">service </w:t>
      </w:r>
    </w:p>
    <w:p>
      <w:pPr>
        <w:ind w:left="340"/>
        <w:jc w:val="both"/>
        <w:rPr>
          <w:rFonts w:ascii="Times New Roman" w:hAnsi="Times New Roman" w:cs="Times New Roman"/>
        </w:rPr>
      </w:pPr>
      <w:bookmarkStart w:id="286" w:name="pf_offentligservice01"/>
      <w:r>
        <w:rPr>
          <w:rFonts w:ascii="Times New Roman" w:hAnsi="Times New Roman" w:cs="Times New Roman"/>
        </w:rPr>
        <w:t xml:space="preserve">Söderbärke som är den näst största tätorten i Smedjebackens kommun har stort utbud av offentlig service som bland </w:t>
      </w:r>
      <w:bookmarkStart w:id="287" w:name="_Hlk102481467"/>
      <w:r>
        <w:rPr>
          <w:rFonts w:ascii="Times New Roman" w:hAnsi="Times New Roman" w:cs="Times New Roman"/>
        </w:rPr>
        <w:t xml:space="preserve">annat </w:t>
      </w:r>
      <w:bookmarkEnd w:id="287"/>
      <w:r>
        <w:rPr>
          <w:rFonts w:ascii="Times New Roman" w:hAnsi="Times New Roman" w:cs="Times New Roman"/>
        </w:rPr>
        <w:t>förskola, årskurs 4–9, vårdcentral och bibliotek.</w:t>
      </w:r>
      <w:bookmarkEnd w:id="286"/>
      <w:r>
        <w:rPr>
          <w:rFonts w:ascii="Times New Roman" w:hAnsi="Times New Roman" w:cs="Times New Roman"/>
        </w:rPr>
        <w:t xml:space="preserve"> </w:t>
      </w:r>
    </w:p>
    <w:p>
      <w:pPr>
        <w:pStyle w:val="P12"/>
        <w:jc w:val="both"/>
        <w:rPr>
          <w:color w:val="C00000"/>
          <w:sz w:val="22"/>
          <w:lang w:val="en-US"/>
        </w:rPr>
      </w:pPr>
      <w:r>
        <w:rPr>
          <w:color w:val="C00000"/>
          <w:sz w:val="22"/>
          <w:lang w:val="en-US"/>
        </w:rPr>
        <w:t xml:space="preserve">Kommersiell service </w:t>
      </w:r>
    </w:p>
    <w:p>
      <w:pPr>
        <w:ind w:left="340"/>
        <w:jc w:val="both"/>
        <w:rPr>
          <w:rFonts w:ascii="Times New Roman" w:hAnsi="Times New Roman" w:cs="Times New Roman"/>
        </w:rPr>
      </w:pPr>
      <w:bookmarkStart w:id="288" w:name="pf_kommersiellservice01"/>
      <w:r>
        <w:rPr>
          <w:rFonts w:ascii="Times New Roman" w:hAnsi="Times New Roman" w:cs="Times New Roman"/>
        </w:rPr>
        <w:t xml:space="preserve">I Söderbärke centrum finns det utbud av dagligvaruhandel, restaurang och annan kommersiell service. </w:t>
      </w:r>
    </w:p>
    <w:p>
      <w:pPr>
        <w:ind w:left="340"/>
        <w:jc w:val="both"/>
        <w:rPr>
          <w:rFonts w:ascii="Times New Roman" w:hAnsi="Times New Roman" w:cs="Times New Roman"/>
        </w:rPr>
      </w:pPr>
      <w:bookmarkEnd w:id="288"/>
    </w:p>
    <w:p>
      <w:pPr>
        <w:pStyle w:val="P11"/>
        <w:jc w:val="both"/>
        <w:rPr>
          <w:color w:val="C00000"/>
          <w:sz w:val="22"/>
          <w:szCs w:val="22"/>
          <w:lang w:val="en-US"/>
        </w:rPr>
      </w:pPr>
      <w:bookmarkStart w:id="289" w:name="_Toc89446055"/>
      <w:bookmarkStart w:id="290" w:name="_Toc120016358"/>
      <w:bookmarkStart w:id="291" w:name="_Toc126834317"/>
      <w:bookmarkStart w:id="292" w:name="_Toc107476995"/>
      <w:bookmarkStart w:id="293" w:name="_Toc90561210"/>
      <w:r>
        <w:rPr>
          <w:caps w:val="0"/>
          <w:color w:val="C00000"/>
          <w:sz w:val="22"/>
          <w:szCs w:val="22"/>
        </w:rPr>
        <w:t>TRAFIK</w:t>
      </w:r>
      <w:bookmarkEnd w:id="289"/>
      <w:bookmarkEnd w:id="290"/>
      <w:bookmarkEnd w:id="291"/>
      <w:bookmarkEnd w:id="292"/>
      <w:bookmarkEnd w:id="293"/>
      <w:r>
        <w:rPr>
          <w:caps w:val="0"/>
          <w:color w:val="C00000"/>
          <w:sz w:val="22"/>
          <w:szCs w:val="22"/>
        </w:rPr>
        <w:t xml:space="preserve"> </w:t>
      </w:r>
    </w:p>
    <w:p>
      <w:pPr>
        <w:pStyle w:val="P12"/>
        <w:jc w:val="both"/>
        <w:rPr>
          <w:color w:val="C00000"/>
          <w:sz w:val="22"/>
          <w:lang w:val="en-US"/>
        </w:rPr>
      </w:pPr>
      <w:r>
        <w:rPr>
          <w:color w:val="C00000"/>
          <w:sz w:val="22"/>
          <w:lang w:val="en-US"/>
        </w:rPr>
        <w:t>lokalgata</w:t>
      </w:r>
    </w:p>
    <w:p>
      <w:pPr>
        <w:ind w:left="340"/>
        <w:jc w:val="both"/>
        <w:rPr>
          <w:rFonts w:ascii="Times New Roman" w:hAnsi="Times New Roman" w:cs="Times New Roman"/>
        </w:rPr>
      </w:pPr>
      <w:bookmarkStart w:id="294" w:name="pf_lokalgata01"/>
      <w:r>
        <w:rPr>
          <w:rFonts w:ascii="Times New Roman" w:hAnsi="Times New Roman" w:cs="Times New Roman"/>
        </w:rPr>
        <w:t xml:space="preserve">Plankartan medger 8 meter bred lokalgata. Den nya lokalgatan ska byggas ut och anslutas till det övergripande nätet via Kopparvägen och Brusgatan. Inom dessa 8 meter finns möjlighet att utöver körfält för biltrafik anordna en eventuell trottoar. </w:t>
      </w:r>
    </w:p>
    <w:p>
      <w:pPr>
        <w:pStyle w:val="P12"/>
        <w:jc w:val="both"/>
        <w:rPr>
          <w:color w:val="C00000"/>
          <w:sz w:val="22"/>
          <w:lang w:val="en-US"/>
        </w:rPr>
      </w:pPr>
      <w:bookmarkEnd w:id="294"/>
      <w:r>
        <w:rPr>
          <w:color w:val="C00000"/>
          <w:sz w:val="22"/>
          <w:lang w:val="en-US"/>
        </w:rPr>
        <w:t>Gång- och cykeltrafik</w:t>
      </w:r>
    </w:p>
    <w:p>
      <w:pPr>
        <w:ind w:left="340"/>
        <w:jc w:val="both"/>
        <w:rPr>
          <w:rFonts w:ascii="Times New Roman" w:hAnsi="Times New Roman" w:cs="Times New Roman"/>
        </w:rPr>
      </w:pPr>
      <w:bookmarkStart w:id="295" w:name="pf_gångochcykeltrafik01"/>
      <w:r>
        <w:rPr>
          <w:rFonts w:ascii="Times New Roman" w:hAnsi="Times New Roman" w:cs="Times New Roman"/>
        </w:rPr>
        <w:t xml:space="preserve">Längst med Kopparvägen och Brusgatan finns idag befintlig gång- och cykelväg, inom närliggande områden finns mark avsatt för allmän gångtrafik. Inom tätorten finns även elljusspår.  </w:t>
      </w:r>
    </w:p>
    <w:p>
      <w:pPr>
        <w:pStyle w:val="P12"/>
        <w:jc w:val="both"/>
        <w:rPr>
          <w:color w:val="C00000"/>
          <w:sz w:val="22"/>
          <w:lang w:val="en-US"/>
        </w:rPr>
      </w:pPr>
      <w:bookmarkEnd w:id="295"/>
      <w:r>
        <w:rPr>
          <w:color w:val="C00000"/>
          <w:sz w:val="22"/>
          <w:lang w:val="en-US"/>
        </w:rPr>
        <w:t>Kollektivtrafik</w:t>
      </w:r>
    </w:p>
    <w:p>
      <w:pPr>
        <w:ind w:left="340"/>
        <w:jc w:val="both"/>
        <w:rPr>
          <w:rFonts w:ascii="Times New Roman" w:hAnsi="Times New Roman" w:cs="Times New Roman"/>
        </w:rPr>
      </w:pPr>
      <w:bookmarkStart w:id="296" w:name="pf_kollektivtrafik01"/>
      <w:r>
        <w:rPr>
          <w:rFonts w:ascii="Times New Roman" w:hAnsi="Times New Roman" w:cs="Times New Roman"/>
        </w:rPr>
        <w:t xml:space="preserve">Söderbärke busstation finns vid Bärkevägen cirka 400 meter från planområdet, samt Söderbärke tågstation cirka 1,2 km från planområdet. </w:t>
      </w:r>
    </w:p>
    <w:p>
      <w:pPr>
        <w:pStyle w:val="P12"/>
        <w:jc w:val="both"/>
        <w:rPr>
          <w:color w:val="C00000"/>
          <w:sz w:val="22"/>
          <w:lang w:val="en-US"/>
        </w:rPr>
      </w:pPr>
      <w:bookmarkEnd w:id="296"/>
      <w:r>
        <w:rPr>
          <w:color w:val="C00000"/>
          <w:sz w:val="22"/>
          <w:lang w:val="en-US"/>
        </w:rPr>
        <w:t>Tillgänglighet</w:t>
      </w:r>
    </w:p>
    <w:p>
      <w:pPr>
        <w:ind w:left="340"/>
        <w:jc w:val="both"/>
        <w:rPr>
          <w:rFonts w:ascii="Times New Roman" w:hAnsi="Times New Roman" w:cs="Times New Roman"/>
        </w:rPr>
      </w:pPr>
      <w:bookmarkStart w:id="297" w:name="pf_tillgänglighet01"/>
      <w:r>
        <w:rPr>
          <w:rFonts w:ascii="Times New Roman" w:hAnsi="Times New Roman" w:cs="Times New Roman"/>
        </w:rPr>
        <w:t>Planområdets läge i centrala Söderbärke, tillgång till gång- och cykelväg, närhet till kollektivtrafik samt offentlig och kommersiell service skapar en god tillgänglighet. Väl upplysta gång- och cykelvägar är viktigt för så väl tillgänglighet som trygghetskänslan för både boende och förskole- och fritidsverksamheten.</w:t>
      </w:r>
      <w:bookmarkEnd w:id="297"/>
      <w:r>
        <w:rPr>
          <w:rFonts w:ascii="Times New Roman" w:hAnsi="Times New Roman" w:cs="Times New Roman"/>
        </w:rPr>
        <w:t xml:space="preserve"> </w:t>
      </w:r>
      <w:bookmarkStart w:id="298" w:name="_Toc89446057"/>
      <w:bookmarkStart w:id="299" w:name="_Toc90561212"/>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0"/>
        <w:jc w:val="both"/>
        <w:rPr>
          <w:rFonts w:ascii="Times New Roman" w:hAnsi="Times New Roman" w:cs="Times New Roman"/>
        </w:rPr>
      </w:pPr>
    </w:p>
    <w:p>
      <w:pPr>
        <w:pStyle w:val="P10"/>
        <w:rPr>
          <w:color w:val="C00000"/>
          <w:sz w:val="28"/>
          <w:szCs w:val="28"/>
          <w:u w:val="none"/>
          <w:lang w:val="en-US"/>
        </w:rPr>
      </w:pPr>
      <w:bookmarkStart w:id="300" w:name="_Toc107476996"/>
      <w:bookmarkStart w:id="301" w:name="_Toc126834318"/>
      <w:bookmarkStart w:id="302" w:name="_Toc120016359"/>
      <w:r>
        <w:rPr>
          <w:color w:val="C00000"/>
          <w:sz w:val="28"/>
          <w:szCs w:val="28"/>
          <w:u w:val="none"/>
        </w:rPr>
        <w:t>PLANERINGSUNDERLAG</w:t>
      </w:r>
      <w:bookmarkEnd w:id="298"/>
      <w:bookmarkEnd w:id="299"/>
      <w:bookmarkEnd w:id="300"/>
      <w:bookmarkEnd w:id="301"/>
      <w:bookmarkEnd w:id="302"/>
    </w:p>
    <w:p>
      <w:pPr>
        <w:pStyle w:val="P11"/>
        <w:rPr>
          <w:color w:val="C00000"/>
          <w:sz w:val="22"/>
          <w:szCs w:val="22"/>
        </w:rPr>
      </w:pPr>
      <w:bookmarkStart w:id="303" w:name="_Toc89446058"/>
      <w:bookmarkStart w:id="304" w:name="_Toc120016360"/>
      <w:bookmarkStart w:id="305" w:name="_Toc126834319"/>
      <w:bookmarkStart w:id="306" w:name="_Toc107476997"/>
      <w:bookmarkStart w:id="307" w:name="_Toc90561213"/>
      <w:r>
        <w:rPr>
          <w:caps w:val="0"/>
          <w:color w:val="C00000"/>
          <w:sz w:val="22"/>
          <w:szCs w:val="22"/>
        </w:rPr>
        <w:t>KOMMUNALA</w:t>
      </w:r>
      <w:bookmarkEnd w:id="303"/>
      <w:bookmarkEnd w:id="304"/>
      <w:bookmarkEnd w:id="305"/>
      <w:bookmarkEnd w:id="306"/>
      <w:bookmarkEnd w:id="307"/>
    </w:p>
    <w:p>
      <w:pPr>
        <w:pStyle w:val="P12"/>
        <w:rPr>
          <w:color w:val="C00000"/>
          <w:sz w:val="22"/>
          <w:lang w:val="en-US"/>
        </w:rPr>
      </w:pPr>
      <w:bookmarkStart w:id="308" w:name="_Toc89446059"/>
      <w:bookmarkStart w:id="309" w:name="_Toc90561214"/>
      <w:r>
        <w:rPr>
          <w:color w:val="C00000"/>
          <w:sz w:val="22"/>
        </w:rPr>
        <w:t>DETALJPLAN</w:t>
      </w:r>
      <w:bookmarkEnd w:id="308"/>
      <w:bookmarkEnd w:id="309"/>
    </w:p>
    <w:p>
      <w:pPr>
        <w:ind w:left="340"/>
        <w:jc w:val="both"/>
        <w:rPr>
          <w:rFonts w:ascii="Times New Roman" w:hAnsi="Times New Roman" w:cs="Times New Roman"/>
        </w:rPr>
      </w:pPr>
      <w:bookmarkStart w:id="310" w:name="pu_detaljplan01"/>
      <w:r>
        <w:rPr>
          <w:rFonts w:ascii="Times New Roman" w:hAnsi="Times New Roman" w:cs="Times New Roman"/>
        </w:rPr>
        <w:t xml:space="preserve">Gällande detaljplan för området vann laga kraft 1991-01-23. Gällande detaljplan anger </w:t>
      </w:r>
      <w:r>
        <w:rPr>
          <w:rFonts w:ascii="Times New Roman" w:hAnsi="Times New Roman" w:cs="Times New Roman"/>
          <w:b w:val="1"/>
          <w:bCs w:val="1"/>
        </w:rPr>
        <w:t>B</w:t>
      </w:r>
      <w:r>
        <w:rPr>
          <w:rFonts w:ascii="Times New Roman" w:hAnsi="Times New Roman" w:cs="Times New Roman"/>
        </w:rPr>
        <w:t xml:space="preserve"> – område för bostadsändamål och </w:t>
      </w:r>
      <w:r>
        <w:rPr>
          <w:rFonts w:ascii="Times New Roman" w:hAnsi="Times New Roman" w:cs="Times New Roman"/>
          <w:b w:val="1"/>
          <w:bCs w:val="1"/>
        </w:rPr>
        <w:t xml:space="preserve">S </w:t>
      </w:r>
      <w:r>
        <w:rPr>
          <w:rFonts w:ascii="Times New Roman" w:hAnsi="Times New Roman" w:cs="Times New Roman"/>
        </w:rPr>
        <w:t xml:space="preserve">– område för förskola. Sedan detaljplanen vunnit laga kraft har området främst används som förskole- och fritidsverksamhet samt några bostäder.  </w:t>
      </w:r>
    </w:p>
    <w:p>
      <w:pPr>
        <w:ind w:left="340"/>
        <w:jc w:val="both"/>
        <w:rPr>
          <w:rFonts w:ascii="Times New Roman" w:hAnsi="Times New Roman" w:cs="Times New Roman"/>
        </w:rPr>
      </w:pPr>
      <w:r>
        <w:rPr>
          <w:rFonts w:ascii="Times New Roman" w:hAnsi="Times New Roman" w:cs="Times New Roman"/>
        </w:rPr>
        <w:t xml:space="preserve">En detaljplaneändring gjordes 1998 för att överföra en del av naturpark till kvartersmark, tanken var att det området ska användas som lek – och pulkabacke av förskolan och därmed hänga in området till förskolans tomt. </w:t>
      </w:r>
    </w:p>
    <w:p>
      <w:pPr>
        <w:ind w:left="340"/>
        <w:jc w:val="both"/>
        <w:rPr>
          <w:rFonts w:ascii="Times New Roman" w:hAnsi="Times New Roman" w:cs="Times New Roman"/>
        </w:rPr>
      </w:pPr>
      <w:r>
        <w:rPr>
          <w:rFonts w:ascii="Times New Roman" w:hAnsi="Times New Roman" w:cs="Times New Roman"/>
        </w:rPr>
        <w:t>Nya bostäder kommer att byggas inom planområdet och därför har Miljö-och byggkontoret fått i uppdrag att ta fram en ny detaljplan utifrån de nya förutsättningarna.</w:t>
      </w:r>
    </w:p>
    <w:p>
      <w:pPr>
        <w:pStyle w:val="P12"/>
        <w:jc w:val="both"/>
        <w:rPr>
          <w:color w:val="C00000"/>
          <w:sz w:val="22"/>
          <w:lang w:val="en-US"/>
        </w:rPr>
      </w:pPr>
      <w:bookmarkEnd w:id="310"/>
      <w:bookmarkStart w:id="311" w:name="_Toc89446061"/>
      <w:bookmarkStart w:id="312" w:name="_Toc90561216"/>
      <w:r>
        <w:rPr>
          <w:color w:val="C00000"/>
          <w:sz w:val="22"/>
        </w:rPr>
        <w:t>GRUNDKARTA</w:t>
      </w:r>
      <w:bookmarkEnd w:id="311"/>
      <w:bookmarkEnd w:id="312"/>
    </w:p>
    <w:p>
      <w:pPr>
        <w:ind w:left="340"/>
        <w:jc w:val="both"/>
        <w:rPr>
          <w:rFonts w:ascii="Times New Roman" w:hAnsi="Times New Roman" w:cs="Times New Roman"/>
        </w:rPr>
      </w:pPr>
      <w:bookmarkStart w:id="313" w:name="pu_grundkarta01"/>
      <w:r>
        <w:rPr>
          <w:rFonts w:ascii="Times New Roman" w:hAnsi="Times New Roman" w:cs="Times New Roman"/>
        </w:rPr>
        <w:t xml:space="preserve">Grundkartan är upprättad 2022-12-16 och uppdateras fortlöpande under planprocessen av Miljö- och byggkontoret. På grundkartan finns det information om grundkartan och hur den ska tolkas. Det står även vem på kommunen som ansvarar för grundkartan och enligt vilken standard (höjd och koordinatsystem) den är framtagen. Koordinatsystem som tillämpas är SWEREF 99 15 00, och höjdsystemen är RH 2000. </w:t>
      </w:r>
    </w:p>
    <w:p>
      <w:pPr>
        <w:pStyle w:val="P12"/>
        <w:jc w:val="both"/>
        <w:rPr>
          <w:color w:val="C00000"/>
          <w:sz w:val="22"/>
          <w:lang w:val="en-US"/>
        </w:rPr>
      </w:pPr>
      <w:bookmarkEnd w:id="313"/>
      <w:bookmarkStart w:id="314" w:name="_Toc89446062"/>
      <w:bookmarkStart w:id="315" w:name="_Toc90561217"/>
      <w:r>
        <w:rPr>
          <w:color w:val="C00000"/>
          <w:sz w:val="22"/>
        </w:rPr>
        <w:t>ÖVERSIKTSPLAN</w:t>
      </w:r>
      <w:bookmarkEnd w:id="314"/>
      <w:bookmarkEnd w:id="315"/>
    </w:p>
    <w:p>
      <w:pPr>
        <w:ind w:left="340"/>
        <w:jc w:val="both"/>
        <w:rPr>
          <w:rFonts w:ascii="Times New Roman" w:hAnsi="Times New Roman" w:cs="Times New Roman"/>
        </w:rPr>
      </w:pPr>
      <w:bookmarkStart w:id="316" w:name="pu_översiktsplan01"/>
      <w:r>
        <w:rPr>
          <w:rFonts w:ascii="Times New Roman" w:hAnsi="Times New Roman" w:cs="Times New Roman"/>
        </w:rPr>
        <w:t xml:space="preserve">Enligt översiktsplanen ska nyproduktion av flerbostadshus i första hand ske i tätorterna Smedjebacken och Söderbärke. Enligt översiktsplanens ställningstagande ska kommunen prioritera att förtäta samt planlägga mark för nya verksamheter till befintliga områden företrädesvis i Söderbärke. Samhällsservicen ska koncentreras till dessa två tätorter, vilket innebär att detaljplanen möjliggör att fler drar nyttja av samhällsservicen samtidigt som tätorten kan växa. Planområdet är dessutom utpekad i kommunens översiktsplan som ett av de områden som är lämpliga för bostadsbebyggelse utifrån dess geografiska läge. </w:t>
      </w:r>
    </w:p>
    <w:p>
      <w:pPr>
        <w:pStyle w:val="P12"/>
        <w:jc w:val="both"/>
        <w:rPr>
          <w:color w:val="C00000"/>
          <w:sz w:val="22"/>
        </w:rPr>
      </w:pPr>
      <w:bookmarkEnd w:id="316"/>
      <w:bookmarkStart w:id="317" w:name="_Toc89446063"/>
      <w:bookmarkStart w:id="318" w:name="_Toc90561218"/>
      <w:r>
        <w:rPr>
          <w:color w:val="C00000"/>
          <w:sz w:val="22"/>
        </w:rPr>
        <w:t xml:space="preserve">UNDERSÖKNING ENLIGT 6 KAP. 6§ </w:t>
      </w:r>
      <w:bookmarkEnd w:id="317"/>
      <w:bookmarkEnd w:id="318"/>
      <w:r>
        <w:rPr>
          <w:color w:val="C00000"/>
          <w:sz w:val="22"/>
        </w:rPr>
        <w:t>miljöbalken (1998:808)</w:t>
      </w:r>
    </w:p>
    <w:p>
      <w:pPr>
        <w:ind w:left="340"/>
        <w:jc w:val="both"/>
      </w:pPr>
      <w:bookmarkStart w:id="319" w:name="pu_undersökningenl6kap6_mb01"/>
      <w:r>
        <w:rPr>
          <w:rFonts w:ascii="Times New Roman" w:hAnsi="Times New Roman" w:cs="Times New Roman"/>
        </w:rPr>
        <w:t xml:space="preserve">En undersökning har genomförts för att svara på frågan om planens genomförande kan antas medföra </w:t>
      </w:r>
      <w:bookmarkStart w:id="320" w:name="_Hlk102987173"/>
      <w:r>
        <w:rPr>
          <w:rFonts w:ascii="Times New Roman" w:hAnsi="Times New Roman" w:cs="Times New Roman"/>
        </w:rPr>
        <w:t xml:space="preserve">betydande </w:t>
      </w:r>
      <w:bookmarkEnd w:id="320"/>
      <w:r>
        <w:rPr>
          <w:rFonts w:ascii="Times New Roman" w:hAnsi="Times New Roman" w:cs="Times New Roman"/>
        </w:rPr>
        <w:t xml:space="preserve">miljöpåverkan, där undersökningen är en analys som leder fram till ställningstagandet om en strategisk miljöbedömning ska göras och en miljökonsekvensbeskrivning (MKB) behöver tas fram för detaljplanen eller inte. Olika avvägningar har gjorts i checklistan mellan olika intressen och har resulterat i en samlad bedömning. Utifrån undersökningen bedöms genomförandet </w:t>
      </w:r>
      <w:r>
        <w:t>av</w:t>
      </w:r>
      <w:r>
        <w:rPr>
          <w:rFonts w:ascii="Times New Roman" w:hAnsi="Times New Roman" w:cs="Times New Roman"/>
        </w:rPr>
        <w:t xml:space="preserve"> planen inte </w:t>
      </w:r>
      <w:bookmarkStart w:id="321" w:name="_Hlk102983459"/>
      <w:r>
        <w:rPr>
          <w:rFonts w:ascii="Times New Roman" w:hAnsi="Times New Roman" w:cs="Times New Roman"/>
        </w:rPr>
        <w:t xml:space="preserve">medföra </w:t>
      </w:r>
      <w:bookmarkEnd w:id="321"/>
      <w:r>
        <w:rPr>
          <w:rFonts w:ascii="Times New Roman" w:hAnsi="Times New Roman" w:cs="Times New Roman"/>
        </w:rPr>
        <w:t>betydande miljöpåverkan, därmed upprättas ingen MKB.</w:t>
      </w:r>
      <w:bookmarkEnd w:id="319"/>
      <w:r>
        <w:rPr>
          <w:rFonts w:ascii="Times New Roman" w:hAnsi="Times New Roman" w:cs="Times New Roman"/>
        </w:rPr>
        <w:t xml:space="preserve">  </w:t>
      </w:r>
    </w:p>
    <w:p>
      <w:pPr>
        <w:pStyle w:val="P11"/>
        <w:jc w:val="both"/>
        <w:rPr>
          <w:color w:val="C00000"/>
          <w:sz w:val="22"/>
          <w:szCs w:val="22"/>
        </w:rPr>
      </w:pPr>
      <w:bookmarkStart w:id="322" w:name="_Toc89446066"/>
      <w:bookmarkStart w:id="323" w:name="_Toc107476998"/>
      <w:bookmarkStart w:id="324" w:name="_Toc126834320"/>
      <w:bookmarkStart w:id="325" w:name="_Toc90561221"/>
      <w:bookmarkStart w:id="326" w:name="_Toc120016361"/>
      <w:r>
        <w:rPr>
          <w:caps w:val="0"/>
          <w:color w:val="C00000"/>
          <w:sz w:val="22"/>
          <w:szCs w:val="22"/>
        </w:rPr>
        <w:t>UTREDNINGAR</w:t>
      </w:r>
      <w:bookmarkEnd w:id="322"/>
      <w:bookmarkEnd w:id="323"/>
      <w:bookmarkEnd w:id="324"/>
      <w:bookmarkEnd w:id="325"/>
      <w:bookmarkEnd w:id="326"/>
    </w:p>
    <w:p>
      <w:pPr>
        <w:pStyle w:val="P12"/>
        <w:jc w:val="both"/>
        <w:rPr>
          <w:color w:val="C00000"/>
          <w:sz w:val="22"/>
          <w:lang w:val="en-US"/>
        </w:rPr>
      </w:pPr>
      <w:bookmarkStart w:id="327" w:name="_Toc89446071"/>
      <w:bookmarkStart w:id="328" w:name="_Toc90561226"/>
      <w:r>
        <w:rPr>
          <w:caps w:val="0"/>
          <w:color w:val="C00000"/>
          <w:sz w:val="22"/>
        </w:rPr>
        <w:t>GEOTEKNISK UTREDNING</w:t>
      </w:r>
      <w:bookmarkEnd w:id="327"/>
      <w:bookmarkEnd w:id="328"/>
    </w:p>
    <w:p>
      <w:pPr>
        <w:ind w:left="340"/>
        <w:jc w:val="both"/>
        <w:rPr>
          <w:rFonts w:ascii="Times New Roman" w:hAnsi="Times New Roman" w:cs="Times New Roman"/>
          <w:lang w:val="en-US"/>
        </w:rPr>
      </w:pPr>
      <w:bookmarkStart w:id="329" w:name="pu_geotekniskutredning01"/>
      <w:r>
        <w:rPr>
          <w:rFonts w:ascii="Times New Roman" w:hAnsi="Times New Roman" w:cs="Times New Roman"/>
        </w:rPr>
        <w:t xml:space="preserve">Exploatören har lämnat geoteknisk utlåtande för att tydliggöra hur de förhåller sig till geotekniska förhållanden. Syftet med undersökningen har varit att fastställa föreliggande geotekniska förhållanden som underlag, området kan i nuläget karaktäriseras som åkermark. Provgropar har grävts på området till ett djup av ca 1800mm. Markytan lutar från norr och stigande mot söder, ett större dike finns cirka 50 meter öster om området samt ett mindre dike direkt på den västra sidan. Jordarten bedöms vara sandig morän med inslag av slit. Slitjordar och lera får inte användas som fyllning under byggnad eller hårdgjorda ytor, schaktning för byggnad ska ske ned till orörd botten framtagen med planskopa. Fyllning avschaktas ned till fast och naturlig lagrad jord, förekommande fyllning bedöms inte innehålla farliga föroreningar eller försurande egenskaper. </w:t>
      </w:r>
      <w:r>
        <w:rPr>
          <w:rFonts w:ascii="Times New Roman" w:hAnsi="Times New Roman" w:cs="Times New Roman"/>
          <w:lang w:val="en-US"/>
        </w:rPr>
        <w:t>Grundläggning ska ske med platta i mark.</w:t>
      </w:r>
      <w:bookmarkEnd w:id="329"/>
      <w:r>
        <w:rPr>
          <w:rFonts w:ascii="Times New Roman" w:hAnsi="Times New Roman" w:cs="Times New Roman"/>
          <w:lang w:val="en-US"/>
        </w:rPr>
        <w:t xml:space="preserve">  </w:t>
      </w:r>
    </w:p>
    <w:p>
      <w:pPr>
        <w:pStyle w:val="P12"/>
        <w:rPr>
          <w:color w:val="C00000"/>
          <w:sz w:val="22"/>
          <w:lang w:val="en-US"/>
        </w:rPr>
      </w:pPr>
      <w:bookmarkStart w:id="330" w:name="pu_barnkonsekvensanalys02"/>
      <w:bookmarkStart w:id="331" w:name="_Toc89446077"/>
      <w:bookmarkStart w:id="332" w:name="_Toc90561232"/>
      <w:r>
        <w:rPr>
          <w:rFonts w:ascii="Times New Roman" w:hAnsi="Times New Roman" w:cs="Times New Roman"/>
          <w:noProof w:val="1"/>
          <w:lang w:val="en-US"/>
        </w:rPr>
        <w:drawing>
          <wp:anchor xmlns:wp="http://schemas.openxmlformats.org/drawingml/2006/wordprocessingDrawing" distT="0" distB="0" distL="114300" distR="114300" simplePos="0" relativeHeight="16" behindDoc="0" locked="0" layoutInCell="1" allowOverlap="1">
            <wp:simplePos x="0" y="0"/>
            <wp:positionH relativeFrom="column">
              <wp:posOffset>3203575</wp:posOffset>
            </wp:positionH>
            <wp:positionV relativeFrom="paragraph">
              <wp:posOffset>16510</wp:posOffset>
            </wp:positionV>
            <wp:extent cx="2968625" cy="3077845"/>
            <wp:effectExtent l="0" t="0" r="3175" b="8255"/>
            <wp:wrapThrough wrapText="bothSides">
              <wp:wrapPolygon edited="0">
                <wp:start x="0" y="0"/>
                <wp:lineTo x="0" y="21524"/>
                <wp:lineTo x="21484" y="21524"/>
                <wp:lineTo x="21484" y="0"/>
                <wp:lineTo x="0" y="0"/>
              </wp:wrapPolygon>
            </wp:wrapThrough>
            <wp:docPr id="38" name="Bildobjekt 3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Bildobjekt 38" descr="En bild som visar karta&#10;&#10;Automatiskt genererad beskrivning"/>
                    <pic:cNvPicPr/>
                  </pic:nvPicPr>
                  <pic:blipFill dpi="0">
                    <a:blip xmlns:r="http://schemas.openxmlformats.org/officeDocument/2006/relationships" r:embed="Relimage27" cstate="print"/>
                    <a:srcRect/>
                    <a:stretch>
                      <a:fillRect/>
                    </a:stretch>
                  </pic:blipFill>
                  <pic:spPr>
                    <a:xfrm>
                      <a:off x="0" y="0"/>
                      <a:ext cx="2968625" cy="3077845"/>
                    </a:xfrm>
                    <a:prstGeom prst="rect"/>
                  </pic:spPr>
                </pic:pic>
              </a:graphicData>
            </a:graphic>
          </wp:anchor>
        </w:drawing>
      </w:r>
      <w:bookmarkEnd w:id="330"/>
      <w:r>
        <w:rPr>
          <w:color w:val="C00000"/>
          <w:sz w:val="22"/>
        </w:rPr>
        <w:t>BARNKONSEKVENSANALYS</w:t>
      </w:r>
      <w:bookmarkEnd w:id="331"/>
      <w:bookmarkEnd w:id="332"/>
    </w:p>
    <w:p>
      <w:pPr>
        <w:ind w:left="340"/>
        <w:jc w:val="both"/>
        <w:rPr>
          <w:rFonts w:ascii="Times New Roman" w:hAnsi="Times New Roman" w:cs="Times New Roman"/>
        </w:rPr>
      </w:pPr>
      <w:bookmarkStart w:id="333" w:name="pu_barnkonsekvensanalys01"/>
      <w:r>
        <w:rPr>
          <w:rFonts w:ascii="Times New Roman" w:hAnsi="Times New Roman" w:cs="Times New Roman"/>
        </w:rPr>
        <w:t xml:space="preserve">Den 1 januari 2020 blev barnkonventionen svensk lag. Det innebär förtydligande av att barnets rättigheter ska beaktas vid avvägningar och bedömningar som görs i beslutsprocesser. Smedjebackens kommun har upprättat en barnchecklista som ska säkerställa att barn - och ungdomsperspektivet uppmärksammas i samband med detaljplaneprocessen. Checklistan ska användas fortlöpande och vara en bilaga till planhandlingarna. Checklistan sammanställs i planbeskrivningen och ska användas för att bedöma om en barnkonsekvensanalys behöver upprättas eller inte. </w:t>
      </w:r>
    </w:p>
    <w:p>
      <w:pPr>
        <w:ind w:left="340"/>
        <w:jc w:val="both"/>
        <w:rPr>
          <w:rFonts w:ascii="Times New Roman" w:hAnsi="Times New Roman" w:cs="Times New Roman"/>
        </w:rPr>
      </w:pPr>
      <w:r>
        <w:rPr>
          <w:rFonts w:ascii="Times New Roman" w:hAnsi="Times New Roman" w:cs="Times New Roman"/>
          <w:noProof w:val="1"/>
          <w:lang w:val="en-US"/>
        </w:rPr>
        <w:drawing>
          <wp:anchor xmlns:wp="http://schemas.openxmlformats.org/drawingml/2006/wordprocessingDrawing" distT="0" distB="0" distL="114300" distR="114300" simplePos="0" relativeHeight="17" behindDoc="0" locked="0" layoutInCell="1" allowOverlap="1">
            <wp:simplePos x="0" y="0"/>
            <wp:positionH relativeFrom="column">
              <wp:posOffset>2990215</wp:posOffset>
            </wp:positionH>
            <wp:positionV relativeFrom="paragraph">
              <wp:posOffset>848360</wp:posOffset>
            </wp:positionV>
            <wp:extent cx="3424555" cy="2955290"/>
            <wp:effectExtent l="5715" t="0" r="0" b="0"/>
            <wp:wrapThrough wrapText="bothSides">
              <wp:wrapPolygon edited="0">
                <wp:start x="38" y="21644"/>
                <wp:lineTo x="21426" y="21644"/>
                <wp:lineTo x="21426" y="202"/>
                <wp:lineTo x="38" y="202"/>
                <wp:lineTo x="38" y="21644"/>
              </wp:wrapPolygon>
            </wp:wrapThrough>
            <wp:docPr id="37" name="Bildobjekt 37" descr="En bild som visar person&#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Bildobjekt 37" descr="En bild som visar person&#10;&#10;Automatiskt genererad beskrivning"/>
                    <pic:cNvPicPr/>
                  </pic:nvPicPr>
                  <pic:blipFill dpi="0">
                    <a:blip xmlns:r="http://schemas.openxmlformats.org/officeDocument/2006/relationships" r:embed="Relimage28" cstate="print"/>
                    <a:srcRect/>
                    <a:stretch>
                      <a:fillRect/>
                    </a:stretch>
                  </pic:blipFill>
                  <pic:spPr>
                    <a:xfrm rot="5400000">
                      <a:off x="0" y="0"/>
                      <a:ext cx="3424555" cy="2955290"/>
                    </a:xfrm>
                    <a:prstGeom prst="rect"/>
                  </pic:spPr>
                </pic:pic>
              </a:graphicData>
            </a:graphic>
          </wp:anchor>
        </w:drawing>
      </w:r>
      <w:r>
        <w:rPr>
          <w:rFonts w:ascii="Times New Roman" w:hAnsi="Times New Roman" w:cs="Times New Roman"/>
        </w:rPr>
        <w:t xml:space="preserve">Den 25e april 2022 genomförde Miljö- och byggkontoret medborgardialog med barn och elever på Solhyttans förskole- och fritidsverksamhet för att deras verksamhet är inom planområdet och blir berörd av detaljplanen. Miljö- och byggkontoret träffade 6 barn från förskolan och 9 elever från fritids, representanter från Miljö- och byggkontoret träffade även pedagoger och rektorn. Konsekvenser för barn och unga identifierades som viktiga att utreda i och med att de blir påverkade av detaljplanen, därför användes barnchecklistan för att bedöma om en barnkonsekvensanalys behöver upprättas eller inte. </w:t>
      </w:r>
    </w:p>
    <w:p>
      <w:pPr>
        <w:ind w:left="340"/>
        <w:jc w:val="both"/>
        <w:rPr>
          <w:rFonts w:ascii="Times New Roman" w:hAnsi="Times New Roman" w:cs="Times New Roman"/>
        </w:rPr>
      </w:pPr>
      <w:r>
        <w:rPr>
          <w:rFonts w:ascii="Times New Roman" w:hAnsi="Times New Roman" w:cs="Times New Roman"/>
        </w:rPr>
        <w:t xml:space="preserve">Genom platsbesök och i dialog i form av gåturer med barn från förskolan samt fritids har information samlats in om hur barn upplever sitt område, dialogen möjliggjorde att få bättre förståelse både för hur barnen upplever området samt hur vuxna ser på frågor som rör barn. Sammanfattningsvis kom det fram att Solhyttans förskole- och fritidsverksamhet använder området som planeras för bebyggelse i sin pedagogiska verksamhet. En del av planområdet används idag som fotbollsplan och platsen är viktig ur barnperspektiv. Att delar av naturmarken ersätts med bostäder ska vägas emot fördelen att fler barn som flyttar in får närhet till både förskolan och sammanhängande grönområden som är trygga och trivsamma miljöer. Samtidigt skyddas en del av naturmarken som är viktig både för förskoleverksamheten samt för biologiska mångfalden. Flera av de förslag som framkom i dialogen och checklistan styrs inte direkt i detaljplan men ger ett medskick till kommande planeringsskeden och till andra förvaltningar. Bland annat att förskolan ska få tillgång till fler lekredskap, bättre gårdvistelse samt attraktiva lekmiljöer. Resultaten av barndialogen redovisas i checklistan, se bilaga </w:t>
      </w:r>
      <w:r>
        <w:rPr>
          <w:rFonts w:ascii="Times New Roman" w:hAnsi="Times New Roman" w:cs="Times New Roman"/>
          <w:i w:val="1"/>
          <w:iCs w:val="1"/>
        </w:rPr>
        <w:t xml:space="preserve">Barnchecklista. </w:t>
      </w:r>
    </w:p>
    <w:p>
      <w:pPr>
        <w:ind w:left="340"/>
        <w:jc w:val="both"/>
        <w:rPr>
          <w:rFonts w:ascii="Times New Roman" w:hAnsi="Times New Roman" w:cs="Times New Roman"/>
        </w:rPr>
      </w:pPr>
      <w:r>
        <w:rPr>
          <w:rFonts w:ascii="Times New Roman" w:hAnsi="Times New Roman" w:cs="Times New Roman"/>
        </w:rPr>
        <w:t xml:space="preserve">Kommunen bedömer att checklistan är tillräcklig faktaunderlag och därmed upprättas ingen barnkonsekvensanalys. </w:t>
      </w:r>
    </w:p>
    <w:p>
      <w:pPr>
        <w:pStyle w:val="P10"/>
        <w:rPr>
          <w:color w:val="C00000"/>
          <w:sz w:val="28"/>
          <w:szCs w:val="28"/>
          <w:u w:val="none"/>
        </w:rPr>
      </w:pPr>
      <w:bookmarkEnd w:id="333"/>
      <w:bookmarkStart w:id="334" w:name="_Toc89446079"/>
      <w:bookmarkStart w:id="335" w:name="_Toc107476999"/>
      <w:bookmarkStart w:id="336" w:name="_Toc126834321"/>
      <w:bookmarkStart w:id="337" w:name="_Toc90561237"/>
      <w:bookmarkStart w:id="338" w:name="_Toc120016362"/>
      <w:r>
        <w:rPr>
          <w:color w:val="C00000"/>
          <w:sz w:val="28"/>
          <w:szCs w:val="28"/>
          <w:u w:val="none"/>
        </w:rPr>
        <w:t>KONSEKVENSER</w:t>
      </w:r>
      <w:bookmarkEnd w:id="334"/>
      <w:bookmarkEnd w:id="335"/>
      <w:bookmarkEnd w:id="336"/>
      <w:bookmarkEnd w:id="337"/>
      <w:bookmarkEnd w:id="338"/>
    </w:p>
    <w:p>
      <w:pPr>
        <w:pStyle w:val="P11"/>
        <w:rPr>
          <w:color w:val="C00000"/>
          <w:sz w:val="22"/>
          <w:szCs w:val="22"/>
          <w:lang w:val="en-US"/>
        </w:rPr>
      </w:pPr>
      <w:bookmarkStart w:id="339" w:name="_Toc89446080"/>
      <w:bookmarkStart w:id="340" w:name="_Toc107477000"/>
      <w:bookmarkStart w:id="341" w:name="_Toc126834322"/>
      <w:bookmarkStart w:id="342" w:name="_Toc90561238"/>
      <w:bookmarkStart w:id="343" w:name="_Toc120016363"/>
      <w:r>
        <w:rPr>
          <w:caps w:val="0"/>
          <w:color w:val="C00000"/>
          <w:sz w:val="22"/>
          <w:szCs w:val="22"/>
        </w:rPr>
        <w:t>FASTIGHETER OCH RÄTTIGHETER</w:t>
      </w:r>
      <w:bookmarkEnd w:id="339"/>
      <w:bookmarkEnd w:id="340"/>
      <w:bookmarkEnd w:id="341"/>
      <w:bookmarkEnd w:id="342"/>
      <w:bookmarkEnd w:id="343"/>
      <w:r>
        <w:rPr>
          <w:caps w:val="0"/>
          <w:color w:val="C00000"/>
          <w:sz w:val="22"/>
          <w:szCs w:val="22"/>
        </w:rPr>
        <w:t xml:space="preserve"> </w:t>
      </w:r>
    </w:p>
    <w:p>
      <w:pPr>
        <w:ind w:left="113"/>
        <w:jc w:val="both"/>
        <w:rPr>
          <w:rFonts w:ascii="Times New Roman" w:hAnsi="Times New Roman" w:cs="Times New Roman"/>
        </w:rPr>
      </w:pPr>
      <w:bookmarkStart w:id="344" w:name="ko_fastigheterochrättigheter01"/>
      <w:r>
        <w:rPr>
          <w:rFonts w:ascii="Times New Roman" w:hAnsi="Times New Roman" w:cs="Times New Roman"/>
        </w:rPr>
        <w:t xml:space="preserve">Fastighetsrättsliga frågor berör till exempel avstyckning (bildande av ny fastighet), marköverföring genom fastighetsreglering och bildande av gemensamhetsanläggning, ledningsrätt eller servitut. Det är Lantmäteriet som ansvarar för fastighetsindelning och rättigheter genom lantmäteriförrättning. Vanligtvis görs detta efter att detaljplanen vunnit laga kraft, i det här fallet har exploatören beviljats bygglov i den gällande detaljplanen därmed har lantmäteriförrättning genomförts och en ny fastighet har bildats. Den nya fastigheten har fått beteckningen Söderbärke Kyrkby 8:111, Lantmäteriet aviserar adresserna till PostNord som beslutar om postnummer och postort. </w:t>
      </w:r>
    </w:p>
    <w:p>
      <w:pPr>
        <w:ind w:left="113"/>
        <w:jc w:val="both"/>
        <w:rPr>
          <w:rFonts w:ascii="Times New Roman" w:hAnsi="Times New Roman" w:cs="Times New Roman"/>
        </w:rPr>
      </w:pPr>
      <w:r>
        <w:rPr>
          <w:rFonts w:ascii="Times New Roman" w:hAnsi="Times New Roman" w:cs="Times New Roman"/>
        </w:rPr>
        <w:t xml:space="preserve">Genom avstyckning från Söderbärke Kyrkby 8:57 och 8:76 nybildas en fastighet i två områden lämpad för bostadsändamål. På den nybildade fastigheten planeras ett antal en – och tvåbostadshus att byggas och ägas av en bostadsrättsförening. </w:t>
      </w:r>
    </w:p>
    <w:p>
      <w:pPr>
        <w:ind w:left="113"/>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3" behindDoc="0" locked="0" layoutInCell="1" allowOverlap="1">
            <wp:simplePos x="0" y="0"/>
            <wp:positionH relativeFrom="margin">
              <wp:align>left</wp:align>
            </wp:positionH>
            <wp:positionV relativeFrom="paragraph">
              <wp:posOffset>-5715</wp:posOffset>
            </wp:positionV>
            <wp:extent cx="3691890" cy="4124325"/>
            <wp:effectExtent l="0" t="0" r="3810" b="9525"/>
            <wp:wrapThrough wrapText="bothSides">
              <wp:wrapPolygon edited="0">
                <wp:start x="0" y="0"/>
                <wp:lineTo x="0" y="21550"/>
                <wp:lineTo x="21511" y="21550"/>
                <wp:lineTo x="21511" y="0"/>
                <wp:lineTo x="0" y="0"/>
              </wp:wrapPolygon>
            </wp:wrapThrough>
            <wp:docPr id="5" name="Bildobjekt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dobjekt 5"/>
                    <pic:cNvPicPr/>
                  </pic:nvPicPr>
                  <pic:blipFill dpi="0">
                    <a:blip xmlns:r="http://schemas.openxmlformats.org/officeDocument/2006/relationships" r:embed="Relimage29"/>
                    <a:srcRect/>
                    <a:stretch>
                      <a:fillRect/>
                    </a:stretch>
                  </pic:blipFill>
                  <pic:spPr>
                    <a:xfrm>
                      <a:off x="0" y="0"/>
                      <a:ext cx="3692108" cy="4124651"/>
                    </a:xfrm>
                    <a:prstGeom prst="rect"/>
                  </pic:spPr>
                </pic:pic>
              </a:graphicData>
            </a:graphic>
          </wp:anchor>
        </w:drawing>
      </w: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p>
    <w:p>
      <w:pPr>
        <w:rPr>
          <w:lang w:val="en-US"/>
        </w:rPr>
      </w:pPr>
      <w:bookmarkEnd w:id="344"/>
    </w:p>
    <w:p>
      <w:pPr>
        <w:rPr>
          <w:lang w:val="en-US"/>
        </w:rPr>
      </w:pPr>
    </w:p>
    <w:p>
      <w:pPr>
        <w:rPr>
          <w:lang w:val="en-US"/>
        </w:rPr>
      </w:pPr>
    </w:p>
    <w:p>
      <w:pPr>
        <w:rPr>
          <w:lang w:val="en-US"/>
        </w:rPr>
      </w:pPr>
    </w:p>
    <w:p>
      <w:pPr>
        <w:rPr>
          <w:lang w:val="en-US"/>
        </w:rPr>
      </w:pPr>
    </w:p>
    <w:p>
      <w:pPr>
        <w:rPr>
          <w:lang w:val="en-US"/>
        </w:rPr>
      </w:pPr>
    </w:p>
    <w:p>
      <w:pPr>
        <w:pStyle w:val="P11"/>
        <w:rPr>
          <w:color w:val="C00000"/>
          <w:sz w:val="22"/>
          <w:szCs w:val="22"/>
        </w:rPr>
      </w:pPr>
      <w:bookmarkStart w:id="345" w:name="_Toc89446081"/>
      <w:bookmarkStart w:id="346" w:name="_Toc107477001"/>
      <w:bookmarkStart w:id="347" w:name="_Toc126834323"/>
      <w:bookmarkStart w:id="348" w:name="_Toc90561239"/>
      <w:bookmarkStart w:id="349" w:name="_Toc120016364"/>
      <w:r>
        <w:rPr>
          <w:caps w:val="0"/>
          <w:color w:val="C00000"/>
          <w:sz w:val="22"/>
          <w:szCs w:val="22"/>
        </w:rPr>
        <w:t>NATUR</w:t>
      </w:r>
      <w:bookmarkEnd w:id="345"/>
      <w:bookmarkEnd w:id="346"/>
      <w:bookmarkEnd w:id="347"/>
      <w:bookmarkEnd w:id="348"/>
      <w:bookmarkEnd w:id="349"/>
    </w:p>
    <w:p>
      <w:pPr>
        <w:pStyle w:val="P12"/>
        <w:rPr>
          <w:color w:val="C00000"/>
          <w:sz w:val="22"/>
          <w:lang w:val="en-US"/>
        </w:rPr>
      </w:pPr>
      <w:bookmarkStart w:id="350" w:name="_Toc89446082"/>
      <w:bookmarkStart w:id="351" w:name="_Toc90561240"/>
      <w:r>
        <w:rPr>
          <w:color w:val="C00000"/>
          <w:sz w:val="22"/>
        </w:rPr>
        <w:t>GRÖNOMRÅDE</w:t>
      </w:r>
      <w:bookmarkEnd w:id="350"/>
      <w:bookmarkEnd w:id="351"/>
      <w:r>
        <w:rPr>
          <w:color w:val="C00000"/>
          <w:sz w:val="22"/>
        </w:rPr>
        <w:t xml:space="preserve"> </w:t>
      </w:r>
    </w:p>
    <w:p>
      <w:pPr>
        <w:ind w:left="340"/>
        <w:jc w:val="both"/>
        <w:rPr>
          <w:rFonts w:ascii="Times New Roman" w:hAnsi="Times New Roman" w:cs="Times New Roman"/>
        </w:rPr>
      </w:pPr>
      <w:bookmarkStart w:id="352" w:name="ko_grönområde01"/>
      <w:r>
        <w:rPr>
          <w:rFonts w:ascii="Times New Roman" w:hAnsi="Times New Roman" w:cs="Times New Roman"/>
        </w:rPr>
        <w:t xml:space="preserve">Natur används för grönområden som inte är anlagda och som inte kräver någon omfattande skötsel. Användningen används i planen för att säkerställa att området bevaras som grönområde, en skogsdunge skyddas som naturområde i den sydvästra delen av planområdet. Något djurliv av bevarandevärde är inte känd inom planområdet, det finns i huvudsak trädvegetation i den sydvästra delen av planområdet. </w:t>
      </w:r>
    </w:p>
    <w:p>
      <w:pPr>
        <w:ind w:left="340"/>
        <w:jc w:val="both"/>
        <w:rPr>
          <w:lang w:val="en-US"/>
        </w:rPr>
      </w:pPr>
      <w:bookmarkEnd w:id="352"/>
    </w:p>
    <w:p>
      <w:pPr>
        <w:ind w:left="340"/>
        <w:jc w:val="both"/>
        <w:rPr>
          <w:lang w:val="en-US"/>
        </w:rPr>
      </w:pPr>
    </w:p>
    <w:p>
      <w:pPr>
        <w:pStyle w:val="P12"/>
        <w:jc w:val="both"/>
        <w:rPr>
          <w:color w:val="C00000"/>
          <w:sz w:val="22"/>
          <w:lang w:val="en-US"/>
        </w:rPr>
      </w:pPr>
      <w:bookmarkStart w:id="353" w:name="_Toc89446083"/>
      <w:bookmarkStart w:id="354" w:name="_Toc90561241"/>
      <w:r>
        <w:rPr>
          <w:caps w:val="0"/>
          <w:color w:val="C00000"/>
          <w:sz w:val="22"/>
        </w:rPr>
        <w:t>LANDSKAPSBILD</w:t>
      </w:r>
      <w:bookmarkEnd w:id="353"/>
      <w:bookmarkEnd w:id="354"/>
      <w:r>
        <w:rPr>
          <w:caps w:val="0"/>
          <w:color w:val="C00000"/>
          <w:sz w:val="22"/>
        </w:rPr>
        <w:t xml:space="preserve"> </w:t>
      </w:r>
    </w:p>
    <w:p>
      <w:pPr>
        <w:ind w:left="340"/>
        <w:jc w:val="both"/>
        <w:rPr>
          <w:rFonts w:ascii="Times New Roman" w:hAnsi="Times New Roman" w:cs="Times New Roman"/>
        </w:rPr>
      </w:pPr>
      <w:bookmarkStart w:id="355" w:name="ko_landskapsbild01"/>
      <w:r>
        <w:rPr>
          <w:rFonts w:ascii="Times New Roman" w:hAnsi="Times New Roman" w:cs="Times New Roman"/>
        </w:rPr>
        <w:t xml:space="preserve">Det finns inga utpekade byggnader, parker, trädgård eller annat högt kulturhistoriskt värde inom planområdet. Detaljplanens genomförande innebär en förändring i landskapsbilden, de nya bostäderna som byggs kommer att medföra en förbättring ur ett landskapsperspektiv. Den planerade bebyggelsen av bostäder kommer att vara visuellt påtagligt men bedöms inte påverka stadsbilden negativt, utan det kommer ha positiva inverkan på landskapsbilden. </w:t>
      </w:r>
    </w:p>
    <w:p>
      <w:pPr>
        <w:jc w:val="both"/>
        <w:rPr>
          <w:lang w:val="en-US"/>
        </w:rPr>
      </w:pPr>
      <w:r>
        <w:rPr>
          <w:noProof w:val="1"/>
          <w:lang w:val="en-US"/>
        </w:rPr>
        <w:drawing>
          <wp:anchor xmlns:wp="http://schemas.openxmlformats.org/drawingml/2006/wordprocessingDrawing" distT="0" distB="0" distL="114300" distR="114300" simplePos="0" relativeHeight="29" behindDoc="0" locked="0" layoutInCell="1" allowOverlap="1">
            <wp:simplePos x="0" y="0"/>
            <wp:positionH relativeFrom="margin">
              <wp:align>center</wp:align>
            </wp:positionH>
            <wp:positionV relativeFrom="paragraph">
              <wp:posOffset>343535</wp:posOffset>
            </wp:positionV>
            <wp:extent cx="6273800" cy="3629660"/>
            <wp:effectExtent l="0" t="0" r="0" b="8890"/>
            <wp:wrapThrough wrapText="bothSides">
              <wp:wrapPolygon edited="0">
                <wp:start x="0" y="0"/>
                <wp:lineTo x="0" y="21540"/>
                <wp:lineTo x="21513" y="21540"/>
                <wp:lineTo x="21513" y="0"/>
                <wp:lineTo x="0" y="0"/>
              </wp:wrapPolygon>
            </wp:wrapThrough>
            <wp:docPr id="36" name="Bildobjekt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Bildobjekt 36"/>
                    <pic:cNvPicPr/>
                  </pic:nvPicPr>
                  <pic:blipFill dpi="0">
                    <a:blip xmlns:r="http://schemas.openxmlformats.org/officeDocument/2006/relationships" r:embed="Relimage30"/>
                    <a:srcRect/>
                    <a:stretch>
                      <a:fillRect/>
                    </a:stretch>
                  </pic:blipFill>
                  <pic:spPr>
                    <a:xfrm>
                      <a:off x="0" y="0"/>
                      <a:ext cx="6273800" cy="3629660"/>
                    </a:xfrm>
                    <a:prstGeom prst="rect"/>
                  </pic:spPr>
                </pic:pic>
              </a:graphicData>
            </a:graphic>
          </wp:anchor>
        </w:drawing>
      </w:r>
    </w:p>
    <w:p>
      <w:pPr>
        <w:jc w:val="both"/>
        <w:rPr>
          <w:lang w:val="en-US"/>
        </w:rPr>
      </w:pPr>
    </w:p>
    <w:p>
      <w:pPr>
        <w:pStyle w:val="P11"/>
        <w:jc w:val="both"/>
        <w:rPr>
          <w:color w:val="C00000"/>
          <w:sz w:val="22"/>
          <w:szCs w:val="22"/>
        </w:rPr>
      </w:pPr>
      <w:bookmarkEnd w:id="355"/>
      <w:bookmarkStart w:id="356" w:name="_Toc89446085"/>
      <w:bookmarkStart w:id="357" w:name="_Toc120016365"/>
      <w:bookmarkStart w:id="358" w:name="_Toc126834324"/>
      <w:bookmarkStart w:id="359" w:name="_Toc107477002"/>
      <w:bookmarkStart w:id="360" w:name="_Toc90561243"/>
      <w:r>
        <w:rPr>
          <w:caps w:val="0"/>
          <w:color w:val="C00000"/>
          <w:sz w:val="22"/>
          <w:szCs w:val="22"/>
        </w:rPr>
        <w:t>MILJÖ</w:t>
      </w:r>
      <w:bookmarkEnd w:id="356"/>
      <w:bookmarkEnd w:id="357"/>
      <w:bookmarkEnd w:id="358"/>
      <w:bookmarkEnd w:id="359"/>
      <w:bookmarkEnd w:id="360"/>
    </w:p>
    <w:p>
      <w:pPr>
        <w:pStyle w:val="P12"/>
        <w:jc w:val="both"/>
        <w:rPr>
          <w:color w:val="C00000"/>
          <w:sz w:val="22"/>
          <w:lang w:val="en-US"/>
        </w:rPr>
      </w:pPr>
      <w:bookmarkStart w:id="361" w:name="_Toc89446086"/>
      <w:bookmarkStart w:id="362" w:name="_Toc90561244"/>
      <w:r>
        <w:rPr>
          <w:caps w:val="0"/>
          <w:color w:val="C00000"/>
          <w:sz w:val="22"/>
        </w:rPr>
        <w:t>MILJÖKONSEKVENSBESKRIVNING</w:t>
      </w:r>
      <w:bookmarkEnd w:id="361"/>
      <w:bookmarkEnd w:id="362"/>
    </w:p>
    <w:p>
      <w:pPr>
        <w:ind w:left="340"/>
        <w:jc w:val="both"/>
        <w:rPr>
          <w:rFonts w:ascii="Times New Roman" w:hAnsi="Times New Roman" w:cs="Times New Roman"/>
        </w:rPr>
      </w:pPr>
      <w:bookmarkStart w:id="363" w:name="ko_miljökonsekvensbeskrivning01"/>
      <w:r>
        <w:rPr>
          <w:rFonts w:ascii="Times New Roman" w:hAnsi="Times New Roman" w:cs="Times New Roman"/>
        </w:rPr>
        <w:t xml:space="preserve">En undersökning av betydande miljöpåverkan har genomförts för att svara på frågan om planens genomförande kan antas medföra betydande miljöpåverkan, daterad 2022-03-01. Undersökningen är en analys som leder fram till ställningstagande om en strategisk miljöbedömning ska göras och en miljökonsekvensbeskrivning behöver tas fram för en detaljplan eller inte. Detaljplanens genomförande bedöms inte leda till betydande miljöpåverkan, därmed har ingen miljökonsekvensbeskrivning (MKB) upprättats. </w:t>
      </w:r>
    </w:p>
    <w:p>
      <w:pPr>
        <w:pStyle w:val="P12"/>
        <w:jc w:val="both"/>
        <w:rPr>
          <w:color w:val="C00000"/>
          <w:sz w:val="22"/>
        </w:rPr>
      </w:pPr>
      <w:bookmarkEnd w:id="363"/>
      <w:bookmarkStart w:id="364" w:name="_Toc89446088"/>
      <w:bookmarkStart w:id="365" w:name="_Toc90561246"/>
      <w:r>
        <w:rPr>
          <w:caps w:val="0"/>
          <w:color w:val="C00000"/>
          <w:sz w:val="22"/>
        </w:rPr>
        <w:t>STÄLLNINGSTAGANDE 4 KAP. 33 B § PLAN- OCH BYGGLAGEN (2010:900)</w:t>
      </w:r>
      <w:bookmarkEnd w:id="364"/>
      <w:bookmarkEnd w:id="365"/>
    </w:p>
    <w:p>
      <w:pPr>
        <w:ind w:left="340"/>
        <w:jc w:val="both"/>
        <w:rPr>
          <w:rFonts w:ascii="Times New Roman" w:hAnsi="Times New Roman" w:cs="Times New Roman"/>
        </w:rPr>
      </w:pPr>
      <w:bookmarkStart w:id="366" w:name="ko_ställningstagande4kap33b_pbl01"/>
      <w:r>
        <w:rPr>
          <w:rFonts w:ascii="Times New Roman" w:hAnsi="Times New Roman" w:cs="Times New Roman"/>
        </w:rPr>
        <w:t xml:space="preserve">Inga riksintressen för naturvård, kulturmiljö, friluftsliv, natura 2000 områden, rödlistade arter eller andra kända naturvärde påverkas av planförslaget. Inga noteringar finns i berörda myndigheters offentliga databaser på forn- eller kulturlämningar inom planområdet. Söderbärke som är den näst största orten i Smedjebackens kommun har stort utbud av offentlig service som förskola, årskurs 4 till 9, vårdcentral, bibliotek, apotek, livsmedelsbutik samt buss och tågtrafik. Bebyggelse av bostäder i Norra Brustorpet kommer att stärka serviceunderlaget i Söderbärke. Området är inte heller översvämningskänsligt enligt MSB:s översiktskatering. </w:t>
      </w:r>
    </w:p>
    <w:p>
      <w:pPr>
        <w:ind w:left="340"/>
        <w:jc w:val="both"/>
        <w:rPr>
          <w:rFonts w:ascii="Times New Roman" w:hAnsi="Times New Roman" w:cs="Times New Roman"/>
        </w:rPr>
      </w:pPr>
      <w:r>
        <w:rPr>
          <w:rFonts w:ascii="Times New Roman" w:hAnsi="Times New Roman" w:cs="Times New Roman"/>
        </w:rPr>
        <w:t>Utifrån undersökningen bedöms genomförandet av planen inte medföra betydande miljöpåverkan.</w:t>
      </w:r>
    </w:p>
    <w:p>
      <w:pPr>
        <w:pStyle w:val="P12"/>
        <w:jc w:val="both"/>
        <w:rPr>
          <w:color w:val="C00000"/>
          <w:sz w:val="22"/>
          <w:lang w:val="en-US"/>
        </w:rPr>
      </w:pPr>
      <w:bookmarkEnd w:id="366"/>
      <w:bookmarkStart w:id="367" w:name="_Toc89446090"/>
      <w:bookmarkStart w:id="368" w:name="_Toc90561248"/>
      <w:r>
        <w:rPr>
          <w:caps w:val="0"/>
          <w:color w:val="C00000"/>
          <w:sz w:val="22"/>
        </w:rPr>
        <w:t>DAGVATTEN</w:t>
      </w:r>
      <w:bookmarkEnd w:id="367"/>
      <w:bookmarkEnd w:id="368"/>
    </w:p>
    <w:p>
      <w:pPr>
        <w:ind w:left="340"/>
        <w:jc w:val="both"/>
        <w:rPr>
          <w:lang w:val="en-US"/>
        </w:rPr>
      </w:pPr>
      <w:bookmarkStart w:id="369" w:name="ko_dagvatten01"/>
      <w:r>
        <w:rPr>
          <w:rFonts w:ascii="Times New Roman" w:hAnsi="Times New Roman" w:cs="Times New Roman"/>
        </w:rPr>
        <w:t xml:space="preserve">Den mest förekommande jordarten inom planområdet är lera och slit som har en låg genomsläpplighet, dock så finns det dike i området i syfte att fördröja dagvatten. Det finns en skogsdunge på morän som också tar emot dagvatten inom planområdet, morän har en medelhög genomsläpplighet. Nederbörd inom planområdet som faller utanför hårdgjorda ytor kan även fortsättningsvis hanteras i befintlig lösning som handlar om att avleda till befintligt dike och naturmark/skogsdunge för fördröjning, rening och infiltration. Mängden dagvatten till befintliga öppna lösningar beräknas minska vid bebyggelse enligt planen eftersom dagvatten som faller på hårdgjord yta skall ledas till befintliga dagvattenledningar. Därmed bedöms belastningen på de öppna dagvattenlösningarna att minska och dagvatten kan även framöver hanteras i befintligt öppet system.  </w:t>
      </w:r>
    </w:p>
    <w:p>
      <w:pPr>
        <w:pStyle w:val="P12"/>
        <w:numPr>
          <w:ilvl w:val="0"/>
          <w:numId w:val="0"/>
        </w:numPr>
        <w:ind w:firstLine="0" w:left="720"/>
        <w:jc w:val="both"/>
        <w:rPr>
          <w:color w:val="C00000"/>
          <w:sz w:val="22"/>
          <w:lang w:val="en-US"/>
        </w:rPr>
      </w:pPr>
      <w:bookmarkEnd w:id="369"/>
    </w:p>
    <w:p>
      <w:pPr>
        <w:pStyle w:val="P11"/>
        <w:jc w:val="both"/>
        <w:rPr>
          <w:color w:val="C00000"/>
          <w:sz w:val="22"/>
          <w:szCs w:val="22"/>
        </w:rPr>
      </w:pPr>
      <w:bookmarkStart w:id="370" w:name="_Toc89446091"/>
      <w:bookmarkStart w:id="371" w:name="_Toc120016366"/>
      <w:bookmarkStart w:id="372" w:name="_Toc126834325"/>
      <w:bookmarkStart w:id="373" w:name="_Toc107477003"/>
      <w:bookmarkStart w:id="374" w:name="_Toc90561249"/>
      <w:r>
        <w:rPr>
          <w:caps w:val="0"/>
          <w:color w:val="C00000"/>
          <w:sz w:val="22"/>
          <w:szCs w:val="22"/>
        </w:rPr>
        <w:t>MILJÖKVALITETSNORMER</w:t>
      </w:r>
      <w:bookmarkEnd w:id="370"/>
      <w:bookmarkEnd w:id="371"/>
      <w:bookmarkEnd w:id="372"/>
      <w:bookmarkEnd w:id="373"/>
      <w:bookmarkEnd w:id="374"/>
    </w:p>
    <w:p>
      <w:pPr>
        <w:pStyle w:val="P12"/>
        <w:jc w:val="both"/>
        <w:rPr>
          <w:color w:val="C00000"/>
          <w:sz w:val="22"/>
          <w:lang w:val="en-US"/>
        </w:rPr>
      </w:pPr>
      <w:bookmarkStart w:id="375" w:name="_Toc89446092"/>
      <w:bookmarkStart w:id="376" w:name="_Toc90561250"/>
      <w:r>
        <w:rPr>
          <w:caps w:val="0"/>
          <w:color w:val="C00000"/>
          <w:sz w:val="22"/>
        </w:rPr>
        <w:t>LUFT</w:t>
      </w:r>
      <w:bookmarkEnd w:id="375"/>
      <w:bookmarkEnd w:id="376"/>
    </w:p>
    <w:p>
      <w:pPr>
        <w:ind w:left="340"/>
        <w:jc w:val="both"/>
        <w:rPr>
          <w:rFonts w:ascii="Times New Roman" w:hAnsi="Times New Roman" w:cs="Times New Roman"/>
        </w:rPr>
      </w:pPr>
      <w:bookmarkStart w:id="377" w:name="ko_luft01"/>
      <w:r>
        <w:rPr>
          <w:rFonts w:ascii="Times New Roman" w:hAnsi="Times New Roman" w:cs="Times New Roman"/>
        </w:rPr>
        <w:t xml:space="preserve">Viss påverkan kommer att ske på luftkvalitén i och med en ökad trafikmängd till och från planområdet, dock bedöms inte den påverkan vara påtagligt. Bedömningen är att planförslaget inte anses leda till att miljökvalitetsnormer för luft överskrids. </w:t>
      </w:r>
    </w:p>
    <w:p>
      <w:pPr>
        <w:ind w:left="340"/>
        <w:jc w:val="both"/>
        <w:rPr>
          <w:rFonts w:ascii="Times New Roman" w:hAnsi="Times New Roman" w:cs="Times New Roman"/>
        </w:rPr>
      </w:pPr>
      <w:bookmarkEnd w:id="377"/>
    </w:p>
    <w:p>
      <w:pPr>
        <w:pStyle w:val="P12"/>
        <w:jc w:val="both"/>
        <w:rPr>
          <w:color w:val="C00000"/>
          <w:sz w:val="22"/>
          <w:lang w:val="en-US"/>
        </w:rPr>
      </w:pPr>
      <w:bookmarkStart w:id="378" w:name="_Toc89446093"/>
      <w:bookmarkStart w:id="379" w:name="_Toc90561251"/>
      <w:r>
        <w:rPr>
          <w:caps w:val="0"/>
          <w:color w:val="C00000"/>
          <w:sz w:val="22"/>
        </w:rPr>
        <w:t>VATTEN</w:t>
      </w:r>
      <w:bookmarkEnd w:id="378"/>
      <w:bookmarkEnd w:id="379"/>
    </w:p>
    <w:p>
      <w:pPr>
        <w:ind w:left="340"/>
        <w:jc w:val="both"/>
        <w:rPr>
          <w:rFonts w:ascii="Times New Roman" w:hAnsi="Times New Roman" w:cs="Times New Roman"/>
        </w:rPr>
      </w:pPr>
      <w:bookmarkStart w:id="380" w:name="ko_vatten01"/>
      <w:r>
        <w:rPr>
          <w:rFonts w:ascii="Times New Roman" w:hAnsi="Times New Roman" w:cs="Times New Roman"/>
        </w:rPr>
        <w:t xml:space="preserve">Åtgärder inom planområdet bedöms inte medföra att miljökvalitetsnormer för vatten äventyras eller riskerar att överskridas, bedömningen är att planförslaget inte påverkar statusen för vattenförekomst. </w:t>
      </w:r>
    </w:p>
    <w:p>
      <w:pPr>
        <w:ind w:left="340"/>
        <w:jc w:val="both"/>
        <w:rPr>
          <w:rFonts w:ascii="Times New Roman" w:hAnsi="Times New Roman" w:cs="Times New Roman"/>
        </w:rPr>
      </w:pPr>
      <w:bookmarkEnd w:id="380"/>
    </w:p>
    <w:p>
      <w:pPr>
        <w:pStyle w:val="P12"/>
        <w:rPr>
          <w:color w:val="C00000"/>
          <w:sz w:val="22"/>
          <w:lang w:val="en-US"/>
        </w:rPr>
      </w:pPr>
      <w:bookmarkStart w:id="381" w:name="_Toc89446094"/>
      <w:bookmarkStart w:id="382" w:name="_Toc90561252"/>
      <w:r>
        <w:rPr>
          <w:caps w:val="0"/>
          <w:color w:val="C00000"/>
          <w:sz w:val="22"/>
        </w:rPr>
        <w:t>BULLER</w:t>
      </w:r>
      <w:bookmarkEnd w:id="381"/>
      <w:bookmarkEnd w:id="382"/>
    </w:p>
    <w:p>
      <w:pPr>
        <w:jc w:val="both"/>
        <w:rPr>
          <w:lang w:val="en-US"/>
        </w:rPr>
      </w:pPr>
      <w:bookmarkStart w:id="383" w:name="ko_beräkningavomgivningsbuller02"/>
      <w:r>
        <w:rPr>
          <w:rFonts w:ascii="Times New Roman" w:hAnsi="Times New Roman" w:cs="Times New Roman"/>
          <w:noProof w:val="1"/>
        </w:rPr>
        <w:drawing>
          <wp:anchor xmlns:wp="http://schemas.openxmlformats.org/drawingml/2006/wordprocessingDrawing" distT="0" distB="0" distL="114300" distR="114300" simplePos="0" relativeHeight="3" behindDoc="0" locked="0" layoutInCell="1" allowOverlap="1">
            <wp:simplePos x="0" y="0"/>
            <wp:positionH relativeFrom="column">
              <wp:posOffset>3339465</wp:posOffset>
            </wp:positionH>
            <wp:positionV relativeFrom="paragraph">
              <wp:posOffset>12065</wp:posOffset>
            </wp:positionV>
            <wp:extent cx="2663190" cy="3858260"/>
            <wp:effectExtent l="0" t="0" r="0" b="0"/>
            <wp:wrapThrough wrapText="bothSides">
              <wp:wrapPolygon edited="0">
                <wp:start x="0" y="0"/>
                <wp:lineTo x="0" y="21410"/>
                <wp:lineTo x="21297" y="21410"/>
                <wp:lineTo x="21297" y="0"/>
                <wp:lineTo x="0" y="0"/>
              </wp:wrapPolygon>
            </wp:wrapThrough>
            <wp:docPr id="8" name="Bildobjekt 8"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objekt 8" descr="En bild som visar karta&#10;&#10;Automatiskt genererad beskrivning"/>
                    <pic:cNvPicPr/>
                  </pic:nvPicPr>
                  <pic:blipFill dpi="0">
                    <a:blip xmlns:r="http://schemas.openxmlformats.org/officeDocument/2006/relationships" r:embed="Relimage31"/>
                    <a:srcRect/>
                    <a:stretch>
                      <a:fillRect/>
                    </a:stretch>
                  </pic:blipFill>
                  <pic:spPr>
                    <a:xfrm>
                      <a:off x="0" y="0"/>
                      <a:ext cx="2663190" cy="3858260"/>
                    </a:xfrm>
                    <a:prstGeom prst="rect"/>
                  </pic:spPr>
                </pic:pic>
              </a:graphicData>
            </a:graphic>
          </wp:anchor>
        </w:drawing>
      </w:r>
      <w:bookmarkEnd w:id="383"/>
      <w:bookmarkStart w:id="384" w:name="ko_buller01"/>
      <w:r>
        <w:rPr>
          <w:rFonts w:ascii="Times New Roman" w:hAnsi="Times New Roman" w:cs="Times New Roman"/>
        </w:rPr>
        <w:t xml:space="preserve">Planförslaget anses inte leda till några betydande tillskott för buller, det finns heller inte några särskilt bullerkänsliga områden intill planområdet. Planområdet ligger ca 300 meter från riksväg 66 som är trafikerad, det buller som kommer påverka planområdet är från vägtrafik. Inget buller från riksväg 66 förväntas störa boende eller verksamheter inom planområdet. Bullernivåerna i området bedöms inte risk för olägenhet för människors hälsa och inte heller överskrida gällande miljökvalitetsnormer. </w:t>
      </w:r>
    </w:p>
    <w:p>
      <w:pPr>
        <w:pStyle w:val="P11"/>
        <w:rPr>
          <w:color w:val="C00000"/>
          <w:sz w:val="22"/>
          <w:szCs w:val="22"/>
        </w:rPr>
      </w:pPr>
      <w:bookmarkEnd w:id="384"/>
      <w:bookmarkStart w:id="385" w:name="_Toc89446095"/>
      <w:bookmarkStart w:id="386" w:name="_Toc126834326"/>
      <w:bookmarkStart w:id="387" w:name="_Toc120016367"/>
      <w:bookmarkStart w:id="388" w:name="_Toc107477004"/>
      <w:bookmarkStart w:id="389" w:name="_Toc90561253"/>
      <w:r>
        <w:rPr>
          <w:caps w:val="0"/>
          <w:color w:val="C00000"/>
          <w:sz w:val="22"/>
          <w:szCs w:val="22"/>
        </w:rPr>
        <w:t>HÄLSA OCH SÄKERHET</w:t>
      </w:r>
      <w:bookmarkEnd w:id="385"/>
      <w:bookmarkEnd w:id="386"/>
      <w:bookmarkEnd w:id="387"/>
      <w:bookmarkEnd w:id="388"/>
      <w:bookmarkEnd w:id="389"/>
    </w:p>
    <w:p>
      <w:pPr>
        <w:pStyle w:val="P12"/>
        <w:rPr>
          <w:color w:val="C00000"/>
          <w:sz w:val="22"/>
          <w:lang w:val="en-US"/>
        </w:rPr>
      </w:pPr>
      <w:bookmarkStart w:id="390" w:name="_Toc89446096"/>
      <w:bookmarkStart w:id="391" w:name="_Toc90561254"/>
      <w:r>
        <w:rPr>
          <w:caps w:val="0"/>
          <w:color w:val="C00000"/>
          <w:sz w:val="22"/>
        </w:rPr>
        <w:t>BERÄKNING AV OMGIVNINGSBULLER</w:t>
      </w:r>
      <w:bookmarkEnd w:id="390"/>
      <w:bookmarkEnd w:id="391"/>
    </w:p>
    <w:p>
      <w:pPr>
        <w:ind w:left="340"/>
        <w:rPr>
          <w:rFonts w:ascii="Times New Roman" w:hAnsi="Times New Roman" w:cs="Times New Roman"/>
        </w:rPr>
      </w:pPr>
      <w:bookmarkStart w:id="392" w:name="ko_beräkningavomgivningsbuller01"/>
      <w:r>
        <w:rPr>
          <w:rFonts w:ascii="Times New Roman" w:hAnsi="Times New Roman" w:cs="Times New Roman"/>
        </w:rPr>
        <w:t xml:space="preserve">I förordningen (SFS 2015/216) om trafikbuller vid bostadsbyggande står följande avseende buller från spårtrafik och vägar: </w:t>
      </w:r>
    </w:p>
    <w:p>
      <w:pPr>
        <w:ind w:left="340"/>
        <w:rPr>
          <w:rFonts w:ascii="Times New Roman" w:hAnsi="Times New Roman" w:cs="Times New Roman"/>
        </w:rPr>
      </w:pPr>
    </w:p>
    <w:p>
      <w:pPr>
        <w:ind w:left="340"/>
        <w:rPr>
          <w:rFonts w:ascii="Times New Roman" w:hAnsi="Times New Roman" w:cs="Times New Roman"/>
        </w:rPr>
      </w:pPr>
      <w:r>
        <w:rPr>
          <w:rFonts w:ascii="Times New Roman" w:hAnsi="Times New Roman" w:cs="Times New Roman"/>
        </w:rPr>
        <w:t>Bullertrafik från spårtrafik och vägar bör inte överskrida</w:t>
      </w:r>
    </w:p>
    <w:p>
      <w:pPr>
        <w:pStyle w:val="P13"/>
        <w:numPr>
          <w:ilvl w:val="0"/>
          <w:numId w:val="17"/>
        </w:numPr>
        <w:rPr>
          <w:rFonts w:ascii="Times New Roman" w:hAnsi="Times New Roman" w:cs="Times New Roman"/>
        </w:rPr>
      </w:pPr>
      <w:r>
        <w:rPr>
          <w:rFonts w:ascii="Times New Roman" w:hAnsi="Times New Roman" w:cs="Times New Roman"/>
        </w:rPr>
        <w:t xml:space="preserve">60 dBA ekvivalent ljudnivå vid bostadsbyggnads fasad, och </w:t>
      </w:r>
    </w:p>
    <w:p>
      <w:pPr>
        <w:pStyle w:val="P13"/>
        <w:numPr>
          <w:ilvl w:val="0"/>
          <w:numId w:val="17"/>
        </w:numPr>
        <w:rPr>
          <w:rFonts w:ascii="Times New Roman" w:hAnsi="Times New Roman" w:cs="Times New Roman"/>
        </w:rPr>
      </w:pPr>
      <w:r>
        <w:rPr>
          <w:rFonts w:ascii="Times New Roman" w:hAnsi="Times New Roman" w:cs="Times New Roman"/>
        </w:rPr>
        <w:t xml:space="preserve">50 dBA ekvivalent ljudnivå samt 70 dBA maximal ljudnivå vid en uteplats om en sådan ska anordnas i anslutning till byggnaden. </w:t>
      </w:r>
    </w:p>
    <w:p>
      <w:pPr>
        <w:ind w:left="340"/>
        <w:rPr>
          <w:rFonts w:ascii="Times New Roman" w:hAnsi="Times New Roman" w:cs="Times New Roman"/>
        </w:rPr>
      </w:pPr>
      <w:r>
        <w:rPr>
          <w:rFonts w:ascii="Times New Roman" w:hAnsi="Times New Roman" w:cs="Times New Roman"/>
        </w:rPr>
        <w:t xml:space="preserve">Med hänsyn till bullersituationen finns det behov av att översiktligt kunna beskriva bullerexponeringen dels för att tydliggöra i vilken omfattning vi behöver ta hänsyn till ljudmiljön, dels för att bedöma om det finns behov av mer utförliga bullerutredningar. </w:t>
      </w:r>
    </w:p>
    <w:p>
      <w:pPr>
        <w:ind w:left="340"/>
        <w:rPr>
          <w:rFonts w:ascii="Times New Roman" w:hAnsi="Times New Roman" w:cs="Times New Roman"/>
        </w:rPr>
      </w:pPr>
      <w:r>
        <w:rPr>
          <w:rFonts w:ascii="Times New Roman" w:hAnsi="Times New Roman" w:cs="Times New Roman"/>
        </w:rPr>
        <w:t xml:space="preserve">För att översiktligt kunna bedöma ekvivalenta bullernivåer från vägtrafik vid bostäder har Boverkets och SKR:s information används för att beräkna utbredningen av buller från vägtrafik. För att kunna avläsa ljudnivån har följande uppgifter samlats: </w:t>
      </w:r>
    </w:p>
    <w:p>
      <w:pPr>
        <w:pStyle w:val="P13"/>
        <w:numPr>
          <w:ilvl w:val="0"/>
          <w:numId w:val="18"/>
        </w:numPr>
        <w:rPr>
          <w:rFonts w:ascii="Times New Roman" w:hAnsi="Times New Roman" w:cs="Times New Roman"/>
        </w:rPr>
      </w:pPr>
      <w:r>
        <w:rPr>
          <w:rFonts w:ascii="Times New Roman" w:hAnsi="Times New Roman" w:cs="Times New Roman"/>
        </w:rPr>
        <w:t>Trafikmängd (antal fordon per dygn)</w:t>
      </w:r>
    </w:p>
    <w:p>
      <w:pPr>
        <w:pStyle w:val="P13"/>
        <w:numPr>
          <w:ilvl w:val="0"/>
          <w:numId w:val="18"/>
        </w:numPr>
        <w:rPr>
          <w:rFonts w:ascii="Times New Roman" w:hAnsi="Times New Roman" w:cs="Times New Roman"/>
        </w:rPr>
      </w:pPr>
      <w:r>
        <w:rPr>
          <w:rFonts w:ascii="Times New Roman" w:hAnsi="Times New Roman" w:cs="Times New Roman"/>
        </w:rPr>
        <w:t>Skyltad hastighet (km/h)</w:t>
      </w:r>
    </w:p>
    <w:p>
      <w:pPr>
        <w:pStyle w:val="P13"/>
        <w:numPr>
          <w:ilvl w:val="0"/>
          <w:numId w:val="18"/>
        </w:numPr>
        <w:rPr>
          <w:rFonts w:ascii="Times New Roman" w:hAnsi="Times New Roman" w:cs="Times New Roman"/>
        </w:rPr>
      </w:pPr>
      <w:r>
        <w:rPr>
          <w:rFonts w:ascii="Times New Roman" w:hAnsi="Times New Roman" w:cs="Times New Roman"/>
        </w:rPr>
        <w:t>Avstånd mellan väg och mottagare (meter)</w:t>
      </w:r>
    </w:p>
    <w:p>
      <w:pPr>
        <w:ind w:left="700"/>
        <w:rPr>
          <w:rFonts w:ascii="Times New Roman" w:hAnsi="Times New Roman" w:cs="Times New Roman"/>
        </w:rPr>
      </w:pPr>
    </w:p>
    <w:p>
      <w:pPr>
        <w:ind w:left="700"/>
        <w:rPr>
          <w:rFonts w:ascii="Times New Roman" w:hAnsi="Times New Roman" w:cs="Times New Roman"/>
        </w:rPr>
      </w:pPr>
      <w:r>
        <w:rPr>
          <w:rFonts w:ascii="Times New Roman" w:hAnsi="Times New Roman" w:cs="Times New Roman"/>
        </w:rPr>
        <w:t xml:space="preserve">Planområdet ligger ca 300 meter från riksväg 66, antalet fordon som passerar per dygn är drygt 3000 fordon. Hastighetsbegränsningen är 90 km/h. Vägen har en varierande årsdygnstrafik mellan drygt 4080 fordon/dygn närmast Smedjebacken och drygt 3000 fordon/dygn närmast planområdet. Den tunga trafiken består av ungefär 13% av antalet fordon som passerar. </w:t>
      </w:r>
    </w:p>
    <w:p>
      <w:pPr>
        <w:ind w:left="340"/>
        <w:rPr>
          <w:rFonts w:ascii="Times New Roman" w:hAnsi="Times New Roman" w:cs="Times New Roman"/>
        </w:rPr>
      </w:pPr>
      <w:r>
        <w:rPr>
          <w:rFonts w:ascii="Times New Roman" w:hAnsi="Times New Roman" w:cs="Times New Roman"/>
        </w:rPr>
        <w:t xml:space="preserve">Utifrån nedanstående tabell och diagram kan vi konstatera att: </w:t>
      </w:r>
    </w:p>
    <w:p>
      <w:pPr>
        <w:pStyle w:val="P13"/>
        <w:numPr>
          <w:ilvl w:val="0"/>
          <w:numId w:val="19"/>
        </w:numPr>
        <w:rPr>
          <w:rFonts w:ascii="Times New Roman" w:hAnsi="Times New Roman" w:cs="Times New Roman"/>
        </w:rPr>
      </w:pPr>
      <w:r>
        <w:rPr>
          <w:rFonts w:ascii="Times New Roman" w:hAnsi="Times New Roman" w:cs="Times New Roman"/>
        </w:rPr>
        <w:t>Dygnsekvivalent ljudnivån, dBA är under 50</w:t>
      </w: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r>
        <w:rPr>
          <w:noProof w:val="1"/>
          <w:color w:val="C00000"/>
        </w:rPr>
        <w:drawing>
          <wp:anchor xmlns:wp="http://schemas.openxmlformats.org/drawingml/2006/wordprocessingDrawing" distT="0" distB="0" distL="114300" distR="114300" simplePos="0" relativeHeight="4" behindDoc="0" locked="0" layoutInCell="1" allowOverlap="1">
            <wp:simplePos x="0" y="0"/>
            <wp:positionH relativeFrom="margin">
              <wp:posOffset>410845</wp:posOffset>
            </wp:positionH>
            <wp:positionV relativeFrom="paragraph">
              <wp:posOffset>-862965</wp:posOffset>
            </wp:positionV>
            <wp:extent cx="3924935" cy="2912745"/>
            <wp:effectExtent l="0" t="0" r="0" b="1905"/>
            <wp:wrapThrough wrapText="bothSides">
              <wp:wrapPolygon edited="0">
                <wp:start x="0" y="0"/>
                <wp:lineTo x="0" y="21473"/>
                <wp:lineTo x="21492" y="21473"/>
                <wp:lineTo x="21492" y="0"/>
                <wp:lineTo x="0" y="0"/>
              </wp:wrapPolygon>
            </wp:wrapThrough>
            <wp:docPr id="4" name="Bildobjek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4"/>
                    <pic:cNvPicPr/>
                  </pic:nvPicPr>
                  <pic:blipFill dpi="0">
                    <a:blip xmlns:r="http://schemas.openxmlformats.org/officeDocument/2006/relationships" r:embed="Relimage32" cstate="print"/>
                    <a:srcRect/>
                    <a:stretch>
                      <a:fillRect/>
                    </a:stretch>
                  </pic:blipFill>
                  <pic:spPr>
                    <a:xfrm>
                      <a:off x="0" y="0"/>
                      <a:ext cx="3924935" cy="2912745"/>
                    </a:xfrm>
                    <a:prstGeom prst="rect"/>
                  </pic:spPr>
                </pic:pic>
              </a:graphicData>
            </a:graphic>
          </wp:anchor>
        </w:drawing>
      </w: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jc w:val="both"/>
        <w:rPr>
          <w:rFonts w:ascii="Times New Roman" w:hAnsi="Times New Roman" w:cs="Times New Roman"/>
        </w:rPr>
      </w:pPr>
    </w:p>
    <w:p>
      <w:pPr>
        <w:ind w:left="340"/>
        <w:jc w:val="both"/>
        <w:rPr>
          <w:rFonts w:ascii="Times New Roman" w:hAnsi="Times New Roman" w:cs="Times New Roman"/>
        </w:rPr>
      </w:pPr>
      <w:r>
        <w:rPr>
          <w:rFonts w:ascii="Times New Roman" w:hAnsi="Times New Roman" w:cs="Times New Roman"/>
        </w:rPr>
        <w:t xml:space="preserve">De bullerutbredningskartor som Trafikverket har gjort för bullerstörningar från statliga vägar och järnvägar, visar att planområdet år 2040 kommer ha ekvivalenta nivåer som är mindre än 50 dBA, samt maximala nivåer kommer vara mindre än 65 dBA. Detta innebär att riktvärde för ekvivalent nivå för både uteplats och fasad uppnås och att trafiken från riksväg 66 inte påverkar bullernivåerna. </w:t>
      </w:r>
    </w:p>
    <w:p>
      <w:pPr>
        <w:ind w:left="340"/>
        <w:jc w:val="both"/>
        <w:rPr>
          <w:rFonts w:ascii="Times New Roman" w:hAnsi="Times New Roman" w:cs="Times New Roman"/>
        </w:rPr>
      </w:pPr>
      <w:r>
        <w:rPr>
          <w:rFonts w:ascii="Times New Roman" w:hAnsi="Times New Roman" w:cs="Times New Roman"/>
        </w:rPr>
        <w:t xml:space="preserve">En utbyggnad av planområdet kommer ge en ökad trafik i området. Inom planområdet föreslås nybyggnation av en- och två bostadshus samt består av befintliga villor och en förskola. Den trafikmängd som området antas alstra är beräknad med hjälp av bullerberäkningsprogram Trivector enligt Naturvårdsverkets modell, rev 1996, buller VÄG II ver. 1.3.1. </w:t>
      </w:r>
    </w:p>
    <w:p>
      <w:pPr>
        <w:ind w:left="340"/>
        <w:jc w:val="both"/>
        <w:rPr>
          <w:rFonts w:ascii="Times New Roman" w:hAnsi="Times New Roman" w:cs="Times New Roman"/>
        </w:rPr>
      </w:pPr>
      <w:r>
        <w:rPr>
          <w:rFonts w:ascii="Times New Roman" w:hAnsi="Times New Roman" w:cs="Times New Roman"/>
        </w:rPr>
        <w:t xml:space="preserve">Trafikmängden på Brusgatan och Kopparvägen har hämtats från kommunens mätning genomförda under 2021. Vid beräkning av bullervärden vid en bostadsbyggnad ska hänsyn tas till framtida trafik som har betydelse för bullersituationen. Redovisningen av trafikbuller har utgått från en prognos för trafiken år 2040 och även inkluderar trafikalstring från de detaljplanerade men ännu inte byggda delarna av tätorten, samt verksamheter som kan ha påverkan på trafikflödet. </w:t>
      </w:r>
    </w:p>
    <w:p>
      <w:pPr>
        <w:ind w:left="340"/>
        <w:jc w:val="both"/>
        <w:rPr>
          <w:rFonts w:ascii="Times New Roman" w:hAnsi="Times New Roman" w:cs="Times New Roman"/>
          <w:i w:val="1"/>
          <w:iCs w:val="1"/>
        </w:rPr>
      </w:pPr>
      <w:r>
        <w:rPr>
          <w:rFonts w:ascii="Times New Roman" w:hAnsi="Times New Roman" w:cs="Times New Roman"/>
        </w:rPr>
        <w:t xml:space="preserve">De mätningar av trafiken som gjordes 2021 har räknats om till prognos för år 2040, kommunen bedömer att trafiken antas öka med ca 1–2% per år fram till år 2040. Hänsyn har även tagits till angränsande vägar samt även riksväg 66. För fullständig bullerberäkning se respektive bilaga </w:t>
      </w:r>
      <w:r>
        <w:rPr>
          <w:rFonts w:ascii="Times New Roman" w:hAnsi="Times New Roman" w:cs="Times New Roman"/>
          <w:i w:val="1"/>
          <w:iCs w:val="1"/>
        </w:rPr>
        <w:t xml:space="preserve">Beräkning av vägtrafikbuller. </w:t>
      </w:r>
    </w:p>
    <w:p>
      <w:pPr>
        <w:rPr>
          <w:rFonts w:ascii="Times New Roman" w:hAnsi="Times New Roman" w:cs="Times New Roman"/>
        </w:rPr>
      </w:pPr>
      <w:r>
        <w:rPr>
          <w:rFonts w:ascii="Times New Roman" w:hAnsi="Times New Roman" w:cs="Times New Roman"/>
        </w:rPr>
        <w:t>Kommunen har undersökt två olika scenarier:</w:t>
      </w:r>
    </w:p>
    <w:p>
      <w:pPr>
        <w:pStyle w:val="P13"/>
        <w:numPr>
          <w:ilvl w:val="0"/>
          <w:numId w:val="30"/>
        </w:numPr>
        <w:rPr>
          <w:rFonts w:ascii="Times New Roman" w:hAnsi="Times New Roman" w:cs="Times New Roman"/>
        </w:rPr>
      </w:pPr>
      <w:r>
        <w:rPr>
          <w:rFonts w:ascii="Times New Roman" w:hAnsi="Times New Roman" w:cs="Times New Roman"/>
        </w:rPr>
        <w:t>Scenario 1</w:t>
      </w:r>
    </w:p>
    <w:p>
      <w:pPr>
        <w:pStyle w:val="P13"/>
        <w:rPr>
          <w:rFonts w:ascii="Times New Roman" w:hAnsi="Times New Roman" w:cs="Times New Roman"/>
        </w:rPr>
      </w:pPr>
      <w:r>
        <w:rPr>
          <w:rFonts w:ascii="Times New Roman" w:hAnsi="Times New Roman" w:cs="Times New Roman"/>
        </w:rPr>
        <w:t>Trafikmängden antas öka med 1% årligen fram till 2040</w:t>
      </w:r>
    </w:p>
    <w:p>
      <w:pPr>
        <w:pStyle w:val="P13"/>
        <w:rPr>
          <w:rFonts w:ascii="Times New Roman" w:hAnsi="Times New Roman" w:cs="Times New Roman"/>
        </w:rPr>
      </w:pPr>
    </w:p>
    <w:p>
      <w:pPr>
        <w:pStyle w:val="P13"/>
        <w:numPr>
          <w:ilvl w:val="0"/>
          <w:numId w:val="30"/>
        </w:numPr>
        <w:rPr>
          <w:rFonts w:ascii="Times New Roman" w:hAnsi="Times New Roman" w:cs="Times New Roman"/>
        </w:rPr>
      </w:pPr>
      <w:r>
        <w:rPr>
          <w:rFonts w:ascii="Times New Roman" w:hAnsi="Times New Roman" w:cs="Times New Roman"/>
        </w:rPr>
        <w:t>Scenario 2</w:t>
      </w:r>
    </w:p>
    <w:p>
      <w:pPr>
        <w:pStyle w:val="P13"/>
        <w:rPr>
          <w:rFonts w:ascii="Times New Roman" w:hAnsi="Times New Roman" w:cs="Times New Roman"/>
        </w:rPr>
      </w:pPr>
      <w:r>
        <w:rPr>
          <w:rFonts w:ascii="Times New Roman" w:hAnsi="Times New Roman" w:cs="Times New Roman"/>
        </w:rPr>
        <w:t>Trafikmängden antas öka med 2% årligen fram till 2040</w:t>
      </w:r>
    </w:p>
    <w:p>
      <w:pPr>
        <w:rPr>
          <w:rFonts w:ascii="Times New Roman" w:hAnsi="Times New Roman" w:cs="Times New Roman"/>
          <w:b w:val="1"/>
          <w:bCs w:val="1"/>
        </w:rPr>
      </w:pPr>
      <w:r>
        <w:rPr>
          <w:rFonts w:ascii="Times New Roman" w:hAnsi="Times New Roman" w:cs="Times New Roman"/>
          <w:b w:val="1"/>
          <w:bCs w:val="1"/>
        </w:rPr>
        <w:t>Scenario 1</w:t>
      </w:r>
    </w:p>
    <w:tbl>
      <w:tblPr>
        <w:tblStyle w:val="T2"/>
        <w:tblW w:w="0" w:type="auto"/>
        <w:tblLook w:val="04A0"/>
      </w:tblPr>
      <w:tblGrid/>
      <w:tr>
        <w:tc>
          <w:tcPr>
            <w:tcW w:w="1510" w:type="dxa"/>
          </w:tcPr>
          <w:p>
            <w:pPr>
              <w:rPr>
                <w:rFonts w:ascii="Times New Roman" w:hAnsi="Times New Roman" w:cs="Times New Roman"/>
              </w:rPr>
            </w:pPr>
            <w:r>
              <w:rPr>
                <w:rFonts w:ascii="Times New Roman" w:hAnsi="Times New Roman" w:cs="Times New Roman"/>
              </w:rPr>
              <w:t>Väg</w:t>
            </w:r>
          </w:p>
        </w:tc>
        <w:tc>
          <w:tcPr>
            <w:tcW w:w="1510" w:type="dxa"/>
          </w:tcPr>
          <w:p>
            <w:pPr>
              <w:rPr>
                <w:rFonts w:ascii="Times New Roman" w:hAnsi="Times New Roman" w:cs="Times New Roman"/>
              </w:rPr>
            </w:pPr>
            <w:r>
              <w:rPr>
                <w:rFonts w:ascii="Times New Roman" w:hAnsi="Times New Roman" w:cs="Times New Roman"/>
              </w:rPr>
              <w:t>Trafik 2021</w:t>
            </w:r>
          </w:p>
        </w:tc>
        <w:tc>
          <w:tcPr>
            <w:tcW w:w="1510" w:type="dxa"/>
          </w:tcPr>
          <w:p>
            <w:pPr>
              <w:rPr>
                <w:rFonts w:ascii="Times New Roman" w:hAnsi="Times New Roman" w:cs="Times New Roman"/>
              </w:rPr>
            </w:pPr>
            <w:r>
              <w:rPr>
                <w:rFonts w:ascii="Times New Roman" w:hAnsi="Times New Roman" w:cs="Times New Roman"/>
              </w:rPr>
              <w:t>Nuläge 2023</w:t>
            </w:r>
          </w:p>
        </w:tc>
        <w:tc>
          <w:tcPr>
            <w:tcW w:w="1510" w:type="dxa"/>
          </w:tcPr>
          <w:p>
            <w:pPr>
              <w:rPr>
                <w:rFonts w:ascii="Times New Roman" w:hAnsi="Times New Roman" w:cs="Times New Roman"/>
              </w:rPr>
            </w:pPr>
            <w:r>
              <w:rPr>
                <w:rFonts w:ascii="Times New Roman" w:hAnsi="Times New Roman" w:cs="Times New Roman"/>
              </w:rPr>
              <w:t>Prognos 2040</w:t>
            </w:r>
          </w:p>
        </w:tc>
        <w:tc>
          <w:tcPr>
            <w:tcW w:w="1511" w:type="dxa"/>
          </w:tcPr>
          <w:p>
            <w:pPr>
              <w:rPr>
                <w:rFonts w:ascii="Times New Roman" w:hAnsi="Times New Roman" w:cs="Times New Roman"/>
              </w:rPr>
            </w:pPr>
            <w:r>
              <w:rPr>
                <w:rFonts w:ascii="Times New Roman" w:hAnsi="Times New Roman" w:cs="Times New Roman"/>
              </w:rPr>
              <w:t xml:space="preserve">Tung trafik </w:t>
            </w:r>
          </w:p>
        </w:tc>
        <w:tc>
          <w:tcPr>
            <w:tcW w:w="1511" w:type="dxa"/>
          </w:tcPr>
          <w:p>
            <w:pPr>
              <w:rPr>
                <w:rFonts w:ascii="Times New Roman" w:hAnsi="Times New Roman" w:cs="Times New Roman"/>
              </w:rPr>
            </w:pPr>
            <w:r>
              <w:rPr>
                <w:rFonts w:ascii="Times New Roman" w:hAnsi="Times New Roman" w:cs="Times New Roman"/>
              </w:rPr>
              <w:t>Hastighet</w:t>
            </w:r>
          </w:p>
        </w:tc>
      </w:tr>
      <w:tr>
        <w:tc>
          <w:tcPr>
            <w:tcW w:w="1510" w:type="dxa"/>
          </w:tcPr>
          <w:p>
            <w:pPr>
              <w:rPr>
                <w:rFonts w:ascii="Times New Roman" w:hAnsi="Times New Roman" w:cs="Times New Roman"/>
              </w:rPr>
            </w:pPr>
            <w:r>
              <w:rPr>
                <w:rFonts w:ascii="Times New Roman" w:hAnsi="Times New Roman" w:cs="Times New Roman"/>
              </w:rPr>
              <w:t>Brusgatan</w:t>
            </w:r>
          </w:p>
        </w:tc>
        <w:tc>
          <w:tcPr>
            <w:tcW w:w="1510" w:type="dxa"/>
          </w:tcPr>
          <w:p>
            <w:pPr>
              <w:rPr>
                <w:rFonts w:ascii="Times New Roman" w:hAnsi="Times New Roman" w:cs="Times New Roman"/>
              </w:rPr>
            </w:pPr>
            <w:r>
              <w:rPr>
                <w:rFonts w:ascii="Times New Roman" w:hAnsi="Times New Roman" w:cs="Times New Roman"/>
              </w:rPr>
              <w:t xml:space="preserve">130 fordon </w:t>
            </w:r>
          </w:p>
        </w:tc>
        <w:tc>
          <w:tcPr>
            <w:tcW w:w="1510" w:type="dxa"/>
          </w:tcPr>
          <w:p>
            <w:pPr>
              <w:rPr>
                <w:rFonts w:ascii="Times New Roman" w:hAnsi="Times New Roman" w:cs="Times New Roman"/>
              </w:rPr>
            </w:pPr>
            <w:r>
              <w:rPr>
                <w:rFonts w:ascii="Times New Roman" w:hAnsi="Times New Roman" w:cs="Times New Roman"/>
              </w:rPr>
              <w:t>133 fordon</w:t>
            </w:r>
          </w:p>
        </w:tc>
        <w:tc>
          <w:tcPr>
            <w:tcW w:w="1510" w:type="dxa"/>
          </w:tcPr>
          <w:p>
            <w:pPr>
              <w:rPr>
                <w:rFonts w:ascii="Times New Roman" w:hAnsi="Times New Roman" w:cs="Times New Roman"/>
              </w:rPr>
            </w:pPr>
            <w:r>
              <w:rPr>
                <w:rFonts w:ascii="Times New Roman" w:hAnsi="Times New Roman" w:cs="Times New Roman"/>
              </w:rPr>
              <w:t xml:space="preserve">157 fordon </w:t>
            </w:r>
          </w:p>
        </w:tc>
        <w:tc>
          <w:tcPr>
            <w:tcW w:w="1511" w:type="dxa"/>
          </w:tcPr>
          <w:p>
            <w:pPr>
              <w:rPr>
                <w:rFonts w:ascii="Times New Roman" w:hAnsi="Times New Roman" w:cs="Times New Roman"/>
              </w:rPr>
            </w:pPr>
            <w:r>
              <w:rPr>
                <w:rFonts w:ascii="Times New Roman" w:hAnsi="Times New Roman" w:cs="Times New Roman"/>
              </w:rPr>
              <w:t xml:space="preserve">2 % </w:t>
            </w:r>
          </w:p>
        </w:tc>
        <w:tc>
          <w:tcPr>
            <w:tcW w:w="1511" w:type="dxa"/>
          </w:tcPr>
          <w:p>
            <w:pPr>
              <w:rPr>
                <w:rFonts w:ascii="Times New Roman" w:hAnsi="Times New Roman" w:cs="Times New Roman"/>
              </w:rPr>
            </w:pPr>
            <w:r>
              <w:rPr>
                <w:rFonts w:ascii="Times New Roman" w:hAnsi="Times New Roman" w:cs="Times New Roman"/>
              </w:rPr>
              <w:t>40km /h</w:t>
            </w:r>
          </w:p>
        </w:tc>
      </w:tr>
      <w:tr>
        <w:tc>
          <w:tcPr>
            <w:tcW w:w="1510" w:type="dxa"/>
          </w:tcPr>
          <w:p>
            <w:pPr>
              <w:rPr>
                <w:rFonts w:ascii="Times New Roman" w:hAnsi="Times New Roman" w:cs="Times New Roman"/>
              </w:rPr>
            </w:pPr>
            <w:r>
              <w:rPr>
                <w:rFonts w:ascii="Times New Roman" w:hAnsi="Times New Roman" w:cs="Times New Roman"/>
              </w:rPr>
              <w:t xml:space="preserve">Kopparvägen </w:t>
            </w:r>
          </w:p>
        </w:tc>
        <w:tc>
          <w:tcPr>
            <w:tcW w:w="1510" w:type="dxa"/>
          </w:tcPr>
          <w:p>
            <w:pPr>
              <w:rPr>
                <w:rFonts w:ascii="Times New Roman" w:hAnsi="Times New Roman" w:cs="Times New Roman"/>
              </w:rPr>
            </w:pPr>
            <w:r>
              <w:rPr>
                <w:rFonts w:ascii="Times New Roman" w:hAnsi="Times New Roman" w:cs="Times New Roman"/>
              </w:rPr>
              <w:t>181 fordon</w:t>
            </w:r>
          </w:p>
        </w:tc>
        <w:tc>
          <w:tcPr>
            <w:tcW w:w="1510" w:type="dxa"/>
          </w:tcPr>
          <w:p>
            <w:pPr>
              <w:rPr>
                <w:rFonts w:ascii="Times New Roman" w:hAnsi="Times New Roman" w:cs="Times New Roman"/>
              </w:rPr>
            </w:pPr>
            <w:r>
              <w:rPr>
                <w:rFonts w:ascii="Times New Roman" w:hAnsi="Times New Roman" w:cs="Times New Roman"/>
              </w:rPr>
              <w:t xml:space="preserve">185 fordon </w:t>
            </w:r>
          </w:p>
        </w:tc>
        <w:tc>
          <w:tcPr>
            <w:tcW w:w="1510" w:type="dxa"/>
          </w:tcPr>
          <w:p>
            <w:pPr>
              <w:rPr>
                <w:rFonts w:ascii="Times New Roman" w:hAnsi="Times New Roman" w:cs="Times New Roman"/>
              </w:rPr>
            </w:pPr>
            <w:r>
              <w:rPr>
                <w:rFonts w:ascii="Times New Roman" w:hAnsi="Times New Roman" w:cs="Times New Roman"/>
              </w:rPr>
              <w:t>219 fordon</w:t>
            </w:r>
          </w:p>
        </w:tc>
        <w:tc>
          <w:tcPr>
            <w:tcW w:w="1511" w:type="dxa"/>
          </w:tcPr>
          <w:p>
            <w:pPr>
              <w:rPr>
                <w:rFonts w:ascii="Times New Roman" w:hAnsi="Times New Roman" w:cs="Times New Roman"/>
              </w:rPr>
            </w:pPr>
            <w:r>
              <w:rPr>
                <w:rFonts w:ascii="Times New Roman" w:hAnsi="Times New Roman" w:cs="Times New Roman"/>
              </w:rPr>
              <w:t>2 %</w:t>
            </w:r>
          </w:p>
        </w:tc>
        <w:tc>
          <w:tcPr>
            <w:tcW w:w="1511" w:type="dxa"/>
          </w:tcPr>
          <w:p>
            <w:pPr>
              <w:rPr>
                <w:rFonts w:ascii="Times New Roman" w:hAnsi="Times New Roman" w:cs="Times New Roman"/>
              </w:rPr>
            </w:pPr>
            <w:r>
              <w:rPr>
                <w:rFonts w:ascii="Times New Roman" w:hAnsi="Times New Roman" w:cs="Times New Roman"/>
              </w:rPr>
              <w:t>40 km/h</w:t>
            </w:r>
          </w:p>
        </w:tc>
      </w:tr>
    </w:tbl>
    <w:p>
      <w:pPr>
        <w:rPr>
          <w:rFonts w:ascii="Times New Roman" w:hAnsi="Times New Roman" w:cs="Times New Roman"/>
        </w:rPr>
      </w:pPr>
    </w:p>
    <w:p>
      <w:pPr>
        <w:rPr>
          <w:rFonts w:ascii="Times New Roman" w:hAnsi="Times New Roman" w:cs="Times New Roman"/>
        </w:rPr>
      </w:pPr>
      <w:r>
        <w:rPr>
          <w:rFonts w:ascii="Times New Roman" w:hAnsi="Times New Roman" w:cs="Times New Roman"/>
        </w:rPr>
        <w:t>Utifrån beräkningsresultatet konstateras det att ekvivalenta bullernivåer är 41,3 dBA samt maximala bullernivåer är 69 dBA för Brusgatan. För Kopparvägen hamnar ekvivalenta bullernivåer på 42,7 samt maximala bullernivåer på 69 dBA.</w:t>
      </w:r>
    </w:p>
    <w:p>
      <w:pPr>
        <w:rPr>
          <w:rFonts w:ascii="Times New Roman" w:hAnsi="Times New Roman" w:cs="Times New Roman"/>
        </w:rPr>
      </w:pPr>
      <w:r>
        <w:rPr>
          <w:rFonts w:ascii="Times New Roman" w:hAnsi="Times New Roman" w:cs="Times New Roman"/>
        </w:rPr>
        <w:t xml:space="preserve">Detta innebär att samtliga planerade byggnader uppfyller riktvärdet 60 dBA ekvivalenta ljudnivå vid fasad både för nuläge och även för prognosen år 2040. För uteplatser får ljudnivån inte överskrida 50 dBA ekvivalent ljudnivå och 70 dBA maximal ljudnivå, även dessa krav uppfylls. </w:t>
      </w:r>
    </w:p>
    <w:p>
      <w:pPr>
        <w:rPr>
          <w:rFonts w:ascii="Times New Roman" w:hAnsi="Times New Roman" w:cs="Times New Roman"/>
        </w:rPr>
      </w:pPr>
      <w:r>
        <w:rPr>
          <w:rFonts w:ascii="Times New Roman" w:hAnsi="Times New Roman" w:cs="Times New Roman"/>
        </w:rPr>
        <w:t xml:space="preserve">För att få en representativ bild har även en beräkning gjorts för ett annat scenario där trafikmängden antas öka med 2% årligen fram till 2040. </w:t>
      </w:r>
    </w:p>
    <w:p>
      <w:pPr>
        <w:rPr>
          <w:rFonts w:ascii="Times New Roman" w:hAnsi="Times New Roman" w:cs="Times New Roman"/>
          <w:b w:val="1"/>
          <w:bCs w:val="1"/>
        </w:rPr>
      </w:pPr>
      <w:r>
        <w:rPr>
          <w:rFonts w:ascii="Times New Roman" w:hAnsi="Times New Roman" w:cs="Times New Roman"/>
          <w:b w:val="1"/>
          <w:bCs w:val="1"/>
        </w:rPr>
        <w:t>Scenario 2</w:t>
      </w:r>
    </w:p>
    <w:tbl>
      <w:tblPr>
        <w:tblStyle w:val="T2"/>
        <w:tblW w:w="0" w:type="auto"/>
        <w:tblLook w:val="04A0"/>
      </w:tblPr>
      <w:tblGrid/>
      <w:tr>
        <w:tc>
          <w:tcPr>
            <w:tcW w:w="1510" w:type="dxa"/>
          </w:tcPr>
          <w:p>
            <w:pPr>
              <w:rPr>
                <w:rFonts w:ascii="Times New Roman" w:hAnsi="Times New Roman" w:cs="Times New Roman"/>
              </w:rPr>
            </w:pPr>
            <w:r>
              <w:rPr>
                <w:rFonts w:ascii="Times New Roman" w:hAnsi="Times New Roman" w:cs="Times New Roman"/>
              </w:rPr>
              <w:t xml:space="preserve">Väg </w:t>
            </w:r>
          </w:p>
        </w:tc>
        <w:tc>
          <w:tcPr>
            <w:tcW w:w="1510" w:type="dxa"/>
          </w:tcPr>
          <w:p>
            <w:pPr>
              <w:rPr>
                <w:rFonts w:ascii="Times New Roman" w:hAnsi="Times New Roman" w:cs="Times New Roman"/>
              </w:rPr>
            </w:pPr>
            <w:r>
              <w:rPr>
                <w:rFonts w:ascii="Times New Roman" w:hAnsi="Times New Roman" w:cs="Times New Roman"/>
              </w:rPr>
              <w:t>Trafik 2021</w:t>
            </w:r>
          </w:p>
        </w:tc>
        <w:tc>
          <w:tcPr>
            <w:tcW w:w="1510" w:type="dxa"/>
          </w:tcPr>
          <w:p>
            <w:pPr>
              <w:rPr>
                <w:rFonts w:ascii="Times New Roman" w:hAnsi="Times New Roman" w:cs="Times New Roman"/>
              </w:rPr>
            </w:pPr>
            <w:r>
              <w:rPr>
                <w:rFonts w:ascii="Times New Roman" w:hAnsi="Times New Roman" w:cs="Times New Roman"/>
              </w:rPr>
              <w:t>Nuläge 2023</w:t>
            </w:r>
          </w:p>
        </w:tc>
        <w:tc>
          <w:tcPr>
            <w:tcW w:w="1510" w:type="dxa"/>
          </w:tcPr>
          <w:p>
            <w:pPr>
              <w:rPr>
                <w:rFonts w:ascii="Times New Roman" w:hAnsi="Times New Roman" w:cs="Times New Roman"/>
              </w:rPr>
            </w:pPr>
            <w:r>
              <w:rPr>
                <w:rFonts w:ascii="Times New Roman" w:hAnsi="Times New Roman" w:cs="Times New Roman"/>
              </w:rPr>
              <w:t>Prognos 2040</w:t>
            </w:r>
          </w:p>
        </w:tc>
        <w:tc>
          <w:tcPr>
            <w:tcW w:w="1511" w:type="dxa"/>
          </w:tcPr>
          <w:p>
            <w:pPr>
              <w:rPr>
                <w:rFonts w:ascii="Times New Roman" w:hAnsi="Times New Roman" w:cs="Times New Roman"/>
              </w:rPr>
            </w:pPr>
            <w:r>
              <w:rPr>
                <w:rFonts w:ascii="Times New Roman" w:hAnsi="Times New Roman" w:cs="Times New Roman"/>
              </w:rPr>
              <w:t>Tung trafik</w:t>
            </w:r>
          </w:p>
        </w:tc>
        <w:tc>
          <w:tcPr>
            <w:tcW w:w="1511" w:type="dxa"/>
          </w:tcPr>
          <w:p>
            <w:pPr>
              <w:rPr>
                <w:rFonts w:ascii="Times New Roman" w:hAnsi="Times New Roman" w:cs="Times New Roman"/>
              </w:rPr>
            </w:pPr>
            <w:r>
              <w:rPr>
                <w:rFonts w:ascii="Times New Roman" w:hAnsi="Times New Roman" w:cs="Times New Roman"/>
              </w:rPr>
              <w:t>Hastighet</w:t>
            </w:r>
          </w:p>
        </w:tc>
      </w:tr>
      <w:tr>
        <w:tc>
          <w:tcPr>
            <w:tcW w:w="1510" w:type="dxa"/>
          </w:tcPr>
          <w:p>
            <w:pPr>
              <w:rPr>
                <w:rFonts w:ascii="Times New Roman" w:hAnsi="Times New Roman" w:cs="Times New Roman"/>
              </w:rPr>
            </w:pPr>
            <w:r>
              <w:rPr>
                <w:rFonts w:ascii="Times New Roman" w:hAnsi="Times New Roman" w:cs="Times New Roman"/>
              </w:rPr>
              <w:t xml:space="preserve">Brusgatan </w:t>
            </w:r>
          </w:p>
        </w:tc>
        <w:tc>
          <w:tcPr>
            <w:tcW w:w="1510" w:type="dxa"/>
          </w:tcPr>
          <w:p>
            <w:pPr>
              <w:rPr>
                <w:rFonts w:ascii="Times New Roman" w:hAnsi="Times New Roman" w:cs="Times New Roman"/>
              </w:rPr>
            </w:pPr>
            <w:r>
              <w:rPr>
                <w:rFonts w:ascii="Times New Roman" w:hAnsi="Times New Roman" w:cs="Times New Roman"/>
              </w:rPr>
              <w:t>130 fordon</w:t>
            </w:r>
          </w:p>
        </w:tc>
        <w:tc>
          <w:tcPr>
            <w:tcW w:w="1510" w:type="dxa"/>
          </w:tcPr>
          <w:p>
            <w:pPr>
              <w:rPr>
                <w:rFonts w:ascii="Times New Roman" w:hAnsi="Times New Roman" w:cs="Times New Roman"/>
              </w:rPr>
            </w:pPr>
            <w:r>
              <w:rPr>
                <w:rFonts w:ascii="Times New Roman" w:hAnsi="Times New Roman" w:cs="Times New Roman"/>
              </w:rPr>
              <w:t>135 fordon</w:t>
            </w:r>
          </w:p>
        </w:tc>
        <w:tc>
          <w:tcPr>
            <w:tcW w:w="1510" w:type="dxa"/>
          </w:tcPr>
          <w:p>
            <w:pPr>
              <w:rPr>
                <w:rFonts w:ascii="Times New Roman" w:hAnsi="Times New Roman" w:cs="Times New Roman"/>
              </w:rPr>
            </w:pPr>
            <w:r>
              <w:rPr>
                <w:rFonts w:ascii="Times New Roman" w:hAnsi="Times New Roman" w:cs="Times New Roman"/>
              </w:rPr>
              <w:t>189 fordon</w:t>
            </w:r>
          </w:p>
        </w:tc>
        <w:tc>
          <w:tcPr>
            <w:tcW w:w="1511" w:type="dxa"/>
          </w:tcPr>
          <w:p>
            <w:pPr>
              <w:rPr>
                <w:rFonts w:ascii="Times New Roman" w:hAnsi="Times New Roman" w:cs="Times New Roman"/>
              </w:rPr>
            </w:pPr>
            <w:r>
              <w:rPr>
                <w:rFonts w:ascii="Times New Roman" w:hAnsi="Times New Roman" w:cs="Times New Roman"/>
              </w:rPr>
              <w:t>2%</w:t>
            </w:r>
          </w:p>
        </w:tc>
        <w:tc>
          <w:tcPr>
            <w:tcW w:w="1511" w:type="dxa"/>
          </w:tcPr>
          <w:p>
            <w:pPr>
              <w:rPr>
                <w:rFonts w:ascii="Times New Roman" w:hAnsi="Times New Roman" w:cs="Times New Roman"/>
              </w:rPr>
            </w:pPr>
            <w:r>
              <w:rPr>
                <w:rFonts w:ascii="Times New Roman" w:hAnsi="Times New Roman" w:cs="Times New Roman"/>
              </w:rPr>
              <w:t>40 km/h</w:t>
            </w:r>
          </w:p>
        </w:tc>
      </w:tr>
      <w:tr>
        <w:tc>
          <w:tcPr>
            <w:tcW w:w="1510" w:type="dxa"/>
          </w:tcPr>
          <w:p>
            <w:pPr>
              <w:rPr>
                <w:rFonts w:ascii="Times New Roman" w:hAnsi="Times New Roman" w:cs="Times New Roman"/>
              </w:rPr>
            </w:pPr>
            <w:r>
              <w:rPr>
                <w:rFonts w:ascii="Times New Roman" w:hAnsi="Times New Roman" w:cs="Times New Roman"/>
              </w:rPr>
              <w:t xml:space="preserve">Kopparvägen </w:t>
            </w:r>
          </w:p>
        </w:tc>
        <w:tc>
          <w:tcPr>
            <w:tcW w:w="1510" w:type="dxa"/>
          </w:tcPr>
          <w:p>
            <w:pPr>
              <w:rPr>
                <w:rFonts w:ascii="Times New Roman" w:hAnsi="Times New Roman" w:cs="Times New Roman"/>
              </w:rPr>
            </w:pPr>
            <w:r>
              <w:rPr>
                <w:rFonts w:ascii="Times New Roman" w:hAnsi="Times New Roman" w:cs="Times New Roman"/>
              </w:rPr>
              <w:t xml:space="preserve">181 fordon </w:t>
            </w:r>
          </w:p>
        </w:tc>
        <w:tc>
          <w:tcPr>
            <w:tcW w:w="1510" w:type="dxa"/>
          </w:tcPr>
          <w:p>
            <w:pPr>
              <w:rPr>
                <w:rFonts w:ascii="Times New Roman" w:hAnsi="Times New Roman" w:cs="Times New Roman"/>
              </w:rPr>
            </w:pPr>
            <w:r>
              <w:rPr>
                <w:rFonts w:ascii="Times New Roman" w:hAnsi="Times New Roman" w:cs="Times New Roman"/>
              </w:rPr>
              <w:t>188 fordon</w:t>
            </w:r>
          </w:p>
        </w:tc>
        <w:tc>
          <w:tcPr>
            <w:tcW w:w="1510" w:type="dxa"/>
          </w:tcPr>
          <w:p>
            <w:pPr>
              <w:rPr>
                <w:rFonts w:ascii="Times New Roman" w:hAnsi="Times New Roman" w:cs="Times New Roman"/>
              </w:rPr>
            </w:pPr>
            <w:r>
              <w:rPr>
                <w:rFonts w:ascii="Times New Roman" w:hAnsi="Times New Roman" w:cs="Times New Roman"/>
              </w:rPr>
              <w:t>264 fordon</w:t>
            </w:r>
          </w:p>
        </w:tc>
        <w:tc>
          <w:tcPr>
            <w:tcW w:w="1511" w:type="dxa"/>
          </w:tcPr>
          <w:p>
            <w:pPr>
              <w:rPr>
                <w:rFonts w:ascii="Times New Roman" w:hAnsi="Times New Roman" w:cs="Times New Roman"/>
              </w:rPr>
            </w:pPr>
            <w:r>
              <w:rPr>
                <w:rFonts w:ascii="Times New Roman" w:hAnsi="Times New Roman" w:cs="Times New Roman"/>
              </w:rPr>
              <w:t>2%</w:t>
            </w:r>
          </w:p>
        </w:tc>
        <w:tc>
          <w:tcPr>
            <w:tcW w:w="1511" w:type="dxa"/>
          </w:tcPr>
          <w:p>
            <w:pPr>
              <w:rPr>
                <w:rFonts w:ascii="Times New Roman" w:hAnsi="Times New Roman" w:cs="Times New Roman"/>
              </w:rPr>
            </w:pPr>
            <w:r>
              <w:rPr>
                <w:rFonts w:ascii="Times New Roman" w:hAnsi="Times New Roman" w:cs="Times New Roman"/>
              </w:rPr>
              <w:t>40 km/h</w:t>
            </w:r>
          </w:p>
        </w:tc>
      </w:tr>
    </w:tbl>
    <w:p>
      <w:pPr>
        <w:rPr>
          <w:rFonts w:ascii="Times New Roman" w:hAnsi="Times New Roman" w:cs="Times New Roman"/>
        </w:rPr>
      </w:pPr>
    </w:p>
    <w:p>
      <w:pPr>
        <w:rPr>
          <w:rFonts w:ascii="Times New Roman" w:hAnsi="Times New Roman" w:cs="Times New Roman"/>
        </w:rPr>
      </w:pPr>
      <w:r>
        <w:rPr>
          <w:rFonts w:ascii="Times New Roman" w:hAnsi="Times New Roman" w:cs="Times New Roman"/>
        </w:rPr>
        <w:t xml:space="preserve">Utifrån beräkningen konstateras det att ekvivalenta bullernivåer är 42,1 dBA samt maximala bullernivåer är 69 dBA för Brusgatan. För Kopparvägen hamnar ekvivalenta bullernivåer på 43,5 dBA samt maximala bullernivåer på 69 dBA. </w:t>
      </w:r>
    </w:p>
    <w:p>
      <w:pPr>
        <w:rPr>
          <w:rFonts w:ascii="Times New Roman" w:hAnsi="Times New Roman" w:cs="Times New Roman"/>
        </w:rPr>
      </w:pPr>
      <w:r>
        <w:rPr>
          <w:rFonts w:ascii="Times New Roman" w:hAnsi="Times New Roman" w:cs="Times New Roman"/>
        </w:rPr>
        <w:t xml:space="preserve">Sammanfattningsvis innebär det att samtliga planerade bebyggelse uppfyller 60 dBA ekvivalent ljudnivå vid bostadsbyggnads fasad, 50 dBA ekvivalent ljudnivå samt maximal ljudnivån 70 dBA vid en uteplats. </w:t>
      </w:r>
    </w:p>
    <w:p>
      <w:r>
        <w:rPr>
          <w:rFonts w:ascii="Times New Roman" w:hAnsi="Times New Roman" w:cs="Times New Roman"/>
        </w:rPr>
        <w:t xml:space="preserve">Eftersom alla krav i förordningen (SFS 2015:216) om trafikbuller vid bostadsbyggande uppfylls är bedömningen att inga bulleråtgärder krävs. Det är viktigt att ta hänsyn till att det verkliga ljudet kan vara lägre då det är den tunga trafiken såsom lastbilar som skapar de högsta maximala ljudnivåerna, på Brusgatan och Kopparvägen är det relativt få trafikmängd vilket kan antas att det är få tung trafik som passerar. </w:t>
      </w:r>
    </w:p>
    <w:p>
      <w:pPr>
        <w:jc w:val="both"/>
        <w:rPr>
          <w:rFonts w:ascii="Times New Roman" w:hAnsi="Times New Roman" w:cs="Times New Roman"/>
        </w:rPr>
      </w:pPr>
      <w:bookmarkEnd w:id="392"/>
    </w:p>
    <w:p>
      <w:pPr>
        <w:pStyle w:val="P12"/>
        <w:rPr>
          <w:color w:val="C00000"/>
          <w:sz w:val="22"/>
          <w:lang w:val="en-US"/>
        </w:rPr>
      </w:pPr>
      <w:bookmarkStart w:id="393" w:name="ko_översvämning02"/>
      <w:bookmarkStart w:id="394" w:name="_Toc89446097"/>
      <w:bookmarkStart w:id="395" w:name="_Toc90561255"/>
      <w:r>
        <w:rPr>
          <w:noProof w:val="1"/>
          <w:lang w:val="en-US"/>
        </w:rPr>
        <w:drawing>
          <wp:anchor xmlns:wp="http://schemas.openxmlformats.org/drawingml/2006/wordprocessingDrawing" distT="0" distB="0" distL="114300" distR="114300" simplePos="0" relativeHeight="21" behindDoc="0" locked="0" layoutInCell="1" allowOverlap="1">
            <wp:simplePos x="0" y="0"/>
            <wp:positionH relativeFrom="margin">
              <wp:posOffset>3603625</wp:posOffset>
            </wp:positionH>
            <wp:positionV relativeFrom="paragraph">
              <wp:posOffset>52705</wp:posOffset>
            </wp:positionV>
            <wp:extent cx="2762250" cy="2443480"/>
            <wp:effectExtent l="6985" t="0" r="6985" b="6985"/>
            <wp:wrapThrough wrapText="bothSides">
              <wp:wrapPolygon edited="0">
                <wp:start x="55" y="21662"/>
                <wp:lineTo x="21506" y="21662"/>
                <wp:lineTo x="21506" y="107"/>
                <wp:lineTo x="55" y="107"/>
                <wp:lineTo x="55" y="21662"/>
              </wp:wrapPolygon>
            </wp:wrapThrough>
            <wp:docPr id="20" name="Bildobjekt 20" descr="En bild som visar träd,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Bildobjekt 20" descr="En bild som visar träd, växt&#10;&#10;Automatiskt genererad beskrivning"/>
                    <pic:cNvPicPr/>
                  </pic:nvPicPr>
                  <pic:blipFill dpi="0">
                    <a:blip xmlns:r="http://schemas.openxmlformats.org/officeDocument/2006/relationships" r:embed="Relimage33" cstate="print"/>
                    <a:srcRect/>
                    <a:stretch>
                      <a:fillRect/>
                    </a:stretch>
                  </pic:blipFill>
                  <pic:spPr>
                    <a:xfrm rot="5400000">
                      <a:off x="0" y="0"/>
                      <a:ext cx="2762250" cy="2443480"/>
                    </a:xfrm>
                    <a:prstGeom prst="rect"/>
                  </pic:spPr>
                </pic:pic>
              </a:graphicData>
            </a:graphic>
          </wp:anchor>
        </w:drawing>
      </w:r>
      <w:bookmarkEnd w:id="393"/>
      <w:r>
        <w:rPr>
          <w:caps w:val="0"/>
          <w:color w:val="C00000"/>
          <w:sz w:val="22"/>
        </w:rPr>
        <w:t>ÖVERSVÄMNING</w:t>
      </w:r>
      <w:bookmarkEnd w:id="394"/>
      <w:bookmarkEnd w:id="395"/>
    </w:p>
    <w:p>
      <w:pPr>
        <w:ind w:left="340"/>
        <w:jc w:val="both"/>
        <w:rPr>
          <w:rFonts w:ascii="Times New Roman" w:hAnsi="Times New Roman" w:cs="Times New Roman"/>
          <w:i w:val="1"/>
          <w:iCs w:val="1"/>
        </w:rPr>
      </w:pPr>
      <w:bookmarkStart w:id="396" w:name="ko_översvämning01"/>
      <w:r>
        <w:rPr>
          <w:rFonts w:ascii="Times New Roman" w:hAnsi="Times New Roman" w:cs="Times New Roman"/>
        </w:rPr>
        <w:t xml:space="preserve">Inom planområdet finns det inga indikationer för risk för översvämning vid ett skyfall, 100 års eller 200 års regn. Det finns öppna dagvattendike inom planområdet ytterliga information finns redovisad under avsnitt 4.9 </w:t>
      </w:r>
      <w:r>
        <w:rPr>
          <w:rFonts w:ascii="Times New Roman" w:hAnsi="Times New Roman" w:cs="Times New Roman"/>
          <w:i w:val="1"/>
          <w:iCs w:val="1"/>
        </w:rPr>
        <w:t>hydrologiska förhållande</w:t>
      </w:r>
      <w:r>
        <w:rPr>
          <w:rFonts w:ascii="Times New Roman" w:hAnsi="Times New Roman" w:cs="Times New Roman"/>
        </w:rPr>
        <w:t xml:space="preserve"> samt under 6.3.3 </w:t>
      </w:r>
      <w:r>
        <w:rPr>
          <w:rFonts w:ascii="Times New Roman" w:hAnsi="Times New Roman" w:cs="Times New Roman"/>
          <w:i w:val="1"/>
          <w:iCs w:val="1"/>
        </w:rPr>
        <w:t xml:space="preserve">dagvatten. </w:t>
      </w:r>
    </w:p>
    <w:p>
      <w:pPr>
        <w:ind w:left="340"/>
        <w:jc w:val="both"/>
        <w:rPr>
          <w:rFonts w:ascii="Times New Roman" w:hAnsi="Times New Roman" w:cs="Times New Roman"/>
        </w:rPr>
      </w:pPr>
      <w:bookmarkEnd w:id="396"/>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lang w:val="en-US"/>
        </w:rPr>
      </w:pPr>
    </w:p>
    <w:p>
      <w:pPr>
        <w:jc w:val="both"/>
        <w:rPr>
          <w:lang w:val="en-US"/>
        </w:rPr>
      </w:pPr>
    </w:p>
    <w:p>
      <w:pPr>
        <w:pStyle w:val="P12"/>
        <w:jc w:val="both"/>
        <w:rPr>
          <w:color w:val="C00000"/>
          <w:sz w:val="22"/>
          <w:lang w:val="en-US"/>
        </w:rPr>
      </w:pPr>
      <w:bookmarkStart w:id="397" w:name="_Toc89446098"/>
      <w:bookmarkStart w:id="398" w:name="_Toc90561256"/>
      <w:r>
        <w:rPr>
          <w:caps w:val="0"/>
          <w:color w:val="C00000"/>
          <w:sz w:val="22"/>
        </w:rPr>
        <w:t>OLYCKOR</w:t>
      </w:r>
      <w:bookmarkEnd w:id="397"/>
      <w:bookmarkEnd w:id="398"/>
    </w:p>
    <w:p>
      <w:pPr>
        <w:ind w:left="340"/>
        <w:jc w:val="both"/>
        <w:rPr>
          <w:rFonts w:ascii="Times New Roman" w:hAnsi="Times New Roman" w:cs="Times New Roman"/>
        </w:rPr>
      </w:pPr>
      <w:bookmarkStart w:id="399" w:name="ko_olyckor02"/>
      <w:r>
        <w:rPr>
          <w:rFonts w:ascii="Times New Roman" w:hAnsi="Times New Roman" w:cs="Times New Roman"/>
          <w:noProof w:val="1"/>
        </w:rPr>
        <w:drawing>
          <wp:anchor xmlns:wp="http://schemas.openxmlformats.org/drawingml/2006/wordprocessingDrawing" distT="0" distB="0" distL="114300" distR="114300" simplePos="0" relativeHeight="27" behindDoc="0" locked="0" layoutInCell="1" allowOverlap="1">
            <wp:simplePos x="0" y="0"/>
            <wp:positionH relativeFrom="column">
              <wp:posOffset>3747770</wp:posOffset>
            </wp:positionH>
            <wp:positionV relativeFrom="paragraph">
              <wp:posOffset>10160</wp:posOffset>
            </wp:positionV>
            <wp:extent cx="2493010" cy="3272155"/>
            <wp:effectExtent l="0" t="0" r="2540" b="4445"/>
            <wp:wrapThrough wrapText="bothSides">
              <wp:wrapPolygon edited="0">
                <wp:start x="0" y="0"/>
                <wp:lineTo x="0" y="21504"/>
                <wp:lineTo x="21457" y="21504"/>
                <wp:lineTo x="21457" y="0"/>
                <wp:lineTo x="0" y="0"/>
              </wp:wrapPolygon>
            </wp:wrapThrough>
            <wp:docPr id="53" name="Bildobjekt 53" descr="En bild som visar gräs, himmel, utomhus, da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Bildobjekt 53" descr="En bild som visar gräs, himmel, utomhus, dag&#10;&#10;Automatiskt genererad beskrivning"/>
                    <pic:cNvPicPr/>
                  </pic:nvPicPr>
                  <pic:blipFill dpi="0">
                    <a:blip xmlns:r="http://schemas.openxmlformats.org/officeDocument/2006/relationships" r:embed="Relimage34" cstate="print"/>
                    <a:srcRect/>
                    <a:stretch>
                      <a:fillRect/>
                    </a:stretch>
                  </pic:blipFill>
                  <pic:spPr>
                    <a:xfrm>
                      <a:off x="0" y="0"/>
                      <a:ext cx="2493010" cy="3272155"/>
                    </a:xfrm>
                    <a:prstGeom prst="rect"/>
                  </pic:spPr>
                </pic:pic>
              </a:graphicData>
            </a:graphic>
          </wp:anchor>
        </w:drawing>
      </w:r>
      <w:bookmarkEnd w:id="399"/>
      <w:bookmarkStart w:id="400" w:name="ko_olyckor01"/>
      <w:r>
        <w:rPr>
          <w:rFonts w:ascii="Times New Roman" w:hAnsi="Times New Roman" w:cs="Times New Roman"/>
        </w:rPr>
        <w:t xml:space="preserve">På parkeringen utanför förskolan har inte separat gångväg anordnats tidigare vilket har inneburit en större risk för olyckor, i övrigt är lokalgatan inte högtrafikerad och riskbedömningen bedöms som oförändrat till följd av bebyggelse av bostäder inom området. Cyklister och gående använder idag GCVÄG på sydöstra delen av förskolan som är helt separerad från parkeringen. </w:t>
      </w:r>
      <w:bookmarkEnd w:id="400"/>
    </w:p>
    <w:p>
      <w:pPr>
        <w:pStyle w:val="P12"/>
        <w:jc w:val="both"/>
        <w:rPr>
          <w:color w:val="C00000"/>
          <w:sz w:val="22"/>
          <w:lang w:val="en-US"/>
        </w:rPr>
      </w:pPr>
      <w:bookmarkStart w:id="401" w:name="_Toc89446099"/>
      <w:bookmarkStart w:id="402" w:name="_Toc90561257"/>
      <w:r>
        <w:rPr>
          <w:caps w:val="0"/>
          <w:color w:val="C00000"/>
          <w:sz w:val="22"/>
        </w:rPr>
        <w:t>EROSION</w:t>
      </w:r>
      <w:bookmarkEnd w:id="401"/>
      <w:bookmarkEnd w:id="402"/>
    </w:p>
    <w:p>
      <w:pPr>
        <w:ind w:left="340"/>
        <w:jc w:val="both"/>
        <w:rPr>
          <w:lang w:val="en-US"/>
        </w:rPr>
      </w:pPr>
      <w:bookmarkStart w:id="403" w:name="ko_erosion01"/>
      <w:r>
        <w:rPr>
          <w:rFonts w:ascii="Times New Roman" w:hAnsi="Times New Roman" w:cs="Times New Roman"/>
        </w:rPr>
        <w:t>Erosion förekommer främst längst slänter mot vattendrag, inom planområdet finns inga indikationer om risk för erosion</w:t>
      </w:r>
      <w:bookmarkEnd w:id="403"/>
      <w:r>
        <w:rPr>
          <w:rFonts w:ascii="Times New Roman" w:hAnsi="Times New Roman" w:cs="Times New Roman"/>
        </w:rPr>
        <w:t xml:space="preserve">. </w:t>
      </w:r>
    </w:p>
    <w:p>
      <w:pPr>
        <w:pStyle w:val="P12"/>
        <w:jc w:val="both"/>
        <w:rPr>
          <w:color w:val="C00000"/>
          <w:sz w:val="22"/>
          <w:lang w:val="en-US"/>
        </w:rPr>
      </w:pPr>
      <w:bookmarkStart w:id="404" w:name="_Toc89446100"/>
      <w:bookmarkStart w:id="405" w:name="_Toc90561258"/>
      <w:r>
        <w:rPr>
          <w:caps w:val="0"/>
          <w:color w:val="C00000"/>
          <w:sz w:val="22"/>
        </w:rPr>
        <w:t>SKRED</w:t>
      </w:r>
      <w:bookmarkEnd w:id="404"/>
      <w:bookmarkEnd w:id="405"/>
    </w:p>
    <w:p>
      <w:pPr>
        <w:ind w:left="340"/>
        <w:jc w:val="both"/>
        <w:rPr>
          <w:rFonts w:ascii="Times New Roman" w:hAnsi="Times New Roman" w:cs="Times New Roman"/>
        </w:rPr>
      </w:pPr>
      <w:bookmarkStart w:id="406" w:name="ko_skred01"/>
      <w:r>
        <w:rPr>
          <w:rFonts w:ascii="Times New Roman" w:hAnsi="Times New Roman" w:cs="Times New Roman"/>
        </w:rPr>
        <w:t>Det förekommer inte någon skredrisk inom eller utanför planområdet.</w:t>
      </w:r>
    </w:p>
    <w:p>
      <w:pPr>
        <w:pStyle w:val="P12"/>
        <w:rPr>
          <w:color w:val="C00000"/>
          <w:sz w:val="22"/>
          <w:lang w:val="en-US"/>
        </w:rPr>
      </w:pPr>
      <w:bookmarkEnd w:id="406"/>
      <w:bookmarkStart w:id="407" w:name="_Toc89446101"/>
      <w:bookmarkStart w:id="408" w:name="_Toc90561259"/>
      <w:r>
        <w:rPr>
          <w:caps w:val="0"/>
          <w:color w:val="C00000"/>
          <w:sz w:val="22"/>
        </w:rPr>
        <w:t>RAS</w:t>
      </w:r>
      <w:bookmarkEnd w:id="407"/>
      <w:bookmarkEnd w:id="408"/>
    </w:p>
    <w:p>
      <w:pPr>
        <w:ind w:left="340"/>
        <w:rPr>
          <w:rFonts w:ascii="Times New Roman" w:hAnsi="Times New Roman" w:cs="Times New Roman"/>
        </w:rPr>
      </w:pPr>
      <w:bookmarkStart w:id="409" w:name="ko_ras01"/>
      <w:r>
        <w:rPr>
          <w:rFonts w:ascii="Times New Roman" w:hAnsi="Times New Roman" w:cs="Times New Roman"/>
        </w:rPr>
        <w:t xml:space="preserve">Det förekommer inte någon risk för ras inom planområdet. </w:t>
      </w:r>
    </w:p>
    <w:p>
      <w:pPr>
        <w:ind w:left="340"/>
        <w:rPr>
          <w:lang w:val="en-US"/>
        </w:rPr>
      </w:pPr>
      <w:bookmarkEnd w:id="409"/>
    </w:p>
    <w:p>
      <w:pPr>
        <w:pStyle w:val="P11"/>
        <w:rPr>
          <w:color w:val="C00000"/>
          <w:sz w:val="22"/>
          <w:szCs w:val="22"/>
        </w:rPr>
      </w:pPr>
      <w:bookmarkStart w:id="410" w:name="_Toc89446102"/>
      <w:bookmarkStart w:id="411" w:name="_Toc126834327"/>
      <w:bookmarkStart w:id="412" w:name="_Toc120016368"/>
      <w:bookmarkStart w:id="413" w:name="_Toc107477005"/>
      <w:bookmarkStart w:id="414" w:name="_Toc90561260"/>
      <w:r>
        <w:rPr>
          <w:caps w:val="0"/>
          <w:color w:val="C00000"/>
          <w:sz w:val="22"/>
          <w:szCs w:val="22"/>
        </w:rPr>
        <w:t>SOCIALA</w:t>
      </w:r>
      <w:bookmarkEnd w:id="410"/>
      <w:bookmarkEnd w:id="411"/>
      <w:bookmarkEnd w:id="412"/>
      <w:bookmarkEnd w:id="413"/>
      <w:bookmarkEnd w:id="414"/>
    </w:p>
    <w:p>
      <w:pPr>
        <w:ind w:left="340"/>
        <w:jc w:val="both"/>
        <w:rPr>
          <w:rFonts w:ascii="Times New Roman" w:hAnsi="Times New Roman" w:cs="Times New Roman"/>
        </w:rPr>
      </w:pPr>
      <w:bookmarkStart w:id="415" w:name="ko_sociala01"/>
      <w:r>
        <w:rPr>
          <w:rFonts w:ascii="Times New Roman" w:hAnsi="Times New Roman" w:cs="Times New Roman"/>
        </w:rPr>
        <w:t xml:space="preserve">Gestaltningen av de offentliga rummen kan bidra till att främja trafikslag som inte är bilburna, planförslaget skapar förutsättningen för ökad rörlighet under stora delar av dygnet. Genom att centrala delar av tätorten förtätas kommer fler personer röra sig inom området. Bebyggelse i centrala Söderbärke kommer leda till möten och ett mångsidigt socialt liv. Kommunens intentioner är att ha blandade boendeformer, att upplåta bostäder som hyresrätter och bostadsrätter är viktigt för att få ett blandat och mångsidigt socialt liv i de offentliga rummen. En blandning av funktioner ökar möjligheten att röra sig i samhället utan bil. Tydliga trafiklösningar erbjuder attraktiva möjligheter att färdas till fots eller cykel i Söderbärke. </w:t>
      </w:r>
    </w:p>
    <w:p>
      <w:pPr>
        <w:ind w:left="340"/>
        <w:jc w:val="both"/>
        <w:rPr>
          <w:rFonts w:ascii="Times New Roman" w:hAnsi="Times New Roman" w:cs="Times New Roman"/>
        </w:rPr>
      </w:pPr>
      <w:r>
        <w:rPr>
          <w:rFonts w:ascii="Times New Roman" w:hAnsi="Times New Roman" w:cs="Times New Roman"/>
        </w:rPr>
        <w:t xml:space="preserve">En annan viktig aspekt för de sociala konsekvenserna av planförslaget är trygghet. Idag finns det inga kända platser inom närområdet som uppfattas som otrygga. Att fortsätta förtäta och utveckla befintlig bebyggelse skapar förutsättningen för att våra tätorter ska upplevas som trygga, trivsamma och framkomliga gator. </w:t>
      </w:r>
    </w:p>
    <w:p>
      <w:pPr>
        <w:ind w:left="340"/>
        <w:jc w:val="both"/>
        <w:rPr>
          <w:rFonts w:ascii="Times New Roman" w:hAnsi="Times New Roman" w:cs="Times New Roman"/>
        </w:rPr>
      </w:pPr>
      <w:r>
        <w:rPr>
          <w:rFonts w:ascii="Times New Roman" w:hAnsi="Times New Roman" w:cs="Times New Roman"/>
        </w:rPr>
        <w:t xml:space="preserve">Söderbärke präglas av relativt låg och småskalig bebyggelse. Området för detaljplanen och det närmast angränsande området rymmer inte några särskilt viktiga kulturhistoriska värden att ta hänsyn till. Historiskt har marken varit använd som åkermark, ny bebyggelse bör vara småskalig och ta särskild hänsyn till allmänningar. Bebyggelse bör ha en viss grad av variation till exempel genom placering på tomten, utformning av byggnadsvolymer samt byggnadshöjd. </w:t>
      </w:r>
    </w:p>
    <w:p>
      <w:pPr>
        <w:ind w:left="340"/>
        <w:jc w:val="both"/>
        <w:rPr>
          <w:rFonts w:ascii="Times New Roman" w:hAnsi="Times New Roman" w:cs="Times New Roman"/>
        </w:rPr>
      </w:pPr>
      <w:bookmarkEnd w:id="415"/>
    </w:p>
    <w:p>
      <w:pPr>
        <w:pStyle w:val="P12"/>
        <w:jc w:val="both"/>
        <w:rPr>
          <w:color w:val="C00000"/>
          <w:sz w:val="22"/>
          <w:lang w:val="en-US"/>
        </w:rPr>
      </w:pPr>
      <w:bookmarkStart w:id="416" w:name="_Toc89446103"/>
      <w:bookmarkStart w:id="417" w:name="_Toc90561261"/>
      <w:r>
        <w:rPr>
          <w:caps w:val="0"/>
          <w:color w:val="C00000"/>
          <w:sz w:val="22"/>
        </w:rPr>
        <w:t>BARN</w:t>
      </w:r>
      <w:bookmarkEnd w:id="416"/>
      <w:bookmarkEnd w:id="417"/>
    </w:p>
    <w:p>
      <w:pPr>
        <w:ind w:left="340"/>
        <w:jc w:val="both"/>
        <w:rPr>
          <w:rFonts w:ascii="Times New Roman" w:hAnsi="Times New Roman" w:cs="Times New Roman"/>
        </w:rPr>
      </w:pPr>
      <w:bookmarkStart w:id="418" w:name="ko_barn01"/>
      <w:r>
        <w:rPr>
          <w:rFonts w:ascii="Times New Roman" w:hAnsi="Times New Roman" w:cs="Times New Roman"/>
        </w:rPr>
        <w:t>Medborgardialog har genomförts med Solhyttans förskola på plats i form av gåturer och aktiviteter med barn för att samla information om hur barn upplever sitt område. Planförslaget har justerats utifrån de önskemål på förbättringar som förskolebarnen och pedagoger önskade. Dialogen resulterade att planförslaget har justerats på följande sätt utifrån ett barnperspektiv:</w:t>
      </w:r>
    </w:p>
    <w:p>
      <w:pPr>
        <w:pStyle w:val="P13"/>
        <w:numPr>
          <w:ilvl w:val="0"/>
          <w:numId w:val="20"/>
        </w:numPr>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28" behindDoc="0" locked="0" layoutInCell="1" allowOverlap="1">
            <wp:simplePos x="0" y="0"/>
            <wp:positionH relativeFrom="margin">
              <wp:align>center</wp:align>
            </wp:positionH>
            <wp:positionV relativeFrom="paragraph">
              <wp:posOffset>247650</wp:posOffset>
            </wp:positionV>
            <wp:extent cx="5536565" cy="3315335"/>
            <wp:effectExtent l="0" t="0" r="6985" b="0"/>
            <wp:wrapThrough wrapText="bothSides">
              <wp:wrapPolygon edited="0">
                <wp:start x="0" y="0"/>
                <wp:lineTo x="0" y="21472"/>
                <wp:lineTo x="21553" y="21472"/>
                <wp:lineTo x="21553" y="0"/>
                <wp:lineTo x="0" y="0"/>
              </wp:wrapPolygon>
            </wp:wrapThrough>
            <wp:docPr id="54" name="Bildobjekt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Bildobjekt 54"/>
                    <pic:cNvPicPr/>
                  </pic:nvPicPr>
                  <pic:blipFill dpi="0">
                    <a:blip xmlns:r="http://schemas.openxmlformats.org/officeDocument/2006/relationships" r:embed="Relimage35" cstate="print"/>
                    <a:srcRect/>
                    <a:stretch>
                      <a:fillRect/>
                    </a:stretch>
                  </pic:blipFill>
                  <pic:spPr>
                    <a:xfrm>
                      <a:off x="0" y="0"/>
                      <a:ext cx="5536565" cy="3315335"/>
                    </a:xfrm>
                    <a:prstGeom prst="rect"/>
                  </pic:spPr>
                </pic:pic>
              </a:graphicData>
            </a:graphic>
          </wp:anchor>
        </w:drawing>
      </w:r>
      <w:r>
        <w:rPr>
          <w:rFonts w:ascii="Times New Roman" w:hAnsi="Times New Roman" w:cs="Times New Roman"/>
        </w:rPr>
        <w:t xml:space="preserve">Minskat antal huskroppar för att framför allt bevara plats för en liten lekplats/bollplan. </w:t>
      </w:r>
    </w:p>
    <w:p>
      <w:pPr>
        <w:pStyle w:val="P12"/>
        <w:rPr>
          <w:color w:val="C00000"/>
          <w:sz w:val="22"/>
          <w:lang w:val="en-US"/>
        </w:rPr>
      </w:pPr>
      <w:bookmarkEnd w:id="418"/>
      <w:bookmarkStart w:id="419" w:name="_Toc89446104"/>
      <w:bookmarkStart w:id="420" w:name="_Toc90561262"/>
      <w:r>
        <w:rPr>
          <w:caps w:val="0"/>
          <w:color w:val="C00000"/>
          <w:sz w:val="22"/>
        </w:rPr>
        <w:t>JÄMLIKHET</w:t>
      </w:r>
      <w:bookmarkEnd w:id="419"/>
      <w:bookmarkEnd w:id="420"/>
    </w:p>
    <w:p>
      <w:pPr>
        <w:ind w:left="340"/>
        <w:jc w:val="both"/>
        <w:rPr>
          <w:rFonts w:ascii="Times New Roman" w:hAnsi="Times New Roman" w:cs="Times New Roman"/>
        </w:rPr>
      </w:pPr>
      <w:bookmarkStart w:id="421" w:name="ko_jämlikhet01"/>
      <w:r>
        <w:rPr>
          <w:rFonts w:ascii="Times New Roman" w:hAnsi="Times New Roman" w:cs="Times New Roman"/>
        </w:rPr>
        <w:t xml:space="preserve">Området är väl integrerad angränsande till befintlig infrastruktur och har goda förbindelser med resten av tätorten, ur ett jämlikhetsperspektiv är detta viktigt för att alla människor oavsett kön, etnicitet eller funktionshinder skall känna tillgänglighet till platsen. </w:t>
      </w:r>
    </w:p>
    <w:p>
      <w:pPr>
        <w:pStyle w:val="P11"/>
        <w:rPr>
          <w:color w:val="C00000"/>
          <w:sz w:val="22"/>
          <w:szCs w:val="22"/>
        </w:rPr>
      </w:pPr>
      <w:bookmarkEnd w:id="421"/>
      <w:bookmarkStart w:id="422" w:name="_Toc89446105"/>
      <w:bookmarkStart w:id="423" w:name="_Toc126834328"/>
      <w:bookmarkStart w:id="424" w:name="_Toc107477006"/>
      <w:bookmarkStart w:id="425" w:name="_Toc120016369"/>
      <w:bookmarkStart w:id="426" w:name="_Toc90561263"/>
      <w:r>
        <w:rPr>
          <w:caps w:val="0"/>
          <w:color w:val="C00000"/>
          <w:sz w:val="22"/>
          <w:szCs w:val="22"/>
        </w:rPr>
        <w:t>RIKSINTRESSE</w:t>
      </w:r>
      <w:bookmarkEnd w:id="422"/>
      <w:bookmarkEnd w:id="423"/>
      <w:bookmarkEnd w:id="424"/>
      <w:bookmarkEnd w:id="425"/>
      <w:bookmarkEnd w:id="426"/>
    </w:p>
    <w:p>
      <w:pPr>
        <w:pStyle w:val="P12"/>
        <w:rPr>
          <w:color w:val="C00000"/>
          <w:sz w:val="22"/>
          <w:lang w:val="en-US"/>
        </w:rPr>
      </w:pPr>
      <w:bookmarkStart w:id="427" w:name="_Toc89446108"/>
      <w:bookmarkStart w:id="428" w:name="_Toc90561266"/>
      <w:r>
        <w:rPr>
          <w:caps w:val="0"/>
          <w:color w:val="C00000"/>
          <w:sz w:val="22"/>
        </w:rPr>
        <w:t>NATURVÅRD</w:t>
      </w:r>
      <w:bookmarkEnd w:id="427"/>
      <w:bookmarkEnd w:id="428"/>
    </w:p>
    <w:p>
      <w:pPr>
        <w:ind w:left="340"/>
        <w:jc w:val="both"/>
        <w:rPr>
          <w:rFonts w:ascii="Times New Roman" w:hAnsi="Times New Roman" w:cs="Times New Roman"/>
        </w:rPr>
      </w:pPr>
      <w:bookmarkStart w:id="429" w:name="ko_naturvård01"/>
      <w:r>
        <w:rPr>
          <w:rFonts w:ascii="Times New Roman" w:hAnsi="Times New Roman" w:cs="Times New Roman"/>
        </w:rPr>
        <w:t>Nordöstra delen av planområdet där förskolan och fritids är placerad omfattas av grönstruktur som ett värdefullt område, planförslaget anses inte ha negativ inverkan på grönstrukturen på grund av att området redan är exploaterad. I övrigt omfattas inte planområdet av riksintresse för naturvård.</w:t>
      </w:r>
    </w:p>
    <w:p>
      <w:pPr>
        <w:pStyle w:val="P12"/>
        <w:jc w:val="both"/>
        <w:rPr>
          <w:color w:val="C00000"/>
          <w:sz w:val="22"/>
          <w:lang w:val="en-US"/>
        </w:rPr>
      </w:pPr>
      <w:bookmarkEnd w:id="429"/>
      <w:bookmarkStart w:id="430" w:name="_Toc89446109"/>
      <w:bookmarkStart w:id="431" w:name="_Toc90561267"/>
      <w:r>
        <w:rPr>
          <w:caps w:val="0"/>
          <w:color w:val="C00000"/>
          <w:sz w:val="22"/>
        </w:rPr>
        <w:t>FRILUFTSLIV</w:t>
      </w:r>
      <w:bookmarkEnd w:id="430"/>
      <w:bookmarkEnd w:id="431"/>
    </w:p>
    <w:p>
      <w:pPr>
        <w:ind w:left="340"/>
        <w:jc w:val="both"/>
        <w:rPr>
          <w:lang w:val="en-US"/>
        </w:rPr>
      </w:pPr>
      <w:bookmarkStart w:id="432" w:name="ko_friluftsliv01"/>
      <w:r>
        <w:rPr>
          <w:rFonts w:ascii="Times New Roman" w:hAnsi="Times New Roman" w:cs="Times New Roman"/>
        </w:rPr>
        <w:t>Planområdet omfattas inte av riksintresse för friluftsliv.</w:t>
      </w:r>
    </w:p>
    <w:p>
      <w:pPr>
        <w:pStyle w:val="P12"/>
        <w:jc w:val="both"/>
        <w:rPr>
          <w:color w:val="C00000"/>
          <w:sz w:val="22"/>
          <w:lang w:val="en-US"/>
        </w:rPr>
      </w:pPr>
      <w:bookmarkEnd w:id="432"/>
      <w:bookmarkStart w:id="433" w:name="_Toc89446110"/>
      <w:bookmarkStart w:id="434" w:name="_Toc90561268"/>
      <w:r>
        <w:rPr>
          <w:caps w:val="0"/>
          <w:color w:val="C00000"/>
          <w:sz w:val="22"/>
        </w:rPr>
        <w:t>KULTURMILJÖVÅRD</w:t>
      </w:r>
      <w:bookmarkEnd w:id="433"/>
      <w:bookmarkEnd w:id="434"/>
    </w:p>
    <w:p>
      <w:pPr>
        <w:ind w:left="340"/>
        <w:jc w:val="both"/>
        <w:rPr>
          <w:lang w:val="en-US"/>
        </w:rPr>
      </w:pPr>
      <w:bookmarkStart w:id="435" w:name="_Hlk106806465"/>
      <w:bookmarkStart w:id="436" w:name="ko_kulturmiljövård01"/>
      <w:r>
        <w:rPr>
          <w:rFonts w:ascii="Times New Roman" w:hAnsi="Times New Roman" w:cs="Times New Roman"/>
        </w:rPr>
        <w:t xml:space="preserve">Planområdet </w:t>
      </w:r>
      <w:bookmarkEnd w:id="435"/>
      <w:r>
        <w:rPr>
          <w:rFonts w:ascii="Times New Roman" w:hAnsi="Times New Roman" w:cs="Times New Roman"/>
        </w:rPr>
        <w:t>omfattas inte av riksintresse för kulturmiljövård</w:t>
      </w:r>
      <w:bookmarkEnd w:id="436"/>
      <w:r>
        <w:rPr>
          <w:rFonts w:ascii="Times New Roman" w:hAnsi="Times New Roman" w:cs="Times New Roman"/>
        </w:rPr>
        <w:t>.</w:t>
      </w:r>
    </w:p>
    <w:p>
      <w:pPr>
        <w:pStyle w:val="P12"/>
        <w:jc w:val="both"/>
        <w:rPr>
          <w:color w:val="C00000"/>
          <w:sz w:val="22"/>
          <w:lang w:val="en-US"/>
        </w:rPr>
      </w:pPr>
      <w:bookmarkStart w:id="437" w:name="_Toc89446119"/>
      <w:bookmarkStart w:id="438" w:name="_Toc90561277"/>
      <w:r>
        <w:rPr>
          <w:caps w:val="0"/>
          <w:color w:val="C00000"/>
          <w:sz w:val="22"/>
        </w:rPr>
        <w:t>TOTALFÖRSVAR</w:t>
      </w:r>
      <w:bookmarkEnd w:id="437"/>
      <w:bookmarkEnd w:id="438"/>
    </w:p>
    <w:p>
      <w:pPr>
        <w:ind w:left="340"/>
        <w:jc w:val="both"/>
        <w:rPr>
          <w:lang w:val="en-US"/>
        </w:rPr>
      </w:pPr>
      <w:bookmarkStart w:id="439" w:name="ko_totalförsvar01"/>
      <w:r>
        <w:rPr>
          <w:rFonts w:ascii="Times New Roman" w:hAnsi="Times New Roman" w:cs="Times New Roman"/>
        </w:rPr>
        <w:t xml:space="preserve">Planområdet omfattas inte av riksintresse för kulturmiljövård. </w:t>
      </w:r>
      <w:bookmarkEnd w:id="439"/>
    </w:p>
    <w:p>
      <w:pPr>
        <w:pStyle w:val="P12"/>
        <w:jc w:val="both"/>
        <w:rPr>
          <w:color w:val="C00000"/>
          <w:sz w:val="22"/>
          <w:lang w:val="en-US"/>
        </w:rPr>
      </w:pPr>
      <w:bookmarkStart w:id="440" w:name="_Toc89446120"/>
      <w:bookmarkStart w:id="441" w:name="_Toc90561278"/>
      <w:r>
        <w:rPr>
          <w:caps w:val="0"/>
          <w:color w:val="C00000"/>
          <w:sz w:val="22"/>
        </w:rPr>
        <w:t>RÖRLIGT FRILUFTSLIV</w:t>
      </w:r>
      <w:bookmarkEnd w:id="440"/>
      <w:bookmarkEnd w:id="441"/>
    </w:p>
    <w:p>
      <w:pPr>
        <w:ind w:left="340"/>
        <w:jc w:val="both"/>
        <w:rPr>
          <w:rFonts w:ascii="Times New Roman" w:hAnsi="Times New Roman" w:cs="Times New Roman"/>
        </w:rPr>
      </w:pPr>
      <w:bookmarkStart w:id="442" w:name="ko_rörligtfriluftsliv01"/>
      <w:r>
        <w:rPr>
          <w:rFonts w:ascii="Times New Roman" w:hAnsi="Times New Roman" w:cs="Times New Roman"/>
        </w:rPr>
        <w:t>Planområdet omfattas inte av riksintresse för rörligt friluftsliv.</w:t>
      </w:r>
    </w:p>
    <w:p>
      <w:pPr>
        <w:pStyle w:val="P12"/>
        <w:jc w:val="both"/>
        <w:rPr>
          <w:color w:val="C00000"/>
          <w:sz w:val="22"/>
          <w:lang w:val="en-US"/>
        </w:rPr>
      </w:pPr>
      <w:bookmarkEnd w:id="442"/>
      <w:bookmarkStart w:id="443" w:name="_Toc89446126"/>
      <w:bookmarkStart w:id="444" w:name="_Toc90561284"/>
      <w:r>
        <w:rPr>
          <w:caps w:val="0"/>
          <w:color w:val="C00000"/>
          <w:sz w:val="22"/>
        </w:rPr>
        <w:t>NATURA 2000</w:t>
      </w:r>
      <w:bookmarkEnd w:id="443"/>
      <w:bookmarkEnd w:id="444"/>
    </w:p>
    <w:p>
      <w:pPr>
        <w:ind w:left="340"/>
        <w:jc w:val="both"/>
        <w:rPr>
          <w:lang w:val="en-US"/>
        </w:rPr>
      </w:pPr>
      <w:bookmarkStart w:id="445" w:name="ko_natura200001"/>
      <w:r>
        <w:rPr>
          <w:rFonts w:ascii="Times New Roman" w:hAnsi="Times New Roman" w:cs="Times New Roman"/>
        </w:rPr>
        <w:t>Planområdet omfattas inte av riksintresse för natura 2000 – områden.</w:t>
      </w:r>
    </w:p>
    <w:p>
      <w:pPr>
        <w:pStyle w:val="P12"/>
        <w:jc w:val="both"/>
        <w:rPr>
          <w:color w:val="C00000"/>
          <w:sz w:val="22"/>
          <w:lang w:val="en-US"/>
        </w:rPr>
      </w:pPr>
      <w:bookmarkEnd w:id="445"/>
      <w:r>
        <w:rPr>
          <w:caps w:val="0"/>
          <w:color w:val="C00000"/>
          <w:sz w:val="22"/>
        </w:rPr>
        <w:t xml:space="preserve">RIKSINTRESSEN FÖR TRAFIKKOMUNIKATION </w:t>
      </w:r>
    </w:p>
    <w:p>
      <w:pPr>
        <w:ind w:left="340"/>
        <w:jc w:val="both"/>
        <w:rPr>
          <w:rFonts w:ascii="Times New Roman" w:hAnsi="Times New Roman" w:cs="Times New Roman"/>
        </w:rPr>
      </w:pPr>
      <w:bookmarkStart w:id="446" w:name="ko_trafikkommunikation01"/>
      <w:r>
        <w:rPr>
          <w:rFonts w:ascii="Times New Roman" w:hAnsi="Times New Roman" w:cs="Times New Roman"/>
        </w:rPr>
        <w:t xml:space="preserve">Bergslagspendeln är av Trafikverket utpekad som riksintresse. Banan är av särskild regional betydelse och trafikeras utöver regionaltåg av godståg. Riksväg 66 är utpekad av Trafikverket som riksintresse. Bedömningen är att planförslaget inte har någon negativ inverkan på riksintressen. </w:t>
      </w:r>
    </w:p>
    <w:p>
      <w:pPr>
        <w:pStyle w:val="P11"/>
        <w:jc w:val="both"/>
        <w:rPr>
          <w:color w:val="C00000"/>
          <w:sz w:val="22"/>
          <w:szCs w:val="22"/>
        </w:rPr>
      </w:pPr>
      <w:bookmarkEnd w:id="446"/>
      <w:bookmarkStart w:id="447" w:name="_Toc89446128"/>
      <w:bookmarkStart w:id="448" w:name="_Toc126834329"/>
      <w:bookmarkStart w:id="449" w:name="_Toc107477007"/>
      <w:bookmarkStart w:id="450" w:name="_Toc120016370"/>
      <w:bookmarkStart w:id="451" w:name="_Toc90561286"/>
      <w:r>
        <w:rPr>
          <w:caps w:val="0"/>
          <w:color w:val="C00000"/>
          <w:sz w:val="22"/>
          <w:szCs w:val="22"/>
        </w:rPr>
        <w:t>HUSHÅLLNINGSBESTÄMMELSER ENLIGT 3 KAP. MILJÖBALKEN</w:t>
      </w:r>
      <w:bookmarkEnd w:id="447"/>
      <w:bookmarkEnd w:id="448"/>
      <w:bookmarkEnd w:id="449"/>
      <w:bookmarkEnd w:id="450"/>
      <w:bookmarkEnd w:id="451"/>
    </w:p>
    <w:p>
      <w:pPr>
        <w:ind w:left="576"/>
        <w:jc w:val="both"/>
        <w:rPr>
          <w:rFonts w:ascii="Times New Roman" w:hAnsi="Times New Roman" w:cs="Times New Roman"/>
        </w:rPr>
      </w:pPr>
      <w:bookmarkStart w:id="452" w:name="ko_hushållningsbestämmelserenl3kap_mb01"/>
      <w:r>
        <w:rPr>
          <w:rFonts w:ascii="Times New Roman" w:hAnsi="Times New Roman" w:cs="Times New Roman"/>
        </w:rPr>
        <w:t xml:space="preserve">Området ligger ca 400 meter öst om riksintresse för rörligt friluftsliv. Stora delar av kommunen omfattas av riksintresse för rörligt friluftsliv, riksintresse bedöms inte påverkas av planförslaget. Det finns i övrigt inte några särskild viktiga platser eller riksintressen i närheten av planområdet. Därmed bedöms detaljplanen vara förenligt med bestämmelserna i 3 kap. Miljöbalken. </w:t>
      </w:r>
    </w:p>
    <w:p>
      <w:pPr>
        <w:pStyle w:val="P11"/>
        <w:jc w:val="both"/>
        <w:rPr>
          <w:color w:val="C00000"/>
          <w:sz w:val="22"/>
          <w:szCs w:val="22"/>
        </w:rPr>
      </w:pPr>
      <w:bookmarkEnd w:id="452"/>
      <w:bookmarkStart w:id="453" w:name="_Toc89446133"/>
      <w:bookmarkStart w:id="454" w:name="_Toc126834330"/>
      <w:bookmarkStart w:id="455" w:name="_Toc107477008"/>
      <w:bookmarkStart w:id="456" w:name="_Toc120016371"/>
      <w:bookmarkStart w:id="457" w:name="_Toc90561291"/>
      <w:r>
        <w:rPr>
          <w:caps w:val="0"/>
          <w:color w:val="C00000"/>
          <w:sz w:val="22"/>
          <w:szCs w:val="22"/>
        </w:rPr>
        <w:t>TRAFIK</w:t>
      </w:r>
      <w:bookmarkEnd w:id="453"/>
      <w:bookmarkEnd w:id="454"/>
      <w:bookmarkEnd w:id="455"/>
      <w:bookmarkEnd w:id="456"/>
      <w:bookmarkEnd w:id="457"/>
    </w:p>
    <w:p>
      <w:pPr>
        <w:pStyle w:val="P12"/>
        <w:jc w:val="both"/>
        <w:rPr>
          <w:color w:val="C00000"/>
          <w:sz w:val="22"/>
          <w:lang w:val="en-US"/>
        </w:rPr>
      </w:pPr>
      <w:bookmarkStart w:id="458" w:name="_Toc89446134"/>
      <w:bookmarkStart w:id="459" w:name="_Toc90561292"/>
      <w:r>
        <w:rPr>
          <w:caps w:val="0"/>
          <w:color w:val="C00000"/>
          <w:sz w:val="22"/>
        </w:rPr>
        <w:t>MOTORTRAFIK</w:t>
      </w:r>
      <w:bookmarkEnd w:id="458"/>
      <w:bookmarkEnd w:id="459"/>
      <w:r>
        <w:rPr>
          <w:caps w:val="0"/>
          <w:color w:val="C00000"/>
          <w:sz w:val="22"/>
        </w:rPr>
        <w:t xml:space="preserve"> </w:t>
      </w:r>
    </w:p>
    <w:p>
      <w:pPr>
        <w:ind w:left="340"/>
        <w:jc w:val="both"/>
        <w:rPr>
          <w:rFonts w:ascii="Times New Roman" w:hAnsi="Times New Roman" w:cs="Times New Roman"/>
        </w:rPr>
      </w:pPr>
      <w:bookmarkStart w:id="460" w:name="ko_motortrafik01"/>
      <w:r>
        <w:rPr>
          <w:rFonts w:ascii="Times New Roman" w:hAnsi="Times New Roman" w:cs="Times New Roman"/>
        </w:rPr>
        <w:t xml:space="preserve">Kopparvägen och Brusgatan som finns längst planområdet är idag en asfalterad väg med en bredd på ca 6 meter. Vägarna har en god standard för aktuell trafik och kan nyttjas av utrycknings- och renhållningsfordon. En eventuell ökning av trafiken på vägarna bedöms inte medföra ytterligare åtgärder för att förbättra säkerheten och framkomligheten på vägen. Hastighetsbegränsningen på dessa vägar är 40 km/h och sikten från dessa vägar är god. </w:t>
      </w:r>
      <w:bookmarkEnd w:id="460"/>
    </w:p>
    <w:p>
      <w:pPr>
        <w:ind w:left="340"/>
        <w:jc w:val="both"/>
        <w:rPr>
          <w:lang w:val="en-US"/>
        </w:rPr>
      </w:pPr>
    </w:p>
    <w:p>
      <w:pPr>
        <w:pStyle w:val="P12"/>
        <w:jc w:val="both"/>
        <w:rPr>
          <w:color w:val="C00000"/>
          <w:sz w:val="22"/>
          <w:lang w:val="en-US"/>
        </w:rPr>
      </w:pPr>
      <w:bookmarkStart w:id="461" w:name="_Toc89446135"/>
      <w:bookmarkStart w:id="462" w:name="_Toc90561293"/>
      <w:r>
        <w:rPr>
          <w:caps w:val="0"/>
          <w:color w:val="C00000"/>
          <w:sz w:val="22"/>
        </w:rPr>
        <w:t>GÅNG- OCH CYKELTRAFIK</w:t>
      </w:r>
      <w:bookmarkEnd w:id="461"/>
      <w:bookmarkEnd w:id="462"/>
    </w:p>
    <w:p>
      <w:pPr>
        <w:ind w:left="340"/>
        <w:jc w:val="both"/>
        <w:rPr>
          <w:rFonts w:ascii="Times New Roman" w:hAnsi="Times New Roman" w:cs="Times New Roman"/>
        </w:rPr>
      </w:pPr>
      <w:bookmarkStart w:id="463" w:name="ko_gångochcykeltrafik01"/>
      <w:r>
        <w:rPr>
          <w:rFonts w:ascii="Times New Roman" w:hAnsi="Times New Roman" w:cs="Times New Roman"/>
        </w:rPr>
        <w:t xml:space="preserve">Gång - och cykelvägen längst Kopparvägen och Brusgatan ingår i planområdet och är separerad från motortrafik. GC- vägen förbinder till resten av centrala Söderbärke, bedömningen är att gång- och </w:t>
      </w:r>
      <w:bookmarkStart w:id="464" w:name="_Hlk106881857"/>
      <w:r>
        <w:rPr>
          <w:rFonts w:ascii="Times New Roman" w:hAnsi="Times New Roman" w:cs="Times New Roman"/>
        </w:rPr>
        <w:t xml:space="preserve">cykelvägen </w:t>
      </w:r>
      <w:bookmarkEnd w:id="464"/>
      <w:r>
        <w:rPr>
          <w:rFonts w:ascii="Times New Roman" w:hAnsi="Times New Roman" w:cs="Times New Roman"/>
        </w:rPr>
        <w:t xml:space="preserve">är trafiksäkra, barnvänliga och har god standard. </w:t>
      </w:r>
    </w:p>
    <w:p>
      <w:pPr>
        <w:ind w:left="340"/>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0" behindDoc="0" locked="0" layoutInCell="1" allowOverlap="1">
            <wp:simplePos x="0" y="0"/>
            <wp:positionH relativeFrom="margin">
              <wp:align>left</wp:align>
            </wp:positionH>
            <wp:positionV relativeFrom="paragraph">
              <wp:posOffset>5715</wp:posOffset>
            </wp:positionV>
            <wp:extent cx="2347595" cy="3082290"/>
            <wp:effectExtent l="0" t="0" r="0" b="3810"/>
            <wp:wrapThrough wrapText="bothSides">
              <wp:wrapPolygon edited="0">
                <wp:start x="0" y="0"/>
                <wp:lineTo x="0" y="21493"/>
                <wp:lineTo x="21384" y="21493"/>
                <wp:lineTo x="21384" y="0"/>
                <wp:lineTo x="0" y="0"/>
              </wp:wrapPolygon>
            </wp:wrapThrough>
            <wp:docPr id="39" name="Bildobjekt 39" descr="En bild som visar gräs, himmel, utomhus, dag&#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Bildobjekt 53" descr="En bild som visar gräs, himmel, utomhus, dag&#10;&#10;Automatiskt genererad beskrivning"/>
                    <pic:cNvPicPr/>
                  </pic:nvPicPr>
                  <pic:blipFill dpi="0">
                    <a:blip xmlns:r="http://schemas.openxmlformats.org/officeDocument/2006/relationships" r:embed="Relimage34" cstate="print"/>
                    <a:srcRect/>
                    <a:stretch>
                      <a:fillRect/>
                    </a:stretch>
                  </pic:blipFill>
                  <pic:spPr>
                    <a:xfrm>
                      <a:off x="0" y="0"/>
                      <a:ext cx="2347595" cy="3082290"/>
                    </a:xfrm>
                    <a:prstGeom prst="rect"/>
                  </pic:spPr>
                </pic:pic>
              </a:graphicData>
            </a:graphic>
          </wp:anchor>
        </w:drawing>
      </w:r>
    </w:p>
    <w:p>
      <w:pPr>
        <w:jc w:val="both"/>
        <w:rPr>
          <w:rFonts w:ascii="Times New Roman" w:hAnsi="Times New Roman" w:cs="Times New Roman"/>
        </w:rPr>
      </w:pPr>
      <w:r>
        <w:rPr>
          <w:noProof w:val="1"/>
          <w:lang w:val="en-US"/>
        </w:rPr>
        <mc:AlternateContent>
          <mc:Choice Requires="wps">
            <w:drawing>
              <wp:anchor xmlns:wp="http://schemas.openxmlformats.org/drawingml/2006/wordprocessingDrawing" distT="0" distB="0" distL="114300" distR="114300" simplePos="0" relativeHeight="31" behindDoc="0" locked="0" layoutInCell="1" allowOverlap="1">
                <wp:simplePos x="0" y="0"/>
                <wp:positionH relativeFrom="column">
                  <wp:posOffset>3351530</wp:posOffset>
                </wp:positionH>
                <wp:positionV relativeFrom="paragraph">
                  <wp:posOffset>2842895</wp:posOffset>
                </wp:positionV>
                <wp:extent cx="1796415" cy="254000"/>
                <wp:effectExtent l="0" t="0" r="0" b="0"/>
                <wp:wrapNone/>
                <wp:docPr id="40" name="Textruta 40"/>
                <wp:cNvGraphicFramePr/>
                <a:graphic xmlns:a="http://schemas.openxmlformats.org/drawingml/2006/main">
                  <a:graphicData uri="http://schemas.microsoft.com/office/word/2010/wordprocessingShape">
                    <wps:wsp>
                      <wps:cNvSpPr txBox="1"/>
                      <wps:spPr>
                        <a:xfrm>
                          <a:off x="0" y="0"/>
                          <a:ext cx="1796995" cy="254443"/>
                        </a:xfrm>
                        <a:prstGeom prst="rect"/>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 xml:space="preserve">GCVÄG längst Kopparvägen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40" o:spid="_x0000_s1027" style="position:absolute;width:141.45pt;height:20pt;z-index:31;mso-wrap-distance-left:9pt;mso-wrap-distance-top:0pt;mso-wrap-distance-right:9pt;mso-wrap-distance-bottom:0pt;margin-left:263.9pt;margin-top:223.85pt;mso-position-horizontal:absolute;mso-position-horizontal-relative:text;mso-position-vertical:absolute;mso-position-vertical-relative:text" o:allowincell="t" fillcolor="#FFFFFF" strokeweight="0.5pt" stroked="f">
                <v:textbox inset="3mm,1mm,3mm,1mm">
                  <w:txbxContent>
                    <w:p>
                      <w:r>
                        <w:t xml:space="preserve">GCVÄG längst Kopparvägen </w:t>
                      </w:r>
                    </w:p>
                  </w:txbxContent>
                </v:textbox>
              </v:shape>
            </w:pict>
          </mc:Fallback>
        </mc:AlternateContent>
      </w:r>
      <w:r>
        <w:rPr>
          <w:noProof w:val="1"/>
          <w:lang w:val="en-US"/>
        </w:rPr>
        <mc:AlternateContent>
          <mc:Choice Requires="wps">
            <w:drawing>
              <wp:anchor xmlns:wp="http://schemas.openxmlformats.org/drawingml/2006/wordprocessingDrawing" distT="0" distB="0" distL="114300" distR="114300" simplePos="0" relativeHeight="32" behindDoc="0" locked="0" layoutInCell="1" allowOverlap="1">
                <wp:simplePos x="0" y="0"/>
                <wp:positionH relativeFrom="column">
                  <wp:posOffset>-89535</wp:posOffset>
                </wp:positionH>
                <wp:positionV relativeFrom="paragraph">
                  <wp:posOffset>2811780</wp:posOffset>
                </wp:positionV>
                <wp:extent cx="2464435" cy="278130"/>
                <wp:effectExtent l="0" t="0" r="0" b="7620"/>
                <wp:wrapNone/>
                <wp:docPr id="51" name="Textruta 51"/>
                <wp:cNvGraphicFramePr/>
                <a:graphic xmlns:a="http://schemas.openxmlformats.org/drawingml/2006/main">
                  <a:graphicData uri="http://schemas.microsoft.com/office/word/2010/wordprocessingShape">
                    <wps:wsp>
                      <wps:cNvSpPr txBox="1"/>
                      <wps:spPr>
                        <a:xfrm>
                          <a:off x="0" y="0"/>
                          <a:ext cx="2464906" cy="278296"/>
                        </a:xfrm>
                        <a:prstGeom prst="rect"/>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 xml:space="preserve">GCVÄG vid sydöstra delen av förskolan </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1" o:spid="_x0000_s1028" style="position:absolute;width:194.05pt;height:21.9pt;z-index:32;mso-wrap-distance-left:9pt;mso-wrap-distance-top:0pt;mso-wrap-distance-right:9pt;mso-wrap-distance-bottom:0pt;margin-left:-7.05pt;margin-top:221.4pt;mso-position-horizontal:absolute;mso-position-horizontal-relative:text;mso-position-vertical:absolute;mso-position-vertical-relative:text" o:allowincell="t" fillcolor="#FFFFFF" strokeweight="0.5pt" stroked="f">
                <v:textbox inset="3mm,1mm,3mm,1mm">
                  <w:txbxContent>
                    <w:p>
                      <w:r>
                        <w:t xml:space="preserve">GCVÄG vid sydöstra delen av förskolan </w:t>
                      </w:r>
                    </w:p>
                  </w:txbxContent>
                </v:textbox>
              </v:shape>
            </w:pict>
          </mc:Fallback>
        </mc:AlternateContent>
      </w:r>
      <w:r>
        <w:rPr>
          <w:noProof w:val="1"/>
          <w:lang w:val="en-US"/>
        </w:rPr>
        <w:drawing>
          <wp:anchor xmlns:wp="http://schemas.openxmlformats.org/drawingml/2006/wordprocessingDrawing" distT="0" distB="0" distL="114300" distR="114300" simplePos="0" relativeHeight="22" behindDoc="0" locked="0" layoutInCell="1" allowOverlap="1">
            <wp:simplePos x="0" y="0"/>
            <wp:positionH relativeFrom="margin">
              <wp:posOffset>3035300</wp:posOffset>
            </wp:positionH>
            <wp:positionV relativeFrom="paragraph">
              <wp:posOffset>85090</wp:posOffset>
            </wp:positionV>
            <wp:extent cx="3112770" cy="2333625"/>
            <wp:effectExtent l="8255" t="0" r="635" b="635"/>
            <wp:wrapThrough wrapText="bothSides">
              <wp:wrapPolygon edited="0">
                <wp:start x="59" y="21679"/>
                <wp:lineTo x="21474" y="21679"/>
                <wp:lineTo x="21474" y="168"/>
                <wp:lineTo x="59" y="168"/>
                <wp:lineTo x="59" y="21679"/>
              </wp:wrapPolygon>
            </wp:wrapThrough>
            <wp:docPr id="26" name="Bildobjekt 26" descr="En bild som visar träd, vä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Bildobjekt 26" descr="En bild som visar träd, växt&#10;&#10;Automatiskt genererad beskrivning"/>
                    <pic:cNvPicPr/>
                  </pic:nvPicPr>
                  <pic:blipFill dpi="0">
                    <a:blip xmlns:r="http://schemas.openxmlformats.org/officeDocument/2006/relationships" r:embed="Relimage36" cstate="print"/>
                    <a:srcRect/>
                    <a:stretch>
                      <a:fillRect/>
                    </a:stretch>
                  </pic:blipFill>
                  <pic:spPr>
                    <a:xfrm rot="5400000">
                      <a:off x="0" y="0"/>
                      <a:ext cx="3112770" cy="2333625"/>
                    </a:xfrm>
                    <a:prstGeom prst="rect"/>
                  </pic:spPr>
                </pic:pic>
              </a:graphicData>
            </a:graphic>
          </wp:anchor>
        </w:drawing>
      </w:r>
    </w:p>
    <w:p>
      <w:pPr>
        <w:pStyle w:val="P10"/>
        <w:rPr>
          <w:color w:val="C00000"/>
          <w:sz w:val="28"/>
          <w:szCs w:val="28"/>
          <w:u w:val="none"/>
        </w:rPr>
      </w:pPr>
      <w:bookmarkEnd w:id="463"/>
      <w:bookmarkStart w:id="465" w:name="_Toc89446138"/>
      <w:bookmarkStart w:id="466" w:name="_Toc126834331"/>
      <w:bookmarkStart w:id="467" w:name="_Toc107477009"/>
      <w:bookmarkStart w:id="468" w:name="_Toc120016372"/>
      <w:bookmarkStart w:id="469" w:name="_Toc90561296"/>
      <w:r>
        <w:rPr>
          <w:color w:val="C00000"/>
          <w:sz w:val="28"/>
          <w:szCs w:val="28"/>
          <w:u w:val="none"/>
        </w:rPr>
        <w:t>Genomförandefrågor</w:t>
      </w:r>
      <w:bookmarkEnd w:id="465"/>
      <w:bookmarkEnd w:id="466"/>
      <w:bookmarkEnd w:id="467"/>
      <w:bookmarkEnd w:id="468"/>
      <w:bookmarkEnd w:id="469"/>
    </w:p>
    <w:p>
      <w:pPr>
        <w:ind w:left="432"/>
        <w:jc w:val="both"/>
        <w:rPr>
          <w:rFonts w:ascii="Times New Roman" w:hAnsi="Times New Roman" w:cs="Times New Roman"/>
        </w:rPr>
      </w:pPr>
      <w:r>
        <w:rPr>
          <w:rFonts w:ascii="Times New Roman" w:hAnsi="Times New Roman" w:cs="Times New Roman"/>
        </w:rPr>
        <w:t xml:space="preserve">Genomförandebeskrivning redogör för de organisatoriska, tekniska, fastighetsrättsliga och ekonomiska åtgärder som behöver vidtas för att genomföra detaljplanen. Genomförandebeskrivningen redovisar vem som ska vidta dessa åtgärder och när de ska vidtas. Den beskriver även konsekvenserna för fastighetsägare och andra berörda. </w:t>
      </w:r>
    </w:p>
    <w:p>
      <w:pPr>
        <w:ind w:left="432"/>
        <w:jc w:val="both"/>
      </w:pPr>
    </w:p>
    <w:p>
      <w:pPr>
        <w:pStyle w:val="P11"/>
        <w:jc w:val="both"/>
        <w:rPr>
          <w:color w:val="C00000"/>
          <w:sz w:val="22"/>
          <w:szCs w:val="22"/>
        </w:rPr>
      </w:pPr>
      <w:bookmarkStart w:id="470" w:name="_Toc89446139"/>
      <w:bookmarkStart w:id="471" w:name="_Toc126834332"/>
      <w:bookmarkStart w:id="472" w:name="_Toc107477010"/>
      <w:bookmarkStart w:id="473" w:name="_Toc120016373"/>
      <w:bookmarkStart w:id="474" w:name="_Toc90561297"/>
      <w:r>
        <w:rPr>
          <w:color w:val="C00000"/>
          <w:sz w:val="22"/>
          <w:szCs w:val="22"/>
        </w:rPr>
        <w:t>Mark- och utrymmesförvärv</w:t>
      </w:r>
      <w:bookmarkEnd w:id="470"/>
      <w:bookmarkEnd w:id="471"/>
      <w:bookmarkEnd w:id="472"/>
      <w:bookmarkEnd w:id="473"/>
      <w:bookmarkEnd w:id="474"/>
    </w:p>
    <w:p>
      <w:pPr>
        <w:pStyle w:val="P12"/>
        <w:jc w:val="both"/>
        <w:rPr>
          <w:color w:val="C00000"/>
          <w:sz w:val="22"/>
          <w:lang w:val="en-US"/>
        </w:rPr>
      </w:pPr>
      <w:bookmarkStart w:id="475" w:name="_Toc89446140"/>
      <w:bookmarkStart w:id="476" w:name="_Toc90561298"/>
      <w:r>
        <w:rPr>
          <w:color w:val="C00000"/>
          <w:sz w:val="22"/>
        </w:rPr>
        <w:t>Skyldighet inlösen, huvudman</w:t>
      </w:r>
      <w:bookmarkEnd w:id="475"/>
      <w:bookmarkEnd w:id="476"/>
    </w:p>
    <w:p>
      <w:pPr>
        <w:ind w:left="340"/>
        <w:jc w:val="both"/>
        <w:rPr>
          <w:rFonts w:ascii="Times New Roman" w:hAnsi="Times New Roman" w:cs="Times New Roman"/>
        </w:rPr>
      </w:pPr>
      <w:bookmarkStart w:id="477" w:name="gf_skyldighetinlösenhuvudman01"/>
      <w:r>
        <w:rPr>
          <w:rFonts w:ascii="Times New Roman" w:hAnsi="Times New Roman" w:cs="Times New Roman"/>
        </w:rPr>
        <w:t xml:space="preserve">Kommunen är huvudman för allmän plats, det innebär att kommunen är ansvarig för utbyggnad </w:t>
      </w:r>
      <w:bookmarkStart w:id="478" w:name="_Hlk106888169"/>
      <w:r>
        <w:rPr>
          <w:rFonts w:ascii="Times New Roman" w:hAnsi="Times New Roman" w:cs="Times New Roman"/>
        </w:rPr>
        <w:t xml:space="preserve">samt </w:t>
      </w:r>
      <w:bookmarkEnd w:id="478"/>
      <w:r>
        <w:rPr>
          <w:rFonts w:ascii="Times New Roman" w:hAnsi="Times New Roman" w:cs="Times New Roman"/>
        </w:rPr>
        <w:t xml:space="preserve">drift och underhåll av allmän platsmark inom planområdet. Inom detaljplaneområdet finns </w:t>
      </w:r>
      <w:bookmarkStart w:id="479" w:name="_Hlk106883941"/>
      <w:r>
        <w:rPr>
          <w:rFonts w:ascii="Times New Roman" w:hAnsi="Times New Roman" w:cs="Times New Roman"/>
        </w:rPr>
        <w:t xml:space="preserve">allmän </w:t>
      </w:r>
      <w:bookmarkEnd w:id="479"/>
      <w:r>
        <w:rPr>
          <w:rFonts w:ascii="Times New Roman" w:hAnsi="Times New Roman" w:cs="Times New Roman"/>
        </w:rPr>
        <w:t xml:space="preserve">platsmark i form av parkmark och gata. </w:t>
      </w:r>
    </w:p>
    <w:p>
      <w:pPr>
        <w:ind w:left="340"/>
        <w:jc w:val="both"/>
        <w:rPr>
          <w:rFonts w:ascii="Times New Roman" w:hAnsi="Times New Roman" w:cs="Times New Roman"/>
        </w:rPr>
      </w:pPr>
      <w:r>
        <w:rPr>
          <w:rFonts w:ascii="Times New Roman" w:hAnsi="Times New Roman" w:cs="Times New Roman"/>
        </w:rPr>
        <w:t xml:space="preserve">Det förekommer i den nordöstra delen av planområdet en kombination av så kallad allmän kvartersmark (kvartersmark för annat än enskilt bebyggande) och enskild kvartersmark. Användningen skola och vård betraktas som allmän kvartersmark och till sådan mark hör inlösenregler. Att kombinera allmän och enskild kvartersmark kan leda till svårigheter i vissa fall, kommunen har för avsikt att göra markanvändningen så flexibel som möjligt utan att för den sakens skull vara olämplig. Området som består av flera användningar är kommunägd mark och kommunens bedömning är att riskerna är små i det här fallet att kombinera enskild och allmän kvartersmark, genom att området är i kommunal ägo kan intressekonflikter mellan allmän och enskild kvartersmark hanteras. </w:t>
      </w:r>
    </w:p>
    <w:p>
      <w:pPr>
        <w:ind w:left="340"/>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39" behindDoc="0" locked="0" layoutInCell="1" allowOverlap="1">
            <wp:simplePos x="0" y="0"/>
            <wp:positionH relativeFrom="margin">
              <wp:posOffset>2453005</wp:posOffset>
            </wp:positionH>
            <wp:positionV relativeFrom="paragraph">
              <wp:posOffset>1160145</wp:posOffset>
            </wp:positionV>
            <wp:extent cx="3295650" cy="3494405"/>
            <wp:effectExtent l="0" t="0" r="0" b="0"/>
            <wp:wrapThrough wrapText="bothSides">
              <wp:wrapPolygon edited="0">
                <wp:start x="0" y="0"/>
                <wp:lineTo x="0" y="21431"/>
                <wp:lineTo x="21475" y="21431"/>
                <wp:lineTo x="21475" y="0"/>
                <wp:lineTo x="0" y="0"/>
              </wp:wrapPolygon>
            </wp:wrapThrough>
            <wp:docPr id="57" name="Bildobjekt 57" descr="En bild som visar karta&#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Bildobjekt 57" descr="En bild som visar karta&#10;&#10;Automatiskt genererad beskrivning"/>
                    <pic:cNvPicPr/>
                  </pic:nvPicPr>
                  <pic:blipFill dpi="0">
                    <a:blip xmlns:r="http://schemas.openxmlformats.org/officeDocument/2006/relationships" r:embed="Relimage37"/>
                    <a:srcRect/>
                    <a:stretch>
                      <a:fillRect/>
                    </a:stretch>
                  </pic:blipFill>
                  <pic:spPr>
                    <a:xfrm>
                      <a:off x="0" y="0"/>
                      <a:ext cx="3295650" cy="3494405"/>
                    </a:xfrm>
                    <a:prstGeom prst="rect"/>
                  </pic:spPr>
                </pic:pic>
              </a:graphicData>
            </a:graphic>
          </wp:anchor>
        </w:drawing>
      </w:r>
      <w:r>
        <w:rPr>
          <w:rFonts w:ascii="Times New Roman" w:hAnsi="Times New Roman" w:cs="Times New Roman"/>
        </w:rPr>
        <w:t xml:space="preserve">Mark som enligt detaljplanen ska utgöra allmän plats kan kommunen lösa in med stöd av 6 kap. 13 § PBL. Kommunen har även en inlösenskyldighet enligt 14 kap 14§ PBL. Kommunen har en rätt att lösa in mark med kommunalt huvudmannaskap men också en skyldighet att göra det på fastighetsägarens begäran, det är en kommunal gata som även driftas av kommunen. I det här fallet är det kommunen som är huvudman och äger det mesta av marken, men delar av samfälligheten Västerby s:1 behöver kommunen lösa in. Vilken ersättning inlösen leder till avgörs genom lantmäteriförrättning av Lantmäteriet, det är kommunen som ansöker om och bekostar lantmäteriförrättningen. Vilka fastigheter som påverkas av inlösen av allmän plats framgår av fastighetsförteckningen. </w:t>
      </w: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r>
        <w:rPr>
          <w:rFonts w:ascii="Times New Roman" w:hAnsi="Times New Roman" w:cs="Times New Roman"/>
          <w:noProof w:val="1"/>
        </w:rPr>
        <mc:AlternateContent>
          <mc:Choice Requires="wps">
            <w:drawing>
              <wp:anchor xmlns:wp="http://schemas.openxmlformats.org/drawingml/2006/wordprocessingDrawing" distT="0" distB="0" distL="114300" distR="114300" simplePos="0" relativeHeight="40" behindDoc="0" locked="0" layoutInCell="1" allowOverlap="1">
                <wp:simplePos x="0" y="0"/>
                <wp:positionH relativeFrom="column">
                  <wp:posOffset>2348230</wp:posOffset>
                </wp:positionH>
                <wp:positionV relativeFrom="paragraph">
                  <wp:posOffset>273050</wp:posOffset>
                </wp:positionV>
                <wp:extent cx="3019425" cy="428625"/>
                <wp:effectExtent l="0" t="0" r="9525" b="9525"/>
                <wp:wrapNone/>
                <wp:docPr id="59" name="Textruta 59"/>
                <wp:cNvGraphicFramePr/>
                <a:graphic xmlns:a="http://schemas.openxmlformats.org/drawingml/2006/main">
                  <a:graphicData uri="http://schemas.microsoft.com/office/word/2010/wordprocessingShape">
                    <wps:wsp>
                      <wps:cNvSpPr txBox="1"/>
                      <wps:spPr>
                        <a:xfrm>
                          <a:off x="0" y="0"/>
                          <a:ext cx="3019425" cy="428625"/>
                        </a:xfrm>
                        <a:prstGeom prst="rect"/>
                        <a:solidFill>
                          <a:schemeClr val="lt1"/>
                        </a:solidFill>
                        <a:ln w="6350">
                          <a:noFill/>
                        </a:ln>
                      </wps:spPr>
                      <wps:style>
                        <a:lnRef idx="0">
                          <a:srgbClr val="000000">
                            <a:alpha val="0"/>
                          </a:srgbClr>
                        </a:lnRef>
                        <a:fillRef idx="0">
                          <a:srgbClr val="000000">
                            <a:alpha val="0"/>
                          </a:srgbClr>
                        </a:fillRef>
                        <a:effectRef idx="0">
                          <a:srgbClr val="000000">
                            <a:alpha val="0"/>
                          </a:srgbClr>
                        </a:effectRef>
                        <a:fontRef idx="none">
                          <a:srgbClr val="000000">
                            <a:alpha val="0"/>
                          </a:srgbClr>
                        </a:fontRef>
                      </wps:style>
                      <wps:txbx>
                        <w:txbxContent>
                          <w:p>
                            <w:r>
                              <w:t>Den del av mark som ska lösas in av kommunen är markerad med svart linje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xmlns:o="urn:schemas-microsoft-com:office:office" type="#_x0000_t202" id="Textruta 59" o:spid="_x0000_s1029" style="position:absolute;width:237.75pt;height:33.75pt;z-index:40;mso-wrap-distance-left:9pt;mso-wrap-distance-top:0pt;mso-wrap-distance-right:9pt;mso-wrap-distance-bottom:0pt;margin-left:184.9pt;margin-top:21.5pt;mso-position-horizontal:absolute;mso-position-horizontal-relative:text;mso-position-vertical:absolute;mso-position-vertical-relative:text" o:allowincell="t" fillcolor="#FFFFFF" strokeweight="0.5pt" stroked="f">
                <v:textbox inset="3mm,1mm,3mm,1mm">
                  <w:txbxContent>
                    <w:p>
                      <w:r>
                        <w:t>Den del av mark som ska lösas in av kommunen är markerad med svart linje</w:t>
                      </w:r>
                    </w:p>
                  </w:txbxContent>
                </v:textbox>
              </v:shape>
            </w:pict>
          </mc:Fallback>
        </mc:AlternateContent>
      </w:r>
    </w:p>
    <w:p>
      <w:pPr>
        <w:pStyle w:val="P11"/>
        <w:jc w:val="both"/>
        <w:rPr>
          <w:color w:val="C00000"/>
          <w:sz w:val="22"/>
          <w:szCs w:val="22"/>
        </w:rPr>
      </w:pPr>
      <w:bookmarkEnd w:id="477"/>
      <w:bookmarkStart w:id="480" w:name="_Toc89446144"/>
      <w:bookmarkStart w:id="481" w:name="_Toc126834333"/>
      <w:bookmarkStart w:id="482" w:name="_Toc107477011"/>
      <w:bookmarkStart w:id="483" w:name="_Toc120016374"/>
      <w:bookmarkStart w:id="484" w:name="_Toc90561302"/>
      <w:r>
        <w:rPr>
          <w:color w:val="C00000"/>
          <w:sz w:val="22"/>
          <w:szCs w:val="22"/>
        </w:rPr>
        <w:t>Fastighetsrättsliga frågor</w:t>
      </w:r>
      <w:bookmarkEnd w:id="480"/>
      <w:bookmarkEnd w:id="481"/>
      <w:bookmarkEnd w:id="482"/>
      <w:bookmarkEnd w:id="483"/>
      <w:bookmarkEnd w:id="484"/>
    </w:p>
    <w:p>
      <w:pPr>
        <w:ind w:left="340"/>
        <w:jc w:val="both"/>
        <w:rPr>
          <w:rFonts w:ascii="Times New Roman" w:hAnsi="Times New Roman" w:cs="Times New Roman"/>
        </w:rPr>
      </w:pPr>
      <w:bookmarkStart w:id="485" w:name="gf_fastighetsrättsligafrågor01"/>
      <w:r>
        <w:rPr>
          <w:rFonts w:ascii="Times New Roman" w:hAnsi="Times New Roman" w:cs="Times New Roman"/>
        </w:rPr>
        <w:t>Detaljplanen berör följande fastigheter som är i kommunal ägo:</w:t>
      </w:r>
    </w:p>
    <w:p>
      <w:pPr>
        <w:pStyle w:val="P13"/>
        <w:numPr>
          <w:ilvl w:val="0"/>
          <w:numId w:val="28"/>
        </w:numPr>
        <w:jc w:val="both"/>
        <w:rPr>
          <w:rFonts w:ascii="Times New Roman" w:hAnsi="Times New Roman" w:cs="Times New Roman"/>
        </w:rPr>
      </w:pPr>
      <w:r>
        <w:rPr>
          <w:rFonts w:ascii="Times New Roman" w:hAnsi="Times New Roman" w:cs="Times New Roman"/>
        </w:rPr>
        <w:t>Del av Söderbärke Kyrkby 8:76</w:t>
      </w:r>
    </w:p>
    <w:p>
      <w:pPr>
        <w:pStyle w:val="P13"/>
        <w:numPr>
          <w:ilvl w:val="0"/>
          <w:numId w:val="28"/>
        </w:numPr>
        <w:jc w:val="both"/>
        <w:rPr>
          <w:rFonts w:ascii="Times New Roman" w:hAnsi="Times New Roman" w:cs="Times New Roman"/>
        </w:rPr>
      </w:pPr>
      <w:r>
        <w:rPr>
          <w:rFonts w:ascii="Times New Roman" w:hAnsi="Times New Roman" w:cs="Times New Roman"/>
        </w:rPr>
        <w:t>Del av Söderbärke Kyrkby 8:57</w:t>
      </w:r>
    </w:p>
    <w:p>
      <w:pPr>
        <w:pStyle w:val="P13"/>
        <w:numPr>
          <w:ilvl w:val="0"/>
          <w:numId w:val="28"/>
        </w:numPr>
        <w:jc w:val="both"/>
        <w:rPr>
          <w:rFonts w:ascii="Times New Roman" w:hAnsi="Times New Roman" w:cs="Times New Roman"/>
        </w:rPr>
      </w:pPr>
      <w:r>
        <w:rPr>
          <w:rFonts w:ascii="Times New Roman" w:hAnsi="Times New Roman" w:cs="Times New Roman"/>
        </w:rPr>
        <w:t xml:space="preserve">Brustorpet 2:3 </w:t>
      </w:r>
    </w:p>
    <w:p>
      <w:pPr>
        <w:pStyle w:val="P13"/>
        <w:numPr>
          <w:ilvl w:val="0"/>
          <w:numId w:val="28"/>
        </w:numPr>
        <w:jc w:val="both"/>
        <w:rPr>
          <w:rFonts w:ascii="Times New Roman" w:hAnsi="Times New Roman" w:cs="Times New Roman"/>
        </w:rPr>
      </w:pPr>
      <w:r>
        <w:rPr>
          <w:rFonts w:ascii="Times New Roman" w:hAnsi="Times New Roman" w:cs="Times New Roman"/>
        </w:rPr>
        <w:t>Söderbärke Kyrkby 9:4</w:t>
      </w:r>
    </w:p>
    <w:p>
      <w:pPr>
        <w:ind w:left="340"/>
        <w:jc w:val="both"/>
        <w:rPr>
          <w:rFonts w:ascii="Times New Roman" w:hAnsi="Times New Roman" w:cs="Times New Roman"/>
        </w:rPr>
      </w:pPr>
      <w:r>
        <w:rPr>
          <w:rFonts w:ascii="Times New Roman" w:hAnsi="Times New Roman" w:cs="Times New Roman"/>
        </w:rPr>
        <w:t xml:space="preserve">Smedjebackens kommun, lagfaren ägare avstår en del mark från Söderbärke Kyrkby 8:57 och Söderbärke Kyrkby 8:76 till Söderbärke Kyrkby 8:111. Brustorpet 2:3 och Söderbärke Kyrkby 9:4 påverkas inte av några fastighetsrättsliga åtgärder. </w:t>
      </w:r>
    </w:p>
    <w:p>
      <w:pPr>
        <w:ind w:left="340"/>
        <w:jc w:val="both"/>
        <w:rPr>
          <w:rFonts w:ascii="Times New Roman" w:hAnsi="Times New Roman" w:cs="Times New Roman"/>
        </w:rPr>
      </w:pPr>
      <w:r>
        <w:rPr>
          <w:rFonts w:ascii="Times New Roman" w:hAnsi="Times New Roman" w:cs="Times New Roman"/>
        </w:rPr>
        <w:t xml:space="preserve">Fastigheten Söderbärke Kyrkby 8:111 bildas för Bostadsrättsföreningen Söderbergs Hage som ska äga de ca 16 nya tillkommande bostäderna. </w:t>
      </w:r>
    </w:p>
    <w:p>
      <w:pPr>
        <w:pStyle w:val="P12"/>
        <w:jc w:val="both"/>
        <w:rPr>
          <w:color w:val="C00000"/>
          <w:sz w:val="22"/>
          <w:lang w:val="en-US"/>
        </w:rPr>
      </w:pPr>
      <w:bookmarkEnd w:id="485"/>
      <w:bookmarkStart w:id="486" w:name="_Toc89446145"/>
      <w:bookmarkStart w:id="487" w:name="_Toc90561303"/>
      <w:r>
        <w:rPr>
          <w:color w:val="C00000"/>
          <w:sz w:val="22"/>
        </w:rPr>
        <w:t>Fastighetsindelningsbestämmelser</w:t>
      </w:r>
      <w:bookmarkEnd w:id="486"/>
      <w:bookmarkEnd w:id="487"/>
    </w:p>
    <w:p>
      <w:pPr>
        <w:ind w:left="340"/>
        <w:jc w:val="both"/>
        <w:rPr>
          <w:rFonts w:ascii="Times New Roman" w:hAnsi="Times New Roman" w:cs="Times New Roman"/>
        </w:rPr>
      </w:pPr>
      <w:bookmarkStart w:id="488" w:name="gf_fastighetsindelningsbestämmelser01"/>
      <w:r>
        <w:rPr>
          <w:rFonts w:ascii="Times New Roman" w:hAnsi="Times New Roman" w:cs="Times New Roman"/>
        </w:rPr>
        <w:t xml:space="preserve">Genom fastighetsindelningsbestämmelser får kommunen bestämma hur området ska vara indelat i fastigheter och samfälligheter. Bestämmelserna är styrande och kan leda till tvångsbeslut mot fastighetsägarnas vilja, kommunen väljer att inte reglera fastighetsindelning i detaljplanen därför att kommunen inte har någon skyldighet att införa bestämmelser om fastighetsindelning. </w:t>
      </w:r>
    </w:p>
    <w:p>
      <w:pPr>
        <w:pStyle w:val="P12"/>
        <w:jc w:val="both"/>
        <w:rPr>
          <w:color w:val="C00000"/>
          <w:sz w:val="22"/>
          <w:lang w:val="en-US"/>
        </w:rPr>
      </w:pPr>
      <w:bookmarkEnd w:id="488"/>
      <w:bookmarkStart w:id="489" w:name="_Toc89446146"/>
      <w:bookmarkStart w:id="490" w:name="_Toc90561304"/>
      <w:r>
        <w:rPr>
          <w:color w:val="C00000"/>
          <w:sz w:val="22"/>
        </w:rPr>
        <w:t>Förändrad fastighetsindelning</w:t>
      </w:r>
      <w:bookmarkEnd w:id="489"/>
      <w:bookmarkEnd w:id="490"/>
    </w:p>
    <w:p>
      <w:pPr>
        <w:ind w:left="340"/>
        <w:jc w:val="both"/>
        <w:rPr>
          <w:rFonts w:ascii="Times New Roman" w:hAnsi="Times New Roman" w:cs="Times New Roman"/>
        </w:rPr>
      </w:pPr>
      <w:bookmarkStart w:id="491" w:name="gf_förändradfastighetsindelning01"/>
      <w:r>
        <w:rPr>
          <w:rFonts w:ascii="Times New Roman" w:hAnsi="Times New Roman" w:cs="Times New Roman"/>
        </w:rPr>
        <w:t xml:space="preserve">De fastighetsrättsliga konsekvenserna för berörd fastighet kommer framför allt utgöras av avstyckning från stamfastigheterna Söderbärke Kyrkby 8:76 samt 8:57. </w:t>
      </w:r>
      <w:bookmarkEnd w:id="491"/>
    </w:p>
    <w:p>
      <w:pPr>
        <w:pStyle w:val="P12"/>
        <w:jc w:val="both"/>
        <w:rPr>
          <w:color w:val="C00000"/>
          <w:sz w:val="22"/>
          <w:lang w:val="en-US"/>
        </w:rPr>
      </w:pPr>
      <w:bookmarkStart w:id="492" w:name="_Toc89446147"/>
      <w:bookmarkStart w:id="493" w:name="_Toc90561305"/>
      <w:r>
        <w:rPr>
          <w:color w:val="C00000"/>
          <w:sz w:val="22"/>
        </w:rPr>
        <w:t>Rättigheter</w:t>
      </w:r>
      <w:bookmarkEnd w:id="492"/>
      <w:bookmarkEnd w:id="493"/>
    </w:p>
    <w:p>
      <w:pPr>
        <w:ind w:left="340"/>
        <w:jc w:val="both"/>
        <w:rPr>
          <w:rFonts w:ascii="Times New Roman" w:hAnsi="Times New Roman" w:cs="Times New Roman"/>
        </w:rPr>
      </w:pPr>
      <w:bookmarkStart w:id="494" w:name="gf_rättigheter01"/>
      <w:r>
        <w:rPr>
          <w:rFonts w:ascii="Times New Roman" w:hAnsi="Times New Roman" w:cs="Times New Roman"/>
        </w:rPr>
        <w:t>U-områden skapas för att säkerställa utrymme för underjordiska ledningar. Området får inte bebyggas eller planteras på ett sådant sätt som kan skada befintliga ledningar. U-område har lagts in inom kvartersmark för B</w:t>
      </w:r>
      <w:r>
        <w:rPr>
          <w:rFonts w:ascii="Times New Roman" w:hAnsi="Times New Roman" w:cs="Times New Roman"/>
          <w:b w:val="1"/>
          <w:bCs w:val="1"/>
        </w:rPr>
        <w:t xml:space="preserve"> – </w:t>
      </w:r>
      <w:r>
        <w:rPr>
          <w:rFonts w:ascii="Times New Roman" w:hAnsi="Times New Roman" w:cs="Times New Roman"/>
        </w:rPr>
        <w:t xml:space="preserve">bostäder på östra delen av planområdet, PARK, GATA2, GCVÄG på östra delen av planområdet samt inom kvartersmark för SBCD för att säkra utrymme för underjordiska ledningar. Befintliga ledningar flyttas och placeras på parkmark samt lokalgatan. Inom U-området kan ledningsrätt eller servitut </w:t>
      </w:r>
      <w:bookmarkStart w:id="495" w:name="_Hlk106889714"/>
      <w:r>
        <w:rPr>
          <w:rFonts w:ascii="Times New Roman" w:hAnsi="Times New Roman" w:cs="Times New Roman"/>
        </w:rPr>
        <w:t>bildas</w:t>
      </w:r>
      <w:bookmarkEnd w:id="495"/>
      <w:r>
        <w:rPr>
          <w:rFonts w:ascii="Times New Roman" w:hAnsi="Times New Roman" w:cs="Times New Roman"/>
        </w:rPr>
        <w:t xml:space="preserve">, det är ledningsägaren som ansvarar för att ansöka om det.  </w:t>
      </w:r>
    </w:p>
    <w:p>
      <w:pPr>
        <w:ind w:left="340"/>
        <w:jc w:val="both"/>
        <w:rPr>
          <w:rFonts w:ascii="Times New Roman" w:hAnsi="Times New Roman" w:cs="Times New Roman"/>
        </w:rPr>
      </w:pPr>
      <w:r>
        <w:rPr>
          <w:rFonts w:ascii="Times New Roman" w:hAnsi="Times New Roman" w:cs="Times New Roman"/>
        </w:rPr>
        <w:t xml:space="preserve">Inom kvartersmark för SBCD löper en ledningsrätt för starkström (aktnummer 2085–921.1) till förmån för Västerbergslagens Elnät AB. Ledningen är placerad under en tillbyggnad och ska flyttas och placeras på ett område tillgängligt för allmännyttiga underjordiska ledningar (u) inom kvartersmark för SBCD samt längst GCVÄG på östra delen av planområdet. Det är kommunen som ska bekosta eventuella kostnader i samband med flytten av ledningen. </w:t>
      </w:r>
    </w:p>
    <w:p>
      <w:pPr>
        <w:ind w:left="340"/>
        <w:jc w:val="both"/>
        <w:rPr>
          <w:rFonts w:ascii="Times New Roman" w:hAnsi="Times New Roman" w:cs="Times New Roman"/>
        </w:rPr>
      </w:pPr>
    </w:p>
    <w:p>
      <w:pPr>
        <w:ind w:left="340"/>
        <w:jc w:val="both"/>
        <w:rPr>
          <w:rFonts w:ascii="Times New Roman" w:hAnsi="Times New Roman" w:cs="Times New Roman"/>
        </w:rPr>
      </w:pPr>
      <w:r>
        <w:rPr>
          <w:rFonts w:ascii="Times New Roman" w:hAnsi="Times New Roman" w:cs="Times New Roman"/>
          <w:noProof w:val="1"/>
        </w:rPr>
        <w:drawing>
          <wp:anchor xmlns:wp="http://schemas.openxmlformats.org/drawingml/2006/wordprocessingDrawing" distT="0" distB="0" distL="114300" distR="114300" simplePos="0" relativeHeight="41" behindDoc="0" locked="0" layoutInCell="1" allowOverlap="1">
            <wp:simplePos x="0" y="0"/>
            <wp:positionH relativeFrom="column">
              <wp:posOffset>185420</wp:posOffset>
            </wp:positionH>
            <wp:positionV relativeFrom="paragraph">
              <wp:posOffset>-352425</wp:posOffset>
            </wp:positionV>
            <wp:extent cx="3305175" cy="2286635"/>
            <wp:effectExtent l="0" t="0" r="9525" b="0"/>
            <wp:wrapThrough wrapText="bothSides">
              <wp:wrapPolygon edited="0">
                <wp:start x="0" y="0"/>
                <wp:lineTo x="0" y="21414"/>
                <wp:lineTo x="21538" y="21414"/>
                <wp:lineTo x="21538" y="0"/>
                <wp:lineTo x="0" y="0"/>
              </wp:wrapPolygon>
            </wp:wrapThrough>
            <wp:docPr id="67" name="Bildobjekt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Bildobjekt 67"/>
                    <pic:cNvPicPr/>
                  </pic:nvPicPr>
                  <pic:blipFill dpi="0">
                    <a:blip xmlns:r="http://schemas.openxmlformats.org/officeDocument/2006/relationships" r:embed="Relimage38" cstate="print"/>
                    <a:srcRect/>
                    <a:stretch>
                      <a:fillRect/>
                    </a:stretch>
                  </pic:blipFill>
                  <pic:spPr>
                    <a:xfrm>
                      <a:off x="0" y="0"/>
                      <a:ext cx="3305175" cy="2286635"/>
                    </a:xfrm>
                    <a:prstGeom prst="rect"/>
                  </pic:spPr>
                </pic:pic>
              </a:graphicData>
            </a:graphic>
          </wp:anchor>
        </w:drawing>
      </w: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ind w:left="340"/>
        <w:jc w:val="both"/>
        <w:rPr>
          <w:rFonts w:ascii="Times New Roman" w:hAnsi="Times New Roman" w:cs="Times New Roman"/>
        </w:rPr>
      </w:pPr>
    </w:p>
    <w:p>
      <w:pPr>
        <w:pStyle w:val="P11"/>
        <w:jc w:val="both"/>
        <w:rPr>
          <w:color w:val="C00000"/>
          <w:sz w:val="22"/>
          <w:szCs w:val="22"/>
        </w:rPr>
      </w:pPr>
      <w:bookmarkEnd w:id="494"/>
      <w:bookmarkStart w:id="496" w:name="_Toc89446148"/>
      <w:bookmarkStart w:id="497" w:name="_Toc126834334"/>
      <w:bookmarkStart w:id="498" w:name="_Toc120016375"/>
      <w:bookmarkStart w:id="499" w:name="_Toc90561306"/>
      <w:bookmarkStart w:id="500" w:name="_Toc107477012"/>
      <w:r>
        <w:rPr>
          <w:color w:val="C00000"/>
          <w:sz w:val="22"/>
          <w:szCs w:val="22"/>
        </w:rPr>
        <w:t>Tekniska frågor</w:t>
      </w:r>
      <w:bookmarkEnd w:id="496"/>
      <w:bookmarkEnd w:id="497"/>
      <w:bookmarkEnd w:id="498"/>
      <w:bookmarkEnd w:id="499"/>
      <w:bookmarkEnd w:id="500"/>
    </w:p>
    <w:p>
      <w:pPr>
        <w:pStyle w:val="P12"/>
        <w:jc w:val="both"/>
        <w:rPr>
          <w:color w:val="C00000"/>
          <w:sz w:val="22"/>
          <w:lang w:val="en-US"/>
        </w:rPr>
      </w:pPr>
      <w:bookmarkStart w:id="501" w:name="_Toc89446149"/>
      <w:bookmarkStart w:id="502" w:name="_Toc90561307"/>
      <w:r>
        <w:rPr>
          <w:color w:val="C00000"/>
          <w:sz w:val="22"/>
        </w:rPr>
        <w:t>Tekniska åtgärder</w:t>
      </w:r>
      <w:bookmarkEnd w:id="501"/>
      <w:bookmarkEnd w:id="502"/>
    </w:p>
    <w:p>
      <w:pPr>
        <w:ind w:left="340"/>
        <w:jc w:val="both"/>
        <w:rPr>
          <w:rFonts w:ascii="Times New Roman" w:hAnsi="Times New Roman" w:cs="Times New Roman"/>
        </w:rPr>
      </w:pPr>
      <w:bookmarkStart w:id="503" w:name="gf_tekniskaåtgärder01"/>
      <w:r>
        <w:rPr>
          <w:rFonts w:ascii="Times New Roman" w:hAnsi="Times New Roman" w:cs="Times New Roman"/>
        </w:rPr>
        <w:t xml:space="preserve">Exploatören ansvarar för och bekostar alla åtgärder på kvartersmark inom detaljplanen, som anslutningsavgifter för el, VA och fiber. </w:t>
      </w:r>
    </w:p>
    <w:p>
      <w:pPr>
        <w:pStyle w:val="P12"/>
        <w:jc w:val="both"/>
        <w:rPr>
          <w:color w:val="C00000"/>
          <w:sz w:val="22"/>
          <w:lang w:val="en-US"/>
        </w:rPr>
      </w:pPr>
      <w:bookmarkEnd w:id="503"/>
      <w:bookmarkStart w:id="504" w:name="_Toc89446150"/>
      <w:bookmarkStart w:id="505" w:name="_Toc90561308"/>
      <w:r>
        <w:rPr>
          <w:color w:val="C00000"/>
          <w:sz w:val="22"/>
        </w:rPr>
        <w:t>Utbyggnad allmän plats</w:t>
      </w:r>
      <w:bookmarkEnd w:id="504"/>
      <w:bookmarkEnd w:id="505"/>
    </w:p>
    <w:p>
      <w:pPr>
        <w:ind w:left="340"/>
        <w:jc w:val="both"/>
        <w:rPr>
          <w:rFonts w:ascii="Times New Roman" w:hAnsi="Times New Roman" w:cs="Times New Roman"/>
        </w:rPr>
      </w:pPr>
      <w:bookmarkStart w:id="506" w:name="gf_utbyggnadallmänplats01"/>
      <w:r>
        <w:rPr>
          <w:rFonts w:ascii="Times New Roman" w:hAnsi="Times New Roman" w:cs="Times New Roman"/>
        </w:rPr>
        <w:t xml:space="preserve">Kommunen ansvarar för utbyggnad av lokalgatan, skötsel av gata, naturmark och parkmark inom detaljplanen. </w:t>
      </w:r>
    </w:p>
    <w:p>
      <w:pPr>
        <w:pStyle w:val="P12"/>
        <w:rPr>
          <w:color w:val="C00000"/>
          <w:sz w:val="22"/>
          <w:lang w:val="en-US"/>
        </w:rPr>
      </w:pPr>
      <w:bookmarkEnd w:id="506"/>
      <w:bookmarkStart w:id="507" w:name="_Toc89446151"/>
      <w:bookmarkStart w:id="508" w:name="_Toc90561309"/>
      <w:r>
        <w:rPr>
          <w:color w:val="C00000"/>
          <w:sz w:val="22"/>
        </w:rPr>
        <w:t>Utbyggnad vatten och avlopp</w:t>
      </w:r>
      <w:bookmarkEnd w:id="507"/>
      <w:bookmarkEnd w:id="508"/>
    </w:p>
    <w:p>
      <w:pPr>
        <w:ind w:left="340"/>
        <w:jc w:val="both"/>
        <w:rPr>
          <w:rFonts w:ascii="Times New Roman" w:hAnsi="Times New Roman" w:cs="Times New Roman"/>
        </w:rPr>
      </w:pPr>
      <w:bookmarkStart w:id="509" w:name="gf_utbyggnadvattenochavlopp01"/>
      <w:r>
        <w:rPr>
          <w:rFonts w:ascii="Times New Roman" w:hAnsi="Times New Roman" w:cs="Times New Roman"/>
        </w:rPr>
        <w:t>Kommunala vatten- och spillvattenledningar finns utbyggt nordöst om planområdet samt södra delen om planområdet. Dessa ledningar flyttas och placeras på lokalgatan. Ny bebyggelse avses anslutas till befintliga kommunalt vatten och avlopp, området omfattas av verksamhetsområde för VA. Dagvattenhanteringen ska utgå utifrån kommunens dagvattenstrategi och dagvattenriktlinjer.</w:t>
      </w:r>
      <w:bookmarkEnd w:id="509"/>
      <w:r>
        <w:rPr>
          <w:rFonts w:ascii="Times New Roman" w:hAnsi="Times New Roman" w:cs="Times New Roman"/>
        </w:rPr>
        <w:t xml:space="preserve"> </w:t>
      </w:r>
    </w:p>
    <w:p>
      <w:pPr>
        <w:pStyle w:val="P12"/>
        <w:rPr>
          <w:color w:val="C00000"/>
          <w:sz w:val="22"/>
          <w:lang w:val="en-US"/>
        </w:rPr>
      </w:pPr>
      <w:r>
        <w:rPr>
          <w:color w:val="C00000"/>
          <w:sz w:val="22"/>
          <w:lang w:val="en-US"/>
        </w:rPr>
        <w:t>Avfall</w:t>
      </w:r>
    </w:p>
    <w:p>
      <w:pPr>
        <w:ind w:left="340"/>
        <w:jc w:val="both"/>
        <w:rPr>
          <w:rFonts w:ascii="Times New Roman" w:hAnsi="Times New Roman" w:cs="Times New Roman"/>
        </w:rPr>
      </w:pPr>
      <w:bookmarkStart w:id="510" w:name="gf_avfall01"/>
      <w:r>
        <w:rPr>
          <w:rFonts w:ascii="Times New Roman" w:hAnsi="Times New Roman" w:cs="Times New Roman"/>
        </w:rPr>
        <w:t xml:space="preserve">Avfallshantering är en viktig del av samhällets tekniska försörjningssystem av både miljö- och hälsoskäl. Föreskrifter om avfallshantering för Smedjebackens kommun ska följas och gällande avfallsplan framtagen av WBAB – </w:t>
      </w:r>
      <w:r>
        <w:rPr>
          <w:rFonts w:ascii="Times New Roman" w:hAnsi="Times New Roman" w:cs="Times New Roman"/>
          <w:i w:val="1"/>
          <w:iCs w:val="1"/>
        </w:rPr>
        <w:t>kommunal plan för avfallsförebyggande och hållbar avfallshantering 2018–2022</w:t>
      </w:r>
      <w:r>
        <w:rPr>
          <w:rFonts w:ascii="Times New Roman" w:hAnsi="Times New Roman" w:cs="Times New Roman"/>
        </w:rPr>
        <w:t xml:space="preserve">. Utrymme för avfall får anordnas på kvartersmark inom den egna </w:t>
      </w:r>
      <w:bookmarkStart w:id="511" w:name="_Hlk106890983"/>
      <w:r>
        <w:rPr>
          <w:rFonts w:ascii="Times New Roman" w:hAnsi="Times New Roman" w:cs="Times New Roman"/>
        </w:rPr>
        <w:t>fastigheten</w:t>
      </w:r>
      <w:bookmarkEnd w:id="511"/>
      <w:r>
        <w:rPr>
          <w:rFonts w:ascii="Times New Roman" w:hAnsi="Times New Roman" w:cs="Times New Roman"/>
        </w:rPr>
        <w:t>.</w:t>
      </w:r>
      <w:bookmarkEnd w:id="510"/>
    </w:p>
    <w:p>
      <w:pPr>
        <w:pStyle w:val="P11"/>
        <w:rPr>
          <w:color w:val="C00000"/>
          <w:sz w:val="22"/>
          <w:szCs w:val="22"/>
          <w:lang w:val="en-US"/>
        </w:rPr>
      </w:pPr>
      <w:bookmarkStart w:id="512" w:name="_Toc120016376"/>
      <w:bookmarkStart w:id="513" w:name="_Toc126834335"/>
      <w:r>
        <w:rPr>
          <w:color w:val="C00000"/>
          <w:sz w:val="22"/>
          <w:szCs w:val="22"/>
          <w:lang w:val="en-US"/>
        </w:rPr>
        <w:t>Ekonomiska frågor</w:t>
      </w:r>
      <w:bookmarkEnd w:id="512"/>
      <w:bookmarkEnd w:id="513"/>
      <w:r>
        <w:rPr>
          <w:color w:val="C00000"/>
          <w:sz w:val="22"/>
          <w:szCs w:val="22"/>
          <w:lang w:val="en-US"/>
        </w:rPr>
        <w:t xml:space="preserve"> </w:t>
      </w:r>
    </w:p>
    <w:p>
      <w:pPr>
        <w:pStyle w:val="P12"/>
        <w:numPr>
          <w:ilvl w:val="2"/>
          <w:numId w:val="23"/>
        </w:numPr>
        <w:rPr>
          <w:color w:val="C00000"/>
          <w:sz w:val="22"/>
          <w:lang w:val="en-US"/>
        </w:rPr>
      </w:pPr>
      <w:bookmarkStart w:id="514" w:name="_Toc89446153"/>
      <w:bookmarkStart w:id="515" w:name="_Toc90561311"/>
      <w:r>
        <w:rPr>
          <w:color w:val="C00000"/>
          <w:sz w:val="22"/>
        </w:rPr>
        <w:t>Planekonomisk bedömning</w:t>
      </w:r>
      <w:bookmarkEnd w:id="514"/>
      <w:bookmarkEnd w:id="515"/>
    </w:p>
    <w:p>
      <w:pPr>
        <w:ind w:left="340"/>
        <w:jc w:val="both"/>
        <w:rPr>
          <w:rFonts w:ascii="Times New Roman" w:hAnsi="Times New Roman" w:cs="Times New Roman"/>
        </w:rPr>
      </w:pPr>
      <w:bookmarkStart w:id="516" w:name="_Hlk106891082"/>
      <w:bookmarkStart w:id="517" w:name="gf_planekonomiskbedömning01"/>
      <w:r>
        <w:rPr>
          <w:rFonts w:ascii="Times New Roman" w:hAnsi="Times New Roman" w:cs="Times New Roman"/>
        </w:rPr>
        <w:t xml:space="preserve">Kostnadsmässiga konsekvenser för Smedjebackens kommun innebär intäkter i form av planavgift, försäljning av kommunal mark samt även bygglovsavgift, utgifter tillkommer för plankostnader. Smedjebackens kommun kommer även vid ett plangenomförande sköta de allmänna platserna. </w:t>
      </w:r>
      <w:bookmarkEnd w:id="516"/>
      <w:r>
        <w:rPr>
          <w:rFonts w:ascii="Times New Roman" w:hAnsi="Times New Roman" w:cs="Times New Roman"/>
        </w:rPr>
        <w:t>Delar av samfälligheten Västerby s:1 behöver kommunen lösa in, vilket innebär att det kan leda till att kommunen behöver ersätta delägande fastigheter inom samfälligheten Västerby s:1. Summan av inlösen avgörs genom lantmäteriförrättning av Lantmäteriet, det är kommunen som ansöker om och bekostar lantmäteriförrättningen</w:t>
      </w:r>
    </w:p>
    <w:p>
      <w:pPr>
        <w:pStyle w:val="P12"/>
        <w:numPr>
          <w:ilvl w:val="2"/>
          <w:numId w:val="23"/>
        </w:numPr>
        <w:jc w:val="both"/>
        <w:rPr>
          <w:color w:val="C00000"/>
          <w:sz w:val="22"/>
          <w:lang w:val="en-US"/>
        </w:rPr>
      </w:pPr>
      <w:bookmarkEnd w:id="517"/>
      <w:r>
        <w:rPr>
          <w:b w:val="1"/>
          <w:bCs w:val="1"/>
          <w:caps w:val="0"/>
          <w:color w:val="C00000"/>
          <w:sz w:val="22"/>
        </w:rPr>
        <w:tab/>
      </w:r>
      <w:bookmarkStart w:id="518" w:name="_Toc89446154"/>
      <w:bookmarkStart w:id="519" w:name="_Toc90561312"/>
      <w:r>
        <w:rPr>
          <w:color w:val="C00000"/>
          <w:sz w:val="22"/>
        </w:rPr>
        <w:t>Planavgift</w:t>
      </w:r>
      <w:bookmarkEnd w:id="518"/>
      <w:bookmarkEnd w:id="519"/>
    </w:p>
    <w:p>
      <w:pPr>
        <w:ind w:left="340"/>
        <w:jc w:val="both"/>
        <w:rPr>
          <w:rFonts w:ascii="Times New Roman" w:hAnsi="Times New Roman" w:cs="Times New Roman"/>
        </w:rPr>
      </w:pPr>
      <w:bookmarkStart w:id="520" w:name="gf_planavgift01"/>
      <w:r>
        <w:rPr>
          <w:rFonts w:ascii="Times New Roman" w:hAnsi="Times New Roman" w:cs="Times New Roman"/>
        </w:rPr>
        <w:t xml:space="preserve">Planavgift tas ut för att täcka kostnader för åtgärder som behövs för att upprätta detaljplan. Avgiften regleras genom att planavtal tecknas mellan Smedjebackens kommun och beställaren, detta för att specificera betalningsvillkor. Avgiften tas ut enligt följande princip: 50% vid planstart och resterande 50% vid antagande. Planavgiften utgår utifrån kommunens </w:t>
      </w:r>
      <w:r>
        <w:rPr>
          <w:rFonts w:ascii="Times New Roman" w:hAnsi="Times New Roman" w:cs="Times New Roman"/>
          <w:i w:val="1"/>
          <w:iCs w:val="1"/>
        </w:rPr>
        <w:t>Plan och bygglovstaxa 2022</w:t>
      </w:r>
      <w:r>
        <w:rPr>
          <w:rFonts w:ascii="Times New Roman" w:hAnsi="Times New Roman" w:cs="Times New Roman"/>
        </w:rPr>
        <w:t>.</w:t>
      </w:r>
      <w:bookmarkEnd w:id="520"/>
      <w:r>
        <w:rPr>
          <w:rFonts w:ascii="Times New Roman" w:hAnsi="Times New Roman" w:cs="Times New Roman"/>
        </w:rPr>
        <w:t xml:space="preserve"> </w:t>
      </w:r>
    </w:p>
    <w:p>
      <w:pPr>
        <w:ind w:left="340"/>
        <w:jc w:val="both"/>
        <w:rPr>
          <w:rFonts w:ascii="Times New Roman" w:hAnsi="Times New Roman" w:cs="Times New Roman"/>
        </w:rPr>
      </w:pPr>
    </w:p>
    <w:p>
      <w:pPr>
        <w:pStyle w:val="P12"/>
        <w:numPr>
          <w:ilvl w:val="2"/>
          <w:numId w:val="23"/>
        </w:numPr>
        <w:jc w:val="both"/>
        <w:rPr>
          <w:color w:val="C00000"/>
          <w:sz w:val="22"/>
          <w:lang w:val="en-US"/>
        </w:rPr>
      </w:pPr>
      <w:bookmarkStart w:id="521" w:name="_Toc89446158"/>
      <w:bookmarkStart w:id="522" w:name="_Toc90561316"/>
      <w:r>
        <w:rPr>
          <w:color w:val="C00000"/>
          <w:sz w:val="22"/>
        </w:rPr>
        <w:t>Drift allmän plats</w:t>
      </w:r>
      <w:bookmarkEnd w:id="521"/>
      <w:bookmarkEnd w:id="522"/>
    </w:p>
    <w:p>
      <w:pPr>
        <w:ind w:left="340"/>
        <w:jc w:val="both"/>
        <w:rPr>
          <w:rFonts w:ascii="Times New Roman" w:hAnsi="Times New Roman" w:cs="Times New Roman"/>
        </w:rPr>
      </w:pPr>
      <w:bookmarkStart w:id="523" w:name="gf_driftallmänplats01"/>
      <w:r>
        <w:rPr>
          <w:rFonts w:ascii="Times New Roman" w:hAnsi="Times New Roman" w:cs="Times New Roman"/>
        </w:rPr>
        <w:t>Smedjebackens kommun ansvarar för drift av allmän plats</w:t>
      </w:r>
      <w:bookmarkEnd w:id="523"/>
      <w:r>
        <w:rPr>
          <w:rFonts w:ascii="Times New Roman" w:hAnsi="Times New Roman" w:cs="Times New Roman"/>
        </w:rPr>
        <w:t>.</w:t>
      </w:r>
    </w:p>
    <w:p>
      <w:pPr>
        <w:pStyle w:val="P12"/>
        <w:numPr>
          <w:ilvl w:val="2"/>
          <w:numId w:val="23"/>
        </w:numPr>
        <w:jc w:val="both"/>
        <w:rPr>
          <w:color w:val="C00000"/>
          <w:sz w:val="22"/>
          <w:lang w:val="en-US"/>
        </w:rPr>
      </w:pPr>
      <w:bookmarkStart w:id="524" w:name="_Toc89446159"/>
      <w:bookmarkStart w:id="525" w:name="_Toc90561317"/>
      <w:r>
        <w:rPr>
          <w:color w:val="C00000"/>
          <w:sz w:val="22"/>
        </w:rPr>
        <w:t>Drift vatten och avlopp</w:t>
      </w:r>
      <w:bookmarkEnd w:id="524"/>
      <w:bookmarkEnd w:id="525"/>
    </w:p>
    <w:p>
      <w:pPr>
        <w:ind w:left="340"/>
        <w:jc w:val="both"/>
        <w:rPr>
          <w:rFonts w:ascii="Times New Roman" w:hAnsi="Times New Roman" w:cs="Times New Roman"/>
        </w:rPr>
      </w:pPr>
      <w:bookmarkStart w:id="526" w:name="gf_driftvattenochavlopp01"/>
      <w:r>
        <w:rPr>
          <w:rFonts w:ascii="Times New Roman" w:hAnsi="Times New Roman" w:cs="Times New Roman"/>
        </w:rPr>
        <w:t xml:space="preserve">Smedjebackens kommun ansvarar för drift och underhåll av allmänna vatten- och spillvattenledningar fram till anslutningspunkt. </w:t>
      </w:r>
    </w:p>
    <w:p>
      <w:pPr>
        <w:pStyle w:val="P12"/>
        <w:numPr>
          <w:ilvl w:val="2"/>
          <w:numId w:val="23"/>
        </w:numPr>
        <w:jc w:val="both"/>
        <w:rPr>
          <w:color w:val="C00000"/>
          <w:sz w:val="22"/>
          <w:lang w:val="en-US"/>
        </w:rPr>
      </w:pPr>
      <w:bookmarkEnd w:id="526"/>
      <w:bookmarkStart w:id="527" w:name="_Toc89446160"/>
      <w:bookmarkStart w:id="528" w:name="_Toc90561318"/>
      <w:r>
        <w:rPr>
          <w:color w:val="C00000"/>
          <w:sz w:val="22"/>
        </w:rPr>
        <w:t>Gatukostnader</w:t>
      </w:r>
      <w:bookmarkEnd w:id="527"/>
      <w:bookmarkEnd w:id="528"/>
    </w:p>
    <w:p>
      <w:pPr>
        <w:ind w:left="340"/>
        <w:jc w:val="both"/>
        <w:rPr>
          <w:rFonts w:ascii="Times New Roman" w:hAnsi="Times New Roman" w:cs="Times New Roman"/>
        </w:rPr>
      </w:pPr>
      <w:bookmarkStart w:id="529" w:name="gf_gatukostnader01"/>
      <w:r>
        <w:rPr>
          <w:rFonts w:ascii="Times New Roman" w:hAnsi="Times New Roman" w:cs="Times New Roman"/>
        </w:rPr>
        <w:t xml:space="preserve">Smedjebackens kommun är ansvarig för utbyggnad samt framtida drift och underhåll av gator. Kommunen är huvudman för allmänna platser inom detaljplaneområdet. </w:t>
      </w:r>
    </w:p>
    <w:p>
      <w:pPr>
        <w:jc w:val="both"/>
        <w:rPr>
          <w:rFonts w:ascii="Times New Roman" w:hAnsi="Times New Roman" w:cs="Times New Roman"/>
        </w:rPr>
      </w:pPr>
      <w:bookmarkEnd w:id="529"/>
    </w:p>
    <w:p>
      <w:pPr>
        <w:pStyle w:val="P11"/>
        <w:numPr>
          <w:ilvl w:val="1"/>
          <w:numId w:val="23"/>
        </w:numPr>
        <w:jc w:val="both"/>
        <w:rPr>
          <w:color w:val="C00000"/>
          <w:sz w:val="22"/>
          <w:szCs w:val="22"/>
        </w:rPr>
      </w:pPr>
      <w:bookmarkStart w:id="530" w:name="_Toc89446161"/>
      <w:bookmarkStart w:id="531" w:name="_Toc90561319"/>
      <w:bookmarkStart w:id="532" w:name="_Toc126834336"/>
      <w:bookmarkStart w:id="533" w:name="_Toc120016377"/>
      <w:bookmarkStart w:id="534" w:name="_Toc107477014"/>
      <w:r>
        <w:rPr>
          <w:color w:val="C00000"/>
          <w:sz w:val="22"/>
          <w:szCs w:val="22"/>
        </w:rPr>
        <w:t>Organisatoriska frågor</w:t>
      </w:r>
      <w:bookmarkEnd w:id="530"/>
      <w:bookmarkEnd w:id="531"/>
      <w:bookmarkEnd w:id="532"/>
      <w:bookmarkEnd w:id="533"/>
      <w:bookmarkEnd w:id="534"/>
    </w:p>
    <w:p>
      <w:pPr>
        <w:pStyle w:val="P12"/>
        <w:numPr>
          <w:ilvl w:val="2"/>
          <w:numId w:val="23"/>
        </w:numPr>
        <w:jc w:val="both"/>
        <w:rPr>
          <w:color w:val="C00000"/>
          <w:sz w:val="22"/>
          <w:lang w:val="en-US"/>
        </w:rPr>
      </w:pPr>
      <w:r>
        <w:rPr>
          <w:color w:val="C00000"/>
          <w:sz w:val="22"/>
        </w:rPr>
        <w:t>Reservationsavtal &amp; Köpekontrakt</w:t>
      </w:r>
    </w:p>
    <w:p>
      <w:pPr>
        <w:ind w:left="340"/>
        <w:jc w:val="both"/>
        <w:rPr>
          <w:rFonts w:ascii="Times New Roman" w:hAnsi="Times New Roman" w:cs="Times New Roman"/>
        </w:rPr>
      </w:pPr>
      <w:bookmarkStart w:id="535" w:name="gf_exploateringsavtal01"/>
      <w:r>
        <w:rPr>
          <w:rFonts w:ascii="Times New Roman" w:hAnsi="Times New Roman" w:cs="Times New Roman"/>
        </w:rPr>
        <w:t xml:space="preserve">Reservationsavtalet vilket är själva markanvisningsavtalet är begränsat till 12 månader från 2021 – 11 – 01. Under tiden för reservationsavtalet betalar byggaktören reservationsavgift på 10% av köpeskillingen per påbörjat år. Efter att avtalspunkterna i reservationsavtalet uppfylldes upprättades ett köpekontrakt där exploatören betalade hela köpeskillingen för fastigheten. </w:t>
      </w:r>
    </w:p>
    <w:p>
      <w:pPr>
        <w:ind w:left="340"/>
        <w:jc w:val="both"/>
        <w:rPr>
          <w:rFonts w:ascii="Times New Roman" w:hAnsi="Times New Roman" w:cs="Times New Roman"/>
        </w:rPr>
      </w:pPr>
      <w:r>
        <w:rPr>
          <w:rFonts w:ascii="Times New Roman" w:hAnsi="Times New Roman" w:cs="Times New Roman"/>
        </w:rPr>
        <w:t>Det finns ett köpekontrakt mellan Smedjebackens kommun och Sakofall Bostadsutveckling AB. Smedjebackens kommun överlåter fastigheten Söderbärke Kyrkby 8:111 i Smedjebackens kommun, enligt tidigare tecknat reservationsavtal. Benämnd i reservationsavtalet som del av fastigheterna Söderbärke Kyrkby 8:57 och 8:76. Syftet med reservationsavtalet är att tydliggöra villkor för genomförande, ansvarsfördelning för kostnader för servitut, avgifter, anslutningsavgifter med mera. Kommunen förbinder sig att sälja del av fastigheten Söderbärke Kyrkby 8:57 och 8:76 till köparen under förutsättning att köparen lämnat bidrag till markanvisningstävling för området, samt om kraven i reservationsavtalet uppfylls.</w:t>
      </w:r>
    </w:p>
    <w:p>
      <w:pPr>
        <w:ind w:left="340"/>
        <w:jc w:val="both"/>
        <w:rPr>
          <w:rFonts w:ascii="Times New Roman" w:hAnsi="Times New Roman" w:cs="Times New Roman"/>
        </w:rPr>
      </w:pPr>
      <w:bookmarkEnd w:id="535"/>
    </w:p>
    <w:p>
      <w:pPr>
        <w:pStyle w:val="P12"/>
        <w:numPr>
          <w:ilvl w:val="2"/>
          <w:numId w:val="23"/>
        </w:numPr>
        <w:jc w:val="both"/>
        <w:rPr>
          <w:color w:val="C00000"/>
          <w:sz w:val="22"/>
          <w:lang w:val="en-US"/>
        </w:rPr>
      </w:pPr>
      <w:bookmarkStart w:id="536" w:name="_Toc89446163"/>
      <w:bookmarkStart w:id="537" w:name="_Toc90561321"/>
      <w:r>
        <w:rPr>
          <w:color w:val="C00000"/>
          <w:sz w:val="22"/>
        </w:rPr>
        <w:t>Markanvisning</w:t>
      </w:r>
      <w:bookmarkEnd w:id="536"/>
      <w:bookmarkEnd w:id="537"/>
    </w:p>
    <w:p>
      <w:pPr>
        <w:ind w:left="340"/>
        <w:jc w:val="both"/>
        <w:rPr>
          <w:rFonts w:ascii="Times New Roman" w:hAnsi="Times New Roman" w:cs="Times New Roman"/>
        </w:rPr>
      </w:pPr>
      <w:bookmarkStart w:id="538" w:name="gf_markanvisning01"/>
      <w:r>
        <w:rPr>
          <w:rFonts w:ascii="Times New Roman" w:hAnsi="Times New Roman" w:cs="Times New Roman"/>
        </w:rPr>
        <w:t xml:space="preserve">Markanvisningar grundar sig på att flera olika byggaktörer är intresserade av att utveckla samma område. Vilket leder till att det behövs göras en jämförelse mellan byggaktörer för att kunna hitta en exploatör som passar bäst för utvecklingen av området. </w:t>
      </w:r>
    </w:p>
    <w:p>
      <w:pPr>
        <w:ind w:left="340"/>
        <w:jc w:val="both"/>
        <w:rPr>
          <w:rFonts w:ascii="Times New Roman" w:hAnsi="Times New Roman" w:cs="Times New Roman"/>
        </w:rPr>
      </w:pPr>
      <w:r>
        <w:rPr>
          <w:rFonts w:ascii="Times New Roman" w:hAnsi="Times New Roman" w:cs="Times New Roman"/>
        </w:rPr>
        <w:t xml:space="preserve">Smedjebackens kommun tilldelade markanvisning på Norra Brustorpet i Söderbärke till en byggherre för uppförande av nya bostäder. Då det fanns flera intressenter som visat intresse för Norra Brustorpet har kommunen bedömt att det är lämpligt att gå vidare med en av dessa.  </w:t>
      </w:r>
    </w:p>
    <w:p>
      <w:pPr>
        <w:ind w:left="340"/>
        <w:jc w:val="both"/>
        <w:rPr>
          <w:rFonts w:ascii="Times New Roman" w:hAnsi="Times New Roman" w:cs="Times New Roman"/>
        </w:rPr>
      </w:pPr>
      <w:r>
        <w:rPr>
          <w:rFonts w:ascii="Times New Roman" w:hAnsi="Times New Roman" w:cs="Times New Roman"/>
        </w:rPr>
        <w:t xml:space="preserve">Områden som på längre sikt avses att bebyggas rymmer totalt ca 16 bostäder fördelat på två områden i form av en – och tvåbostadshus. Denna markanvisning avser ett av dessa områden, etapp 1 med plats för ca 10 bostäder. </w:t>
      </w:r>
    </w:p>
    <w:p>
      <w:pPr>
        <w:ind w:left="340"/>
        <w:jc w:val="both"/>
        <w:rPr>
          <w:rFonts w:ascii="Times New Roman" w:hAnsi="Times New Roman" w:cs="Times New Roman"/>
        </w:rPr>
      </w:pPr>
      <w:r>
        <w:rPr>
          <w:rFonts w:ascii="Times New Roman" w:hAnsi="Times New Roman" w:cs="Times New Roman"/>
        </w:rPr>
        <w:t>Utvärdering har skett av en jury på 4 personer som bedömde ansökningarna. Dessa bedömningar baserades utifrån gestaltning, ekologisk hållbarhet, ekonomisk hållbarhet samt organisation, ekonomi och genomförande.</w:t>
      </w:r>
      <w:bookmarkEnd w:id="538"/>
      <w:r>
        <w:rPr>
          <w:rFonts w:ascii="Times New Roman" w:hAnsi="Times New Roman" w:cs="Times New Roman"/>
        </w:rPr>
        <w:t xml:space="preserve"> </w:t>
      </w:r>
    </w:p>
    <w:p>
      <w:pPr>
        <w:ind w:left="340"/>
        <w:jc w:val="both"/>
        <w:rPr>
          <w:rFonts w:ascii="Times New Roman" w:hAnsi="Times New Roman" w:cs="Times New Roman"/>
        </w:rPr>
      </w:pPr>
    </w:p>
    <w:p>
      <w:pPr>
        <w:pStyle w:val="P12"/>
        <w:numPr>
          <w:ilvl w:val="2"/>
          <w:numId w:val="23"/>
        </w:numPr>
        <w:rPr>
          <w:color w:val="C00000"/>
          <w:sz w:val="22"/>
          <w:lang w:val="en-US"/>
        </w:rPr>
      </w:pPr>
      <w:bookmarkStart w:id="539" w:name="_Toc89446164"/>
      <w:bookmarkStart w:id="540" w:name="_Toc90561322"/>
      <w:r>
        <w:rPr>
          <w:color w:val="C00000"/>
          <w:sz w:val="22"/>
        </w:rPr>
        <w:t>Tidplan</w:t>
      </w:r>
      <w:bookmarkEnd w:id="539"/>
      <w:bookmarkEnd w:id="540"/>
    </w:p>
    <w:p>
      <w:pPr>
        <w:ind w:left="340"/>
        <w:rPr>
          <w:rFonts w:ascii="Times New Roman" w:hAnsi="Times New Roman" w:cs="Times New Roman"/>
        </w:rPr>
      </w:pPr>
      <w:bookmarkStart w:id="541" w:name="gf_tidplan01"/>
      <w:r>
        <w:rPr>
          <w:rFonts w:ascii="Times New Roman" w:hAnsi="Times New Roman" w:cs="Times New Roman"/>
        </w:rPr>
        <w:t xml:space="preserve">Tidplanen är preliminär och förutsätter att inga allvarliga synpunkter på detaljplanen inkommer som fördröjer planarbetet. Preliminära tidplanen är följande: </w:t>
      </w:r>
    </w:p>
    <w:p>
      <w:pPr>
        <w:rPr>
          <w:rFonts w:ascii="Times New Roman" w:hAnsi="Times New Roman" w:cs="Times New Roman"/>
        </w:rPr>
      </w:pPr>
    </w:p>
    <w:p>
      <w:pPr>
        <w:spacing w:after="0" w:beforeAutospacing="0" w:afterAutospacing="0"/>
        <w:rPr>
          <w:rFonts w:ascii="Times New Roman" w:hAnsi="Times New Roman" w:cs="Times New Roman"/>
        </w:rPr>
      </w:pPr>
      <w:r>
        <w:rPr>
          <w:rFonts w:ascii="Times New Roman" w:hAnsi="Times New Roman" w:cs="Times New Roman"/>
        </w:rPr>
        <w:t xml:space="preserve">  Planuppdrag                                                                   </w:t>
        <w:tab/>
        <w:t xml:space="preserve"> </w:t>
        <w:tab/>
        <w:t>16 mars 2022</w:t>
        <w:tab/>
      </w:r>
    </w:p>
    <w:p>
      <w:pPr>
        <w:spacing w:after="0" w:beforeAutospacing="0" w:afterAutospacing="0"/>
        <w:rPr>
          <w:rFonts w:ascii="Times New Roman" w:hAnsi="Times New Roman" w:cs="Times New Roman"/>
        </w:rPr>
      </w:pPr>
    </w:p>
    <w:p>
      <w:pPr>
        <w:spacing w:after="0" w:beforeAutospacing="0" w:afterAutospacing="0"/>
        <w:rPr>
          <w:rFonts w:ascii="Times New Roman" w:hAnsi="Times New Roman" w:cs="Times New Roman"/>
        </w:rPr>
      </w:pPr>
      <w:r>
        <w:rPr>
          <w:rFonts w:ascii="Times New Roman" w:hAnsi="Times New Roman" w:cs="Times New Roman"/>
        </w:rPr>
        <w:t xml:space="preserve">  Samråd</w:t>
        <w:tab/>
        <w:tab/>
        <w:tab/>
        <w:tab/>
        <w:t xml:space="preserve">                       2022 – 09 – 10 </w:t>
      </w:r>
    </w:p>
    <w:p>
      <w:pPr>
        <w:spacing w:after="0" w:beforeAutospacing="0" w:afterAutospacing="0"/>
        <w:rPr>
          <w:rFonts w:ascii="Times New Roman" w:hAnsi="Times New Roman" w:cs="Times New Roman"/>
        </w:rPr>
      </w:pPr>
    </w:p>
    <w:p>
      <w:pPr>
        <w:spacing w:after="0" w:beforeAutospacing="0" w:afterAutospacing="0"/>
        <w:rPr>
          <w:rFonts w:ascii="Times New Roman" w:hAnsi="Times New Roman" w:cs="Times New Roman"/>
        </w:rPr>
      </w:pPr>
      <w:r>
        <w:rPr>
          <w:rFonts w:ascii="Times New Roman" w:hAnsi="Times New Roman" w:cs="Times New Roman"/>
        </w:rPr>
        <w:t xml:space="preserve">  Granskning</w:t>
        <w:tab/>
        <w:tab/>
        <w:tab/>
        <w:tab/>
        <w:tab/>
      </w:r>
      <w:r>
        <w:rPr>
          <w:rFonts w:ascii="Times New Roman" w:hAnsi="Times New Roman" w:cs="Times New Roman"/>
          <w:rtl w:val="0"/>
          <w:lang w:val="sv-SE" w:bidi="sv-SE" w:eastAsia="sv-SE"/>
        </w:rPr>
        <w:t>2023</w:t>
      </w:r>
      <w:r>
        <w:rPr>
          <w:rFonts w:ascii="Times New Roman" w:hAnsi="Times New Roman" w:cs="Times New Roman"/>
          <w:rtl w:val="0"/>
          <w:lang w:val="sv-SE" w:bidi="sv-SE" w:eastAsia="sv-SE"/>
        </w:rPr>
        <w:t xml:space="preserve"> </w:t>
      </w:r>
      <w:r>
        <w:rPr>
          <w:rFonts w:ascii="Times New Roman" w:hAnsi="Times New Roman" w:cs="Times New Roman"/>
          <w:rtl w:val="0"/>
          <w:lang w:val="sv-SE" w:bidi="sv-SE" w:eastAsia="sv-SE"/>
        </w:rPr>
        <w:t>-</w:t>
      </w:r>
      <w:r>
        <w:rPr>
          <w:rFonts w:ascii="Times New Roman" w:hAnsi="Times New Roman" w:cs="Times New Roman"/>
          <w:rtl w:val="0"/>
          <w:lang w:val="sv-SE" w:bidi="sv-SE" w:eastAsia="sv-SE"/>
        </w:rPr>
        <w:t xml:space="preserve"> </w:t>
      </w:r>
      <w:r>
        <w:rPr>
          <w:rFonts w:ascii="Times New Roman" w:hAnsi="Times New Roman" w:cs="Times New Roman"/>
          <w:rtl w:val="0"/>
          <w:lang w:val="sv-SE" w:bidi="sv-SE" w:eastAsia="sv-SE"/>
        </w:rPr>
        <w:t>01</w:t>
      </w:r>
      <w:r>
        <w:rPr>
          <w:rFonts w:ascii="Times New Roman" w:hAnsi="Times New Roman" w:cs="Times New Roman"/>
          <w:rtl w:val="0"/>
          <w:lang w:val="sv-SE" w:bidi="sv-SE" w:eastAsia="sv-SE"/>
        </w:rPr>
        <w:t xml:space="preserve"> </w:t>
      </w:r>
      <w:r>
        <w:rPr>
          <w:rFonts w:ascii="Times New Roman" w:hAnsi="Times New Roman" w:cs="Times New Roman"/>
          <w:rtl w:val="0"/>
          <w:lang w:val="sv-SE" w:bidi="sv-SE" w:eastAsia="sv-SE"/>
        </w:rPr>
        <w:t>-</w:t>
      </w:r>
      <w:r>
        <w:rPr>
          <w:rFonts w:ascii="Times New Roman" w:hAnsi="Times New Roman" w:cs="Times New Roman"/>
          <w:rtl w:val="0"/>
          <w:lang w:val="sv-SE" w:bidi="sv-SE" w:eastAsia="sv-SE"/>
        </w:rPr>
        <w:t xml:space="preserve"> </w:t>
      </w:r>
      <w:r>
        <w:rPr>
          <w:rFonts w:ascii="Times New Roman" w:hAnsi="Times New Roman" w:cs="Times New Roman"/>
          <w:rtl w:val="0"/>
          <w:lang w:val="sv-SE" w:bidi="sv-SE" w:eastAsia="sv-SE"/>
        </w:rPr>
        <w:t>09</w:t>
      </w:r>
    </w:p>
    <w:p>
      <w:pPr>
        <w:spacing w:after="0" w:beforeAutospacing="0" w:afterAutospacing="0"/>
        <w:rPr>
          <w:rFonts w:ascii="Times New Roman" w:hAnsi="Times New Roman" w:cs="Times New Roman"/>
        </w:rPr>
      </w:pPr>
    </w:p>
    <w:p>
      <w:pPr>
        <w:spacing w:after="0" w:beforeAutospacing="0" w:afterAutospacing="0"/>
        <w:rPr>
          <w:rFonts w:ascii="Times New Roman" w:hAnsi="Times New Roman" w:cs="Times New Roman"/>
        </w:rPr>
      </w:pPr>
      <w:r>
        <w:rPr>
          <w:rFonts w:ascii="Times New Roman" w:hAnsi="Times New Roman" w:cs="Times New Roman"/>
        </w:rPr>
        <w:t xml:space="preserve">  Antagen plan</w:t>
        <w:tab/>
        <w:tab/>
        <w:tab/>
        <w:tab/>
        <w:tab/>
      </w:r>
      <w:bookmarkEnd w:id="2"/>
      <w:r>
        <w:rPr>
          <w:rFonts w:ascii="Times New Roman" w:hAnsi="Times New Roman" w:cs="Times New Roman"/>
          <w:rtl w:val="0"/>
          <w:lang w:val="sv-SE" w:bidi="sv-SE" w:eastAsia="sv-SE"/>
        </w:rPr>
        <w:t>2023</w:t>
      </w:r>
      <w:r>
        <w:rPr>
          <w:rFonts w:ascii="Times New Roman" w:hAnsi="Times New Roman" w:cs="Times New Roman"/>
          <w:rtl w:val="0"/>
          <w:lang w:val="sv-SE" w:bidi="sv-SE" w:eastAsia="sv-SE"/>
        </w:rPr>
        <w:t xml:space="preserve"> - </w:t>
      </w:r>
      <w:r>
        <w:rPr>
          <w:rFonts w:ascii="Times New Roman" w:hAnsi="Times New Roman" w:cs="Times New Roman"/>
          <w:rtl w:val="0"/>
          <w:lang w:val="sv-SE" w:bidi="sv-SE" w:eastAsia="sv-SE"/>
        </w:rPr>
        <w:t xml:space="preserve">04 - </w:t>
      </w:r>
      <w:r>
        <w:rPr>
          <w:rFonts w:ascii="Times New Roman" w:hAnsi="Times New Roman" w:cs="Times New Roman"/>
          <w:rtl w:val="0"/>
          <w:lang w:val="sv-SE" w:bidi="sv-SE" w:eastAsia="sv-SE"/>
        </w:rPr>
        <w:t>24</w:t>
      </w:r>
    </w:p>
    <w:p>
      <w:pPr>
        <w:rPr>
          <w:rFonts w:ascii="Times New Roman" w:hAnsi="Times New Roman" w:cs="Times New Roman"/>
          <w:b w:val="1"/>
          <w:bCs w:val="1"/>
          <w:color w:val="C00000"/>
          <w:sz w:val="28"/>
          <w:szCs w:val="28"/>
        </w:rPr>
      </w:pPr>
      <w:bookmarkEnd w:id="541"/>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rPr>
          <w:rFonts w:ascii="Times New Roman" w:hAnsi="Times New Roman" w:cs="Times New Roman"/>
          <w:b w:val="1"/>
          <w:bCs w:val="1"/>
          <w:color w:val="C00000"/>
          <w:sz w:val="28"/>
          <w:szCs w:val="28"/>
        </w:rPr>
      </w:pPr>
    </w:p>
    <w:p>
      <w:pPr>
        <w:jc w:val="center"/>
        <w:rPr>
          <w:rFonts w:ascii="Times New Roman" w:hAnsi="Times New Roman" w:cs="Times New Roman"/>
          <w:b w:val="1"/>
          <w:bCs w:val="1"/>
          <w:color w:val="C00000"/>
          <w:sz w:val="28"/>
          <w:szCs w:val="28"/>
        </w:rPr>
      </w:pPr>
      <w:r>
        <w:rPr>
          <w:rFonts w:ascii="Times New Roman" w:hAnsi="Times New Roman" w:cs="Times New Roman"/>
          <w:b w:val="1"/>
          <w:bCs w:val="1"/>
          <w:color w:val="C00000"/>
          <w:sz w:val="28"/>
          <w:szCs w:val="28"/>
        </w:rPr>
        <w:t>Medverkande</w:t>
      </w:r>
    </w:p>
    <w:p>
      <w:pPr>
        <w:jc w:val="center"/>
        <w:rPr>
          <w:rFonts w:ascii="Times New Roman" w:hAnsi="Times New Roman" w:cs="Times New Roman"/>
        </w:rPr>
      </w:pPr>
      <w:r>
        <w:rPr>
          <w:rFonts w:ascii="Times New Roman" w:hAnsi="Times New Roman" w:cs="Times New Roman"/>
        </w:rPr>
        <w:t>Handlingarna har upprättats av Miljö- och byggkontoret.</w:t>
      </w:r>
    </w:p>
    <w:p>
      <w:pPr>
        <w:spacing w:lineRule="auto" w:line="360" w:beforeAutospacing="0" w:afterAutospacing="0"/>
        <w:rPr>
          <w:sz w:val="24"/>
          <w:szCs w:val="24"/>
        </w:rPr>
      </w:pPr>
      <w:r>
        <w:rPr>
          <w:sz w:val="24"/>
          <w:szCs w:val="24"/>
        </w:rPr>
        <w:t xml:space="preserve">                                                           Smedjebackens kommun </w:t>
      </w:r>
    </w:p>
    <w:p>
      <w:pPr>
        <w:spacing w:lineRule="auto" w:line="360" w:beforeAutospacing="0" w:afterAutospacing="0"/>
        <w:rPr>
          <w:sz w:val="24"/>
          <w:szCs w:val="24"/>
        </w:rPr>
      </w:pPr>
    </w:p>
    <w:p>
      <w:pPr>
        <w:spacing w:lineRule="auto" w:line="240" w:after="0" w:beforeAutospacing="0" w:afterAutospacing="0"/>
        <w:ind w:left="1304"/>
        <w:jc w:val="both"/>
        <w:rPr>
          <w:i w:val="1"/>
          <w:iCs w:val="1"/>
          <w:sz w:val="24"/>
          <w:szCs w:val="24"/>
        </w:rPr>
      </w:pPr>
      <w:r>
        <w:rPr>
          <w:i w:val="1"/>
          <w:iCs w:val="1"/>
          <w:sz w:val="24"/>
          <w:szCs w:val="24"/>
        </w:rPr>
        <w:t xml:space="preserve">      Gunilla Skoog                                                  Samir Hazrat</w:t>
      </w:r>
    </w:p>
    <w:p>
      <w:pPr>
        <w:spacing w:lineRule="auto" w:line="360" w:beforeAutospacing="0" w:afterAutospacing="0"/>
        <w:ind w:left="1304"/>
        <w:jc w:val="both"/>
        <w:rPr>
          <w:i w:val="1"/>
          <w:iCs w:val="1"/>
          <w:sz w:val="24"/>
          <w:szCs w:val="24"/>
        </w:rPr>
      </w:pPr>
      <w:r>
        <w:rPr>
          <w:i w:val="1"/>
          <w:iCs w:val="1"/>
          <w:sz w:val="24"/>
          <w:szCs w:val="24"/>
        </w:rPr>
        <w:t xml:space="preserve">      Miljö- och byggchef                                        Planarkitekt</w:t>
      </w:r>
    </w:p>
    <w:p>
      <w:pPr>
        <w:spacing w:lineRule="auto" w:line="360" w:beforeAutospacing="0" w:afterAutospacing="0"/>
        <w:ind w:left="1304"/>
        <w:jc w:val="both"/>
        <w:rPr>
          <w:i w:val="1"/>
          <w:iCs w:val="1"/>
          <w:sz w:val="24"/>
          <w:szCs w:val="24"/>
        </w:rPr>
      </w:pPr>
    </w:p>
    <w:p>
      <w:pPr>
        <w:spacing w:lineRule="auto" w:line="360" w:beforeAutospacing="0" w:afterAutospacing="0"/>
        <w:ind w:left="1304"/>
        <w:jc w:val="both"/>
        <w:rPr>
          <w:i w:val="1"/>
          <w:iCs w:val="1"/>
          <w:sz w:val="24"/>
          <w:szCs w:val="24"/>
        </w:rPr>
      </w:pPr>
    </w:p>
    <w:p>
      <w:pPr>
        <w:spacing w:lineRule="auto" w:line="360" w:beforeAutospacing="0" w:afterAutospacing="0"/>
        <w:ind w:left="1304"/>
        <w:jc w:val="both"/>
        <w:rPr>
          <w:i w:val="1"/>
          <w:iCs w:val="1"/>
          <w:sz w:val="24"/>
          <w:szCs w:val="24"/>
        </w:rPr>
      </w:pPr>
    </w:p>
    <w:p>
      <w:pPr>
        <w:spacing w:lineRule="auto" w:line="360" w:beforeAutospacing="0" w:afterAutospacing="0"/>
        <w:ind w:left="1304"/>
        <w:jc w:val="both"/>
        <w:rPr>
          <w:i w:val="1"/>
          <w:iCs w:val="1"/>
          <w:sz w:val="24"/>
          <w:szCs w:val="24"/>
        </w:rPr>
      </w:pPr>
    </w:p>
    <w:p>
      <w:pPr>
        <w:spacing w:lineRule="auto" w:line="360" w:beforeAutospacing="0" w:afterAutospacing="0"/>
        <w:ind w:left="1304"/>
        <w:jc w:val="both"/>
        <w:rPr>
          <w:i w:val="1"/>
          <w:iCs w:val="1"/>
          <w:sz w:val="24"/>
          <w:szCs w:val="24"/>
        </w:rPr>
      </w:pPr>
    </w:p>
    <w:p>
      <w:pPr>
        <w:spacing w:lineRule="auto" w:line="360" w:beforeAutospacing="0" w:afterAutospacing="0"/>
        <w:ind w:left="1304"/>
        <w:jc w:val="both"/>
        <w:rPr>
          <w:i w:val="1"/>
          <w:iCs w:val="1"/>
          <w:sz w:val="24"/>
          <w:szCs w:val="24"/>
        </w:rPr>
      </w:pPr>
    </w:p>
    <w:p>
      <w:pPr>
        <w:spacing w:lineRule="auto" w:line="360" w:beforeAutospacing="0" w:afterAutospacing="0"/>
        <w:jc w:val="both"/>
        <w:rPr>
          <w:i w:val="1"/>
          <w:iCs w:val="1"/>
          <w:sz w:val="24"/>
          <w:szCs w:val="24"/>
        </w:rPr>
      </w:pPr>
    </w:p>
    <w:p>
      <w:pPr>
        <w:spacing w:lineRule="auto" w:line="360" w:beforeAutospacing="0" w:afterAutospacing="0"/>
        <w:jc w:val="both"/>
        <w:rPr>
          <w:sz w:val="24"/>
          <w:szCs w:val="24"/>
        </w:rPr>
      </w:pPr>
      <w:r>
        <w:rPr>
          <w:rFonts w:ascii="Calibri" w:hAnsi="Calibri" w:cs="Times New Roman" w:eastAsia="Times New Roman"/>
          <w:noProof w:val="1"/>
          <w:lang w:eastAsia="sv-SE"/>
        </w:rPr>
        <w:drawing>
          <wp:anchor xmlns:wp="http://schemas.openxmlformats.org/drawingml/2006/wordprocessingDrawing" distT="0" distB="0" distL="114300" distR="114300" simplePos="0" relativeHeight="18" behindDoc="0" locked="0" layoutInCell="1" allowOverlap="1">
            <wp:simplePos x="0" y="0"/>
            <wp:positionH relativeFrom="margin">
              <wp:align>center</wp:align>
            </wp:positionH>
            <wp:positionV relativeFrom="paragraph">
              <wp:posOffset>95885</wp:posOffset>
            </wp:positionV>
            <wp:extent cx="2635250" cy="414020"/>
            <wp:effectExtent l="0" t="0" r="0" b="5080"/>
            <wp:wrapThrough wrapText="bothSides">
              <wp:wrapPolygon edited="0">
                <wp:start x="0" y="0"/>
                <wp:lineTo x="0" y="14908"/>
                <wp:lineTo x="13585" y="18883"/>
                <wp:lineTo x="14521" y="20871"/>
                <wp:lineTo x="15771" y="20871"/>
                <wp:lineTo x="16707" y="20871"/>
                <wp:lineTo x="21392" y="19877"/>
                <wp:lineTo x="21392" y="0"/>
                <wp:lineTo x="0" y="0"/>
              </wp:wrapPolygon>
            </wp:wrapThrough>
            <wp:docPr id="42" name="Bildobjekt 2" descr="En bild som visar text, porslin, kopp&#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2"/>
                    <pic:cNvPicPr>
                      <a:picLocks noChangeAspect="1" noChangeArrowheads="1"/>
                    </pic:cNvPicPr>
                  </pic:nvPicPr>
                  <pic:blipFill dpi="0">
                    <a:blip xmlns:r="http://schemas.openxmlformats.org/officeDocument/2006/relationships" r:embed="Relimage39"/>
                    <a:srcRect/>
                    <a:stretch>
                      <a:fillRect/>
                    </a:stretch>
                  </pic:blipFill>
                  <pic:spPr bwMode="auto">
                    <a:xfrm>
                      <a:off x="0" y="0"/>
                      <a:ext cx="2635250" cy="414020"/>
                    </a:xfrm>
                    <a:prstGeom prst="rect"/>
                    <a:noFill/>
                    <a:ln>
                      <a:noFill/>
                    </a:ln>
                  </pic:spPr>
                </pic:pic>
              </a:graphicData>
            </a:graphic>
          </wp:anchor>
        </w:drawing>
      </w:r>
    </w:p>
    <w:p>
      <w:pPr>
        <w:spacing w:lineRule="auto" w:line="360" w:beforeAutospacing="0" w:afterAutospacing="0"/>
        <w:jc w:val="both"/>
        <w:rPr>
          <w:sz w:val="24"/>
          <w:szCs w:val="24"/>
        </w:rPr>
      </w:pPr>
    </w:p>
    <w:p>
      <w:pPr>
        <w:widowControl w:val="0"/>
        <w:spacing w:lineRule="auto" w:line="288" w:after="0" w:beforeAutospacing="0" w:afterAutospacing="0"/>
        <w:jc w:val="center"/>
        <w:rPr>
          <w:rFonts w:cstheme="minorHAnsi" w:eastAsia="Times New Roman"/>
          <w:color w:val="000000"/>
          <w:sz w:val="24"/>
          <w:szCs w:val="24"/>
        </w:rPr>
      </w:pPr>
      <w:r>
        <w:rPr>
          <w:rFonts w:cstheme="minorHAnsi" w:eastAsia="Times New Roman"/>
          <w:color w:val="000000"/>
          <w:sz w:val="24"/>
          <w:szCs w:val="24"/>
        </w:rPr>
        <w:t xml:space="preserve">Smedjebackens kommun • Miljö- och byggkontoret • 777 81 Smedjebacken </w:t>
      </w:r>
    </w:p>
    <w:p>
      <w:pPr>
        <w:widowControl w:val="0"/>
        <w:spacing w:lineRule="auto" w:line="288" w:after="0" w:beforeAutospacing="0" w:afterAutospacing="0"/>
        <w:jc w:val="center"/>
        <w:rPr>
          <w:rFonts w:cstheme="minorHAnsi" w:eastAsia="Times New Roman"/>
          <w:color w:val="000000"/>
          <w:sz w:val="24"/>
          <w:szCs w:val="24"/>
        </w:rPr>
      </w:pPr>
      <w:r>
        <w:rPr>
          <w:rFonts w:cstheme="minorHAnsi" w:eastAsia="Times New Roman"/>
          <w:color w:val="000000"/>
          <w:sz w:val="24"/>
          <w:szCs w:val="24"/>
        </w:rPr>
        <w:t xml:space="preserve"> E-post: miljobygg@smedjebacken.se • Telefon: 0240-66 00 00 • Säte Smedjebacken</w:t>
      </w:r>
    </w:p>
    <w:sectPr>
      <w:headerReference xmlns:r="http://schemas.openxmlformats.org/officeDocument/2006/relationships" w:type="first" r:id="RelHdr1"/>
      <w:headerReference xmlns:r="http://schemas.openxmlformats.org/officeDocument/2006/relationships" w:type="default" r:id="RelHdr2"/>
      <w:footerReference xmlns:r="http://schemas.openxmlformats.org/officeDocument/2006/relationships" w:type="default" r:id="RelFtr1"/>
      <w:footnotePr/>
      <w:endnotePr/>
      <w:type w:val="nextPage"/>
      <w:pgSz w:w="11906" w:h="16838" w:code="0"/>
      <w:pgMar w:left="1417" w:right="1417" w:top="1417" w:bottom="1417" w:header="708" w:footer="708" w:gutter="0"/>
      <w:titlePg w:val="1"/>
    </w:sectPr>
  </w:body>
</w:document>
</file>

<file path=word/endnotes.xml><?xml version="1.0" encoding="utf-8"?>
<w:end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endnote w:type="separator" w:id="-1">
    <w:p>
      <w:pPr>
        <w:spacing w:lineRule="auto" w:line="240" w:after="0" w:beforeAutospacing="0" w:afterAutospacing="0"/>
      </w:pPr>
      <w:r>
        <w:separator/>
      </w:r>
    </w:p>
  </w:endnote>
  <w:endnote w:type="continuationSeparator" w:id="0">
    <w:p>
      <w:pPr>
        <w:spacing w:lineRule="auto" w:line="240" w:after="0" w:beforeAutospacing="0" w:afterAutospacing="0"/>
      </w:pPr>
      <w:r>
        <w:continuationSeparator/>
      </w:r>
    </w:p>
  </w:endnote>
</w:endnotes>
</file>

<file path=word/footer1.xml><?xml version="1.0" encoding="utf-8"?>
<w:ft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5"/>
      <w:jc w:val="right"/>
    </w:pPr>
    <w:r>
      <w:fldChar w:fldCharType="begin"/>
    </w:r>
    <w:r>
      <w:instrText xml:space="preserve">PAGE   \* MERGEFORMAT</w:instrText>
    </w:r>
    <w:r>
      <w:fldChar w:fldCharType="separate"/>
    </w:r>
    <w:r>
      <w:t>#</w:t>
    </w:r>
    <w:r>
      <w:fldChar w:fldCharType="end"/>
    </w:r>
  </w:p>
  <w:p>
    <w:pPr>
      <w:pStyle w:val="P15"/>
    </w:pPr>
  </w:p>
</w:ftr>
</file>

<file path=word/footnotes.xml><?xml version="1.0" encoding="utf-8"?>
<w:footnotes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footnote w:type="separator" w:id="-1">
    <w:p>
      <w:pPr>
        <w:spacing w:lineRule="auto" w:line="240" w:after="0" w:beforeAutospacing="0" w:afterAutospacing="0"/>
      </w:pPr>
      <w:r>
        <w:separator/>
      </w:r>
    </w:p>
  </w:footnote>
  <w:footnote w:type="continuationSeparator" w:id="0">
    <w:p>
      <w:pPr>
        <w:spacing w:lineRule="auto" w:line="240" w:after="0" w:beforeAutospacing="0" w:afterAutospacing="0"/>
      </w:pPr>
      <w:r>
        <w:continuationSeparator/>
      </w:r>
    </w:p>
  </w:footnote>
</w:footnotes>
</file>

<file path=word/header1.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pPr>
    <w:r>
      <w:rPr>
        <w:noProof w:val="1"/>
      </w:rPr>
      <w:drawing>
        <wp:anchor xmlns:wp="http://schemas.openxmlformats.org/drawingml/2006/wordprocessingDrawing" distT="0" distB="0" distL="114300" distR="114300" simplePos="0" relativeHeight="2" behindDoc="0" locked="0" layoutInCell="1" allowOverlap="1">
          <wp:simplePos x="0" y="0"/>
          <wp:positionH relativeFrom="column">
            <wp:posOffset>0</wp:posOffset>
          </wp:positionH>
          <wp:positionV relativeFrom="paragraph">
            <wp:posOffset>170815</wp:posOffset>
          </wp:positionV>
          <wp:extent cx="2581910" cy="676910"/>
          <wp:effectExtent l="0" t="0" r="0" b="8890"/>
          <wp:wrapThrough wrapText="bothSides">
            <wp:wrapPolygon edited="0">
              <wp:start x="0" y="0"/>
              <wp:lineTo x="0" y="21276"/>
              <wp:lineTo x="21356" y="21276"/>
              <wp:lineTo x="21356" y="0"/>
              <wp:lineTo x="0" y="0"/>
            </wp:wrapPolygon>
          </wp:wrapThrough>
          <wp:docPr id="60" name="Bildobjekt 60"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pic:nvPicPr>
                <pic:blipFill dpi="0">
                  <a:blip xmlns:r="http://schemas.openxmlformats.org/officeDocument/2006/relationships" r:embed="Relimage40" cstate="print"/>
                  <a:srcRect/>
                  <a:stretch>
                    <a:fillRect/>
                  </a:stretch>
                </pic:blipFill>
                <pic:spPr>
                  <a:xfrm>
                    <a:off x="0" y="0"/>
                    <a:ext cx="2581968" cy="677369"/>
                  </a:xfrm>
                  <a:prstGeom prst="rect"/>
                </pic:spPr>
              </pic:pic>
            </a:graphicData>
          </a:graphic>
        </wp:anchor>
      </w:drawing>
    </w:r>
  </w:p>
</w:hdr>
</file>

<file path=word/header2.xml><?xml version="1.0" encoding="utf-8"?>
<w:hdr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xmlns:wpg="http://schemas.microsoft.com/office/word/2010/wordprocessingGroup" xmlns:wpc="http://schemas.microsoft.com/office/word/2010/wordprocessingCanvas" xmlns:w14="http://schemas.microsoft.com/office/word/2010/wordml" xmlns:w15="http://schemas.microsoft.com/office/word/2012/wordml" xmlns:cx1="http://schemas.microsoft.com/office/drawing/2015/9/8/chartex" xmlns:cx2="http://schemas.microsoft.com/office/drawing/2015/10/21/chartex" mc:Ignorable="wp14 w14 w15">
  <w:p>
    <w:pPr>
      <w:pStyle w:val="P14"/>
      <w:rPr>
        <w:b w:val="1"/>
        <w:bCs w:val="1"/>
      </w:rPr>
    </w:pPr>
    <w:r>
      <w:rPr>
        <w:noProof w:val="1"/>
      </w:rPr>
      <w:drawing>
        <wp:anchor xmlns:wp="http://schemas.openxmlformats.org/drawingml/2006/wordprocessingDrawing" distT="0" distB="0" distL="114300" distR="114300" simplePos="0" relativeHeight="1" behindDoc="0" locked="0" layoutInCell="1" allowOverlap="1">
          <wp:simplePos x="0" y="0"/>
          <wp:positionH relativeFrom="column">
            <wp:posOffset>-665480</wp:posOffset>
          </wp:positionH>
          <wp:positionV relativeFrom="paragraph">
            <wp:posOffset>-239395</wp:posOffset>
          </wp:positionV>
          <wp:extent cx="2581910" cy="676910"/>
          <wp:effectExtent l="0" t="0" r="0" b="8890"/>
          <wp:wrapThrough wrapText="bothSides">
            <wp:wrapPolygon edited="0">
              <wp:start x="0" y="0"/>
              <wp:lineTo x="0" y="21276"/>
              <wp:lineTo x="21356" y="21276"/>
              <wp:lineTo x="21356" y="0"/>
              <wp:lineTo x="0" y="0"/>
            </wp:wrapPolygon>
          </wp:wrapThrough>
          <wp:docPr id="45" name="Bildobjekt 45" descr="En bild som visar text&#10;&#10;Automatiskt genererad beskriv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1" descr="En bild som visar text&#10;&#10;Automatiskt genererad beskrivning"/>
                  <pic:cNvPicPr/>
                </pic:nvPicPr>
                <pic:blipFill dpi="0">
                  <a:blip xmlns:r="http://schemas.openxmlformats.org/officeDocument/2006/relationships" r:embed="Relimage41" cstate="print"/>
                  <a:srcRect/>
                  <a:stretch>
                    <a:fillRect/>
                  </a:stretch>
                </pic:blipFill>
                <pic:spPr>
                  <a:xfrm>
                    <a:off x="0" y="0"/>
                    <a:ext cx="2581968" cy="677369"/>
                  </a:xfrm>
                  <a:prstGeom prst="rect"/>
                </pic:spPr>
              </pic:pic>
            </a:graphicData>
          </a:graphic>
        </wp:anchor>
      </w:drawing>
    </w:r>
    <w:r>
      <w:t xml:space="preserve">                                                                    </w:t>
    </w:r>
    <w:r>
      <w:rPr>
        <w:b w:val="1"/>
        <w:bCs w:val="1"/>
        <w:color w:val="C00000"/>
      </w:rPr>
      <w:t>Diarienummer: 2022 - 775</w:t>
    </w:r>
  </w:p>
</w:hdr>
</file>

<file path=word/numbering.xml><?xml version="1.0" encoding="utf-8"?>
<w:numbering xmlns:w="http://schemas.openxmlformats.org/wordprocessingml/2006/main">
  <w:abstractNum w:abstractNumId="0">
    <w:nsid w:val="043759B2"/>
    <w:multiLevelType w:val="hybridMultilevel"/>
    <w:lvl w:ilvl="0" w:tplc="93CC73F8">
      <w:start w:val="1"/>
      <w:numFmt w:val="decimal"/>
      <w:suff w:val="tab"/>
      <w:lvlText w:val="%1."/>
      <w:lvlJc w:val="left"/>
      <w:pPr>
        <w:ind w:hanging="360" w:left="700"/>
      </w:pPr>
      <w:rPr>
        <w:rFonts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1">
    <w:nsid w:val="04FF6B0C"/>
    <w:multiLevelType w:val="hybridMultilevel"/>
    <w:lvl w:ilvl="0" w:tplc="36B051FA">
      <w:start w:val="0"/>
      <w:numFmt w:val="bullet"/>
      <w:suff w:val="tab"/>
      <w:lvlText w:val=""/>
      <w:lvlJc w:val="left"/>
      <w:pPr>
        <w:ind w:hanging="360" w:left="720"/>
      </w:pPr>
      <w:rPr>
        <w:rFonts w:ascii="Symbol" w:hAnsi="Symbol" w:cstheme="minorBidi" w:eastAsiaTheme="minorHAnsi"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
    <w:nsid w:val="05AD6DFA"/>
    <w:multiLevelType w:val="hybridMultilevel"/>
    <w:lvl w:ilvl="0" w:tplc="041D000B">
      <w:start w:val="1"/>
      <w:numFmt w:val="bullet"/>
      <w:suff w:val="tab"/>
      <w:lvlText w:val=""/>
      <w:lvlJc w:val="left"/>
      <w:pPr>
        <w:ind w:hanging="360" w:left="720"/>
      </w:pPr>
      <w:rPr>
        <w:rFonts w:ascii="Wingdings" w:hAnsi="Wingdings"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3">
    <w:nsid w:val="06615F1F"/>
    <w:multiLevelType w:val="multilevel"/>
    <w:lvl w:ilvl="0">
      <w:start w:val="1"/>
      <w:numFmt w:val="decimal"/>
      <w:pStyle w:val="P10"/>
      <w:suff w:val="tab"/>
      <w:lvlText w:val="%1"/>
      <w:lvlJc w:val="left"/>
      <w:pPr>
        <w:ind w:hanging="432" w:left="432"/>
      </w:pPr>
      <w:rPr>
        <w:rFonts w:hint="default"/>
      </w:rPr>
    </w:lvl>
    <w:lvl w:ilvl="1">
      <w:start w:val="1"/>
      <w:numFmt w:val="decimal"/>
      <w:pStyle w:val="P11"/>
      <w:suff w:val="space"/>
      <w:lvlText w:val="%1.%2"/>
      <w:lvlJc w:val="left"/>
      <w:pPr>
        <w:ind w:hanging="463" w:left="576"/>
      </w:pPr>
      <w:rPr>
        <w:rFonts w:hint="default"/>
      </w:rPr>
    </w:lvl>
    <w:lvl w:ilvl="2">
      <w:start w:val="1"/>
      <w:numFmt w:val="decimal"/>
      <w:pStyle w:val="P12"/>
      <w:suff w:val="space"/>
      <w:lvlText w:val="%1.%2.%3"/>
      <w:lvlJc w:val="left"/>
      <w:pPr>
        <w:ind w:hanging="380" w:left="720"/>
      </w:pPr>
      <w:rPr>
        <w:rFonts w:hint="default"/>
        <w:color w:val="C00000"/>
        <w:sz w:val="22"/>
        <w:szCs w:val="22"/>
      </w:rPr>
    </w:lvl>
    <w:lvl w:ilvl="3">
      <w:start w:val="1"/>
      <w:numFmt w:val="decimal"/>
      <w:pStyle w:val="P4"/>
      <w:suff w:val="tab"/>
      <w:lvlText w:val="%1.%2.%3.%4"/>
      <w:lvlJc w:val="left"/>
      <w:pPr>
        <w:ind w:hanging="864" w:left="864"/>
      </w:pPr>
      <w:rPr>
        <w:rFonts w:hint="default"/>
      </w:rPr>
    </w:lvl>
    <w:lvl w:ilvl="4">
      <w:start w:val="1"/>
      <w:numFmt w:val="decimal"/>
      <w:pStyle w:val="P5"/>
      <w:suff w:val="tab"/>
      <w:lvlText w:val="%1.%2.%3.%4.%5"/>
      <w:lvlJc w:val="left"/>
      <w:pPr>
        <w:ind w:hanging="1008" w:left="1008"/>
      </w:pPr>
      <w:rPr>
        <w:rFonts w:hint="default"/>
      </w:rPr>
    </w:lvl>
    <w:lvl w:ilvl="5">
      <w:start w:val="1"/>
      <w:numFmt w:val="decimal"/>
      <w:pStyle w:val="P6"/>
      <w:suff w:val="tab"/>
      <w:lvlText w:val="%1.%2.%3.%4.%5.%6"/>
      <w:lvlJc w:val="left"/>
      <w:pPr>
        <w:ind w:hanging="1152" w:left="1152"/>
      </w:pPr>
      <w:rPr>
        <w:rFonts w:hint="default"/>
      </w:rPr>
    </w:lvl>
    <w:lvl w:ilvl="6">
      <w:start w:val="1"/>
      <w:numFmt w:val="decimal"/>
      <w:pStyle w:val="P7"/>
      <w:suff w:val="tab"/>
      <w:lvlText w:val="%1.%2.%3.%4.%5.%6.%7"/>
      <w:lvlJc w:val="left"/>
      <w:pPr>
        <w:ind w:hanging="1296" w:left="1296"/>
      </w:pPr>
      <w:rPr>
        <w:rFonts w:hint="default"/>
      </w:rPr>
    </w:lvl>
    <w:lvl w:ilvl="7">
      <w:start w:val="1"/>
      <w:numFmt w:val="decimal"/>
      <w:pStyle w:val="P8"/>
      <w:suff w:val="tab"/>
      <w:lvlText w:val="%1.%2.%3.%4.%5.%6.%7.%8"/>
      <w:lvlJc w:val="left"/>
      <w:pPr>
        <w:ind w:hanging="1440" w:left="1440"/>
      </w:pPr>
      <w:rPr>
        <w:rFonts w:hint="default"/>
      </w:rPr>
    </w:lvl>
    <w:lvl w:ilvl="8">
      <w:start w:val="1"/>
      <w:numFmt w:val="decimal"/>
      <w:pStyle w:val="P9"/>
      <w:suff w:val="tab"/>
      <w:lvlText w:val="%1.%2.%3.%4.%5.%6.%7.%8.%9"/>
      <w:lvlJc w:val="left"/>
      <w:pPr>
        <w:ind w:hanging="1584" w:left="1584"/>
      </w:pPr>
      <w:rPr>
        <w:rFonts w:hint="default"/>
      </w:rPr>
    </w:lvl>
  </w:abstractNum>
  <w:abstractNum w:abstractNumId="4">
    <w:nsid w:val="0AD411BB"/>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5">
    <w:nsid w:val="13456F25"/>
    <w:multiLevelType w:val="hybridMultilevel"/>
    <w:lvl w:ilvl="0" w:tplc="041D000B">
      <w:start w:val="1"/>
      <w:numFmt w:val="bullet"/>
      <w:suff w:val="tab"/>
      <w:lvlText w:val=""/>
      <w:lvlJc w:val="left"/>
      <w:pPr>
        <w:ind w:hanging="360" w:left="1060"/>
      </w:pPr>
      <w:rPr>
        <w:rFonts w:ascii="Wingdings" w:hAnsi="Wingdings" w:hint="default"/>
      </w:rPr>
    </w:lvl>
    <w:lvl w:ilvl="1" w:tplc="041D0003">
      <w:start w:val="1"/>
      <w:numFmt w:val="bullet"/>
      <w:suff w:val="tab"/>
      <w:lvlText w:val="o"/>
      <w:lvlJc w:val="left"/>
      <w:pPr>
        <w:ind w:hanging="360" w:left="1780"/>
      </w:pPr>
      <w:rPr>
        <w:rFonts w:ascii="Courier New" w:hAnsi="Courier New" w:cs="Courier New" w:hint="default"/>
      </w:rPr>
    </w:lvl>
    <w:lvl w:ilvl="2" w:tplc="041D0005">
      <w:start w:val="1"/>
      <w:numFmt w:val="bullet"/>
      <w:suff w:val="tab"/>
      <w:lvlText w:val=""/>
      <w:lvlJc w:val="left"/>
      <w:pPr>
        <w:ind w:hanging="360" w:left="2500"/>
      </w:pPr>
      <w:rPr>
        <w:rFonts w:ascii="Wingdings" w:hAnsi="Wingdings" w:hint="default"/>
      </w:rPr>
    </w:lvl>
    <w:lvl w:ilvl="3" w:tplc="041D0001">
      <w:start w:val="1"/>
      <w:numFmt w:val="bullet"/>
      <w:suff w:val="tab"/>
      <w:lvlText w:val=""/>
      <w:lvlJc w:val="left"/>
      <w:pPr>
        <w:ind w:hanging="360" w:left="3220"/>
      </w:pPr>
      <w:rPr>
        <w:rFonts w:ascii="Symbol" w:hAnsi="Symbol" w:hint="default"/>
      </w:rPr>
    </w:lvl>
    <w:lvl w:ilvl="4" w:tplc="041D0003">
      <w:start w:val="1"/>
      <w:numFmt w:val="bullet"/>
      <w:suff w:val="tab"/>
      <w:lvlText w:val="o"/>
      <w:lvlJc w:val="left"/>
      <w:pPr>
        <w:ind w:hanging="360" w:left="3940"/>
      </w:pPr>
      <w:rPr>
        <w:rFonts w:ascii="Courier New" w:hAnsi="Courier New" w:cs="Courier New" w:hint="default"/>
      </w:rPr>
    </w:lvl>
    <w:lvl w:ilvl="5" w:tplc="041D0005">
      <w:start w:val="1"/>
      <w:numFmt w:val="bullet"/>
      <w:suff w:val="tab"/>
      <w:lvlText w:val=""/>
      <w:lvlJc w:val="left"/>
      <w:pPr>
        <w:ind w:hanging="360" w:left="4660"/>
      </w:pPr>
      <w:rPr>
        <w:rFonts w:ascii="Wingdings" w:hAnsi="Wingdings" w:hint="default"/>
      </w:rPr>
    </w:lvl>
    <w:lvl w:ilvl="6" w:tplc="041D0001">
      <w:start w:val="1"/>
      <w:numFmt w:val="bullet"/>
      <w:suff w:val="tab"/>
      <w:lvlText w:val=""/>
      <w:lvlJc w:val="left"/>
      <w:pPr>
        <w:ind w:hanging="360" w:left="5380"/>
      </w:pPr>
      <w:rPr>
        <w:rFonts w:ascii="Symbol" w:hAnsi="Symbol" w:hint="default"/>
      </w:rPr>
    </w:lvl>
    <w:lvl w:ilvl="7" w:tplc="041D0003">
      <w:start w:val="1"/>
      <w:numFmt w:val="bullet"/>
      <w:suff w:val="tab"/>
      <w:lvlText w:val="o"/>
      <w:lvlJc w:val="left"/>
      <w:pPr>
        <w:ind w:hanging="360" w:left="6100"/>
      </w:pPr>
      <w:rPr>
        <w:rFonts w:ascii="Courier New" w:hAnsi="Courier New" w:cs="Courier New" w:hint="default"/>
      </w:rPr>
    </w:lvl>
    <w:lvl w:ilvl="8" w:tplc="041D0005">
      <w:start w:val="1"/>
      <w:numFmt w:val="bullet"/>
      <w:suff w:val="tab"/>
      <w:lvlText w:val=""/>
      <w:lvlJc w:val="left"/>
      <w:pPr>
        <w:ind w:hanging="360" w:left="6820"/>
      </w:pPr>
      <w:rPr>
        <w:rFonts w:ascii="Wingdings" w:hAnsi="Wingdings" w:hint="default"/>
      </w:rPr>
    </w:lvl>
  </w:abstractNum>
  <w:abstractNum w:abstractNumId="6">
    <w:nsid w:val="1D086783"/>
    <w:multiLevelType w:val="hybridMultilevel"/>
    <w:lvl w:ilvl="0" w:tplc="D95C1A6E">
      <w:start w:val="7"/>
      <w:numFmt w:val="bullet"/>
      <w:suff w:val="tab"/>
      <w:lvlText w:val="-"/>
      <w:lvlJc w:val="left"/>
      <w:pPr>
        <w:ind w:hanging="360" w:left="1420"/>
      </w:pPr>
      <w:rPr>
        <w:rFonts w:ascii="Times New Roman" w:hAnsi="Times New Roman" w:cs="Times New Roman" w:eastAsiaTheme="minorHAnsi" w:hint="default"/>
      </w:rPr>
    </w:lvl>
    <w:lvl w:ilvl="1" w:tplc="041D0003">
      <w:start w:val="1"/>
      <w:numFmt w:val="bullet"/>
      <w:suff w:val="tab"/>
      <w:lvlText w:val="o"/>
      <w:lvlJc w:val="left"/>
      <w:pPr>
        <w:ind w:hanging="360" w:left="2140"/>
      </w:pPr>
      <w:rPr>
        <w:rFonts w:ascii="Courier New" w:hAnsi="Courier New" w:cs="Courier New" w:hint="default"/>
      </w:rPr>
    </w:lvl>
    <w:lvl w:ilvl="2" w:tplc="041D0005">
      <w:start w:val="1"/>
      <w:numFmt w:val="bullet"/>
      <w:suff w:val="tab"/>
      <w:lvlText w:val=""/>
      <w:lvlJc w:val="left"/>
      <w:pPr>
        <w:ind w:hanging="360" w:left="2860"/>
      </w:pPr>
      <w:rPr>
        <w:rFonts w:ascii="Wingdings" w:hAnsi="Wingdings" w:hint="default"/>
      </w:rPr>
    </w:lvl>
    <w:lvl w:ilvl="3" w:tplc="041D0001">
      <w:start w:val="1"/>
      <w:numFmt w:val="bullet"/>
      <w:suff w:val="tab"/>
      <w:lvlText w:val=""/>
      <w:lvlJc w:val="left"/>
      <w:pPr>
        <w:ind w:hanging="360" w:left="3580"/>
      </w:pPr>
      <w:rPr>
        <w:rFonts w:ascii="Symbol" w:hAnsi="Symbol" w:hint="default"/>
      </w:rPr>
    </w:lvl>
    <w:lvl w:ilvl="4" w:tplc="041D0003">
      <w:start w:val="1"/>
      <w:numFmt w:val="bullet"/>
      <w:suff w:val="tab"/>
      <w:lvlText w:val="o"/>
      <w:lvlJc w:val="left"/>
      <w:pPr>
        <w:ind w:hanging="360" w:left="4300"/>
      </w:pPr>
      <w:rPr>
        <w:rFonts w:ascii="Courier New" w:hAnsi="Courier New" w:cs="Courier New" w:hint="default"/>
      </w:rPr>
    </w:lvl>
    <w:lvl w:ilvl="5" w:tplc="041D0005">
      <w:start w:val="1"/>
      <w:numFmt w:val="bullet"/>
      <w:suff w:val="tab"/>
      <w:lvlText w:val=""/>
      <w:lvlJc w:val="left"/>
      <w:pPr>
        <w:ind w:hanging="360" w:left="5020"/>
      </w:pPr>
      <w:rPr>
        <w:rFonts w:ascii="Wingdings" w:hAnsi="Wingdings" w:hint="default"/>
      </w:rPr>
    </w:lvl>
    <w:lvl w:ilvl="6" w:tplc="041D0001">
      <w:start w:val="1"/>
      <w:numFmt w:val="bullet"/>
      <w:suff w:val="tab"/>
      <w:lvlText w:val=""/>
      <w:lvlJc w:val="left"/>
      <w:pPr>
        <w:ind w:hanging="360" w:left="5740"/>
      </w:pPr>
      <w:rPr>
        <w:rFonts w:ascii="Symbol" w:hAnsi="Symbol" w:hint="default"/>
      </w:rPr>
    </w:lvl>
    <w:lvl w:ilvl="7" w:tplc="041D0003">
      <w:start w:val="1"/>
      <w:numFmt w:val="bullet"/>
      <w:suff w:val="tab"/>
      <w:lvlText w:val="o"/>
      <w:lvlJc w:val="left"/>
      <w:pPr>
        <w:ind w:hanging="360" w:left="6460"/>
      </w:pPr>
      <w:rPr>
        <w:rFonts w:ascii="Courier New" w:hAnsi="Courier New" w:cs="Courier New" w:hint="default"/>
      </w:rPr>
    </w:lvl>
    <w:lvl w:ilvl="8" w:tplc="041D0005">
      <w:start w:val="1"/>
      <w:numFmt w:val="bullet"/>
      <w:suff w:val="tab"/>
      <w:lvlText w:val=""/>
      <w:lvlJc w:val="left"/>
      <w:pPr>
        <w:ind w:hanging="360" w:left="7180"/>
      </w:pPr>
      <w:rPr>
        <w:rFonts w:ascii="Wingdings" w:hAnsi="Wingdings" w:hint="default"/>
      </w:rPr>
    </w:lvl>
  </w:abstractNum>
  <w:abstractNum w:abstractNumId="7">
    <w:nsid w:val="25172CBB"/>
    <w:multiLevelType w:val="hybridMultilevel"/>
    <w:lvl w:ilvl="0" w:tplc="801AC9A8">
      <w:start w:val="0"/>
      <w:numFmt w:val="bullet"/>
      <w:suff w:val="tab"/>
      <w:lvlText w:val="-"/>
      <w:lvlJc w:val="left"/>
      <w:pPr>
        <w:ind w:hanging="360" w:left="700"/>
      </w:pPr>
      <w:rPr>
        <w:rFonts w:ascii="Times New Roman" w:hAnsi="Times New Roman" w:cs="Times New Roman" w:eastAsiaTheme="minorHAnsi" w:hint="default"/>
      </w:rPr>
    </w:lvl>
    <w:lvl w:ilvl="1" w:tplc="041D0003">
      <w:start w:val="1"/>
      <w:numFmt w:val="bullet"/>
      <w:suff w:val="tab"/>
      <w:lvlText w:val="o"/>
      <w:lvlJc w:val="left"/>
      <w:pPr>
        <w:ind w:hanging="360" w:left="1420"/>
      </w:pPr>
      <w:rPr>
        <w:rFonts w:ascii="Courier New" w:hAnsi="Courier New" w:cs="Courier New" w:hint="default"/>
      </w:rPr>
    </w:lvl>
    <w:lvl w:ilvl="2" w:tplc="041D0005">
      <w:start w:val="1"/>
      <w:numFmt w:val="bullet"/>
      <w:suff w:val="tab"/>
      <w:lvlText w:val=""/>
      <w:lvlJc w:val="left"/>
      <w:pPr>
        <w:ind w:hanging="360" w:left="2140"/>
      </w:pPr>
      <w:rPr>
        <w:rFonts w:ascii="Wingdings" w:hAnsi="Wingdings" w:hint="default"/>
      </w:rPr>
    </w:lvl>
    <w:lvl w:ilvl="3" w:tplc="041D0001">
      <w:start w:val="1"/>
      <w:numFmt w:val="bullet"/>
      <w:suff w:val="tab"/>
      <w:lvlText w:val=""/>
      <w:lvlJc w:val="left"/>
      <w:pPr>
        <w:ind w:hanging="360" w:left="2860"/>
      </w:pPr>
      <w:rPr>
        <w:rFonts w:ascii="Symbol" w:hAnsi="Symbol" w:hint="default"/>
      </w:rPr>
    </w:lvl>
    <w:lvl w:ilvl="4" w:tplc="041D0003">
      <w:start w:val="1"/>
      <w:numFmt w:val="bullet"/>
      <w:suff w:val="tab"/>
      <w:lvlText w:val="o"/>
      <w:lvlJc w:val="left"/>
      <w:pPr>
        <w:ind w:hanging="360" w:left="3580"/>
      </w:pPr>
      <w:rPr>
        <w:rFonts w:ascii="Courier New" w:hAnsi="Courier New" w:cs="Courier New" w:hint="default"/>
      </w:rPr>
    </w:lvl>
    <w:lvl w:ilvl="5" w:tplc="041D0005">
      <w:start w:val="1"/>
      <w:numFmt w:val="bullet"/>
      <w:suff w:val="tab"/>
      <w:lvlText w:val=""/>
      <w:lvlJc w:val="left"/>
      <w:pPr>
        <w:ind w:hanging="360" w:left="4300"/>
      </w:pPr>
      <w:rPr>
        <w:rFonts w:ascii="Wingdings" w:hAnsi="Wingdings" w:hint="default"/>
      </w:rPr>
    </w:lvl>
    <w:lvl w:ilvl="6" w:tplc="041D0001">
      <w:start w:val="1"/>
      <w:numFmt w:val="bullet"/>
      <w:suff w:val="tab"/>
      <w:lvlText w:val=""/>
      <w:lvlJc w:val="left"/>
      <w:pPr>
        <w:ind w:hanging="360" w:left="5020"/>
      </w:pPr>
      <w:rPr>
        <w:rFonts w:ascii="Symbol" w:hAnsi="Symbol" w:hint="default"/>
      </w:rPr>
    </w:lvl>
    <w:lvl w:ilvl="7" w:tplc="041D0003">
      <w:start w:val="1"/>
      <w:numFmt w:val="bullet"/>
      <w:suff w:val="tab"/>
      <w:lvlText w:val="o"/>
      <w:lvlJc w:val="left"/>
      <w:pPr>
        <w:ind w:hanging="360" w:left="5740"/>
      </w:pPr>
      <w:rPr>
        <w:rFonts w:ascii="Courier New" w:hAnsi="Courier New" w:cs="Courier New" w:hint="default"/>
      </w:rPr>
    </w:lvl>
    <w:lvl w:ilvl="8" w:tplc="041D0005">
      <w:start w:val="1"/>
      <w:numFmt w:val="bullet"/>
      <w:suff w:val="tab"/>
      <w:lvlText w:val=""/>
      <w:lvlJc w:val="left"/>
      <w:pPr>
        <w:ind w:hanging="360" w:left="6460"/>
      </w:pPr>
      <w:rPr>
        <w:rFonts w:ascii="Wingdings" w:hAnsi="Wingdings" w:hint="default"/>
      </w:rPr>
    </w:lvl>
  </w:abstractNum>
  <w:abstractNum w:abstractNumId="8">
    <w:nsid w:val="286A2312"/>
    <w:multiLevelType w:val="hybridMultilevel"/>
    <w:lvl w:ilvl="0" w:tplc="041D000B">
      <w:start w:val="1"/>
      <w:numFmt w:val="bullet"/>
      <w:suff w:val="tab"/>
      <w:lvlText w:val=""/>
      <w:lvlJc w:val="left"/>
      <w:pPr>
        <w:ind w:hanging="360" w:left="1080"/>
      </w:pPr>
      <w:rPr>
        <w:rFonts w:ascii="Wingdings" w:hAnsi="Wingdings"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9">
    <w:nsid w:val="2DCC34E5"/>
    <w:multiLevelType w:val="hybridMultilevel"/>
    <w:lvl w:ilvl="0" w:tplc="8B9A0B10">
      <w:start w:val="1"/>
      <w:numFmt w:val="bullet"/>
      <w:suff w:val="tab"/>
      <w:lvlText w:val="-"/>
      <w:lvlJc w:val="left"/>
      <w:pPr>
        <w:ind w:hanging="360" w:left="700"/>
      </w:pPr>
      <w:rPr>
        <w:rFonts w:ascii="Times New Roman" w:hAnsi="Times New Roman" w:cs="Times New Roman" w:eastAsiaTheme="minorHAnsi" w:hint="default"/>
      </w:rPr>
    </w:lvl>
    <w:lvl w:ilvl="1" w:tplc="041D0003">
      <w:start w:val="1"/>
      <w:numFmt w:val="bullet"/>
      <w:suff w:val="tab"/>
      <w:lvlText w:val="o"/>
      <w:lvlJc w:val="left"/>
      <w:pPr>
        <w:ind w:hanging="360" w:left="1420"/>
      </w:pPr>
      <w:rPr>
        <w:rFonts w:ascii="Courier New" w:hAnsi="Courier New" w:cs="Courier New" w:hint="default"/>
      </w:rPr>
    </w:lvl>
    <w:lvl w:ilvl="2" w:tplc="041D0005">
      <w:start w:val="1"/>
      <w:numFmt w:val="bullet"/>
      <w:suff w:val="tab"/>
      <w:lvlText w:val=""/>
      <w:lvlJc w:val="left"/>
      <w:pPr>
        <w:ind w:hanging="360" w:left="2140"/>
      </w:pPr>
      <w:rPr>
        <w:rFonts w:ascii="Wingdings" w:hAnsi="Wingdings" w:hint="default"/>
      </w:rPr>
    </w:lvl>
    <w:lvl w:ilvl="3" w:tplc="041D0001">
      <w:start w:val="1"/>
      <w:numFmt w:val="bullet"/>
      <w:suff w:val="tab"/>
      <w:lvlText w:val=""/>
      <w:lvlJc w:val="left"/>
      <w:pPr>
        <w:ind w:hanging="360" w:left="2860"/>
      </w:pPr>
      <w:rPr>
        <w:rFonts w:ascii="Symbol" w:hAnsi="Symbol" w:hint="default"/>
      </w:rPr>
    </w:lvl>
    <w:lvl w:ilvl="4" w:tplc="041D0003">
      <w:start w:val="1"/>
      <w:numFmt w:val="bullet"/>
      <w:suff w:val="tab"/>
      <w:lvlText w:val="o"/>
      <w:lvlJc w:val="left"/>
      <w:pPr>
        <w:ind w:hanging="360" w:left="3580"/>
      </w:pPr>
      <w:rPr>
        <w:rFonts w:ascii="Courier New" w:hAnsi="Courier New" w:cs="Courier New" w:hint="default"/>
      </w:rPr>
    </w:lvl>
    <w:lvl w:ilvl="5" w:tplc="041D0005">
      <w:start w:val="1"/>
      <w:numFmt w:val="bullet"/>
      <w:suff w:val="tab"/>
      <w:lvlText w:val=""/>
      <w:lvlJc w:val="left"/>
      <w:pPr>
        <w:ind w:hanging="360" w:left="4300"/>
      </w:pPr>
      <w:rPr>
        <w:rFonts w:ascii="Wingdings" w:hAnsi="Wingdings" w:hint="default"/>
      </w:rPr>
    </w:lvl>
    <w:lvl w:ilvl="6" w:tplc="041D0001">
      <w:start w:val="1"/>
      <w:numFmt w:val="bullet"/>
      <w:suff w:val="tab"/>
      <w:lvlText w:val=""/>
      <w:lvlJc w:val="left"/>
      <w:pPr>
        <w:ind w:hanging="360" w:left="5020"/>
      </w:pPr>
      <w:rPr>
        <w:rFonts w:ascii="Symbol" w:hAnsi="Symbol" w:hint="default"/>
      </w:rPr>
    </w:lvl>
    <w:lvl w:ilvl="7" w:tplc="041D0003">
      <w:start w:val="1"/>
      <w:numFmt w:val="bullet"/>
      <w:suff w:val="tab"/>
      <w:lvlText w:val="o"/>
      <w:lvlJc w:val="left"/>
      <w:pPr>
        <w:ind w:hanging="360" w:left="5740"/>
      </w:pPr>
      <w:rPr>
        <w:rFonts w:ascii="Courier New" w:hAnsi="Courier New" w:cs="Courier New" w:hint="default"/>
      </w:rPr>
    </w:lvl>
    <w:lvl w:ilvl="8" w:tplc="041D0005">
      <w:start w:val="1"/>
      <w:numFmt w:val="bullet"/>
      <w:suff w:val="tab"/>
      <w:lvlText w:val=""/>
      <w:lvlJc w:val="left"/>
      <w:pPr>
        <w:ind w:hanging="360" w:left="6460"/>
      </w:pPr>
      <w:rPr>
        <w:rFonts w:ascii="Wingdings" w:hAnsi="Wingdings" w:hint="default"/>
      </w:rPr>
    </w:lvl>
  </w:abstractNum>
  <w:abstractNum w:abstractNumId="10">
    <w:nsid w:val="31B52E17"/>
    <w:multiLevelType w:val="hybridMultilevel"/>
    <w:lvl w:ilvl="0" w:tplc="482E8A00">
      <w:start w:val="1"/>
      <w:numFmt w:val="decimal"/>
      <w:suff w:val="tab"/>
      <w:lvlText w:val="%1."/>
      <w:lvlJc w:val="left"/>
      <w:pPr>
        <w:ind w:hanging="360" w:left="700"/>
      </w:pPr>
      <w:rPr>
        <w:rFonts w:ascii="Times New Roman" w:hAnsi="Times New Roman" w:cs="Times New Roman"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11">
    <w:nsid w:val="341129AE"/>
    <w:multiLevelType w:val="hybridMultilevel"/>
    <w:lvl w:ilvl="0" w:tplc="02CC85E2">
      <w:start w:val="1"/>
      <w:numFmt w:val="bullet"/>
      <w:suff w:val="tab"/>
      <w:lvlText w:val="-"/>
      <w:lvlJc w:val="left"/>
      <w:pPr>
        <w:ind w:hanging="360" w:left="700"/>
      </w:pPr>
      <w:rPr>
        <w:rFonts w:ascii="Times New Roman" w:hAnsi="Times New Roman" w:cs="Times New Roman" w:eastAsiaTheme="minorHAnsi" w:hint="default"/>
      </w:rPr>
    </w:lvl>
    <w:lvl w:ilvl="1" w:tplc="041D0003">
      <w:start w:val="1"/>
      <w:numFmt w:val="bullet"/>
      <w:suff w:val="tab"/>
      <w:lvlText w:val="o"/>
      <w:lvlJc w:val="left"/>
      <w:pPr>
        <w:ind w:hanging="360" w:left="1420"/>
      </w:pPr>
      <w:rPr>
        <w:rFonts w:ascii="Courier New" w:hAnsi="Courier New" w:cs="Courier New" w:hint="default"/>
      </w:rPr>
    </w:lvl>
    <w:lvl w:ilvl="2" w:tplc="041D0005">
      <w:start w:val="1"/>
      <w:numFmt w:val="bullet"/>
      <w:suff w:val="tab"/>
      <w:lvlText w:val=""/>
      <w:lvlJc w:val="left"/>
      <w:pPr>
        <w:ind w:hanging="360" w:left="2140"/>
      </w:pPr>
      <w:rPr>
        <w:rFonts w:ascii="Wingdings" w:hAnsi="Wingdings" w:hint="default"/>
      </w:rPr>
    </w:lvl>
    <w:lvl w:ilvl="3" w:tplc="041D0001">
      <w:start w:val="1"/>
      <w:numFmt w:val="bullet"/>
      <w:suff w:val="tab"/>
      <w:lvlText w:val=""/>
      <w:lvlJc w:val="left"/>
      <w:pPr>
        <w:ind w:hanging="360" w:left="2860"/>
      </w:pPr>
      <w:rPr>
        <w:rFonts w:ascii="Symbol" w:hAnsi="Symbol" w:hint="default"/>
      </w:rPr>
    </w:lvl>
    <w:lvl w:ilvl="4" w:tplc="041D0003">
      <w:start w:val="1"/>
      <w:numFmt w:val="bullet"/>
      <w:suff w:val="tab"/>
      <w:lvlText w:val="o"/>
      <w:lvlJc w:val="left"/>
      <w:pPr>
        <w:ind w:hanging="360" w:left="3580"/>
      </w:pPr>
      <w:rPr>
        <w:rFonts w:ascii="Courier New" w:hAnsi="Courier New" w:cs="Courier New" w:hint="default"/>
      </w:rPr>
    </w:lvl>
    <w:lvl w:ilvl="5" w:tplc="041D0005">
      <w:start w:val="1"/>
      <w:numFmt w:val="bullet"/>
      <w:suff w:val="tab"/>
      <w:lvlText w:val=""/>
      <w:lvlJc w:val="left"/>
      <w:pPr>
        <w:ind w:hanging="360" w:left="4300"/>
      </w:pPr>
      <w:rPr>
        <w:rFonts w:ascii="Wingdings" w:hAnsi="Wingdings" w:hint="default"/>
      </w:rPr>
    </w:lvl>
    <w:lvl w:ilvl="6" w:tplc="041D0001">
      <w:start w:val="1"/>
      <w:numFmt w:val="bullet"/>
      <w:suff w:val="tab"/>
      <w:lvlText w:val=""/>
      <w:lvlJc w:val="left"/>
      <w:pPr>
        <w:ind w:hanging="360" w:left="5020"/>
      </w:pPr>
      <w:rPr>
        <w:rFonts w:ascii="Symbol" w:hAnsi="Symbol" w:hint="default"/>
      </w:rPr>
    </w:lvl>
    <w:lvl w:ilvl="7" w:tplc="041D0003">
      <w:start w:val="1"/>
      <w:numFmt w:val="bullet"/>
      <w:suff w:val="tab"/>
      <w:lvlText w:val="o"/>
      <w:lvlJc w:val="left"/>
      <w:pPr>
        <w:ind w:hanging="360" w:left="5740"/>
      </w:pPr>
      <w:rPr>
        <w:rFonts w:ascii="Courier New" w:hAnsi="Courier New" w:cs="Courier New" w:hint="default"/>
      </w:rPr>
    </w:lvl>
    <w:lvl w:ilvl="8" w:tplc="041D0005">
      <w:start w:val="1"/>
      <w:numFmt w:val="bullet"/>
      <w:suff w:val="tab"/>
      <w:lvlText w:val=""/>
      <w:lvlJc w:val="left"/>
      <w:pPr>
        <w:ind w:hanging="360" w:left="6460"/>
      </w:pPr>
      <w:rPr>
        <w:rFonts w:ascii="Wingdings" w:hAnsi="Wingdings" w:hint="default"/>
      </w:rPr>
    </w:lvl>
  </w:abstractNum>
  <w:abstractNum w:abstractNumId="12">
    <w:nsid w:val="35943F6A"/>
    <w:multiLevelType w:val="hybridMultilevel"/>
    <w:lvl w:ilvl="0" w:tplc="8D94E00A">
      <w:start w:val="1"/>
      <w:numFmt w:val="decimal"/>
      <w:suff w:val="tab"/>
      <w:lvlText w:val="%1."/>
      <w:lvlJc w:val="left"/>
      <w:pPr>
        <w:ind w:hanging="360" w:left="700"/>
      </w:pPr>
      <w:rPr>
        <w:rFonts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13">
    <w:nsid w:val="409B3E6C"/>
    <w:multiLevelType w:val="hybridMultilevel"/>
    <w:lvl w:ilvl="0" w:tplc="041D000B">
      <w:start w:val="1"/>
      <w:numFmt w:val="bullet"/>
      <w:suff w:val="tab"/>
      <w:lvlText w:val=""/>
      <w:lvlJc w:val="left"/>
      <w:pPr>
        <w:ind w:hanging="360" w:left="700"/>
      </w:pPr>
      <w:rPr>
        <w:rFonts w:ascii="Wingdings" w:hAnsi="Wingdings" w:hint="default"/>
      </w:rPr>
    </w:lvl>
    <w:lvl w:ilvl="1" w:tplc="FFFFFFFF">
      <w:start w:val="1"/>
      <w:numFmt w:val="bullet"/>
      <w:suff w:val="tab"/>
      <w:lvlText w:val="o"/>
      <w:lvlJc w:val="left"/>
      <w:pPr>
        <w:ind w:hanging="360" w:left="1420"/>
      </w:pPr>
      <w:rPr>
        <w:rFonts w:ascii="Courier New" w:hAnsi="Courier New" w:cs="Courier New" w:hint="default"/>
      </w:rPr>
    </w:lvl>
    <w:lvl w:ilvl="2" w:tplc="FFFFFFFF">
      <w:start w:val="1"/>
      <w:numFmt w:val="bullet"/>
      <w:suff w:val="tab"/>
      <w:lvlText w:val=""/>
      <w:lvlJc w:val="left"/>
      <w:pPr>
        <w:ind w:hanging="360" w:left="2140"/>
      </w:pPr>
      <w:rPr>
        <w:rFonts w:ascii="Wingdings" w:hAnsi="Wingdings" w:hint="default"/>
      </w:rPr>
    </w:lvl>
    <w:lvl w:ilvl="3" w:tplc="FFFFFFFF">
      <w:start w:val="1"/>
      <w:numFmt w:val="bullet"/>
      <w:suff w:val="tab"/>
      <w:lvlText w:val=""/>
      <w:lvlJc w:val="left"/>
      <w:pPr>
        <w:ind w:hanging="360" w:left="2860"/>
      </w:pPr>
      <w:rPr>
        <w:rFonts w:ascii="Symbol" w:hAnsi="Symbol" w:hint="default"/>
      </w:rPr>
    </w:lvl>
    <w:lvl w:ilvl="4" w:tplc="FFFFFFFF">
      <w:start w:val="1"/>
      <w:numFmt w:val="bullet"/>
      <w:suff w:val="tab"/>
      <w:lvlText w:val="o"/>
      <w:lvlJc w:val="left"/>
      <w:pPr>
        <w:ind w:hanging="360" w:left="3580"/>
      </w:pPr>
      <w:rPr>
        <w:rFonts w:ascii="Courier New" w:hAnsi="Courier New" w:cs="Courier New" w:hint="default"/>
      </w:rPr>
    </w:lvl>
    <w:lvl w:ilvl="5" w:tplc="FFFFFFFF">
      <w:start w:val="1"/>
      <w:numFmt w:val="bullet"/>
      <w:suff w:val="tab"/>
      <w:lvlText w:val=""/>
      <w:lvlJc w:val="left"/>
      <w:pPr>
        <w:ind w:hanging="360" w:left="4300"/>
      </w:pPr>
      <w:rPr>
        <w:rFonts w:ascii="Wingdings" w:hAnsi="Wingdings" w:hint="default"/>
      </w:rPr>
    </w:lvl>
    <w:lvl w:ilvl="6" w:tplc="FFFFFFFF">
      <w:start w:val="1"/>
      <w:numFmt w:val="bullet"/>
      <w:suff w:val="tab"/>
      <w:lvlText w:val=""/>
      <w:lvlJc w:val="left"/>
      <w:pPr>
        <w:ind w:hanging="360" w:left="5020"/>
      </w:pPr>
      <w:rPr>
        <w:rFonts w:ascii="Symbol" w:hAnsi="Symbol" w:hint="default"/>
      </w:rPr>
    </w:lvl>
    <w:lvl w:ilvl="7" w:tplc="FFFFFFFF">
      <w:start w:val="1"/>
      <w:numFmt w:val="bullet"/>
      <w:suff w:val="tab"/>
      <w:lvlText w:val="o"/>
      <w:lvlJc w:val="left"/>
      <w:pPr>
        <w:ind w:hanging="360" w:left="5740"/>
      </w:pPr>
      <w:rPr>
        <w:rFonts w:ascii="Courier New" w:hAnsi="Courier New" w:cs="Courier New" w:hint="default"/>
      </w:rPr>
    </w:lvl>
    <w:lvl w:ilvl="8" w:tplc="FFFFFFFF">
      <w:start w:val="1"/>
      <w:numFmt w:val="bullet"/>
      <w:suff w:val="tab"/>
      <w:lvlText w:val=""/>
      <w:lvlJc w:val="left"/>
      <w:pPr>
        <w:ind w:hanging="360" w:left="6460"/>
      </w:pPr>
      <w:rPr>
        <w:rFonts w:ascii="Wingdings" w:hAnsi="Wingdings" w:hint="default"/>
      </w:rPr>
    </w:lvl>
  </w:abstractNum>
  <w:abstractNum w:abstractNumId="14">
    <w:nsid w:val="414E1A43"/>
    <w:multiLevelType w:val="hybridMultilevel"/>
    <w:lvl w:ilvl="0" w:tplc="EF7E580C">
      <w:start w:val="1"/>
      <w:numFmt w:val="decimal"/>
      <w:suff w:val="tab"/>
      <w:lvlText w:val="%1."/>
      <w:lvlJc w:val="left"/>
      <w:pPr>
        <w:ind w:hanging="360" w:left="700"/>
      </w:pPr>
      <w:rPr>
        <w:rFonts w:ascii="Times New Roman" w:hAnsi="Times New Roman" w:cs="Times New Roman"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15">
    <w:nsid w:val="43DF00A5"/>
    <w:multiLevelType w:val="hybridMultilevel"/>
    <w:lvl w:ilvl="0" w:tplc="041D000B">
      <w:start w:val="1"/>
      <w:numFmt w:val="bullet"/>
      <w:suff w:val="tab"/>
      <w:lvlText w:val=""/>
      <w:lvlJc w:val="left"/>
      <w:pPr>
        <w:ind w:hanging="360" w:left="1080"/>
      </w:pPr>
      <w:rPr>
        <w:rFonts w:ascii="Wingdings" w:hAnsi="Wingdings" w:hint="default"/>
      </w:rPr>
    </w:lvl>
    <w:lvl w:ilvl="1" w:tplc="041D0003">
      <w:start w:val="1"/>
      <w:numFmt w:val="bullet"/>
      <w:suff w:val="tab"/>
      <w:lvlText w:val="o"/>
      <w:lvlJc w:val="left"/>
      <w:pPr>
        <w:ind w:hanging="360" w:left="1800"/>
      </w:pPr>
      <w:rPr>
        <w:rFonts w:ascii="Courier New" w:hAnsi="Courier New" w:cs="Courier New" w:hint="default"/>
      </w:rPr>
    </w:lvl>
    <w:lvl w:ilvl="2" w:tplc="041D0005">
      <w:start w:val="1"/>
      <w:numFmt w:val="bullet"/>
      <w:suff w:val="tab"/>
      <w:lvlText w:val=""/>
      <w:lvlJc w:val="left"/>
      <w:pPr>
        <w:ind w:hanging="360" w:left="2520"/>
      </w:pPr>
      <w:rPr>
        <w:rFonts w:ascii="Wingdings" w:hAnsi="Wingdings" w:hint="default"/>
      </w:rPr>
    </w:lvl>
    <w:lvl w:ilvl="3" w:tplc="041D0001">
      <w:start w:val="1"/>
      <w:numFmt w:val="bullet"/>
      <w:suff w:val="tab"/>
      <w:lvlText w:val=""/>
      <w:lvlJc w:val="left"/>
      <w:pPr>
        <w:ind w:hanging="360" w:left="3240"/>
      </w:pPr>
      <w:rPr>
        <w:rFonts w:ascii="Symbol" w:hAnsi="Symbol" w:hint="default"/>
      </w:rPr>
    </w:lvl>
    <w:lvl w:ilvl="4" w:tplc="041D0003">
      <w:start w:val="1"/>
      <w:numFmt w:val="bullet"/>
      <w:suff w:val="tab"/>
      <w:lvlText w:val="o"/>
      <w:lvlJc w:val="left"/>
      <w:pPr>
        <w:ind w:hanging="360" w:left="3960"/>
      </w:pPr>
      <w:rPr>
        <w:rFonts w:ascii="Courier New" w:hAnsi="Courier New" w:cs="Courier New" w:hint="default"/>
      </w:rPr>
    </w:lvl>
    <w:lvl w:ilvl="5" w:tplc="041D0005">
      <w:start w:val="1"/>
      <w:numFmt w:val="bullet"/>
      <w:suff w:val="tab"/>
      <w:lvlText w:val=""/>
      <w:lvlJc w:val="left"/>
      <w:pPr>
        <w:ind w:hanging="360" w:left="4680"/>
      </w:pPr>
      <w:rPr>
        <w:rFonts w:ascii="Wingdings" w:hAnsi="Wingdings" w:hint="default"/>
      </w:rPr>
    </w:lvl>
    <w:lvl w:ilvl="6" w:tplc="041D0001">
      <w:start w:val="1"/>
      <w:numFmt w:val="bullet"/>
      <w:suff w:val="tab"/>
      <w:lvlText w:val=""/>
      <w:lvlJc w:val="left"/>
      <w:pPr>
        <w:ind w:hanging="360" w:left="5400"/>
      </w:pPr>
      <w:rPr>
        <w:rFonts w:ascii="Symbol" w:hAnsi="Symbol" w:hint="default"/>
      </w:rPr>
    </w:lvl>
    <w:lvl w:ilvl="7" w:tplc="041D0003">
      <w:start w:val="1"/>
      <w:numFmt w:val="bullet"/>
      <w:suff w:val="tab"/>
      <w:lvlText w:val="o"/>
      <w:lvlJc w:val="left"/>
      <w:pPr>
        <w:ind w:hanging="360" w:left="6120"/>
      </w:pPr>
      <w:rPr>
        <w:rFonts w:ascii="Courier New" w:hAnsi="Courier New" w:cs="Courier New" w:hint="default"/>
      </w:rPr>
    </w:lvl>
    <w:lvl w:ilvl="8" w:tplc="041D0005">
      <w:start w:val="1"/>
      <w:numFmt w:val="bullet"/>
      <w:suff w:val="tab"/>
      <w:lvlText w:val=""/>
      <w:lvlJc w:val="left"/>
      <w:pPr>
        <w:ind w:hanging="360" w:left="6840"/>
      </w:pPr>
      <w:rPr>
        <w:rFonts w:ascii="Wingdings" w:hAnsi="Wingdings" w:hint="default"/>
      </w:rPr>
    </w:lvl>
  </w:abstractNum>
  <w:abstractNum w:abstractNumId="16">
    <w:nsid w:val="4B3B51CC"/>
    <w:multiLevelType w:val="hybridMultilevel"/>
    <w:lvl w:ilvl="0" w:tplc="357E7642">
      <w:start w:val="0"/>
      <w:numFmt w:val="bullet"/>
      <w:suff w:val="tab"/>
      <w:lvlText w:val=""/>
      <w:lvlJc w:val="left"/>
      <w:pPr>
        <w:ind w:hanging="360" w:left="700"/>
      </w:pPr>
      <w:rPr>
        <w:rFonts w:ascii="Symbol" w:hAnsi="Symbol" w:cs="Times New Roman" w:eastAsiaTheme="minorHAnsi" w:hint="default"/>
      </w:rPr>
    </w:lvl>
    <w:lvl w:ilvl="1" w:tplc="041D0003">
      <w:start w:val="1"/>
      <w:numFmt w:val="bullet"/>
      <w:suff w:val="tab"/>
      <w:lvlText w:val="o"/>
      <w:lvlJc w:val="left"/>
      <w:pPr>
        <w:ind w:hanging="360" w:left="1420"/>
      </w:pPr>
      <w:rPr>
        <w:rFonts w:ascii="Courier New" w:hAnsi="Courier New" w:cs="Courier New" w:hint="default"/>
      </w:rPr>
    </w:lvl>
    <w:lvl w:ilvl="2" w:tplc="041D0005">
      <w:start w:val="1"/>
      <w:numFmt w:val="bullet"/>
      <w:suff w:val="tab"/>
      <w:lvlText w:val=""/>
      <w:lvlJc w:val="left"/>
      <w:pPr>
        <w:ind w:hanging="360" w:left="2140"/>
      </w:pPr>
      <w:rPr>
        <w:rFonts w:ascii="Wingdings" w:hAnsi="Wingdings" w:hint="default"/>
      </w:rPr>
    </w:lvl>
    <w:lvl w:ilvl="3" w:tplc="041D0001">
      <w:start w:val="1"/>
      <w:numFmt w:val="bullet"/>
      <w:suff w:val="tab"/>
      <w:lvlText w:val=""/>
      <w:lvlJc w:val="left"/>
      <w:pPr>
        <w:ind w:hanging="360" w:left="2860"/>
      </w:pPr>
      <w:rPr>
        <w:rFonts w:ascii="Symbol" w:hAnsi="Symbol" w:hint="default"/>
      </w:rPr>
    </w:lvl>
    <w:lvl w:ilvl="4" w:tplc="041D0003">
      <w:start w:val="1"/>
      <w:numFmt w:val="bullet"/>
      <w:suff w:val="tab"/>
      <w:lvlText w:val="o"/>
      <w:lvlJc w:val="left"/>
      <w:pPr>
        <w:ind w:hanging="360" w:left="3580"/>
      </w:pPr>
      <w:rPr>
        <w:rFonts w:ascii="Courier New" w:hAnsi="Courier New" w:cs="Courier New" w:hint="default"/>
      </w:rPr>
    </w:lvl>
    <w:lvl w:ilvl="5" w:tplc="041D0005">
      <w:start w:val="1"/>
      <w:numFmt w:val="bullet"/>
      <w:suff w:val="tab"/>
      <w:lvlText w:val=""/>
      <w:lvlJc w:val="left"/>
      <w:pPr>
        <w:ind w:hanging="360" w:left="4300"/>
      </w:pPr>
      <w:rPr>
        <w:rFonts w:ascii="Wingdings" w:hAnsi="Wingdings" w:hint="default"/>
      </w:rPr>
    </w:lvl>
    <w:lvl w:ilvl="6" w:tplc="041D0001">
      <w:start w:val="1"/>
      <w:numFmt w:val="bullet"/>
      <w:suff w:val="tab"/>
      <w:lvlText w:val=""/>
      <w:lvlJc w:val="left"/>
      <w:pPr>
        <w:ind w:hanging="360" w:left="5020"/>
      </w:pPr>
      <w:rPr>
        <w:rFonts w:ascii="Symbol" w:hAnsi="Symbol" w:hint="default"/>
      </w:rPr>
    </w:lvl>
    <w:lvl w:ilvl="7" w:tplc="041D0003">
      <w:start w:val="1"/>
      <w:numFmt w:val="bullet"/>
      <w:suff w:val="tab"/>
      <w:lvlText w:val="o"/>
      <w:lvlJc w:val="left"/>
      <w:pPr>
        <w:ind w:hanging="360" w:left="5740"/>
      </w:pPr>
      <w:rPr>
        <w:rFonts w:ascii="Courier New" w:hAnsi="Courier New" w:cs="Courier New" w:hint="default"/>
      </w:rPr>
    </w:lvl>
    <w:lvl w:ilvl="8" w:tplc="041D0005">
      <w:start w:val="1"/>
      <w:numFmt w:val="bullet"/>
      <w:suff w:val="tab"/>
      <w:lvlText w:val=""/>
      <w:lvlJc w:val="left"/>
      <w:pPr>
        <w:ind w:hanging="360" w:left="6460"/>
      </w:pPr>
      <w:rPr>
        <w:rFonts w:ascii="Wingdings" w:hAnsi="Wingdings" w:hint="default"/>
      </w:rPr>
    </w:lvl>
  </w:abstractNum>
  <w:abstractNum w:abstractNumId="17">
    <w:nsid w:val="4E1368D3"/>
    <w:multiLevelType w:val="hybridMultilevel"/>
    <w:lvl w:ilvl="0" w:tplc="041D000B">
      <w:start w:val="1"/>
      <w:numFmt w:val="bullet"/>
      <w:suff w:val="tab"/>
      <w:lvlText w:val=""/>
      <w:lvlJc w:val="left"/>
      <w:pPr>
        <w:ind w:hanging="360" w:left="1060"/>
      </w:pPr>
      <w:rPr>
        <w:rFonts w:ascii="Wingdings" w:hAnsi="Wingdings" w:hint="default"/>
      </w:rPr>
    </w:lvl>
    <w:lvl w:ilvl="1" w:tplc="041D0003">
      <w:start w:val="1"/>
      <w:numFmt w:val="bullet"/>
      <w:suff w:val="tab"/>
      <w:lvlText w:val="o"/>
      <w:lvlJc w:val="left"/>
      <w:pPr>
        <w:ind w:hanging="360" w:left="1780"/>
      </w:pPr>
      <w:rPr>
        <w:rFonts w:ascii="Courier New" w:hAnsi="Courier New" w:cs="Courier New" w:hint="default"/>
      </w:rPr>
    </w:lvl>
    <w:lvl w:ilvl="2" w:tplc="041D0005">
      <w:start w:val="1"/>
      <w:numFmt w:val="bullet"/>
      <w:suff w:val="tab"/>
      <w:lvlText w:val=""/>
      <w:lvlJc w:val="left"/>
      <w:pPr>
        <w:ind w:hanging="360" w:left="2500"/>
      </w:pPr>
      <w:rPr>
        <w:rFonts w:ascii="Wingdings" w:hAnsi="Wingdings" w:hint="default"/>
      </w:rPr>
    </w:lvl>
    <w:lvl w:ilvl="3" w:tplc="041D0001">
      <w:start w:val="1"/>
      <w:numFmt w:val="bullet"/>
      <w:suff w:val="tab"/>
      <w:lvlText w:val=""/>
      <w:lvlJc w:val="left"/>
      <w:pPr>
        <w:ind w:hanging="360" w:left="3220"/>
      </w:pPr>
      <w:rPr>
        <w:rFonts w:ascii="Symbol" w:hAnsi="Symbol" w:hint="default"/>
      </w:rPr>
    </w:lvl>
    <w:lvl w:ilvl="4" w:tplc="041D0003">
      <w:start w:val="1"/>
      <w:numFmt w:val="bullet"/>
      <w:suff w:val="tab"/>
      <w:lvlText w:val="o"/>
      <w:lvlJc w:val="left"/>
      <w:pPr>
        <w:ind w:hanging="360" w:left="3940"/>
      </w:pPr>
      <w:rPr>
        <w:rFonts w:ascii="Courier New" w:hAnsi="Courier New" w:cs="Courier New" w:hint="default"/>
      </w:rPr>
    </w:lvl>
    <w:lvl w:ilvl="5" w:tplc="041D0005">
      <w:start w:val="1"/>
      <w:numFmt w:val="bullet"/>
      <w:suff w:val="tab"/>
      <w:lvlText w:val=""/>
      <w:lvlJc w:val="left"/>
      <w:pPr>
        <w:ind w:hanging="360" w:left="4660"/>
      </w:pPr>
      <w:rPr>
        <w:rFonts w:ascii="Wingdings" w:hAnsi="Wingdings" w:hint="default"/>
      </w:rPr>
    </w:lvl>
    <w:lvl w:ilvl="6" w:tplc="041D0001">
      <w:start w:val="1"/>
      <w:numFmt w:val="bullet"/>
      <w:suff w:val="tab"/>
      <w:lvlText w:val=""/>
      <w:lvlJc w:val="left"/>
      <w:pPr>
        <w:ind w:hanging="360" w:left="5380"/>
      </w:pPr>
      <w:rPr>
        <w:rFonts w:ascii="Symbol" w:hAnsi="Symbol" w:hint="default"/>
      </w:rPr>
    </w:lvl>
    <w:lvl w:ilvl="7" w:tplc="041D0003">
      <w:start w:val="1"/>
      <w:numFmt w:val="bullet"/>
      <w:suff w:val="tab"/>
      <w:lvlText w:val="o"/>
      <w:lvlJc w:val="left"/>
      <w:pPr>
        <w:ind w:hanging="360" w:left="6100"/>
      </w:pPr>
      <w:rPr>
        <w:rFonts w:ascii="Courier New" w:hAnsi="Courier New" w:cs="Courier New" w:hint="default"/>
      </w:rPr>
    </w:lvl>
    <w:lvl w:ilvl="8" w:tplc="041D0005">
      <w:start w:val="1"/>
      <w:numFmt w:val="bullet"/>
      <w:suff w:val="tab"/>
      <w:lvlText w:val=""/>
      <w:lvlJc w:val="left"/>
      <w:pPr>
        <w:ind w:hanging="360" w:left="6820"/>
      </w:pPr>
      <w:rPr>
        <w:rFonts w:ascii="Wingdings" w:hAnsi="Wingdings" w:hint="default"/>
      </w:rPr>
    </w:lvl>
  </w:abstractNum>
  <w:abstractNum w:abstractNumId="18">
    <w:nsid w:val="52706A1E"/>
    <w:multiLevelType w:val="hybridMultilevel"/>
    <w:lvl w:ilvl="0" w:tplc="D8DAE22A">
      <w:start w:val="1"/>
      <w:numFmt w:val="decimal"/>
      <w:suff w:val="tab"/>
      <w:lvlText w:val="%1."/>
      <w:lvlJc w:val="left"/>
      <w:pPr>
        <w:ind w:hanging="360" w:left="700"/>
      </w:pPr>
      <w:rPr>
        <w:rFonts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19">
    <w:nsid w:val="5FA87632"/>
    <w:multiLevelType w:val="hybridMultilevel"/>
    <w:lvl w:ilvl="0" w:tplc="19B0E76E">
      <w:start w:val="1"/>
      <w:numFmt w:val="decimal"/>
      <w:suff w:val="tab"/>
      <w:lvlText w:val="%1."/>
      <w:lvlJc w:val="left"/>
      <w:pPr>
        <w:ind w:hanging="360" w:left="700"/>
      </w:pPr>
      <w:rPr>
        <w:rFonts w:ascii="Times New Roman" w:hAnsi="Times New Roman" w:cs="Times New Roman"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20">
    <w:nsid w:val="5FE341A8"/>
    <w:multiLevelType w:val="hybridMultilevel"/>
    <w:lvl w:ilvl="0" w:tplc="73C4A4CA">
      <w:start w:val="1"/>
      <w:numFmt w:val="bullet"/>
      <w:suff w:val="tab"/>
      <w:lvlText w:val=""/>
      <w:lvlJc w:val="left"/>
      <w:pPr>
        <w:ind w:hanging="360" w:left="1060"/>
      </w:pPr>
      <w:rPr>
        <w:rFonts w:ascii="Symbol" w:hAnsi="Symbol" w:hint="default"/>
      </w:rPr>
    </w:lvl>
    <w:lvl w:ilvl="1" w:tplc="041D0003">
      <w:start w:val="1"/>
      <w:numFmt w:val="bullet"/>
      <w:suff w:val="tab"/>
      <w:lvlText w:val="o"/>
      <w:lvlJc w:val="left"/>
      <w:pPr>
        <w:ind w:hanging="360" w:left="1780"/>
      </w:pPr>
      <w:rPr>
        <w:rFonts w:ascii="Courier New" w:hAnsi="Courier New" w:cs="Courier New" w:hint="default"/>
      </w:rPr>
    </w:lvl>
    <w:lvl w:ilvl="2" w:tplc="041D0005">
      <w:start w:val="1"/>
      <w:numFmt w:val="bullet"/>
      <w:suff w:val="tab"/>
      <w:lvlText w:val=""/>
      <w:lvlJc w:val="left"/>
      <w:pPr>
        <w:ind w:hanging="360" w:left="2500"/>
      </w:pPr>
      <w:rPr>
        <w:rFonts w:ascii="Wingdings" w:hAnsi="Wingdings" w:hint="default"/>
      </w:rPr>
    </w:lvl>
    <w:lvl w:ilvl="3" w:tplc="041D0001">
      <w:start w:val="1"/>
      <w:numFmt w:val="bullet"/>
      <w:suff w:val="tab"/>
      <w:lvlText w:val=""/>
      <w:lvlJc w:val="left"/>
      <w:pPr>
        <w:ind w:hanging="360" w:left="3220"/>
      </w:pPr>
      <w:rPr>
        <w:rFonts w:ascii="Symbol" w:hAnsi="Symbol" w:hint="default"/>
      </w:rPr>
    </w:lvl>
    <w:lvl w:ilvl="4" w:tplc="041D0003">
      <w:start w:val="1"/>
      <w:numFmt w:val="bullet"/>
      <w:suff w:val="tab"/>
      <w:lvlText w:val="o"/>
      <w:lvlJc w:val="left"/>
      <w:pPr>
        <w:ind w:hanging="360" w:left="3940"/>
      </w:pPr>
      <w:rPr>
        <w:rFonts w:ascii="Courier New" w:hAnsi="Courier New" w:cs="Courier New" w:hint="default"/>
      </w:rPr>
    </w:lvl>
    <w:lvl w:ilvl="5" w:tplc="041D0005">
      <w:start w:val="1"/>
      <w:numFmt w:val="bullet"/>
      <w:suff w:val="tab"/>
      <w:lvlText w:val=""/>
      <w:lvlJc w:val="left"/>
      <w:pPr>
        <w:ind w:hanging="360" w:left="4660"/>
      </w:pPr>
      <w:rPr>
        <w:rFonts w:ascii="Wingdings" w:hAnsi="Wingdings" w:hint="default"/>
      </w:rPr>
    </w:lvl>
    <w:lvl w:ilvl="6" w:tplc="041D0001">
      <w:start w:val="1"/>
      <w:numFmt w:val="bullet"/>
      <w:suff w:val="tab"/>
      <w:lvlText w:val=""/>
      <w:lvlJc w:val="left"/>
      <w:pPr>
        <w:ind w:hanging="360" w:left="5380"/>
      </w:pPr>
      <w:rPr>
        <w:rFonts w:ascii="Symbol" w:hAnsi="Symbol" w:hint="default"/>
      </w:rPr>
    </w:lvl>
    <w:lvl w:ilvl="7" w:tplc="041D0003">
      <w:start w:val="1"/>
      <w:numFmt w:val="bullet"/>
      <w:suff w:val="tab"/>
      <w:lvlText w:val="o"/>
      <w:lvlJc w:val="left"/>
      <w:pPr>
        <w:ind w:hanging="360" w:left="6100"/>
      </w:pPr>
      <w:rPr>
        <w:rFonts w:ascii="Courier New" w:hAnsi="Courier New" w:cs="Courier New" w:hint="default"/>
      </w:rPr>
    </w:lvl>
    <w:lvl w:ilvl="8" w:tplc="041D0005">
      <w:start w:val="1"/>
      <w:numFmt w:val="bullet"/>
      <w:suff w:val="tab"/>
      <w:lvlText w:val=""/>
      <w:lvlJc w:val="left"/>
      <w:pPr>
        <w:ind w:hanging="360" w:left="6820"/>
      </w:pPr>
      <w:rPr>
        <w:rFonts w:ascii="Wingdings" w:hAnsi="Wingdings" w:hint="default"/>
      </w:rPr>
    </w:lvl>
  </w:abstractNum>
  <w:abstractNum w:abstractNumId="21">
    <w:nsid w:val="64125FD4"/>
    <w:multiLevelType w:val="hybridMultilevel"/>
    <w:lvl w:ilvl="0" w:tplc="041D000B">
      <w:start w:val="1"/>
      <w:numFmt w:val="bullet"/>
      <w:suff w:val="tab"/>
      <w:lvlText w:val=""/>
      <w:lvlJc w:val="left"/>
      <w:pPr>
        <w:ind w:hanging="360" w:left="720"/>
      </w:pPr>
      <w:rPr>
        <w:rFonts w:ascii="Wingdings" w:hAnsi="Wingdings"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2">
    <w:nsid w:val="68875B8D"/>
    <w:multiLevelType w:val="hybridMultilevel"/>
    <w:lvl w:ilvl="0" w:tplc="2B8287B4">
      <w:start w:val="1"/>
      <w:numFmt w:val="decimal"/>
      <w:suff w:val="tab"/>
      <w:lvlText w:val="%1."/>
      <w:lvlJc w:val="left"/>
      <w:pPr>
        <w:ind w:hanging="360" w:left="700"/>
      </w:pPr>
      <w:rPr>
        <w:rFonts w:ascii="Times New Roman" w:hAnsi="Times New Roman" w:cs="Times New Roman" w:hint="default"/>
      </w:rPr>
    </w:lvl>
    <w:lvl w:ilvl="1" w:tplc="041D0019">
      <w:start w:val="1"/>
      <w:numFmt w:val="lowerLetter"/>
      <w:suff w:val="tab"/>
      <w:lvlText w:val="%2."/>
      <w:lvlJc w:val="left"/>
      <w:pPr>
        <w:ind w:hanging="360" w:left="1420"/>
      </w:pPr>
      <w:rPr/>
    </w:lvl>
    <w:lvl w:ilvl="2" w:tplc="041D001B">
      <w:start w:val="1"/>
      <w:numFmt w:val="lowerRoman"/>
      <w:suff w:val="tab"/>
      <w:lvlText w:val="%3."/>
      <w:lvlJc w:val="right"/>
      <w:pPr>
        <w:ind w:hanging="180" w:left="2140"/>
      </w:pPr>
      <w:rPr/>
    </w:lvl>
    <w:lvl w:ilvl="3" w:tplc="041D000F">
      <w:start w:val="1"/>
      <w:numFmt w:val="decimal"/>
      <w:suff w:val="tab"/>
      <w:lvlText w:val="%4."/>
      <w:lvlJc w:val="left"/>
      <w:pPr>
        <w:ind w:hanging="360" w:left="2860"/>
      </w:pPr>
      <w:rPr/>
    </w:lvl>
    <w:lvl w:ilvl="4" w:tplc="041D0019">
      <w:start w:val="1"/>
      <w:numFmt w:val="lowerLetter"/>
      <w:suff w:val="tab"/>
      <w:lvlText w:val="%5."/>
      <w:lvlJc w:val="left"/>
      <w:pPr>
        <w:ind w:hanging="360" w:left="3580"/>
      </w:pPr>
      <w:rPr/>
    </w:lvl>
    <w:lvl w:ilvl="5" w:tplc="041D001B">
      <w:start w:val="1"/>
      <w:numFmt w:val="lowerRoman"/>
      <w:suff w:val="tab"/>
      <w:lvlText w:val="%6."/>
      <w:lvlJc w:val="right"/>
      <w:pPr>
        <w:ind w:hanging="180" w:left="4300"/>
      </w:pPr>
      <w:rPr/>
    </w:lvl>
    <w:lvl w:ilvl="6" w:tplc="041D000F">
      <w:start w:val="1"/>
      <w:numFmt w:val="decimal"/>
      <w:suff w:val="tab"/>
      <w:lvlText w:val="%7."/>
      <w:lvlJc w:val="left"/>
      <w:pPr>
        <w:ind w:hanging="360" w:left="5020"/>
      </w:pPr>
      <w:rPr/>
    </w:lvl>
    <w:lvl w:ilvl="7" w:tplc="041D0019">
      <w:start w:val="1"/>
      <w:numFmt w:val="lowerLetter"/>
      <w:suff w:val="tab"/>
      <w:lvlText w:val="%8."/>
      <w:lvlJc w:val="left"/>
      <w:pPr>
        <w:ind w:hanging="360" w:left="5740"/>
      </w:pPr>
      <w:rPr/>
    </w:lvl>
    <w:lvl w:ilvl="8" w:tplc="041D001B">
      <w:start w:val="1"/>
      <w:numFmt w:val="lowerRoman"/>
      <w:suff w:val="tab"/>
      <w:lvlText w:val="%9."/>
      <w:lvlJc w:val="right"/>
      <w:pPr>
        <w:ind w:hanging="180" w:left="6460"/>
      </w:pPr>
      <w:rPr/>
    </w:lvl>
  </w:abstractNum>
  <w:abstractNum w:abstractNumId="23">
    <w:nsid w:val="731B32ED"/>
    <w:multiLevelType w:val="hybridMultilevel"/>
    <w:lvl w:ilvl="0" w:tplc="041D000B">
      <w:start w:val="1"/>
      <w:numFmt w:val="bullet"/>
      <w:suff w:val="tab"/>
      <w:lvlText w:val=""/>
      <w:lvlJc w:val="left"/>
      <w:pPr>
        <w:ind w:hanging="360" w:left="720"/>
      </w:pPr>
      <w:rPr>
        <w:rFonts w:ascii="Wingdings" w:hAnsi="Wingdings" w:hint="default"/>
      </w:rPr>
    </w:lvl>
    <w:lvl w:ilvl="1" w:tplc="041D0003">
      <w:start w:val="1"/>
      <w:numFmt w:val="bullet"/>
      <w:suff w:val="tab"/>
      <w:lvlText w:val="o"/>
      <w:lvlJc w:val="left"/>
      <w:pPr>
        <w:ind w:hanging="360" w:left="1440"/>
      </w:pPr>
      <w:rPr>
        <w:rFonts w:ascii="Courier New" w:hAnsi="Courier New" w:cs="Courier New" w:hint="default"/>
      </w:rPr>
    </w:lvl>
    <w:lvl w:ilvl="2" w:tplc="041D0005">
      <w:start w:val="1"/>
      <w:numFmt w:val="bullet"/>
      <w:suff w:val="tab"/>
      <w:lvlText w:val=""/>
      <w:lvlJc w:val="left"/>
      <w:pPr>
        <w:ind w:hanging="360" w:left="2160"/>
      </w:pPr>
      <w:rPr>
        <w:rFonts w:ascii="Wingdings" w:hAnsi="Wingdings" w:hint="default"/>
      </w:rPr>
    </w:lvl>
    <w:lvl w:ilvl="3" w:tplc="041D0001">
      <w:start w:val="1"/>
      <w:numFmt w:val="bullet"/>
      <w:suff w:val="tab"/>
      <w:lvlText w:val=""/>
      <w:lvlJc w:val="left"/>
      <w:pPr>
        <w:ind w:hanging="360" w:left="2880"/>
      </w:pPr>
      <w:rPr>
        <w:rFonts w:ascii="Symbol" w:hAnsi="Symbol" w:hint="default"/>
      </w:rPr>
    </w:lvl>
    <w:lvl w:ilvl="4" w:tplc="041D0003">
      <w:start w:val="1"/>
      <w:numFmt w:val="bullet"/>
      <w:suff w:val="tab"/>
      <w:lvlText w:val="o"/>
      <w:lvlJc w:val="left"/>
      <w:pPr>
        <w:ind w:hanging="360" w:left="3600"/>
      </w:pPr>
      <w:rPr>
        <w:rFonts w:ascii="Courier New" w:hAnsi="Courier New" w:cs="Courier New" w:hint="default"/>
      </w:rPr>
    </w:lvl>
    <w:lvl w:ilvl="5" w:tplc="041D0005">
      <w:start w:val="1"/>
      <w:numFmt w:val="bullet"/>
      <w:suff w:val="tab"/>
      <w:lvlText w:val=""/>
      <w:lvlJc w:val="left"/>
      <w:pPr>
        <w:ind w:hanging="360" w:left="4320"/>
      </w:pPr>
      <w:rPr>
        <w:rFonts w:ascii="Wingdings" w:hAnsi="Wingdings" w:hint="default"/>
      </w:rPr>
    </w:lvl>
    <w:lvl w:ilvl="6" w:tplc="041D0001">
      <w:start w:val="1"/>
      <w:numFmt w:val="bullet"/>
      <w:suff w:val="tab"/>
      <w:lvlText w:val=""/>
      <w:lvlJc w:val="left"/>
      <w:pPr>
        <w:ind w:hanging="360" w:left="5040"/>
      </w:pPr>
      <w:rPr>
        <w:rFonts w:ascii="Symbol" w:hAnsi="Symbol" w:hint="default"/>
      </w:rPr>
    </w:lvl>
    <w:lvl w:ilvl="7" w:tplc="041D0003">
      <w:start w:val="1"/>
      <w:numFmt w:val="bullet"/>
      <w:suff w:val="tab"/>
      <w:lvlText w:val="o"/>
      <w:lvlJc w:val="left"/>
      <w:pPr>
        <w:ind w:hanging="360" w:left="5760"/>
      </w:pPr>
      <w:rPr>
        <w:rFonts w:ascii="Courier New" w:hAnsi="Courier New" w:cs="Courier New" w:hint="default"/>
      </w:rPr>
    </w:lvl>
    <w:lvl w:ilvl="8" w:tplc="041D0005">
      <w:start w:val="1"/>
      <w:numFmt w:val="bullet"/>
      <w:suff w:val="tab"/>
      <w:lvlText w:val=""/>
      <w:lvlJc w:val="left"/>
      <w:pPr>
        <w:ind w:hanging="360" w:left="6480"/>
      </w:pPr>
      <w:rPr>
        <w:rFonts w:ascii="Wingdings" w:hAnsi="Wingdings" w:hint="default"/>
      </w:rPr>
    </w:lvl>
  </w:abstractNum>
  <w:abstractNum w:abstractNumId="24">
    <w:nsid w:val="76277DA1"/>
    <w:multiLevelType w:val="hybridMultilevel"/>
    <w:lvl w:ilvl="0" w:tplc="041D000F">
      <w:start w:val="1"/>
      <w:numFmt w:val="decimal"/>
      <w:suff w:val="tab"/>
      <w:lvlText w:val="%1."/>
      <w:lvlJc w:val="left"/>
      <w:pPr>
        <w:ind w:hanging="360" w:left="720"/>
      </w:pPr>
      <w:rPr>
        <w:rFonts w:hint="default"/>
      </w:rPr>
    </w:lvl>
    <w:lvl w:ilvl="1" w:tplc="041D0019">
      <w:start w:val="1"/>
      <w:numFmt w:val="lowerLetter"/>
      <w:suff w:val="tab"/>
      <w:lvlText w:val="%2."/>
      <w:lvlJc w:val="left"/>
      <w:pPr>
        <w:ind w:hanging="360" w:left="1440"/>
      </w:pPr>
      <w:rPr/>
    </w:lvl>
    <w:lvl w:ilvl="2" w:tplc="041D001B">
      <w:start w:val="1"/>
      <w:numFmt w:val="lowerRoman"/>
      <w:suff w:val="tab"/>
      <w:lvlText w:val="%3."/>
      <w:lvlJc w:val="right"/>
      <w:pPr>
        <w:ind w:hanging="180" w:left="2160"/>
      </w:pPr>
      <w:rPr/>
    </w:lvl>
    <w:lvl w:ilvl="3" w:tplc="041D000F">
      <w:start w:val="1"/>
      <w:numFmt w:val="decimal"/>
      <w:suff w:val="tab"/>
      <w:lvlText w:val="%4."/>
      <w:lvlJc w:val="left"/>
      <w:pPr>
        <w:ind w:hanging="360" w:left="2880"/>
      </w:pPr>
      <w:rPr/>
    </w:lvl>
    <w:lvl w:ilvl="4" w:tplc="041D0019">
      <w:start w:val="1"/>
      <w:numFmt w:val="lowerLetter"/>
      <w:suff w:val="tab"/>
      <w:lvlText w:val="%5."/>
      <w:lvlJc w:val="left"/>
      <w:pPr>
        <w:ind w:hanging="360" w:left="3600"/>
      </w:pPr>
      <w:rPr/>
    </w:lvl>
    <w:lvl w:ilvl="5" w:tplc="041D001B">
      <w:start w:val="1"/>
      <w:numFmt w:val="lowerRoman"/>
      <w:suff w:val="tab"/>
      <w:lvlText w:val="%6."/>
      <w:lvlJc w:val="right"/>
      <w:pPr>
        <w:ind w:hanging="180" w:left="4320"/>
      </w:pPr>
      <w:rPr/>
    </w:lvl>
    <w:lvl w:ilvl="6" w:tplc="041D000F">
      <w:start w:val="1"/>
      <w:numFmt w:val="decimal"/>
      <w:suff w:val="tab"/>
      <w:lvlText w:val="%7."/>
      <w:lvlJc w:val="left"/>
      <w:pPr>
        <w:ind w:hanging="360" w:left="5040"/>
      </w:pPr>
      <w:rPr/>
    </w:lvl>
    <w:lvl w:ilvl="7" w:tplc="041D0019">
      <w:start w:val="1"/>
      <w:numFmt w:val="lowerLetter"/>
      <w:suff w:val="tab"/>
      <w:lvlText w:val="%8."/>
      <w:lvlJc w:val="left"/>
      <w:pPr>
        <w:ind w:hanging="360" w:left="5760"/>
      </w:pPr>
      <w:rPr/>
    </w:lvl>
    <w:lvl w:ilvl="8" w:tplc="041D001B">
      <w:start w:val="1"/>
      <w:numFmt w:val="lowerRoman"/>
      <w:suff w:val="tab"/>
      <w:lvlText w:val="%9."/>
      <w:lvlJc w:val="right"/>
      <w:pPr>
        <w:ind w:hanging="180" w:left="6480"/>
      </w:pPr>
      <w:rPr/>
    </w:lvl>
  </w:abstractNum>
  <w:abstractNum w:abstractNumId="25">
    <w:nsid w:val="78F23F66"/>
    <w:multiLevelType w:val="hybridMultilevel"/>
    <w:lvl w:ilvl="0" w:tplc="041D000B">
      <w:start w:val="1"/>
      <w:numFmt w:val="bullet"/>
      <w:suff w:val="tab"/>
      <w:lvlText w:val=""/>
      <w:lvlJc w:val="left"/>
      <w:pPr>
        <w:ind w:hanging="360" w:left="1060"/>
      </w:pPr>
      <w:rPr>
        <w:rFonts w:ascii="Wingdings" w:hAnsi="Wingdings" w:hint="default"/>
      </w:rPr>
    </w:lvl>
    <w:lvl w:ilvl="1" w:tplc="041D0003">
      <w:start w:val="1"/>
      <w:numFmt w:val="bullet"/>
      <w:suff w:val="tab"/>
      <w:lvlText w:val="o"/>
      <w:lvlJc w:val="left"/>
      <w:pPr>
        <w:ind w:hanging="360" w:left="1780"/>
      </w:pPr>
      <w:rPr>
        <w:rFonts w:ascii="Courier New" w:hAnsi="Courier New" w:cs="Courier New" w:hint="default"/>
      </w:rPr>
    </w:lvl>
    <w:lvl w:ilvl="2" w:tplc="041D0005">
      <w:start w:val="1"/>
      <w:numFmt w:val="bullet"/>
      <w:suff w:val="tab"/>
      <w:lvlText w:val=""/>
      <w:lvlJc w:val="left"/>
      <w:pPr>
        <w:ind w:hanging="360" w:left="2500"/>
      </w:pPr>
      <w:rPr>
        <w:rFonts w:ascii="Wingdings" w:hAnsi="Wingdings" w:hint="default"/>
      </w:rPr>
    </w:lvl>
    <w:lvl w:ilvl="3" w:tplc="041D0001">
      <w:start w:val="1"/>
      <w:numFmt w:val="bullet"/>
      <w:suff w:val="tab"/>
      <w:lvlText w:val=""/>
      <w:lvlJc w:val="left"/>
      <w:pPr>
        <w:ind w:hanging="360" w:left="3220"/>
      </w:pPr>
      <w:rPr>
        <w:rFonts w:ascii="Symbol" w:hAnsi="Symbol" w:hint="default"/>
      </w:rPr>
    </w:lvl>
    <w:lvl w:ilvl="4" w:tplc="041D0003">
      <w:start w:val="1"/>
      <w:numFmt w:val="bullet"/>
      <w:suff w:val="tab"/>
      <w:lvlText w:val="o"/>
      <w:lvlJc w:val="left"/>
      <w:pPr>
        <w:ind w:hanging="360" w:left="3940"/>
      </w:pPr>
      <w:rPr>
        <w:rFonts w:ascii="Courier New" w:hAnsi="Courier New" w:cs="Courier New" w:hint="default"/>
      </w:rPr>
    </w:lvl>
    <w:lvl w:ilvl="5" w:tplc="041D0005">
      <w:start w:val="1"/>
      <w:numFmt w:val="bullet"/>
      <w:suff w:val="tab"/>
      <w:lvlText w:val=""/>
      <w:lvlJc w:val="left"/>
      <w:pPr>
        <w:ind w:hanging="360" w:left="4660"/>
      </w:pPr>
      <w:rPr>
        <w:rFonts w:ascii="Wingdings" w:hAnsi="Wingdings" w:hint="default"/>
      </w:rPr>
    </w:lvl>
    <w:lvl w:ilvl="6" w:tplc="041D0001">
      <w:start w:val="1"/>
      <w:numFmt w:val="bullet"/>
      <w:suff w:val="tab"/>
      <w:lvlText w:val=""/>
      <w:lvlJc w:val="left"/>
      <w:pPr>
        <w:ind w:hanging="360" w:left="5380"/>
      </w:pPr>
      <w:rPr>
        <w:rFonts w:ascii="Symbol" w:hAnsi="Symbol" w:hint="default"/>
      </w:rPr>
    </w:lvl>
    <w:lvl w:ilvl="7" w:tplc="041D0003">
      <w:start w:val="1"/>
      <w:numFmt w:val="bullet"/>
      <w:suff w:val="tab"/>
      <w:lvlText w:val="o"/>
      <w:lvlJc w:val="left"/>
      <w:pPr>
        <w:ind w:hanging="360" w:left="6100"/>
      </w:pPr>
      <w:rPr>
        <w:rFonts w:ascii="Courier New" w:hAnsi="Courier New" w:cs="Courier New" w:hint="default"/>
      </w:rPr>
    </w:lvl>
    <w:lvl w:ilvl="8" w:tplc="041D0005">
      <w:start w:val="1"/>
      <w:numFmt w:val="bullet"/>
      <w:suff w:val="tab"/>
      <w:lvlText w:val=""/>
      <w:lvlJc w:val="left"/>
      <w:pPr>
        <w:ind w:hanging="360" w:left="6820"/>
      </w:pPr>
      <w:rPr>
        <w:rFonts w:ascii="Wingdings" w:hAnsi="Wingdings" w:hint="default"/>
      </w:rPr>
    </w:lvl>
  </w:abstractNum>
  <w:num w:numId="1">
    <w:abstractNumId w:val="3"/>
  </w:num>
  <w:num w:numId="2">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space"/>
        <w:lvlText w:val="%1.%2"/>
        <w:lvlJc w:val="left"/>
        <w:pPr>
          <w:ind w:hanging="576" w:left="576"/>
        </w:pPr>
        <w:rPr>
          <w:rFonts w:hint="default"/>
        </w:rPr>
      </w:lvl>
    </w:lvlOverride>
    <w:lvlOverride w:ilvl="2">
      <w:lvl w:ilvl="2">
        <w:start w:val="1"/>
        <w:numFmt w:val="decimal"/>
        <w:suff w:val="tab"/>
        <w:lvlText w:val="%1.%2.%3"/>
        <w:lvlJc w:val="left"/>
        <w:pPr>
          <w:ind w:hanging="72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3">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463"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4">
    <w:abstractNumId w:val="3"/>
    <w:lvlOverride w:ilvl="0">
      <w:lvl w:ilvl="0">
        <w:start w:val="1"/>
        <w:numFmt w:val="decimal"/>
        <w:suff w:val="tab"/>
        <w:lvlText w:val="%1"/>
        <w:lvlJc w:val="left"/>
        <w:pPr>
          <w:ind w:hanging="432" w:left="432"/>
        </w:pPr>
        <w:rPr>
          <w:rFonts w:hint="default"/>
        </w:rPr>
      </w:lvl>
    </w:lvlOverride>
    <w:lvlOverride w:ilvl="1">
      <w:lvl w:ilvl="1">
        <w:start w:val="1"/>
        <w:numFmt w:val="decimal"/>
        <w:suff w:val="tab"/>
        <w:lvlText w:val="%1.%2"/>
        <w:lvlJc w:val="left"/>
        <w:pPr>
          <w:ind w:hanging="576" w:left="576"/>
          <w:tabs>
            <w:tab w:val="num" w:pos="1134" w:leader="none"/>
          </w:tabs>
        </w:pPr>
        <w:rPr>
          <w:rFonts w:hint="default"/>
        </w:rPr>
      </w:lvl>
    </w:lvlOverride>
    <w:lvlOverride w:ilvl="2">
      <w:lvl w:ilvl="2">
        <w:start w:val="1"/>
        <w:numFmt w:val="decimal"/>
        <w:suff w:val="space"/>
        <w:lvlText w:val="%1.%2.%3"/>
        <w:lvlJc w:val="left"/>
        <w:pPr>
          <w:ind w:hanging="380" w:left="720"/>
        </w:pPr>
        <w:rPr>
          <w:rFonts w:hint="default"/>
        </w:rPr>
      </w:lvl>
    </w:lvlOverride>
    <w:lvlOverride w:ilvl="3">
      <w:lvl w:ilvl="3">
        <w:start w:val="1"/>
        <w:numFmt w:val="decimal"/>
        <w:suff w:val="tab"/>
        <w:lvlText w:val="%1.%2.%3.%4"/>
        <w:lvlJc w:val="left"/>
        <w:pPr>
          <w:ind w:hanging="864" w:left="864"/>
        </w:pPr>
        <w:rPr>
          <w:rFonts w:hint="default"/>
        </w:rPr>
      </w:lvl>
    </w:lvlOverride>
    <w:lvlOverride w:ilvl="4">
      <w:lvl w:ilvl="4">
        <w:start w:val="1"/>
        <w:numFmt w:val="decimal"/>
        <w:suff w:val="tab"/>
        <w:lvlText w:val="%1.%2.%3.%4.%5"/>
        <w:lvlJc w:val="left"/>
        <w:pPr>
          <w:ind w:hanging="1008" w:left="1008"/>
        </w:pPr>
        <w:rPr>
          <w:rFonts w:hint="default"/>
        </w:rPr>
      </w:lvl>
    </w:lvlOverride>
    <w:lvlOverride w:ilvl="5">
      <w:lvl w:ilvl="5">
        <w:start w:val="1"/>
        <w:numFmt w:val="decimal"/>
        <w:suff w:val="tab"/>
        <w:lvlText w:val="%1.%2.%3.%4.%5.%6"/>
        <w:lvlJc w:val="left"/>
        <w:pPr>
          <w:ind w:hanging="1152" w:left="1152"/>
        </w:pPr>
        <w:rPr>
          <w:rFonts w:hint="default"/>
        </w:rPr>
      </w:lvl>
    </w:lvlOverride>
    <w:lvlOverride w:ilvl="6">
      <w:lvl w:ilvl="6">
        <w:start w:val="1"/>
        <w:numFmt w:val="decimal"/>
        <w:suff w:val="tab"/>
        <w:lvlText w:val="%1.%2.%3.%4.%5.%6.%7"/>
        <w:lvlJc w:val="left"/>
        <w:pPr>
          <w:ind w:hanging="1296" w:left="1296"/>
        </w:pPr>
        <w:rPr>
          <w:rFonts w:hint="default"/>
        </w:rPr>
      </w:lvl>
    </w:lvlOverride>
    <w:lvlOverride w:ilvl="7">
      <w:lvl w:ilvl="7">
        <w:start w:val="1"/>
        <w:numFmt w:val="decimal"/>
        <w:suff w:val="tab"/>
        <w:lvlText w:val="%1.%2.%3.%4.%5.%6.%7.%8"/>
        <w:lvlJc w:val="left"/>
        <w:pPr>
          <w:ind w:hanging="1440" w:left="1440"/>
        </w:pPr>
        <w:rPr>
          <w:rFonts w:hint="default"/>
        </w:rPr>
      </w:lvl>
    </w:lvlOverride>
    <w:lvlOverride w:ilvl="8">
      <w:lvl w:ilvl="8">
        <w:start w:val="1"/>
        <w:numFmt w:val="decimal"/>
        <w:suff w:val="tab"/>
        <w:lvlText w:val="%1.%2.%3.%4.%5.%6.%7.%8.%9"/>
        <w:lvlJc w:val="left"/>
        <w:pPr>
          <w:ind w:hanging="1584" w:left="1584"/>
        </w:pPr>
        <w:rPr>
          <w:rFonts w:hint="default"/>
        </w:rPr>
      </w:lvl>
    </w:lvlOverride>
  </w:num>
  <w:num w:numId="5">
    <w:abstractNumId w:val="16"/>
  </w:num>
  <w:num w:numId="6">
    <w:abstractNumId w:val="14"/>
  </w:num>
  <w:num w:numId="7">
    <w:abstractNumId w:val="4"/>
  </w:num>
  <w:num w:numId="8">
    <w:abstractNumId w:val="8"/>
  </w:num>
  <w:num w:numId="9">
    <w:abstractNumId w:val="15"/>
  </w:num>
  <w:num w:numId="10">
    <w:abstractNumId w:val="21"/>
  </w:num>
  <w:num w:numId="11">
    <w:abstractNumId w:val="23"/>
  </w:num>
  <w:num w:numId="12">
    <w:abstractNumId w:val="2"/>
  </w:num>
  <w:num w:numId="13">
    <w:abstractNumId w:val="10"/>
  </w:num>
  <w:num w:numId="14">
    <w:abstractNumId w:val="24"/>
  </w:num>
  <w:num w:numId="15">
    <w:abstractNumId w:val="19"/>
  </w:num>
  <w:num w:numId="16">
    <w:abstractNumId w:val="18"/>
  </w:num>
  <w:num w:numId="17">
    <w:abstractNumId w:val="0"/>
  </w:num>
  <w:num w:numId="18">
    <w:abstractNumId w:val="25"/>
  </w:num>
  <w:num w:numId="19">
    <w:abstractNumId w:val="5"/>
  </w:num>
  <w:num w:numId="20">
    <w:abstractNumId w:val="12"/>
  </w:num>
  <w:num w:numId="21">
    <w:abstractNumId w:val="22"/>
  </w:num>
  <w:num w:numId="22">
    <w:abstractNumId w:val="11"/>
  </w:num>
  <w:num w:numId="2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num>
  <w:num w:numId="25">
    <w:abstractNumId w:val="17"/>
  </w:num>
  <w:num w:numId="26">
    <w:abstractNumId w:val="13"/>
  </w:num>
  <w:num w:numId="27">
    <w:abstractNumId w:val="20"/>
  </w:num>
  <w:num w:numId="28">
    <w:abstractNumId w:val="9"/>
  </w:num>
  <w:num w:numId="29">
    <w:abstractNumId w:val="7"/>
  </w:num>
  <w:num w:numId="30">
    <w:abstractNumId w:val="1"/>
  </w:num>
</w:numbering>
</file>

<file path=word/settings.xml><?xml version="1.0" encoding="utf-8"?>
<w:settings xmlns:w="http://schemas.openxmlformats.org/wordprocessingml/2006/main">
  <w:displayBackgroundShape w:val="0"/>
  <w:defaultTabStop w:val="1304"/>
  <w:autoHyphenation w:val="0"/>
  <w:hyphenationZone w:val="425"/>
  <w:evenAndOddHeaders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clrSchemeMapping w:bg1="light1" w:t1="dark1" w:bg2="light2" w:t2="dark2" w:accent1="accent1" w:accent2="accent2" w:accent3="accent3" w:accent4="accent4" w:accent5="accent5" w:accent6="accent6" w:hyperlink="hyperlink" w:followedHyperlink="followedHyperlink"/>
  <w:footnotePr>
    <w:footnote w:id="-1"/>
    <w:footnote w:id="0"/>
  </w:footnotePr>
  <w:endnotePr>
    <w:endnote w:id="-1"/>
    <w:endnote w:id="0"/>
  </w:endnotePr>
</w:settings>
</file>

<file path=word/styles.xml><?xml version="1.0" encoding="utf-8"?>
<w:styles xmlns:w="http://schemas.openxmlformats.org/wordprocessingml/2006/main">
  <w:docDefaults>
    <w:rPrDefault>
      <w:rPr>
        <w:rFonts w:asciiTheme="minorHAnsi" w:hAnsiTheme="minorHAnsi" w:cstheme="minorBidi" w:eastAsiaTheme="minorHAnsi"/>
        <w:sz w:val="22"/>
        <w:szCs w:val="22"/>
        <w:lang w:val="sv-SE" w:bidi="ar-SA" w:eastAsia="en-US"/>
      </w:rPr>
    </w:rPrDefault>
    <w:pPrDefault>
      <w:pPr>
        <w:keepNext w:val="0"/>
        <w:keepLines w:val="0"/>
        <w:pageBreakBefore w:val="0"/>
        <w:widowControl w:val="1"/>
        <w:suppressLineNumbers w:val="0"/>
        <w:shd w:val="clear" w:fill="auto"/>
        <w:suppressAutoHyphens w:val="0"/>
        <w:spacing w:lineRule="auto" w:line="259" w:before="0" w:after="160" w:beforeAutospacing="0" w:afterAutospacing="0"/>
        <w:ind w:firstLine="0" w:left="0" w:right="0"/>
        <w:contextualSpacing w:val="0"/>
        <w:bidi w:val="0"/>
        <w:jc w:val="left"/>
        <w:outlineLvl w:val="9"/>
      </w:pPr>
    </w:pPrDefault>
  </w:docDefaults>
  <w:style w:type="paragraph" w:styleId="P0" w:default="1">
    <w:name w:val="Normal"/>
    <w:qFormat/>
    <w:pPr/>
    <w:rPr/>
  </w:style>
  <w:style w:type="paragraph" w:styleId="P1">
    <w:name w:val="Heading 1"/>
    <w:basedOn w:val="P0"/>
    <w:next w:val="P0"/>
    <w:link w:val="C10"/>
    <w:qFormat/>
    <w:pPr>
      <w:keepNext w:val="1"/>
      <w:keepLines w:val="1"/>
      <w:spacing w:before="240" w:after="0" w:beforeAutospacing="0" w:afterAutospacing="0"/>
      <w:outlineLvl w:val="0"/>
    </w:pPr>
    <w:rPr>
      <w:rFonts w:asciiTheme="majorHAnsi" w:hAnsiTheme="majorHAnsi" w:cstheme="majorBidi" w:eastAsiaTheme="majorEastAsia"/>
      <w:color w:val="2F5496" w:themeColor="accent1" w:themeShade="BF"/>
      <w:sz w:val="32"/>
      <w:szCs w:val="32"/>
    </w:rPr>
  </w:style>
  <w:style w:type="paragraph" w:styleId="P2">
    <w:name w:val="Heading 2"/>
    <w:basedOn w:val="P0"/>
    <w:next w:val="P0"/>
    <w:link w:val="C11"/>
    <w:semiHidden/>
    <w:qFormat/>
    <w:pPr>
      <w:keepNext w:val="1"/>
      <w:keepLines w:val="1"/>
      <w:spacing w:before="40" w:after="0" w:beforeAutospacing="0" w:afterAutospacing="0"/>
      <w:outlineLvl w:val="1"/>
    </w:pPr>
    <w:rPr>
      <w:rFonts w:asciiTheme="majorHAnsi" w:hAnsiTheme="majorHAnsi" w:cstheme="majorBidi" w:eastAsiaTheme="majorEastAsia"/>
      <w:color w:val="2F5496" w:themeColor="accent1" w:themeShade="BF"/>
      <w:sz w:val="26"/>
      <w:szCs w:val="26"/>
    </w:rPr>
  </w:style>
  <w:style w:type="paragraph" w:styleId="P3">
    <w:name w:val="Heading 3"/>
    <w:basedOn w:val="P0"/>
    <w:next w:val="P0"/>
    <w:link w:val="C3"/>
    <w:qFormat/>
    <w:pPr>
      <w:keepNext w:val="1"/>
      <w:keepLines w:val="1"/>
      <w:spacing w:before="40" w:after="0" w:beforeAutospacing="0" w:afterAutospacing="0"/>
      <w:outlineLvl w:val="2"/>
    </w:pPr>
    <w:rPr>
      <w:rFonts w:asciiTheme="majorHAnsi" w:hAnsiTheme="majorHAnsi" w:cstheme="majorBidi" w:eastAsiaTheme="majorEastAsia"/>
      <w:color w:val="203864" w:themeColor="accent1" w:themeShade="7F"/>
      <w:sz w:val="24"/>
      <w:szCs w:val="24"/>
    </w:rPr>
  </w:style>
  <w:style w:type="paragraph" w:styleId="P4">
    <w:name w:val="Heading 4"/>
    <w:next w:val="P0"/>
    <w:link w:val="C4"/>
    <w:qFormat/>
    <w:pPr>
      <w:keepNext w:val="1"/>
      <w:keepLines w:val="1"/>
      <w:numPr>
        <w:ilvl w:val="3"/>
        <w:numId w:val="1"/>
      </w:numPr>
      <w:spacing w:after="3" w:beforeAutospacing="0" w:afterAutospacing="0"/>
      <w:outlineLvl w:val="3"/>
    </w:pPr>
    <w:rPr>
      <w:rFonts w:ascii="Arial" w:hAnsi="Arial" w:cs="Arial" w:eastAsia="Arial"/>
      <w:color w:val="000000"/>
      <w:sz w:val="32"/>
      <w:lang w:eastAsia="sv-SE"/>
    </w:rPr>
  </w:style>
  <w:style w:type="paragraph" w:styleId="P5">
    <w:name w:val="Heading 5"/>
    <w:next w:val="P0"/>
    <w:link w:val="C5"/>
    <w:qFormat/>
    <w:pPr>
      <w:keepNext w:val="1"/>
      <w:keepLines w:val="1"/>
      <w:numPr>
        <w:ilvl w:val="4"/>
        <w:numId w:val="1"/>
      </w:numPr>
      <w:spacing w:after="0" w:beforeAutospacing="0" w:afterAutospacing="0"/>
      <w:outlineLvl w:val="4"/>
    </w:pPr>
    <w:rPr>
      <w:rFonts w:ascii="Arial" w:hAnsi="Arial" w:cs="Arial" w:eastAsia="Arial"/>
      <w:color w:val="000000"/>
      <w:sz w:val="28"/>
      <w:lang w:eastAsia="sv-SE"/>
    </w:rPr>
  </w:style>
  <w:style w:type="paragraph" w:styleId="P6">
    <w:name w:val="Heading 6"/>
    <w:next w:val="P0"/>
    <w:link w:val="C6"/>
    <w:qFormat/>
    <w:pPr>
      <w:keepNext w:val="1"/>
      <w:keepLines w:val="1"/>
      <w:numPr>
        <w:ilvl w:val="5"/>
        <w:numId w:val="1"/>
      </w:numPr>
      <w:spacing w:after="0" w:beforeAutospacing="0" w:afterAutospacing="0"/>
      <w:outlineLvl w:val="5"/>
    </w:pPr>
    <w:rPr>
      <w:rFonts w:ascii="Arial" w:hAnsi="Arial" w:cs="Arial" w:eastAsia="Arial"/>
      <w:color w:val="000000"/>
      <w:sz w:val="28"/>
      <w:lang w:eastAsia="sv-SE"/>
    </w:rPr>
  </w:style>
  <w:style w:type="paragraph" w:styleId="P7">
    <w:name w:val="Heading 7"/>
    <w:next w:val="P0"/>
    <w:link w:val="C7"/>
    <w:qFormat/>
    <w:pPr>
      <w:keepNext w:val="1"/>
      <w:keepLines w:val="1"/>
      <w:numPr>
        <w:ilvl w:val="6"/>
        <w:numId w:val="1"/>
      </w:numPr>
      <w:spacing w:after="3" w:beforeAutospacing="0" w:afterAutospacing="0"/>
      <w:outlineLvl w:val="6"/>
    </w:pPr>
    <w:rPr>
      <w:rFonts w:ascii="Arial" w:hAnsi="Arial" w:cs="Arial" w:eastAsia="Arial"/>
      <w:color w:val="000000"/>
      <w:sz w:val="24"/>
      <w:lang w:eastAsia="sv-SE"/>
    </w:rPr>
  </w:style>
  <w:style w:type="paragraph" w:styleId="P8">
    <w:name w:val="Heading 8"/>
    <w:basedOn w:val="P0"/>
    <w:next w:val="P0"/>
    <w:link w:val="C8"/>
    <w:semiHidden/>
    <w:qFormat/>
    <w:pPr>
      <w:keepNext w:val="1"/>
      <w:keepLines w:val="1"/>
      <w:numPr>
        <w:ilvl w:val="7"/>
        <w:numId w:val="1"/>
      </w:numPr>
      <w:spacing w:before="40" w:after="0" w:beforeAutospacing="0" w:afterAutospacing="0"/>
      <w:outlineLvl w:val="7"/>
    </w:pPr>
    <w:rPr>
      <w:rFonts w:asciiTheme="majorHAnsi" w:hAnsiTheme="majorHAnsi" w:cstheme="majorBidi" w:eastAsiaTheme="majorEastAsia"/>
      <w:color w:val="272727" w:themeColor="text1" w:themeTint="D8"/>
      <w:sz w:val="21"/>
      <w:szCs w:val="21"/>
      <w:lang w:eastAsia="sv-SE"/>
    </w:rPr>
  </w:style>
  <w:style w:type="paragraph" w:styleId="P9">
    <w:name w:val="Heading 9"/>
    <w:basedOn w:val="P0"/>
    <w:next w:val="P0"/>
    <w:link w:val="C9"/>
    <w:semiHidden/>
    <w:qFormat/>
    <w:pPr>
      <w:keepNext w:val="1"/>
      <w:keepLines w:val="1"/>
      <w:numPr>
        <w:ilvl w:val="8"/>
        <w:numId w:val="1"/>
      </w:numPr>
      <w:spacing w:before="40" w:after="0" w:beforeAutospacing="0" w:afterAutospacing="0"/>
      <w:outlineLvl w:val="8"/>
    </w:pPr>
    <w:rPr>
      <w:rFonts w:asciiTheme="majorHAnsi" w:hAnsiTheme="majorHAnsi" w:cstheme="majorBidi" w:eastAsiaTheme="majorEastAsia"/>
      <w:i w:val="1"/>
      <w:iCs w:val="1"/>
      <w:color w:val="272727" w:themeColor="text1" w:themeTint="D8"/>
      <w:sz w:val="21"/>
      <w:szCs w:val="21"/>
      <w:lang w:eastAsia="sv-SE"/>
    </w:rPr>
  </w:style>
  <w:style w:type="paragraph" w:styleId="P10">
    <w:name w:val="Tema"/>
    <w:basedOn w:val="P1"/>
    <w:qFormat/>
    <w:pPr>
      <w:numPr>
        <w:numId w:val="1"/>
      </w:numPr>
      <w:spacing w:before="360" w:after="367" w:beforeAutospacing="0" w:afterAutospacing="0"/>
    </w:pPr>
    <w:rPr>
      <w:rFonts w:ascii="Arial" w:hAnsi="Arial" w:cs="Arial" w:eastAsia="Arial"/>
      <w:caps w:val="1"/>
      <w:color w:val="000000"/>
      <w:sz w:val="40"/>
      <w:szCs w:val="22"/>
      <w:u w:val="single"/>
      <w:lang w:eastAsia="sv-SE"/>
    </w:rPr>
  </w:style>
  <w:style w:type="paragraph" w:styleId="P11">
    <w:name w:val="Grupp"/>
    <w:basedOn w:val="P2"/>
    <w:qFormat/>
    <w:pPr>
      <w:numPr>
        <w:ilvl w:val="1"/>
        <w:numId w:val="1"/>
      </w:numPr>
      <w:spacing w:before="0" w:after="51" w:beforeAutospacing="0" w:afterAutospacing="0"/>
    </w:pPr>
    <w:rPr>
      <w:rFonts w:ascii="Arial" w:hAnsi="Arial" w:cs="Arial" w:eastAsia="Arial"/>
      <w:b w:val="1"/>
      <w:bCs w:val="1"/>
      <w:caps w:val="1"/>
      <w:color w:val="000000"/>
      <w:sz w:val="36"/>
      <w:szCs w:val="20"/>
      <w:lang w:eastAsia="sv-SE"/>
    </w:rPr>
  </w:style>
  <w:style w:type="paragraph" w:styleId="P12">
    <w:name w:val="Undergrupp"/>
    <w:basedOn w:val="P3"/>
    <w:qFormat/>
    <w:pPr>
      <w:keepNext w:val="0"/>
      <w:keepLines w:val="0"/>
      <w:numPr>
        <w:ilvl w:val="2"/>
        <w:numId w:val="1"/>
      </w:numPr>
      <w:spacing w:before="0" w:after="60" w:beforeAutospacing="0" w:afterAutospacing="0"/>
    </w:pPr>
    <w:rPr>
      <w:rFonts w:ascii="Arial" w:hAnsi="Arial" w:cs="Arial" w:eastAsia="Arial"/>
      <w:caps w:val="1"/>
      <w:color w:val="000000"/>
      <w:sz w:val="28"/>
      <w:szCs w:val="22"/>
      <w:lang w:eastAsia="sv-SE"/>
    </w:rPr>
  </w:style>
  <w:style w:type="paragraph" w:styleId="P13">
    <w:name w:val="List Paragraph"/>
    <w:basedOn w:val="P0"/>
    <w:qFormat/>
    <w:pPr>
      <w:ind w:left="720"/>
      <w:contextualSpacing w:val="1"/>
    </w:pPr>
    <w:rPr/>
  </w:style>
  <w:style w:type="paragraph" w:styleId="P14">
    <w:name w:val="Header"/>
    <w:basedOn w:val="P0"/>
    <w:link w:val="C12"/>
    <w:pPr>
      <w:tabs>
        <w:tab w:val="center" w:pos="4536" w:leader="none"/>
        <w:tab w:val="right" w:pos="9072" w:leader="none"/>
      </w:tabs>
      <w:spacing w:lineRule="auto" w:line="240" w:after="0" w:beforeAutospacing="0" w:afterAutospacing="0"/>
    </w:pPr>
    <w:rPr/>
  </w:style>
  <w:style w:type="paragraph" w:styleId="P15">
    <w:name w:val="Footer"/>
    <w:basedOn w:val="P0"/>
    <w:link w:val="C13"/>
    <w:pPr>
      <w:tabs>
        <w:tab w:val="center" w:pos="4536" w:leader="none"/>
        <w:tab w:val="right" w:pos="9072" w:leader="none"/>
      </w:tabs>
      <w:spacing w:lineRule="auto" w:line="240" w:after="0" w:beforeAutospacing="0" w:afterAutospacing="0"/>
    </w:pPr>
    <w:rPr/>
  </w:style>
  <w:style w:type="paragraph" w:styleId="P16">
    <w:name w:val="TOC Heading"/>
    <w:basedOn w:val="P1"/>
    <w:next w:val="P0"/>
    <w:qFormat/>
    <w:pPr>
      <w:outlineLvl w:val="9"/>
    </w:pPr>
    <w:rPr>
      <w:lang w:eastAsia="sv-SE"/>
    </w:rPr>
  </w:style>
  <w:style w:type="paragraph" w:styleId="P17">
    <w:name w:val="TOC 1"/>
    <w:basedOn w:val="P0"/>
    <w:next w:val="P0"/>
    <w:pPr>
      <w:spacing w:before="120" w:after="120" w:beforeAutospacing="0" w:afterAutospacing="0"/>
    </w:pPr>
    <w:rPr>
      <w:rFonts w:cstheme="minorHAnsi"/>
      <w:b w:val="1"/>
      <w:bCs w:val="1"/>
      <w:caps w:val="1"/>
      <w:sz w:val="20"/>
      <w:szCs w:val="20"/>
    </w:rPr>
  </w:style>
  <w:style w:type="paragraph" w:styleId="P18">
    <w:name w:val="TOC 2"/>
    <w:basedOn w:val="P0"/>
    <w:next w:val="P0"/>
    <w:pPr>
      <w:spacing w:after="0" w:beforeAutospacing="0" w:afterAutospacing="0"/>
      <w:ind w:left="220"/>
    </w:pPr>
    <w:rPr>
      <w:rFonts w:cstheme="minorHAnsi"/>
      <w:smallCaps w:val="1"/>
      <w:sz w:val="20"/>
      <w:szCs w:val="20"/>
    </w:rPr>
  </w:style>
  <w:style w:type="paragraph" w:styleId="P19">
    <w:name w:val="TOC 3"/>
    <w:basedOn w:val="P0"/>
    <w:next w:val="P0"/>
    <w:pPr>
      <w:spacing w:after="0" w:beforeAutospacing="0" w:afterAutospacing="0"/>
      <w:ind w:left="440"/>
    </w:pPr>
    <w:rPr>
      <w:rFonts w:cstheme="minorHAnsi"/>
      <w:i w:val="1"/>
      <w:iCs w:val="1"/>
      <w:sz w:val="20"/>
      <w:szCs w:val="20"/>
    </w:rPr>
  </w:style>
  <w:style w:type="paragraph" w:styleId="P20">
    <w:name w:val="TOC 4"/>
    <w:basedOn w:val="P0"/>
    <w:next w:val="P0"/>
    <w:pPr>
      <w:spacing w:after="0" w:beforeAutospacing="0" w:afterAutospacing="0"/>
      <w:ind w:left="660"/>
    </w:pPr>
    <w:rPr>
      <w:rFonts w:cstheme="minorHAnsi"/>
      <w:sz w:val="18"/>
      <w:szCs w:val="18"/>
    </w:rPr>
  </w:style>
  <w:style w:type="paragraph" w:styleId="P21">
    <w:name w:val="TOC 5"/>
    <w:basedOn w:val="P0"/>
    <w:next w:val="P0"/>
    <w:pPr>
      <w:spacing w:after="0" w:beforeAutospacing="0" w:afterAutospacing="0"/>
      <w:ind w:left="880"/>
    </w:pPr>
    <w:rPr>
      <w:rFonts w:cstheme="minorHAnsi"/>
      <w:sz w:val="18"/>
      <w:szCs w:val="18"/>
    </w:rPr>
  </w:style>
  <w:style w:type="paragraph" w:styleId="P22">
    <w:name w:val="TOC 6"/>
    <w:basedOn w:val="P0"/>
    <w:next w:val="P0"/>
    <w:pPr>
      <w:spacing w:after="0" w:beforeAutospacing="0" w:afterAutospacing="0"/>
      <w:ind w:left="1100"/>
    </w:pPr>
    <w:rPr>
      <w:rFonts w:cstheme="minorHAnsi"/>
      <w:sz w:val="18"/>
      <w:szCs w:val="18"/>
    </w:rPr>
  </w:style>
  <w:style w:type="paragraph" w:styleId="P23">
    <w:name w:val="TOC 7"/>
    <w:basedOn w:val="P0"/>
    <w:next w:val="P0"/>
    <w:pPr>
      <w:spacing w:after="0" w:beforeAutospacing="0" w:afterAutospacing="0"/>
      <w:ind w:left="1320"/>
    </w:pPr>
    <w:rPr>
      <w:rFonts w:cstheme="minorHAnsi"/>
      <w:sz w:val="18"/>
      <w:szCs w:val="18"/>
    </w:rPr>
  </w:style>
  <w:style w:type="paragraph" w:styleId="P24">
    <w:name w:val="TOC 8"/>
    <w:basedOn w:val="P0"/>
    <w:next w:val="P0"/>
    <w:pPr>
      <w:spacing w:after="0" w:beforeAutospacing="0" w:afterAutospacing="0"/>
      <w:ind w:left="1540"/>
    </w:pPr>
    <w:rPr>
      <w:rFonts w:cstheme="minorHAnsi"/>
      <w:sz w:val="18"/>
      <w:szCs w:val="18"/>
    </w:rPr>
  </w:style>
  <w:style w:type="paragraph" w:styleId="P25">
    <w:name w:val="TOC 9"/>
    <w:basedOn w:val="P0"/>
    <w:next w:val="P0"/>
    <w:pPr>
      <w:spacing w:after="0" w:beforeAutospacing="0" w:afterAutospacing="0"/>
      <w:ind w:left="1760"/>
    </w:pPr>
    <w:rPr>
      <w:rFonts w:cstheme="minorHAnsi"/>
      <w:sz w:val="18"/>
      <w:szCs w:val="18"/>
    </w:rPr>
  </w:style>
  <w:style w:type="paragraph" w:styleId="P26">
    <w:name w:val="No Spacing"/>
    <w:link w:val="C15"/>
    <w:qFormat/>
    <w:pPr>
      <w:spacing w:lineRule="auto" w:line="240" w:after="0" w:beforeAutospacing="0" w:afterAutospacing="0"/>
    </w:pPr>
    <w:rPr>
      <w:rFonts w:eastAsiaTheme="minorEastAsia"/>
      <w:lang w:eastAsia="sv-SE"/>
    </w:rPr>
  </w:style>
  <w:style w:type="paragraph" w:styleId="P27">
    <w:name w:val="Footnote Text"/>
    <w:link w:val="C17"/>
    <w:semiHidden/>
    <w:pPr>
      <w:spacing w:lineRule="auto" w:line="240" w:after="0" w:beforeAutospacing="0" w:afterAutospacing="0"/>
    </w:pPr>
    <w:rPr>
      <w:sz w:val="20"/>
      <w:szCs w:val="20"/>
    </w:rPr>
  </w:style>
  <w:style w:type="paragraph" w:styleId="P28">
    <w:name w:val="Endnote Text"/>
    <w:link w:val="C19"/>
    <w:semiHidden/>
    <w:pPr>
      <w:spacing w:lineRule="auto" w:line="240" w:after="0" w:beforeAutospacing="0" w:afterAutospacing="0"/>
    </w:pPr>
    <w:rPr>
      <w:sz w:val="20"/>
      <w:szCs w:val="20"/>
    </w:rPr>
  </w:style>
  <w:style w:type="character" w:styleId="C0" w:default="1">
    <w:name w:val="Default Paragraph Font"/>
    <w:semiHidden/>
    <w:rPr/>
  </w:style>
  <w:style w:type="character" w:styleId="C1">
    <w:name w:val="Line Number"/>
    <w:basedOn w:val="C0"/>
    <w:semiHidden/>
    <w:rPr/>
  </w:style>
  <w:style w:type="character" w:styleId="C2">
    <w:name w:val="Hyperlink"/>
    <w:basedOn w:val="C0"/>
    <w:rPr>
      <w:color w:val="0563C1" w:themeColor="hyperlink"/>
      <w:u w:val="single"/>
    </w:rPr>
  </w:style>
  <w:style w:type="character" w:styleId="C3">
    <w:name w:val="Rubrik 3 Char"/>
    <w:basedOn w:val="C0"/>
    <w:link w:val="P3"/>
    <w:rPr>
      <w:rFonts w:asciiTheme="majorHAnsi" w:hAnsiTheme="majorHAnsi" w:cstheme="majorBidi" w:eastAsiaTheme="majorEastAsia"/>
      <w:color w:val="203864" w:themeColor="accent1" w:themeShade="7F"/>
      <w:sz w:val="24"/>
      <w:szCs w:val="24"/>
    </w:rPr>
  </w:style>
  <w:style w:type="character" w:styleId="C4">
    <w:name w:val="Rubrik 4 Char"/>
    <w:basedOn w:val="C0"/>
    <w:link w:val="P4"/>
    <w:rPr>
      <w:rFonts w:ascii="Arial" w:hAnsi="Arial" w:cs="Arial" w:eastAsia="Arial"/>
      <w:color w:val="000000"/>
      <w:sz w:val="32"/>
      <w:lang w:eastAsia="sv-SE"/>
    </w:rPr>
  </w:style>
  <w:style w:type="character" w:styleId="C5">
    <w:name w:val="Rubrik 5 Char"/>
    <w:basedOn w:val="C0"/>
    <w:link w:val="P5"/>
    <w:rPr>
      <w:rFonts w:ascii="Arial" w:hAnsi="Arial" w:cs="Arial" w:eastAsia="Arial"/>
      <w:color w:val="000000"/>
      <w:sz w:val="28"/>
      <w:lang w:eastAsia="sv-SE"/>
    </w:rPr>
  </w:style>
  <w:style w:type="character" w:styleId="C6">
    <w:name w:val="Rubrik 6 Char"/>
    <w:basedOn w:val="C0"/>
    <w:link w:val="P6"/>
    <w:rPr>
      <w:rFonts w:ascii="Arial" w:hAnsi="Arial" w:cs="Arial" w:eastAsia="Arial"/>
      <w:color w:val="000000"/>
      <w:sz w:val="28"/>
      <w:lang w:eastAsia="sv-SE"/>
    </w:rPr>
  </w:style>
  <w:style w:type="character" w:styleId="C7">
    <w:name w:val="Rubrik 7 Char"/>
    <w:basedOn w:val="C0"/>
    <w:link w:val="P7"/>
    <w:rPr>
      <w:rFonts w:ascii="Arial" w:hAnsi="Arial" w:cs="Arial" w:eastAsia="Arial"/>
      <w:color w:val="000000"/>
      <w:sz w:val="24"/>
      <w:lang w:eastAsia="sv-SE"/>
    </w:rPr>
  </w:style>
  <w:style w:type="character" w:styleId="C8">
    <w:name w:val="Rubrik 8 Char"/>
    <w:basedOn w:val="C0"/>
    <w:link w:val="P8"/>
    <w:semiHidden/>
    <w:rPr>
      <w:rFonts w:asciiTheme="majorHAnsi" w:hAnsiTheme="majorHAnsi" w:cstheme="majorBidi" w:eastAsiaTheme="majorEastAsia"/>
      <w:color w:val="272727" w:themeColor="text1" w:themeTint="D8"/>
      <w:sz w:val="21"/>
      <w:szCs w:val="21"/>
      <w:lang w:eastAsia="sv-SE"/>
    </w:rPr>
  </w:style>
  <w:style w:type="character" w:styleId="C9">
    <w:name w:val="Rubrik 9 Char"/>
    <w:basedOn w:val="C0"/>
    <w:link w:val="P9"/>
    <w:semiHidden/>
    <w:rPr>
      <w:rFonts w:asciiTheme="majorHAnsi" w:hAnsiTheme="majorHAnsi" w:cstheme="majorBidi" w:eastAsiaTheme="majorEastAsia"/>
      <w:i w:val="1"/>
      <w:iCs w:val="1"/>
      <w:color w:val="272727" w:themeColor="text1" w:themeTint="D8"/>
      <w:sz w:val="21"/>
      <w:szCs w:val="21"/>
      <w:lang w:eastAsia="sv-SE"/>
    </w:rPr>
  </w:style>
  <w:style w:type="character" w:styleId="C10">
    <w:name w:val="Rubrik 1 Char"/>
    <w:basedOn w:val="C0"/>
    <w:link w:val="P1"/>
    <w:rPr>
      <w:rFonts w:asciiTheme="majorHAnsi" w:hAnsiTheme="majorHAnsi" w:cstheme="majorBidi" w:eastAsiaTheme="majorEastAsia"/>
      <w:color w:val="2F5496" w:themeColor="accent1" w:themeShade="BF"/>
      <w:sz w:val="32"/>
      <w:szCs w:val="32"/>
    </w:rPr>
  </w:style>
  <w:style w:type="character" w:styleId="C11">
    <w:name w:val="Rubrik 2 Char"/>
    <w:basedOn w:val="C0"/>
    <w:link w:val="P2"/>
    <w:semiHidden/>
    <w:rPr>
      <w:rFonts w:asciiTheme="majorHAnsi" w:hAnsiTheme="majorHAnsi" w:cstheme="majorBidi" w:eastAsiaTheme="majorEastAsia"/>
      <w:color w:val="2F5496" w:themeColor="accent1" w:themeShade="BF"/>
      <w:sz w:val="26"/>
      <w:szCs w:val="26"/>
    </w:rPr>
  </w:style>
  <w:style w:type="character" w:styleId="C12">
    <w:name w:val="Sidhuvud Char"/>
    <w:basedOn w:val="C0"/>
    <w:link w:val="P14"/>
    <w:rPr/>
  </w:style>
  <w:style w:type="character" w:styleId="C13">
    <w:name w:val="Sidfot Char"/>
    <w:basedOn w:val="C0"/>
    <w:link w:val="P15"/>
    <w:rPr/>
  </w:style>
  <w:style w:type="character" w:styleId="C14">
    <w:name w:val="Unresolved Mention1"/>
    <w:basedOn w:val="C0"/>
    <w:semiHidden/>
    <w:rPr>
      <w:color w:val="605E5C"/>
      <w:shd w:val="clear" w:color="auto" w:fill="E1DFDD"/>
    </w:rPr>
  </w:style>
  <w:style w:type="character" w:styleId="C15">
    <w:name w:val="Inget avstånd Char"/>
    <w:basedOn w:val="C0"/>
    <w:link w:val="P26"/>
    <w:rPr>
      <w:rFonts w:eastAsiaTheme="minorEastAsia"/>
      <w:lang w:eastAsia="sv-SE"/>
    </w:rPr>
  </w:style>
  <w:style w:type="character" w:styleId="C16">
    <w:name w:val="Footnote Reference"/>
    <w:semiHidden/>
    <w:rPr>
      <w:vertAlign w:val="superscript"/>
    </w:rPr>
  </w:style>
  <w:style w:type="character" w:styleId="C17">
    <w:name w:val="Footnote Text Char"/>
    <w:link w:val="P27"/>
    <w:semiHidden/>
    <w:rPr>
      <w:sz w:val="20"/>
      <w:szCs w:val="20"/>
    </w:rPr>
  </w:style>
  <w:style w:type="character" w:styleId="C18">
    <w:name w:val="Endnote Reference"/>
    <w:semiHidden/>
    <w:rPr>
      <w:vertAlign w:val="superscript"/>
    </w:rPr>
  </w:style>
  <w:style w:type="character" w:styleId="C19">
    <w:name w:val="Endnote Text Char"/>
    <w:link w:val="P28"/>
    <w:semiHidden/>
    <w:rPr>
      <w:sz w:val="20"/>
      <w:szCs w:val="20"/>
    </w:rPr>
  </w:style>
  <w:style w:type="table" w:styleId="T0" w:default="1">
    <w:name w:val="Normal Table"/>
    <w:semiHidden/>
    <w:tblPr>
      <w:tblInd w:w="0" w:type="dxa"/>
      <w:tblCellMar>
        <w:top w:w="0" w:type="dxa"/>
        <w:left w:w="108" w:type="dxa"/>
        <w:bottom w:w="0" w:type="dxa"/>
        <w:right w:w="108" w:type="dxa"/>
      </w:tblCellMar>
    </w:tblPr>
    <w:trPr/>
    <w:tc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trPr/>
    <w:tcPr/>
  </w:style>
  <w:style w:type="table" w:styleId="T2">
    <w:name w:val="Table Grid"/>
    <w:basedOn w:val="T0"/>
    <w:pPr>
      <w:spacing w:lineRule="auto" w:line="240" w:after="0" w:beforeAutospacing="0" w:afterAutospacing="0"/>
    </w:pPr>
    <w:tblPr>
      <w:tblBorders>
        <w:top w:val="single" w:sz="4" w:space="0" w:shadow="0" w:frame="0" w:color="auto"/>
        <w:left w:val="single" w:sz="4" w:space="0" w:shadow="0" w:frame="0" w:color="auto"/>
        <w:bottom w:val="single" w:sz="4" w:space="0" w:shadow="0" w:frame="0" w:color="auto"/>
        <w:right w:val="single" w:sz="4" w:space="0" w:shadow="0" w:frame="0" w:color="auto"/>
        <w:insideH w:val="single" w:sz="4" w:space="0" w:shadow="0" w:frame="0" w:color="auto"/>
        <w:insideV w:val="single" w:sz="4" w:space="0" w:shadow="0" w:frame="0" w:color="auto"/>
      </w:tblBorders>
    </w:tblPr>
    <w:trPr/>
    <w:tcPr/>
  </w:style>
  <w:style w:type="numbering" w:styleId="N0">
    <w:name w:val="No List"/>
  </w:style>
</w:styles>
</file>

<file path=word/_rels/document.xml.rels>&#65279;<?xml version="1.0" encoding="utf-8"?><Relationships xmlns="http://schemas.openxmlformats.org/package/2006/relationships"><Relationship Id="Relimage1" Type="http://schemas.openxmlformats.org/officeDocument/2006/relationships/image" Target="/media/image1.png" /><Relationship Id="Relimage2" Type="http://schemas.openxmlformats.org/officeDocument/2006/relationships/image" Target="/media/image2.png" /><Relationship Id="Relimage3" Type="http://schemas.openxmlformats.org/officeDocument/2006/relationships/image" Target="/media/image3.png" /><Relationship Id="Relimage4" Type="http://schemas.openxmlformats.org/officeDocument/2006/relationships/image" Target="/media/image4.png" /><Relationship Id="Relimage5" Type="http://schemas.openxmlformats.org/officeDocument/2006/relationships/image" Target="/media/image5.png" /><Relationship Id="Relimage6" Type="http://schemas.openxmlformats.org/officeDocument/2006/relationships/image" Target="/media/image6.png" /><Relationship Id="Relimage7" Type="http://schemas.openxmlformats.org/officeDocument/2006/relationships/image" Target="/media/image7.png" /><Relationship Id="Relimage8" Type="http://schemas.openxmlformats.org/officeDocument/2006/relationships/image" Target="/media/image8.png" /><Relationship Id="Relimage9" Type="http://schemas.openxmlformats.org/officeDocument/2006/relationships/image" Target="/media/image9.png" /><Relationship Id="Relimage10" Type="http://schemas.openxmlformats.org/officeDocument/2006/relationships/image" Target="/media/image10.png" /><Relationship Id="Relimage11" Type="http://schemas.openxmlformats.org/officeDocument/2006/relationships/image" Target="/media/image11.png" /><Relationship Id="Relimage12" Type="http://schemas.openxmlformats.org/officeDocument/2006/relationships/image" Target="/media/image12.png" /><Relationship Id="Relimage13" Type="http://schemas.openxmlformats.org/officeDocument/2006/relationships/image" Target="/media/image13.jpg" /><Relationship Id="Relimage14" Type="http://schemas.openxmlformats.org/officeDocument/2006/relationships/image" Target="/media/image14.jpg" /><Relationship Id="Relimage15" Type="http://schemas.openxmlformats.org/officeDocument/2006/relationships/image" Target="/media/image15.png" /><Relationship Id="Relimage16" Type="http://schemas.openxmlformats.org/officeDocument/2006/relationships/image" Target="/media/image16.png" /><Relationship Id="Relimage17" Type="http://schemas.openxmlformats.org/officeDocument/2006/relationships/image" Target="/media/image17.png" /><Relationship Id="Relimage18" Type="http://schemas.openxmlformats.org/officeDocument/2006/relationships/image" Target="/media/image18.png" /><Relationship Id="Relimage19" Type="http://schemas.openxmlformats.org/officeDocument/2006/relationships/image" Target="/media/image19.png" /><Relationship Id="Relimage20" Type="http://schemas.openxmlformats.org/officeDocument/2006/relationships/image" Target="/media/image20.png" /><Relationship Id="Relimage21" Type="http://schemas.openxmlformats.org/officeDocument/2006/relationships/image" Target="/media/image21.png" /><Relationship Id="Relimage22" Type="http://schemas.openxmlformats.org/officeDocument/2006/relationships/image" Target="/media/image22.tif" /><Relationship Id="Relimage23" Type="http://schemas.openxmlformats.org/officeDocument/2006/relationships/image" Target="/media/image23.png" /><Relationship Id="Relimage24" Type="http://schemas.openxmlformats.org/officeDocument/2006/relationships/image" Target="/media/image24.png" /><Relationship Id="Relimage25" Type="http://schemas.openxmlformats.org/officeDocument/2006/relationships/image" Target="/media/image25.jpg" /><Relationship Id="Relimage26" Type="http://schemas.openxmlformats.org/officeDocument/2006/relationships/image" Target="/media/image26.png" /><Relationship Id="Relimage27" Type="http://schemas.openxmlformats.org/officeDocument/2006/relationships/image" Target="/media/image27.jpg" /><Relationship Id="Relimage28" Type="http://schemas.openxmlformats.org/officeDocument/2006/relationships/image" Target="/media/image28.jpg" /><Relationship Id="Relimage29" Type="http://schemas.openxmlformats.org/officeDocument/2006/relationships/image" Target="/media/image29.png" /><Relationship Id="Relimage30" Type="http://schemas.openxmlformats.org/officeDocument/2006/relationships/image" Target="/media/image30.png" /><Relationship Id="Relimage31" Type="http://schemas.openxmlformats.org/officeDocument/2006/relationships/image" Target="/media/image31.jpg" /><Relationship Id="Relimage32" Type="http://schemas.openxmlformats.org/officeDocument/2006/relationships/image" Target="/media/image32.jpg" /><Relationship Id="Relimage33" Type="http://schemas.openxmlformats.org/officeDocument/2006/relationships/image" Target="/media/image33.jpg" /><Relationship Id="Relimage34" Type="http://schemas.openxmlformats.org/officeDocument/2006/relationships/image" Target="/media/image34.jpg" /><Relationship Id="Relimage35" Type="http://schemas.openxmlformats.org/officeDocument/2006/relationships/image" Target="/media/image35.png" /><Relationship Id="Relimage36" Type="http://schemas.openxmlformats.org/officeDocument/2006/relationships/image" Target="/media/image36.jpg" /><Relationship Id="Relimage37" Type="http://schemas.openxmlformats.org/officeDocument/2006/relationships/image" Target="/media/image37.png" /><Relationship Id="Relimage38" Type="http://schemas.openxmlformats.org/officeDocument/2006/relationships/image" Target="/media/image38.png" /><Relationship Id="Relimage39" Type="http://schemas.openxmlformats.org/officeDocument/2006/relationships/image" Target="/media/image39.png" /><Relationship Id="RelHdr1" Type="http://schemas.openxmlformats.org/officeDocument/2006/relationships/header" Target="header1.xml" /><Relationship Id="RelHdr2" Type="http://schemas.openxmlformats.org/officeDocument/2006/relationships/header" Target="header2.xml" /><Relationship Id="RelFtr1" Type="http://schemas.openxmlformats.org/officeDocument/2006/relationships/footer" Target="footer1.xml" /><Relationship Id="RelFnt1" Type="http://schemas.openxmlformats.org/officeDocument/2006/relationships/footnotes" Target="footnotes.xml" /><Relationship Id="RelEnt1" Type="http://schemas.openxmlformats.org/officeDocument/2006/relationships/endnotes" Target="endnotes.xml"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 Id="RelTheme1" Type="http://schemas.openxmlformats.org/officeDocument/2006/relationships/theme" Target="theme/theme1.xml" /><Relationship Id="RelItem1" Type="http://schemas.openxmlformats.org/officeDocument/2006/relationships/customXml" Target="../customXml/item1.xml" /><Relationship Id="RelItem2" Type="http://schemas.openxmlformats.org/officeDocument/2006/relationships/customXml" Target="../customXml/item2.xml" /></Relationships>
</file>

<file path=word/_rels/endnotes.xml.rels>&#65279;<?xml version="1.0" encoding="utf-8"?><Relationships xmlns="http://schemas.openxmlformats.org/package/2006/relationships" />
</file>

<file path=word/_rels/footer1.xml.rels>&#65279;<?xml version="1.0" encoding="utf-8"?><Relationships xmlns="http://schemas.openxmlformats.org/package/2006/relationships" />
</file>

<file path=word/_rels/footnotes.xml.rels>&#65279;<?xml version="1.0" encoding="utf-8"?><Relationships xmlns="http://schemas.openxmlformats.org/package/2006/relationships" />
</file>

<file path=word/_rels/header1.xml.rels>&#65279;<?xml version="1.0" encoding="utf-8"?><Relationships xmlns="http://schemas.openxmlformats.org/package/2006/relationships"><Relationship Id="Relimage40" Type="http://schemas.openxmlformats.org/officeDocument/2006/relationships/image" Target="/media/image40.jpg" /></Relationships>
</file>

<file path=word/_rels/header2.xml.rels>&#65279;<?xml version="1.0" encoding="utf-8"?><Relationships xmlns="http://schemas.openxmlformats.org/package/2006/relationships"><Relationship Id="Relimage41" Type="http://schemas.openxmlformats.org/officeDocument/2006/relationships/image" Target="/media/image41.jp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mpd="sng" algn="ctr">
          <a:solidFill>
            <a:schemeClr val="phClr"/>
          </a:solidFill>
          <a:prstDash val="solid"/>
          <a:miter lim="800000"/>
        </a:ln>
        <a:ln w="12700" cmpd="sng" algn="ctr">
          <a:solidFill>
            <a:schemeClr val="phClr"/>
          </a:solidFill>
          <a:prstDash val="solid"/>
          <a:miter lim="800000"/>
        </a:ln>
        <a:ln w="19050"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theme>
</file>

<file path=customXml/_rels/item1.xml.rels>&#65279;<?xml version="1.0" encoding="utf-8"?><Relationships xmlns="http://schemas.openxmlformats.org/package/2006/relationships"><Relationship Id="rId1" Type="http://schemas.openxmlformats.org/officeDocument/2006/relationships/customXmlProps" Target="itemProps1.xml" /></Relationships>
</file>

<file path=customXml/_rels/item2.xml.rels>&#65279;<?xml version="1.0" encoding="utf-8"?><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lanbeskrivning xmlns:lmg="http://namespace.lantmateriet.se/distribution/geometri/v1" xmlns:gml="http://www.opengis.net/gml/3.2" xmlns="http://namespace.lantmateriet.se/distribution/geodatakatalog/planbeskrivning/v1">
  <Omfattning>
    <identitet>sy_syfte01</identitet>
    <Indelning>
      <tema>Detaljplanens syfte</tema>
      <grupp>Syfte</grupp>
    </Indelning>
  </Omfattning>
  <Omfattning>
    <identitet>be_heladetaljplan01</identitet>
    <Indelning>
      <tema>Beskrivning av detaljplanen</tema>
      <grupp>Hela detaljplan</grupp>
    </Indelning>
  </Omfattning>
  <Omfattning>
    <identitet>be_heladetaljplan02</identitet>
    <Indelning>
      <tema>Beskrivning av detaljplanen</tema>
      <grupp>Hela detaljplan</grupp>
    </Indelning>
  </Omfattning>
  <Omfattning>
    <identitet>be_heladetaljplan03</identitet>
    <Indelning>
      <tema>Beskrivning av detaljplanen</tema>
      <grupp>Hela detaljplan</grupp>
    </Indelning>
  </Omfattning>
  <Omfattning>
    <identitet>be_genomförandetid01</identitet>
    <Indelning>
      <tema>Beskrivning av detaljplanen</tema>
      <grupp>Genomförandetid</grupp>
    </Indelning>
  </Omfattning>
  <Omfattning>
    <identitet>be_allmänplats01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98ef3dd4-94e5-4956-aaaa-9d7233a0ac44_f0">
          <gml:exterior>
            <gml:LinearRing>
              <gml:posList>6661656.353 180865.715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77468ac8-21eb-449c-a020-2543bf1cdc7e_f0">
          <gml:exterior>
            <gml:LinearRing>
              <gml:posList>6661579.241 180907.997 6661573.058 180908.196 6661573.183 180905.727 6661573.234 180904.712 6661573.264 180904.118 6661573.296 180903.477 6661573.315 180903.104 6661573.322 180902.968 6661573.388 180902.623 6661573.455 180902.279 6661573.55 180901.785 6661573.908 180899.937 6661583.941 180899.623 6661583.968 180899.628 6661585.303 180899.584 6661591.776 180899.288 6661592.577 180899.251 6661592.922 180899.235 6661593.666 180899.201 6661597.256 180899.037 6661654.217 180896.429 6661654.232 180896.428 6661659.763 180896.175 6661661.46 180896.097 6661661.488 180896.096 6661662.938 180896.029 6661664.419 180895.962 6661668.644 180895.768 6661668.66 180895.768 6661670.416 180893.711 6661675.286 180888.011 6661677.421 180885.528 6661679.157 180883.509 6661679.826 180882.731 6661680.17 180882.332 6661680.178 180882.322 6661680.818 180881.578 6661685.703 180875.899 6661715.282 180841.506 6661727.573 180827.215 6661727.601 180827.17 6661732.649 180820.394 6661733.647 180820.973 6661734.102 180821.237 6661734.397 180821.408 6661734.729 180821.601 6661735.235 180821.895 6661736.225 180822.47 6661736.903 180822.864 6661738.251 180823.646 6661739.324 180824.27 6661739.574 180824.415 6661739.518 180824.494 6661739.036 180825.175 6661737.297 180827.569 6661736.011 180829.345 6661735 180830.736 6661734.467 180831.455 6661734.34 180831.604 6661734.318 180831.63 6661733.52 180832.569 6661732.815 180833.389 6661726.568 180840.652 6661725.127 180842.328 6661707.5 180862.824 6661703.219 180867.8 6661700.578 180870.872 6661683.406 180890.838 6661678.595 180896.454 6661677.076 180898.227 6661673.505 180902.397 6661672.452 180903.627 6661668.022 180903.837 6661658.547 180904.277 6661607.867 180906.629 6661599.54 180907.015 6661598.286 180907.073 6661598.276 180907.074 6661586.462 180907.622 6661583.944 180907.739 6661583.822 180907.74 6661583.818 180907.74 6661583.079 180907.744 6661579.241 180907.997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f0b6cc15-e9e3-4e5d-bf31-e8d21e022a0b_f0">
          <gml:exterior>
            <gml:LinearRing>
              <gml:posList>6661587.994 181026.587 6661587.923 181026.788 6661587.909 181026.746 6661587.756 181026.128 6661587.499 181025.095 6661587.427 181024.804 6661587.292 181024.263 6661587.165 181023.753 6661587.095 181023.47 6661586.564 181021.336 6661585.808 181018.297 6661584.966 181014.909 6661587.946 181015.383 6661585.453 181014.984 6661588.782 181015.494 6661592.979 181016.049 6661595.159 181015.393 6661595.541 181015.315 6661611.167 181011.284 6661632.41 181005.391 6661639.825 181003.335 6661652.632 180999.873 6661664.04 180996.789 6661679.514 180992.607 6661682.27 180991.862 6661683.197 180991.127 6661684.013 180990.271 6661684.705 180989.311 6661685.259 180988.266 6661687.758 180980.817 6661688.269 180979.873 6661688.658 180979.595 6661688.819 180979.48 6661689.164 180979.416 6661689.169 180979.415 6661690.068 180979.248 6661690.842 180979.104 6661691.616 180978.961 6661692.252 180978.843 6661698.319 180977.718 6661699.276 180977.79 6661699.772 180978.147 6661699.992 180978.729 6661700.983 180987.215 6661701.05 180988.29 6661701.224 180991.087 6661701.506 180994.259 6661701.372 180994.284 6661700.524 180994.442 6661700.493 180994.448 6661700.092 180994.522 6661697.934 180994.924 6661685.929 180997.16 6661683.856 180997.723 6661679.272 180998.967 6661597.314 181021.222 6661597.143 181021.268 6661597.03 181021.301 6661596.859 181021.352 6661591.113 181023.187 6661589.747 181024.002 6661589.073 181024.665 6661588.516 181025.43 6661588.164 181026.131 6661588.065 181026.363 6661587.994 181026.587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7fb81ac2-afb3-4dbe-bf74-d472a866d25d_f0">
          <gml:exterior>
            <gml:LinearRing>
              <gml:posList>6661666.714 180853.518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 6661656.308 180865.767 6661652.808 180869.862 6661645.98 180870.174 6661618.477 180871.434 6661615.327 180871.578 6661592.481 180872.624 6661590.673 180872.612 6661598.203 180850.245 6661599.057 180847.708 6661600.281 180844.073 6661601.884 180839.312 6661613.525 180804.917 6661626.49 180795.127 6661666.008 180803.751 6661674.621 180805.63 6661699.397 180810.928 6661701.3 180812.024 6661702.034 180812.446 6661702.004 180812.49 6661666.714 180853.518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8faeb46-3074-4e03-8566-067302bfafde_f0">
          <gml:exterior>
            <gml:LinearRing>
              <gml:posList>6661709.295 180910.094 6661707.93 180911.681 6661707.95 180911.869 6661710.399 180934.293 6661710.662 180936.708 6661710.875 180938.659 6661711.128 180940.97 6661714.626 180973.012 6661716.264 180988.012 6661704.404 180990.104 6661703.468 180990.162 6661702.306 180989.802 6661701.803 180989.456 6661701.378 180989.017 6661701.05 180988.29 6661700.983 180987.215 6661699.992 180978.729 6661699.772 180978.147 6661699.276 180977.79 6661698.319 180977.718 6661692.252 180978.843 6661691.616 180978.961 6661690.842 180979.104 6661690.068 180979.248 6661689.169 180979.415 6661689.164 180979.416 6661688.819 180979.48 6661688.658 180979.595 6661688.269 180979.873 6661687.758 180980.817 6661685.259 180988.266 6661684.705 180989.311 6661684.013 180990.271 6661683.197 180991.127 6661682.27 180991.862 6661679.514 180992.607 6661664.04 180996.789 6661652.632 180999.873 6661639.825 181003.335 6661632.41 181005.391 6661611.167 181011.284 6661595.541 181015.315 6661595.159 181015.393 6661594.163 181012.442 6661592.33 181006.567 6661592.228 181006.243 6661591.952 181005.358 6661591.565 181004.116 6661586.001 180986.285 6661583.144 180969.934 6661581.778 180959.933 6661580.585 180940.251 6661580.885 180935.15 6661581.108 180935.182 6661585.969 180934.956 6661589.582 180934.788 6661595.38 180934.519 6661597.256 180934.432 6661609.239 180933.876 6661654.062 180931.796 6661687.809 180930.229 6661692.894 180924.448 6661692.18 180922.96 6661690.904 180920.304 6661689.742 180917.885 6661687.383 180912.975 6661686.314 180910.748 6661684.686 180907.359 6661683.047 180903.948 6661682.668 180903.158 6661682.564 180903.162 6661678.544 180903.344 6661677.083 180903.412 6661675.558 180903.482 6661673.971 180903.556 6661672.918 180903.605 6661672.452 180903.627 6661673.505 180902.397 6661677.076 180898.227 6661678.595 180896.454 6661683.406 180890.838 6661700.578 180870.872 6661703.219 180867.8 6661707.5 180862.824 6661722.474 180876.58 6661729.008 180882.583 6661756.424 180850.718 6661756.574 180850.544 6661758.845 180852.504 6661729.652 180886.434 6661723.173 180893.965 6661721.491 180895.92 6661718.715 180899.146 6661711.983 180906.971 6661710.765 180908.386 6661709.295 180910.094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9c89af20-f972-450b-91a0-dbfbb1c7e81d_f0">
          <gml:exterior>
            <gml:LinearRing>
              <gml:posList>6661735.723 181080.885 6661720.283 181024.48 6661720.219 181024.244 6661719.801 181020.415 6661719.461 181017.3 6661719.45 181017.196 6661719.031 181013.357 6661718.62 181009.595 6661718.31 181006.751 6661716.638 180991.441 6661706.762 180993.28 6661705.689 180993.48 6661701.93 180994.18 6661701.506 180994.259 6661701.224 180991.087 6661701.05 180988.29 6661701.378 180989.017 6661701.803 180989.456 6661702.306 180989.802 6661703.468 180990.162 6661704.404 180990.104 6661716.264 180988.012 6661716.266 180988.033 6661717.449 180987.783 6661720.458 180987.255 6661721.432 180987.014 6661722.317 180986.579 6661723.15 180985.97 6661723.434 180985.7 6661723.946 180985.677 6661724.686 180985.598 6661726.743 180985.376 6661729.206 180985.08 6661729.673 180989.024 6661731.64 181011.586 6661731.644 181011.63 6661731.784 181013.231 6661732.823 181025.149 6661732.717 181025.158 6661732.724 181025.237 6661733.411 181032.677 6661733.578 181034.483 6661734.636 181045.955 6661734.676 181046.226 6661734.559 181046.264 6661734.534 181046.272 6661734.374 181046.323 6661735.193 181049.029 6661735.984 181051.647 6661737.002 181055.019 6661737.35 181056.168 6661738.188 181058.943 6661738.877 181061.224 6661739.752 181064.118 6661740.715 181067.306 6661741.547 181070.058 6661742.496 181073.199 6661743.59 181076.818 6661744.868 181081.048 6661746.328 181085.881 6661747.945 181091.236 6661751.328 181093.055 6661751.344 181093.064 6661750.664 181093.274 6661745.795 181094.877 6661743.009 181095.794 6661740.108 181096.75 6661737.758 181088.324 6661735.723 181080.885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23158ab-8173-4355-a435-b5bbd4b02670_f0">
          <gml:exterior>
            <gml:LinearRing>
              <gml:posList>6661583.941 180899.623 6661573.908 180899.937 6661576.638 180885.833 6661583.968 180864.48 6661597.263 180822.006 6661606.568 180796.022 6661607.644 180795.785 6661617.591 180789.551 6661623.116 180789.658 6661683.79 180799.415 6661701.135 180802.095 6661732.649 180820.394 6661727.601 180827.17 6661727.554 180827.143 6661727.486 180827.104 6661727.382 180827.044 6661727.37 180827.037 6661727.238 180826.961 6661726.972 180826.808 6661726.814 180826.717 6661726.54 180826.559 6661726.304 180826.423 6661726.049 180826.276 6661725.898 180826.189 6661725.711 180826.082 6661725.524 180825.974 6661723.571 180824.849 6661720.978 180823.356 6661718.076 180821.685 6661713.335 180818.954 6661708.934 180816.42 6661708.07 180815.922 6661702.44 180812.68 6661702.034 180812.446 6661701.3 180812.024 6661699.397 180810.928 6661674.621 180805.63 6661666.008 180803.751 6661626.49 180795.127 6661613.525 180804.917 6661601.884 180839.312 6661600.281 180844.073 6661599.057 180847.708 6661598.203 180850.245 6661590.673 180872.612 6661588.522 180879 6661584.024 180898.844 6661583.941 180899.623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c7f4fa5-d807-4464-9ddd-7170f94e6907_f0">
          <gml:exterior>
            <gml:LinearRing>
              <gml:posList>6661588.782 181015.494 6661585.453 181014.984 6661587.946 181015.383 6661584.966 181014.909 6661584.864 181014.503 6661574.511 180972.873 6661573.459 180957.426 6661571.804 180933.116 6661573.058 180908.196 6661579.241 180907.997 6661583.079 180907.744 6661583.076 180907.765 6661582.161 180916.377 6661581.775 180920.01 6661580.885 180935.15 6661580.585 180940.251 6661581.778 180959.933 6661583.144 180969.934 6661586.001 180986.285 6661591.565 181004.116 6661591.952 181005.358 6661592.228 181006.243 6661592.33 181006.567 6661594.163 181012.442 6661595.159 181015.393 6661592.979 181016.049 6661588.782 181015.494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918916a-3d1c-4f90-aba3-d9cae85c6848_f0">
          <gml:exterior>
            <gml:LinearRing>
              <gml:posList>6661587.923 181026.788 6661587.994 181026.587 6661588.065 181026.363 6661588.164 181026.131 6661588.516 181025.43 6661589.073 181024.665 6661589.747 181024.002 6661591.113 181023.187 6661596.859 181021.352 6661597.03 181021.301 6661597.143 181021.268 6661599.198 181028.315 6661601.124 181034.919 6661606.382 181052.955 6661603.534 181053.728 6661597.122 181055.469 6661587.923 181026.788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fe9aa4b-7ac0-41ac-b674-4d4a7a9a28b0_f0">
          <gml:exterior>
            <gml:LinearRing>
              <gml:posList>6661737.297 180827.569 6661739.036 180825.175 6661739.518 180824.494 6661748.229 180832.457 6661750.117 180834.183 6661766.592 180849.243 6661785.101 180866.624 6661812.045 180891.924 6661829.983 180910.098 6661831.737 180911.783 6661822.111 180917.485 6661822.06 180917.409 6661821.989 180917.303 6661821.959 180917.258 6661820.261 180914.72 6661815.9 180908.199 6661812.676 180904.947 6661802.713 180894.9 6661771.561 180863.484 6661758.845 180852.504 6661756.574 180850.544 6661748.658 180843.708 6661737.438 180834.021 6661737.338 180833.935 6661734.476 180831.462 6661734.467 180831.455 6661735 180830.736 6661736.011 180829.345 6661737.297 180827.569</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28d02e71-9821-46c5-8953-cad9da191b47_f0">
          <gml:exterior>
            <gml:LinearRing>
              <gml:posList>6661867.007 180914.774 6661865.996 180918.231 6661866.873 180921.204 6661861.885 180927.494 6661859.183 180926.055 6661845.226 180919.341 6661841.336 180920.854 6661839.087 180924.477 6661838.393 180925.595 6661837.711 180926.695 6661837.569 180926.923 6661837.455 180927.107 6661837.064 180927.738 6661836.491 180928.661 6661835.916 180929.587 6661835.458 180930.324 6661835.11 180930.886 6661834.14 180932.449 6661833.744 180933.086 6661833.166 180934.018 6661833.12 180933.947 6661833.082 180933.89 6661833.064 180933.864 6661831.329 180931.269 6661827.748 180925.914 6661827.267 180925.196 6661826.577 180924.163 6661825.206 180922.113 6661824.034 180920.361 6661822.45 180917.992 6661822.111 180917.485 6661831.737 180911.783 6661829.983 180910.098 6661812.045 180891.924 6661785.101 180866.624 6661766.592 180849.243 6661750.117 180834.183 6661748.229 180832.457 6661739.518 180824.494 6661739.574 180824.415 6661739.324 180824.27 6661738.251 180823.646 6661736.903 180822.864 6661736.225 180822.47 6661735.235 180821.895 6661734.729 180821.601 6661734.397 180821.408 6661734.102 180821.237 6661733.647 180820.973 6661732.649 180820.394 6661701.135 180802.095 6661683.79 180799.415 6661683.748 180794.653 6661683.743 180794.119 6661683.697 180789.038 6661683.698 180788.657 6661684.62 180788.844 6661688.386 180789.61 6661691.308 180790.205 6661694.416 180790.837 6661697.284 180791.42 6661699.688 180791.909 6661702.145 180792.409 6661703.471 180793.157 6661706.589 180794.915 6661712.277 180798.122 6661714.919 180799.631 6661716.012 180800.23 6661717.366 180800.994 6661719.394 180802.137 6661721.901 180803.551 6661724.25 180804.876 6661726.073 180805.905 6661730.143 180808.2 6661732.479 180809.518 6661734.094 180810.428 6661740.096 180813.938 6661743.091 180816.26 6661746.314 180818.758 6661748.598 180820.867 6661753.805 180825.425 6661758.786 180829.786 6661764.871 180835.112 6661768.676 180838.443 6661770.855 180840.351 6661774.386 180843.442 6661779.158 180847.62 6661781.871 180849.995 6661785.789 180853.975 6661788.823 180857.057 6661792.263 180860.55 6661795.405 180863.742 6661800.855 180869.278 6661805.545 180874.052 6661806.363 180874.872 6661808.053 180876.614 6661810.178 180878.805 6661810.835 180879.481 6661815.995 180884.799 6661818.695 180887.582 6661821.369 180890.339 6661824.428 180893.491 6661828.075 180897.25 6661828.582 180897.665 6661834.716 180903.048 6661838.381 180906.131 6661839.104 180906.74 6661847.397 180908.36 6661853.866 180908.202 6661860.216 180906.376 6661868.331 180902.339 6661872.86 180908.285 6661867.007 180914.774</gml:posList>
            </gml:LinearRing>
          </gml:exterior>
        </gml:Polygon>
      </lmg:Position>
    </lmg:Ytgeometri>
    <objektreferens>98ef3dd4-94e5-4956-aaaa-9d7233a0ac44</objektreferens>
    <objektreferens>77468ac8-21eb-449c-a020-2543bf1cdc7e</objektreferens>
    <objektreferens>f0b6cc15-e9e3-4e5d-bf31-e8d21e022a0b</objektreferens>
    <objektreferens>7fb81ac2-afb3-4dbe-bf74-d472a866d25d</objektreferens>
    <objektreferens>08faeb46-3074-4e03-8566-067302bfafde</objektreferens>
    <objektreferens>9c89af20-f972-450b-91a0-dbfbb1c7e81d</objektreferens>
    <objektreferens>c23158ab-8173-4355-a435-b5bbd4b02670</objektreferens>
    <objektreferens>ec7f4fa5-d807-4464-9ddd-7170f94e6907</objektreferens>
    <objektreferens>c918916a-3d1c-4f90-aba3-d9cae85c6848</objektreferens>
    <objektreferens>0fe9aa4b-7ac0-41ac-b674-4d4a7a9a28b0</objektreferens>
    <objektreferens>28d02e71-9821-46c5-8953-cad9da191b47</objektreferens>
    <Indelning>
      <tema>Beskrivning av detaljplanen</tema>
      <grupp>Allmän plats</grupp>
    </Indelning>
  </Omfattning>
  <Omfattning>
    <identitet>be_huvudmannaskap01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7468ac8-21eb-449c-a020-2543bf1cdc7e_f1">
          <gml:exterior>
            <gml:LinearRing>
              <gml:posList>6661579.241 180907.997 6661573.058 180908.196 6661573.183 180905.727 6661573.234 180904.712 6661573.264 180904.118 6661573.296 180903.477 6661573.315 180903.104 6661573.322 180902.968 6661573.388 180902.623 6661573.455 180902.279 6661573.55 180901.785 6661573.908 180899.937 6661583.941 180899.623 6661583.968 180899.628 6661585.303 180899.584 6661591.776 180899.288 6661592.577 180899.251 6661592.922 180899.235 6661593.666 180899.201 6661597.256 180899.037 6661654.217 180896.429 6661654.232 180896.428 6661659.763 180896.175 6661661.46 180896.097 6661661.488 180896.096 6661662.938 180896.029 6661664.419 180895.962 6661668.644 180895.768 6661668.66 180895.768 6661670.416 180893.711 6661675.286 180888.011 6661677.421 180885.528 6661679.157 180883.509 6661679.826 180882.731 6661680.17 180882.332 6661680.178 180882.322 6661680.818 180881.578 6661685.703 180875.899 6661715.282 180841.506 6661727.573 180827.215 6661727.601 180827.17 6661732.649 180820.394 6661733.647 180820.973 6661734.102 180821.237 6661734.397 180821.408 6661734.729 180821.601 6661735.235 180821.895 6661736.225 180822.47 6661736.903 180822.864 6661738.251 180823.646 6661739.324 180824.27 6661739.574 180824.415 6661739.518 180824.494 6661739.036 180825.175 6661737.297 180827.569 6661736.011 180829.345 6661735 180830.736 6661734.467 180831.455 6661734.34 180831.604 6661734.318 180831.63 6661733.52 180832.569 6661732.815 180833.389 6661726.568 180840.652 6661725.127 180842.328 6661707.5 180862.824 6661703.219 180867.8 6661700.578 180870.872 6661683.406 180890.838 6661678.595 180896.454 6661677.076 180898.227 6661673.505 180902.397 6661672.452 180903.627 6661668.022 180903.837 6661658.547 180904.277 6661607.867 180906.629 6661599.54 180907.015 6661598.286 180907.073 6661598.276 180907.074 6661586.462 180907.622 6661583.944 180907.739 6661583.822 180907.74 6661583.818 180907.74 6661583.079 180907.744 6661579.241 180907.997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f0b6cc15-e9e3-4e5d-bf31-e8d21e022a0b_f1">
          <gml:exterior>
            <gml:LinearRing>
              <gml:posList>6661587.994 181026.587 6661587.923 181026.788 6661587.909 181026.746 6661587.756 181026.128 6661587.499 181025.095 6661587.427 181024.804 6661587.292 181024.263 6661587.165 181023.753 6661587.095 181023.47 6661586.564 181021.336 6661585.808 181018.297 6661584.966 181014.909 6661587.946 181015.383 6661585.453 181014.984 6661588.782 181015.494 6661592.979 181016.049 6661595.159 181015.393 6661595.541 181015.315 6661611.167 181011.284 6661632.41 181005.391 6661639.825 181003.335 6661652.632 180999.873 6661664.04 180996.789 6661679.514 180992.607 6661682.27 180991.862 6661683.197 180991.127 6661684.013 180990.271 6661684.705 180989.311 6661685.259 180988.266 6661687.758 180980.817 6661688.269 180979.873 6661688.658 180979.595 6661688.819 180979.48 6661689.164 180979.416 6661689.169 180979.415 6661690.068 180979.248 6661690.842 180979.104 6661691.616 180978.961 6661692.252 180978.843 6661698.319 180977.718 6661699.276 180977.79 6661699.772 180978.147 6661699.992 180978.729 6661700.983 180987.215 6661701.05 180988.29 6661701.224 180991.087 6661701.506 180994.259 6661701.372 180994.284 6661700.524 180994.442 6661700.493 180994.448 6661700.092 180994.522 6661697.934 180994.924 6661685.929 180997.16 6661683.856 180997.723 6661679.272 180998.967 6661597.314 181021.222 6661597.143 181021.268 6661597.03 181021.301 6661596.859 181021.352 6661591.113 181023.187 6661589.747 181024.002 6661589.073 181024.665 6661588.516 181025.43 6661588.164 181026.131 6661588.065 181026.363 6661587.994 181026.587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7fb81ac2-afb3-4dbe-bf74-d472a866d25d_f1">
          <gml:exterior>
            <gml:LinearRing>
              <gml:posList>6661666.714 180853.518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 6661656.308 180865.767 6661652.808 180869.862 6661645.98 180870.174 6661618.477 180871.434 6661615.327 180871.578 6661592.481 180872.624 6661590.673 180872.612 6661598.203 180850.245 6661599.057 180847.708 6661600.281 180844.073 6661601.884 180839.312 6661613.525 180804.917 6661626.49 180795.127 6661666.008 180803.751 6661674.621 180805.63 6661699.397 180810.928 6661701.3 180812.024 6661702.034 180812.446 6661702.004 180812.49 6661666.714 180853.518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8faeb46-3074-4e03-8566-067302bfafde_f1">
          <gml:exterior>
            <gml:LinearRing>
              <gml:posList>6661709.295 180910.094 6661707.93 180911.681 6661707.95 180911.869 6661710.399 180934.293 6661710.662 180936.708 6661710.875 180938.659 6661711.128 180940.97 6661714.626 180973.012 6661716.264 180988.012 6661704.404 180990.104 6661703.468 180990.162 6661702.306 180989.802 6661701.803 180989.456 6661701.378 180989.017 6661701.05 180988.29 6661700.983 180987.215 6661699.992 180978.729 6661699.772 180978.147 6661699.276 180977.79 6661698.319 180977.718 6661692.252 180978.843 6661691.616 180978.961 6661690.842 180979.104 6661690.068 180979.248 6661689.169 180979.415 6661689.164 180979.416 6661688.819 180979.48 6661688.658 180979.595 6661688.269 180979.873 6661687.758 180980.817 6661685.259 180988.266 6661684.705 180989.311 6661684.013 180990.271 6661683.197 180991.127 6661682.27 180991.862 6661679.514 180992.607 6661664.04 180996.789 6661652.632 180999.873 6661639.825 181003.335 6661632.41 181005.391 6661611.167 181011.284 6661595.541 181015.315 6661595.159 181015.393 6661594.163 181012.442 6661592.33 181006.567 6661592.228 181006.243 6661591.952 181005.358 6661591.565 181004.116 6661586.001 180986.285 6661583.144 180969.934 6661581.778 180959.933 6661580.585 180940.251 6661580.885 180935.15 6661581.108 180935.182 6661585.969 180934.956 6661589.582 180934.788 6661595.38 180934.519 6661597.256 180934.432 6661609.239 180933.876 6661654.062 180931.796 6661687.809 180930.229 6661692.894 180924.448 6661692.18 180922.96 6661690.904 180920.304 6661689.742 180917.885 6661687.383 180912.975 6661686.314 180910.748 6661684.686 180907.359 6661683.047 180903.948 6661682.668 180903.158 6661682.564 180903.162 6661678.544 180903.344 6661677.083 180903.412 6661675.558 180903.482 6661673.971 180903.556 6661672.918 180903.605 6661672.452 180903.627 6661673.505 180902.397 6661677.076 180898.227 6661678.595 180896.454 6661683.406 180890.838 6661700.578 180870.872 6661703.219 180867.8 6661707.5 180862.824 6661722.474 180876.58 6661729.008 180882.583 6661756.424 180850.718 6661756.574 180850.544 6661758.845 180852.504 6661729.652 180886.434 6661723.173 180893.965 6661721.491 180895.92 6661718.715 180899.146 6661711.983 180906.971 6661710.765 180908.386 6661709.295 180910.094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9c89af20-f972-450b-91a0-dbfbb1c7e81d_f1">
          <gml:exterior>
            <gml:LinearRing>
              <gml:posList>6661735.723 181080.885 6661720.283 181024.48 6661720.219 181024.244 6661719.801 181020.415 6661719.461 181017.3 6661719.45 181017.196 6661719.031 181013.357 6661718.62 181009.595 6661718.31 181006.751 6661716.638 180991.441 6661706.762 180993.28 6661705.689 180993.48 6661701.93 180994.18 6661701.506 180994.259 6661701.224 180991.087 6661701.05 180988.29 6661701.378 180989.017 6661701.803 180989.456 6661702.306 180989.802 6661703.468 180990.162 6661704.404 180990.104 6661716.264 180988.012 6661716.266 180988.033 6661717.449 180987.783 6661720.458 180987.255 6661721.432 180987.014 6661722.317 180986.579 6661723.15 180985.97 6661723.434 180985.7 6661723.946 180985.677 6661724.686 180985.598 6661726.743 180985.376 6661729.206 180985.08 6661729.673 180989.024 6661731.64 181011.586 6661731.644 181011.63 6661731.784 181013.231 6661732.823 181025.149 6661732.717 181025.158 6661732.724 181025.237 6661733.411 181032.677 6661733.578 181034.483 6661734.636 181045.955 6661734.676 181046.226 6661734.559 181046.264 6661734.534 181046.272 6661734.374 181046.323 6661735.193 181049.029 6661735.984 181051.647 6661737.002 181055.019 6661737.35 181056.168 6661738.188 181058.943 6661738.877 181061.224 6661739.752 181064.118 6661740.715 181067.306 6661741.547 181070.058 6661742.496 181073.199 6661743.59 181076.818 6661744.868 181081.048 6661746.328 181085.881 6661747.945 181091.236 6661751.328 181093.055 6661751.344 181093.064 6661750.664 181093.274 6661745.795 181094.877 6661743.009 181095.794 6661740.108 181096.75 6661737.758 181088.324 6661735.723 181080.885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23158ab-8173-4355-a435-b5bbd4b02670_f1">
          <gml:exterior>
            <gml:LinearRing>
              <gml:posList>6661583.941 180899.623 6661573.908 180899.937 6661576.638 180885.833 6661583.968 180864.48 6661597.263 180822.006 6661606.568 180796.022 6661607.644 180795.785 6661617.591 180789.551 6661623.116 180789.658 6661683.79 180799.415 6661701.135 180802.095 6661732.649 180820.394 6661727.601 180827.17 6661727.554 180827.143 6661727.486 180827.104 6661727.382 180827.044 6661727.37 180827.037 6661727.238 180826.961 6661726.972 180826.808 6661726.814 180826.717 6661726.54 180826.559 6661726.304 180826.423 6661726.049 180826.276 6661725.898 180826.189 6661725.711 180826.082 6661725.524 180825.974 6661723.571 180824.849 6661720.978 180823.356 6661718.076 180821.685 6661713.335 180818.954 6661708.934 180816.42 6661708.07 180815.922 6661702.44 180812.68 6661702.034 180812.446 6661701.3 180812.024 6661699.397 180810.928 6661674.621 180805.63 6661666.008 180803.751 6661626.49 180795.127 6661613.525 180804.917 6661601.884 180839.312 6661600.281 180844.073 6661599.057 180847.708 6661598.203 180850.245 6661590.673 180872.612 6661588.522 180879 6661584.024 180898.844 6661583.941 180899.623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c7f4fa5-d807-4464-9ddd-7170f94e6907_f1">
          <gml:exterior>
            <gml:LinearRing>
              <gml:posList>6661588.782 181015.494 6661585.453 181014.984 6661587.946 181015.383 6661584.966 181014.909 6661584.864 181014.503 6661574.511 180972.873 6661573.459 180957.426 6661571.804 180933.116 6661573.058 180908.196 6661579.241 180907.997 6661583.079 180907.744 6661583.076 180907.765 6661582.161 180916.377 6661581.775 180920.01 6661580.885 180935.15 6661580.585 180940.251 6661581.778 180959.933 6661583.144 180969.934 6661586.001 180986.285 6661591.565 181004.116 6661591.952 181005.358 6661592.228 181006.243 6661592.33 181006.567 6661594.163 181012.442 6661595.159 181015.393 6661592.979 181016.049 6661588.782 181015.494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918916a-3d1c-4f90-aba3-d9cae85c6848_f1">
          <gml:exterior>
            <gml:LinearRing>
              <gml:posList>6661587.923 181026.788 6661587.994 181026.587 6661588.065 181026.363 6661588.164 181026.131 6661588.516 181025.43 6661589.073 181024.665 6661589.747 181024.002 6661591.113 181023.187 6661596.859 181021.352 6661597.03 181021.301 6661597.143 181021.268 6661599.198 181028.315 6661601.124 181034.919 6661606.382 181052.955 6661603.534 181053.728 6661597.122 181055.469 6661587.923 181026.788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fe9aa4b-7ac0-41ac-b674-4d4a7a9a28b0_f1">
          <gml:exterior>
            <gml:LinearRing>
              <gml:posList>6661737.297 180827.569 6661739.036 180825.175 6661739.518 180824.494 6661748.229 180832.457 6661750.117 180834.183 6661766.592 180849.243 6661785.101 180866.624 6661812.045 180891.924 6661829.983 180910.098 6661831.737 180911.783 6661822.111 180917.485 6661822.06 180917.409 6661821.989 180917.303 6661821.959 180917.258 6661820.261 180914.72 6661815.9 180908.199 6661812.676 180904.947 6661802.713 180894.9 6661771.561 180863.484 6661758.845 180852.504 6661756.574 180850.544 6661748.658 180843.708 6661737.438 180834.021 6661737.338 180833.935 6661734.476 180831.462 6661734.467 180831.455 6661735 180830.736 6661736.011 180829.345 6661737.297 180827.569</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28d02e71-9821-46c5-8953-cad9da191b47_f1">
          <gml:exterior>
            <gml:LinearRing>
              <gml:posList>6661867.007 180914.774 6661865.996 180918.231 6661866.873 180921.204 6661861.885 180927.494 6661859.183 180926.055 6661845.226 180919.341 6661841.336 180920.854 6661839.087 180924.477 6661838.393 180925.595 6661837.711 180926.695 6661837.569 180926.923 6661837.455 180927.107 6661837.064 180927.738 6661836.491 180928.661 6661835.916 180929.587 6661835.458 180930.324 6661835.11 180930.886 6661834.14 180932.449 6661833.744 180933.086 6661833.166 180934.018 6661833.12 180933.947 6661833.082 180933.89 6661833.064 180933.864 6661831.329 180931.269 6661827.748 180925.914 6661827.267 180925.196 6661826.577 180924.163 6661825.206 180922.113 6661824.034 180920.361 6661822.45 180917.992 6661822.111 180917.485 6661831.737 180911.783 6661829.983 180910.098 6661812.045 180891.924 6661785.101 180866.624 6661766.592 180849.243 6661750.117 180834.183 6661748.229 180832.457 6661739.518 180824.494 6661739.574 180824.415 6661739.324 180824.27 6661738.251 180823.646 6661736.903 180822.864 6661736.225 180822.47 6661735.235 180821.895 6661734.729 180821.601 6661734.397 180821.408 6661734.102 180821.237 6661733.647 180820.973 6661732.649 180820.394 6661701.135 180802.095 6661683.79 180799.415 6661683.748 180794.653 6661683.743 180794.119 6661683.697 180789.038 6661683.698 180788.657 6661684.62 180788.844 6661688.386 180789.61 6661691.308 180790.205 6661694.416 180790.837 6661697.284 180791.42 6661699.688 180791.909 6661702.145 180792.409 6661703.471 180793.157 6661706.589 180794.915 6661712.277 180798.122 6661714.919 180799.631 6661716.012 180800.23 6661717.366 180800.994 6661719.394 180802.137 6661721.901 180803.551 6661724.25 180804.876 6661726.073 180805.905 6661730.143 180808.2 6661732.479 180809.518 6661734.094 180810.428 6661740.096 180813.938 6661743.091 180816.26 6661746.314 180818.758 6661748.598 180820.867 6661753.805 180825.425 6661758.786 180829.786 6661764.871 180835.112 6661768.676 180838.443 6661770.855 180840.351 6661774.386 180843.442 6661779.158 180847.62 6661781.871 180849.995 6661785.789 180853.975 6661788.823 180857.057 6661792.263 180860.55 6661795.405 180863.742 6661800.855 180869.278 6661805.545 180874.052 6661806.363 180874.872 6661808.053 180876.614 6661810.178 180878.805 6661810.835 180879.481 6661815.995 180884.799 6661818.695 180887.582 6661821.369 180890.339 6661824.428 180893.491 6661828.075 180897.25 6661828.582 180897.665 6661834.716 180903.048 6661838.381 180906.131 6661839.104 180906.74 6661847.397 180908.36 6661853.866 180908.202 6661860.216 180906.376 6661868.331 180902.339 6661872.86 180908.285 6661867.007 180914.774</gml:posList>
            </gml:LinearRing>
          </gml:exterior>
        </gml:Polygon>
      </lmg:Position>
    </lmg:Ytgeometri>
    <objektreferens>77468ac8-21eb-449c-a020-2543bf1cdc7e</objektreferens>
    <objektreferens>f0b6cc15-e9e3-4e5d-bf31-e8d21e022a0b</objektreferens>
    <objektreferens>7fb81ac2-afb3-4dbe-bf74-d472a866d25d</objektreferens>
    <objektreferens>08faeb46-3074-4e03-8566-067302bfafde</objektreferens>
    <objektreferens>9c89af20-f972-450b-91a0-dbfbb1c7e81d</objektreferens>
    <objektreferens>c23158ab-8173-4355-a435-b5bbd4b02670</objektreferens>
    <objektreferens>ec7f4fa5-d807-4464-9ddd-7170f94e6907</objektreferens>
    <objektreferens>c918916a-3d1c-4f90-aba3-d9cae85c6848</objektreferens>
    <objektreferens>0fe9aa4b-7ac0-41ac-b674-4d4a7a9a28b0</objektreferens>
    <objektreferens>28d02e71-9821-46c5-8953-cad9da191b47</objektreferens>
    <Indelning>
      <tema>Beskrivning av detaljplanen</tema>
      <grupp>Allmän plats</grupp>
      <undergrupp>Huvudmannaskap</undergrupp>
    </Indelning>
  </Omfattning>
  <Omfattning>
    <identitet>be_kvartersmark01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a620be28-6b68-4dd4-8eca-e8ee24814799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4403f7e9-9e1a-41b3-aec7-920126ca9597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2910a73-7d80-4242-8798-6d707bd4bd65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2b8cdf10-f43e-467e-b870-ae66a3e86516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a620be28-6b68-4dd4-8eca-e8ee24814799</objektreferens>
    <objektreferens>4403f7e9-9e1a-41b3-aec7-920126ca9597</objektreferens>
    <objektreferens>02910a73-7d80-4242-8798-6d707bd4bd65</objektreferens>
    <objektreferens>2b8cdf10-f43e-467e-b870-ae66a3e86516</objektreferens>
    <Indelning>
      <tema>Beskrivning av detaljplanen</tema>
      <grupp>Kvartersmark</grupp>
    </Indelning>
  </Omfattning>
  <Omfattning>
    <identitet>be_befintligt01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fb81ac2-afb3-4dbe-bf74-d472a866d25d_f2">
          <gml:exterior>
            <gml:LinearRing>
              <gml:posList>6661666.714 180853.518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 6661656.308 180865.767 6661652.808 180869.862 6661645.98 180870.174 6661618.477 180871.434 6661615.327 180871.578 6661592.481 180872.624 6661590.673 180872.612 6661598.203 180850.245 6661599.057 180847.708 6661600.281 180844.073 6661601.884 180839.312 6661613.525 180804.917 6661626.49 180795.127 6661666.008 180803.751 6661674.621 180805.63 6661699.397 180810.928 6661701.3 180812.024 6661702.034 180812.446 6661702.004 180812.49 6661666.714 180853.518</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8faeb46-3074-4e03-8566-067302bfafde_f2">
          <gml:exterior>
            <gml:LinearRing>
              <gml:posList>6661709.295 180910.094 6661707.93 180911.681 6661707.95 180911.869 6661710.399 180934.293 6661710.662 180936.708 6661710.875 180938.659 6661711.128 180940.97 6661714.626 180973.012 6661716.264 180988.012 6661704.404 180990.104 6661703.468 180990.162 6661702.306 180989.802 6661701.803 180989.456 6661701.378 180989.017 6661701.05 180988.29 6661700.983 180987.215 6661699.992 180978.729 6661699.772 180978.147 6661699.276 180977.79 6661698.319 180977.718 6661692.252 180978.843 6661691.616 180978.961 6661690.842 180979.104 6661690.068 180979.248 6661689.169 180979.415 6661689.164 180979.416 6661688.819 180979.48 6661688.658 180979.595 6661688.269 180979.873 6661687.758 180980.817 6661685.259 180988.266 6661684.705 180989.311 6661684.013 180990.271 6661683.197 180991.127 6661682.27 180991.862 6661679.514 180992.607 6661664.04 180996.789 6661652.632 180999.873 6661639.825 181003.335 6661632.41 181005.391 6661611.167 181011.284 6661595.541 181015.315 6661595.159 181015.393 6661594.163 181012.442 6661592.33 181006.567 6661592.228 181006.243 6661591.952 181005.358 6661591.565 181004.116 6661586.001 180986.285 6661583.144 180969.934 6661581.778 180959.933 6661580.585 180940.251 6661580.885 180935.15 6661581.108 180935.182 6661585.969 180934.956 6661589.582 180934.788 6661595.38 180934.519 6661597.256 180934.432 6661609.239 180933.876 6661654.062 180931.796 6661687.809 180930.229 6661692.894 180924.448 6661692.18 180922.96 6661690.904 180920.304 6661689.742 180917.885 6661687.383 180912.975 6661686.314 180910.748 6661684.686 180907.359 6661683.047 180903.948 6661682.668 180903.158 6661682.564 180903.162 6661678.544 180903.344 6661677.083 180903.412 6661675.558 180903.482 6661673.971 180903.556 6661672.918 180903.605 6661672.452 180903.627 6661673.505 180902.397 6661677.076 180898.227 6661678.595 180896.454 6661683.406 180890.838 6661700.578 180870.872 6661703.219 180867.8 6661707.5 180862.824 6661722.474 180876.58 6661729.008 180882.583 6661756.424 180850.718 6661756.574 180850.544 6661758.845 180852.504 6661729.652 180886.434 6661723.173 180893.965 6661721.491 180895.92 6661718.715 180899.146 6661711.983 180906.971 6661710.765 180908.386 6661709.295 180910.094</gml:posList>
            </gml:LinearRing>
          </gml:exterior>
        </gml:Polygon>
      </lmg:Position>
    </lmg:Ytgeometri>
    <objektreferens>7fb81ac2-afb3-4dbe-bf74-d472a866d25d</objektreferens>
    <objektreferens>08faeb46-3074-4e03-8566-067302bfafde</objektreferens>
    <Indelning>
      <tema>Beskrivning av detaljplanen</tema>
      <grupp>Befintligt</grupp>
    </Indelning>
  </Omfattning>
  <Omfattning>
    <identitet>be_ärendeinformation01</identitet>
    <Indelning>
      <tema>Beskrivning av detaljplanen</tema>
      <grupp>Ärendeinformation</grupp>
    </Indelning>
  </Omfattning>
  <Omfattning>
    <identitet>pf_kommunala01</identitet>
    <Indelning>
      <tema>Planeringsförutsättningar</tema>
      <grupp>Kommunala</grupp>
    </Indelning>
  </Omfattning>
  <Omfattning>
    <identitet>pf_detaljplan01</identitet>
    <Indelning>
      <tema>Planeringsförutsättningar</tema>
      <grupp>Kommunala</grupp>
      <undergrupp>Detaljplan</undergrupp>
    </Indelning>
  </Omfattning>
  <Omfattning>
    <identitet>pf_områdesbestämmelser01</identitet>
    <Indelning>
      <tema>Planeringsförutsättningar</tema>
      <grupp>Kommunala</grupp>
      <undergrupp>Områdesbestämmelser</undergrupp>
    </Indelning>
  </Omfattning>
  <Omfattning>
    <identitet>pf_planbesked01</identitet>
    <Indelning>
      <tema>Planeringsförutsättningar</tema>
      <grupp>Kommunala</grupp>
      <undergrupp>Planbesked</undergrupp>
    </Indelning>
  </Omfattning>
  <Omfattning>
    <identitet>pf_översiktsplan01</identitet>
    <Indelning>
      <tema>Planeringsförutsättningar</tema>
      <grupp>Kommunala</grupp>
      <undergrupp>Översiktsplan</undergrupp>
    </Indelning>
  </Omfattning>
  <Omfattning>
    <identitet>pf_fördjupadöversiktsplanförsöderbärke01</identitet>
    <Indelning>
      <tema>Planeringsförutsättningar</tema>
      <grupp>Kommunala</grupp>
      <undergrupp>Fördjupad översiktsplan för Söderbärke</undergrupp>
    </Indelning>
  </Omfattning>
  <Omfattning>
    <identitet>pf_regionplan01</identitet>
    <Indelning>
      <tema>Planeringsförutsättningar</tema>
      <grupp>Regionala</grupp>
      <undergrupp>Regionplan</undergrupp>
    </Indelning>
  </Omfattning>
  <Omfattning>
    <identitet>pf_naturvård01</identitet>
    <Indelning>
      <tema>Planeringsförutsättningar</tema>
      <grupp>Riksintressen</grupp>
      <undergrupp>Naturvård</undergrupp>
    </Indelning>
  </Omfattning>
  <Omfattning>
    <identitet>pf_friluftsliv01</identitet>
    <Indelning>
      <tema>Planeringsförutsättningar</tema>
      <grupp>Riksintressen</grupp>
      <undergrupp>Friluftsliv</undergrupp>
    </Indelning>
  </Omfattning>
  <Omfattning>
    <identitet>pf_kulturmiljövård01</identitet>
    <Indelning>
      <tema>Planeringsförutsättningar</tema>
      <grupp>Riksintressen</grupp>
      <undergrupp>Kulturmiljövård</undergrupp>
    </Indelning>
  </Omfattning>
  <Omfattning>
    <identitet>pf_totalförsvar01</identitet>
    <Indelning>
      <tema>Planeringsförutsättningar</tema>
      <grupp>Riksintressen</grupp>
      <undergrupp>Totalförsvar</undergrupp>
    </Indelning>
  </Omfattning>
  <Omfattning>
    <identitet>pf_rörligtfriluftsliv01</identitet>
    <Indelning>
      <tema>Planeringsförutsättningar</tema>
      <grupp>Riksintressen</grupp>
      <undergrupp>Rörligt friluftsliv</undergrupp>
    </Indelning>
  </Omfattning>
  <Omfattning>
    <identitet>pf_natura200001</identitet>
    <Indelning>
      <tema>Planeringsförutsättningar</tema>
      <grupp>Riksintressen</grupp>
      <undergrupp>Natura 2000</undergrupp>
    </Indelning>
  </Omfattning>
  <Omfattning>
    <identitet>pf_trafikkommunikation01</identitet>
    <Indelning>
      <tema>Planeringsförutsättningar</tema>
      <grupp>Riksintressen</grupp>
      <undergrupp>Trafikkommunikation</undergrupp>
    </Indelning>
  </Omfattning>
  <Omfattning>
    <identitet>pf_hushållningsbestämmelserenl3kap_mb01</identitet>
    <Indelning>
      <tema>Planeringsförutsättningar</tema>
      <grupp>Hushållningsbestämmelser enligt 3 kap. miljöbalken</grupp>
    </Indelning>
  </Omfattning>
  <Omfattning>
    <identitet>pf_jordbruksmark01</identitet>
    <Indelning>
      <tema>Planeringsförutsättningar</tema>
      <grupp>Hushållningsbestämmelser enligt 3 kap. miljöbalken</grupp>
      <undergrupp>Jordbruksmark</undergrupp>
    </Indelning>
  </Omfattning>
  <Omfattning>
    <identitet>pf_jordbruksmark02</identitet>
    <Indelning>
      <tema>Planeringsförutsättningar</tema>
      <grupp>Hushållningsbestämmelser enligt 3 kap. miljöbalken</grupp>
      <undergrupp>Jordbruksmark</undergrupp>
    </Indelning>
  </Omfattning>
  <Omfattning>
    <identitet>pf_miljökvalitetsnormer01</identitet>
    <Indelning>
      <tema>Planeringsförutsättningar</tema>
      <grupp>Miljökvalitetsnormer</grupp>
    </Indelning>
  </Omfattning>
  <Omfattning>
    <identitet>pf_luft01</identitet>
    <Indelning>
      <tema>Planeringsförutsättningar</tema>
      <grupp>Miljökvalitetsnormer</grupp>
      <undergrupp>Luft</undergrupp>
    </Indelning>
  </Omfattning>
  <Omfattning>
    <identitet>pf_vatten01</identitet>
    <Indelning>
      <tema>Planeringsförutsättningar</tema>
      <grupp>Miljökvalitetsnormer</grupp>
      <undergrupp>Vatten</undergrupp>
    </Indelning>
  </Omfattning>
  <Omfattning>
    <identitet>pf_buller01</identitet>
    <Indelning>
      <tema>Planeringsförutsättningar</tema>
      <grupp>Miljökvalitetsnormer</grupp>
      <undergrupp>Buller</undergrupp>
    </Indelning>
  </Omfattning>
  <Omfattning>
    <identitet>pf_dagvatten01</identitet>
    <Indelning>
      <tema>Planeringsförutsättningar</tema>
      <grupp>Miljö</grupp>
      <undergrupp>Dagvatten</undergrupp>
    </Indelning>
  </Omfattning>
  <Omfattning>
    <identitet>pf_omgivningsbuller01</identitet>
    <Indelning>
      <tema>Planeringsförutsättningar</tema>
      <grupp>Hälsa och säkerhet</grupp>
      <undergrupp>Omgivningsbuller</undergrupp>
    </Indelning>
  </Omfattning>
  <Omfattning>
    <identitet>pf_riskförolyckor01</identitet>
    <Indelning>
      <tema>Planeringsförutsättningar</tema>
      <grupp>Hälsa och säkerhet</grupp>
      <undergrupp>Risk för olyckor</undergrupp>
    </Indelning>
  </Omfattning>
  <Omfattning>
    <identitet>pf_riskförolyckor02</identitet>
    <Indelning>
      <tema>Planeringsförutsättningar</tema>
      <grupp>Hälsa och säkerhet</grupp>
      <undergrupp>Risk för olyckor</undergrupp>
    </Indelning>
  </Omfattning>
  <Omfattning>
    <identitet>pf_riskföröversvämning01</identitet>
    <Indelning>
      <tema>Planeringsförutsättningar</tema>
      <grupp>Hälsa och säkerhet</grupp>
      <undergrupp>Risk för översvämning</undergrupp>
    </Indelning>
  </Omfattning>
  <Omfattning>
    <identitet>pf_riskförerosion01</identitet>
    <Indelning>
      <tema>Planeringsförutsättningar</tema>
      <grupp>Hälsa och säkerhet</grupp>
      <undergrupp>Risk för erosion</undergrupp>
    </Indelning>
  </Omfattning>
  <Omfattning>
    <identitet>pf_riskförskred01</identitet>
    <Indelning>
      <tema>Planeringsförutsättningar</tema>
      <grupp>Hälsa och säkerhet</grupp>
      <undergrupp>Risk för skred</undergrupp>
    </Indelning>
  </Omfattning>
  <Omfattning>
    <identitet>pf_riskförras01</identitet>
    <Indelning>
      <tema>Planeringsförutsättningar</tema>
      <grupp>Hälsa och säkerhet</grupp>
      <undergrupp>Risk för ras</undergrupp>
    </Indelning>
  </Omfattning>
  <Omfattning>
    <identitet>pf_förorenadmark01</identitet>
    <Indelning>
      <tema>Planeringsförutsättningar</tema>
      <grupp>Hälsa och säkerhet</grupp>
      <undergrupp>Förorenad mark</undergrupp>
    </Indelning>
  </Omfattning>
  <Omfattning>
    <identitet>pf_geotekniskaförhållanden01</identitet>
    <Indelning>
      <tema>Planeringsförutsättningar</tema>
      <grupp>Geotekniska förhållanden</grupp>
    </Indelning>
  </Omfattning>
  <Omfattning>
    <identitet>pf_hydrologiskaförhållanden01</identitet>
    <Indelning>
      <tema>Planeringsförutsättningar</tema>
      <grupp>Hydrologiska förhållanden</grupp>
    </Indelning>
  </Omfattning>
  <Omfattning>
    <identitet>pf_fornlämningar01</identitet>
    <Indelning>
      <tema>Planeringsförutsättningar</tema>
      <grupp>Kulturmiljö</grupp>
      <undergrupp>Fornlämningar</undergrupp>
    </Indelning>
  </Omfattning>
  <Omfattning>
    <identitet>pf_byggnadsminnen01</identitet>
    <Indelning>
      <tema>Planeringsförutsättningar</tema>
      <grupp>Kulturmiljö</grupp>
      <undergrupp>Byggnadsminnen</undergrupp>
    </Indelning>
  </Omfattning>
  <Omfattning>
    <identitet>pf_fysiskmiljö01</identitet>
    <Indelning>
      <tema>Planeringsförutsättningar</tema>
      <grupp>Fysisk miljö</grupp>
    </Indelning>
  </Omfattning>
  <Omfattning>
    <identitet>pf_sociala01</identitet>
    <Indelning>
      <tema>Planeringsförutsättningar</tema>
      <grupp>Sociala</grupp>
    </Indelning>
  </Omfattning>
  <Omfattning>
    <identitet>pf_sociala02</identitet>
    <Indelning>
      <tema>Planeringsförutsättningar</tema>
      <grupp>Sociala</grupp>
    </Indelning>
  </Omfattning>
  <Omfattning>
    <identitet>pf_vattenochavlopp01</identitet>
    <Indelning>
      <tema>Planeringsförutsättningar</tema>
      <grupp>Teknik</grupp>
      <undergrupp>Vatten och avlopp</undergrupp>
    </Indelning>
  </Omfattning>
  <Omfattning>
    <identitet>pf_eltelevärmeochbredband01</identitet>
    <Indelning>
      <tema>Planeringsförutsättningar</tema>
      <grupp>Teknik</grupp>
      <undergrupp>El, tele, värme och bredband</undergrupp>
    </Indelning>
  </Omfattning>
  <Omfattning>
    <identitet>pf_avfall01</identitet>
    <Indelning>
      <tema>Planeringsförutsättningar</tema>
      <grupp>Teknik</grupp>
      <undergrupp>Avfall</undergrupp>
    </Indelning>
  </Omfattning>
  <Omfattning>
    <identitet>pf_offentligservice01</identitet>
    <Indelning>
      <tema>Planeringsförutsättningar</tema>
      <grupp>Service</grupp>
      <undergrupp>Offentlig service</undergrupp>
    </Indelning>
  </Omfattning>
  <Omfattning>
    <identitet>pf_kommersiellservice01</identitet>
    <Indelning>
      <tema>Planeringsförutsättningar</tema>
      <grupp>Service</grupp>
      <undergrupp>Kommersiell service</undergrupp>
    </Indelning>
  </Omfattning>
  <Omfattning>
    <identitet>pf_lokalgata01</identitet>
    <Indelning>
      <tema>Planeringsförutsättningar</tema>
      <grupp>Trafik</grupp>
      <undergrupp>Lokalgata</undergrupp>
    </Indelning>
  </Omfattning>
  <Omfattning>
    <identitet>pf_gångochcykeltrafik01</identitet>
    <Indelning>
      <tema>Planeringsförutsättningar</tema>
      <grupp>Trafik</grupp>
      <undergrupp>Gång- och cykeltrafik</undergrupp>
    </Indelning>
  </Omfattning>
  <Omfattning>
    <identitet>pf_kollektivtrafik01</identitet>
    <Indelning>
      <tema>Planeringsförutsättningar</tema>
      <grupp>Trafik</grupp>
      <undergrupp>Kollektivtrafik</undergrupp>
    </Indelning>
  </Omfattning>
  <Omfattning>
    <identitet>pf_tillgänglighet01</identitet>
    <Indelning>
      <tema>Planeringsförutsättningar</tema>
      <grupp>Trafik</grupp>
      <undergrupp>Tillgänglighet</undergrupp>
    </Indelning>
  </Omfattning>
  <Omfattning>
    <identitet>pu_detaljplan01</identitet>
    <Indelning>
      <tema>Planeringsunderlag</tema>
      <grupp>Kommunala</grupp>
      <undergrupp>Detaljplan</undergrupp>
    </Indelning>
  </Omfattning>
  <Omfattning>
    <identitet>pu_grundkarta01</identitet>
    <Indelning>
      <tema>Planeringsunderlag</tema>
      <grupp>Kommunala</grupp>
      <undergrupp>Grundkarta</undergrupp>
    </Indelning>
  </Omfattning>
  <Omfattning>
    <identitet>pu_översiktsplan01</identitet>
    <Indelning>
      <tema>Planeringsunderlag</tema>
      <grupp>Kommunala</grupp>
      <undergrupp>Översiktsplan</undergrupp>
    </Indelning>
  </Omfattning>
  <Omfattning>
    <identitet>pu_undersökningenl6kap6_mb01</identitet>
    <Indelning>
      <tema>Planeringsunderlag</tema>
      <grupp>Kommunala</grupp>
      <undergrupp>Undersökning enligt 6 kap. 6 § miljöbalken (1998:808)</undergrupp>
    </Indelning>
  </Omfattning>
  <Omfattning>
    <identitet>pu_geotekniskutredning01</identitet>
    <Indelning>
      <tema>Planeringsunderlag</tema>
      <grupp>Utredningar</grupp>
      <undergrupp>Geoteknisk utredning</undergrupp>
    </Indelning>
  </Omfattning>
  <Omfattning>
    <identitet>pu_barnkonsekvensanalys01</identitet>
    <Indelning>
      <tema>Planeringsunderlag</tema>
      <grupp>Utredningar</grupp>
      <undergrupp>Barnkonsekvensanalys</undergrupp>
    </Indelning>
  </Omfattning>
  <Omfattning>
    <identitet>pu_barnkonsekvensanalys02</identitet>
    <Indelning>
      <tema>Planeringsunderlag</tema>
      <grupp>Utredningar</grupp>
      <undergrupp>Barnkonsekvensanalys</undergrupp>
    </Indelning>
  </Omfattning>
  <Omfattning>
    <identitet>ko_fastigheterochrättigheter01</identitet>
    <Indelning>
      <tema>Konsekvenser</tema>
      <grupp>Fastigheter och rättigheter</grupp>
    </Indelning>
  </Omfattning>
  <Omfattning>
    <identitet>ko_grönområde01</identitet>
    <Indelning>
      <tema>Konsekvenser</tema>
      <grupp>Natur</grupp>
      <undergrupp>Grönområde</undergrupp>
    </Indelning>
  </Omfattning>
  <Omfattning>
    <identitet>ko_landskapsbild01</identitet>
    <Indelning>
      <tema>Konsekvenser</tema>
      <grupp>Natur</grupp>
      <undergrupp>Landskapsbild</undergrupp>
    </Indelning>
  </Omfattning>
  <Omfattning>
    <identitet>ko_miljökonsekvensbeskrivning01</identitet>
    <Indelning>
      <tema>Konsekvenser</tema>
      <grupp>Miljö</grupp>
      <undergrupp>Miljökonsekvens-beskrivning</undergrupp>
    </Indelning>
  </Omfattning>
  <Omfattning>
    <identitet>ko_ställningstagande4kap33b_pbl01</identitet>
    <Indelning>
      <tema>Konsekvenser</tema>
      <grupp>Miljö</grupp>
      <undergrupp>Ställningstagande 4 kap. 33 b § plan- och bygglagen (2010:900)</undergrupp>
    </Indelning>
  </Omfattning>
  <Omfattning>
    <identitet>ko_dagvatten01</identitet>
    <Indelning>
      <tema>Konsekvenser</tema>
      <grupp>Miljö</grupp>
      <undergrupp>Dagvatten</undergrupp>
    </Indelning>
  </Omfattning>
  <Omfattning>
    <identitet>ko_luft01</identitet>
    <Indelning>
      <tema>Konsekvenser</tema>
      <grupp>Miljökvalitetsnormer</grupp>
      <undergrupp>Luft</undergrupp>
    </Indelning>
  </Omfattning>
  <Omfattning>
    <identitet>ko_vatten01</identitet>
    <Indelning>
      <tema>Konsekvenser</tema>
      <grupp>Miljökvalitetsnormer</grupp>
      <undergrupp>Vatten</undergrupp>
    </Indelning>
  </Omfattning>
  <Omfattning>
    <identitet>ko_buller01</identitet>
    <Indelning>
      <tema>Konsekvenser</tema>
      <grupp>Miljökvalitetsnormer</grupp>
      <undergrupp>Buller</undergrupp>
    </Indelning>
  </Omfattning>
  <Omfattning>
    <identitet>ko_beräkningavomgivningsbuller01</identitet>
    <Indelning>
      <tema>Konsekvenser</tema>
      <grupp>Hälsa och säkerhet</grupp>
      <undergrupp>Beräkning av omgivningsbuller</undergrupp>
    </Indelning>
  </Omfattning>
  <Omfattning>
    <identitet>ko_beräkningavomgivningsbuller02</identitet>
    <Indelning>
      <tema>Konsekvenser</tema>
      <grupp>Hälsa och säkerhet</grupp>
      <undergrupp>Beräkning av omgivningsbuller</undergrupp>
    </Indelning>
  </Omfattning>
  <Omfattning>
    <identitet>ko_översvämning01</identitet>
    <Indelning>
      <tema>Konsekvenser</tema>
      <grupp>Hälsa och säkerhet</grupp>
      <undergrupp>Översvämning</undergrupp>
    </Indelning>
  </Omfattning>
  <Omfattning>
    <identitet>ko_översvämning02</identitet>
    <Indelning>
      <tema>Konsekvenser</tema>
      <grupp>Hälsa och säkerhet</grupp>
      <undergrupp>Översvämning</undergrupp>
    </Indelning>
  </Omfattning>
  <Omfattning>
    <identitet>ko_olyckor01</identitet>
    <Indelning>
      <tema>Konsekvenser</tema>
      <grupp>Hälsa och säkerhet</grupp>
      <undergrupp>Olyckor</undergrupp>
    </Indelning>
  </Omfattning>
  <Omfattning>
    <identitet>ko_olyckor02</identitet>
    <Indelning>
      <tema>Konsekvenser</tema>
      <grupp>Hälsa och säkerhet</grupp>
      <undergrupp>Olyckor</undergrupp>
    </Indelning>
  </Omfattning>
  <Omfattning>
    <identitet>ko_erosion01</identitet>
    <Indelning>
      <tema>Konsekvenser</tema>
      <grupp>Hälsa och säkerhet</grupp>
      <undergrupp>Erosion</undergrupp>
    </Indelning>
  </Omfattning>
  <Omfattning>
    <identitet>ko_skred01</identitet>
    <Indelning>
      <tema>Konsekvenser</tema>
      <grupp>Hälsa och säkerhet</grupp>
      <undergrupp>Skred</undergrupp>
    </Indelning>
  </Omfattning>
  <Omfattning>
    <identitet>ko_ras01</identitet>
    <Indelning>
      <tema>Konsekvenser</tema>
      <grupp>Hälsa och säkerhet</grupp>
      <undergrupp>Ras</undergrupp>
    </Indelning>
  </Omfattning>
  <Omfattning>
    <identitet>ko_sociala01</identitet>
    <Indelning>
      <tema>Konsekvenser</tema>
      <grupp>Sociala</grupp>
    </Indelning>
  </Omfattning>
  <Omfattning>
    <identitet>ko_barn01</identitet>
    <Indelning>
      <tema>Konsekvenser</tema>
      <grupp>Sociala</grupp>
      <undergrupp>Barn</undergrupp>
    </Indelning>
  </Omfattning>
  <Omfattning>
    <identitet>ko_jämlikhet01</identitet>
    <Indelning>
      <tema>Konsekvenser</tema>
      <grupp>Sociala</grupp>
      <undergrupp>Jämlikhet</undergrupp>
    </Indelning>
  </Omfattning>
  <Omfattning>
    <identitet>ko_naturvård01</identitet>
    <Indelning>
      <tema>Konsekvenser</tema>
      <grupp>Riksintresse</grupp>
      <undergrupp>Naturvård</undergrupp>
    </Indelning>
  </Omfattning>
  <Omfattning>
    <identitet>ko_friluftsliv01</identitet>
    <Indelning>
      <tema>Konsekvenser</tema>
      <grupp>Riksintresse</grupp>
      <undergrupp>Friluftsliv</undergrupp>
    </Indelning>
  </Omfattning>
  <Omfattning>
    <identitet>ko_kulturmiljövård01</identitet>
    <Indelning>
      <tema>Konsekvenser</tema>
      <grupp>Riksintresse</grupp>
      <undergrupp>Kulturmiljövård</undergrupp>
    </Indelning>
  </Omfattning>
  <Omfattning>
    <identitet>ko_totalförsvar01</identitet>
    <Indelning>
      <tema>Konsekvenser</tema>
      <grupp>Riksintresse</grupp>
      <undergrupp>Totalförsvar</undergrupp>
    </Indelning>
  </Omfattning>
  <Omfattning>
    <identitet>ko_rörligtfriluftsliv01</identitet>
    <Indelning>
      <tema>Konsekvenser</tema>
      <grupp>Riksintresse</grupp>
      <undergrupp>Rörligt friluftsliv</undergrupp>
    </Indelning>
  </Omfattning>
  <Omfattning>
    <identitet>ko_natura200001</identitet>
    <Indelning>
      <tema>Konsekvenser</tema>
      <grupp>Riksintresse</grupp>
      <undergrupp>Natura 2000</undergrupp>
    </Indelning>
  </Omfattning>
  <Omfattning>
    <identitet>ko_trafikkommunikation01</identitet>
    <Indelning>
      <tema>Konsekvenser</tema>
      <grupp>Riksintresse</grupp>
      <undergrupp>Trafikkommunikation</undergrupp>
    </Indelning>
  </Omfattning>
  <Omfattning>
    <identitet>ko_hushållningsbestämmelserenl3kap_mb01</identitet>
    <Indelning>
      <tema>Konsekvenser</tema>
      <grupp>Hushållningsbestämmelser enligt 3 kap. miljöbalken</grupp>
    </Indelning>
  </Omfattning>
  <Omfattning>
    <identitet>ko_motortrafik01</identitet>
    <Indelning>
      <tema>Konsekvenser</tema>
      <grupp>Trafik</grupp>
      <undergrupp>Motortrafik</undergrupp>
    </Indelning>
  </Omfattning>
  <Omfattning>
    <identitet>ko_gångochcykeltrafik01</identitet>
    <Indelning>
      <tema>Konsekvenser</tema>
      <grupp>Trafik</grupp>
      <undergrupp>Gång- och cykeltrafik</undergrupp>
    </Indelning>
  </Omfattning>
  <Omfattning>
    <identitet>gf_skyldighetinlösenhuvudman01</identitet>
    <Indelning>
      <tema>Genomförandefrågor</tema>
      <grupp>Mark- och utrymmesförvärv</grupp>
      <undergrupp>Skyldighet inlösen, huvudman</undergrupp>
    </Indelning>
  </Omfattning>
  <Omfattning>
    <identitet>gf_fastighetsrättsligafrågor01</identitet>
    <Indelning>
      <tema>Genomförandefrågor</tema>
      <grupp>Fastighetsrättsliga frågor</grupp>
    </Indelning>
  </Omfattning>
  <Omfattning>
    <identitet>gf_fastighetsindelningsbestämmelser01</identitet>
    <Indelning>
      <tema>Genomförandefrågor</tema>
      <grupp>Fastighetsrättsliga frågor</grupp>
      <undergrupp>Fastighetsindelnings-bestämmelser</undergrupp>
    </Indelning>
  </Omfattning>
  <Omfattning>
    <identitet>gf_förändradfastighetsindelning01</identitet>
    <Indelning>
      <tema>Genomförandefrågor</tema>
      <grupp>Fastighetsrättsliga frågor</grupp>
      <undergrupp>Förändrad fastighetsindelning</undergrupp>
    </Indelning>
  </Omfattning>
  <Omfattning>
    <identitet>gf_rättigheter01</identitet>
    <Indelning>
      <tema>Genomförandefrågor</tema>
      <grupp>Fastighetsrättsliga frågor</grupp>
      <undergrupp>Rättigheter</undergrupp>
    </Indelning>
  </Omfattning>
  <Omfattning>
    <identitet>gf_tekniskaåtgärder01</identitet>
    <Indelning>
      <tema>Genomförandefrågor</tema>
      <grupp>Tekniska frågor</grupp>
      <undergrupp>Tekniska åtgärder</undergrupp>
    </Indelning>
  </Omfattning>
  <Omfattning>
    <identitet>gf_utbyggnadallmänplats01</identitet>
    <Indelning>
      <tema>Genomförandefrågor</tema>
      <grupp>Tekniska frågor</grupp>
      <undergrupp>Utbyggnad allmän plats</undergrupp>
    </Indelning>
  </Omfattning>
  <Omfattning>
    <identitet>gf_utbyggnadvattenochavlopp01</identitet>
    <Indelning>
      <tema>Genomförandefrågor</tema>
      <grupp>Tekniska frågor</grupp>
      <undergrupp>Utbyggnad vatten och avlopp</undergrupp>
    </Indelning>
  </Omfattning>
  <Omfattning>
    <identitet>gf_avfall01</identitet>
    <Indelning>
      <tema>Genomförandefrågor</tema>
      <grupp>Tekniska frågor</grupp>
      <undergrupp>Avfall</undergrupp>
    </Indelning>
  </Omfattning>
  <Omfattning>
    <identitet>gf_planekonomiskbedömning01</identitet>
    <Indelning>
      <tema>Genomförandefrågor</tema>
      <grupp>Ekonomiska frågor</grupp>
      <undergrupp>Planekonomisk bedömning</undergrupp>
    </Indelning>
  </Omfattning>
  <Omfattning>
    <identitet>gf_planavgift01</identitet>
    <Indelning>
      <tema>Genomförandefrågor</tema>
      <grupp>Ekonomiska frågor</grupp>
      <undergrupp>Planavgift</undergrupp>
    </Indelning>
  </Omfattning>
  <Omfattning>
    <identitet>gf_driftallmänplats01</identitet>
    <Indelning>
      <tema>Genomförandefrågor</tema>
      <grupp>Ekonomiska frågor</grupp>
      <undergrupp>Drift allmän plats</undergrupp>
    </Indelning>
  </Omfattning>
  <Omfattning>
    <identitet>gf_driftvattenochavlopp01</identitet>
    <Indelning>
      <tema>Genomförandefrågor</tema>
      <grupp>Ekonomiska frågor</grupp>
      <undergrupp>Drift vatten och avlopp</undergrupp>
    </Indelning>
  </Omfattning>
  <Omfattning>
    <identitet>gf_gatukostnader01</identitet>
    <Indelning>
      <tema>Genomförandefrågor</tema>
      <grupp>Ekonomiska frågor</grupp>
      <undergrupp>Gatukostnader</undergrupp>
    </Indelning>
  </Omfattning>
  <Omfattning>
    <identitet>gf_exploateringsavtal01</identitet>
    <Indelning>
      <tema>Genomförandefrågor</tema>
      <grupp>Organisatoriska frågor</grupp>
      <undergrupp>Exploateringsavtal</undergrupp>
    </Indelning>
  </Omfattning>
  <Omfattning>
    <identitet>gf_markanvisning01</identitet>
    <Indelning>
      <tema>Genomförandefrågor</tema>
      <grupp>Organisatoriska frågor</grupp>
      <undergrupp>Markanvisning</undergrupp>
    </Indelning>
  </Omfattning>
  <Omfattning>
    <identitet>gf_tidplan01</identitet>
    <Indelning>
      <tema>Genomförandefrågor</tema>
      <grupp>Organisatoriska frågor</grupp>
      <undergrupp>Tidplan</undergrupp>
    </Indelning>
  </Omfattning>
  <Omfattning>
    <identitet>mo_motivtillreglering05</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b1b7119e-3714-4b65-84e7-94a0c722eac4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63ec2419-5daf-4701-9a31-e549cb5e24c1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3127403-c82b-42ee-9ca2-aa32824cf65d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6570bb54-35c1-4a3e-92e7-706568a65e75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b1b7119e-3714-4b65-84e7-94a0c722eac4</objektreferens>
    <objektreferens>63ec2419-5daf-4701-9a31-e549cb5e24c1</objektreferens>
    <objektreferens>c3127403-c82b-42ee-9ca2-aa32824cf65d</objektreferens>
    <objektreferens>6570bb54-35c1-4a3e-92e7-706568a65e75</objektreferens>
    <Indelning>
      <tema>Motiv till detaljplanens regleringar</tema>
      <grupp>Motiv till reglering</grupp>
    </Indelning>
  </Omfattning>
  <Omfattning>
    <identitet>mo_motivtillreglering07</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305ed1de-bbe0-4bcb-9503-ff0805f7388d_f0">
          <gml:exterior>
            <gml:LinearRing>
              <gml:posList>6661799.388 180961.675 6661788.253 180937.541 6661792.162 180935.225 6661794.782 180933.673 6661801.437 180929.731 6661822.111 180917.485 6661822.45 180917.992 6661824.034 180920.361 6661825.206 180922.113 6661826.577 180924.163 6661827.267 180925.196 6661827.748 180925.914 6661831.329 180931.269 6661833.064 180933.864 6661833.082 180933.89 6661833.12 180933.947 6661833.166 180934.018 6661832.699 180934.77 6661831.61 180936.524 6661830.246 180938.722 6661827.854 180942.576 6661825.885 180945.748 6661824.354 180948.215 6661822.53 180951.154 6661821.414 180952.952 6661820.556 180954.335 6661819.864 180955.449 6661819.462 180955.571 6661818.863 180955.753 6661817.99 180956.019 6661817.452 180956.183 6661816.875 180956.358 6661815.272 180956.845 6661814.124 180957.194 6661812.427 180957.71 6661811.183 180958.089 6661810.607 180958.264 6661809.613 180958.566 6661807.722 180959.141 6661805.693 180959.758 6661805.209 180959.905 6661804.388 180960.155 6661803.302 180960.485 6661802.1 180960.85 6661800.893 180961.217 6661799.388 180961.675</gml:posList>
            </gml:LinearRing>
          </gml:exterior>
        </gml:Polygon>
      </lmg:Position>
    </lmg:Ytgeometri>
    <objektreferens>305ed1de-bbe0-4bcb-9503-ff0805f7388d</objektreferens>
    <Indelning>
      <tema>Motiv till detaljplanens regleringar</tema>
      <grupp>Motiv till reglering</grupp>
    </Indelning>
  </Omfattning>
  <Omfattning>
    <identitet>mo_motivtillreglering09</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0e562119-ff6b-4d05-bb5c-660cc37421d2_f0">
          <gml:exterior>
            <gml:LinearRing>
              <gml:posList>6661713.303 181009.82 6661704.837 180999.66 6661700.493 180994.448 6661700.524 180994.442 6661701.372 180994.284 6661701.506 180994.259 6661701.93 180994.18 6661705.689 180993.48 6661706.762 180993.28 6661718.31 181006.751 6661718.62 181009.595 6661719.031 181013.357 6661719.45 181017.196 6661719.461 181017.3 6661713.303 181009.82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657b35ba-dfc9-474b-a941-9d8c999be091_f0">
          <gml:exterior>
            <gml:LinearRing>
              <gml:posList>6661790.751 180934.183 6661724.922 180958.313 6661726.743 180985.376 6661724.686 180985.598 6661723.946 180985.677 6661721.853 180955.985 6661790.645 180930.902 6661794.782 180933.673 6661802.498 180938.84 6661825.206 180922.113 6661826.577 180924.163 6661802.075 180942.544 6661792.162 180935.225 6661790.751 180934.183</gml:posList>
            </gml:LinearRing>
          </gml:exterior>
        </gml:Polygon>
      </lmg:Position>
    </lmg:Ytgeometri>
    <objektreferens>0e562119-ff6b-4d05-bb5c-660cc37421d2</objektreferens>
    <objektreferens>657b35ba-dfc9-474b-a941-9d8c999be091</objektreferens>
    <Indelning>
      <tema>Motiv till detaljplanens regleringar</tema>
      <grupp>Motiv till reglering</grupp>
    </Indelning>
  </Omfattning>
  <Omfattning>
    <identitet>mo_motivtillreglering13</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3d77ed4-d72d-4396-abdf-1f799849d844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objektreferens>73d77ed4-d72d-4396-abdf-1f799849d844</objektreferens>
    <Indelning>
      <tema>Motiv till detaljplanens regleringar</tema>
      <grupp>Motiv till reglering</grupp>
    </Indelning>
  </Omfattning>
  <Omfattning>
    <identitet>mo_motivtillreglering14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4c70df23-f17b-49df-ad19-d9e052bd48f4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a7bb70e-9315-482d-97e6-d91d5ad429ff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a5c25284-3390-42a1-8da4-e7ab2e048d45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fcf178cd-4a41-4364-9a03-a3cc896978a2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4c70df23-f17b-49df-ad19-d9e052bd48f4</objektreferens>
    <objektreferens>da7bb70e-9315-482d-97e6-d91d5ad429ff</objektreferens>
    <objektreferens>a5c25284-3390-42a1-8da4-e7ab2e048d45</objektreferens>
    <objektreferens>fcf178cd-4a41-4364-9a03-a3cc896978a2</objektreferens>
    <Indelning>
      <tema>Motiv till detaljplanens regleringar</tema>
      <grupp>Motiv till reglering</grupp>
    </Indelning>
  </Omfattning>
  <Omfattning>
    <identitet>mo_motivtillreglering17</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619e037c-9c79-4cc9-8d21-94803a7765bb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b6688c30-a136-4c94-a2e3-41a33b2d8b9f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46bc985-8668-4608-aa82-a1eef5ab4f4a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88f0096f-9896-41fd-bd13-a00ee65df320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619e037c-9c79-4cc9-8d21-94803a7765bb</objektreferens>
    <objektreferens>b6688c30-a136-4c94-a2e3-41a33b2d8b9f</objektreferens>
    <objektreferens>046bc985-8668-4608-aa82-a1eef5ab4f4a</objektreferens>
    <objektreferens>88f0096f-9896-41fd-bd13-a00ee65df320</objektreferens>
    <Indelning>
      <tema>Motiv till detaljplanens regleringar</tema>
      <grupp>Motiv till reglering</grupp>
    </Indelning>
  </Omfattning>
  <Omfattning>
    <identitet>mo_motivtillreglering18</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160ad295-28de-40e5-b99d-fb70c01e2094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objektreferens>160ad295-28de-40e5-b99d-fb70c01e2094</objektreferens>
    <Indelning>
      <tema>Motiv till detaljplanens regleringar</tema>
      <grupp>Motiv till reglering</grupp>
    </Indelning>
  </Omfattning>
  <Omfattning>
    <identitet>mo_motivtillreglering19</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53e737a9-8490-4e76-bfbe-9c8ad2a6ee51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3e277699-2e00-41f8-bb8e-4a2b9b443267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1af5bfce-21ae-4fef-8d66-dc69225af0b5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fda48de-0d15-4a6b-afcd-b9e5fd5d2059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4b89fe36-8aaf-48e0-a73a-059becb855eb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53e737a9-8490-4e76-bfbe-9c8ad2a6ee51</objektreferens>
    <objektreferens>3e277699-2e00-41f8-bb8e-4a2b9b443267</objektreferens>
    <objektreferens>1af5bfce-21ae-4fef-8d66-dc69225af0b5</objektreferens>
    <objektreferens>0fda48de-0d15-4a6b-afcd-b9e5fd5d2059</objektreferens>
    <objektreferens>4b89fe36-8aaf-48e0-a73a-059becb855eb</objektreferens>
    <Indelning>
      <tema>Motiv till detaljplanens regleringar</tema>
      <grupp>Motiv till reglering</grupp>
    </Indelning>
  </Omfattning>
  <Omfattning>
    <identitet>mo_motivtillreglering20</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5fd66a3c-53e7-4f28-beef-917ab8dfe67c_f0">
          <gml:exterior>
            <gml:LinearRing>
              <gml:posList>6661799.388 180961.675 6661788.253 180937.541 6661792.162 180935.225 6661794.782 180933.673 6661801.437 180929.731 6661822.111 180917.485 6661822.45 180917.992 6661824.034 180920.361 6661825.206 180922.113 6661826.577 180924.163 6661827.267 180925.196 6661827.748 180925.914 6661831.329 180931.269 6661833.064 180933.864 6661833.082 180933.89 6661833.12 180933.947 6661833.166 180934.018 6661832.699 180934.77 6661831.61 180936.524 6661830.246 180938.722 6661827.854 180942.576 6661825.885 180945.748 6661824.354 180948.215 6661822.53 180951.154 6661821.414 180952.952 6661820.556 180954.335 6661819.864 180955.449 6661819.462 180955.571 6661818.863 180955.753 6661817.99 180956.019 6661817.452 180956.183 6661816.875 180956.358 6661815.272 180956.845 6661814.124 180957.194 6661812.427 180957.71 6661811.183 180958.089 6661810.607 180958.264 6661809.613 180958.566 6661807.722 180959.141 6661805.693 180959.758 6661805.209 180959.905 6661804.388 180960.155 6661803.302 180960.485 6661802.1 180960.85 6661800.893 180961.217 6661799.388 180961.675</gml:posList>
            </gml:LinearRing>
          </gml:exterior>
        </gml:Polygon>
      </lmg:Position>
    </lmg:Ytgeometri>
    <objektreferens>5fd66a3c-53e7-4f28-beef-917ab8dfe67c</objektreferens>
    <Indelning>
      <tema>Motiv till detaljplanens regleringar</tema>
      <grupp>Motiv till reglering</grupp>
    </Indelning>
  </Omfattning>
  <Omfattning>
    <identitet>mo_motivtillreglering02</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7468ac8-21eb-449c-a020-2543bf1cdc7e_f2">
          <gml:exterior>
            <gml:LinearRing>
              <gml:posList>6661579.241 180907.997 6661573.058 180908.196 6661573.183 180905.727 6661573.234 180904.712 6661573.264 180904.118 6661573.296 180903.477 6661573.315 180903.104 6661573.322 180902.968 6661573.388 180902.623 6661573.455 180902.279 6661573.55 180901.785 6661573.908 180899.937 6661583.941 180899.623 6661583.968 180899.628 6661585.303 180899.584 6661591.776 180899.288 6661592.577 180899.251 6661592.922 180899.235 6661593.666 180899.201 6661597.256 180899.037 6661654.217 180896.429 6661654.232 180896.428 6661659.763 180896.175 6661661.46 180896.097 6661661.488 180896.096 6661662.938 180896.029 6661664.419 180895.962 6661668.644 180895.768 6661668.66 180895.768 6661670.416 180893.711 6661675.286 180888.011 6661677.421 180885.528 6661679.157 180883.509 6661679.826 180882.731 6661680.17 180882.332 6661680.178 180882.322 6661680.818 180881.578 6661685.703 180875.899 6661715.282 180841.506 6661727.573 180827.215 6661727.601 180827.17 6661732.649 180820.394 6661733.647 180820.973 6661734.102 180821.237 6661734.397 180821.408 6661734.729 180821.601 6661735.235 180821.895 6661736.225 180822.47 6661736.903 180822.864 6661738.251 180823.646 6661739.324 180824.27 6661739.574 180824.415 6661739.518 180824.494 6661739.036 180825.175 6661737.297 180827.569 6661736.011 180829.345 6661735 180830.736 6661734.467 180831.455 6661734.34 180831.604 6661734.318 180831.63 6661733.52 180832.569 6661732.815 180833.389 6661726.568 180840.652 6661725.127 180842.328 6661707.5 180862.824 6661703.219 180867.8 6661700.578 180870.872 6661683.406 180890.838 6661678.595 180896.454 6661677.076 180898.227 6661673.505 180902.397 6661672.452 180903.627 6661668.022 180903.837 6661658.547 180904.277 6661607.867 180906.629 6661599.54 180907.015 6661598.286 180907.073 6661598.276 180907.074 6661586.462 180907.622 6661583.944 180907.739 6661583.822 180907.74 6661583.818 180907.74 6661583.079 180907.744 6661579.241 180907.997</gml:posList>
            </gml:LinearRing>
          </gml:exterior>
        </gml:Polygon>
      </lmg:Position>
    </lmg:Ytgeometri>
    <objektreferens>77468ac8-21eb-449c-a020-2543bf1cdc7e</objektreferens>
    <Indelning>
      <tema>Motiv till detaljplanens regleringar</tema>
      <grupp>Motiv till reglering</grupp>
    </Indelning>
  </Omfattning>
  <Omfattning>
    <identitet>mo_motivtillreglering03</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f0b6cc15-e9e3-4e5d-bf31-e8d21e022a0b_f2">
          <gml:exterior>
            <gml:LinearRing>
              <gml:posList>6661587.994 181026.587 6661587.923 181026.788 6661587.909 181026.746 6661587.756 181026.128 6661587.499 181025.095 6661587.427 181024.804 6661587.292 181024.263 6661587.165 181023.753 6661587.095 181023.47 6661586.564 181021.336 6661585.808 181018.297 6661584.966 181014.909 6661587.946 181015.383 6661585.453 181014.984 6661588.782 181015.494 6661592.979 181016.049 6661595.159 181015.393 6661595.541 181015.315 6661611.167 181011.284 6661632.41 181005.391 6661639.825 181003.335 6661652.632 180999.873 6661664.04 180996.789 6661679.514 180992.607 6661682.27 180991.862 6661683.197 180991.127 6661684.013 180990.271 6661684.705 180989.311 6661685.259 180988.266 6661687.758 180980.817 6661688.269 180979.873 6661688.658 180979.595 6661688.819 180979.48 6661689.164 180979.416 6661689.169 180979.415 6661690.068 180979.248 6661690.842 180979.104 6661691.616 180978.961 6661692.252 180978.843 6661698.319 180977.718 6661699.276 180977.79 6661699.772 180978.147 6661699.992 180978.729 6661700.983 180987.215 6661701.05 180988.29 6661701.224 180991.087 6661701.506 180994.259 6661701.372 180994.284 6661700.524 180994.442 6661700.493 180994.448 6661700.092 180994.522 6661697.934 180994.924 6661685.929 180997.16 6661683.856 180997.723 6661679.272 180998.967 6661597.314 181021.222 6661597.143 181021.268 6661597.03 181021.301 6661596.859 181021.352 6661591.113 181023.187 6661589.747 181024.002 6661589.073 181024.665 6661588.516 181025.43 6661588.164 181026.131 6661588.065 181026.363 6661587.994 181026.587</gml:posList>
            </gml:LinearRing>
          </gml:exterior>
        </gml:Polygon>
      </lmg:Position>
    </lmg:Ytgeometri>
    <objektreferens>f0b6cc15-e9e3-4e5d-bf31-e8d21e022a0b</objektreferens>
    <Indelning>
      <tema>Motiv till detaljplanens regleringar</tema>
      <grupp>Motiv till reglering</grupp>
    </Indelning>
  </Omfattning>
  <Omfattning>
    <identitet>mo_motivtillreglering23</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08faeb46-3074-4e03-8566-067302bfafde_f3">
          <gml:exterior>
            <gml:LinearRing>
              <gml:posList>6661709.295 180910.094 6661707.93 180911.681 6661707.95 180911.869 6661710.399 180934.293 6661710.662 180936.708 6661710.875 180938.659 6661711.128 180940.97 6661714.626 180973.012 6661716.264 180988.012 6661704.404 180990.104 6661703.468 180990.162 6661702.306 180989.802 6661701.803 180989.456 6661701.378 180989.017 6661701.05 180988.29 6661700.983 180987.215 6661699.992 180978.729 6661699.772 180978.147 6661699.276 180977.79 6661698.319 180977.718 6661692.252 180978.843 6661691.616 180978.961 6661690.842 180979.104 6661690.068 180979.248 6661689.169 180979.415 6661689.164 180979.416 6661688.819 180979.48 6661688.658 180979.595 6661688.269 180979.873 6661687.758 180980.817 6661685.259 180988.266 6661684.705 180989.311 6661684.013 180990.271 6661683.197 180991.127 6661682.27 180991.862 6661679.514 180992.607 6661664.04 180996.789 6661652.632 180999.873 6661639.825 181003.335 6661632.41 181005.391 6661611.167 181011.284 6661595.541 181015.315 6661595.159 181015.393 6661594.163 181012.442 6661592.33 181006.567 6661592.228 181006.243 6661591.952 181005.358 6661591.565 181004.116 6661586.001 180986.285 6661583.144 180969.934 6661581.778 180959.933 6661580.585 180940.251 6661580.885 180935.15 6661581.108 180935.182 6661585.969 180934.956 6661589.582 180934.788 6661595.38 180934.519 6661597.256 180934.432 6661609.239 180933.876 6661654.062 180931.796 6661687.809 180930.229 6661692.894 180924.448 6661692.18 180922.96 6661690.904 180920.304 6661689.742 180917.885 6661687.383 180912.975 6661686.314 180910.748 6661684.686 180907.359 6661683.047 180903.948 6661682.668 180903.158 6661682.564 180903.162 6661678.544 180903.344 6661677.083 180903.412 6661675.558 180903.482 6661673.971 180903.556 6661672.918 180903.605 6661672.452 180903.627 6661673.505 180902.397 6661677.076 180898.227 6661678.595 180896.454 6661683.406 180890.838 6661700.578 180870.872 6661703.219 180867.8 6661707.5 180862.824 6661722.474 180876.58 6661729.008 180882.583 6661756.424 180850.718 6661756.574 180850.544 6661758.845 180852.504 6661729.652 180886.434 6661723.173 180893.965 6661721.491 180895.92 6661718.715 180899.146 6661711.983 180906.971 6661710.765 180908.386 6661709.295 180910.094</gml:posList>
            </gml:LinearRing>
          </gml:exterior>
        </gml:Polygon>
      </lmg:Position>
    </lmg:Ytgeometri>
    <objektreferens>08faeb46-3074-4e03-8566-067302bfafde</objektreferens>
    <Indelning>
      <tema>Motiv till detaljplanens regleringar</tema>
      <grupp>Motiv till reglering</grupp>
    </Indelning>
  </Omfattning>
  <Omfattning>
    <identitet>mo_motivtillreglering24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df3db84c-a5ff-44ea-9277-44afd780e3c9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a620be28-6b68-4dd4-8eca-e8ee24814799_f1">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4403f7e9-9e1a-41b3-aec7-920126ca9597_f1">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02910a73-7d80-4242-8798-6d707bd4bd65_f1">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2b8cdf10-f43e-467e-b870-ae66a3e86516_f1">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df3db84c-a5ff-44ea-9277-44afd780e3c9</objektreferens>
    <objektreferens>a620be28-6b68-4dd4-8eca-e8ee24814799</objektreferens>
    <objektreferens>4403f7e9-9e1a-41b3-aec7-920126ca9597</objektreferens>
    <objektreferens>02910a73-7d80-4242-8798-6d707bd4bd65</objektreferens>
    <objektreferens>2b8cdf10-f43e-467e-b870-ae66a3e86516</objektreferens>
    <Indelning>
      <tema>Motiv till detaljplanens regleringar</tema>
      <grupp>Motiv till reglering</grupp>
    </Indelning>
  </Omfattning>
  <Omfattning>
    <identitet>mo_motivtillreglering26</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6ec00e2d-6c18-487a-8ace-d865c01521e2_f0">
          <gml:exterior>
            <gml:LinearRing>
              <gml:posList>6661785.345 180965.945 6661785.163 180966 6661786.052 180969.05 6661787.655 180974.547 6661788.765 180978.358 6661789.379 180980.463 6661790.419 180984.03 6661791.442 180987.543 6661792.662 180991.728 6661794.029 180996.418 6661794.694 180998.7 6661795.448 181001.289 6661796.69 181005.549 6661797.904 181009.715 6661798.744 181012.598 6661799.594 181015.514 6661800.535 181018.743 6661800.826 181019.739 6661801.288 181021.324 6661801.452 181021.888 6661801.711 181022.825 6661802.053 181024.024 6661802.096 181024.186 6661802.133 181024.322 6661802.203 181024.583 6661800.284 181025.198 6661797.826 181025.985 6661795.529 181026.722 6661794.004 181027.211 6661791.398 181028.046 6661788.432 181028.997 6661787.339 181029.347 6661785.481 181029.942 6661782.32 181030.955 6661779.695 181031.797 6661776.83 181032.715 6661774.882 181033.34 6661772.436 181034.123 6661770.631 181034.702 6661767.485 181035.71 6661764.685 181036.608 6661763.358 181037.033 6661760.635 181037.906 6661757.631 181038.869 6661756.056 181039.374 6661753.796 181040.098 6661752.075 181040.65 6661749.85 181041.363 6661746.702 181042.372 6661743.404 181043.429 6661741.121 181044.161 6661738.248 181045.081 6661735.185 181046.063 6661734.856 181046.168 6661734.676 181046.226 6661734.636 181045.955 6661733.578 181034.483 6661733.411 181032.677 6661732.724 181025.237 6661732.717 181025.158 6661732.823 181025.149 6661731.784 181013.231 6661731.644 181011.63 6661731.64 181011.586 6661729.673 180989.024 6661729.206 180985.08 6661726.743 180985.376 6661724.686 180985.598 6661723.946 180985.677 6661723.434 180985.7 6661723.15 180985.97 6661722.317 180986.579 6661721.432 180987.014 6661720.458 180987.255 6661717.449 180987.783 6661716.266 180988.033 6661716.264 180988.012 6661714.626 180973.012 6661711.128 180940.97 6661710.875 180938.659 6661710.662 180936.708 6661710.399 180934.293 6661707.95 180911.869 6661707.93 180911.681 6661709.295 180910.094 6661710.765 180908.386 6661711.983 180906.971 6661718.715 180899.146 6661721.491 180895.92 6661723.173 180893.965 6661729.652 180886.434 6661758.845 180852.504 6661771.561 180863.484 6661802.713 180894.9 6661812.676 180904.947 6661815.9 180908.199 6661820.261 180914.72 6661821.959 180917.258 6661821.989 180917.303 6661822.06 180917.409 6661822.111 180917.485 6661822.45 180917.992 6661824.034 180920.361 6661825.206 180922.113 6661826.577 180924.163 6661827.267 180925.196 6661827.748 180925.914 6661831.329 180931.269 6661833.064 180933.864 6661833.082 180933.89 6661833.12 180933.947 6661833.166 180934.018 6661832.699 180934.77 6661831.61 180936.524 6661830.246 180938.722 6661827.854 180942.576 6661825.885 180945.748 6661824.354 180948.215 6661822.53 180951.154 6661821.414 180952.952 6661820.556 180954.335 6661819.864 180955.449 6661819.462 180955.571 6661818.863 180955.753 6661817.99 180956.019 6661817.452 180956.183 6661816.875 180956.358 6661815.272 180956.845 6661814.124 180957.194 6661812.427 180957.71 6661811.183 180958.089 6661810.607 180958.264 6661809.613 180958.566 6661807.722 180959.141 6661805.693 180959.758 6661805.209 180959.905 6661804.388 180960.155 6661803.302 180960.485 6661802.1 180960.85 6661800.893 180961.217 6661799.388 180961.675 6661799.343 180961.689 6661798.518 180961.939 6661796.654 180962.506 6661795.706 180962.794 6661794.338 180963.21 6661793.343 180963.513 6661790.997 180964.226 6661789.788 180964.594 6661787.588 180965.263 6661785.606 180965.865 6661785.345 180965.945</gml:posList>
            </gml:LinearRing>
          </gml:exterior>
        </gml:Polygon>
      </lmg:Position>
    </lmg:Ytgeometri>
    <objektreferens>6ec00e2d-6c18-487a-8ace-d865c01521e2</objektreferens>
    <Indelning>
      <tema>Motiv till detaljplanens regleringar</tema>
      <grupp>Motiv till reglering</grupp>
    </Indelning>
  </Omfattning>
  <Omfattning>
    <identitet>mo_motivtillreglering28</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d7a2242c-2938-4664-9d91-b263f461219f_f0">
          <gml:exterior>
            <gml:LinearRing>
              <gml:posList>6661710.765 180908.386 6661709.295 180910.094 6661690.371 180893.759 6661711.59 180869.096 6661729.652 180886.434 6661723.173 180893.965 6661721.491 180895.92 6661718.715 180899.146 6661711.983 180906.971 6661710.765 180908.386</gml:posList>
            </gml:LinearRing>
          </gml:exterior>
        </gml:Polygon>
      </lmg:Position>
    </lmg:Ytgeometri>
    <objektreferens>d7a2242c-2938-4664-9d91-b263f461219f</objektreferens>
    <Indelning>
      <tema>Motiv till detaljplanens regleringar</tema>
      <grupp>Motiv till reglering</grupp>
    </Indelning>
  </Omfattning>
  <Omfattning>
    <identitet>Kartlänk_04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f63c9e92-079c-41b6-8987-784f93502dd4_f0">
          <gml:exterior>
            <gml:LinearRing>
              <gml:posList>6661673.505 180902.397 6661583.318 180905.492 6661573.183 180905.727 6661573.234 180904.712 6661573.264 180904.118 6661573.296 180903.477 6661573.315 180903.104 6661573.322 180902.968 6661583.629 180902.565 6661677.076 180898.227 6661673.505 180902.397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7c679bb5-aadc-490f-bbfe-55367bb2e62e_f0">
          <gml:exterior>
            <gml:LinearRing>
              <gml:posList>6661692.252 180978.843 6661691.616 180978.961 6661690.842 180979.104 6661690.068 180979.248 6661689.169 180979.415 6661689.164 180979.416 6661688.819 180979.48 6661688.909 180973.42 6661693.241 180945.327 6661696.352 180925.15 6661685.229 180901.994 6661684.557 180902.005 6661682.295 180902.058 6661677.757 180902.217 6661673.505 180902.397 6661677.076 180898.227 6661687.927 180898.373 6661700.494 180924.535 6661692.275 180977.834 6661692.252 180978.843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44e2421-6b41-4aa0-b150-c3a59c3058ba_f0">
          <gml:exterior>
            <gml:LinearRing>
              <gml:posList>6661743.009 181095.794 6661737.464 181076.9 6661734.156 181064.861 6661730.717 181054.013 6661728.997 181046.34 6661727.145 181025.835 6661725.16 181000.17 6661724.499 180993.159 6661723.946 180985.677 6661724.686 180985.598 6661726.743 180985.376 6661731.378 181042.239 6661740.639 181078.09 6661745.795 181094.877 6661743.009 181095.794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a970646-e5ca-4d1c-8dfb-3d79f9f263e0_f0">
          <gml:exterior>
            <gml:LinearRing>
              <gml:posList>6661673.505 180902.397 6661583.318 180905.492 6661573.183 180905.727 6661573.234 180904.712 6661573.264 180904.118 6661573.296 180903.477 6661573.315 180903.104 6661573.322 180902.968 6661583.629 180902.565 6661677.076 180898.227 6661673.505 180902.397</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36c6d52-e87f-48ff-9d4f-080e0e96d3e2_f0">
          <gml:exterior>
            <gml:LinearRing>
              <gml:posList>6661692.252 180978.843 6661691.616 180978.961 6661690.842 180979.104 6661690.068 180979.248 6661689.169 180979.415 6661689.164 180979.416 6661688.819 180979.48 6661688.909 180973.42 6661693.241 180945.327 6661696.352 180925.15 6661685.229 180901.994 6661684.557 180902.005 6661682.295 180902.058 6661677.757 180902.217 6661673.505 180902.397 6661677.076 180898.227 6661687.927 180898.373 6661700.494 180924.535 6661692.275 180977.834 6661692.252 180978.843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90debb45-16cb-4c77-9085-1df9129063cb_f0">
          <gml:exterior>
            <gml:LinearRing>
              <gml:posList>6661743.009 181095.794 6661737.464 181076.9 6661734.156 181064.861 6661730.717 181054.013 6661728.997 181046.34 6661727.145 181025.835 6661725.16 181000.17 6661724.499 180993.159 6661723.946 180985.677 6661724.686 180985.598 6661726.743 180985.376 6661731.378 181042.239 6661740.639 181078.09 6661745.795 181094.877 6661743.009 181095.794</gml:posList>
            </gml:LinearRing>
          </gml:exterior>
        </gml:Polygon>
      </lmg:Position>
    </lmg:Ytgeometri>
    <objektreferens>f63c9e92-079c-41b6-8987-784f93502dd4</objektreferens>
    <objektreferens>7c679bb5-aadc-490f-bbfe-55367bb2e62e</objektreferens>
    <objektreferens>d44e2421-6b41-4aa0-b150-c3a59c3058ba</objektreferens>
    <objektreferens>da970646-e5ca-4d1c-8dfb-3d79f9f263e0</objektreferens>
    <objektreferens>e36c6d52-e87f-48ff-9d4f-080e0e96d3e2</objektreferens>
    <objektreferens>90debb45-16cb-4c77-9085-1df9129063cb</objektreferens>
  </Omfattning>
  <Omfattning>
    <identitet>mo_motivtillreglering12</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cf426c6-d7c4-41c3-b10e-9afb28b7f631_f0">
          <gml:exterior>
            <gml:LinearRing>
              <gml:posList>6661785.345 180965.945 6661785.163 180966 6661786.052 180969.05 6661787.655 180974.547 6661788.765 180978.358 6661789.379 180980.463 6661790.419 180984.03 6661791.442 180987.543 6661792.662 180991.728 6661794.029 180996.418 6661794.694 180998.7 6661795.448 181001.289 6661796.69 181005.549 6661797.904 181009.715 6661798.744 181012.598 6661799.594 181015.514 6661800.535 181018.743 6661800.826 181019.739 6661801.288 181021.324 6661801.452 181021.888 6661801.711 181022.825 6661802.053 181024.024 6661802.096 181024.186 6661802.133 181024.322 6661802.203 181024.583 6661800.284 181025.198 6661797.826 181025.985 6661795.529 181026.722 6661794.004 181027.211 6661791.398 181028.046 6661788.432 181028.997 6661787.339 181029.347 6661785.481 181029.942 6661782.32 181030.955 6661779.695 181031.797 6661776.83 181032.715 6661774.882 181033.34 6661772.436 181034.123 6661770.631 181034.702 6661767.485 181035.71 6661764.685 181036.608 6661763.358 181037.033 6661760.635 181037.906 6661757.631 181038.869 6661756.056 181039.374 6661753.796 181040.098 6661752.075 181040.65 6661749.85 181041.363 6661746.702 181042.372 6661743.404 181043.429 6661741.121 181044.161 6661738.248 181045.081 6661735.185 181046.063 6661734.856 181046.168 6661734.676 181046.226 6661734.636 181045.955 6661733.578 181034.483 6661733.411 181032.677 6661732.724 181025.237 6661732.717 181025.158 6661732.823 181025.149 6661731.784 181013.231 6661731.644 181011.63 6661731.64 181011.586 6661729.673 180989.024 6661729.206 180985.08 6661726.743 180985.376 6661724.686 180985.598 6661723.946 180985.677 6661723.434 180985.7 6661723.15 180985.97 6661722.317 180986.579 6661721.432 180987.014 6661720.458 180987.255 6661717.449 180987.783 6661716.266 180988.033 6661716.264 180988.012 6661714.626 180973.012 6661711.128 180940.97 6661710.875 180938.659 6661710.662 180936.708 6661710.399 180934.293 6661707.95 180911.869 6661707.93 180911.681 6661709.295 180910.094 6661710.765 180908.386 6661711.983 180906.971 6661718.715 180899.146 6661721.491 180895.92 6661723.173 180893.965 6661729.652 180886.434 6661758.845 180852.504 6661771.561 180863.484 6661802.713 180894.9 6661812.676 180904.947 6661815.9 180908.199 6661820.261 180914.72 6661821.959 180917.258 6661821.989 180917.303 6661822.06 180917.409 6661822.111 180917.485 6661822.45 180917.992 6661824.034 180920.361 6661825.206 180922.113 6661826.577 180924.163 6661827.267 180925.196 6661827.748 180925.914 6661831.329 180931.269 6661833.064 180933.864 6661833.082 180933.89 6661833.12 180933.947 6661833.166 180934.018 6661832.699 180934.77 6661831.61 180936.524 6661830.246 180938.722 6661827.854 180942.576 6661825.885 180945.748 6661824.354 180948.215 6661822.53 180951.154 6661821.414 180952.952 6661820.556 180954.335 6661819.864 180955.449 6661819.462 180955.571 6661818.863 180955.753 6661817.99 180956.019 6661817.452 180956.183 6661816.875 180956.358 6661815.272 180956.845 6661814.124 180957.194 6661812.427 180957.71 6661811.183 180958.089 6661810.607 180958.264 6661809.613 180958.566 6661807.722 180959.141 6661805.693 180959.758 6661805.209 180959.905 6661804.388 180960.155 6661803.302 180960.485 6661802.1 180960.85 6661800.893 180961.217 6661799.388 180961.675 6661799.343 180961.689 6661798.518 180961.939 6661796.654 180962.506 6661795.706 180962.794 6661794.338 180963.21 6661793.343 180963.513 6661790.997 180964.226 6661789.788 180964.594 6661787.588 180965.263 6661785.606 180965.865 6661785.345 180965.945</gml:posList>
            </gml:LinearRing>
          </gml:exterior>
        </gml:Polygon>
      </lmg:Position>
    </lmg:Ytgeometri>
    <objektreferens>7cf426c6-d7c4-41c3-b10e-9afb28b7f631</objektreferens>
    <Indelning>
      <tema>Motiv till detaljplanens regleringar</tema>
      <grupp>Motiv till reglering</grupp>
    </Indelning>
  </Omfattning>
  <Omfattning>
    <identitet>mo_motivtillreglering15</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5ce6e937-e19f-44c0-8e54-9c5fe31c8cab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34624af2-3d2f-4d19-bcfe-431d7aeb3073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ea99674-8ee9-45f9-afca-3cc2319c0a1c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5fb02187-1a0e-4bca-9111-f0f3c9181815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5ce6e937-e19f-44c0-8e54-9c5fe31c8cab</objektreferens>
    <objektreferens>34624af2-3d2f-4d19-bcfe-431d7aeb3073</objektreferens>
    <objektreferens>eea99674-8ee9-45f9-afca-3cc2319c0a1c</objektreferens>
    <objektreferens>5fb02187-1a0e-4bca-9111-f0f3c9181815</objektreferens>
    <Indelning>
      <tema>Motiv till detaljplanens regleringar</tema>
      <grupp>Motiv till reglering</grupp>
    </Indelning>
  </Omfattning>
  <Omfattning>
    <identitet>mo_motivtillreglering16</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f5b3e817-3679-46d8-8f3c-4988e533e694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objektreferens>f5b3e817-3679-46d8-8f3c-4988e533e694</objektreferens>
    <Indelning>
      <tema>Motiv till detaljplanens regleringar</tema>
      <grupp>Motiv till reglering</grupp>
    </Indelning>
  </Omfattning>
  <Omfattning>
    <identitet>mo_motivtillreglering08</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545c7774-c1b2-47d2-8c63-2e93e7e96d52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objektreferens>545c7774-c1b2-47d2-8c63-2e93e7e96d52</objektreferens>
    <Indelning>
      <tema>Motiv till detaljplanens regleringar</tema>
      <grupp>Motiv till reglering</grupp>
    </Indelning>
  </Omfattning>
  <Omfattning>
    <identitet>mo_motivtillreglering11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81e61ced-e4d3-4431-a12d-67469d737f34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d2024919-dc23-40f8-ba8c-242710880496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62901a21-6232-4128-aa7f-d87b696aea9a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11d12aa2-ffee-484f-956e-69f90cd5dd62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81e61ced-e4d3-4431-a12d-67469d737f34</objektreferens>
    <objektreferens>d2024919-dc23-40f8-ba8c-242710880496</objektreferens>
    <objektreferens>62901a21-6232-4128-aa7f-d87b696aea9a</objektreferens>
    <objektreferens>11d12aa2-ffee-484f-956e-69f90cd5dd62</objektreferens>
    <Indelning>
      <tema>Motiv till detaljplanens regleringar</tema>
      <grupp>Motiv till reglering</grupp>
    </Indelning>
  </Omfattning>
  <Omfattning>
    <identitet>mo_motivtillreglering04</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9c89af20-f972-450b-91a0-dbfbb1c7e81d_f2">
          <gml:exterior>
            <gml:LinearRing>
              <gml:posList>6661735.723 181080.885 6661720.283 181024.48 6661720.219 181024.244 6661719.801 181020.415 6661719.461 181017.3 6661719.45 181017.196 6661719.031 181013.357 6661718.62 181009.595 6661718.31 181006.751 6661716.638 180991.441 6661706.762 180993.28 6661705.689 180993.48 6661701.93 180994.18 6661701.506 180994.259 6661701.224 180991.087 6661701.05 180988.29 6661701.378 180989.017 6661701.803 180989.456 6661702.306 180989.802 6661703.468 180990.162 6661704.404 180990.104 6661716.264 180988.012 6661716.266 180988.033 6661717.449 180987.783 6661720.458 180987.255 6661721.432 180987.014 6661722.317 180986.579 6661723.15 180985.97 6661723.434 180985.7 6661723.946 180985.677 6661724.686 180985.598 6661726.743 180985.376 6661729.206 180985.08 6661729.673 180989.024 6661731.64 181011.586 6661731.644 181011.63 6661731.784 181013.231 6661732.823 181025.149 6661732.717 181025.158 6661732.724 181025.237 6661733.411 181032.677 6661733.578 181034.483 6661734.636 181045.955 6661734.676 181046.226 6661734.559 181046.264 6661734.534 181046.272 6661734.374 181046.323 6661735.193 181049.029 6661735.984 181051.647 6661737.002 181055.019 6661737.35 181056.168 6661738.188 181058.943 6661738.877 181061.224 6661739.752 181064.118 6661740.715 181067.306 6661741.547 181070.058 6661742.496 181073.199 6661743.59 181076.818 6661744.868 181081.048 6661746.328 181085.881 6661747.945 181091.236 6661751.328 181093.055 6661751.344 181093.064 6661750.664 181093.274 6661745.795 181094.877 6661743.009 181095.794 6661740.108 181096.75 6661737.758 181088.324 6661735.723 181080.885</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ec7f4fa5-d807-4464-9ddd-7170f94e6907_f2">
          <gml:exterior>
            <gml:LinearRing>
              <gml:posList>6661588.782 181015.494 6661585.453 181014.984 6661587.946 181015.383 6661584.966 181014.909 6661584.864 181014.503 6661574.511 180972.873 6661573.459 180957.426 6661571.804 180933.116 6661573.058 180908.196 6661579.241 180907.997 6661583.079 180907.744 6661583.076 180907.765 6661582.161 180916.377 6661581.775 180920.01 6661580.885 180935.15 6661580.585 180940.251 6661581.778 180959.933 6661583.144 180969.934 6661586.001 180986.285 6661591.565 181004.116 6661591.952 181005.358 6661592.228 181006.243 6661592.33 181006.567 6661594.163 181012.442 6661595.159 181015.393 6661592.979 181016.049 6661588.782 181015.494</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c918916a-3d1c-4f90-aba3-d9cae85c6848_f2">
          <gml:exterior>
            <gml:LinearRing>
              <gml:posList>6661587.923 181026.788 6661587.994 181026.587 6661588.065 181026.363 6661588.164 181026.131 6661588.516 181025.43 6661589.073 181024.665 6661589.747 181024.002 6661591.113 181023.187 6661596.859 181021.352 6661597.03 181021.301 6661597.143 181021.268 6661599.198 181028.315 6661601.124 181034.919 6661606.382 181052.955 6661603.534 181053.728 6661597.122 181055.469 6661587.923 181026.788</gml:posList>
            </gml:LinearRing>
          </gml:exterior>
        </gml:Polygon>
      </lmg:Position>
    </lmg:Ytgeometri>
    <objektreferens>9c89af20-f972-450b-91a0-dbfbb1c7e81d</objektreferens>
    <objektreferens>ec7f4fa5-d807-4464-9ddd-7170f94e6907</objektreferens>
    <objektreferens>c918916a-3d1c-4f90-aba3-d9cae85c6848</objektreferens>
    <Indelning>
      <tema>Motiv till detaljplanens regleringar</tema>
      <grupp>Motiv till reglering</grupp>
    </Indelning>
  </Omfattning>
  <Omfattning>
    <identitet>mo_motivtillreglering25</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eede6353-0e6c-4017-927a-0fbdd57b21d2_f0">
          <gml:exterior>
            <gml:LinearRing>
              <gml:posList>6661664.276 180892.873 6661664.158 180890.594 6661664.041 180888.316 6661670.096 180888.005 6661670.213 180890.283 6661670.33 180892.562 6661670.416 180893.711 6661668.66 180895.768 6661668.644 180895.768 6661664.419 180895.962 6661664.276 180892.873</gml:posList>
            </gml:LinearRing>
          </gml:exterior>
        </gml:Polygon>
      </lmg:Position>
    </lmg:Ytgeometri>
    <objektreferens>eede6353-0e6c-4017-927a-0fbdd57b21d2</objektreferens>
    <Indelning>
      <tema>Motiv till detaljplanens regleringar</tema>
      <grupp>Motiv till reglering</grupp>
    </Indelning>
  </Omfattning>
  <Omfattning>
    <identitet>mo_motivtillreglering27</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98ef3dd4-94e5-4956-aaaa-9d7233a0ac44_f1">
          <gml:exterior>
            <gml:LinearRing>
              <gml:posList>6661656.353 180865.715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gml:posList>
            </gml:LinearRing>
          </gml:exterior>
        </gml:Polygon>
      </lmg:Position>
    </lmg:Ytgeometri>
    <objektreferens>98ef3dd4-94e5-4956-aaaa-9d7233a0ac44</objektreferens>
    <Indelning>
      <tema>Motiv till detaljplanens regleringar</tema>
      <grupp>Motiv till reglering</grupp>
    </Indelning>
  </Omfattning>
  <Omfattning>
    <identitet>mo_motivtillreglering29</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39986886-ba50-4bdb-ae0e-b5f7805923b8_f0">
          <gml:exterior>
            <gml:LinearRing>
              <gml:posList>6661720.219 181024.244 6661712.972 181025.363 6661710.428 181025.946 6661708.795 181026.321 6661681.256 181032.623 6661662.932 181037.6 6661606.382 181052.955 6661601.124 181034.919 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gml:posList>
            </gml:LinearRing>
          </gml:exterior>
          <gml:interior>
            <gml:LinearRing>
              <gml:posList>6661655.412 181011.619 6661602.601 181025.801 6661605.565 181034.585 6661609.375 181047.709 6661665.89 181032.574 6661697.534 181024.425 6661714.15 181020.721 6661713.303 181009.82 6661704.837 180999.66 6661688.588 181002.761 6661687.266 181003.014 6661661.375 181010.044 6661657.833 181011.006 6661655.412 181011.619</gml:posList>
            </gml:LinearRing>
          </gml:interior>
        </gml:Polygon>
      </lmg:Position>
    </lmg:Ytgeometri>
    <objektreferens>39986886-ba50-4bdb-ae0e-b5f7805923b8</objektreferens>
    <Indelning>
      <tema>Motiv till detaljplanens regleringar</tema>
      <grupp>Motiv till reglering</grupp>
    </Indelning>
  </Omfattning>
  <Omfattning>
    <identitet>mo_motivtillreglering22</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fb81ac2-afb3-4dbe-bf74-d472a866d25d_f3">
          <gml:exterior>
            <gml:LinearRing>
              <gml:posList>6661666.714 180853.518 6661658.19 180863.428 6661664.24 180868.7 6661664.269 180868.725 6661664.284 180868.738 6661673.008 180876.341 6661674.831 180878.015 6661674.996 180878.167 6661676.041 180879.127 6661676.937 180879.98 6661677.665 180880.673 6661679.826 180882.731 6661679.157 180883.509 6661677.421 180885.528 6661675.286 180888.011 6661671.392 180879.905 6661670.572 180878.197 6661663.716 180872.224 6661663.701 180872.21 6661663.672 180872.185 6661663.685 180872.104 6661656.353 180865.715 6661656.308 180865.767 6661652.808 180869.862 6661645.98 180870.174 6661618.477 180871.434 6661615.327 180871.578 6661592.481 180872.624 6661590.673 180872.612 6661598.203 180850.245 6661599.057 180847.708 6661600.281 180844.073 6661601.884 180839.312 6661613.525 180804.917 6661626.49 180795.127 6661666.008 180803.751 6661674.621 180805.63 6661699.397 180810.928 6661701.3 180812.024 6661702.034 180812.446 6661702.004 180812.49 6661666.714 180853.518</gml:posList>
            </gml:LinearRing>
          </gml:exterior>
        </gml:Polygon>
      </lmg:Position>
    </lmg:Ytgeometri>
    <objektreferens>7fb81ac2-afb3-4dbe-bf74-d472a866d25d</objektreferens>
    <Indelning>
      <tema>Motiv till detaljplanens regleringar</tema>
      <grupp>Motiv till reglering</grupp>
    </Indelning>
  </Omfattning>
  <Omfattning>
    <identitet>mo_motivtillreglering01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28d02e71-9821-46c5-8953-cad9da191b47_f2">
          <gml:exterior>
            <gml:LinearRing>
              <gml:posList>6661867.007 180914.774 6661865.996 180918.231 6661866.873 180921.204 6661861.885 180927.494 6661859.183 180926.055 6661845.226 180919.341 6661841.336 180920.854 6661839.087 180924.477 6661838.393 180925.595 6661837.711 180926.695 6661837.569 180926.923 6661837.455 180927.107 6661837.064 180927.738 6661836.491 180928.661 6661835.916 180929.587 6661835.458 180930.324 6661835.11 180930.886 6661834.14 180932.449 6661833.744 180933.086 6661833.166 180934.018 6661833.12 180933.947 6661833.082 180933.89 6661833.064 180933.864 6661831.329 180931.269 6661827.748 180925.914 6661827.267 180925.196 6661826.577 180924.163 6661825.206 180922.113 6661824.034 180920.361 6661822.45 180917.992 6661822.111 180917.485 6661831.737 180911.783 6661829.983 180910.098 6661812.045 180891.924 6661785.101 180866.624 6661766.592 180849.243 6661750.117 180834.183 6661748.229 180832.457 6661739.518 180824.494 6661739.574 180824.415 6661739.324 180824.27 6661738.251 180823.646 6661736.903 180822.864 6661736.225 180822.47 6661735.235 180821.895 6661734.729 180821.601 6661734.397 180821.408 6661734.102 180821.237 6661733.647 180820.973 6661732.649 180820.394 6661701.135 180802.095 6661683.79 180799.415 6661683.748 180794.653 6661683.743 180794.119 6661683.697 180789.038 6661683.698 180788.657 6661684.62 180788.844 6661688.386 180789.61 6661691.308 180790.205 6661694.416 180790.837 6661697.284 180791.42 6661699.688 180791.909 6661702.145 180792.409 6661703.471 180793.157 6661706.589 180794.915 6661712.277 180798.122 6661714.919 180799.631 6661716.012 180800.23 6661717.366 180800.994 6661719.394 180802.137 6661721.901 180803.551 6661724.25 180804.876 6661726.073 180805.905 6661730.143 180808.2 6661732.479 180809.518 6661734.094 180810.428 6661740.096 180813.938 6661743.091 180816.26 6661746.314 180818.758 6661748.598 180820.867 6661753.805 180825.425 6661758.786 180829.786 6661764.871 180835.112 6661768.676 180838.443 6661770.855 180840.351 6661774.386 180843.442 6661779.158 180847.62 6661781.871 180849.995 6661785.789 180853.975 6661788.823 180857.057 6661792.263 180860.55 6661795.405 180863.742 6661800.855 180869.278 6661805.545 180874.052 6661806.363 180874.872 6661808.053 180876.614 6661810.178 180878.805 6661810.835 180879.481 6661815.995 180884.799 6661818.695 180887.582 6661821.369 180890.339 6661824.428 180893.491 6661828.075 180897.25 6661828.582 180897.665 6661834.716 180903.048 6661838.381 180906.131 6661839.104 180906.74 6661847.397 180908.36 6661853.866 180908.202 6661860.216 180906.376 6661868.331 180902.339 6661872.86 180908.285 6661867.007 180914.774</gml:posList>
            </gml:LinearRing>
          </gml:exterior>
        </gml:Polygon>
      </lmg:Position>
    </lmg:Ytgeometri>
    <objektreferens>28d02e71-9821-46c5-8953-cad9da191b47</objektreferens>
    <Indelning>
      <tema>Motiv till detaljplanens regleringar</tema>
      <grupp>Motiv till reglering</grupp>
    </Indelning>
  </Omfattning>
  <Omfattning>
    <identitet>mo_motivtillreglering10</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f7f3522d-6b28-4925-af86-035074312c58_f0">
          <gml:exterior>
            <gml:LinearRing>
              <gml:posList>6661599.198 181028.315 6661597.143 181021.268 6661597.314 181021.222 6661679.272 180998.967 6661683.856 180997.723 6661685.929 180997.16 6661697.934 180994.924 6661700.092 180994.522 6661700.493 180994.448 6661700.524 180994.442 6661701.372 180994.284 6661701.506 180994.259 6661701.93 180994.18 6661705.689 180993.48 6661706.762 180993.28 6661716.638 180991.441 6661718.31 181006.751 6661718.62 181009.595 6661719.031 181013.357 6661719.45 181017.196 6661719.461 181017.3 6661719.801 181020.415 6661720.219 181024.244 6661712.972 181025.363 6661710.428 181025.946 6661708.795 181026.321 6661681.256 181032.623 6661662.932 181037.6 6661606.382 181052.955 6661601.124 181034.919 6661599.198 181028.315</gml:posList>
            </gml:LinearRing>
          </gml:exterior>
        </gml:Polygon>
      </lmg:Position>
    </lmg:Ytgeometri>
    <objektreferens>f7f3522d-6b28-4925-af86-035074312c58</objektreferens>
    <Indelning>
      <tema>Motiv till detaljplanens regleringar</tema>
      <grupp>Motiv till reglering</grupp>
    </Indelning>
  </Omfattning>
  <Omfattning>
    <identitet>mo_motivtillreglering06</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45ce5f44-6a0f-46b7-a022-e6ad7196d1f1_f0">
          <gml:exterior>
            <gml:LinearRing>
              <gml:posList>6661785.345 180965.945 6661785.163 180966 6661786.052 180969.05 6661787.655 180974.547 6661788.765 180978.358 6661789.379 180980.463 6661790.419 180984.03 6661791.442 180987.543 6661792.662 180991.728 6661794.029 180996.418 6661794.694 180998.7 6661795.448 181001.289 6661796.69 181005.549 6661797.904 181009.715 6661798.744 181012.598 6661799.594 181015.514 6661800.535 181018.743 6661800.826 181019.739 6661801.288 181021.324 6661801.452 181021.888 6661801.711 181022.825 6661802.053 181024.024 6661802.096 181024.186 6661802.133 181024.322 6661802.203 181024.583 6661800.284 181025.198 6661797.826 181025.985 6661795.529 181026.722 6661794.004 181027.211 6661791.398 181028.046 6661788.432 181028.997 6661787.339 181029.347 6661785.481 181029.942 6661782.32 181030.955 6661779.695 181031.797 6661776.83 181032.715 6661774.882 181033.34 6661772.436 181034.123 6661770.631 181034.702 6661767.485 181035.71 6661764.685 181036.608 6661763.358 181037.033 6661760.635 181037.906 6661757.631 181038.869 6661756.056 181039.374 6661753.796 181040.098 6661752.075 181040.65 6661749.85 181041.363 6661746.702 181042.372 6661743.404 181043.429 6661741.121 181044.161 6661738.248 181045.081 6661735.185 181046.063 6661734.856 181046.168 6661734.676 181046.226 6661734.636 181045.955 6661733.578 181034.483 6661733.411 181032.677 6661732.724 181025.237 6661732.717 181025.158 6661732.823 181025.149 6661731.784 181013.231 6661731.644 181011.63 6661731.64 181011.586 6661729.673 180989.024 6661729.206 180985.08 6661726.743 180985.376 6661724.686 180985.598 6661723.946 180985.677 6661723.434 180985.7 6661723.15 180985.97 6661722.317 180986.579 6661721.432 180987.014 6661720.458 180987.255 6661717.449 180987.783 6661716.266 180988.033 6661716.264 180988.012 6661714.626 180973.012 6661711.128 180940.97 6661710.875 180938.659 6661710.662 180936.708 6661710.399 180934.293 6661707.95 180911.869 6661707.93 180911.681 6661709.295 180910.094 6661710.765 180908.386 6661711.983 180906.971 6661718.715 180899.146 6661721.491 180895.92 6661723.173 180893.965 6661729.652 180886.434 6661758.845 180852.504 6661771.561 180863.484 6661802.713 180894.9 6661812.676 180904.947 6661815.9 180908.199 6661820.261 180914.72 6661821.959 180917.258 6661821.989 180917.303 6661822.06 180917.409 6661822.111 180917.485 6661822.45 180917.992 6661824.034 180920.361 6661825.206 180922.113 6661826.577 180924.163 6661827.267 180925.196 6661827.748 180925.914 6661831.329 180931.269 6661833.064 180933.864 6661833.082 180933.89 6661833.12 180933.947 6661833.166 180934.018 6661832.699 180934.77 6661831.61 180936.524 6661830.246 180938.722 6661827.854 180942.576 6661825.885 180945.748 6661824.354 180948.215 6661822.53 180951.154 6661821.414 180952.952 6661820.556 180954.335 6661819.864 180955.449 6661819.462 180955.571 6661818.863 180955.753 6661817.99 180956.019 6661817.452 180956.183 6661816.875 180956.358 6661815.272 180956.845 6661814.124 180957.194 6661812.427 180957.71 6661811.183 180958.089 6661810.607 180958.264 6661809.613 180958.566 6661807.722 180959.141 6661805.693 180959.758 6661805.209 180959.905 6661804.388 180960.155 6661803.302 180960.485 6661802.1 180960.85 6661800.893 180961.217 6661799.388 180961.675 6661799.343 180961.689 6661798.518 180961.939 6661796.654 180962.506 6661795.706 180962.794 6661794.338 180963.21 6661793.343 180963.513 6661790.997 180964.226 6661789.788 180964.594 6661787.588 180965.263 6661785.606 180965.865 6661785.345 180965.945</gml:posList>
            </gml:LinearRing>
          </gml:exterior>
        </gml:Polygon>
      </lmg:Position>
    </lmg:Ytgeometri>
    <objektreferens>45ce5f44-6a0f-46b7-a022-e6ad7196d1f1</objektreferens>
    <Indelning>
      <tema>Motiv till detaljplanens regleringar</tema>
      <grupp>Motiv till reglering</grupp>
    </Indelning>
  </Omfattning>
  <Omfattning>
    <identitet>mo_motivtillreglering21</identitet>
    <lmg:Ytgeometri>
      <lmg:absolutLagesosakerhetPlan>0</lmg:absolutLagesosakerhetPlan>
      <lmg:absolutLagesosakerhetHojd>0</lmg:absolutLagesosakerhetHojd>
      <lmg:koordinatsystemPlan>EPSG:3009</lmg:koordinatsystemPlan>
      <lmg:hojdsystem>RH 2000</lmg:hojdsystem>
      <lmg:dimension>2</lmg:dimension>
      <lmg:Position>
        <gml:Polygon gml:id="79ffb46c-25bb-465c-a0b3-253a29cdb90f_f0">
          <gml:exterior>
            <gml:LinearRing>
              <gml:posList>6661581.108 180935.182 6661580.885 180935.15 6661581.775 180920.01 6661582.161 180916.377 6661583.076 180907.765 6661583.079 180907.744 6661583.818 180907.74 6661583.822 180907.74 6661583.944 180907.739 6661586.462 180907.622 6661598.276 180907.074 6661598.286 180907.073 6661599.54 180907.015 6661607.867 180906.629 6661658.547 180904.277 6661668.022 180903.837 6661672.452 180903.627 6661672.918 180903.605 6661673.971 180903.556 6661675.558 180903.482 6661677.083 180903.412 6661678.544 180903.344 6661682.564 180903.162 6661682.668 180903.158 6661683.047 180903.948 6661684.686 180907.359 6661686.314 180910.748 6661687.383 180912.975 6661689.742 180917.885 6661690.904 180920.304 6661692.18 180922.96 6661692.894 180924.448 6661687.809 180930.229 6661654.062 180931.796 6661609.239 180933.876 6661597.256 180934.432 6661595.38 180934.519 6661589.582 180934.788 6661585.969 180934.956 6661581.108 180935.182</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5d39e74d-3e80-4c30-be20-e082debcabd2_f0">
          <gml:exterior>
            <gml:LinearRing>
              <gml:posList>6661679.826 180882.731 6661677.665 180880.673 6661676.937 180879.98 6661676.041 180879.127 6661674.996 180878.167 6661674.831 180878.015 6661673.008 180876.341 6661664.284 180868.738 6661664.269 180868.725 6661664.24 180868.7 6661658.19 180863.428 6661666.714 180853.518 6661702.004 180812.49 6661702.034 180812.446 6661702.44 180812.68 6661708.07 180815.922 6661708.934 180816.42 6661713.335 180818.954 6661718.076 180821.685 6661720.978 180823.356 6661723.571 180824.849 6661725.524 180825.974 6661725.711 180826.082 6661725.898 180826.189 6661726.049 180826.276 6661726.304 180826.423 6661726.54 180826.559 6661726.814 180826.717 6661726.972 180826.808 6661727.238 180826.961 6661727.37 180827.037 6661727.382 180827.044 6661727.486 180827.104 6661727.554 180827.143 6661727.601 180827.17 6661727.573 180827.215 6661715.282 180841.506 6661685.703 180875.899 6661680.818 180881.578 6661680.178 180882.322 6661680.17 180882.332 6661679.826 180882.731</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61de47c6-c867-43f5-9e66-ad05f33dd651_f0">
          <gml:exterior>
            <gml:LinearRing>
              <gml:posList>6661729.008 180882.583 6661722.474 180876.58 6661707.5 180862.824 6661725.127 180842.328 6661726.568 180840.652 6661732.815 180833.389 6661733.52 180832.569 6661734.318 180831.63 6661734.34 180831.604 6661734.467 180831.455 6661734.476 180831.462 6661737.338 180833.935 6661737.438 180834.021 6661748.658 180843.708 6661756.574 180850.544 6661756.424 180850.718 6661729.008 180882.583</gml:posList>
            </gml:LinearRing>
          </gml:exterior>
        </gml:Polygon>
      </lmg:Position>
    </lmg:Ytgeometri>
    <lmg:Ytgeometri>
      <lmg:absolutLagesosakerhetPlan>0</lmg:absolutLagesosakerhetPlan>
      <lmg:absolutLagesosakerhetHojd>0</lmg:absolutLagesosakerhetHojd>
      <lmg:koordinatsystemPlan>EPSG:3009</lmg:koordinatsystemPlan>
      <lmg:hojdsystem>RH 2000</lmg:hojdsystem>
      <lmg:dimension>2</lmg:dimension>
      <lmg:Position>
        <gml:Polygon gml:id="bdb4b37f-5fc0-4692-ab58-af54c21b1217_f0">
          <gml:exterior>
            <gml:LinearRing>
              <gml:posList>6661670.096 180888.005 6661664.041 180888.316 6661664.158 180890.594 6661664.276 180892.873 6661664.419 180895.962 6661662.938 180896.029 6661661.488 180896.096 6661661.46 180896.097 6661659.763 180896.175 6661654.232 180896.428 6661654.217 180896.429 6661597.256 180899.037 6661593.666 180899.201 6661592.922 180899.235 6661592.577 180899.251 6661591.776 180899.288 6661585.303 180899.584 6661583.968 180899.628 6661583.941 180899.623 6661584.024 180898.844 6661588.522 180879 6661590.673 180872.612 6661592.481 180872.624 6661615.327 180871.578 6661618.477 180871.434 6661645.98 180870.174 6661652.808 180869.862 6661656.308 180865.767 6661656.353 180865.715 6661663.685 180872.104 6661663.672 180872.185 6661663.701 180872.21 6661663.716 180872.224 6661670.572 180878.197 6661671.392 180879.905 6661675.286 180888.011 6661670.416 180893.711 6661670.33 180892.562 6661670.213 180890.283 6661670.096 180888.005</gml:posList>
            </gml:LinearRing>
          </gml:exterior>
        </gml:Polygon>
      </lmg:Position>
    </lmg:Ytgeometri>
    <objektreferens>79ffb46c-25bb-465c-a0b3-253a29cdb90f</objektreferens>
    <objektreferens>5d39e74d-3e80-4c30-be20-e082debcabd2</objektreferens>
    <objektreferens>61de47c6-c867-43f5-9e66-ad05f33dd651</objektreferens>
    <objektreferens>bdb4b37f-5fc0-4692-ab58-af54c21b1217</objektreferens>
    <Indelning>
      <tema>Motiv till detaljplanens regleringar</tema>
      <grupp>Motiv till reglering</grupp>
    </Indelning>
  </Omfattning>
</Planbeskrivning>
</file>

<file path=customXml/itemProps1.xml><?xml version="1.0" encoding="utf-8"?>
<ds:datastoreItem xmlns:ds="http://schemas.openxmlformats.org/officeDocument/2006/customXml" ds:itemID="{65c6645e-d35c-4b05-97a9-55643ef98a27}">
  <ds:schemaRefs>
    <ds:schemaRef ds:uri="http://schemas.microsoft.com/vsto/samples"/>
  </ds:schemaRefs>
</ds:datastoreItem>
</file>

<file path=customXml/itemProps2.xml><?xml version="1.0" encoding="utf-8"?>
<ds:datastoreItem xmlns:ds="http://schemas.openxmlformats.org/officeDocument/2006/customXml" ds:itemID="{e179573c-4cf1-459f-8ede-ac35b615fb30}">
  <ds:schemaRefs>
    <ds:schemaRef ds:uri="http://schemas.microsoft.com/vsto/samples"/>
  </ds:schemaRefs>
</ds:datastoreItem>
</file>

<file path=docProps/app.xml><?xml version="1.0" encoding="utf-8"?>
<Properties xmlns="http://schemas.openxmlformats.org/officeDocument/2006/extended-properties">
  <Application>GEOSECMA for ArcGIS</Application>
  <Template>Normal</Template>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Samir Hazrat</dc:creator>
  <dcterms:created xsi:type="dcterms:W3CDTF">2023-02-07T08:19:00Z</dcterms:created>
  <cp:lastModifiedBy>Samir Hazrat</cp:lastModifiedBy>
  <cp:lastPrinted>2023-02-20T08:22:00Z</cp:lastPrinted>
  <dcterms:modified xsi:type="dcterms:W3CDTF">2023-05-30T06:30:42Z</dcterms:modified>
  <cp:revision>40</cp:revision>
</cp:coreProperties>
</file>