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9"/>
        <w:jc w:val="right"/>
        <w:rPr>
          <w:rStyle w:val="C8"/>
          <w:lang w:val="sv-SE"/>
        </w:rPr>
      </w:pPr>
      <w:r>
        <w:rPr>
          <w:rStyle w:val="C8"/>
          <w:lang w:val="sv-SE"/>
        </w:rPr>
        <w:t>Antagen av SBN: 2024-02-21</w:t>
      </w:r>
    </w:p>
    <w:p>
      <w:pPr>
        <w:pStyle w:val="P9"/>
        <w:jc w:val="right"/>
        <w:rPr>
          <w:rStyle w:val="C8"/>
          <w:lang w:val="sv-SE"/>
        </w:rPr>
      </w:pPr>
      <w:r>
        <w:rPr>
          <w:rStyle w:val="C8"/>
          <w:lang w:val="sv-SE"/>
        </w:rPr>
        <w:t>Laga kraft: 2024-03-21</w:t>
      </w:r>
    </w:p>
    <w:p>
      <w:pPr>
        <w:rPr>
          <w:rStyle w:val="C8"/>
        </w:rPr>
      </w:pPr>
      <w:r>
        <w:rPr>
          <w:noProof w:val="1"/>
        </w:rPr>
        <w:drawing>
          <wp:anchor xmlns:wp="http://schemas.openxmlformats.org/drawingml/2006/wordprocessingDrawing" distT="0" distB="0" distL="114300" distR="114300" simplePos="0" relativeHeight="4" behindDoc="0" locked="0" layoutInCell="1" allowOverlap="1">
            <wp:simplePos x="0" y="0"/>
            <wp:positionH relativeFrom="column">
              <wp:posOffset>3810</wp:posOffset>
            </wp:positionH>
            <wp:positionV relativeFrom="page">
              <wp:posOffset>903605</wp:posOffset>
            </wp:positionV>
            <wp:extent cx="467995" cy="850900"/>
            <wp:effectExtent l="0" t="0" r="8255" b="6350"/>
            <wp:wrapSquare wrapText="bothSides"/>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pic:cNvPicPr/>
                  </pic:nvPicPr>
                  <pic:blipFill dpi="0">
                    <a:blip xmlns:r="http://schemas.openxmlformats.org/officeDocument/2006/relationships" r:embed="Relimage1"/>
                    <a:srcRect/>
                    <a:stretch>
                      <a:fillRect/>
                    </a:stretch>
                  </pic:blipFill>
                  <pic:spPr>
                    <a:xfrm>
                      <a:off x="0" y="0"/>
                      <a:ext cx="467995" cy="850900"/>
                    </a:xfrm>
                    <a:prstGeom prst="rect"/>
                  </pic:spPr>
                </pic:pic>
              </a:graphicData>
            </a:graphic>
          </wp:anchor>
        </w:drawing>
      </w:r>
    </w:p>
    <w:p>
      <w:pPr>
        <w:pStyle w:val="P9"/>
        <w:jc w:val="right"/>
        <w:rPr>
          <w:b w:val="1"/>
          <w:bCs w:val="1"/>
          <w:lang w:val="sv-SE"/>
        </w:rPr>
      </w:pPr>
    </w:p>
    <w:p>
      <w:pPr>
        <w:pStyle w:val="P11"/>
      </w:pPr>
      <w:bookmarkStart w:id="0" w:name="_Toc120175156"/>
      <w:bookmarkStart w:id="1" w:name="_Toc120175278"/>
      <w:bookmarkStart w:id="2" w:name="_Toc120175217"/>
      <w:r>
        <w:t>Planbeskrivning</w:t>
      </w:r>
      <w:bookmarkEnd w:id="0"/>
      <w:bookmarkEnd w:id="1"/>
      <w:bookmarkEnd w:id="2"/>
    </w:p>
    <w:p>
      <w:pPr>
        <w:pStyle w:val="P11"/>
      </w:pPr>
      <w:bookmarkStart w:id="3" w:name="_Toc120175157"/>
      <w:bookmarkStart w:id="4" w:name="_Toc120175279"/>
      <w:bookmarkStart w:id="5" w:name="_Toc120175218"/>
      <w:r>
        <w:t>Sätra 174:1 m.fl., kv Skogsviolen</w:t>
      </w:r>
      <w:bookmarkEnd w:id="3"/>
      <w:bookmarkEnd w:id="4"/>
      <w:bookmarkEnd w:id="5"/>
    </w:p>
    <w:p>
      <w:r>
        <w:rPr>
          <w:noProof w:val="1"/>
        </w:rPr>
        <w:drawing>
          <wp:inline xmlns:wp="http://schemas.openxmlformats.org/drawingml/2006/wordprocessingDrawing" distT="0" distB="0" distL="0" distR="0">
            <wp:extent cx="5267960" cy="3476625"/>
            <wp:effectExtent l="0" t="0" r="8890" b="0"/>
            <wp:docPr id="3" name="Bildobjekt 3" descr="Flygfoto som visar planområdets plac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Flygfoto som visar planområdets placering."/>
                    <pic:cNvPicPr/>
                  </pic:nvPicPr>
                  <pic:blipFill dpi="0">
                    <a:blip xmlns:r="http://schemas.openxmlformats.org/officeDocument/2006/relationships" r:embed="Relimage2" cstate="print"/>
                    <a:srcRect l="8893" t="10014" r="8811" b="13172"/>
                    <a:stretch>
                      <a:fillRect/>
                    </a:stretch>
                  </pic:blipFill>
                  <pic:spPr bwMode="auto">
                    <a:xfrm>
                      <a:off x="0" y="0"/>
                      <a:ext cx="5282812" cy="3486378"/>
                    </a:xfrm>
                    <a:prstGeom prst="rect"/>
                    <a:ln>
                      <a:noFill/>
                    </a:ln>
                  </pic:spPr>
                </pic:pic>
              </a:graphicData>
            </a:graphic>
          </wp:inline>
        </w:drawing>
      </w:r>
    </w:p>
    <w:p>
      <w:pPr>
        <w:rPr>
          <w:rStyle w:val="C8"/>
          <w:b w:val="0"/>
          <w:bCs w:val="0"/>
        </w:rPr>
      </w:pPr>
      <w:r>
        <w:rPr>
          <w:rStyle w:val="C8"/>
          <w:b w:val="0"/>
          <w:bCs w:val="0"/>
        </w:rPr>
        <w:t>2024-01-30</w:t>
      </w:r>
    </w:p>
    <w:p>
      <w:r>
        <w:t>Livsmiljö Gävle, Gävle kommun, Gävleborgs län</w:t>
      </w:r>
    </w:p>
    <w:p>
      <w:pPr>
        <w:spacing w:after="0" w:beforeAutospacing="0" w:afterAutospacing="0"/>
      </w:pPr>
      <w:r>
        <w:t>Diarienummer: 22SBN280</w:t>
      </w:r>
    </w:p>
    <w:p>
      <w:pPr>
        <w:spacing w:after="0" w:beforeAutospacing="0" w:afterAutospacing="0"/>
      </w:pPr>
      <w:r>
        <w:t>Handläggare: Elin Rosendahl</w:t>
      </w:r>
    </w:p>
    <w:p>
      <w:pPr>
        <w:spacing w:after="0" w:beforeAutospacing="0" w:afterAutospacing="0"/>
      </w:pPr>
    </w:p>
    <w:p>
      <w:pPr>
        <w:spacing w:after="0" w:beforeAutospacing="0" w:afterAutospacing="0"/>
      </w:pPr>
    </w:p>
    <w:p>
      <w:pPr>
        <w:sectPr>
          <w:headerReference xmlns:r="http://schemas.openxmlformats.org/officeDocument/2006/relationships" w:type="default" r:id="RelHdr1"/>
          <w:footnotePr/>
          <w:endnotePr/>
          <w:type w:val="nextPage"/>
          <w:pgSz w:w="11906" w:h="16838" w:code="0"/>
          <w:pgMar w:left="1701" w:right="1701" w:top="1418" w:bottom="2381" w:header="680" w:footer="680" w:gutter="0"/>
          <w:titlePg w:val="1"/>
        </w:sectPr>
      </w:pPr>
    </w:p>
    <w:p>
      <w:pPr>
        <w:pStyle w:val="P7"/>
      </w:pPr>
      <w:r>
        <w:t>Innehåll</w:t>
      </w:r>
    </w:p>
    <w:p>
      <w:pPr>
        <w:pStyle w:val="P8"/>
        <w:tabs>
          <w:tab w:val="right" w:pos="8494" w:leader="dot"/>
        </w:tabs>
        <w:rPr>
          <w:rFonts w:asciiTheme="minorHAnsi" w:hAnsiTheme="minorHAnsi" w:eastAsiaTheme="minorEastAsia"/>
          <w:noProof w:val="1"/>
          <w:kern w:val="2"/>
          <w:lang w:eastAsia="sv-SE"/>
        </w:rPr>
      </w:pPr>
      <w:r>
        <w:fldChar w:fldCharType="begin"/>
      </w:r>
      <w:r>
        <w:instrText xml:space="preserve"> TOC \h \z \t "Rubrik 1;1" </w:instrText>
      </w:r>
      <w:r>
        <w:fldChar w:fldCharType="separate"/>
      </w:r>
      <w:hyperlink w:anchor="_Toc140225117">
        <w:r>
          <w:rPr>
            <w:rStyle w:val="C2"/>
            <w:noProof w:val="1"/>
            <w:color w:val="auto"/>
          </w:rPr>
          <w:t>Sammanfattning</w:t>
        </w:r>
        <w:r>
          <w:rPr>
            <w:noProof w:val="1"/>
          </w:rPr>
          <w:tab/>
        </w:r>
        <w:r>
          <w:rPr>
            <w:noProof w:val="1"/>
          </w:rPr>
          <w:fldChar w:fldCharType="begin"/>
        </w:r>
        <w:r>
          <w:rPr>
            <w:noProof w:val="1"/>
          </w:rPr>
          <w:instrText xml:space="preserve"> PAGEREF _Toc140225117 \h </w:instrText>
        </w:r>
        <w:r>
          <w:rPr>
            <w:noProof w:val="1"/>
          </w:rPr>
          <w:fldChar w:fldCharType="separate"/>
        </w:r>
        <w:r>
          <w:rPr>
            <w:noProof w:val="1"/>
          </w:rPr>
          <w:t>3</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18">
        <w:r>
          <w:rPr>
            <w:rStyle w:val="C2"/>
            <w:noProof w:val="1"/>
            <w:color w:val="auto"/>
          </w:rPr>
          <w:t>Detaljplanens syfte</w:t>
        </w:r>
        <w:r>
          <w:rPr>
            <w:noProof w:val="1"/>
          </w:rPr>
          <w:tab/>
        </w:r>
        <w:r>
          <w:rPr>
            <w:noProof w:val="1"/>
          </w:rPr>
          <w:fldChar w:fldCharType="begin"/>
        </w:r>
        <w:r>
          <w:rPr>
            <w:noProof w:val="1"/>
          </w:rPr>
          <w:instrText xml:space="preserve"> PAGEREF _Toc140225118 \h </w:instrText>
        </w:r>
        <w:r>
          <w:rPr>
            <w:noProof w:val="1"/>
          </w:rPr>
          <w:fldChar w:fldCharType="separate"/>
        </w:r>
        <w:r>
          <w:rPr>
            <w:noProof w:val="1"/>
          </w:rPr>
          <w:t>6</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19">
        <w:r>
          <w:rPr>
            <w:rStyle w:val="C2"/>
            <w:noProof w:val="1"/>
            <w:color w:val="auto"/>
          </w:rPr>
          <w:t>Beskrivning av planförslaget</w:t>
        </w:r>
        <w:r>
          <w:rPr>
            <w:noProof w:val="1"/>
          </w:rPr>
          <w:tab/>
        </w:r>
        <w:r>
          <w:rPr>
            <w:noProof w:val="1"/>
          </w:rPr>
          <w:fldChar w:fldCharType="begin"/>
        </w:r>
        <w:r>
          <w:rPr>
            <w:noProof w:val="1"/>
          </w:rPr>
          <w:instrText xml:space="preserve"> PAGEREF _Toc140225119 \h </w:instrText>
        </w:r>
        <w:r>
          <w:rPr>
            <w:noProof w:val="1"/>
          </w:rPr>
          <w:fldChar w:fldCharType="separate"/>
        </w:r>
        <w:r>
          <w:rPr>
            <w:noProof w:val="1"/>
          </w:rPr>
          <w:t>6</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0">
        <w:r>
          <w:rPr>
            <w:rStyle w:val="C2"/>
            <w:noProof w:val="1"/>
            <w:color w:val="auto"/>
          </w:rPr>
          <w:t>Motiv till detaljplanens regleringar</w:t>
        </w:r>
        <w:r>
          <w:rPr>
            <w:noProof w:val="1"/>
          </w:rPr>
          <w:tab/>
        </w:r>
        <w:r>
          <w:rPr>
            <w:noProof w:val="1"/>
          </w:rPr>
          <w:fldChar w:fldCharType="begin"/>
        </w:r>
        <w:r>
          <w:rPr>
            <w:noProof w:val="1"/>
          </w:rPr>
          <w:instrText xml:space="preserve"> PAGEREF _Toc140225120 \h </w:instrText>
        </w:r>
        <w:r>
          <w:rPr>
            <w:noProof w:val="1"/>
          </w:rPr>
          <w:fldChar w:fldCharType="separate"/>
        </w:r>
        <w:r>
          <w:rPr>
            <w:noProof w:val="1"/>
          </w:rPr>
          <w:t>15</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1">
        <w:r>
          <w:rPr>
            <w:rStyle w:val="C2"/>
            <w:noProof w:val="1"/>
            <w:color w:val="auto"/>
          </w:rPr>
          <w:t>Planeringsförutsättningar och konsekvenser</w:t>
        </w:r>
        <w:r>
          <w:rPr>
            <w:noProof w:val="1"/>
          </w:rPr>
          <w:tab/>
        </w:r>
        <w:r>
          <w:rPr>
            <w:noProof w:val="1"/>
          </w:rPr>
          <w:fldChar w:fldCharType="begin"/>
        </w:r>
        <w:r>
          <w:rPr>
            <w:noProof w:val="1"/>
          </w:rPr>
          <w:instrText xml:space="preserve"> PAGEREF _Toc140225121 \h </w:instrText>
        </w:r>
        <w:r>
          <w:rPr>
            <w:noProof w:val="1"/>
          </w:rPr>
          <w:fldChar w:fldCharType="separate"/>
        </w:r>
        <w:r>
          <w:rPr>
            <w:noProof w:val="1"/>
          </w:rPr>
          <w:t>17</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2">
        <w:r>
          <w:rPr>
            <w:rStyle w:val="C2"/>
            <w:noProof w:val="1"/>
            <w:color w:val="auto"/>
          </w:rPr>
          <w:t>Genomförande</w:t>
        </w:r>
        <w:r>
          <w:rPr>
            <w:noProof w:val="1"/>
          </w:rPr>
          <w:tab/>
        </w:r>
        <w:r>
          <w:rPr>
            <w:noProof w:val="1"/>
          </w:rPr>
          <w:fldChar w:fldCharType="begin"/>
        </w:r>
        <w:r>
          <w:rPr>
            <w:noProof w:val="1"/>
          </w:rPr>
          <w:instrText xml:space="preserve"> PAGEREF _Toc140225122 \h </w:instrText>
        </w:r>
        <w:r>
          <w:rPr>
            <w:noProof w:val="1"/>
          </w:rPr>
          <w:fldChar w:fldCharType="separate"/>
        </w:r>
        <w:r>
          <w:rPr>
            <w:noProof w:val="1"/>
          </w:rPr>
          <w:t>33</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3">
        <w:r>
          <w:rPr>
            <w:rStyle w:val="C2"/>
            <w:noProof w:val="1"/>
            <w:color w:val="auto"/>
          </w:rPr>
          <w:t>Betydande miljöpåverkan</w:t>
        </w:r>
        <w:r>
          <w:rPr>
            <w:noProof w:val="1"/>
          </w:rPr>
          <w:tab/>
        </w:r>
        <w:r>
          <w:rPr>
            <w:noProof w:val="1"/>
          </w:rPr>
          <w:fldChar w:fldCharType="begin"/>
        </w:r>
        <w:r>
          <w:rPr>
            <w:noProof w:val="1"/>
          </w:rPr>
          <w:instrText xml:space="preserve"> PAGEREF _Toc140225123 \h </w:instrText>
        </w:r>
        <w:r>
          <w:rPr>
            <w:noProof w:val="1"/>
          </w:rPr>
          <w:fldChar w:fldCharType="separate"/>
        </w:r>
        <w:r>
          <w:rPr>
            <w:noProof w:val="1"/>
          </w:rPr>
          <w:t>38</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4">
        <w:r>
          <w:rPr>
            <w:rStyle w:val="C2"/>
            <w:noProof w:val="1"/>
            <w:color w:val="auto"/>
          </w:rPr>
          <w:t>Utredningar</w:t>
        </w:r>
        <w:r>
          <w:rPr>
            <w:noProof w:val="1"/>
          </w:rPr>
          <w:tab/>
        </w:r>
        <w:r>
          <w:rPr>
            <w:noProof w:val="1"/>
          </w:rPr>
          <w:fldChar w:fldCharType="begin"/>
        </w:r>
        <w:r>
          <w:rPr>
            <w:noProof w:val="1"/>
          </w:rPr>
          <w:instrText xml:space="preserve"> PAGEREF _Toc140225124 \h </w:instrText>
        </w:r>
        <w:r>
          <w:rPr>
            <w:noProof w:val="1"/>
          </w:rPr>
          <w:fldChar w:fldCharType="separate"/>
        </w:r>
        <w:r>
          <w:rPr>
            <w:noProof w:val="1"/>
          </w:rPr>
          <w:t>39</w:t>
        </w:r>
        <w:r>
          <w:rPr>
            <w:noProof w:val="1"/>
          </w:rPr>
          <w:fldChar w:fldCharType="end"/>
        </w:r>
      </w:hyperlink>
    </w:p>
    <w:p>
      <w:pPr>
        <w:pStyle w:val="P8"/>
        <w:tabs>
          <w:tab w:val="right" w:pos="8494" w:leader="dot"/>
        </w:tabs>
        <w:rPr>
          <w:rFonts w:asciiTheme="minorHAnsi" w:hAnsiTheme="minorHAnsi" w:eastAsiaTheme="minorEastAsia"/>
          <w:noProof w:val="1"/>
          <w:kern w:val="2"/>
          <w:lang w:eastAsia="sv-SE"/>
        </w:rPr>
      </w:pPr>
      <w:hyperlink w:anchor="_Toc140225125">
        <w:r>
          <w:rPr>
            <w:rStyle w:val="C2"/>
            <w:noProof w:val="1"/>
            <w:color w:val="auto"/>
          </w:rPr>
          <w:t>Medverkande</w:t>
        </w:r>
        <w:r>
          <w:rPr>
            <w:noProof w:val="1"/>
          </w:rPr>
          <w:tab/>
        </w:r>
        <w:r>
          <w:rPr>
            <w:noProof w:val="1"/>
          </w:rPr>
          <w:fldChar w:fldCharType="begin"/>
        </w:r>
        <w:r>
          <w:rPr>
            <w:noProof w:val="1"/>
          </w:rPr>
          <w:instrText xml:space="preserve"> PAGEREF _Toc140225125 \h </w:instrText>
        </w:r>
        <w:r>
          <w:rPr>
            <w:noProof w:val="1"/>
          </w:rPr>
          <w:fldChar w:fldCharType="separate"/>
        </w:r>
        <w:r>
          <w:rPr>
            <w:noProof w:val="1"/>
          </w:rPr>
          <w:t>39</w:t>
        </w:r>
        <w:r>
          <w:rPr>
            <w:noProof w:val="1"/>
          </w:rPr>
          <w:fldChar w:fldCharType="end"/>
        </w:r>
      </w:hyperlink>
    </w:p>
    <w:p>
      <w:r>
        <w:fldChar w:fldCharType="end"/>
      </w:r>
    </w:p>
    <w:p>
      <w:pPr>
        <w:sectPr>
          <w:footnotePr/>
          <w:endnotePr/>
          <w:type w:val="nextPage"/>
          <w:pgSz w:w="11906" w:h="16838" w:code="0"/>
          <w:pgMar w:left="1701" w:right="1701" w:top="1418" w:bottom="2381" w:header="680" w:footer="680" w:gutter="0"/>
          <w:titlePg w:val="1"/>
        </w:sectPr>
      </w:pPr>
    </w:p>
    <w:p>
      <w:pPr>
        <w:pStyle w:val="P1"/>
      </w:pPr>
      <w:bookmarkStart w:id="6" w:name="_Toc120175166"/>
      <w:bookmarkStart w:id="7" w:name="_Toc140225117"/>
      <w:bookmarkStart w:id="8" w:name="_Toc120175227"/>
      <w:bookmarkStart w:id="9" w:name="_Toc120175160"/>
      <w:bookmarkStart w:id="10" w:name="_Toc120175221"/>
      <w:r>
        <w:t>Sammanfattning</w:t>
      </w:r>
      <w:bookmarkEnd w:id="6"/>
      <w:bookmarkEnd w:id="7"/>
      <w:bookmarkEnd w:id="8"/>
    </w:p>
    <w:p>
      <w:bookmarkStart w:id="11" w:name="be_heladetaljplan03"/>
      <w:r>
        <w:t xml:space="preserve">Detaljplanen innebär att del av fastigheten Sätra 174:1 kan bebyggas med bostäder, förskola eller </w:t>
      </w:r>
      <w:r>
        <w:rPr>
          <w:rStyle w:val="C8"/>
          <w:b w:val="0"/>
          <w:bCs w:val="0"/>
        </w:rPr>
        <w:t>s</w:t>
      </w:r>
      <w:r>
        <w:rPr>
          <w:bCs w:val="1"/>
        </w:rPr>
        <w:t>ärskilt boende utan större omgivningspåverkan</w:t>
      </w:r>
      <w:r>
        <w:t>. Den södra och västra delen av fastigheten bevaras som skogsmark. Planen tillåter en maximal byggrätt på 750 m</w:t>
      </w:r>
      <w:r>
        <w:rPr>
          <w:vertAlign w:val="superscript"/>
        </w:rPr>
        <w:t>2</w:t>
      </w:r>
      <w:r>
        <w:t xml:space="preserve"> bruttoarea (BTA) och 700 m</w:t>
      </w:r>
      <w:r>
        <w:rPr>
          <w:vertAlign w:val="superscript"/>
        </w:rPr>
        <w:t>2</w:t>
      </w:r>
      <w:r>
        <w:t xml:space="preserve"> byggnadsarea (BYA). Byggnaders tillåtna höjd utgår från höjder på byggnader i närområdet för att nya byggnader ska samspela med kringliggande bebyggelse. På fastigheten Sätra 174:1 tillåts en nockhöljd på 7,5 meter vilket motsvarar max 2 våningar.</w:t>
      </w:r>
    </w:p>
    <w:p>
      <w:r>
        <w:t>Mot Tussilagovägen kan en infart ordnas på en yta mellan alléträden som redan är asfalterad. Parkering ska ske inom den egna fastigheten.</w:t>
      </w:r>
      <w:bookmarkEnd w:id="11"/>
      <w:r>
        <w:br w:type="page"/>
      </w:r>
    </w:p>
    <w:p>
      <w:pPr>
        <w:pStyle w:val="P2"/>
      </w:pPr>
      <w:bookmarkStart w:id="12" w:name="be_ärendeinformation01"/>
      <w:r>
        <w:t>Vad är en detaljplan?</w:t>
      </w:r>
      <w:bookmarkEnd w:id="9"/>
      <w:bookmarkEnd w:id="10"/>
    </w:p>
    <w:p>
      <w:r>
        <w:t>En detaljplan reglerar hur marken får användas och hur miljön är tänkt att förändras eller bevaras. Kommunen kan i en detaljplan pröva om ett område till exempel är lämpligt för ny bebyggelse och hur den ska utformas eller hur en befintlig bebyggelse ska bevaras.</w:t>
      </w:r>
    </w:p>
    <w:p>
      <w:pPr>
        <w:pStyle w:val="P2"/>
      </w:pPr>
      <w:r>
        <w:t>Detaljplaneprocess och tidplan</w:t>
      </w:r>
    </w:p>
    <w:p>
      <w:r>
        <w:t>Arbetet med att ta fram en detaljplan, planprocessen, kan ske med antingen standard- eller utökat förfarande och är indelad i flera skeden. Kriterierna för när kommunen ska tillämpa respektive förfarande finns i plan- och bygglagen. Förfarandena är väldigt snarlika och skiljer sig främst i att vid ett utökat förfarande ska planförslaget kungöras för allmänheten vid samrådet. Av figuren nedan framgår hur processen ser ut och i vilket skede planen befinner sig i just nu.</w:t>
      </w:r>
    </w:p>
    <w:p>
      <w:r>
        <w:rPr>
          <w:b w:val="1"/>
        </w:rPr>
        <w:t>Planuppdrag</w:t>
      </w:r>
      <w:r>
        <w:t>, det vill säga beslut om att ge Livsmiljö Gävle i uppdrag att påbörja ett detaljplanearbete, beslutas av Samhällsbyggnadsnämnden.</w:t>
      </w:r>
    </w:p>
    <w:p>
      <w:r>
        <w:t xml:space="preserve">Under </w:t>
      </w:r>
      <w:r>
        <w:rPr>
          <w:b w:val="1"/>
        </w:rPr>
        <w:t>samrådet</w:t>
      </w:r>
      <w:r>
        <w:t xml:space="preserve"> ges berörda möjlighet att lämna synpunkter på förslaget. Efter samrådet upprättas en samrådsredogörelse där alla synpunkter sammanställs och bemöts och planförslaget bearbetas innan den skickas ut för </w:t>
      </w:r>
      <w:r>
        <w:rPr>
          <w:b w:val="1"/>
        </w:rPr>
        <w:t>granskning</w:t>
      </w:r>
      <w:r>
        <w:t xml:space="preserve">. Synpunkter från granskningen sammanställs i ett granskningsutlåtande. Efter granskningen </w:t>
      </w:r>
      <w:r>
        <w:rPr>
          <w:b w:val="1"/>
        </w:rPr>
        <w:t xml:space="preserve">antas </w:t>
      </w:r>
      <w:r>
        <w:t xml:space="preserve">planen av Samhällsbyggnadsnämnden eller, i undantagsfall, av Kommunfullmäktige. Om ingen överklagar beslutet vinner detaljplanen </w:t>
      </w:r>
      <w:r>
        <w:rPr>
          <w:b w:val="1"/>
        </w:rPr>
        <w:t>laga kraft</w:t>
      </w:r>
      <w:r>
        <w:t>.</w:t>
      </w:r>
    </w:p>
    <w:p>
      <w:pPr>
        <w:spacing w:after="0" w:beforeAutospacing="0" w:afterAutospacing="0"/>
      </w:pPr>
      <w:r>
        <w:rPr>
          <w:noProof w:val="1"/>
        </w:rPr>
        <w:drawing>
          <wp:inline xmlns:wp="http://schemas.openxmlformats.org/drawingml/2006/wordprocessingDrawing" distT="0" distB="0" distL="0" distR="0">
            <wp:extent cx="5695950" cy="454025"/>
            <wp:effectExtent l="0" t="0" r="0" b="3175"/>
            <wp:docPr id="2" name="Bildobjekt 2" descr="Alla steg i detaljplanens process. Planbesked, Samråd, Granskning, Antagande, Laga k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ljplaneprocessen_a316561fe9.png"/>
                    <pic:cNvPicPr/>
                  </pic:nvPicPr>
                  <pic:blipFill dpi="0">
                    <a:blip xmlns:r="http://schemas.openxmlformats.org/officeDocument/2006/relationships" r:embed="Relimage3" cstate="print"/>
                    <a:srcRect/>
                    <a:stretch>
                      <a:fillRect/>
                    </a:stretch>
                  </pic:blipFill>
                  <pic:spPr>
                    <a:xfrm>
                      <a:off x="0" y="0"/>
                      <a:ext cx="5749571" cy="458312"/>
                    </a:xfrm>
                    <a:prstGeom prst="rect"/>
                  </pic:spPr>
                </pic:pic>
              </a:graphicData>
            </a:graphic>
          </wp:inline>
        </w:drawing>
      </w:r>
    </w:p>
    <w:p>
      <w:pPr>
        <w:pStyle w:val="P12"/>
      </w:pPr>
      <w:r>
        <w:t xml:space="preserve">Figur </w:t>
      </w:r>
      <w:r>
        <w:fldChar w:fldCharType="begin"/>
      </w:r>
      <w:r>
        <w:instrText>SEQ Figur \* ARABIC</w:instrText>
      </w:r>
      <w:r>
        <w:fldChar w:fldCharType="separate"/>
      </w:r>
      <w:r>
        <w:rPr>
          <w:noProof w:val="1"/>
        </w:rPr>
        <w:t>1</w:t>
      </w:r>
      <w:r>
        <w:fldChar w:fldCharType="end"/>
      </w:r>
      <w:r>
        <w:t xml:space="preserve">. Planprocessens olika delar. Detaljplanen har fått </w:t>
      </w:r>
      <w:r>
        <w:rPr>
          <w:b w:val="1"/>
          <w:bCs w:val="1"/>
        </w:rPr>
        <w:t>laga kraft</w:t>
      </w:r>
      <w:r>
        <w:t>.</w:t>
      </w:r>
    </w:p>
    <w:p>
      <w:pPr>
        <w:pStyle w:val="P3"/>
      </w:pPr>
      <w:r>
        <w:t>Ansvarig planhandläggare</w:t>
      </w:r>
    </w:p>
    <w:p>
      <w:r>
        <w:t>Information om planförslaget lämnas av handläggare:</w:t>
      </w:r>
    </w:p>
    <w:p>
      <w:pPr>
        <w:spacing w:after="0" w:beforeAutospacing="0" w:afterAutospacing="0"/>
      </w:pPr>
      <w:r>
        <w:t>Elin Rosendahl, Planarkitekt</w:t>
      </w:r>
    </w:p>
    <w:p>
      <w:r>
        <w:t>Tel: 026 – 17 82 18</w:t>
      </w:r>
    </w:p>
    <w:p>
      <w:pPr>
        <w:pStyle w:val="P3"/>
      </w:pPr>
      <w:r>
        <w:t>Tidplan</w:t>
      </w:r>
    </w:p>
    <w:p>
      <w:r>
        <w:t>Preliminär tidplan för framtagande av detaljplanen:</w:t>
      </w:r>
    </w:p>
    <w:p>
      <w:pPr>
        <w:pStyle w:val="P6"/>
        <w:numPr>
          <w:ilvl w:val="0"/>
          <w:numId w:val="0"/>
        </w:numPr>
        <w:ind w:firstLine="0" w:left="0"/>
      </w:pPr>
      <w:r>
        <w:t>Samråd: oktober 2023.</w:t>
      </w:r>
    </w:p>
    <w:p>
      <w:pPr>
        <w:pStyle w:val="P6"/>
        <w:numPr>
          <w:ilvl w:val="0"/>
          <w:numId w:val="0"/>
        </w:numPr>
        <w:ind w:firstLine="0" w:left="0"/>
      </w:pPr>
      <w:r>
        <w:t>Granskning: december 2023.</w:t>
      </w:r>
    </w:p>
    <w:p>
      <w:pPr>
        <w:pStyle w:val="P6"/>
        <w:numPr>
          <w:ilvl w:val="0"/>
          <w:numId w:val="0"/>
        </w:numPr>
        <w:ind w:firstLine="0" w:left="0"/>
      </w:pPr>
      <w:r>
        <w:t>Antagande: februari 2024.</w:t>
      </w:r>
    </w:p>
    <w:p>
      <w:pPr>
        <w:pStyle w:val="P3"/>
      </w:pPr>
      <w:r>
        <w:t>Handlingar och läshänvisningar</w:t>
      </w:r>
    </w:p>
    <w:p>
      <w:r>
        <w:t>Planen omfattar följande handlingar:</w:t>
      </w:r>
    </w:p>
    <w:p>
      <w:pPr>
        <w:pStyle w:val="P6"/>
      </w:pPr>
      <w:r>
        <w:t>Plankarta. Plankartan och dess planbestämmelser är den handling som är juridiskt bindande och anger vad som till exempel ska vara allmän plats, kvartersmark och hur bebyggelsen ska regleras.</w:t>
      </w:r>
    </w:p>
    <w:p>
      <w:pPr>
        <w:pStyle w:val="P6"/>
      </w:pPr>
      <w:r>
        <w:t>Planbeskrivning. Planbeskrivningens syfte är att beskriva områdets förutsättningar och de förändringar och konsekvenser som planen innebär. Planbeskrivningen ska vara ett stöd för att kunna tolka plankartan.</w:t>
      </w:r>
    </w:p>
    <w:p>
      <w:pPr>
        <w:pStyle w:val="P3"/>
      </w:pPr>
      <w:bookmarkEnd w:id="12"/>
      <w:r>
        <w:t>Planförfarande</w:t>
      </w:r>
    </w:p>
    <w:p>
      <w:bookmarkStart w:id="13" w:name="be_heladetaljplan07"/>
      <w:r>
        <w:t>Detaljplanen handläggs med standardförfarande.</w:t>
        <w:br w:type="page"/>
      </w:r>
    </w:p>
    <w:p>
      <w:pPr>
        <w:pStyle w:val="P1"/>
      </w:pPr>
      <w:bookmarkEnd w:id="13"/>
      <w:bookmarkStart w:id="14" w:name="_Toc120175162"/>
      <w:bookmarkStart w:id="15" w:name="_Toc140225118"/>
      <w:bookmarkStart w:id="16" w:name="_Toc120175290"/>
      <w:bookmarkStart w:id="17" w:name="_Toc120175281"/>
      <w:bookmarkStart w:id="18" w:name="_Toc120175223"/>
      <w:r>
        <w:t>Detaljplanens syfte</w:t>
      </w:r>
      <w:bookmarkEnd w:id="14"/>
      <w:bookmarkEnd w:id="15"/>
      <w:bookmarkEnd w:id="16"/>
      <w:bookmarkEnd w:id="17"/>
      <w:bookmarkEnd w:id="18"/>
    </w:p>
    <w:p>
      <w:bookmarkStart w:id="19" w:name="sy_syfte01"/>
      <w:bookmarkStart w:id="20" w:name="_Toc120175163"/>
      <w:bookmarkStart w:id="21" w:name="_Toc120175282"/>
      <w:bookmarkStart w:id="22" w:name="_Toc120175291"/>
      <w:bookmarkStart w:id="23" w:name="_Toc120175224"/>
      <w:r>
        <w:t xml:space="preserve">Syftet med detaljplanen är att möjliggöra för bostäder, förskola och </w:t>
      </w:r>
      <w:r>
        <w:rPr>
          <w:rStyle w:val="C8"/>
          <w:b w:val="0"/>
          <w:bCs w:val="0"/>
        </w:rPr>
        <w:t>s</w:t>
      </w:r>
      <w:r>
        <w:rPr>
          <w:bCs w:val="1"/>
        </w:rPr>
        <w:t>ärskilt boende där boendet har en begränsad omgivningspåverkan</w:t>
      </w:r>
      <w:r>
        <w:t>. Naturmark ska också sparas för att trädbevuxen mark som är viktig för grönstrukturen i bostadsområdet ska finnas kvar och vara en plats för både rekreation, naturvärden och dagvattenhantering.</w:t>
      </w:r>
    </w:p>
    <w:p>
      <w:pPr>
        <w:pStyle w:val="P1"/>
        <w:spacing w:before="360" w:beforeAutospacing="0" w:afterAutospacing="0"/>
      </w:pPr>
      <w:bookmarkEnd w:id="19"/>
      <w:bookmarkStart w:id="24" w:name="_Toc140225119"/>
      <w:r>
        <w:t>Beskrivning av planförslaget</w:t>
      </w:r>
      <w:bookmarkEnd w:id="20"/>
      <w:bookmarkEnd w:id="21"/>
      <w:bookmarkEnd w:id="22"/>
      <w:bookmarkEnd w:id="23"/>
      <w:bookmarkEnd w:id="24"/>
    </w:p>
    <w:p>
      <w:pPr>
        <w:pStyle w:val="P2"/>
        <w:spacing w:before="240" w:beforeAutospacing="0" w:afterAutospacing="0"/>
      </w:pPr>
      <w:r>
        <w:t>Arkitektonisk idé</w:t>
      </w:r>
    </w:p>
    <w:p>
      <w:pPr>
        <w:pStyle w:val="P22"/>
        <w:rPr>
          <w:color w:val="auto"/>
        </w:rPr>
      </w:pPr>
      <w:bookmarkStart w:id="25" w:name="be_heladetaljplan02"/>
      <w:r>
        <w:rPr>
          <w:color w:val="auto"/>
        </w:rPr>
        <w:t>I Arkitekturpolicyn definieras arkitektur som balansen och samspelet mellan de tre egenskaperna: användbar, robust och berörande. Arkitekturpolicyn anger tre strategier: varje projekt ska ha en arkitektonisk idé/stadsbyggnadsidé, bidra till den omgivande staden och visa hur det samspelar med sin omgivning.</w:t>
      </w:r>
    </w:p>
    <w:p>
      <w:pPr>
        <w:ind w:left="851" w:right="707"/>
        <w:rPr>
          <w:i w:val="1"/>
          <w:iCs w:val="1"/>
        </w:rPr>
      </w:pPr>
      <w:r>
        <w:rPr>
          <w:i w:val="1"/>
          <w:iCs w:val="1"/>
        </w:rPr>
        <w:t>”Att komma till kvarteret Skogsviolen ger känslan av komma till ett välkomnande hem. Som boende och besökare möts du av en grönska och känsla av trädgård. Med sitt läge intill ett skogs- och parkområde bevaras natur och bidrar till ett naturnära boende. Bebyggelsen ger en känsla av småskalighet och gör att platsen samspelar med sin omgivning där bebyggelse i liknande storlek finns.”</w:t>
      </w:r>
    </w:p>
    <w:p>
      <w:pPr>
        <w:pStyle w:val="P2"/>
        <w:spacing w:before="240" w:beforeAutospacing="0" w:afterAutospacing="0"/>
      </w:pPr>
      <w:bookmarkEnd w:id="25"/>
      <w:bookmarkStart w:id="26" w:name="_Toc120175164"/>
      <w:bookmarkStart w:id="27" w:name="_Toc120175225"/>
      <w:r>
        <w:t>Bakgrund</w:t>
      </w:r>
      <w:bookmarkEnd w:id="26"/>
      <w:bookmarkEnd w:id="27"/>
    </w:p>
    <w:p>
      <w:bookmarkStart w:id="28" w:name="be_heladetaljplan01"/>
      <w:bookmarkStart w:id="29" w:name="_Toc120175165"/>
      <w:bookmarkStart w:id="30" w:name="_Toc120175226"/>
      <w:r>
        <w:t>AB Gavlegårdarna (ABG) har skickat in en ansökan om planbesked för att ändra markanvändningen inom den oexploaterade fastigheten Sätra 174:1 från förskola (barnstuga) till bostäder med eventuell komplettering av vård. Gavlegårdarna önskar bygga ett barnboende. Det är ett boende för barn och unga med funktionsnedsättning som trots omfattande stödinsatser inte kan vistas permanent hos sina vårdnadshavare. Boendet ska vara ett komplement till föräldrahemmet, vilket innebär att barnet är skrivet hos sina vårdnadshavare. Detaljplanen som idag gäller för planområdet reglerar att förskola får finnas på platsen. Det har därför bedömts att platsen även framåt kan vara lämplig för det.</w:t>
      </w:r>
    </w:p>
    <w:p>
      <w:r>
        <w:t>Sektor Välfärd Gävle har behov av ett barnboende i Sätra och sektor Styrning och stöd har föreslagit aktuell fastighet, som i dagsläget ägs av Gävle kommun. Ett markanvisningsavtal har upprättats mellan kommunen och ABG som gör det möjligt för ABG att ansöka om planbesked på kommunens fastighet och de kan ta över ägandet av denna när detaljplanen vinner laga kraft.</w:t>
      </w:r>
    </w:p>
    <w:p>
      <w:pPr>
        <w:pStyle w:val="P2"/>
      </w:pPr>
      <w:bookmarkEnd w:id="28"/>
      <w:r>
        <w:t>Detaljplanens omfattning och lokalisering</w:t>
      </w:r>
      <w:bookmarkEnd w:id="29"/>
      <w:bookmarkEnd w:id="30"/>
    </w:p>
    <w:p>
      <w:pPr>
        <w:pStyle w:val="P3"/>
      </w:pPr>
      <w:r>
        <w:t>Läge</w:t>
      </w:r>
    </w:p>
    <w:p>
      <w:pPr>
        <w:spacing w:after="0" w:beforeAutospacing="0" w:afterAutospacing="0"/>
      </w:pPr>
      <w:bookmarkStart w:id="31" w:name="be_heladetaljplan04"/>
      <w:r>
        <w:t>Planområdet ligger i den nordvästra delen av stadsdelen Sätra i Gävle. Området ligger cirka 1,5 kilometer från Sätra centrum och cirka 4 kilometer från centrala Gävle.</w:t>
      </w:r>
      <w:r>
        <w:rPr>
          <w:noProof w:val="1"/>
        </w:rPr>
        <w:drawing>
          <wp:inline xmlns:wp="http://schemas.openxmlformats.org/drawingml/2006/wordprocessingDrawing" distT="0" distB="0" distL="0" distR="0">
            <wp:extent cx="5330190" cy="3139440"/>
            <wp:effectExtent l="0" t="0" r="3810" b="3810"/>
            <wp:docPr id="9" name="Bildobjekt 9" descr="Illustrerad karta ovanifrån som visar planområdets lokalis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Illustrerad karta ovanifrån som visar planområdets lokalisering."/>
                    <pic:cNvPicPr>
                      <a:picLocks noChangeAspect="1" noChangeArrowheads="1"/>
                    </pic:cNvPicPr>
                  </pic:nvPicPr>
                  <pic:blipFill dpi="0">
                    <a:blip xmlns:r="http://schemas.openxmlformats.org/officeDocument/2006/relationships" r:embed="Relimage4"/>
                    <a:srcRect l="5513" t="8812" r="17610" b="27210"/>
                    <a:stretch>
                      <a:fillRect/>
                    </a:stretch>
                  </pic:blipFill>
                  <pic:spPr bwMode="auto">
                    <a:xfrm>
                      <a:off x="0" y="0"/>
                      <a:ext cx="5340133" cy="3145622"/>
                    </a:xfrm>
                    <a:prstGeom prst="rect"/>
                    <a:noFill/>
                    <a:ln>
                      <a:noFill/>
                    </a:ln>
                  </pic:spPr>
                </pic:pic>
              </a:graphicData>
            </a:graphic>
          </wp:inline>
        </w:drawing>
      </w:r>
    </w:p>
    <w:p>
      <w:pPr>
        <w:pStyle w:val="P25"/>
      </w:pPr>
      <w:r>
        <w:rPr>
          <w:rStyle w:val="C10"/>
        </w:rPr>
        <w:t xml:space="preserve">Figur </w:t>
      </w:r>
      <w:r>
        <w:rPr>
          <w:rStyle w:val="C10"/>
        </w:rPr>
        <w:fldChar w:fldCharType="begin"/>
      </w:r>
      <w:r>
        <w:rPr>
          <w:rStyle w:val="C10"/>
        </w:rPr>
        <w:instrText xml:space="preserve"> SEQ Figur \* ARABIC </w:instrText>
      </w:r>
      <w:r>
        <w:rPr>
          <w:rStyle w:val="C10"/>
        </w:rPr>
        <w:fldChar w:fldCharType="separate"/>
      </w:r>
      <w:r>
        <w:rPr>
          <w:rStyle w:val="C10"/>
          <w:noProof w:val="1"/>
        </w:rPr>
        <w:t>2</w:t>
      </w:r>
      <w:r>
        <w:rPr>
          <w:rStyle w:val="C10"/>
        </w:rPr>
        <w:fldChar w:fldCharType="end"/>
      </w:r>
      <w:r>
        <w:rPr>
          <w:rStyle w:val="C10"/>
        </w:rPr>
        <w:t>. Karta som visar planområdets läge och avgränsning (rosa randig yta)</w:t>
      </w:r>
      <w:r>
        <w:t>.</w:t>
      </w:r>
      <w:bookmarkEnd w:id="31"/>
    </w:p>
    <w:p>
      <w:pPr>
        <w:pStyle w:val="P3"/>
      </w:pPr>
      <w:r>
        <w:t>Areal</w:t>
      </w:r>
    </w:p>
    <w:p>
      <w:bookmarkStart w:id="32" w:name="be_heladetaljplan05"/>
      <w:r>
        <w:t>Planområdet har en total yta på drygt 7000 kvadratmeter.</w:t>
      </w:r>
    </w:p>
    <w:p>
      <w:pPr>
        <w:pStyle w:val="P3"/>
      </w:pPr>
      <w:bookmarkEnd w:id="32"/>
      <w:r>
        <w:t>Markägoförhållanden</w:t>
      </w:r>
    </w:p>
    <w:p>
      <w:pPr>
        <w:rPr>
          <w:rStyle w:val="C8"/>
          <w:b w:val="0"/>
          <w:bCs w:val="0"/>
        </w:rPr>
      </w:pPr>
      <w:bookmarkStart w:id="33" w:name="be_heladetaljplan06"/>
      <w:bookmarkStart w:id="34" w:name="_Toc120175167"/>
      <w:bookmarkStart w:id="35" w:name="_Toc120175228"/>
      <w:r>
        <w:t>Planområdet berör två fastigheter</w:t>
      </w:r>
      <w:r>
        <w:rPr>
          <w:rStyle w:val="C8"/>
        </w:rPr>
        <w:t>:</w:t>
      </w:r>
    </w:p>
    <w:p>
      <w:pPr>
        <w:pStyle w:val="P6"/>
        <w:numPr>
          <w:ilvl w:val="0"/>
          <w:numId w:val="9"/>
        </w:numPr>
        <w:spacing w:after="160" w:beforeAutospacing="0" w:afterAutospacing="0"/>
        <w:rPr>
          <w:rStyle w:val="C8"/>
          <w:b w:val="0"/>
          <w:bCs w:val="0"/>
        </w:rPr>
      </w:pPr>
      <w:r>
        <w:rPr>
          <w:rStyle w:val="C8"/>
          <w:b w:val="0"/>
          <w:bCs w:val="0"/>
        </w:rPr>
        <w:t>Fastigheten Sätra 174:1 ägs av Gävle kommun.</w:t>
      </w:r>
    </w:p>
    <w:p>
      <w:pPr>
        <w:pStyle w:val="P6"/>
        <w:numPr>
          <w:ilvl w:val="0"/>
          <w:numId w:val="9"/>
        </w:numPr>
        <w:spacing w:after="0" w:beforeAutospacing="0" w:afterAutospacing="0"/>
        <w:rPr>
          <w:rStyle w:val="C8"/>
          <w:b w:val="0"/>
          <w:bCs w:val="0"/>
        </w:rPr>
      </w:pPr>
      <w:r>
        <w:rPr>
          <w:rStyle w:val="C8"/>
          <w:b w:val="0"/>
          <w:bCs w:val="0"/>
        </w:rPr>
        <w:t>Fastigheten Sätra 10:1 ägs av Gävle kommun.</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068570" cy="3023870"/>
            <wp:effectExtent l="0" t="0" r="0" b="5080"/>
            <wp:docPr id="15" name="Bildobjekt 15" descr="En karta som visar dagens fastighetsgrän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karta som visar dagens fastighetsgränser."/>
                    <pic:cNvPicPr>
                      <a:picLocks noChangeAspect="1" noChangeArrowheads="1"/>
                    </pic:cNvPicPr>
                  </pic:nvPicPr>
                  <pic:blipFill dpi="0">
                    <a:blip xmlns:r="http://schemas.openxmlformats.org/officeDocument/2006/relationships" r:embed="Relimage5" cstate="print"/>
                    <a:srcRect l="6151" t="12649" r="4385" b="11955"/>
                    <a:stretch>
                      <a:fillRect/>
                    </a:stretch>
                  </pic:blipFill>
                  <pic:spPr bwMode="auto">
                    <a:xfrm>
                      <a:off x="0" y="0"/>
                      <a:ext cx="5078420" cy="3029910"/>
                    </a:xfrm>
                    <a:prstGeom prst="rect"/>
                    <a:noFill/>
                    <a:ln>
                      <a:noFill/>
                    </a:ln>
                  </pic:spPr>
                </pic:pic>
              </a:graphicData>
            </a:graphic>
          </wp:inline>
        </w:drawing>
      </w:r>
    </w:p>
    <w:p>
      <w:pPr>
        <w:pStyle w:val="P25"/>
        <w:rPr>
          <w:rStyle w:val="C8"/>
          <w:b w:val="0"/>
          <w:bCs w:val="0"/>
        </w:rPr>
      </w:pPr>
      <w:r>
        <w:t xml:space="preserve">Figur </w:t>
      </w:r>
      <w:r>
        <w:fldChar w:fldCharType="begin"/>
      </w:r>
      <w:r>
        <w:instrText xml:space="preserve"> SEQ Figur \* ARABIC </w:instrText>
      </w:r>
      <w:r>
        <w:fldChar w:fldCharType="separate"/>
      </w:r>
      <w:r>
        <w:rPr>
          <w:noProof w:val="1"/>
        </w:rPr>
        <w:t>3</w:t>
      </w:r>
      <w:r>
        <w:rPr>
          <w:noProof w:val="1"/>
        </w:rPr>
        <w:fldChar w:fldCharType="end"/>
      </w:r>
      <w:r>
        <w:t>. Karta som visar fastigheter idag – grön (Sätra 174:1), lila (del av Sätra 10:1). Planområdets gräns är markerat med röd heldragen linje.</w:t>
      </w:r>
    </w:p>
    <w:p>
      <w:pPr>
        <w:pStyle w:val="P2"/>
      </w:pPr>
      <w:bookmarkEnd w:id="33"/>
      <w:bookmarkStart w:id="36" w:name="be_befintligt01"/>
      <w:r>
        <w:t>Befintlig bebyggelse och arkitektur</w:t>
      </w:r>
      <w:bookmarkEnd w:id="34"/>
      <w:bookmarkEnd w:id="35"/>
    </w:p>
    <w:p>
      <w:r>
        <w:t>Marken i detaljplanen är idag inte bebyggd. Men tidigare detaljplan (antagen 1991) tillåter barnstuga i en våning, och en största byggnadsarea på 20 % av fastighetsarean, vilket med dagens fastighetsgräns innebär en byggnadsarea på drygt 1400 m</w:t>
      </w:r>
      <w:r>
        <w:rPr>
          <w:vertAlign w:val="superscript"/>
        </w:rPr>
        <w:t>2</w:t>
      </w:r>
      <w:r>
        <w:t>.</w:t>
      </w:r>
    </w:p>
    <w:p>
      <w:r>
        <w:t>Norr om området för detaljplanen finns lägenhetshus i 1–2 våningar med tillhörande garagelängor. Öster om planområdet finns ett område med villor på 1–1,5 våning. Väster om planområdet finns två gruppbostäder och en detaljplan som innebär att flerbostadshus, villor, parhus eller radhus kan byggas. Majoriteten av byggnaderna i närområdet är uppförda från 1990-talet och framåt, har träfasad och sadeltak.</w:t>
      </w:r>
    </w:p>
    <w:p>
      <w:pPr>
        <w:pStyle w:val="P4"/>
      </w:pPr>
      <w:r>
        <w:t>Planförslag och konsekvenser</w:t>
      </w:r>
    </w:p>
    <w:p>
      <w:r>
        <w:t>Detaljplanen innebär ingen förändring för någon befintlig bebyggelse. Den innebär däremot förändrade förutsättningar för den bebyggelse som tillåts inom planområdet. Skillnaden är att en mindre del av marken får bebyggas, det blir mer reglerat var byggnader får placeras och att höjden regleras med nockhöjd istället för antal våningar.</w:t>
      </w:r>
    </w:p>
    <w:p>
      <w:pPr>
        <w:pStyle w:val="P2"/>
      </w:pPr>
      <w:bookmarkEnd w:id="36"/>
      <w:bookmarkStart w:id="37" w:name="_Toc120175168"/>
      <w:bookmarkStart w:id="38" w:name="_Toc120175229"/>
      <w:r>
        <w:t>Allmän plats</w:t>
      </w:r>
      <w:bookmarkEnd w:id="37"/>
      <w:bookmarkEnd w:id="38"/>
    </w:p>
    <w:p>
      <w:pPr>
        <w:pStyle w:val="P22"/>
        <w:rPr>
          <w:color w:val="auto"/>
        </w:rPr>
      </w:pPr>
      <w:bookmarkStart w:id="39" w:name="be_allmänplats01"/>
      <w:r>
        <w:rPr>
          <w:color w:val="auto"/>
        </w:rPr>
        <w:t>En del av marken planläggs som allmän plats och ersätter mark som tidigare varit planlagd som kvartersmark. Den södra och västra delen planläggs som natur och en mindre del av gång- och cykelvägen i norr planläggs som gång- och cykelväg.</w:t>
      </w:r>
    </w:p>
    <w:p>
      <w:pPr>
        <w:pStyle w:val="P4"/>
      </w:pPr>
      <w:r>
        <w:t>Konsekvenser</w:t>
      </w:r>
    </w:p>
    <w:p>
      <w:r>
        <w:t>En del av marken som tidigare varit planlagd för barnstuga är nu planlagd som allmän plats Natur. Detaljplanen säkerställer därmed att ett grönområde sparas. Naturen är tänkt att ha samma karaktär som idag och den befintliga skogen ska sparas. I naturområdet kan befintliga ekosystemtjänster bevaras och området kan användas som en plats för lek och rekreation för boende och besökare till lekparken intill. Naturmarken är också en bra tillgång för fördröjning och infiltration av regnvatten, eftersom marken inte blir hårdgjord.</w:t>
      </w:r>
    </w:p>
    <w:p>
      <w:pPr>
        <w:spacing w:after="120" w:beforeAutospacing="0" w:afterAutospacing="0"/>
      </w:pPr>
      <w:r>
        <w:t>I dagsläget är hela fastigheten Sätra 174:1 på drygt 7000 kvadratmeter planlagd för barnstuga/förskola. 2600 kvadratmeter av den fastigheten planläggs nu som naturmark istället. Det innebär att mark som med nu gällande detaljplan hade kunnat hamna inom en förskolegård, nu istället får fortsätta att vara ett naturområde. Mark som planläggs som natur kan även framöver vara en skog för lek, eftersom den ligger precis intill lekplatsen och grönområdet i söder.</w:t>
      </w:r>
    </w:p>
    <w:p>
      <w:pPr>
        <w:keepNext w:val="1"/>
        <w:spacing w:after="0" w:beforeAutospacing="0" w:afterAutospacing="0"/>
        <w:rPr>
          <w:i w:val="1"/>
          <w:iCs w:val="1"/>
        </w:rPr>
      </w:pPr>
      <w:r>
        <w:rPr>
          <w:noProof w:val="1"/>
        </w:rPr>
        <w:drawing>
          <wp:inline xmlns:wp="http://schemas.openxmlformats.org/drawingml/2006/wordprocessingDrawing" distT="0" distB="0" distL="0" distR="0">
            <wp:extent cx="2182495" cy="2889885"/>
            <wp:effectExtent l="0" t="0" r="8255" b="5715"/>
            <wp:docPr id="931311369" name="Bildobjekt 931311369" descr="Karta som visar mark planlagd som bostadsmark och naturmark med flygfoto som bak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11369" name="Bildobjekt 931311369" descr="Karta som visar mark planlagd som bostadsmark och naturmark med flygfoto som bakgrund."/>
                    <pic:cNvPicPr>
                      <a:picLocks noChangeAspect="1" noChangeArrowheads="1"/>
                    </pic:cNvPicPr>
                  </pic:nvPicPr>
                  <pic:blipFill dpi="0">
                    <a:blip xmlns:r="http://schemas.openxmlformats.org/officeDocument/2006/relationships" r:embed="Relimage6" cstate="print"/>
                    <a:srcRect l="27828" t="11217" r="32352" b="14256"/>
                    <a:stretch>
                      <a:fillRect/>
                    </a:stretch>
                  </pic:blipFill>
                  <pic:spPr bwMode="auto">
                    <a:xfrm>
                      <a:off x="0" y="0"/>
                      <a:ext cx="2182746" cy="2890494"/>
                    </a:xfrm>
                    <a:prstGeom prst="rect"/>
                    <a:noFill/>
                    <a:ln>
                      <a:noFill/>
                    </a:ln>
                  </pic:spPr>
                </pic:pic>
              </a:graphicData>
            </a:graphic>
          </wp:inline>
        </w:drawing>
      </w:r>
      <w:r>
        <w:rPr>
          <w:i w:val="1"/>
          <w:iCs w:val="1"/>
        </w:rPr>
        <w:t xml:space="preserve">  </w:t>
      </w:r>
      <w:r>
        <w:rPr>
          <w:noProof w:val="1"/>
        </w:rPr>
        <w:drawing>
          <wp:inline xmlns:wp="http://schemas.openxmlformats.org/drawingml/2006/wordprocessingDrawing" distT="0" distB="0" distL="0" distR="0">
            <wp:extent cx="2095500" cy="2862580"/>
            <wp:effectExtent l="0" t="0" r="0" b="0"/>
            <wp:docPr id="1584092968" name="Bildobjekt 1584092968" descr="Flygfoto med detaljplanen från 1991 påla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92968" name="Bildobjekt 1584092968" descr="Flygfoto med detaljplanen från 1991 pålagd."/>
                    <pic:cNvPicPr>
                      <a:picLocks noChangeAspect="1" noChangeArrowheads="1"/>
                    </pic:cNvPicPr>
                  </pic:nvPicPr>
                  <pic:blipFill dpi="0">
                    <a:blip xmlns:r="http://schemas.openxmlformats.org/officeDocument/2006/relationships" r:embed="Relimage7" cstate="print"/>
                    <a:srcRect l="27320" t="11698" r="32566" b="10832"/>
                    <a:stretch>
                      <a:fillRect/>
                    </a:stretch>
                  </pic:blipFill>
                  <pic:spPr bwMode="auto">
                    <a:xfrm>
                      <a:off x="0" y="0"/>
                      <a:ext cx="2113343" cy="2886377"/>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4</w:t>
      </w:r>
      <w:r>
        <w:rPr>
          <w:noProof w:val="1"/>
        </w:rPr>
        <w:fldChar w:fldCharType="end"/>
      </w:r>
      <w:r>
        <w:t>. Kartorna visar hur skogen regleras i denna detaljplan (till vänster) jämfört med tidigare detaljplan från 1991 (till höger). Kartan till vänster visar att mark som planläggs som Natur fortsatt hänger ihop med grönområdet och parken i söder. Planområdet är inom vit streckad linje. Kartan till höger visar att marken tidigare helt varit planlagd som barnstuga.</w:t>
      </w:r>
    </w:p>
    <w:p>
      <w:r>
        <w:t>För att minimera detaljplanens negativa påverkan på det befintliga naturområdet och dess träd ska all släntning ske på kvartersmark.</w:t>
      </w:r>
    </w:p>
    <w:p>
      <w:r>
        <w:t>En del av gång- och cykelvägen som tidigare varit planlagd som barnstuga med servitut för allmän gång- och cykeltrafik planläggs nu istället som allmän plats gång- och cykelväg. Ingen in- och utfart finns där idag, enbart en gång- och cykelväg som sköts av kommunen. Ytan är tänkt att ha samma funktion som kommunal gång- och cykelväg framöver. Mest lämpligt ska befintligt servitut omprövas till nytt läge för in- och utfart.</w:t>
      </w:r>
    </w:p>
    <w:p>
      <w:pPr>
        <w:pStyle w:val="P4"/>
      </w:pPr>
      <w:bookmarkEnd w:id="39"/>
      <w:r>
        <w:t>Planbestämmelser</w:t>
      </w:r>
    </w:p>
    <w:p>
      <w:pPr>
        <w:spacing w:after="0" w:beforeAutospacing="0" w:afterAutospacing="0"/>
      </w:pPr>
      <w:r>
        <w:t>NATUR – Natur.</w:t>
      </w:r>
    </w:p>
    <w:p>
      <w:pPr>
        <w:spacing w:after="0" w:beforeAutospacing="0" w:afterAutospacing="0"/>
      </w:pPr>
      <w:r>
        <w:t>GCVÄG – Gång- och cykelväg.</w:t>
      </w:r>
    </w:p>
    <w:p>
      <w:pPr>
        <w:pStyle w:val="P3"/>
      </w:pPr>
      <w:r>
        <w:t>Huvudmannaskap</w:t>
      </w:r>
    </w:p>
    <w:p>
      <w:bookmarkStart w:id="40" w:name="be_huvudmannaskap01"/>
      <w:r>
        <w:t>Kommunen är huvudman för allmän platsmark.</w:t>
      </w:r>
    </w:p>
    <w:p>
      <w:pPr>
        <w:pStyle w:val="P4"/>
      </w:pPr>
      <w:bookmarkEnd w:id="40"/>
      <w:r>
        <w:t>Konsekvenser</w:t>
      </w:r>
    </w:p>
    <w:p>
      <w:r>
        <w:t>Den mark som i planen är utlagd som allmän platsmark (NATUR, GCVÄG) har Gävle kommun, i sin roll som huvudman, rätt att lösa in mot fastighetsägarens vilja men även en skyldighet att lösa in om fastighetsägaren begär detta, enligt plan- och bygglagen. Kommunen som huvudman har drift- och skötselansvar.</w:t>
      </w:r>
    </w:p>
    <w:p>
      <w:pPr>
        <w:pStyle w:val="P2"/>
      </w:pPr>
      <w:bookmarkStart w:id="41" w:name="_Toc120175169"/>
      <w:bookmarkStart w:id="42" w:name="_Toc120175230"/>
      <w:r>
        <w:t>Kvartersmark</w:t>
      </w:r>
      <w:bookmarkEnd w:id="41"/>
      <w:bookmarkEnd w:id="42"/>
    </w:p>
    <w:p>
      <w:bookmarkStart w:id="43" w:name="be_kvartersmark01"/>
      <w:r>
        <w:t>Detaljplanen innebär att platsen kan bebyggas med bostäder, förskola eller särskilt boende. Planen tillåter exempelvis barnboende att byggas men även andra typer av särskilda boenden som har en begränsad omgivningspåverkan. Begränsad omgivningspåverkan innebär att verksamheten ska ha en omgivningspåverkan som inte är påtagligt större än vad som i allmänhet förväntas av ett boende. Det handlar dels om hur trafikalstrande verksamheten är, men preciseringen av bestämmelsen för vård (D</w:t>
      </w:r>
      <w:r>
        <w:rPr>
          <w:vertAlign w:val="subscript"/>
        </w:rPr>
        <w:t>1</w:t>
      </w:r>
      <w:r>
        <w:t>)</w:t>
      </w:r>
      <w:r>
        <w:rPr>
          <w:vertAlign w:val="subscript"/>
        </w:rPr>
        <w:t xml:space="preserve"> </w:t>
      </w:r>
      <w:r>
        <w:t>innebär också att verksamhetens vårdinslag inte ska påverka omgivningen i hög grad. Exempelvis bedöms större boenden eller boende för kriminalvård eller rättspsykiatrisk vård inte lämpligt inom detaljplanen.</w:t>
      </w:r>
    </w:p>
    <w:p>
      <w:r>
        <w:t>I samband med en exploatering kan även mark komma att asfalteras och trädgård eller gårdsyta för boende anordnas. En in- och utfart tillåts mot Tussilagovägen på befintlig asfalterad yta mellan alléträden. För att styra placeringen av denna inryms en del av gång- och cykelbanan i detaljplanen.</w:t>
      </w:r>
    </w:p>
    <w:p>
      <w:r>
        <w:t>Den mark som i planen är utlagd som allmän kvartersmark (S – förskola) har kommunen rätt att lösa in mot fastighetsägarens vilja men även en skyldighet att lösa in om fastighetsägaren begär det, enligt plan- och bygglagen.</w:t>
      </w:r>
    </w:p>
    <w:p>
      <w:r>
        <w:t>Allmän kvartersmark omfattar all typ av markanvändning som normalt sätt tillhandahålls av det allmänna. Både rättigheten och skyldigheten att lösa in allmän kvartersmark gäller till dess att kommunen beviljar bygglov på marken. Kommunens inlösenrättighet och skyldighet gäller inte om markens användning för avsett ändamål ändå kan anses säkerställd, till exempel om verksamhetsutövaren redan äger marken.</w:t>
      </w:r>
    </w:p>
    <w:p>
      <w:pPr>
        <w:pStyle w:val="P4"/>
      </w:pPr>
      <w:r>
        <w:t>Konsekvenser</w:t>
      </w:r>
    </w:p>
    <w:p>
      <w:r>
        <w:t>Detaljplanen innebär att mark som tidigare varit planlagd för barnstuga, men som idag är ett obebyggt grönområde, kan bebyggas med bostäder, förskola eller särskilt boende. Andelen skog och grönytor kommer därför att minska och hårdgjorda ytor kommer att öka om en byggnation sker, men i jämförelse till detaljplanen från 1991 är det en mindre del mark som kan exploateras. Att hela fastigheten Sätra 174:1 i den gällande detaljplanen från 1991 är planlagd som barnstuga/förskola, innebär att skogen redan i dagsläget kan tas ner och landskapsbilden förändras. I samband med denna nya detaljplan planläggs en del mark som allmän plats Natur. Det innebär att bara en del av Sätra 174:1 kan bebyggas, medan en del sparas som skog.</w:t>
      </w:r>
    </w:p>
    <w:p>
      <w:r>
        <w:t>Detaljplanen ger möjligheter till sociala värden då en förskola, eller ett särskilt boende kan byggas i ett område med mycket bostäder.</w:t>
      </w:r>
    </w:p>
    <w:p>
      <w:pPr>
        <w:pStyle w:val="P4"/>
      </w:pPr>
      <w:bookmarkEnd w:id="43"/>
      <w:r>
        <w:t>Planbestämmelser</w:t>
      </w:r>
    </w:p>
    <w:p>
      <w:pPr>
        <w:rPr>
          <w:shd w:val="clear" w:color="auto" w:fill="FFFFFF"/>
        </w:rPr>
      </w:pPr>
      <w:bookmarkStart w:id="44" w:name="_Toc120175170"/>
      <w:bookmarkStart w:id="45" w:name="_Toc120175231"/>
      <w:r>
        <w:rPr>
          <w:shd w:val="clear" w:color="auto" w:fill="FFFFFF"/>
        </w:rPr>
        <w:t>B – Bostäder.</w:t>
      </w:r>
    </w:p>
    <w:p>
      <w:pPr>
        <w:spacing w:after="120" w:beforeAutospacing="0" w:afterAutospacing="0"/>
        <w:rPr>
          <w:bCs w:val="1"/>
        </w:rPr>
      </w:pPr>
      <w:r>
        <w:rPr>
          <w:bCs w:val="1"/>
        </w:rPr>
        <w:t>D</w:t>
      </w:r>
      <w:r>
        <w:rPr>
          <w:bCs w:val="1"/>
          <w:vertAlign w:val="subscript"/>
        </w:rPr>
        <w:t>1</w:t>
      </w:r>
      <w:r>
        <w:rPr>
          <w:bCs w:val="1"/>
        </w:rPr>
        <w:t xml:space="preserve"> - Särskilt boende. Boendet ska ha en begränsad omgivningspåverkan.</w:t>
      </w:r>
    </w:p>
    <w:p>
      <w:pPr>
        <w:spacing w:after="0" w:beforeAutospacing="0" w:afterAutospacing="0"/>
        <w:rPr>
          <w:bCs w:val="1"/>
        </w:rPr>
      </w:pPr>
      <w:r>
        <w:rPr>
          <w:bCs w:val="1"/>
        </w:rPr>
        <w:t>S</w:t>
      </w:r>
      <w:r>
        <w:rPr>
          <w:bCs w:val="1"/>
          <w:vertAlign w:val="subscript"/>
        </w:rPr>
        <w:t>1</w:t>
      </w:r>
      <w:r>
        <w:rPr>
          <w:bCs w:val="1"/>
        </w:rPr>
        <w:t xml:space="preserve"> – Förskola.</w:t>
      </w:r>
    </w:p>
    <w:p>
      <w:pPr>
        <w:pStyle w:val="P2"/>
      </w:pPr>
      <w:bookmarkEnd w:id="44"/>
      <w:bookmarkEnd w:id="45"/>
      <w:bookmarkStart w:id="46" w:name="_Toc120175172"/>
      <w:bookmarkStart w:id="47" w:name="_Toc120175233"/>
      <w:r>
        <w:t>Utformning, placering och gestaltning</w:t>
      </w:r>
      <w:bookmarkEnd w:id="46"/>
      <w:bookmarkEnd w:id="47"/>
    </w:p>
    <w:p>
      <w:bookmarkStart w:id="48" w:name="be_kvartersmark02"/>
      <w:r>
        <w:t>Bebyggelsens storlek begränsas av bestämmelser om en högsta höjd och en största yta som byggnaden får ha på marken (byggnadsarea, BYA). Ny bebyggelse får ha en högsta nockhöjd på 7,5 meter vilket motsvarar en byggnad på max 2 våningar. Komplementbyggnader får ha en maximal nockhöjd på 4 meter. Största bruttoarea är 750 m</w:t>
      </w:r>
      <w:r>
        <w:rPr>
          <w:vertAlign w:val="superscript"/>
        </w:rPr>
        <w:t>2</w:t>
      </w:r>
      <w:r>
        <w:t xml:space="preserve"> och största byggnadsarea är 700 m</w:t>
      </w:r>
      <w:r>
        <w:rPr>
          <w:vertAlign w:val="superscript"/>
        </w:rPr>
        <w:t>2</w:t>
      </w:r>
      <w:r>
        <w:t>. I dessa areor ingår både huvud- och komplementbyggnader.</w:t>
      </w:r>
    </w:p>
    <w:p>
      <w:r>
        <w:t>Byggnaders placering begränsas av prickmark och korsmark. På mark reglerad med prickmark får inte byggnader placeras. På mark reglerad med korsmark får bara komplementbyggnader placeras. Syftet med korsmarken är att möjliggöra komplementbyggnader inom del av fastigheten. Korsmarken begränsar placeringsmöjligheten av huvudbyggnaden, dels för att skapa avstånd mellan huvudbyggnad och lekplats, dels för att det inte är lämplig att bygga huvudbyggnad i en lågpunkt. För att byggnader ska hålla ett avstånd både från naturmarken och gång- och cykelvägar får byggnader inte placeras närmre än 4 meter från fastighetsgränsen.</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078095" cy="3029585"/>
            <wp:effectExtent l="0" t="0" r="8255" b="0"/>
            <wp:docPr id="19" name="Bildobjekt 19" descr="Illustration i 3D som visar området där planen ligger. Ny föreslagen byggnad är inringad med röd cir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Illustration i 3D som visar området där planen ligger. Ny föreslagen byggnad är inringad med röd cirkel."/>
                    <pic:cNvPicPr>
                      <a:picLocks noChangeAspect="1" noChangeArrowheads="1"/>
                    </pic:cNvPicPr>
                  </pic:nvPicPr>
                  <pic:blipFill dpi="0">
                    <a:blip xmlns:r="http://schemas.openxmlformats.org/officeDocument/2006/relationships" r:embed="Relimage8" cstate="print"/>
                    <a:srcRect l="1458" r="1458"/>
                    <a:stretch>
                      <a:fillRect/>
                    </a:stretch>
                  </pic:blipFill>
                  <pic:spPr bwMode="auto">
                    <a:xfrm>
                      <a:off x="0" y="0"/>
                      <a:ext cx="5078420" cy="3029910"/>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5</w:t>
      </w:r>
      <w:r>
        <w:rPr>
          <w:noProof w:val="1"/>
        </w:rPr>
        <w:fldChar w:fldCharType="end"/>
      </w:r>
      <w:r>
        <w:t>. Inom röd cirkel visas ett exempel på hur byggnad för barnboende skulle kunna se ut i området. Byggnaden på bilden har en nockhöjd på cirka 6 meter.</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096510" cy="2806065"/>
            <wp:effectExtent l="0" t="0" r="8890" b="0"/>
            <wp:docPr id="21" name="Bildobjekt 21" descr="Illustration i gatuvy som visar hur gatan kan se ut när byggnation skett. Ny föreslagen byggnad ligger bakom alléträden inom röd cirkel och syns bara till viss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descr="Illustration i gatuvy som visar hur gatan kan se ut när byggnation skett. Ny föreslagen byggnad ligger bakom alléträden inom röd cirkel och syns bara till viss del."/>
                    <pic:cNvPicPr>
                      <a:picLocks noChangeAspect="1" noChangeArrowheads="1"/>
                    </pic:cNvPicPr>
                  </pic:nvPicPr>
                  <pic:blipFill dpi="0">
                    <a:blip xmlns:r="http://schemas.openxmlformats.org/officeDocument/2006/relationships" r:embed="Relimage9" cstate="print"/>
                    <a:srcRect l="2816" t="2757" r="9579" b="13924"/>
                    <a:stretch>
                      <a:fillRect/>
                    </a:stretch>
                  </pic:blipFill>
                  <pic:spPr bwMode="auto">
                    <a:xfrm>
                      <a:off x="0" y="0"/>
                      <a:ext cx="5109043" cy="2812682"/>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6</w:t>
      </w:r>
      <w:r>
        <w:rPr>
          <w:noProof w:val="1"/>
        </w:rPr>
        <w:fldChar w:fldCharType="end"/>
      </w:r>
      <w:r>
        <w:t>. Bilden visar hur platsen kommer se ut när man åker in längs Tussilagovägen. Röd cirkel visar var ny bebyggelse föreslås. (Illustration: Gävle kommun delvis med AI via Photoshop)</w:t>
      </w:r>
    </w:p>
    <w:p>
      <w:pPr>
        <w:pStyle w:val="P4"/>
      </w:pPr>
      <w:r>
        <w:t>Konsekvenser</w:t>
      </w:r>
    </w:p>
    <w:p>
      <w:pPr>
        <w:pStyle w:val="P22"/>
        <w:rPr>
          <w:color w:val="auto"/>
        </w:rPr>
      </w:pPr>
      <w:r>
        <w:rPr>
          <w:color w:val="auto"/>
        </w:rPr>
        <w:t>Konsekvenserna för omgivningen beskrivs utifrån den byggrätt som finns i gällande detaljplan. Gällande detaljplan från 1991 anger att byggnader får ha en våning utan att specificera någon höjd, och en byggnadsarea på 20 % av fastighetsarean vilket motsvarar en byggnadsarea på 1400 m</w:t>
      </w:r>
      <w:r>
        <w:rPr>
          <w:color w:val="auto"/>
          <w:vertAlign w:val="superscript"/>
        </w:rPr>
        <w:t>2</w:t>
      </w:r>
      <w:r>
        <w:rPr>
          <w:color w:val="auto"/>
        </w:rPr>
        <w:t>.</w:t>
      </w:r>
    </w:p>
    <w:p>
      <w:pPr>
        <w:pStyle w:val="P22"/>
        <w:rPr>
          <w:color w:val="auto"/>
        </w:rPr>
      </w:pPr>
      <w:r>
        <w:rPr>
          <w:color w:val="auto"/>
        </w:rPr>
        <w:t>Denna detaljplan reglerar en maximal nockhöjd på 7,5 meter vilket gör att byggnaders höjd begränsas, vilket inte görs i detaljplanen från 1991. Detaljplanen reglerar även att komplementbyggnader ska vara lägre än huvudbyggnaden för ett underordnat intryck. Komplementbyggnader får ha en högsta nockhöjd på 4 meter.</w:t>
      </w:r>
    </w:p>
    <w:p>
      <w:pPr>
        <w:pStyle w:val="P22"/>
        <w:rPr>
          <w:color w:val="auto"/>
        </w:rPr>
      </w:pPr>
      <w:r>
        <w:rPr>
          <w:color w:val="auto"/>
        </w:rPr>
        <w:t>Byggnadsarean (BYA) i den nya detaljplanen begränsas till totalt 700 m</w:t>
      </w:r>
      <w:r>
        <w:rPr>
          <w:color w:val="auto"/>
          <w:vertAlign w:val="superscript"/>
        </w:rPr>
        <w:t>2</w:t>
      </w:r>
      <w:r>
        <w:rPr>
          <w:color w:val="auto"/>
        </w:rPr>
        <w:t xml:space="preserve"> och bruttoarean (BTA) till 750 m</w:t>
      </w:r>
      <w:r>
        <w:rPr>
          <w:color w:val="auto"/>
          <w:vertAlign w:val="superscript"/>
        </w:rPr>
        <w:t>2</w:t>
      </w:r>
      <w:r>
        <w:rPr>
          <w:color w:val="auto"/>
        </w:rPr>
        <w:t>.</w:t>
      </w:r>
      <w:r>
        <w:rPr>
          <w:color w:val="auto"/>
          <w:vertAlign w:val="superscript"/>
        </w:rPr>
        <w:t xml:space="preserve"> </w:t>
      </w:r>
      <w:r>
        <w:rPr>
          <w:color w:val="auto"/>
        </w:rPr>
        <w:t>vilket är en mindre byggnadsarea än i den äldre detaljplanen. Att BTA är 50 m</w:t>
      </w:r>
      <w:r>
        <w:rPr>
          <w:color w:val="auto"/>
          <w:vertAlign w:val="superscript"/>
        </w:rPr>
        <w:t>2</w:t>
      </w:r>
      <w:r>
        <w:rPr>
          <w:color w:val="auto"/>
        </w:rPr>
        <w:t xml:space="preserve"> större av BYA, innebär att om maximal BYA används så kan ändå ett övre plan finnas, exempelvis för fläktrum. Regleringen av byggrätten gör att kommunens bedömning är att konsekvenserna av denna detaljplan inte blir större än den nu gällande detaljplanen.</w:t>
      </w:r>
    </w:p>
    <w:p>
      <w:pPr>
        <w:pStyle w:val="P22"/>
        <w:rPr>
          <w:color w:val="auto"/>
        </w:rPr>
      </w:pPr>
      <w:r>
        <w:rPr>
          <w:color w:val="auto"/>
        </w:rPr>
        <w:t>Byggnaders placering begränsas av prickad mark och korsmark. Bebyggelsen ska fortsatt (som i detaljplanen från 1991) placeras en bit in från gång- och cykelvägar i norr och öst. I den nya detaljplanen regleras även att ett avstånd ska finnas mellan naturmarken och bebyggelsen i väst och söder.</w:t>
      </w:r>
    </w:p>
    <w:p>
      <w:pPr>
        <w:pStyle w:val="P4"/>
      </w:pPr>
      <w:bookmarkEnd w:id="48"/>
      <w:r>
        <w:t>Planbestämmelser</w:t>
      </w:r>
    </w:p>
    <w:p>
      <w:pPr>
        <w:spacing w:after="120" w:beforeAutospacing="0" w:afterAutospacing="0"/>
      </w:pPr>
      <w:r>
        <w:rPr>
          <w:b w:val="1"/>
          <w:bCs w:val="1"/>
        </w:rPr>
        <w:t>Prickad mark</w:t>
      </w:r>
      <w:r>
        <w:t xml:space="preserve"> - Marken får inte förses med byggnad.</w:t>
      </w:r>
    </w:p>
    <w:p>
      <w:pPr>
        <w:spacing w:after="120" w:beforeAutospacing="0" w:afterAutospacing="0"/>
        <w:rPr>
          <w:b w:val="1"/>
          <w:bCs w:val="1"/>
        </w:rPr>
      </w:pPr>
      <w:r>
        <w:rPr>
          <w:b w:val="1"/>
          <w:bCs w:val="1"/>
        </w:rPr>
        <w:t>Korsmark</w:t>
      </w:r>
      <w:r>
        <w:t xml:space="preserve"> – Marken får endast förses med komplementbyggnad.</w:t>
      </w:r>
    </w:p>
    <w:p>
      <w:pPr>
        <w:spacing w:after="120" w:beforeAutospacing="0" w:afterAutospacing="0"/>
      </w:pPr>
      <w:r>
        <w:rPr>
          <w:b w:val="1"/>
          <w:bCs w:val="1"/>
        </w:rPr>
        <w:t>h</w:t>
      </w:r>
      <w:r>
        <w:rPr>
          <w:b w:val="1"/>
          <w:bCs w:val="1"/>
          <w:vertAlign w:val="subscript"/>
        </w:rPr>
        <w:t>1</w:t>
      </w:r>
      <w:r>
        <w:t xml:space="preserve"> – Högsta nockhöjd på huvudbyggnad är 7,5 meter.</w:t>
      </w:r>
    </w:p>
    <w:p>
      <w:pPr>
        <w:spacing w:after="120" w:beforeAutospacing="0" w:afterAutospacing="0"/>
      </w:pPr>
      <w:r>
        <w:rPr>
          <w:b w:val="1"/>
          <w:bCs w:val="1"/>
        </w:rPr>
        <w:t>h</w:t>
      </w:r>
      <w:r>
        <w:rPr>
          <w:b w:val="1"/>
          <w:bCs w:val="1"/>
          <w:vertAlign w:val="subscript"/>
        </w:rPr>
        <w:t>2</w:t>
      </w:r>
      <w:r>
        <w:t xml:space="preserve"> – Högsta nockhöjd på komplementbyggnad är 4 meter.</w:t>
      </w:r>
    </w:p>
    <w:p>
      <w:pPr>
        <w:spacing w:after="120" w:beforeAutospacing="0" w:afterAutospacing="0"/>
      </w:pPr>
      <w:r>
        <w:rPr>
          <w:b w:val="1"/>
          <w:bCs w:val="1"/>
        </w:rPr>
        <w:t>e</w:t>
      </w:r>
      <w:r>
        <w:rPr>
          <w:b w:val="1"/>
          <w:bCs w:val="1"/>
          <w:vertAlign w:val="subscript"/>
        </w:rPr>
        <w:t>1</w:t>
      </w:r>
      <w:r>
        <w:t xml:space="preserve"> – Största byggnadsarea är 700 m</w:t>
      </w:r>
      <w:r>
        <w:rPr>
          <w:vertAlign w:val="superscript"/>
        </w:rPr>
        <w:t xml:space="preserve">2 </w:t>
      </w:r>
      <w:r>
        <w:t>inom användningsområdet.</w:t>
      </w:r>
    </w:p>
    <w:p>
      <w:pPr>
        <w:spacing w:after="120" w:beforeAutospacing="0" w:afterAutospacing="0"/>
      </w:pPr>
      <w:r>
        <w:rPr>
          <w:b w:val="1"/>
          <w:bCs w:val="1"/>
        </w:rPr>
        <w:t>e</w:t>
      </w:r>
      <w:r>
        <w:rPr>
          <w:b w:val="1"/>
          <w:bCs w:val="1"/>
          <w:vertAlign w:val="subscript"/>
        </w:rPr>
        <w:t>2</w:t>
      </w:r>
      <w:r>
        <w:t xml:space="preserve"> – Största bruttoarea är 750 m</w:t>
      </w:r>
      <w:r>
        <w:rPr>
          <w:vertAlign w:val="superscript"/>
        </w:rPr>
        <w:t xml:space="preserve">2 </w:t>
      </w:r>
      <w:r>
        <w:t>inom användningsområdet.</w:t>
      </w:r>
    </w:p>
    <w:p>
      <w:pPr>
        <w:spacing w:after="120" w:beforeAutospacing="0" w:afterAutospacing="0"/>
      </w:pPr>
      <w:r>
        <w:rPr>
          <w:b w:val="1"/>
          <w:bCs w:val="1"/>
        </w:rPr>
        <w:t>x</w:t>
      </w:r>
      <w:r>
        <w:rPr>
          <w:b w:val="1"/>
          <w:bCs w:val="1"/>
          <w:vertAlign w:val="subscript"/>
        </w:rPr>
        <w:t xml:space="preserve">1 </w:t>
      </w:r>
      <w:r>
        <w:t>– Markreservat för allmännyttig gång- och cykeltrafik.</w:t>
      </w:r>
    </w:p>
    <w:p>
      <w:pPr>
        <w:pStyle w:val="P2"/>
      </w:pPr>
      <w:bookmarkStart w:id="49" w:name="_Toc120175173"/>
      <w:bookmarkStart w:id="50" w:name="_Toc120175234"/>
      <w:r>
        <w:t>Utemiljö</w:t>
      </w:r>
      <w:bookmarkEnd w:id="49"/>
      <w:bookmarkEnd w:id="50"/>
    </w:p>
    <w:p>
      <w:bookmarkStart w:id="51" w:name="be_kvartersmark03"/>
      <w:r>
        <w:t>Beroende på vilken verksamhet som etablerar sig på platsen finns olika behov och eventuella krav på utemiljön. Bakgrunden till detaljplanen är att möjliggöra för ett barnboende och för den typen av bostad är det viktigt att gårdsmiljön har en funktion och ett innehåll som är anpassat efter barnens behov. Exempelvis kan det vara viktigt att tillgänglighetsanpassa utemiljön och att skapa en känsla av trygghet för de som vistas där. Hos sektor Välfärd i Gävle kommun finns riktlinjer som ska följas gällande minsta yta per barn på ett barnboende.</w:t>
      </w:r>
    </w:p>
    <w:p>
      <w:r>
        <w:t>Det kan även finnas ett värde av att knyta samman lekplatsen söder om planområdet med gårdsmiljön för de boende så att lekplatsen blir enkel att ta sig till.</w:t>
      </w:r>
    </w:p>
    <w:p>
      <w:r>
        <w:t>Marken i södra delen av planområdet har naturliga lågpunkter som fördröjer ytavrinnande nederbördsvatten innan det avrinner söderut. Denna funktion behöver bevaras efter planens genomförande eller säkerställas genom annan lokal dagvattenhantering, gärna med öppna vegetationsbaserade lösningar.</w:t>
      </w:r>
    </w:p>
    <w:p>
      <w:pPr>
        <w:pStyle w:val="P4"/>
      </w:pPr>
      <w:r>
        <w:t>Konsekvenser</w:t>
      </w:r>
    </w:p>
    <w:p>
      <w:r>
        <w:t>Konsekvenserna för omgivningen innebär att en del av skogen fortsatt kan användas för lek eller som rekreationsområde. En del av naturmarken planläggs däremot som kvartersmark. Det innebär att det är mark som hör till det särskilda boendet, andra typer av bostäder eller förskola (beroende på vad som byggs). Det kan då exempelvis bli en gemensam gårdsyta med grönska och lekytor eller trädgårdar.</w:t>
      </w:r>
    </w:p>
    <w:p>
      <w:r>
        <w:t>Om en förskola byggs finns det i Gävle kommun friyteriktlinjer som säger 15 kvm/förskolebarn. En byggrätt på 750 m</w:t>
      </w:r>
      <w:r>
        <w:rPr>
          <w:vertAlign w:val="superscript"/>
        </w:rPr>
        <w:t xml:space="preserve">2 </w:t>
      </w:r>
      <w:r>
        <w:t>kan inrymma 50 barn. Det ger då behov av en friyta på 2000 m</w:t>
      </w:r>
      <w:r>
        <w:rPr>
          <w:vertAlign w:val="superscript"/>
        </w:rPr>
        <w:t>2</w:t>
      </w:r>
      <w:r>
        <w:t xml:space="preserve"> (40 barn x 40kvm/barn). Detaljplanen innebär en friyta på ca 3100 m</w:t>
      </w:r>
      <w:r>
        <w:rPr>
          <w:vertAlign w:val="superscript"/>
        </w:rPr>
        <w:t>2</w:t>
      </w:r>
      <w:r>
        <w:t>, med byggrätt och yta för parkering borträknat. Det innebär att riktlinjerna för friyta klaras.</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735320" cy="3970655"/>
            <wp:effectExtent l="0" t="0" r="0" b="0"/>
            <wp:docPr id="20" name="Bildobjekt 20" descr="Förslag på skiss av barnboende med dess utemilj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Förslag på skiss av barnboende med dess utemiljö."/>
                    <pic:cNvPicPr>
                      <a:picLocks noChangeAspect="1" noChangeArrowheads="1"/>
                    </pic:cNvPicPr>
                  </pic:nvPicPr>
                  <pic:blipFill dpi="0">
                    <a:blip xmlns:r="http://schemas.openxmlformats.org/officeDocument/2006/relationships" r:embed="Relimage10" cstate="print"/>
                    <a:srcRect t="1525" b="563"/>
                    <a:stretch>
                      <a:fillRect/>
                    </a:stretch>
                  </pic:blipFill>
                  <pic:spPr bwMode="auto">
                    <a:xfrm>
                      <a:off x="0" y="0"/>
                      <a:ext cx="5744284" cy="3976735"/>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7</w:t>
      </w:r>
      <w:r>
        <w:rPr>
          <w:noProof w:val="1"/>
        </w:rPr>
        <w:fldChar w:fldCharType="end"/>
      </w:r>
      <w:r>
        <w:t>. Bilden visar ett förslag på hur utemiljön till ett barnboende kan se ut.</w:t>
      </w:r>
    </w:p>
    <w:p>
      <w:pPr>
        <w:pStyle w:val="P4"/>
      </w:pPr>
      <w:bookmarkEnd w:id="51"/>
      <w:r>
        <w:t>Planbestämmelser</w:t>
      </w:r>
    </w:p>
    <w:p>
      <w:r>
        <w:rPr>
          <w:b w:val="1"/>
          <w:bCs w:val="1"/>
        </w:rPr>
        <w:t>n</w:t>
      </w:r>
      <w:r>
        <w:rPr>
          <w:b w:val="1"/>
          <w:bCs w:val="1"/>
          <w:vertAlign w:val="subscript"/>
        </w:rPr>
        <w:t>1</w:t>
      </w:r>
      <w:r>
        <w:t xml:space="preserve"> – Fördröjning av dagvatten ska ske</w:t>
      </w:r>
    </w:p>
    <w:p>
      <w:pPr>
        <w:pStyle w:val="P2"/>
      </w:pPr>
      <w:bookmarkStart w:id="52" w:name="_Toc120175174"/>
      <w:bookmarkStart w:id="53" w:name="_Toc120175235"/>
      <w:r>
        <w:t>Genomförandetid</w:t>
      </w:r>
      <w:bookmarkEnd w:id="52"/>
      <w:bookmarkEnd w:id="53"/>
    </w:p>
    <w:p>
      <w:pPr>
        <w:pStyle w:val="P22"/>
        <w:spacing w:after="120" w:beforeAutospacing="0" w:afterAutospacing="0"/>
        <w:rPr>
          <w:color w:val="auto"/>
        </w:rPr>
      </w:pPr>
      <w:bookmarkStart w:id="54" w:name="be_genomförandetid01"/>
      <w:r>
        <w:rPr>
          <w:color w:val="auto"/>
        </w:rPr>
        <w:t>Genomförandetiden för detaljplanen är 60 månader över hela planområdet och börjar gälla när planen fått laga kraft. Innan genomförandetiden gått ut får detaljplanen inte ändras, ersättas eller upphävas mot berörda fastighetsägares vilja.</w:t>
      </w:r>
    </w:p>
    <w:p>
      <w:pPr>
        <w:pStyle w:val="P1"/>
        <w:spacing w:before="480" w:beforeAutospacing="0" w:afterAutospacing="0"/>
      </w:pPr>
      <w:bookmarkEnd w:id="54"/>
      <w:bookmarkStart w:id="55" w:name="_Toc120175191"/>
      <w:bookmarkStart w:id="56" w:name="_Toc120175293"/>
      <w:bookmarkStart w:id="57" w:name="_Toc140225120"/>
      <w:bookmarkStart w:id="58" w:name="_Toc120175284"/>
      <w:bookmarkStart w:id="59" w:name="_Toc120175252"/>
      <w:bookmarkStart w:id="60" w:name="_Toc120175175"/>
      <w:bookmarkStart w:id="61" w:name="_Toc120175283"/>
      <w:bookmarkStart w:id="62" w:name="_Toc120175236"/>
      <w:bookmarkStart w:id="63" w:name="_Toc120175292"/>
      <w:r>
        <w:t>Motiv till detaljplanens regleringar</w:t>
      </w:r>
      <w:bookmarkEnd w:id="55"/>
      <w:bookmarkEnd w:id="56"/>
      <w:bookmarkEnd w:id="57"/>
      <w:bookmarkEnd w:id="58"/>
      <w:bookmarkEnd w:id="59"/>
    </w:p>
    <w:p>
      <w:r>
        <w:t>Alla planbestämmelser måste vara motiverade och ha en funktion utifrån detaljplanens syfte. Enligt Boverkets förordning om planbeskrivning (2020:8) ska varje enskild reglering särskilt motiveras. Nedan redovisas listor på alla planbestämmelser och deras motiv.</w:t>
      </w:r>
    </w:p>
    <w:p>
      <w:pPr>
        <w:pStyle w:val="P2"/>
      </w:pPr>
      <w:bookmarkStart w:id="64" w:name="_Toc120175192"/>
      <w:bookmarkStart w:id="65" w:name="_Toc120175253"/>
      <w:r>
        <w:t>Regleringar av allmän plats</w:t>
      </w:r>
      <w:bookmarkEnd w:id="64"/>
      <w:bookmarkEnd w:id="65"/>
    </w:p>
    <w:p>
      <w:pPr>
        <w:pStyle w:val="P3"/>
      </w:pPr>
      <w:r>
        <w:t>Användningsbestämmelser</w:t>
      </w:r>
    </w:p>
    <w:p>
      <w:pPr>
        <w:spacing w:after="0" w:beforeAutospacing="0" w:afterAutospacing="0"/>
        <w:rPr>
          <w:bCs w:val="1"/>
        </w:rPr>
      </w:pPr>
      <w:bookmarkStart w:id="66" w:name="mo_motivtillreglering01"/>
      <w:r>
        <w:rPr>
          <w:b w:val="1"/>
          <w:noProof w:val="1"/>
        </w:rPr>
        <w:t>NATUR</w:t>
      </w:r>
      <w:r>
        <w:rPr>
          <w:bCs w:val="1"/>
          <w:noProof w:val="1"/>
        </w:rPr>
        <w:t xml:space="preserve"> – Natur</w:t>
      </w:r>
    </w:p>
    <w:p>
      <w:r>
        <w:t>Motivet till planbestämmelsen är att möjliggöra planens syfte och att bevara och skydda ett trädbevuxet naturområde mellan bostäderna, något som är ka</w:t>
      </w:r>
      <w:r>
        <w:rPr>
          <w:rFonts w:cs="Arial"/>
        </w:rPr>
        <w:t>rakteristisk för bostadsområdet. Syftet är även att n</w:t>
      </w:r>
      <w:r>
        <w:t>aturområdet ska kunna bevaras som en lekskog för boende och besökare till lekparken intill.</w:t>
      </w:r>
    </w:p>
    <w:p>
      <w:pPr>
        <w:rPr>
          <w:rFonts w:cs="Arial"/>
        </w:rPr>
      </w:pPr>
      <w:r>
        <w:rPr>
          <w:rFonts w:cs="Arial"/>
        </w:rPr>
        <w:t>Motivet är också att skapa ytor där dagvatten kan omhändertas, att skydda biologisk mångfald och att behålla ytor för dagvattenhantering.</w:t>
      </w:r>
    </w:p>
    <w:p>
      <w:pPr>
        <w:spacing w:after="0" w:beforeAutospacing="0" w:afterAutospacing="0"/>
        <w:rPr>
          <w:bCs w:val="1"/>
        </w:rPr>
      </w:pPr>
      <w:bookmarkEnd w:id="66"/>
      <w:bookmarkStart w:id="67" w:name="mo_motivtillreglering02"/>
      <w:r>
        <w:rPr>
          <w:b w:val="1"/>
        </w:rPr>
        <w:t>GCVÄG</w:t>
      </w:r>
      <w:r>
        <w:rPr>
          <w:bCs w:val="1"/>
        </w:rPr>
        <w:t xml:space="preserve"> – Gång- och cykelväg</w:t>
      </w:r>
    </w:p>
    <w:p>
      <w:pPr>
        <w:spacing w:after="0" w:beforeAutospacing="0" w:afterAutospacing="0"/>
        <w:rPr>
          <w:bCs w:val="1"/>
        </w:rPr>
      </w:pPr>
      <w:r>
        <w:rPr>
          <w:bCs w:val="1"/>
        </w:rPr>
        <w:t>Motivet till planbestämmelsen är att marken ska bli kommunal och fortsatt användas som gång- och cykelväg. Platsen bedöms inte som lämplig för in- och utfart längre då det redan finns en annan asfalterad yta lämplig som det. Det skulle även innebära att alléträd behöver tas ned om den platsen för infart behålls.</w:t>
      </w:r>
    </w:p>
    <w:p>
      <w:pPr>
        <w:pStyle w:val="P2"/>
      </w:pPr>
      <w:bookmarkEnd w:id="67"/>
      <w:bookmarkStart w:id="68" w:name="_Toc120175193"/>
      <w:bookmarkStart w:id="69" w:name="_Toc120175254"/>
      <w:r>
        <w:t>Regleringar av kvartersmark</w:t>
      </w:r>
      <w:bookmarkEnd w:id="68"/>
      <w:bookmarkEnd w:id="69"/>
    </w:p>
    <w:p>
      <w:pPr>
        <w:pStyle w:val="P3"/>
      </w:pPr>
      <w:r>
        <w:t>Användningsbestämmelser</w:t>
      </w:r>
    </w:p>
    <w:p>
      <w:pPr>
        <w:spacing w:after="0" w:beforeAutospacing="0" w:afterAutospacing="0"/>
        <w:rPr>
          <w:bCs w:val="1"/>
        </w:rPr>
      </w:pPr>
      <w:bookmarkStart w:id="70" w:name="mo_motivtillreglering03"/>
      <w:r>
        <w:rPr>
          <w:b w:val="1"/>
        </w:rPr>
        <w:t>B</w:t>
      </w:r>
      <w:r>
        <w:rPr>
          <w:bCs w:val="1"/>
        </w:rPr>
        <w:t xml:space="preserve"> - Bostäder</w:t>
      </w:r>
    </w:p>
    <w:p>
      <w:pPr>
        <w:rPr>
          <w:bCs w:val="1"/>
        </w:rPr>
      </w:pPr>
      <w:r>
        <w:rPr>
          <w:bCs w:val="1"/>
        </w:rPr>
        <w:t>Motivet till planbestämmelsen är att möjliggöra planens syfte att kunna uppföra bostäder.</w:t>
      </w:r>
    </w:p>
    <w:p>
      <w:pPr>
        <w:spacing w:after="120" w:beforeAutospacing="0" w:afterAutospacing="0"/>
        <w:rPr>
          <w:bCs w:val="1"/>
        </w:rPr>
      </w:pPr>
      <w:bookmarkEnd w:id="70"/>
      <w:bookmarkStart w:id="71" w:name="mo_motivtillreglering04"/>
      <w:r>
        <w:rPr>
          <w:b w:val="1"/>
        </w:rPr>
        <w:t>D</w:t>
      </w:r>
      <w:r>
        <w:rPr>
          <w:b w:val="1"/>
          <w:vertAlign w:val="subscript"/>
        </w:rPr>
        <w:t>1</w:t>
      </w:r>
      <w:r>
        <w:rPr>
          <w:bCs w:val="1"/>
        </w:rPr>
        <w:t xml:space="preserve"> – Särskilt boende. Boendet ska ha en begränsad omgivningspåverkan.</w:t>
      </w:r>
    </w:p>
    <w:p>
      <w:pPr>
        <w:rPr>
          <w:bCs w:val="1"/>
        </w:rPr>
      </w:pPr>
      <w:r>
        <w:rPr>
          <w:bCs w:val="1"/>
        </w:rPr>
        <w:t>Motivet till planbestämmelsen är att möjliggöra planens syfte att kunna uppföra särskilt boende med begränsad omgivningspåverkan. Särskilda boendeformer kan exempelvis vara barnboende, äldreboende eller gruppbostad. Att boendet inte får ha någon större omgivningspåverkan beror på platsen läge och karaktär. Vård som innebär att omgivningen störs bedöms inte lämpligt i detta mindre bostadsområde med framförallt villor.</w:t>
      </w:r>
    </w:p>
    <w:p>
      <w:pPr>
        <w:spacing w:after="0" w:beforeAutospacing="0" w:afterAutospacing="0"/>
        <w:rPr>
          <w:bCs w:val="1"/>
        </w:rPr>
      </w:pPr>
      <w:bookmarkEnd w:id="71"/>
      <w:bookmarkStart w:id="72" w:name="mo_motivtillreglering05"/>
      <w:r>
        <w:rPr>
          <w:b w:val="1"/>
        </w:rPr>
        <w:t>S</w:t>
      </w:r>
      <w:r>
        <w:rPr>
          <w:b w:val="1"/>
          <w:vertAlign w:val="subscript"/>
        </w:rPr>
        <w:t>1</w:t>
      </w:r>
      <w:r>
        <w:rPr>
          <w:bCs w:val="1"/>
        </w:rPr>
        <w:t xml:space="preserve"> – Förskola</w:t>
      </w:r>
    </w:p>
    <w:p>
      <w:pPr>
        <w:rPr>
          <w:bCs w:val="1"/>
        </w:rPr>
      </w:pPr>
      <w:r>
        <w:rPr>
          <w:bCs w:val="1"/>
        </w:rPr>
        <w:t>Användningsbestämmelsen förskola möjliggör planens syfte.</w:t>
      </w:r>
    </w:p>
    <w:p>
      <w:pPr>
        <w:pStyle w:val="P22"/>
        <w:rPr>
          <w:bCs w:val="1"/>
          <w:color w:val="auto"/>
        </w:rPr>
      </w:pPr>
      <w:r>
        <w:rPr>
          <w:bCs w:val="1"/>
          <w:color w:val="auto"/>
        </w:rPr>
        <w:t xml:space="preserve">Motivet till planbestämmelsen är att möjliggöra planens syfte att kunna bedriva förskoleverksamhet. </w:t>
      </w:r>
      <w:r>
        <w:rPr>
          <w:color w:val="auto"/>
        </w:rPr>
        <w:t>Platsen har i tidigare detaljplan varit planlagd för förskola och med tanke på att planområdet ligger i ett bostadsområde bedöms det fortfarande vara en lämplig plats för förskola.</w:t>
      </w:r>
    </w:p>
    <w:p>
      <w:pPr>
        <w:pStyle w:val="P3"/>
      </w:pPr>
      <w:bookmarkEnd w:id="72"/>
      <w:r>
        <w:t>Egenskapsbestämmelser</w:t>
      </w:r>
    </w:p>
    <w:p>
      <w:pPr>
        <w:spacing w:after="120" w:beforeAutospacing="0" w:afterAutospacing="0"/>
        <w:rPr>
          <w:b w:val="1"/>
          <w:bCs w:val="1"/>
        </w:rPr>
      </w:pPr>
      <w:bookmarkStart w:id="73" w:name="mo_motivtillreglering06"/>
      <w:r>
        <w:rPr>
          <w:b w:val="1"/>
          <w:bCs w:val="1"/>
        </w:rPr>
        <w:t>Prickad mark</w:t>
      </w:r>
      <w:r>
        <w:t xml:space="preserve"> - Marken får inte förses med byggnad</w:t>
      </w:r>
    </w:p>
    <w:p>
      <w:pPr>
        <w:rPr>
          <w:b w:val="1"/>
          <w:bCs w:val="1"/>
        </w:rPr>
      </w:pPr>
      <w:r>
        <w:t>Motivet till regleringen är att säkerställa underhåll av byggnad på egen mark, säkerställa skyddsavstånd från bostad till träd på annans mark samt säkerställa skyddsavstånd från bostad till gång- och cykelvägar.</w:t>
      </w:r>
    </w:p>
    <w:p>
      <w:pPr>
        <w:spacing w:after="120" w:beforeAutospacing="0" w:afterAutospacing="0"/>
      </w:pPr>
      <w:bookmarkEnd w:id="73"/>
      <w:bookmarkStart w:id="74" w:name="mo_motivtillreglering07"/>
      <w:r>
        <w:rPr>
          <w:b w:val="1"/>
          <w:bCs w:val="1"/>
        </w:rPr>
        <w:t>Korsmark</w:t>
      </w:r>
      <w:r>
        <w:t xml:space="preserve"> – Marken får endast förses med komplementbyggnad</w:t>
      </w:r>
    </w:p>
    <w:p>
      <w:r>
        <w:t>Motivet till regleringen är att tillåta komplementbyggnader på den del av fastigheten där huvudbyggnad inte är lämplig. Det följer strukturen i området där huvudbyggnaderna står relativt nära Tussilagovägen och komplementbyggnaderna längre in.</w:t>
      </w:r>
    </w:p>
    <w:p>
      <w:pPr>
        <w:spacing w:after="120" w:beforeAutospacing="0" w:afterAutospacing="0"/>
      </w:pPr>
      <w:bookmarkEnd w:id="74"/>
      <w:bookmarkStart w:id="75" w:name="mo_motivtillreglering08"/>
      <w:r>
        <w:rPr>
          <w:b w:val="1"/>
          <w:bCs w:val="1"/>
        </w:rPr>
        <w:t>x</w:t>
      </w:r>
      <w:r>
        <w:rPr>
          <w:b w:val="1"/>
          <w:bCs w:val="1"/>
          <w:vertAlign w:val="subscript"/>
        </w:rPr>
        <w:t xml:space="preserve">1 </w:t>
      </w:r>
      <w:r>
        <w:t>– Markreservat för allmännyttig gång- och cykeltrafik.</w:t>
      </w:r>
    </w:p>
    <w:p>
      <w:r>
        <w:rPr>
          <w:bCs w:val="1"/>
        </w:rPr>
        <w:t>Motivet till planbestämmelsen är att</w:t>
      </w:r>
      <w:r>
        <w:t xml:space="preserve"> det även framöver ska finnas en allmännyttig gång- och cykeltrafik där in- och utfarten kommer att vara.</w:t>
      </w:r>
    </w:p>
    <w:p>
      <w:pPr>
        <w:spacing w:after="120" w:beforeAutospacing="0" w:afterAutospacing="0"/>
      </w:pPr>
      <w:bookmarkEnd w:id="75"/>
      <w:bookmarkStart w:id="76" w:name="mo_motivtillreglering09"/>
      <w:r>
        <w:rPr>
          <w:b w:val="1"/>
          <w:bCs w:val="1"/>
        </w:rPr>
        <w:t>h</w:t>
      </w:r>
      <w:r>
        <w:rPr>
          <w:b w:val="1"/>
          <w:bCs w:val="1"/>
          <w:vertAlign w:val="subscript"/>
        </w:rPr>
        <w:t>1</w:t>
      </w:r>
      <w:r>
        <w:t xml:space="preserve"> – Högsta nockhöjd på huvudbyggnad är 7,5 meter.</w:t>
      </w:r>
    </w:p>
    <w:p>
      <w:r>
        <w:t>Motivet med den nya bestämmelsen är att skapa en flexibilitet i våningsantal och att samtidigt reglera en högsta nockhöjd. Huvudbyggnadens höjd ska anpassas till befintlig bebyggelse i området där det varierar mellan 1–2 våningar. Regleringen av höjden görs därmed med hänsyn till stads- och landskapsbilden i området.</w:t>
      </w:r>
    </w:p>
    <w:p>
      <w:pPr>
        <w:spacing w:after="120" w:beforeAutospacing="0" w:afterAutospacing="0"/>
      </w:pPr>
      <w:bookmarkEnd w:id="76"/>
      <w:bookmarkStart w:id="77" w:name="mo_motivtillreglering10"/>
      <w:r>
        <w:rPr>
          <w:b w:val="1"/>
          <w:bCs w:val="1"/>
        </w:rPr>
        <w:t>h</w:t>
      </w:r>
      <w:r>
        <w:rPr>
          <w:b w:val="1"/>
          <w:bCs w:val="1"/>
          <w:vertAlign w:val="subscript"/>
        </w:rPr>
        <w:t>2</w:t>
      </w:r>
      <w:r>
        <w:t xml:space="preserve"> – Högsta nockhöjd på komplementbyggnad är 4 meter.</w:t>
      </w:r>
    </w:p>
    <w:p>
      <w:r>
        <w:rPr>
          <w:bCs w:val="1"/>
        </w:rPr>
        <w:t>Motivet till planbestämmelsen är att</w:t>
      </w:r>
      <w:r>
        <w:t xml:space="preserve"> reglera en lägre nockhöjd för komplementbyggnader än huvudbyggnader. Det för att komplementbyggnaderna ska underordna sig huvudbyggnaden, vilket bidrar till bättre orienterbarhet och följer områdets karaktär.</w:t>
      </w:r>
    </w:p>
    <w:p>
      <w:pPr>
        <w:spacing w:after="120" w:beforeAutospacing="0" w:afterAutospacing="0"/>
      </w:pPr>
      <w:bookmarkEnd w:id="77"/>
      <w:bookmarkStart w:id="78" w:name="mo_motivtillreglering11"/>
      <w:r>
        <w:rPr>
          <w:b w:val="1"/>
          <w:bCs w:val="1"/>
        </w:rPr>
        <w:t>e</w:t>
      </w:r>
      <w:r>
        <w:rPr>
          <w:b w:val="1"/>
          <w:bCs w:val="1"/>
          <w:vertAlign w:val="subscript"/>
        </w:rPr>
        <w:t>1</w:t>
      </w:r>
      <w:r>
        <w:t xml:space="preserve"> – Största byggnadsarea är 700 m</w:t>
      </w:r>
      <w:r>
        <w:rPr>
          <w:vertAlign w:val="superscript"/>
        </w:rPr>
        <w:t xml:space="preserve">2 </w:t>
      </w:r>
      <w:r>
        <w:t>inom användningsområdet.</w:t>
      </w:r>
    </w:p>
    <w:p>
      <w:pPr>
        <w:spacing w:after="120" w:beforeAutospacing="0" w:afterAutospacing="0"/>
      </w:pPr>
      <w:r>
        <w:rPr>
          <w:bCs w:val="1"/>
        </w:rPr>
        <w:t xml:space="preserve">Motivet till planbestämmelsen är att </w:t>
      </w:r>
      <w:r>
        <w:t>möjliggöra för antingen bostäder, särskilt boende eller förskola med tillhörande förråd, andra komplementbyggnader inom användningsområdet och skärmtak. Byggrätten är begränsad eftersom det även ska finnas utrymme för uteplatser, angöringsväg och parkering.</w:t>
      </w:r>
    </w:p>
    <w:p>
      <w:pPr>
        <w:spacing w:after="120" w:beforeAutospacing="0" w:afterAutospacing="0"/>
      </w:pPr>
      <w:bookmarkEnd w:id="78"/>
      <w:bookmarkStart w:id="79" w:name="mo_motivtillreglering12"/>
      <w:r>
        <w:rPr>
          <w:b w:val="1"/>
          <w:bCs w:val="1"/>
        </w:rPr>
        <w:t>e</w:t>
      </w:r>
      <w:r>
        <w:rPr>
          <w:b w:val="1"/>
          <w:bCs w:val="1"/>
          <w:vertAlign w:val="subscript"/>
        </w:rPr>
        <w:t>2</w:t>
      </w:r>
      <w:r>
        <w:t xml:space="preserve"> – Största bruttoarea är 750 m</w:t>
      </w:r>
      <w:r>
        <w:rPr>
          <w:vertAlign w:val="superscript"/>
        </w:rPr>
        <w:t xml:space="preserve">2 </w:t>
      </w:r>
      <w:r>
        <w:t>inom användningsområdet.</w:t>
      </w:r>
    </w:p>
    <w:p>
      <w:r>
        <w:rPr>
          <w:bCs w:val="1"/>
        </w:rPr>
        <w:t xml:space="preserve">Motivet till planbestämmelsen är att </w:t>
      </w:r>
      <w:r>
        <w:t>möjliggöra för en byggnation på höjden istället för på marken. Syftet är att inte ta byggnadsarea i anspråk ifall den skulle behövas för exempelvis förråd.</w:t>
      </w:r>
    </w:p>
    <w:p>
      <w:pPr>
        <w:spacing w:after="120" w:beforeAutospacing="0" w:afterAutospacing="0"/>
      </w:pPr>
      <w:bookmarkEnd w:id="79"/>
      <w:bookmarkStart w:id="80" w:name="mo_motivtillreglering13"/>
      <w:r>
        <w:rPr>
          <w:b w:val="1"/>
          <w:bCs w:val="1"/>
        </w:rPr>
        <w:t>u</w:t>
      </w:r>
      <w:r>
        <w:rPr>
          <w:b w:val="1"/>
          <w:bCs w:val="1"/>
          <w:vertAlign w:val="subscript"/>
        </w:rPr>
        <w:t>1</w:t>
      </w:r>
      <w:r>
        <w:t xml:space="preserve"> och </w:t>
      </w:r>
      <w:r>
        <w:rPr>
          <w:b w:val="1"/>
          <w:bCs w:val="1"/>
        </w:rPr>
        <w:t>u</w:t>
      </w:r>
      <w:r>
        <w:rPr>
          <w:b w:val="1"/>
          <w:bCs w:val="1"/>
          <w:vertAlign w:val="subscript"/>
        </w:rPr>
        <w:t>2</w:t>
      </w:r>
      <w:r>
        <w:t>– Markreservat för allmännyttiga underjordiska ledningar.</w:t>
      </w:r>
    </w:p>
    <w:p>
      <w:r>
        <w:t xml:space="preserve">Motivet till planbestämmelsen är att säkerställa ett område för kommunala fjärrvärme- och optoledningar som passerar genom kvartersmark i väst och betjänar fler fastigheter. </w:t>
      </w:r>
      <w:bookmarkStart w:id="81" w:name="Kartlänk_01"/>
      <w:r>
        <w:t>På ytan vid markreservatet/utfart är syftet att säkerställa ett område för flera typer av kommunala ledningar.</w:t>
      </w:r>
      <w:bookmarkEnd w:id="81"/>
    </w:p>
    <w:p>
      <w:bookmarkEnd w:id="80"/>
      <w:bookmarkStart w:id="82" w:name="mo_motivtillreglering14"/>
      <w:r>
        <w:rPr>
          <w:b w:val="1"/>
          <w:bCs w:val="1"/>
        </w:rPr>
        <w:t>n</w:t>
      </w:r>
      <w:r>
        <w:rPr>
          <w:b w:val="1"/>
          <w:bCs w:val="1"/>
          <w:vertAlign w:val="subscript"/>
        </w:rPr>
        <w:t>1</w:t>
      </w:r>
      <w:r>
        <w:t xml:space="preserve"> – Fördröjning av dagvatten ska ske.</w:t>
      </w:r>
    </w:p>
    <w:p>
      <w:r>
        <w:t>Motivet till planbestämmelsen är att säkerställa fördröjning av ytavrinnande vatten vid nederbörd, i första hand genom bevarande av befintliga lågpunkter i södra delen av planområdet, alternativt genom annan lokal dagvattenhantering. Fördröjning ska som minst ske av ett dimensionerande 10-årsregn, men större fördröjningsvolym är positivt för dagvattenhanteringen. Fördröjning av dagvatten i öppna lösningar ger beredskap för större regn och buffert mot översvämningsrisker nedströms.</w:t>
      </w:r>
    </w:p>
    <w:p>
      <w:pPr>
        <w:pStyle w:val="P1"/>
      </w:pPr>
      <w:bookmarkEnd w:id="82"/>
      <w:bookmarkStart w:id="83" w:name="_Toc140225121"/>
      <w:r>
        <w:t>Planeringsförutsättningar och konsekvenser</w:t>
      </w:r>
      <w:bookmarkEnd w:id="60"/>
      <w:bookmarkEnd w:id="61"/>
      <w:bookmarkEnd w:id="62"/>
      <w:bookmarkEnd w:id="63"/>
      <w:bookmarkEnd w:id="83"/>
    </w:p>
    <w:p>
      <w:pPr>
        <w:pStyle w:val="P2"/>
      </w:pPr>
      <w:bookmarkStart w:id="84" w:name="_Toc120175206"/>
      <w:bookmarkStart w:id="85" w:name="_Toc120175267"/>
      <w:r>
        <w:t>Översiktsplan</w:t>
      </w:r>
      <w:bookmarkEnd w:id="84"/>
      <w:bookmarkEnd w:id="85"/>
    </w:p>
    <w:p>
      <w:bookmarkStart w:id="86" w:name="pf_översiktsplan01"/>
      <w:r>
        <w:t>För området gäller fördjupad översiktsplan för Gävle stad 2025. Den fördjupade översiktsplanen pekar ut aktuell fastighet och dess närområde som möjlig plats för utveckling av bostäder. Detaljplanen överensstämmer med översiktsplanen.</w:t>
      </w:r>
    </w:p>
    <w:p>
      <w:pPr>
        <w:pStyle w:val="P2"/>
      </w:pPr>
      <w:bookmarkEnd w:id="86"/>
      <w:bookmarkStart w:id="87" w:name="_Toc120175208"/>
      <w:bookmarkStart w:id="88" w:name="_Toc120175269"/>
      <w:r>
        <w:t>Gällande detaljplan</w:t>
      </w:r>
      <w:bookmarkEnd w:id="87"/>
      <w:bookmarkEnd w:id="88"/>
    </w:p>
    <w:p>
      <w:bookmarkStart w:id="89" w:name="pf_detaljplan01"/>
      <w:r>
        <w:t>För området gäller del av en detaljplan:</w:t>
      </w:r>
    </w:p>
    <w:p>
      <w:r>
        <w:rPr>
          <w:b w:val="1"/>
          <w:i w:val="1"/>
          <w:bCs w:val="1"/>
          <w:iCs w:val="1"/>
        </w:rPr>
        <w:t>Kv. Skogsnävan och Skogsviolen</w:t>
      </w:r>
      <w:r>
        <w:t xml:space="preserve">, antagen 15 maj 1991 med aktbeteckning 21-P91:136. Detaljplanen anger markanvändningen </w:t>
      </w:r>
      <w:r>
        <w:rPr>
          <w:i w:val="1"/>
          <w:iCs w:val="1"/>
        </w:rPr>
        <w:t>Barnstuga</w:t>
      </w:r>
      <w:r>
        <w:t xml:space="preserve"> i en våning för planområdet. En mindre del är planlagd som gång- och cykelväg.</w:t>
      </w:r>
    </w:p>
    <w:p>
      <w:pPr>
        <w:keepNext w:val="1"/>
        <w:spacing w:after="0" w:beforeAutospacing="0" w:afterAutospacing="0"/>
        <w:rPr>
          <w:i w:val="1"/>
          <w:iCs w:val="1"/>
        </w:rPr>
      </w:pPr>
      <w:r>
        <w:rPr>
          <w:noProof w:val="1"/>
        </w:rPr>
        <w:drawing>
          <wp:inline xmlns:wp="http://schemas.openxmlformats.org/drawingml/2006/wordprocessingDrawing" distT="0" distB="0" distL="0" distR="0">
            <wp:extent cx="4050665" cy="2990850"/>
            <wp:effectExtent l="0" t="0" r="6985" b="0"/>
            <wp:docPr id="25" name="Bildobjekt 25" descr="Karta som visar gällande detaljplan och röd gräns visar gränsen för ny detalj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descr="Karta som visar gällande detaljplan och röd gräns visar gränsen för ny detaljplan."/>
                    <pic:cNvPicPr>
                      <a:picLocks noChangeAspect="1" noChangeArrowheads="1"/>
                    </pic:cNvPicPr>
                  </pic:nvPicPr>
                  <pic:blipFill dpi="0">
                    <a:blip xmlns:r="http://schemas.openxmlformats.org/officeDocument/2006/relationships" r:embed="Relimage11"/>
                    <a:srcRect t="2358" b="2091"/>
                    <a:stretch>
                      <a:fillRect/>
                    </a:stretch>
                  </pic:blipFill>
                  <pic:spPr bwMode="auto">
                    <a:xfrm>
                      <a:off x="0" y="0"/>
                      <a:ext cx="4053530" cy="2992933"/>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8</w:t>
      </w:r>
      <w:r>
        <w:rPr>
          <w:noProof w:val="1"/>
        </w:rPr>
        <w:fldChar w:fldCharType="end"/>
      </w:r>
      <w:r>
        <w:t>. Karta som visar befintlig detaljplan för området. Plangränsen är markerad med röd heldragen linje.</w:t>
      </w:r>
    </w:p>
    <w:p>
      <w:pPr>
        <w:pStyle w:val="P2"/>
      </w:pPr>
      <w:bookmarkEnd w:id="89"/>
      <w:r>
        <w:t>Beslut om planläggning</w:t>
      </w:r>
    </w:p>
    <w:p>
      <w:bookmarkStart w:id="90" w:name="pf_planbesked01"/>
      <w:r>
        <w:t>Ansökan om planbesked med beslut om planuppdrag har beslutats i Samhällsbyggnadsnämnden den 23 november 2022.</w:t>
      </w:r>
    </w:p>
    <w:p>
      <w:pPr>
        <w:pStyle w:val="P2"/>
      </w:pPr>
      <w:bookmarkEnd w:id="90"/>
      <w:bookmarkStart w:id="91" w:name="_Toc120175176"/>
      <w:bookmarkStart w:id="92" w:name="_Toc120175237"/>
      <w:r>
        <w:t>Naturmiljö och landskap</w:t>
      </w:r>
      <w:bookmarkEnd w:id="91"/>
      <w:bookmarkEnd w:id="92"/>
    </w:p>
    <w:p>
      <w:pPr>
        <w:spacing w:after="0" w:beforeAutospacing="0" w:afterAutospacing="0"/>
      </w:pPr>
      <w:bookmarkStart w:id="93" w:name="pf_fysiskmiljö01"/>
      <w:r>
        <w:t>Marken består idag av ett skogsområde som bland annat används för lek och rekreation av boende i närområdet. Marken är något kuperad och sluttar mot sydväst. I stora delar av området finns både mindre och större stenblock.</w:t>
      </w:r>
    </w:p>
    <w:p>
      <w:pPr>
        <w:spacing w:before="120" w:after="0" w:beforeAutospacing="0" w:afterAutospacing="0"/>
      </w:pPr>
      <w:r>
        <w:rPr>
          <w:noProof w:val="1"/>
        </w:rPr>
        <w:drawing>
          <wp:inline xmlns:wp="http://schemas.openxmlformats.org/drawingml/2006/wordprocessingDrawing" distT="0" distB="0" distL="0" distR="0">
            <wp:extent cx="4002405" cy="2575560"/>
            <wp:effectExtent l="0" t="0" r="0" b="0"/>
            <wp:docPr id="8" name="Bildobjekt 8" descr="En bild som visar skogen i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skogen idag."/>
                    <pic:cNvPicPr>
                      <a:picLocks noChangeAspect="1" noChangeArrowheads="1"/>
                    </pic:cNvPicPr>
                  </pic:nvPicPr>
                  <pic:blipFill dpi="0">
                    <a:blip xmlns:r="http://schemas.openxmlformats.org/officeDocument/2006/relationships" r:embed="Relimage12" cstate="print"/>
                    <a:srcRect t="7103" b="7103"/>
                    <a:stretch>
                      <a:fillRect/>
                    </a:stretch>
                  </pic:blipFill>
                  <pic:spPr bwMode="auto">
                    <a:xfrm>
                      <a:off x="0" y="0"/>
                      <a:ext cx="4083876" cy="2628128"/>
                    </a:xfrm>
                    <a:prstGeom prst="rect"/>
                    <a:noFill/>
                    <a:ln w="9525" cmpd="sng" algn="ctr">
                      <a:noFill/>
                      <a:prstDash val="solid"/>
                      <a:round/>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9</w:t>
      </w:r>
      <w:r>
        <w:rPr>
          <w:noProof w:val="1"/>
        </w:rPr>
        <w:fldChar w:fldCharType="end"/>
      </w:r>
      <w:r>
        <w:t>. Mark inom planområdet med stenblock och träd. Bild tagen i västlig riktning.</w:t>
      </w:r>
    </w:p>
    <w:p>
      <w:r>
        <w:t>Längs med Tussilagovägen finns en trädallé med lindar som bedöms omfattas av generellt biotopskydd. Befintliga alléer och övriga träd intill planområdet fyller en viktig funktion för biologisk mångfald, landskapsbild och luftrening.</w:t>
      </w:r>
    </w:p>
    <w:p>
      <w:pPr>
        <w:keepNext w:val="1"/>
        <w:spacing w:after="0" w:beforeAutospacing="0" w:afterAutospacing="0"/>
        <w:rPr>
          <w:i w:val="1"/>
          <w:iCs w:val="1"/>
        </w:rPr>
      </w:pPr>
      <w:r>
        <w:rPr>
          <w:noProof w:val="1"/>
        </w:rPr>
        <w:drawing>
          <wp:inline xmlns:wp="http://schemas.openxmlformats.org/drawingml/2006/wordprocessingDrawing" distT="0" distB="0" distL="0" distR="0">
            <wp:extent cx="4761230" cy="2687320"/>
            <wp:effectExtent l="0" t="0" r="1270" b="0"/>
            <wp:docPr id="11" name="Bildobjekt 11" descr="En bild som visar Tussilagovägen i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Tussilagovägen idag."/>
                    <pic:cNvPicPr>
                      <a:picLocks noChangeAspect="1" noChangeArrowheads="1"/>
                    </pic:cNvPicPr>
                  </pic:nvPicPr>
                  <pic:blipFill dpi="0">
                    <a:blip xmlns:r="http://schemas.openxmlformats.org/officeDocument/2006/relationships" r:embed="Relimage13" cstate="print"/>
                    <a:srcRect t="7722" r="4378" b="3921"/>
                    <a:stretch>
                      <a:fillRect/>
                    </a:stretch>
                  </pic:blipFill>
                  <pic:spPr bwMode="auto">
                    <a:xfrm>
                      <a:off x="0" y="0"/>
                      <a:ext cx="4766812" cy="2690380"/>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10</w:t>
      </w:r>
      <w:r>
        <w:rPr>
          <w:noProof w:val="1"/>
        </w:rPr>
        <w:fldChar w:fldCharType="end"/>
      </w:r>
      <w:r>
        <w:t>. Trädallén längs med Tussilagovägen. Planområdet är till vänster i bild.</w:t>
      </w:r>
    </w:p>
    <w:p>
      <w:r>
        <w:t>Inga fynd av invasiva arter har gjorts i planområdet. De främmande invasiva arter som finns upptagna på EU:s förteckning får bland annat inte avsiktligt spridas eller transporteras. Finner verksamhetsutövaren invasiva arter ska dessa omhändertas så att det inte uppstår en risk för spridning.</w:t>
      </w:r>
    </w:p>
    <w:p>
      <w:r>
        <w:t>Fynd av större vattensalamander har gjorts i direkt anslutning till planområdet, den senaste rapporten i Artportalen är från år 2017. Det är möjligt att det finns enstaka salamandrar kvar av populationen som flyttades till en ny göl på Norrlandet i början av 2000-talet. Inget lekvatten finns inom rimligt avstånd och därmed ingen möjlighet till föryngring för salamandern inom området.</w:t>
      </w:r>
    </w:p>
    <w:p>
      <w:pPr>
        <w:pStyle w:val="P4"/>
      </w:pPr>
      <w:bookmarkEnd w:id="93"/>
      <w:r>
        <w:t>Planförslag och konsekvenser</w:t>
      </w:r>
    </w:p>
    <w:p>
      <w:bookmarkStart w:id="94" w:name="ko_grönområde01"/>
      <w:r>
        <w:t>Planförslaget innebär att fastigheten bebyggs i den norra delen och att en del av befintligt skogsparti försvinner. Sett till att hela fastigheten är planlagd för barnstuga (i detaljplanen från 1991) anses det positivt för naturvärdena att en del nu planläggs som natur. Det säkrar att en del av området bevaras som naturmark.</w:t>
      </w:r>
    </w:p>
    <w:p>
      <w:r>
        <w:t>Det är viktigt att skapa förutsättningar för att allén ska finnas kvar och utvecklas över tid. Utgångspunkten vid planläggningen är att alléträden inte ska påverkas negativt. Befintlig hårdgjord yta mellan träden är tänkt att fungera som in- och utfart. Om det finns risk att naturmiljön för allén skadas ska dispens sökas hos Länsstyrelsen.</w:t>
      </w:r>
    </w:p>
    <w:p>
      <w:r>
        <w:t>Det finns inga livsmiljöer kvar för salamandrar eller andra groddjur i närområdet sedan tidigare utbyggnader i området. Planförslaget bedöms därmed inte ge någon påverkan på groddjur.</w:t>
      </w:r>
    </w:p>
    <w:p>
      <w:pPr>
        <w:keepNext w:val="1"/>
        <w:spacing w:after="0" w:beforeAutospacing="0" w:afterAutospacing="0"/>
        <w:rPr>
          <w:i w:val="1"/>
          <w:iCs w:val="1"/>
        </w:rPr>
      </w:pP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2425700</wp:posOffset>
                </wp:positionH>
                <wp:positionV relativeFrom="paragraph">
                  <wp:posOffset>506095</wp:posOffset>
                </wp:positionV>
                <wp:extent cx="1712595" cy="1381760"/>
                <wp:effectExtent l="38100" t="0" r="20955" b="66040"/>
                <wp:wrapNone/>
                <wp:docPr id="17" name="Rak pilkoppling 17"/>
                <wp:cNvGraphicFramePr/>
                <a:graphic xmlns:a="http://schemas.openxmlformats.org/drawingml/2006/main">
                  <a:graphicData uri="http://schemas.microsoft.com/office/word/2010/wordprocessingShape">
                    <wps:wsp>
                      <wps:cNvCnPr>
                        <a:stCxn id="0" idx="0"/>
                        <a:endCxn id="0" idx="0"/>
                      </wps:cNvCnPr>
                      <wps:spPr>
                        <a:xfrm flipH="1">
                          <a:off x="0" y="0"/>
                          <a:ext cx="1713062" cy="1382134"/>
                        </a:xfrm>
                        <a:prstGeom prst="straightConnector1"/>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17" o:spid="_x0000_s1026" style="position:absolute;width:134.85pt;height:108.8pt;flip:x;z-index:3;mso-wrap-distance-left:9pt;mso-wrap-distance-top:0pt;mso-wrap-distance-right:9pt;mso-wrap-distance-bottom:0pt;margin-left:191pt;margin-top:39.85pt;mso-position-horizontal:absolute;mso-position-horizontal-relative:text;mso-position-vertical:absolute;mso-position-vertical-relative:text" strokecolor="#FF0000" strokeweight="1pt" stroked="t" o:allowincell="t">
                <v:stroke endarrow="block"/>
              </v:shape>
            </w:pict>
          </mc:Fallback>
        </mc:AlternateContent>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3974465</wp:posOffset>
                </wp:positionH>
                <wp:positionV relativeFrom="paragraph">
                  <wp:posOffset>305435</wp:posOffset>
                </wp:positionV>
                <wp:extent cx="372110" cy="342265"/>
                <wp:effectExtent l="0" t="0" r="27940" b="19685"/>
                <wp:wrapNone/>
                <wp:docPr id="16" name="Ellips 16"/>
                <wp:cNvGraphicFramePr/>
                <a:graphic xmlns:a="http://schemas.openxmlformats.org/drawingml/2006/main">
                  <a:graphicData uri="http://schemas.microsoft.com/office/word/2010/wordprocessingShape">
                    <wps:wsp>
                      <wps:cNvSpPr/>
                      <wps:spPr>
                        <a:xfrm>
                          <a:off x="0" y="0"/>
                          <a:ext cx="372110" cy="342265"/>
                        </a:xfrm>
                        <a:prstGeom prst="ellipse"/>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6" o:spid="_x0000_s1027" style="position:absolute;width:29.3pt;height:26.95pt;z-index:2;mso-wrap-distance-left:9pt;mso-wrap-distance-top:0pt;mso-wrap-distance-right:9pt;mso-wrap-distance-bottom:0pt;margin-left:312.95pt;margin-top:24.05pt;mso-position-horizontal:absolute;mso-position-horizontal-relative:text;mso-position-vertical:absolute;mso-position-vertical-relative:text;v-text-anchor:middle" o:allowincell="t" filled="f" strokecolor="#FF0000" strokeweight="1.5pt" stroked="t">
                <v:textbox inset="3mm,1mm,3mm,1mm">
                  <w:txbxContent>
                    <w:p/>
                  </w:txbxContent>
                </v:textbox>
              </v:oval>
            </w:pict>
          </mc:Fallback>
        </mc:AlternateContent>
      </w:r>
      <w:r>
        <w:rPr>
          <w:noProof w:val="1"/>
        </w:rPr>
        <w:drawing>
          <wp:inline xmlns:wp="http://schemas.openxmlformats.org/drawingml/2006/wordprocessingDrawing" distT="0" distB="0" distL="0" distR="0">
            <wp:extent cx="4965065" cy="2845435"/>
            <wp:effectExtent l="0" t="0" r="6985"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pic:cNvPicPr>
                      <a:picLocks noChangeAspect="1" noChangeArrowheads="1"/>
                    </pic:cNvPicPr>
                  </pic:nvPicPr>
                  <pic:blipFill dpi="0">
                    <a:blip xmlns:r="http://schemas.openxmlformats.org/officeDocument/2006/relationships" r:embed="Relimage14" cstate="print"/>
                    <a:srcRect l="23" r="5305"/>
                    <a:stretch>
                      <a:fillRect/>
                    </a:stretch>
                  </pic:blipFill>
                  <pic:spPr bwMode="auto">
                    <a:xfrm>
                      <a:off x="0" y="0"/>
                      <a:ext cx="4978258" cy="2853033"/>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11</w:t>
      </w:r>
      <w:r>
        <w:rPr>
          <w:noProof w:val="1"/>
        </w:rPr>
        <w:fldChar w:fldCharType="end"/>
      </w:r>
      <w:r>
        <w:t>. Befintlig asfalterad yta mellan alléträden som är tänkt att användas som infart till området. Bilden i hörnet visar ytans plats.</w:t>
      </w:r>
      <w:r>
        <w:rPr>
          <w:noProof w:val="1"/>
        </w:rPr>
        <w:drawing>
          <wp:anchor xmlns:wp="http://schemas.openxmlformats.org/drawingml/2006/wordprocessingDrawing" distT="0" distB="71755" distL="114300" distR="114300" simplePos="0" relativeHeight="1" behindDoc="0" locked="1" layoutInCell="1" allowOverlap="1">
            <wp:simplePos x="0" y="0"/>
            <wp:positionH relativeFrom="margin">
              <wp:posOffset>3192145</wp:posOffset>
            </wp:positionH>
            <wp:positionV relativeFrom="paragraph">
              <wp:posOffset>-2931160</wp:posOffset>
            </wp:positionV>
            <wp:extent cx="1776095" cy="1041400"/>
            <wp:effectExtent l="19050" t="19050" r="14605" b="2540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4"/>
                    <pic:cNvPicPr>
                      <a:picLocks noChangeAspect="1" noChangeArrowheads="1"/>
                    </pic:cNvPicPr>
                  </pic:nvPicPr>
                  <pic:blipFill dpi="0">
                    <a:blip xmlns:r="http://schemas.openxmlformats.org/officeDocument/2006/relationships" r:embed="Relimage15"/>
                    <a:srcRect l="45840" t="34893" r="45898" b="58256"/>
                    <a:stretch>
                      <a:fillRect/>
                    </a:stretch>
                  </pic:blipFill>
                  <pic:spPr bwMode="auto">
                    <a:xfrm>
                      <a:off x="0" y="0"/>
                      <a:ext cx="1776095" cy="1041400"/>
                    </a:xfrm>
                    <a:prstGeom prst="rect"/>
                    <a:noFill/>
                    <a:ln w="19050" cmpd="sng" algn="ctr">
                      <a:solidFill>
                        <a:schemeClr val="bg1"/>
                      </a:solidFill>
                      <a:prstDash val="solid"/>
                      <a:round/>
                    </a:ln>
                  </pic:spPr>
                </pic:pic>
              </a:graphicData>
            </a:graphic>
          </wp:anchor>
        </w:drawing>
      </w:r>
    </w:p>
    <w:p>
      <w:pPr>
        <w:pStyle w:val="P2"/>
      </w:pPr>
      <w:bookmarkEnd w:id="94"/>
      <w:bookmarkStart w:id="95" w:name="_Toc120175177"/>
      <w:bookmarkStart w:id="96" w:name="_Toc120175238"/>
      <w:r>
        <w:t>Ekosystemtjänster</w:t>
      </w:r>
      <w:bookmarkEnd w:id="95"/>
      <w:bookmarkEnd w:id="96"/>
    </w:p>
    <w:p>
      <w:bookmarkStart w:id="97" w:name="pf_fysiskmiljö02"/>
      <w:r>
        <w:t xml:space="preserve">Skogsområdet är en del av grönstrukturen i Sätra. Planområdet är utpekat i kartläggningen </w:t>
      </w:r>
      <w:r>
        <w:rPr>
          <w:i w:val="1"/>
          <w:iCs w:val="1"/>
        </w:rPr>
        <w:t>Ekosystemtjänster i Gävle kommun</w:t>
      </w:r>
      <w:r>
        <w:t xml:space="preserve"> (Ekologigruppen 2018) där Sätra beskrivs som en stadsdel med stor andel grönska. Områdets bebyggelse beskrivs som ganska tät, men att det mellan byggnaderna finns grönområden som förser stadsdelarna med flera ekosystemtjänster.</w:t>
      </w:r>
    </w:p>
    <w:p>
      <w:pPr>
        <w:pStyle w:val="P3"/>
      </w:pPr>
      <w:bookmarkEnd w:id="97"/>
      <w:r>
        <w:t>Planförslag och konsekvenser</w:t>
      </w:r>
    </w:p>
    <w:p>
      <w:bookmarkStart w:id="98" w:name="ko_grönområde02"/>
      <w:r>
        <w:t xml:space="preserve">Till fördel för ekosystemtjänsterna ska kvartersmarkens storlek hållas nere, samtidigt som ytan för barnboendet ska klara de krav som finns i Gävle kommun gällande andelen kvadratmeter per barn. Detta till förmån för att utöka ytan för allmän plats </w:t>
      </w:r>
      <w:r>
        <w:rPr>
          <w:i w:val="1"/>
          <w:iCs w:val="1"/>
        </w:rPr>
        <w:t>Natur</w:t>
      </w:r>
      <w:r>
        <w:t>, som då kan nyttjas av alla och fortsatt gynna ekosystemtjänster. Det är positivt om träd och skogsmark sparas även inom kvartersmark för att ekosystemtjänsterna ska påverkas så lite som möjligt.</w:t>
      </w:r>
    </w:p>
    <w:p>
      <w:pPr>
        <w:pStyle w:val="P2"/>
      </w:pPr>
      <w:bookmarkEnd w:id="98"/>
      <w:r>
        <w:t>Landskapsbild och utblickar</w:t>
      </w:r>
    </w:p>
    <w:p>
      <w:pPr>
        <w:pStyle w:val="P22"/>
        <w:rPr>
          <w:color w:val="auto"/>
        </w:rPr>
      </w:pPr>
      <w:bookmarkStart w:id="99" w:name="pf_fysiskmiljö03"/>
      <w:r>
        <w:rPr>
          <w:color w:val="auto"/>
        </w:rPr>
        <w:t>Landskapsbilden består idag av ett mindre skogsområde med varierad vegetation. Öster och norr om planområdet finns villabebyggelse respektive radhus. Ett fåtal av husen längs Salamandervägen har utblickar mot fastigheten.</w:t>
      </w:r>
    </w:p>
    <w:p>
      <w:pPr>
        <w:pStyle w:val="P4"/>
      </w:pPr>
      <w:bookmarkEnd w:id="99"/>
      <w:r>
        <w:t>Planförslag och konsekvenser</w:t>
      </w:r>
    </w:p>
    <w:p>
      <w:bookmarkStart w:id="100" w:name="ko_landskapsbild01"/>
      <w:r>
        <w:t>Landskapsbilden påverkas lokalt. Detaljplanen syftar till att omvandla området till ett bostadsområde eller område för förskola. Den föreslagna bebyggelsen är placerad i fastighetens norra del med syftet att spara så mycket som möjligt av skogen i den södra delen.</w:t>
      </w:r>
    </w:p>
    <w:p>
      <w:r>
        <w:t>Utblickarna från de nya bostäderna eller förskolan blir mot skog och gårdsyta mot söder och väster. Norrut och österut blir utblickarna mot befintlig bostadsbebyggelse, bilväg och gång- och cykelvägar. Viss växtlighet i form av exempelvis trädallé finns åt de hållen.</w:t>
      </w:r>
    </w:p>
    <w:p>
      <w:pPr>
        <w:pStyle w:val="P2"/>
      </w:pPr>
      <w:bookmarkEnd w:id="100"/>
      <w:bookmarkStart w:id="101" w:name="_Toc120175184"/>
      <w:bookmarkStart w:id="102" w:name="_Toc120175245"/>
      <w:r>
        <w:t>Offentlig och kommersiell service</w:t>
      </w:r>
      <w:bookmarkEnd w:id="101"/>
      <w:bookmarkEnd w:id="102"/>
    </w:p>
    <w:p>
      <w:bookmarkStart w:id="103" w:name="pf_service01"/>
      <w:r>
        <w:t>Avståndet till Sätra centrum med butiker, post, bibliotek mm. är beläget ca 1,5 kilometer bort och Ulvsäterskolan cirka 1 kilometer bort.</w:t>
      </w:r>
    </w:p>
    <w:p>
      <w:pPr>
        <w:pStyle w:val="P4"/>
      </w:pPr>
      <w:r>
        <w:t>Planförslag och konsekvenser</w:t>
      </w:r>
    </w:p>
    <w:p>
      <w:r>
        <w:t>Planförslaget innebär att bland annat bostäder kan byggas i ett område med god tillgänglighet till service, stadsdelscentrum, kollektivtrafik samt parker och grönområden.</w:t>
      </w:r>
    </w:p>
    <w:p>
      <w:pPr>
        <w:pStyle w:val="P2"/>
      </w:pPr>
      <w:bookmarkEnd w:id="103"/>
      <w:bookmarkStart w:id="104" w:name="_Toc120175185"/>
      <w:bookmarkStart w:id="105" w:name="_Toc120175246"/>
      <w:r>
        <w:t>Gator och trafik</w:t>
      </w:r>
      <w:bookmarkEnd w:id="104"/>
      <w:bookmarkEnd w:id="105"/>
    </w:p>
    <w:p>
      <w:pPr>
        <w:pStyle w:val="P3"/>
      </w:pPr>
      <w:r>
        <w:t>Hållbara transportmedel och kollektivtrafik</w:t>
      </w:r>
    </w:p>
    <w:p>
      <w:bookmarkStart w:id="106" w:name="pf_trafik01"/>
      <w:r>
        <w:t>I strävan efter ett hållbart transportsystem är inriktningen i miljöstrategiska programmet och översiktsplan för Gävle kommun 2030 att minska totala antalet resor och transporter med bil och att öka andelen resor och transporter med hållbara färdmedel som kollektivtrafik, cykel och gång. Bostäder ska därmed placeras i lägen som stödjer eller skapar förutsättningar för ett hållbart resande.</w:t>
      </w:r>
    </w:p>
    <w:p>
      <w:r>
        <w:t>Det finns goda förutsättningar att resa hållbart till och från planområdet. Närmsta busshållplats ligger vid Sätrahöjden, cirka 400 meter från planområdet. Buss 12 mellan Gävle Karskär och Gävle Vinbärsvägen (som även passerar centrala Gävle) trafikerar sträckan och har en turtäthet på 30 minuter. Nordväst om planområdet, i anslutning till vändplatsen, är det i dagsläget planlagt för en hållplatsbyggnad. Även möjligheten att ta cykel är god. Längs Tussilagovägen finns en separat gång- och cykelväg och öster och väster om planområdet finns gång- och cykelvägar.</w:t>
      </w:r>
    </w:p>
    <w:p>
      <w:pPr>
        <w:pStyle w:val="P3"/>
      </w:pPr>
      <w:bookmarkEnd w:id="106"/>
      <w:r>
        <w:t>Gång- och cykeltrafik</w:t>
      </w:r>
    </w:p>
    <w:p>
      <w:bookmarkStart w:id="107" w:name="pf_trafik02"/>
      <w:r>
        <w:t>Det finns gång- och cykelvägar i direkt anslutning till planområdet, alla med gatubelysning. Längs med Tussilagovägens södra sida finns en gång- och cykelbana samt väster och öster om planområdet finns gång- och cykelvägar. Dessa leder vidare till busshållplatserna för buss 12.</w:t>
      </w:r>
    </w:p>
    <w:p>
      <w:pPr>
        <w:pStyle w:val="P4"/>
      </w:pPr>
      <w:bookmarkEnd w:id="107"/>
      <w:r>
        <w:t>Planförslag och konsekvenser</w:t>
      </w:r>
    </w:p>
    <w:p>
      <w:bookmarkStart w:id="108" w:name="ko_gångochcykeltrafik03"/>
      <w:r>
        <w:t>Med den föreslagna bebyggelsen kommer ett behov av att som fotgängare och cyklist ta sig till planområdet längs med befintliga gång- och cykelvägar. En mindre andel mark, söder om Tussilagovägen, planläggs som gång- och cykelväg. Användningen stämmer överens med befintlig markanvändning.</w:t>
      </w:r>
    </w:p>
    <w:p>
      <w:r>
        <w:t>Vid läge för ny infart ska servitut för allmännyttig gång- och cykeltrafik upprättas så att allmänheten fortsatt kan använda gång- och cykelbanan.</w:t>
      </w:r>
    </w:p>
    <w:p>
      <w:pPr>
        <w:pStyle w:val="P3"/>
      </w:pPr>
      <w:bookmarkEnd w:id="108"/>
      <w:r>
        <w:t>Gatustruktur, gatumiljö och angöring</w:t>
      </w:r>
    </w:p>
    <w:p>
      <w:bookmarkStart w:id="109" w:name="pf_trafik03"/>
      <w:r>
        <w:t>Planområdet angränsar till Tussilagovägen som är en cirka 6 meter bred gata. Längs med denna finns en asfalterad yta mellan alléträden som leder in mot gång- och cykelvägen.</w:t>
      </w:r>
    </w:p>
    <w:p>
      <w:pPr>
        <w:keepNext w:val="1"/>
        <w:spacing w:after="0" w:beforeAutospacing="0" w:afterAutospacing="0"/>
        <w:rPr>
          <w:i w:val="1"/>
          <w:iCs w:val="1"/>
        </w:rPr>
      </w:pPr>
      <w:r>
        <w:rPr>
          <w:noProof w:val="1"/>
        </w:rPr>
        <w:drawing>
          <wp:inline xmlns:wp="http://schemas.openxmlformats.org/drawingml/2006/wordprocessingDrawing" distT="0" distB="0" distL="0" distR="0">
            <wp:extent cx="4965065" cy="2845435"/>
            <wp:effectExtent l="0" t="0" r="6985" b="0"/>
            <wp:docPr id="7" name="Bildobjekt 7" descr="Ett foto som visar den asfalterade ytan in mot gång- och cykelb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tt foto som visar den asfalterade ytan in mot gång- och cykelbanan."/>
                    <pic:cNvPicPr>
                      <a:picLocks noChangeAspect="1" noChangeArrowheads="1"/>
                    </pic:cNvPicPr>
                  </pic:nvPicPr>
                  <pic:blipFill dpi="0">
                    <a:blip xmlns:r="http://schemas.openxmlformats.org/officeDocument/2006/relationships" r:embed="Relimage14" cstate="print"/>
                    <a:srcRect l="23" r="5305"/>
                    <a:stretch>
                      <a:fillRect/>
                    </a:stretch>
                  </pic:blipFill>
                  <pic:spPr bwMode="auto">
                    <a:xfrm>
                      <a:off x="0" y="0"/>
                      <a:ext cx="4978258" cy="2853033"/>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12</w:t>
      </w:r>
      <w:r>
        <w:rPr>
          <w:noProof w:val="1"/>
        </w:rPr>
        <w:fldChar w:fldCharType="end"/>
      </w:r>
      <w:r>
        <w:t>. Befintlig asfalterad yta in mot gång- och cykelbanan.</w:t>
      </w:r>
      <w:bookmarkEnd w:id="109"/>
    </w:p>
    <w:p>
      <w:pPr>
        <w:pStyle w:val="P4"/>
      </w:pPr>
      <w:r>
        <w:t>Planförslag och konsekvenser</w:t>
      </w:r>
    </w:p>
    <w:p>
      <w:bookmarkStart w:id="110" w:name="ko_trafik01"/>
      <w:r>
        <w:t>Planområdet kan angöras via Tussilagovägen. Utfarter mot andra håll är inte möjlig eftersom det är utfartsförbud mot mark planlagd som natur och park.</w:t>
      </w:r>
    </w:p>
    <w:p>
      <w:r>
        <w:t>Infart blir på den mark som redan idag är asfalterad. Syftet med att infarten planläggs som kvartersmark är att dess placering ska regleras. Detta för att begränsa andelen utfarter som korsar gång- och cykelbanan för att på så vis skapa en säkrare trafikmiljö.</w:t>
      </w:r>
    </w:p>
    <w:p>
      <w:r>
        <w:t>Genom att nyttja den infart som finns kan även alléträden finnas kvar. Eventuell hämtning och lämning sker inom planområdet.</w:t>
      </w:r>
    </w:p>
    <w:p>
      <w:pPr>
        <w:pStyle w:val="P3"/>
      </w:pPr>
      <w:bookmarkEnd w:id="110"/>
      <w:r>
        <w:t>Biltrafik</w:t>
      </w:r>
    </w:p>
    <w:p>
      <w:bookmarkStart w:id="111" w:name="pf_trafik04"/>
      <w:r>
        <w:t>Tussilagovägen är en cirka 6 meter bred gata. Trafiken som färdas längs med gatan har troligtvis sin målpunkt i området då gatan slutar med en vändplan. Det gör att området inte får någon större genomfartstrafik.</w:t>
      </w:r>
    </w:p>
    <w:p>
      <w:pPr>
        <w:pStyle w:val="P4"/>
      </w:pPr>
      <w:bookmarkEnd w:id="111"/>
      <w:r>
        <w:t>Planförslag och konsekvenser</w:t>
      </w:r>
    </w:p>
    <w:p>
      <w:bookmarkStart w:id="112" w:name="ko_motortrafik03"/>
      <w:r>
        <w:t>Ett genomförande av detaljplanen kan innebära en viss ökning av trafiken sett till idag. Ökningen av trafik ska dock jämföras med den trafik som användningen barnstuga kan innebära eftersom det är den användning som gällande detaljplan från 1991 anger. Befintligt vägnät har god kapacitet att klara den ökning av biltrafik som exploateringen förväntas öka med.</w:t>
      </w:r>
    </w:p>
    <w:p>
      <w:pPr>
        <w:pStyle w:val="P3"/>
      </w:pPr>
      <w:bookmarkEnd w:id="112"/>
      <w:r>
        <w:t>Parkering</w:t>
      </w:r>
    </w:p>
    <w:p>
      <w:bookmarkStart w:id="113" w:name="pf_trafik05"/>
      <w:r>
        <w:t>Ingen parkering finns idag inom planområdet, varken för bilar eller cyklar.</w:t>
      </w:r>
    </w:p>
    <w:p>
      <w:pPr>
        <w:pStyle w:val="P4"/>
      </w:pPr>
      <w:bookmarkEnd w:id="113"/>
      <w:r>
        <w:t>Planförslag och konsekvenser</w:t>
      </w:r>
    </w:p>
    <w:p>
      <w:bookmarkStart w:id="114" w:name="ko_gångochcykeltrafik01"/>
      <w:bookmarkStart w:id="115" w:name="ko_motortrafik01"/>
      <w:r>
        <w:t>Parkeringsbehovet skiljer sig åt beroende på vilken typ av bostad eller verksamhet som finns på platsen. Mobilitetsnormen för Gävle kommun (2021) anger hur stor andel parkering som behövs för olika boendetyper.</w:t>
      </w:r>
    </w:p>
    <w:p>
      <w:pPr>
        <w:pStyle w:val="P5"/>
      </w:pPr>
      <w:bookmarkEnd w:id="114"/>
      <w:bookmarkEnd w:id="115"/>
      <w:bookmarkStart w:id="116" w:name="ko_motortrafik02"/>
      <w:r>
        <w:t>Bil</w:t>
      </w:r>
    </w:p>
    <w:p>
      <w:r>
        <w:t>All parkering för bil ska ordnas inom den egna fastigheten och kommunen bedömer att det finns yta att ordna parkering för bil.</w:t>
      </w:r>
    </w:p>
    <w:p>
      <w:r>
        <w:t>Parkering för särskilda boendeformer ska utredas särskilt utifrån uppgifter om typ av boendeform, antal boende och förväntad personaltäthet. Parkeringsbehovet för exempelvis barnboende med fyra barn och fyra medarbetare bedöms vara 4 bilparkeringsplatser, varav en för handikappfordon.</w:t>
      </w:r>
    </w:p>
    <w:p>
      <w:r>
        <w:t>För förskola är parkeringstalet för bil 0,05 per elev och 0,2–0,5 för personal.</w:t>
      </w:r>
    </w:p>
    <w:p>
      <w:r>
        <w:t>För en- och tvåbostadshus ska parkering ordnas på den egna fastigheten.</w:t>
      </w:r>
      <w:bookmarkEnd w:id="116"/>
    </w:p>
    <w:p>
      <w:pPr>
        <w:pStyle w:val="P5"/>
      </w:pPr>
      <w:bookmarkStart w:id="117" w:name="ko_gångochcykeltrafik02"/>
      <w:r>
        <w:t>Cykel</w:t>
      </w:r>
    </w:p>
    <w:p>
      <w:r>
        <w:t>För särskilda boendeformer beror parkeringsbehovet för cykel på verksamhetens behov. Inom detaljplanen finns plats att anordna den parkering som behövs.</w:t>
      </w:r>
    </w:p>
    <w:p>
      <w:r>
        <w:t>För förskola är parkeringstalet för cykel 0,2 per elev och 0,5 för personal, varav 5 % ska vara för platskrävande cyklar.</w:t>
      </w:r>
    </w:p>
    <w:p>
      <w:r>
        <w:t>För en- och tvåbostadshus ska cykelparkering ska ordnas på den egna fastigheten.</w:t>
      </w:r>
    </w:p>
    <w:p>
      <w:r>
        <w:t>Cykelparkeringar ska finnas så nära bostadsentréerna som möjligt.</w:t>
      </w:r>
    </w:p>
    <w:p>
      <w:pPr>
        <w:pStyle w:val="P2"/>
      </w:pPr>
      <w:bookmarkEnd w:id="117"/>
      <w:bookmarkStart w:id="118" w:name="_Toc120175186"/>
      <w:bookmarkStart w:id="119" w:name="_Toc120175247"/>
      <w:r>
        <w:t>Teknisk försörjning</w:t>
      </w:r>
      <w:bookmarkEnd w:id="118"/>
      <w:bookmarkEnd w:id="119"/>
    </w:p>
    <w:p>
      <w:pPr>
        <w:pStyle w:val="P3"/>
      </w:pPr>
      <w:r>
        <w:t>Vatten och avlopp</w:t>
      </w:r>
    </w:p>
    <w:p>
      <w:bookmarkStart w:id="120" w:name="pf_teknik01"/>
      <w:r>
        <w:t>Planområdet ligger inom kommunalt verksamhetsområde för vatten och spillvatten. Befintligt vatten- och avloppsledningsnät finns i direkt anslutning till planområdet med kapacitet för anslutning av ny bebyggelse.</w:t>
      </w:r>
    </w:p>
    <w:p>
      <w:pPr>
        <w:pStyle w:val="P4"/>
        <w:spacing w:before="360" w:beforeAutospacing="0" w:afterAutospacing="0"/>
      </w:pPr>
      <w:bookmarkEnd w:id="120"/>
      <w:r>
        <w:t>Planförslag och konsekvenser</w:t>
      </w:r>
    </w:p>
    <w:p>
      <w:bookmarkStart w:id="121" w:name="ko_teknik02"/>
      <w:r>
        <w:t>Detaljplanen innebär att nya verksamheter/bostäder kan koppla på sig det befintliga vatten- och avloppsledningsnätet. Exploatör behöver vid ett genomförande av detaljplanen skicka in VA-anmälan för att på så vis beställa anslutning till ledningsnätet. Detaljplanen reserverar områden för befintliga underjordiska allmännyttiga ledningar inom kvartersmarken genom markreservat.</w:t>
      </w:r>
    </w:p>
    <w:p>
      <w:r>
        <w:t>Om ledningsägare tvingas vidta undanflyttningsåtgärder för att möjliggöra exploatering ska detta bekostas av den som initierar åtgärden.</w:t>
      </w:r>
    </w:p>
    <w:p>
      <w:pPr>
        <w:pStyle w:val="P3"/>
      </w:pPr>
      <w:bookmarkEnd w:id="121"/>
      <w:r>
        <w:t>El, fiber och uppvärmning</w:t>
      </w:r>
    </w:p>
    <w:p>
      <w:bookmarkStart w:id="122" w:name="pf_teknik02"/>
      <w:r>
        <w:t>Befintligt ledningsnät för el, fiber och fjärrvärme finns i direkt anslutning till planområdet. Befintliga kommunala fjärrvärme- och fiberledningar passerar genom planområdets nordvästra del.</w:t>
      </w:r>
    </w:p>
    <w:p>
      <w:pPr>
        <w:pStyle w:val="P4"/>
      </w:pPr>
      <w:bookmarkEnd w:id="122"/>
      <w:r>
        <w:t>Planförslag och konsekvenser</w:t>
      </w:r>
    </w:p>
    <w:p>
      <w:bookmarkStart w:id="123" w:name="ko_teknik01"/>
      <w:r>
        <w:t>Kapacitet finns för anslutning av ny bebyggelse till befintliga ledningsnät. Detaljplanen reserverar områden för befintliga underjordiska allmännyttiga ledningar inom kvartersmarken genom markreservat. För att trygga dessa ledningar bör ledningshavaren söka ledningsrätt. Tvingas ledningsägare vidta undanflyttningsåtgärder för att möjliggöra exploatering ska detta bekostas av den som initierar åtgärden.</w:t>
      </w:r>
    </w:p>
    <w:p>
      <w:pPr>
        <w:pStyle w:val="P3"/>
      </w:pPr>
      <w:bookmarkEnd w:id="123"/>
      <w:r>
        <w:t>Avfall</w:t>
      </w:r>
    </w:p>
    <w:p>
      <w:bookmarkStart w:id="124" w:name="pf_service02"/>
      <w:r>
        <w:t>Hämtningsfordon åker idag längs med Tussilagovägen. Möjlighet till vändning finns längs med denna.</w:t>
      </w:r>
    </w:p>
    <w:p>
      <w:pPr>
        <w:pStyle w:val="P4"/>
      </w:pPr>
      <w:bookmarkEnd w:id="124"/>
      <w:r>
        <w:t>Planförslag och konsekvenser</w:t>
      </w:r>
    </w:p>
    <w:p>
      <w:bookmarkStart w:id="125" w:name="ko_teknik03"/>
      <w:r>
        <w:t>Tillgång till lämplig avfallshantering ska lösas inom den egna fastigheten.</w:t>
      </w:r>
    </w:p>
    <w:p>
      <w:r>
        <w:t>Genom att planens syfte är att möjliggöra bostäder, förskola och särskilt boende skapas olika förutsättningar gällande avfallshantering kopplat till de olika användningsområdena. Om hämtningsfordon är tänkt att angöra inom planområdet medför det en ökad trafikrisk då frekvent tung trafik kommer att köra inom området.</w:t>
      </w:r>
    </w:p>
    <w:p>
      <w:r>
        <w:t>Av dessa anledningar skall exploatören/byggherren samråda med Gästrike återvinnare om lämplig avfallshantering i tidigt skede.</w:t>
      </w:r>
    </w:p>
    <w:p>
      <w:pPr>
        <w:pStyle w:val="P2"/>
      </w:pPr>
      <w:bookmarkEnd w:id="125"/>
      <w:bookmarkStart w:id="126" w:name="_Toc120175181"/>
      <w:bookmarkStart w:id="127" w:name="_Toc120175242"/>
      <w:bookmarkStart w:id="128" w:name="_Toc120175187"/>
      <w:bookmarkStart w:id="129" w:name="_Toc120175248"/>
      <w:r>
        <w:t>Geotekniska förhållanden och radon</w:t>
      </w:r>
      <w:bookmarkEnd w:id="126"/>
      <w:bookmarkEnd w:id="127"/>
    </w:p>
    <w:p>
      <w:bookmarkStart w:id="130" w:name="pf_geotekniskaförhållanden01"/>
      <w:r>
        <w:t>Marken inom planområdet består av sandig morän och block förekommer. Marken inom planområdet bedöms inte känslig för ras, skred eller erosion.</w:t>
      </w:r>
    </w:p>
    <w:p>
      <w:r>
        <w:t xml:space="preserve">Enstaka lågpunkter finns längs södra plangränsen och i södra delen av planområdet (se </w:t>
      </w:r>
      <w:r>
        <w:fldChar w:fldCharType="begin"/>
      </w:r>
      <w:r>
        <w:instrText xml:space="preserve"> REF _Ref144467234  \* MERGEFORMAT </w:instrText>
      </w:r>
      <w:r>
        <w:fldChar w:fldCharType="separate"/>
      </w:r>
      <w:r>
        <w:rPr>
          <w:i w:val="1"/>
          <w:iCs w:val="1"/>
        </w:rPr>
        <w:t xml:space="preserve">Figur </w:t>
      </w:r>
      <w:r>
        <w:rPr>
          <w:i w:val="1"/>
          <w:iCs w:val="1"/>
          <w:noProof w:val="1"/>
        </w:rPr>
        <w:t>14</w:t>
      </w:r>
      <w:r>
        <w:rPr>
          <w:i w:val="1"/>
          <w:iCs w:val="1"/>
          <w:noProof w:val="1"/>
        </w:rPr>
        <w:fldChar w:fldCharType="end"/>
      </w:r>
      <w:r>
        <w:t xml:space="preserve"> i avsnitt Dagvatten). Enligt äldre geotekniska undersökningar från omkringliggande mark kan inslag av torv förekomma i lågpunkter, vilket kan innebära sättningsrisk.</w:t>
      </w:r>
    </w:p>
    <w:p>
      <w:r>
        <w:t>Fastigheten ligger inte inom högriskområde för markradon.</w:t>
      </w:r>
    </w:p>
    <w:p>
      <w:pPr>
        <w:pStyle w:val="P4"/>
      </w:pPr>
      <w:bookmarkEnd w:id="130"/>
      <w:r>
        <w:t>Planförslag och konsekvenser</w:t>
      </w:r>
    </w:p>
    <w:p>
      <w:bookmarkStart w:id="131" w:name="ko_hälsaochsäkerhet01"/>
      <w:r>
        <w:t>De geotekniska förhållandena bedöms goda inom planområdet.</w:t>
      </w:r>
    </w:p>
    <w:p>
      <w:bookmarkEnd w:id="131"/>
      <w:bookmarkStart w:id="132" w:name="ko_ras01"/>
      <w:r>
        <w:t xml:space="preserve">Vid eventuell utfyllnad av mark i lågpunkter behöver sättningsrisk beaktas, då torv kan förekomma i lågpunkter. </w:t>
      </w:r>
      <w:bookmarkEnd w:id="132"/>
      <w:bookmarkStart w:id="133" w:name="ko_hydrologi01"/>
      <w:r>
        <w:t>Lågpunkter i södra delen av kvartersmarken och planområdet behöver bevaras för att möjliggöra naturlig fördröjning av ytavrinnande vatten vid nederbörd (se vidare avsnitt Dagvatten).</w:t>
      </w:r>
      <w:bookmarkEnd w:id="133"/>
    </w:p>
    <w:p>
      <w:bookmarkStart w:id="134" w:name="ko_hälsaochsäkerhet02"/>
      <w:r>
        <w:t>Enligt kommunens översiktsplan ska byggnader där människor vistas stadigvarande alltid byggas radonskyddat.</w:t>
      </w:r>
    </w:p>
    <w:p>
      <w:pPr>
        <w:pStyle w:val="P2"/>
      </w:pPr>
      <w:bookmarkEnd w:id="134"/>
      <w:bookmarkStart w:id="135" w:name="_Toc120175182"/>
      <w:bookmarkStart w:id="136" w:name="_Toc120175243"/>
      <w:r>
        <w:t>Hydrologiska förhållanden</w:t>
      </w:r>
      <w:bookmarkEnd w:id="135"/>
      <w:bookmarkEnd w:id="136"/>
    </w:p>
    <w:p>
      <w:bookmarkStart w:id="137" w:name="pf_hydrologiskaförhållanden01"/>
      <w:r>
        <w:t>Planområdet ligger inom avrinningsområdet för Tickselbäcken-Bäckebrobäcken, som avrinner från våtmarksområdet Tickselmuren nordväst om E4. Bäcken rinner norrifrån och söderut igenom Sätra, och mynnar i Gavleån vid sjukhuset.</w:t>
      </w:r>
    </w:p>
    <w:p>
      <w:r>
        <w:t>Bäckebrobäcken utgör vattenförekomst enligt vattenförvaltningen om omfattas av miljökvalitetsnormer (Vatten-ID WA33522262, EU_CD SE673321-156940), se vidare avsnitt Miljökvalitetsnormer.</w:t>
      </w:r>
    </w:p>
    <w:p>
      <w:r>
        <w:t xml:space="preserve">Planområdet är lätt kuperat och flera höjd- och lågpunkter förekommer (se </w:t>
      </w:r>
      <w:r>
        <w:fldChar w:fldCharType="begin"/>
      </w:r>
      <w:r>
        <w:instrText xml:space="preserve"> REF _Ref144467039  \* MERGEFORMAT </w:instrText>
      </w:r>
      <w:r>
        <w:fldChar w:fldCharType="separate"/>
      </w:r>
      <w:r>
        <w:t xml:space="preserve">Figur </w:t>
      </w:r>
      <w:r>
        <w:rPr>
          <w:noProof w:val="1"/>
        </w:rPr>
        <w:t>13</w:t>
      </w:r>
      <w:r>
        <w:rPr>
          <w:i w:val="1"/>
          <w:iCs w:val="1"/>
          <w:noProof w:val="1"/>
        </w:rPr>
        <w:fldChar w:fldCharType="end"/>
      </w:r>
      <w:r>
        <w:t>). Stråket av höjdpunkter bildar en vattendelare som skapar två mindre avrinningsområden, där norra delen av planområdet avvattnas norrut mot Tussilagovägen och södra delen av planområdet avvattnas söderut mot lokala lågpunkter i naturmark. Det sker väldigt lite tillrinning in i planområdet från omkringliggande gator och kvarter (Tyréns 2023).</w:t>
      </w:r>
    </w:p>
    <w:p>
      <w:r>
        <w:t>Inga utpekade grundvattenförekomster finns vid planområdet. Grundvatten förekommer i moränen. Äldre geoteknisk undersökning från omkringliggande mark tyder på att det i lågpunkter förekommer ytligt grundvatten nära markytan.</w:t>
      </w:r>
    </w:p>
    <w:p>
      <w:pPr>
        <w:pStyle w:val="P4"/>
      </w:pPr>
      <w:bookmarkEnd w:id="137"/>
      <w:r>
        <w:t>Planförslag och konsekvenser</w:t>
      </w:r>
    </w:p>
    <w:p>
      <w:bookmarkStart w:id="138" w:name="ko_hydrologi02"/>
      <w:r>
        <w:t>De hydrologiska förhållandena påverkas inte av planens genomförande. Avrinningsriktningarna föreslås bevaras vid planens genomförande så att avrinning från norra delen sker mot Tussilagovägen, och från södra delen sker mot lågpunkter i naturmark söderut.</w:t>
      </w:r>
    </w:p>
    <w:p>
      <w:r>
        <w:t>Lågpunkter i södra delen av planområdet behöver bevaras för att möjliggöra naturlig fördröjning av ytavrinnande vatten vid nederbörd (se vidare avsnitt Dagvatten samt Översvämning och skyfall).</w:t>
      </w:r>
    </w:p>
    <w:p>
      <w:pPr>
        <w:spacing w:after="0" w:beforeAutospacing="0" w:afterAutospacing="0"/>
        <w:rPr>
          <w:noProof w:val="1"/>
        </w:rPr>
      </w:pPr>
      <w:r>
        <w:rPr>
          <w:noProof w:val="1"/>
        </w:rPr>
        <w:drawing>
          <wp:inline xmlns:wp="http://schemas.openxmlformats.org/drawingml/2006/wordprocessingDrawing" distT="0" distB="0" distL="0" distR="0">
            <wp:extent cx="4259580" cy="2990215"/>
            <wp:effectExtent l="0" t="0" r="7620" b="635"/>
            <wp:docPr id="1" name="Bildobjekt 1" descr="Bild som visar höjdkarta och avrinningsriktningar inom planområdet. Bilden är hämtad från dagvattenutredningen utförd av Tyré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Bild som visar höjdkarta och avrinningsriktningar inom planområdet. Bilden är hämtad från dagvattenutredningen utförd av Tyréns."/>
                    <pic:cNvPicPr/>
                  </pic:nvPicPr>
                  <pic:blipFill dpi="0">
                    <a:blip xmlns:r="http://schemas.openxmlformats.org/officeDocument/2006/relationships" r:embed="Relimage16"/>
                    <a:srcRect/>
                    <a:stretch>
                      <a:fillRect/>
                    </a:stretch>
                  </pic:blipFill>
                  <pic:spPr>
                    <a:xfrm>
                      <a:off x="0" y="0"/>
                      <a:ext cx="4271721" cy="2998963"/>
                    </a:xfrm>
                    <a:prstGeom prst="rect"/>
                  </pic:spPr>
                </pic:pic>
              </a:graphicData>
            </a:graphic>
          </wp:inline>
        </w:drawing>
      </w:r>
    </w:p>
    <w:p>
      <w:pPr>
        <w:pStyle w:val="P25"/>
        <w:rPr>
          <w:i w:val="0"/>
          <w:iCs w:val="0"/>
        </w:rPr>
      </w:pPr>
      <w:bookmarkStart w:id="139" w:name="_Ref144467039"/>
      <w:r>
        <w:t>Figur</w:t>
      </w:r>
      <w:r>
        <w:rPr>
          <w:i w:val="0"/>
          <w:iCs w:val="0"/>
        </w:rPr>
        <w:t xml:space="preserve"> </w:t>
      </w:r>
      <w:r>
        <w:fldChar w:fldCharType="begin"/>
      </w:r>
      <w:r>
        <w:instrText xml:space="preserve"> SEQ Figur \* ARABIC </w:instrText>
      </w:r>
      <w:r>
        <w:fldChar w:fldCharType="separate"/>
      </w:r>
      <w:r>
        <w:rPr>
          <w:noProof w:val="1"/>
        </w:rPr>
        <w:t>13</w:t>
      </w:r>
      <w:r>
        <w:rPr>
          <w:noProof w:val="1"/>
        </w:rPr>
        <w:fldChar w:fldCharType="end"/>
      </w:r>
      <w:bookmarkEnd w:id="139"/>
      <w:r>
        <w:t xml:space="preserve">. </w:t>
      </w:r>
      <w:r>
        <w:rPr>
          <w:rStyle w:val="C17"/>
          <w:i w:val="1"/>
          <w:iCs w:val="1"/>
        </w:rPr>
        <w:t xml:space="preserve">Höjdkarta i höjdsystem RH2000 med färgindikation och höjdkonturer över planområdet. Röda pilar visar rinnvägar. (Bild hämtad från </w:t>
      </w:r>
      <w:r>
        <w:rPr>
          <w:rStyle w:val="C17"/>
          <w:i w:val="1"/>
        </w:rPr>
        <w:t>Tyréns 2023</w:t>
      </w:r>
      <w:r>
        <w:rPr>
          <w:rStyle w:val="C17"/>
          <w:i w:val="1"/>
          <w:iCs w:val="1"/>
        </w:rPr>
        <w:t>, bildkälla Scalgo Live/Lantmäteriet).</w:t>
      </w:r>
      <w:bookmarkEnd w:id="138"/>
    </w:p>
    <w:p>
      <w:pPr>
        <w:pStyle w:val="P2"/>
      </w:pPr>
      <w:r>
        <w:t>Dagvatten</w:t>
      </w:r>
      <w:bookmarkEnd w:id="128"/>
      <w:bookmarkEnd w:id="129"/>
    </w:p>
    <w:p>
      <w:bookmarkStart w:id="140" w:name="pf_dagvatten01"/>
      <w:r>
        <w:t>Planområdet ingår i kommunalt verksamhetsområde för dagvatten. Allmän dagvattenledning finns i gatan för omkringliggande bostadsområde, från vilket dagvattnet leds till Bäckebrobäcken. Fastigheten är inte ansluten till dagvattennätet idag då den hittills har varit obebyggd, men möjlighet till anslutningspunkt finns längs Tussilagovägen. Enligt uppgift från VA-huvudmannen bedöms det allmänna dagvattennätet ha kapacitet att ta emot dagvatten från planområdet.</w:t>
      </w:r>
    </w:p>
    <w:p>
      <w:r>
        <w:t xml:space="preserve">Planområdet utgörs idag av oexploaterad naturmark. Lågpunkter finns i södra delen av planområdet, se </w:t>
      </w:r>
      <w:r>
        <w:fldChar w:fldCharType="begin"/>
      </w:r>
      <w:r>
        <w:instrText xml:space="preserve"> REF _Ref144467234  \* MERGEFORMAT </w:instrText>
      </w:r>
      <w:r>
        <w:fldChar w:fldCharType="separate"/>
      </w:r>
      <w:r>
        <w:t xml:space="preserve">Figur </w:t>
      </w:r>
      <w:r>
        <w:rPr>
          <w:noProof w:val="1"/>
        </w:rPr>
        <w:t>14</w:t>
      </w:r>
      <w:r>
        <w:rPr>
          <w:i w:val="1"/>
          <w:iCs w:val="1"/>
          <w:noProof w:val="1"/>
        </w:rPr>
        <w:fldChar w:fldCharType="end"/>
      </w:r>
      <w:r>
        <w:t xml:space="preserve"> som visar SMHI:s lågpunktskartering från 2016.</w:t>
      </w:r>
    </w:p>
    <w:p>
      <w:r>
        <w:t>Diken finns längs med gång- och cykelvägarna öster och väster om planområdet.</w:t>
      </w:r>
    </w:p>
    <w:p>
      <w:pPr>
        <w:spacing w:after="0" w:beforeAutospacing="0" w:afterAutospacing="0"/>
      </w:pPr>
      <w:r>
        <w:rPr>
          <w:noProof w:val="1"/>
        </w:rPr>
        <w:drawing>
          <wp:inline xmlns:wp="http://schemas.openxmlformats.org/drawingml/2006/wordprocessingDrawing" distT="0" distB="0" distL="0" distR="0">
            <wp:extent cx="3416935" cy="2943225"/>
            <wp:effectExtent l="0" t="0" r="0" b="0"/>
            <wp:docPr id="26" name="Bildobjekt 26" descr="Bild som visar lågpunkter och flödesvägar för ytavrinnande vatten enligt lågpunktskartering utförd av SM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descr="Bild som visar lågpunkter och flödesvägar för ytavrinnande vatten enligt lågpunktskartering utförd av SMHI."/>
                    <pic:cNvPicPr/>
                  </pic:nvPicPr>
                  <pic:blipFill dpi="0">
                    <a:blip xmlns:r="http://schemas.openxmlformats.org/officeDocument/2006/relationships" r:embed="Relimage17"/>
                    <a:srcRect/>
                    <a:stretch>
                      <a:fillRect/>
                    </a:stretch>
                  </pic:blipFill>
                  <pic:spPr>
                    <a:xfrm>
                      <a:off x="0" y="0"/>
                      <a:ext cx="3420146" cy="2945878"/>
                    </a:xfrm>
                    <a:prstGeom prst="rect"/>
                  </pic:spPr>
                </pic:pic>
              </a:graphicData>
            </a:graphic>
          </wp:inline>
        </w:drawing>
      </w:r>
      <w:r>
        <w:rPr>
          <w:noProof w:val="1"/>
        </w:rPr>
        <w:t xml:space="preserve"> </w:t>
      </w:r>
      <w:r>
        <w:rPr>
          <w:noProof w:val="1"/>
        </w:rPr>
        <w:drawing>
          <wp:inline xmlns:wp="http://schemas.openxmlformats.org/drawingml/2006/wordprocessingDrawing" distT="0" distB="0" distL="0" distR="0">
            <wp:extent cx="1868170" cy="892810"/>
            <wp:effectExtent l="0" t="0" r="0" b="254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dpi="0">
                    <a:blip xmlns:r="http://schemas.openxmlformats.org/officeDocument/2006/relationships" r:embed="Relimage18"/>
                    <a:srcRect/>
                    <a:stretch>
                      <a:fillRect/>
                    </a:stretch>
                  </pic:blipFill>
                  <pic:spPr>
                    <a:xfrm>
                      <a:off x="0" y="0"/>
                      <a:ext cx="1877973" cy="897385"/>
                    </a:xfrm>
                    <a:prstGeom prst="rect"/>
                  </pic:spPr>
                </pic:pic>
              </a:graphicData>
            </a:graphic>
          </wp:inline>
        </w:drawing>
      </w:r>
    </w:p>
    <w:p>
      <w:pPr>
        <w:pStyle w:val="P25"/>
      </w:pPr>
      <w:bookmarkStart w:id="141" w:name="_Ref144467234"/>
      <w:r>
        <w:t xml:space="preserve">Figur </w:t>
      </w:r>
      <w:r>
        <w:fldChar w:fldCharType="begin"/>
      </w:r>
      <w:r>
        <w:instrText xml:space="preserve"> SEQ Figur \* ARABIC </w:instrText>
      </w:r>
      <w:r>
        <w:fldChar w:fldCharType="separate"/>
      </w:r>
      <w:r>
        <w:rPr>
          <w:noProof w:val="1"/>
        </w:rPr>
        <w:t>14</w:t>
      </w:r>
      <w:r>
        <w:rPr>
          <w:noProof w:val="1"/>
        </w:rPr>
        <w:fldChar w:fldCharType="end"/>
      </w:r>
      <w:bookmarkEnd w:id="141"/>
      <w:r>
        <w:t xml:space="preserve">. </w:t>
      </w:r>
      <w:r>
        <w:rPr>
          <w:rStyle w:val="C17"/>
          <w:i w:val="1"/>
          <w:iCs w:val="1"/>
        </w:rPr>
        <w:t>Lågpunkter och flödesvägar för ytavrinning enligt SMHI:s lågpunktskartering från 2016 (Länsstyrelsen Gävleborgs rapport 2016:11).</w:t>
      </w:r>
      <w:bookmarkEnd w:id="140"/>
    </w:p>
    <w:p>
      <w:pPr>
        <w:pStyle w:val="P4"/>
      </w:pPr>
      <w:r>
        <w:t>Planförslag och konsekvenser</w:t>
      </w:r>
    </w:p>
    <w:p>
      <w:bookmarkStart w:id="142" w:name="ko_dagvatten01"/>
      <w:r>
        <w:t>Dagvattenutredning har tagits fram för planområdet (Tyréns 2023). Dagvatten kommer att uppkomma från hustak och hårdgjorda ytor som parkering och vägar. Dagvattenflödet kommer att öka efter exploatering, även om stor andel naturmark också bevaras inom planområdet. Rening av dagvatten från trafikerade ytor bör ske inom fastigheten, vilka troligen kommer att avledas norrut.</w:t>
      </w:r>
    </w:p>
    <w:p>
      <w:r>
        <w:t>En höjdrygg över fastigheten fungerar som en vattendelare och delar planområdet i två ytor. Höjdryggen föreslås bevaras efter planens genomförande, så att dagvattenavledning kommer att ske åt två håll från fastigheten.</w:t>
      </w:r>
    </w:p>
    <w:p>
      <w:r>
        <w:t>Dagvatten från norra delen av planområdet föreslås anslutas till befintligt dagvattenledningsnät i Tussilagovägen, som leds mot Bäckebrobäcken (Tyréns 2023). Dagvattennätet bedöms ha kapacitet att ta emot dagvatten från planområdet, varför rening snarare än fördröjning bör ske av dagvatten från de ytor som avleds till allmänna dagvattennätet. Upplysning om rening av trafikpåverkat dagvatten finns på plankartan.</w:t>
      </w:r>
    </w:p>
    <w:p>
      <w:r>
        <w:t>Troligen kommer huvuddelen av hårdgjorda ytor att lokaliseras i den norra delen av planområdet, framför allt asfalterade och trafikerade ytor då infart från gata kommer att ske norrifrån. Dagvattenutredningen föreslår en principlösning för dagvattenhantering där rening och ytlig fördröjning av dagvatten anläggs i vegetationsbaserade lösningar i norra och nordöstra delen av fastigheten, förslagsvis genom växtbäddar (</w:t>
      </w:r>
      <w:r>
        <w:fldChar w:fldCharType="begin"/>
      </w:r>
      <w:r>
        <w:instrText xml:space="preserve"> REF _Ref144471233  \* MERGEFORMAT </w:instrText>
      </w:r>
      <w:r>
        <w:fldChar w:fldCharType="separate"/>
      </w:r>
      <w:r>
        <w:rPr>
          <w:i w:val="1"/>
          <w:iCs w:val="1"/>
        </w:rPr>
        <w:t xml:space="preserve">Figur </w:t>
      </w:r>
      <w:r>
        <w:rPr>
          <w:i w:val="1"/>
          <w:iCs w:val="1"/>
          <w:noProof w:val="1"/>
        </w:rPr>
        <w:t>15</w:t>
      </w:r>
      <w:r>
        <w:rPr>
          <w:i w:val="1"/>
          <w:iCs w:val="1"/>
          <w:noProof w:val="1"/>
        </w:rPr>
        <w:fldChar w:fldCharType="end"/>
      </w:r>
      <w:r>
        <w:t>). Därefter ansluts dagvattnet norrut till det allmänna dagvattenledningsnätet.</w:t>
      </w:r>
    </w:p>
    <w:p>
      <w:pPr>
        <w:spacing w:after="0" w:beforeAutospacing="0" w:afterAutospacing="0"/>
        <w:rPr>
          <w:noProof w:val="1"/>
        </w:rPr>
      </w:pPr>
      <w:r>
        <w:rPr>
          <w:noProof w:val="1"/>
        </w:rPr>
        <w:drawing>
          <wp:inline xmlns:wp="http://schemas.openxmlformats.org/drawingml/2006/wordprocessingDrawing" distT="0" distB="0" distL="0" distR="0">
            <wp:extent cx="4683125" cy="2585720"/>
            <wp:effectExtent l="0" t="0" r="3175" b="5080"/>
            <wp:docPr id="5" name="Bildobjekt 5" descr="Bild som visar principlösning för dagvattenhantering i planområdet, där växtbäddar föreslås för rening och fördröjning i norra och nordöstra delen. Bilden är hämtad från dagvattenutredningen utförd av Tyré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Bild som visar principlösning för dagvattenhantering i planområdet, där växtbäddar föreslås för rening och fördröjning i norra och nordöstra delen. Bilden är hämtad från dagvattenutredningen utförd av Tyréns."/>
                    <pic:cNvPicPr/>
                  </pic:nvPicPr>
                  <pic:blipFill dpi="0">
                    <a:blip xmlns:r="http://schemas.openxmlformats.org/officeDocument/2006/relationships" r:embed="Relimage19"/>
                    <a:srcRect/>
                    <a:stretch>
                      <a:fillRect/>
                    </a:stretch>
                  </pic:blipFill>
                  <pic:spPr>
                    <a:xfrm>
                      <a:off x="0" y="0"/>
                      <a:ext cx="4696740" cy="2593249"/>
                    </a:xfrm>
                    <a:prstGeom prst="rect"/>
                  </pic:spPr>
                </pic:pic>
              </a:graphicData>
            </a:graphic>
          </wp:inline>
        </w:drawing>
      </w:r>
    </w:p>
    <w:p>
      <w:pPr>
        <w:pStyle w:val="P25"/>
      </w:pPr>
      <w:bookmarkStart w:id="143" w:name="_Ref144471233"/>
      <w:r>
        <w:t xml:space="preserve">Figur </w:t>
      </w:r>
      <w:r>
        <w:fldChar w:fldCharType="begin"/>
      </w:r>
      <w:r>
        <w:instrText xml:space="preserve"> SEQ Figur \* ARABIC </w:instrText>
      </w:r>
      <w:r>
        <w:fldChar w:fldCharType="separate"/>
      </w:r>
      <w:r>
        <w:rPr>
          <w:noProof w:val="1"/>
        </w:rPr>
        <w:t>15</w:t>
      </w:r>
      <w:r>
        <w:rPr>
          <w:noProof w:val="1"/>
        </w:rPr>
        <w:fldChar w:fldCharType="end"/>
      </w:r>
      <w:bookmarkEnd w:id="143"/>
      <w:r>
        <w:t xml:space="preserve">. </w:t>
      </w:r>
      <w:r>
        <w:rPr>
          <w:rStyle w:val="C17"/>
          <w:i w:val="1"/>
          <w:iCs w:val="1"/>
        </w:rPr>
        <w:t>Förslag till principlösning för rening och fördröjning av dagvatten i växtbäddar (grön markering) inom kvartersmark, innan avledning till dagvattenledningsnät i gata (Tyréns 2023).</w:t>
      </w:r>
      <w:bookmarkStart w:id="144" w:name="_Toc120175188"/>
      <w:bookmarkStart w:id="145" w:name="_Toc120175249"/>
    </w:p>
    <w:p>
      <w:r>
        <w:t>För avrinning söderut behöver lågpunkter i södra delen av planområdet bevaras för att möjliggöra naturlig fördröjning av ytavrinnande vatten vid nederbörd. Alternativt behöver fördröjning säkerställas genom annan lokal dagvattenhantering, helst öppna vegetationsbaserade lösningar som ger beredskap även för större regn.</w:t>
      </w:r>
    </w:p>
    <w:p>
      <w:r>
        <w:t>Planbestämmelse reglerar att fördröjning av dagvatten ska ske inom kvartersmarken i södra delen av planområdet. Fördröjning ska som minst ske av ett dimensionerande 10-årsregn, men större fördröjningsvolym är positivt för dagvattenhanteringen (Tyréns 2023). I dagsläget har befintlig lågpunkt inom kvartersmarken en volym på cirka 75 kubikmeter enligt Scalgo Live, och behöver som minst ha en fördröjningsvolym på 10 kubikmeter för att fördröja ett dimensionerande 10-årsregn enligt beräkningar i dagvattenutredningen. Uppdaterade beräkningar krävs i senare skede när utformningen inom planområdet bestäms.</w:t>
      </w:r>
    </w:p>
    <w:p>
      <w:r>
        <w:t>Korsmark gör att den södra delen av kvartersmarken i huvudsak kommer att utgöras av tomtmark (gårdsmiljö) som kan anpassas utifrån lågpunkten. Enligt dagvattenutredningen bedöms det inte nödvändigt att ansluta lågpunkten till dagvattennätet då det stående vattnet med tiden kommer att kunna infiltrera och avdunsta (Tyréns 2023).</w:t>
      </w:r>
    </w:p>
    <w:p>
      <w:pPr>
        <w:pStyle w:val="P2"/>
      </w:pPr>
      <w:bookmarkEnd w:id="142"/>
      <w:r>
        <w:t>Störningar, hälsa och säkerhet</w:t>
      </w:r>
      <w:bookmarkEnd w:id="144"/>
      <w:bookmarkEnd w:id="145"/>
    </w:p>
    <w:p>
      <w:pPr>
        <w:pStyle w:val="P3"/>
      </w:pPr>
      <w:r>
        <w:t>Buller och vibrationer</w:t>
      </w:r>
    </w:p>
    <w:p>
      <w:bookmarkStart w:id="146" w:name="pf_omgivningsbuller01"/>
      <w:r>
        <w:t>Planområdet nås idag av buller från främst Tussilagovägen. Enligt kommunens bullerkartläggning från 2017 beräknas ekvivalenta bullernivåer från trafik ligga mellan 45-50 dBA i den norra delen av planområdet, och mellan 40-45 dBA i den södra delen. Bullerkartläggningens ekvivalenta värden överensstämmer med översiktlig beräkning av ekvivalenta ljudnivåer enligt Boverkets och SKR:s vägledning om vägtrafikbuller, utifrån kommunens senaste uppgifter från trafikmätning.</w:t>
      </w:r>
      <w:r>
        <w:rPr>
          <w:rFonts w:ascii="Georgia" w:hAnsi="Georgia" w:cs="Georgia"/>
          <w:sz w:val="20"/>
        </w:rPr>
        <w:t xml:space="preserve"> </w:t>
      </w:r>
      <w:r>
        <w:t>Enligt kommunens bullerkartläggning beräknas maximala bullernivåer vara under 65 dBA längs plangränsen mot gatan i norr och avtar gradvis till under 50 dBA i södra delen av planområdet.</w:t>
      </w:r>
    </w:p>
    <w:p>
      <w:r>
        <w:t>Marken inom planområdet bedöms inte vara vibrationskänslig, då den i huvudsak utgörs av morän. Inga påverkanskällor för vibrationer har identifierats i närområdet.</w:t>
      </w:r>
    </w:p>
    <w:p>
      <w:pPr>
        <w:pStyle w:val="P4"/>
      </w:pPr>
      <w:bookmarkEnd w:id="146"/>
      <w:r>
        <w:t>Planförslag och konsekvenser</w:t>
      </w:r>
    </w:p>
    <w:p>
      <w:bookmarkStart w:id="147" w:name="ko_beräkningavomgivningsbuller01"/>
      <w:r>
        <w:t>Andelen trafik som planområdet bedöms alstra är begränsad och därmed förväntas ingen påtaglig förändring av bullernivåerna. Riktvärden enligt förordningen (2015:216) om trafikbuller vid bostadsbyggande bedöms kunna klaras inom planområdet. Trafikbuller bedöms inte påverka eller begränsa möjligheten att anlägga bostäder inom planområdet.</w:t>
      </w:r>
    </w:p>
    <w:p>
      <w:pPr>
        <w:pStyle w:val="P3"/>
      </w:pPr>
      <w:bookmarkEnd w:id="147"/>
      <w:r>
        <w:t>Luftkvalitet</w:t>
      </w:r>
    </w:p>
    <w:p>
      <w:bookmarkStart w:id="148" w:name="pf_luftkvalitet01"/>
      <w:r>
        <w:t>Halterna av luftföroreningar är låga vid planområdet. Enligt luftvårdsförbundets beräkningar från 2020 ligger års- respektive dygnsmedelhalten av partiklar (PM10) på 8–10 mikrogram per kubikmeter (μg/m</w:t>
      </w:r>
      <w:r>
        <w:rPr>
          <w:vertAlign w:val="superscript"/>
        </w:rPr>
        <w:t>3</w:t>
      </w:r>
      <w:r>
        <w:t>) respektive 16-18 μg/m</w:t>
      </w:r>
      <w:r>
        <w:rPr>
          <w:vertAlign w:val="superscript"/>
        </w:rPr>
        <w:t>3</w:t>
      </w:r>
      <w:r>
        <w:t>. Års-, dygns- respektive timmedelhalten av kvävedioxid ligger på 3-5 μg/m</w:t>
      </w:r>
      <w:r>
        <w:rPr>
          <w:vertAlign w:val="superscript"/>
        </w:rPr>
        <w:t>3</w:t>
      </w:r>
      <w:r>
        <w:t>, 12-15 μg/m</w:t>
      </w:r>
      <w:r>
        <w:rPr>
          <w:vertAlign w:val="superscript"/>
        </w:rPr>
        <w:t>3</w:t>
      </w:r>
      <w:r>
        <w:t>, respektive 10-20 μg/m</w:t>
      </w:r>
      <w:r>
        <w:rPr>
          <w:vertAlign w:val="superscript"/>
        </w:rPr>
        <w:t>3</w:t>
      </w:r>
      <w:r>
        <w:t>.</w:t>
      </w:r>
    </w:p>
    <w:p>
      <w:pPr>
        <w:pStyle w:val="P4"/>
      </w:pPr>
      <w:bookmarkEnd w:id="148"/>
      <w:r>
        <w:t>Planförslag och konsekvenser</w:t>
      </w:r>
    </w:p>
    <w:p>
      <w:bookmarkStart w:id="149" w:name="ko_luftkvalitet01"/>
      <w:r>
        <w:t>Detaljplanens genomförande leder inte till någon nämnvärd förändring av trafikmängder i området och därmed förväntas ingen påtaglig förändring av luftkvaliteten.</w:t>
      </w:r>
    </w:p>
    <w:p>
      <w:pPr>
        <w:pStyle w:val="P3"/>
      </w:pPr>
      <w:bookmarkEnd w:id="149"/>
      <w:r>
        <w:t>Föroreningar</w:t>
      </w:r>
    </w:p>
    <w:p>
      <w:bookmarkStart w:id="150" w:name="pf_föroreningar01"/>
      <w:r>
        <w:t>Kommunen har inga uppgifter om miljöfarlig verksamhet eller förekomst av föroreningar inom planområdet.</w:t>
      </w:r>
    </w:p>
    <w:p>
      <w:pPr>
        <w:pStyle w:val="P4"/>
      </w:pPr>
      <w:bookmarkEnd w:id="150"/>
      <w:r>
        <w:t>Planförslag och konsekvenser</w:t>
      </w:r>
    </w:p>
    <w:p>
      <w:bookmarkStart w:id="151" w:name="ko_föroreningar01"/>
      <w:r>
        <w:t>Planområdet bedöms inte påverkas av föroreningar. Viss tillkommande trafik till planområdet ger ett visst tillskott av föroreningar, vilket föreslås hanteras genom dagvattenrening inom fastigheten (se avsnitt Dagvatten).</w:t>
      </w:r>
    </w:p>
    <w:p>
      <w:pPr>
        <w:pStyle w:val="P3"/>
      </w:pPr>
      <w:bookmarkEnd w:id="151"/>
      <w:r>
        <w:t>Översvämning och skyfall</w:t>
      </w:r>
    </w:p>
    <w:p>
      <w:bookmarkStart w:id="152" w:name="pf_riskföröversvämning01"/>
      <w:r>
        <w:t>Översvämningsrisker inom och i anslutning till planområdet har belysts i dagvattenutredningen (Tyréns 2023).</w:t>
      </w:r>
    </w:p>
    <w:p>
      <w:r>
        <w:t>Vatten ansamlas i befintliga lågpunkter vid större regn och avvattnas vidare söderut mot lekparken när vattenytan i lågpunkten når en nivå på cirka +32,3 meter (i höjdsystem RH2000). Området runt lekparken har relativt stor lagringskapacitet i lågpunkter att fördröja kraftiga regn (</w:t>
      </w:r>
      <w:r>
        <w:fldChar w:fldCharType="begin"/>
      </w:r>
      <w:r>
        <w:instrText xml:space="preserve"> REF _Ref144474650  \* MERGEFORMAT </w:instrText>
      </w:r>
      <w:r>
        <w:fldChar w:fldCharType="separate"/>
      </w:r>
      <w:r>
        <w:t xml:space="preserve">Figur </w:t>
      </w:r>
      <w:r>
        <w:rPr>
          <w:noProof w:val="1"/>
        </w:rPr>
        <w:t>16</w:t>
      </w:r>
      <w:r>
        <w:rPr>
          <w:i w:val="1"/>
          <w:iCs w:val="1"/>
          <w:noProof w:val="1"/>
        </w:rPr>
        <w:fldChar w:fldCharType="end"/>
      </w:r>
      <w:r>
        <w:rPr>
          <w:noProof w:val="1"/>
        </w:rPr>
        <w:t xml:space="preserve">). Från lågpunkerna avrinner vattnet norrut längs gata och vidare till Bäckebrobäcken </w:t>
      </w:r>
      <w:r>
        <w:t>(Tyréns 2023).</w:t>
      </w:r>
    </w:p>
    <w:p>
      <w:r>
        <w:t>Närliggande vattendrag riskerar inte att översvämma planområdet.</w:t>
      </w:r>
    </w:p>
    <w:p>
      <w:pPr>
        <w:spacing w:after="0" w:beforeAutospacing="0" w:afterAutospacing="0"/>
        <w:rPr>
          <w:noProof w:val="1"/>
        </w:rPr>
      </w:pPr>
      <w:r>
        <w:rPr>
          <w:noProof w:val="1"/>
        </w:rPr>
        <w:drawing>
          <wp:inline xmlns:wp="http://schemas.openxmlformats.org/drawingml/2006/wordprocessingDrawing" distT="0" distB="0" distL="0" distR="0">
            <wp:extent cx="3816350" cy="2591435"/>
            <wp:effectExtent l="0" t="0" r="0" b="0"/>
            <wp:docPr id="4" name="Bildobjekt 4" descr="Bilden visar karta med markytor som får stående vatten vid en regnhändelse med 150 mm nederbörd. Analysen är gjord i Scalgo Live och bilden är hämtad från dagvattenutredningen till detaljplanen utförd av Tyré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Bilden visar karta med markytor som får stående vatten vid en regnhändelse med 150 mm nederbörd. Analysen är gjord i Scalgo Live och bilden är hämtad från dagvattenutredningen till detaljplanen utförd av Tyréns."/>
                    <pic:cNvPicPr/>
                  </pic:nvPicPr>
                  <pic:blipFill dpi="0">
                    <a:blip xmlns:r="http://schemas.openxmlformats.org/officeDocument/2006/relationships" r:embed="Relimage20"/>
                    <a:srcRect/>
                    <a:stretch>
                      <a:fillRect/>
                    </a:stretch>
                  </pic:blipFill>
                  <pic:spPr>
                    <a:xfrm>
                      <a:off x="0" y="0"/>
                      <a:ext cx="3833709" cy="2603136"/>
                    </a:xfrm>
                    <a:prstGeom prst="rect"/>
                  </pic:spPr>
                </pic:pic>
              </a:graphicData>
            </a:graphic>
          </wp:inline>
        </w:drawing>
      </w:r>
    </w:p>
    <w:p>
      <w:pPr>
        <w:pStyle w:val="P25"/>
      </w:pPr>
      <w:bookmarkStart w:id="153" w:name="_Ref144474650"/>
      <w:r>
        <w:t xml:space="preserve">Figur </w:t>
      </w:r>
      <w:r>
        <w:fldChar w:fldCharType="begin"/>
      </w:r>
      <w:r>
        <w:instrText xml:space="preserve"> SEQ Figur \* ARABIC </w:instrText>
      </w:r>
      <w:r>
        <w:fldChar w:fldCharType="separate"/>
      </w:r>
      <w:r>
        <w:rPr>
          <w:noProof w:val="1"/>
        </w:rPr>
        <w:t>16</w:t>
      </w:r>
      <w:r>
        <w:rPr>
          <w:noProof w:val="1"/>
        </w:rPr>
        <w:fldChar w:fldCharType="end"/>
      </w:r>
      <w:bookmarkEnd w:id="153"/>
      <w:r>
        <w:t xml:space="preserve">. </w:t>
      </w:r>
      <w:r>
        <w:rPr>
          <w:rStyle w:val="C17"/>
          <w:i w:val="1"/>
          <w:iCs w:val="1"/>
        </w:rPr>
        <w:t>Markytor med stående vatten vid en regnhändelse med 150 mm nederbörd, enligt analys i Scalgo Live. De mörkaste blå ytorna har ett vattendjup på cirka 1,8 meter. (Bild hämtad från Tyréns 2023)</w:t>
      </w:r>
    </w:p>
    <w:p>
      <w:pPr>
        <w:pStyle w:val="P4"/>
      </w:pPr>
      <w:bookmarkEnd w:id="152"/>
      <w:r>
        <w:t>Planförslag och konsekvenser</w:t>
      </w:r>
    </w:p>
    <w:p>
      <w:bookmarkStart w:id="154" w:name="ko_översvämning01"/>
      <w:r>
        <w:t>Huvuddelen av planområdet riskerar inte att översvämmas vid skyfall (Tyréns 2023). Nederbördsvatten ansamlas i lågpunkter i södra delen av planområdet. Lågpunkter inom planområdet behöver bevaras för att möjliggöra naturlig fördröjning av ytavrinnande vatten vid nederbörd. Alternativt behöver fördröjning säkerställas genom annan lokal dagvattenhantering, helst öppna vegetationsbaserade lösningar som ger beredskap även för större regn. Genom fördröjning inom kvartersmarken bedöms inte fastigheten påverka översvämningsrisker nedströms i Bäckebrobäcken (Tyréns 2023).</w:t>
      </w:r>
    </w:p>
    <w:p>
      <w:r>
        <w:t>Planbestämmelse reglerar att fördröjning av dagvatten ska ske inom kvartersmarken i södra delen av planområdet. Fördröjning ska som minst ske av ett dimensionerande 10-årsregn, men större fördröjningsvolym är positivt för dagvattenhanteringen, se vidare avsnitt Dagvatten.</w:t>
      </w:r>
    </w:p>
    <w:p>
      <w:pPr>
        <w:pStyle w:val="P3"/>
      </w:pPr>
      <w:bookmarkEnd w:id="154"/>
      <w:r>
        <w:t>Riskfrågor och farligt gods</w:t>
      </w:r>
    </w:p>
    <w:p>
      <w:bookmarkStart w:id="155" w:name="pf_riskförolyckor01"/>
      <w:r>
        <w:t>Kommunen har inga uppgifter om att planområdet påverkas av riskfaktorer. Närmaste utpekade led för transport av farligt gods är E4, och avståndet dit är mer än 650 meter.</w:t>
      </w:r>
    </w:p>
    <w:p>
      <w:pPr>
        <w:pStyle w:val="P3"/>
      </w:pPr>
      <w:bookmarkEnd w:id="155"/>
      <w:r>
        <w:t>Brandskydd</w:t>
      </w:r>
    </w:p>
    <w:p>
      <w:bookmarkStart w:id="156" w:name="pf_riskförolyckor02"/>
      <w:r>
        <w:t>Idag finns inget specifikt brandskydd på platsen.</w:t>
      </w:r>
    </w:p>
    <w:p>
      <w:pPr>
        <w:pStyle w:val="P4"/>
      </w:pPr>
      <w:bookmarkEnd w:id="156"/>
      <w:r>
        <w:t>Planförslag och konsekvenser</w:t>
      </w:r>
    </w:p>
    <w:p>
      <w:bookmarkStart w:id="157" w:name="ko_olyckor01"/>
      <w:r>
        <w:t>Vid eventuell brand har Räddningstjänsten möjlighet att angöra området från Tussilagovägen. Närmaste brandpost med tillräckligt flöde ligger cirka 500 meter från planområdet. Detta innebär att räddningstjänsten vid insats i detta område, likt i stora delar av övriga kommunen, i första hand måste förlita sig på andra sätt/system än brandpost att försörja insatsen med brandvatten.</w:t>
      </w:r>
    </w:p>
    <w:p>
      <w:pPr>
        <w:pStyle w:val="P2"/>
      </w:pPr>
      <w:bookmarkEnd w:id="157"/>
      <w:bookmarkStart w:id="158" w:name="_Toc120175189"/>
      <w:bookmarkStart w:id="159" w:name="_Toc120175250"/>
      <w:r>
        <w:t>Miljökvalitetsnormer</w:t>
      </w:r>
      <w:bookmarkEnd w:id="158"/>
      <w:bookmarkEnd w:id="159"/>
    </w:p>
    <w:p>
      <w:pPr>
        <w:spacing w:after="0" w:beforeAutospacing="0" w:afterAutospacing="0"/>
      </w:pPr>
      <w:bookmarkStart w:id="160" w:name="pf_luft01"/>
      <w:r>
        <w:rPr>
          <w:u w:val="single"/>
        </w:rPr>
        <w:t>Luft</w:t>
      </w:r>
    </w:p>
    <w:p>
      <w:r>
        <w:t>Miljökvalitetsnormer och miljökvalitetsmål för luft klaras vid planområdet och bedöms inte att påverkas av den marginella tillkomst av trafik som markanvändningen inom planområdet möjliggör.</w:t>
      </w:r>
    </w:p>
    <w:p>
      <w:pPr>
        <w:spacing w:after="0" w:beforeAutospacing="0" w:afterAutospacing="0"/>
      </w:pPr>
      <w:bookmarkEnd w:id="160"/>
      <w:bookmarkStart w:id="161" w:name="pf_vatten01"/>
      <w:r>
        <w:rPr>
          <w:u w:val="single"/>
        </w:rPr>
        <w:t>Vatten</w:t>
      </w:r>
    </w:p>
    <w:p>
      <w:r>
        <w:t>Planerad markanvändning inom planområdet bedöms inte påverka vattenförekomsten i ytvatten Bäckebrobäcken (Vatten-ID WA33522262, EU_CD SE673321-156940).</w:t>
      </w:r>
    </w:p>
    <w:p>
      <w:r>
        <w:t>Vattenförekomsten bedöms ha måttlig ekologisk status på grund av morfologisk (fysisk) påverkan i vattendraget. Gällande miljökvalitetsnorm (MKN) från 2021 är satt till god ekologisk status med tidsfrist till 2045. Kemisk status uppnår ej god, på grund av långväga påverkan av luftburna föroreningar av kvicksilver och polybromerade difenyletrar (PBDE). MKN är satt till god kemisk status.</w:t>
      </w:r>
    </w:p>
    <w:p>
      <w:pPr>
        <w:pStyle w:val="P26"/>
        <w:rPr>
          <w:color w:val="auto"/>
        </w:rPr>
      </w:pPr>
      <w:r>
        <w:rPr>
          <w:color w:val="auto"/>
          <w:sz w:val="22"/>
          <w:szCs w:val="22"/>
        </w:rPr>
        <w:t>Inga utpekade grundvattenförekomster finns vid planområdet.</w:t>
      </w:r>
    </w:p>
    <w:p>
      <w:pPr>
        <w:pStyle w:val="P4"/>
      </w:pPr>
      <w:bookmarkEnd w:id="161"/>
      <w:r>
        <w:t>Konsekvenser</w:t>
      </w:r>
    </w:p>
    <w:p>
      <w:bookmarkStart w:id="162" w:name="ko_luft01"/>
      <w:bookmarkStart w:id="163" w:name="ko_vatten01"/>
      <w:r>
        <w:t>Planen bedöms inte påverka någon MKN för luft eller vatten. Dagvattenhantering från planområdet bedöms inte påverka miljökvalitetsnormer i vattendraget.</w:t>
      </w:r>
    </w:p>
    <w:p>
      <w:pPr>
        <w:pStyle w:val="P2"/>
      </w:pPr>
      <w:bookmarkEnd w:id="162"/>
      <w:bookmarkEnd w:id="163"/>
      <w:bookmarkStart w:id="164" w:name="_Toc120175209"/>
      <w:bookmarkStart w:id="165" w:name="_Toc120175270"/>
      <w:bookmarkStart w:id="166" w:name="_Toc120175190"/>
      <w:bookmarkStart w:id="167" w:name="_Toc120175251"/>
      <w:r>
        <w:t>Miljömål</w:t>
      </w:r>
      <w:bookmarkEnd w:id="164"/>
      <w:bookmarkEnd w:id="165"/>
    </w:p>
    <w:p>
      <w:bookmarkStart w:id="168" w:name="pf_miljömål01"/>
      <w:r>
        <w:t>Nedanstående nationella miljömål har identifierats som miljömål som kan komma att påverkas av detaljplanens genomförande. Intill miljömålen följer en bedömning av måluppfyllelsen.</w:t>
      </w:r>
    </w:p>
    <w:p>
      <w:pPr>
        <w:pStyle w:val="P22"/>
        <w:numPr>
          <w:ilvl w:val="0"/>
          <w:numId w:val="9"/>
        </w:numPr>
        <w:rPr>
          <w:color w:val="auto"/>
        </w:rPr>
      </w:pPr>
      <w:r>
        <w:rPr>
          <w:color w:val="auto"/>
        </w:rPr>
        <w:t>Levande sjöar och vattendrag</w:t>
      </w:r>
    </w:p>
    <w:p>
      <w:pPr>
        <w:pStyle w:val="P22"/>
        <w:ind w:left="720"/>
        <w:rPr>
          <w:color w:val="auto"/>
        </w:rPr>
      </w:pPr>
      <w:r>
        <w:rPr>
          <w:color w:val="auto"/>
        </w:rPr>
        <w:t>Målet bedöms inte påverkas då planerad markanvändning endast ger upphov till små mängder föroreningar. Trafikerade ytor blir små inom planområdet och rening av dagvatten föreslås ske inom fastighet innan avledning via allmänna dagvattennätet.</w:t>
      </w:r>
    </w:p>
    <w:p>
      <w:pPr>
        <w:pStyle w:val="P22"/>
        <w:numPr>
          <w:ilvl w:val="0"/>
          <w:numId w:val="9"/>
        </w:numPr>
        <w:rPr>
          <w:color w:val="auto"/>
        </w:rPr>
      </w:pPr>
      <w:r>
        <w:rPr>
          <w:color w:val="auto"/>
        </w:rPr>
        <w:t>Levande skogar</w:t>
      </w:r>
    </w:p>
    <w:p>
      <w:pPr>
        <w:pStyle w:val="P22"/>
        <w:ind w:left="720"/>
        <w:rPr>
          <w:color w:val="auto"/>
        </w:rPr>
      </w:pPr>
      <w:r>
        <w:rPr>
          <w:color w:val="auto"/>
        </w:rPr>
        <w:t>En del av ett skogsområde bebyggs och hårdgörs, men området är beläget i ett bostadsområde och är redan idag planlagt för exploatering. Målet bedöms därför inte påverkas.</w:t>
      </w:r>
    </w:p>
    <w:p>
      <w:pPr>
        <w:pStyle w:val="P22"/>
        <w:numPr>
          <w:ilvl w:val="0"/>
          <w:numId w:val="9"/>
        </w:numPr>
        <w:rPr>
          <w:color w:val="auto"/>
        </w:rPr>
      </w:pPr>
      <w:r>
        <w:rPr>
          <w:color w:val="auto"/>
        </w:rPr>
        <w:t>God bebyggd miljö</w:t>
      </w:r>
    </w:p>
    <w:p>
      <w:pPr>
        <w:pStyle w:val="P6"/>
        <w:numPr>
          <w:ilvl w:val="0"/>
          <w:numId w:val="0"/>
        </w:numPr>
        <w:ind w:firstLine="0" w:left="720"/>
      </w:pPr>
      <w:r>
        <w:t>Målet bedöms kunna uppfyllas genom att detaljplanen tillåter lämplig bebyggelse på platsen samtidigt som en del naturmark bevaras. Förtätning intill befintlig stadsstruktur bedöms som god hushållning med mark.</w:t>
      </w:r>
    </w:p>
    <w:p>
      <w:pPr>
        <w:pStyle w:val="P22"/>
        <w:numPr>
          <w:ilvl w:val="0"/>
          <w:numId w:val="9"/>
        </w:numPr>
        <w:rPr>
          <w:color w:val="auto"/>
        </w:rPr>
      </w:pPr>
      <w:r>
        <w:rPr>
          <w:color w:val="auto"/>
        </w:rPr>
        <w:t>Ett rikt växt- och djurliv</w:t>
      </w:r>
    </w:p>
    <w:p>
      <w:pPr>
        <w:pStyle w:val="P6"/>
        <w:numPr>
          <w:ilvl w:val="0"/>
          <w:numId w:val="0"/>
        </w:numPr>
        <w:ind w:firstLine="0" w:left="720"/>
      </w:pPr>
      <w:r>
        <w:t>Målet kan påverkas i viss negativ riktning eftersom naturområde tillåts minska med en exploatering, sett till befintliga förhållanden på plats. Gällande detaljplan (1991) anger däremot barnstuga för hela Sätra 174:1 vilket gör att naturmarken inte har något skydd i gällande detaljplan. Genom att del av Sätra 174:1 planläggs som NATUR värnas växt- och djurlivet.</w:t>
      </w:r>
      <w:bookmarkEnd w:id="168"/>
    </w:p>
    <w:p>
      <w:pPr>
        <w:pStyle w:val="P2"/>
      </w:pPr>
      <w:r>
        <w:t>Riksintressen</w:t>
      </w:r>
      <w:bookmarkEnd w:id="166"/>
      <w:bookmarkEnd w:id="167"/>
    </w:p>
    <w:p>
      <w:bookmarkStart w:id="169" w:name="pf_riksintressen01"/>
      <w:r>
        <w:t>Planområdet påverkar inga riksintressen.</w:t>
      </w:r>
    </w:p>
    <w:p>
      <w:pPr>
        <w:pStyle w:val="P1"/>
      </w:pPr>
      <w:bookmarkEnd w:id="169"/>
      <w:bookmarkStart w:id="170" w:name="_Toc120175196"/>
      <w:bookmarkStart w:id="171" w:name="_Toc120175294"/>
      <w:bookmarkStart w:id="172" w:name="_Toc140225122"/>
      <w:bookmarkStart w:id="173" w:name="_Toc120175285"/>
      <w:bookmarkStart w:id="174" w:name="_Toc120175257"/>
      <w:r>
        <w:t>Genomförande</w:t>
      </w:r>
      <w:bookmarkEnd w:id="170"/>
      <w:bookmarkEnd w:id="171"/>
      <w:bookmarkEnd w:id="172"/>
      <w:bookmarkEnd w:id="173"/>
      <w:bookmarkEnd w:id="174"/>
    </w:p>
    <w:p>
      <w:pPr>
        <w:pStyle w:val="P2"/>
      </w:pPr>
      <w:bookmarkStart w:id="175" w:name="_Toc120175197"/>
      <w:bookmarkStart w:id="176" w:name="_Toc120175258"/>
      <w:r>
        <w:t>Fastighetsrättsliga frågor</w:t>
      </w:r>
      <w:bookmarkEnd w:id="175"/>
      <w:bookmarkEnd w:id="176"/>
    </w:p>
    <w:p>
      <w:bookmarkStart w:id="177" w:name="gf_fastighetsrättsligafrågor01"/>
      <w:r>
        <w:t>Med fastighetsbildning avses bland annat nybildning av fastigheter, ändring av fastigheters gränser och bildande av gemensamhetsanläggningar, servitut och ledningsrätter. Fastighetsbildningsåtgärder prövas I en lantmäteriförrättning som handläggs av Lantmäterimyndigheten i Gävle kommun.</w:t>
      </w:r>
    </w:p>
    <w:p>
      <w:pPr>
        <w:pStyle w:val="P3"/>
      </w:pPr>
      <w:bookmarkEnd w:id="177"/>
      <w:r>
        <w:t>Planförslag och konsekvenser</w:t>
      </w:r>
    </w:p>
    <w:p>
      <w:bookmarkStart w:id="178" w:name="gf_förändradfastighetsindelning01"/>
      <w:r>
        <w:t>Detaljplanen medför att fastigheter kommer att ombildas genom fastighetsreglering. Planen innebär en fastighetsreglering av mark mellan Sätra 174:1 och Sätra 10:1:</w:t>
      </w:r>
    </w:p>
    <w:p>
      <w:pPr>
        <w:pStyle w:val="P6"/>
        <w:numPr>
          <w:ilvl w:val="0"/>
          <w:numId w:val="11"/>
        </w:numPr>
      </w:pPr>
      <w:r>
        <w:t>Den del av Sätra 174:1 som planläggs som allmän plats NATUR ska överföras till den kommunalägda Sätra 10:1.</w:t>
      </w:r>
    </w:p>
    <w:p>
      <w:pPr>
        <w:pStyle w:val="P6"/>
        <w:numPr>
          <w:ilvl w:val="0"/>
          <w:numId w:val="11"/>
        </w:numPr>
      </w:pPr>
      <w:r>
        <w:t>Den del av Sätra 174:1 som tidigare varit planlagd som kvartersmark med syftet att fungera som in- och utfart ska överföras till Sätra 10:1 eftersom den planläggs som allmän plats GCVÄG. Servitutet för allmän gång- och cykeltrafik ska upphävas och nytt servitut i rätt läge ska bildas (alternativt kan servitutet omprövas).</w:t>
      </w:r>
    </w:p>
    <w:p>
      <w:pPr>
        <w:pStyle w:val="P6"/>
        <w:numPr>
          <w:ilvl w:val="0"/>
          <w:numId w:val="11"/>
        </w:numPr>
      </w:pPr>
      <w:r>
        <w:t>Den del av Sätra 10:1 som planläggs som kvartersmark ska överföras till Sätra 174:1. Detta är mark avsedd för ny in- och utfart.</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090795" cy="3098800"/>
            <wp:effectExtent l="0" t="0" r="0" b="6350"/>
            <wp:docPr id="13" name="Bildobjekt 13" descr="Karta som visar förändringar som sker i fastigh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Karta som visar förändringar som sker i fastigheter."/>
                    <pic:cNvPicPr>
                      <a:picLocks noChangeAspect="1" noChangeArrowheads="1"/>
                    </pic:cNvPicPr>
                  </pic:nvPicPr>
                  <pic:blipFill dpi="0">
                    <a:blip xmlns:r="http://schemas.openxmlformats.org/officeDocument/2006/relationships" r:embed="Relimage21" cstate="print"/>
                    <a:srcRect l="4328" t="8812" r="2197" b="10722"/>
                    <a:stretch>
                      <a:fillRect/>
                    </a:stretch>
                  </pic:blipFill>
                  <pic:spPr bwMode="auto">
                    <a:xfrm>
                      <a:off x="0" y="0"/>
                      <a:ext cx="5097430" cy="3102988"/>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17</w:t>
      </w:r>
      <w:r>
        <w:rPr>
          <w:noProof w:val="1"/>
        </w:rPr>
        <w:fldChar w:fldCharType="end"/>
      </w:r>
      <w:r>
        <w:t>. Karta som visar förändringar i fastigheter. Planområdets gräns är markerat med röd heldragen linje.</w:t>
      </w:r>
    </w:p>
    <w:p>
      <w:r>
        <w:t>Enligt markanvisningsavtal som upprättats mellan kommunen och AB Gavlegårdarna ansvarar byggherren för samtliga kostnader inom fastigheten samt för byggnation av infart till fastigheten. Byggherren ska stå för kostnaden av fastighetsregleringar som krävs för detaljplanens genomförande och ansökan om dessa. Byggherren ansvarar för återställning av allmän plats om den påverkas vid byggnationen. Kommunen ansvarar för att avverka träd på fastigheten. Övriga åtgärder som är nödvändiga för att kunna bebyggda fastigheten åligger byggherren.</w:t>
      </w:r>
    </w:p>
    <w:p>
      <w:r>
        <w:t>Planbeställarens ambition är att all kvartersmark ska vara en fastighet och inte styckas av till flera fastigheter. Detaljplanen hindrar dock inte en framtida fastighetsbildning. I så fall krävs troligen inrättande av gemensamhetsanläggningar för infart, gemensamma ytor, diken och ledningar. En sådan eventuell fastighetsbildning ska bekostas av framtida fastighetsägare.</w:t>
      </w:r>
      <w:bookmarkEnd w:id="178"/>
    </w:p>
    <w:p>
      <w:pPr>
        <w:pStyle w:val="P4"/>
      </w:pPr>
      <w:r>
        <w:t>Servitut</w:t>
      </w:r>
    </w:p>
    <w:p>
      <w:pPr>
        <w:spacing w:after="0" w:beforeAutospacing="0" w:afterAutospacing="0"/>
      </w:pPr>
      <w:bookmarkStart w:id="179" w:name="gf_rättigheter01"/>
      <w:r>
        <w:t>Idag finns ett servitut för infart till Sätra 174:1. Servitutet upprättades 1991 i enlighet med detaljplanen från 1991. Dess syfte är att det inte ska finnas tveksamhet om skötselansvaret för infarterna. Detaljplanen från 1991 reglerar även att marken för servitutet ska vara tillgänglig för allmän gång- och cykeltrafik. Någon infart anlades aldrig inom området för servitutet och idag står ett alléträd inom denna yta. En asfalterad yta med anslutning till Tussilagovägen finns däremot strax väster om servitutet.</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140325" cy="2985770"/>
            <wp:effectExtent l="0" t="0" r="3175" b="5080"/>
            <wp:docPr id="18" name="Bildobjekt 18" descr="Karta som visar befintligt servitut inom Sätra 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Karta som visar befintligt servitut inom Sätra 174:1."/>
                    <pic:cNvPicPr>
                      <a:picLocks noChangeAspect="1" noChangeArrowheads="1"/>
                    </pic:cNvPicPr>
                  </pic:nvPicPr>
                  <pic:blipFill dpi="0">
                    <a:blip xmlns:r="http://schemas.openxmlformats.org/officeDocument/2006/relationships" r:embed="Relimage22" cstate="print"/>
                    <a:srcRect l="6871" t="11333" r="5197" b="16585"/>
                    <a:stretch>
                      <a:fillRect/>
                    </a:stretch>
                  </pic:blipFill>
                  <pic:spPr bwMode="auto">
                    <a:xfrm>
                      <a:off x="0" y="0"/>
                      <a:ext cx="5157996" cy="2996086"/>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18</w:t>
      </w:r>
      <w:r>
        <w:rPr>
          <w:noProof w:val="1"/>
        </w:rPr>
        <w:fldChar w:fldCharType="end"/>
      </w:r>
      <w:r>
        <w:t>. Karta som visar befintligt servitut inom Sätra 174:1 (skrafferat område).</w:t>
      </w:r>
    </w:p>
    <w:p>
      <w:r>
        <w:t>Befintligt servitut, som är till förmån för Sätra 10:1 att nyttja ytan för allmän gång- och cykeltrafik, ska upphävas och nytt servitut upprättas där ny utfart planeras. Alternativt kan befintligt servitut ombildas.</w:t>
      </w:r>
    </w:p>
    <w:p>
      <w:pPr>
        <w:keepNext w:val="1"/>
        <w:spacing w:after="0" w:beforeAutospacing="0" w:afterAutospacing="0"/>
        <w:rPr>
          <w:i w:val="1"/>
          <w:iCs w:val="1"/>
        </w:rPr>
      </w:pPr>
      <w:r>
        <w:rPr>
          <w:noProof w:val="1"/>
        </w:rPr>
        <w:drawing>
          <wp:inline xmlns:wp="http://schemas.openxmlformats.org/drawingml/2006/wordprocessingDrawing" distT="0" distB="0" distL="0" distR="0">
            <wp:extent cx="5147945" cy="3169285"/>
            <wp:effectExtent l="0" t="0" r="0" b="0"/>
            <wp:docPr id="24" name="Bildobjekt 24" descr="Karta som visar nytt tänkt serv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Karta som visar nytt tänkt servitut."/>
                    <pic:cNvPicPr>
                      <a:picLocks noChangeAspect="1" noChangeArrowheads="1"/>
                    </pic:cNvPicPr>
                  </pic:nvPicPr>
                  <pic:blipFill dpi="0">
                    <a:blip xmlns:r="http://schemas.openxmlformats.org/officeDocument/2006/relationships" r:embed="Relimage23" cstate="print"/>
                    <a:srcRect l="3948" t="6308" r="3115" b="12954"/>
                    <a:stretch>
                      <a:fillRect/>
                    </a:stretch>
                  </pic:blipFill>
                  <pic:spPr bwMode="auto">
                    <a:xfrm>
                      <a:off x="0" y="0"/>
                      <a:ext cx="5153897" cy="3173327"/>
                    </a:xfrm>
                    <a:prstGeom prst="rect"/>
                    <a:noFill/>
                    <a:ln>
                      <a:noFill/>
                    </a:ln>
                  </pic:spPr>
                </pic:pic>
              </a:graphicData>
            </a:graphic>
          </wp:inline>
        </w:drawing>
      </w:r>
    </w:p>
    <w:p>
      <w:pPr>
        <w:pStyle w:val="P25"/>
      </w:pPr>
      <w:r>
        <w:t xml:space="preserve">Figur </w:t>
      </w:r>
      <w:r>
        <w:fldChar w:fldCharType="begin"/>
      </w:r>
      <w:r>
        <w:instrText xml:space="preserve"> SEQ Figur \* ARABIC </w:instrText>
      </w:r>
      <w:r>
        <w:fldChar w:fldCharType="separate"/>
      </w:r>
      <w:r>
        <w:rPr>
          <w:noProof w:val="1"/>
        </w:rPr>
        <w:t>19</w:t>
      </w:r>
      <w:r>
        <w:rPr>
          <w:noProof w:val="1"/>
        </w:rPr>
        <w:fldChar w:fldCharType="end"/>
      </w:r>
      <w:r>
        <w:t>. Karta som visar tänkt servitut inom Sätra 174:1 (skrafferat område).</w:t>
      </w:r>
    </w:p>
    <w:p>
      <w:pPr>
        <w:pStyle w:val="P4"/>
      </w:pPr>
      <w:bookmarkEnd w:id="179"/>
      <w:r>
        <w:t>Ledningsrätter</w:t>
      </w:r>
    </w:p>
    <w:p>
      <w:bookmarkStart w:id="180" w:name="gf_rättigheter02"/>
      <w:r>
        <w:t>Inga befintliga ledningsrätter finns i området. Däremot passerar befintliga kommunala ledningar planområdet. Ledningsrätt bör sökas och bekostas av ledningshavaren.</w:t>
      </w:r>
    </w:p>
    <w:p>
      <w:pPr>
        <w:pStyle w:val="P3"/>
      </w:pPr>
      <w:bookmarkEnd w:id="180"/>
      <w:r>
        <w:t>Planbestämmelser</w:t>
      </w:r>
    </w:p>
    <w:p>
      <w:pPr>
        <w:spacing w:after="120" w:beforeAutospacing="0" w:afterAutospacing="0"/>
      </w:pPr>
      <w:bookmarkStart w:id="181" w:name="gf_rättigheter03"/>
      <w:r>
        <w:rPr>
          <w:b w:val="1"/>
          <w:bCs w:val="1"/>
        </w:rPr>
        <w:t>u</w:t>
      </w:r>
      <w:r>
        <w:rPr>
          <w:b w:val="1"/>
          <w:bCs w:val="1"/>
          <w:vertAlign w:val="subscript"/>
        </w:rPr>
        <w:t>1</w:t>
      </w:r>
      <w:r>
        <w:t xml:space="preserve"> – Markreservat för allmännyttiga underjordiska ledningar</w:t>
      </w:r>
    </w:p>
    <w:p>
      <w:pPr>
        <w:pStyle w:val="P3"/>
      </w:pPr>
      <w:bookmarkEnd w:id="181"/>
      <w:bookmarkStart w:id="182" w:name="_Toc120175198"/>
      <w:bookmarkStart w:id="183" w:name="_Toc120175259"/>
      <w:r>
        <w:t>Konsekvenser</w:t>
      </w:r>
      <w:bookmarkEnd w:id="182"/>
      <w:bookmarkEnd w:id="183"/>
      <w:r>
        <w:t xml:space="preserve"> per fastighet</w:t>
      </w:r>
    </w:p>
    <w:p>
      <w:bookmarkStart w:id="184" w:name="gf_fastighetsrättsligafrågor02"/>
      <w:r>
        <w:t>Nedan redovisas detaljplanens konsekvenser (främst fastighetsrättsliga) som i dagsläget kan bedömas för respektive fastighet. Beskrivningen är gjord i enlighet med förslag till detaljplan och innebär inget ställningstagande från lantmäterimyndighetens sida.</w:t>
      </w:r>
    </w:p>
    <w:p>
      <w:pPr>
        <w:pStyle w:val="P6"/>
        <w:numPr>
          <w:ilvl w:val="0"/>
          <w:numId w:val="4"/>
        </w:numPr>
        <w:spacing w:after="160" w:beforeAutospacing="0" w:afterAutospacing="0"/>
        <w:ind w:hanging="357" w:left="714"/>
        <w:rPr>
          <w:b w:val="1"/>
          <w:bCs w:val="1"/>
        </w:rPr>
      </w:pPr>
      <w:r>
        <w:rPr>
          <w:b w:val="1"/>
          <w:bCs w:val="1"/>
        </w:rPr>
        <w:t>Sätra 174:1</w:t>
      </w:r>
    </w:p>
    <w:p>
      <w:pPr>
        <w:spacing w:after="120" w:beforeAutospacing="0" w:afterAutospacing="0"/>
        <w:rPr>
          <w:rStyle w:val="C8"/>
          <w:b w:val="0"/>
        </w:rPr>
      </w:pPr>
      <w:bookmarkStart w:id="185" w:name="gf_förändradfastighetsindelning04"/>
      <w:r>
        <w:rPr>
          <w:rStyle w:val="C8"/>
          <w:b w:val="0"/>
          <w:bCs w:val="0"/>
        </w:rPr>
        <w:t>Fastigheten planläggs som kvartersmark (cirka 4500 m</w:t>
      </w:r>
      <w:r>
        <w:rPr>
          <w:rStyle w:val="C8"/>
          <w:b w:val="0"/>
          <w:bCs w:val="0"/>
          <w:vertAlign w:val="superscript"/>
        </w:rPr>
        <w:t>2</w:t>
      </w:r>
      <w:r>
        <w:rPr>
          <w:rStyle w:val="C8"/>
          <w:b w:val="0"/>
          <w:bCs w:val="0"/>
        </w:rPr>
        <w:t>), allmän plats NATUR (cirka 2600 m</w:t>
      </w:r>
      <w:r>
        <w:rPr>
          <w:rStyle w:val="C8"/>
          <w:b w:val="0"/>
          <w:bCs w:val="0"/>
          <w:vertAlign w:val="superscript"/>
        </w:rPr>
        <w:t>2</w:t>
      </w:r>
      <w:r>
        <w:rPr>
          <w:rStyle w:val="C8"/>
          <w:b w:val="0"/>
          <w:bCs w:val="0"/>
        </w:rPr>
        <w:t>) och allmän plats GCVÄG (cirka 100 m</w:t>
      </w:r>
      <w:r>
        <w:rPr>
          <w:rStyle w:val="C8"/>
          <w:b w:val="0"/>
          <w:bCs w:val="0"/>
          <w:vertAlign w:val="superscript"/>
        </w:rPr>
        <w:t>2</w:t>
      </w:r>
      <w:r>
        <w:rPr>
          <w:rStyle w:val="C8"/>
          <w:b w:val="0"/>
          <w:bCs w:val="0"/>
        </w:rPr>
        <w:t>) med kommunalt huvudmannaskap. Den del av fastigheten som planläggs som allmän plats (NATUR och GCVÄG) överförs till Sätra 10:1.</w:t>
      </w:r>
      <w:bookmarkEnd w:id="185"/>
    </w:p>
    <w:p>
      <w:pPr>
        <w:spacing w:after="120" w:beforeAutospacing="0" w:afterAutospacing="0"/>
        <w:rPr>
          <w:rStyle w:val="C8"/>
          <w:b w:val="0"/>
        </w:rPr>
      </w:pPr>
      <w:bookmarkStart w:id="186" w:name="gf_förändradfastighetsindelning05"/>
      <w:r>
        <w:rPr>
          <w:rStyle w:val="C8"/>
          <w:b w:val="0"/>
        </w:rPr>
        <w:t>Den del av Sätra 10:1, ca 100 m</w:t>
      </w:r>
      <w:r>
        <w:rPr>
          <w:rStyle w:val="C8"/>
          <w:b w:val="0"/>
          <w:vertAlign w:val="superscript"/>
        </w:rPr>
        <w:t>2</w:t>
      </w:r>
      <w:r>
        <w:rPr>
          <w:rStyle w:val="C8"/>
          <w:b w:val="0"/>
        </w:rPr>
        <w:t>, som planläggs som kvartersmark ska överföras till Sätra 174:1. På denna mark ska servitut för allmännyttig gång- och cykeltrafik bildas.</w:t>
      </w:r>
    </w:p>
    <w:p>
      <w:pPr>
        <w:rPr>
          <w:rStyle w:val="C8"/>
          <w:b w:val="0"/>
        </w:rPr>
      </w:pPr>
      <w:bookmarkEnd w:id="186"/>
      <w:bookmarkStart w:id="187" w:name="gf_rättigheter05"/>
      <w:r>
        <w:rPr>
          <w:rStyle w:val="C8"/>
          <w:b w:val="0"/>
          <w:bCs w:val="0"/>
        </w:rPr>
        <w:t>För del av Sätra 10:1 som planläggs som GCVÄG ska befintligt servitut för allmännyttig gång- och cykeltrafik upphävas, alternativt omprövas till nytt läge.</w:t>
      </w:r>
    </w:p>
    <w:p>
      <w:pPr>
        <w:rPr>
          <w:rStyle w:val="C8"/>
          <w:b w:val="0"/>
          <w:bCs w:val="0"/>
        </w:rPr>
      </w:pPr>
      <w:bookmarkEnd w:id="187"/>
      <w:bookmarkStart w:id="188" w:name="gf_rättigheter06"/>
      <w:r>
        <w:rPr>
          <w:rStyle w:val="C8"/>
          <w:b w:val="0"/>
          <w:bCs w:val="0"/>
        </w:rPr>
        <w:t>I kvartersmarkens nordvästra del och inom markreservat för allmännyttig gång- och cykeltrafik finns markreservat för underjordiska ledningar.</w:t>
      </w:r>
    </w:p>
    <w:p>
      <w:pPr>
        <w:rPr>
          <w:rStyle w:val="C8"/>
          <w:b w:val="0"/>
          <w:bCs w:val="0"/>
        </w:rPr>
      </w:pPr>
      <w:bookmarkEnd w:id="188"/>
      <w:r>
        <w:rPr>
          <w:rStyle w:val="C8"/>
          <w:b w:val="0"/>
          <w:bCs w:val="0"/>
        </w:rPr>
        <w:t>Utfart ska ske mot gatan i norr. Utfartsförbud finns i de andra riktningarna i och med att den marken är planlagd som natur eller park.</w:t>
      </w:r>
    </w:p>
    <w:p>
      <w:pPr>
        <w:rPr>
          <w:rStyle w:val="C8"/>
          <w:b w:val="0"/>
          <w:bCs w:val="0"/>
        </w:rPr>
      </w:pPr>
      <w:r>
        <w:rPr>
          <w:rStyle w:val="C8"/>
          <w:b w:val="0"/>
          <w:bCs w:val="0"/>
        </w:rPr>
        <w:t>Byggnaders placering regleras av prickmark och korsmark. Största bruttoarea är 750 m</w:t>
      </w:r>
      <w:r>
        <w:rPr>
          <w:rStyle w:val="C8"/>
          <w:b w:val="0"/>
          <w:bCs w:val="0"/>
          <w:vertAlign w:val="superscript"/>
        </w:rPr>
        <w:t>2</w:t>
      </w:r>
      <w:r>
        <w:rPr>
          <w:rStyle w:val="C8"/>
          <w:b w:val="0"/>
          <w:bCs w:val="0"/>
        </w:rPr>
        <w:t xml:space="preserve"> största byggnadsarea är 700 m</w:t>
      </w:r>
      <w:r>
        <w:rPr>
          <w:rStyle w:val="C8"/>
          <w:b w:val="0"/>
          <w:bCs w:val="0"/>
          <w:vertAlign w:val="superscript"/>
        </w:rPr>
        <w:t>2</w:t>
      </w:r>
      <w:r>
        <w:rPr>
          <w:rStyle w:val="C8"/>
          <w:b w:val="0"/>
          <w:bCs w:val="0"/>
        </w:rPr>
        <w:t>. Högsta tillåtna nockhöjd är 7,5 meter för huvudbyggnader och 4 meter för komplementbyggnader. Inom kvartersmarken ska det också finnas ytor för fördröjning av dagvatten.</w:t>
      </w:r>
    </w:p>
    <w:p>
      <w:pPr>
        <w:pStyle w:val="P6"/>
        <w:numPr>
          <w:ilvl w:val="0"/>
          <w:numId w:val="4"/>
        </w:numPr>
        <w:spacing w:after="160" w:beforeAutospacing="0" w:afterAutospacing="0"/>
        <w:ind w:hanging="357" w:left="714"/>
        <w:rPr>
          <w:b w:val="1"/>
          <w:bCs w:val="1"/>
        </w:rPr>
      </w:pPr>
      <w:r>
        <w:rPr>
          <w:b w:val="1"/>
          <w:bCs w:val="1"/>
        </w:rPr>
        <w:t>Sätra 10:1</w:t>
      </w:r>
    </w:p>
    <w:p>
      <w:pPr>
        <w:spacing w:after="240" w:beforeAutospacing="0" w:afterAutospacing="0"/>
        <w:rPr>
          <w:rStyle w:val="C8"/>
          <w:b w:val="0"/>
          <w:bCs w:val="0"/>
        </w:rPr>
      </w:pPr>
      <w:bookmarkStart w:id="189" w:name="gf_förändradfastighetsindelning02"/>
      <w:r>
        <w:rPr>
          <w:rStyle w:val="C8"/>
          <w:b w:val="0"/>
          <w:bCs w:val="0"/>
        </w:rPr>
        <w:t>Den delen av Sätra 174:1 som planläggs som allmän plats (NATUR och GCVÄG) ska överföras till Sätra 10:1 (cirka 2700 m</w:t>
      </w:r>
      <w:r>
        <w:rPr>
          <w:rStyle w:val="C8"/>
          <w:b w:val="0"/>
          <w:bCs w:val="0"/>
          <w:vertAlign w:val="superscript"/>
        </w:rPr>
        <w:t>2</w:t>
      </w:r>
      <w:r>
        <w:rPr>
          <w:rStyle w:val="C8"/>
          <w:b w:val="0"/>
          <w:bCs w:val="0"/>
        </w:rPr>
        <w:t>).</w:t>
      </w:r>
    </w:p>
    <w:p>
      <w:pPr>
        <w:spacing w:after="240" w:beforeAutospacing="0" w:afterAutospacing="0"/>
        <w:rPr>
          <w:b w:val="1"/>
          <w:bCs w:val="1"/>
        </w:rPr>
      </w:pPr>
      <w:bookmarkEnd w:id="189"/>
      <w:bookmarkStart w:id="190" w:name="gf_förändradfastighetsindelning03"/>
      <w:r>
        <w:rPr>
          <w:rStyle w:val="C8"/>
          <w:b w:val="0"/>
          <w:bCs w:val="0"/>
        </w:rPr>
        <w:t>En liten del av Sätra 10:1 planläggs som kvartersmark (cirka 100 m</w:t>
      </w:r>
      <w:r>
        <w:rPr>
          <w:rStyle w:val="C8"/>
          <w:b w:val="0"/>
          <w:bCs w:val="0"/>
          <w:vertAlign w:val="superscript"/>
        </w:rPr>
        <w:t>2</w:t>
      </w:r>
      <w:r>
        <w:rPr>
          <w:rStyle w:val="C8"/>
          <w:b w:val="0"/>
          <w:bCs w:val="0"/>
        </w:rPr>
        <w:t xml:space="preserve">). Denna mark ska överföras till Sätra 174:1. </w:t>
      </w:r>
      <w:r>
        <w:rPr>
          <w:rStyle w:val="C8"/>
          <w:b w:val="0"/>
        </w:rPr>
        <w:t xml:space="preserve">Marken ska nyttjas för in- och utfart till Sätra 174:1 och </w:t>
      </w:r>
      <w:r>
        <w:rPr>
          <w:rStyle w:val="C8"/>
          <w:b w:val="0"/>
          <w:bCs w:val="0"/>
        </w:rPr>
        <w:t>även för allmännyttig gång- och cykeltrafik.</w:t>
      </w:r>
      <w:bookmarkEnd w:id="190"/>
      <w:r>
        <w:rPr>
          <w:rStyle w:val="C8"/>
          <w:b w:val="0"/>
          <w:bCs w:val="0"/>
        </w:rPr>
        <w:t xml:space="preserve"> </w:t>
      </w:r>
      <w:bookmarkStart w:id="191" w:name="gf_rättigheter04"/>
      <w:r>
        <w:rPr>
          <w:rStyle w:val="C8"/>
          <w:b w:val="0"/>
          <w:bCs w:val="0"/>
        </w:rPr>
        <w:t>Därför</w:t>
      </w:r>
      <w:r>
        <w:rPr>
          <w:rStyle w:val="C8"/>
          <w:b w:val="0"/>
        </w:rPr>
        <w:t xml:space="preserve"> ska ett servitut upprättas för allmännyttig gång- och cykeltrafik</w:t>
      </w:r>
      <w:r>
        <w:rPr>
          <w:rStyle w:val="C8"/>
          <w:b w:val="0"/>
          <w:bCs w:val="0"/>
        </w:rPr>
        <w:t>, till förmån för fastigheten Sätra 10:1.</w:t>
      </w:r>
      <w:bookmarkEnd w:id="184"/>
      <w:bookmarkEnd w:id="191"/>
    </w:p>
    <w:p>
      <w:pPr>
        <w:pStyle w:val="P2"/>
      </w:pPr>
      <w:bookmarkStart w:id="192" w:name="_Toc120175200"/>
      <w:bookmarkStart w:id="193" w:name="_Toc120175261"/>
      <w:r>
        <w:t>Tekniska frågor</w:t>
      </w:r>
      <w:bookmarkEnd w:id="192"/>
      <w:bookmarkEnd w:id="193"/>
    </w:p>
    <w:p>
      <w:bookmarkStart w:id="194" w:name="gf_tekniskaåtgärder01"/>
      <w:r>
        <w:t>Byggherren ansvarar för samtliga kostnader inom fastigheten samt för byggnation av infart till fastigheten. Byggherren ansvarar för återställning av allmän plats om den påverkas vid byggnation.</w:t>
      </w:r>
    </w:p>
    <w:p>
      <w:r>
        <w:t>Byggherren är ansvarig för att ordna teknisk infrastruktur till fastigheten i den ordning som krävs för att takta med byggnationerna.</w:t>
      </w:r>
    </w:p>
    <w:p>
      <w:pPr>
        <w:pStyle w:val="P2"/>
      </w:pPr>
      <w:bookmarkEnd w:id="194"/>
      <w:bookmarkStart w:id="195" w:name="_Toc120175201"/>
      <w:bookmarkStart w:id="196" w:name="_Toc120175262"/>
      <w:r>
        <w:t>Organisatoriska frågor</w:t>
      </w:r>
      <w:bookmarkEnd w:id="195"/>
      <w:bookmarkEnd w:id="196"/>
    </w:p>
    <w:p>
      <w:pPr>
        <w:pStyle w:val="P3"/>
      </w:pPr>
      <w:r>
        <w:t>Markanvisningsavtal</w:t>
      </w:r>
    </w:p>
    <w:p>
      <w:bookmarkStart w:id="197" w:name="gf_markanvisning01"/>
      <w:r>
        <w:t>Ett markanvisningsavtal har upprättats mellan kommunen och AB Gavlegårdarna som möjliggör att AB Gavlegårdarna kan ansöka om planbesked på kommunens fastighet och kan förvärva fastigheten när detaljplanen vinner laga kraft.</w:t>
      </w:r>
    </w:p>
    <w:p>
      <w:r>
        <w:t>Att Kommunstyrelsen godkände markanvisningsavtal mellan Gävle kommun och AB Gavlegårdarna (dnr: 22KS349) var en förutsättning för att samhällsbyggnadsnämnden skulle ge Livsmiljö Gävle i uppdrag att upprätta detaljplan.</w:t>
      </w:r>
    </w:p>
    <w:p>
      <w:pPr>
        <w:pStyle w:val="P2"/>
      </w:pPr>
      <w:bookmarkEnd w:id="197"/>
      <w:bookmarkStart w:id="198" w:name="_Toc120175203"/>
      <w:bookmarkStart w:id="199" w:name="_Toc120175264"/>
      <w:r>
        <w:t>Ekonomiska frågor</w:t>
      </w:r>
      <w:bookmarkEnd w:id="198"/>
      <w:bookmarkEnd w:id="199"/>
    </w:p>
    <w:p>
      <w:pPr>
        <w:pStyle w:val="P3"/>
      </w:pPr>
      <w:r>
        <w:t>Planavgift</w:t>
      </w:r>
    </w:p>
    <w:p>
      <w:bookmarkStart w:id="200" w:name="gf_planavgift01"/>
      <w:r>
        <w:t>Planavtal som reglerar planavgift har tecknats mellan AB Gavlegårdarna och Gävle kommun.</w:t>
      </w:r>
    </w:p>
    <w:p>
      <w:pPr>
        <w:pStyle w:val="P3"/>
      </w:pPr>
      <w:bookmarkEnd w:id="200"/>
      <w:r>
        <w:t>Kommunalekonomiska konsekvenser</w:t>
      </w:r>
    </w:p>
    <w:p>
      <w:pPr>
        <w:pStyle w:val="P4"/>
      </w:pPr>
      <w:r>
        <w:t>Intäkter</w:t>
      </w:r>
    </w:p>
    <w:p>
      <w:bookmarkStart w:id="201" w:name="gf_planekonomiskbedömning01"/>
      <w:r>
        <w:t>När detaljplanen fått laga kraft ska ett överlåtelseavtal gällande Sätra 174:1 skrivas mellan kommun och AB Gavlegårdarna. Detaljplanen innebär intäkter för kommunen i form av den köpeskilling som sammanställs efter beviljat bygglov.</w:t>
      </w:r>
    </w:p>
    <w:p>
      <w:pPr>
        <w:pStyle w:val="P4"/>
      </w:pPr>
      <w:bookmarkEnd w:id="201"/>
      <w:r>
        <w:t>Kostnader</w:t>
      </w:r>
    </w:p>
    <w:p>
      <w:bookmarkStart w:id="202" w:name="gf_planekonomiskbedömning02"/>
      <w:r>
        <w:t>Enligt markanvisningsavtal som upprättats mellan kommunen och AB Gavlegårdarna ansvarar kommunen för att avverka de träd som står på fastigheten, avverkningen ska ske i samråd med Gavlegårdarna. Kommunen ska även bekosta fastighetsregleringar och upphävande/upprättande av servitut nödvändiga för detaljplanens genomförande.</w:t>
      </w:r>
    </w:p>
    <w:p>
      <w:pPr>
        <w:pStyle w:val="P3"/>
      </w:pPr>
      <w:bookmarkEnd w:id="202"/>
      <w:r>
        <w:t>Exploatörens kostnadsansvar i genomförandet</w:t>
      </w:r>
    </w:p>
    <w:p>
      <w:pPr>
        <w:pStyle w:val="P22"/>
        <w:rPr>
          <w:color w:val="auto"/>
        </w:rPr>
      </w:pPr>
      <w:bookmarkStart w:id="203" w:name="gf_markanvisning02"/>
      <w:r>
        <w:rPr>
          <w:color w:val="auto"/>
        </w:rPr>
        <w:t>Exploatörens kostnadsansvar är reglerat i markanvisningsavtalet som upprättats mellan kommunen och exploatören AB Gavlegårdarna och omfattar:</w:t>
      </w:r>
    </w:p>
    <w:p>
      <w:pPr>
        <w:pStyle w:val="P22"/>
        <w:numPr>
          <w:ilvl w:val="0"/>
          <w:numId w:val="13"/>
        </w:numPr>
        <w:spacing w:lineRule="auto" w:line="240" w:beforeAutospacing="0" w:afterAutospacing="0"/>
        <w:rPr>
          <w:color w:val="auto"/>
        </w:rPr>
      </w:pPr>
      <w:r>
        <w:rPr>
          <w:color w:val="auto"/>
        </w:rPr>
        <w:t>Samtliga kostnader inom fastigheten Sätra 174:1.</w:t>
      </w:r>
    </w:p>
    <w:p>
      <w:pPr>
        <w:pStyle w:val="P22"/>
        <w:numPr>
          <w:ilvl w:val="0"/>
          <w:numId w:val="13"/>
        </w:numPr>
        <w:spacing w:lineRule="auto" w:line="240" w:beforeAutospacing="0" w:afterAutospacing="0"/>
        <w:rPr>
          <w:color w:val="auto"/>
        </w:rPr>
      </w:pPr>
      <w:r>
        <w:rPr>
          <w:color w:val="auto"/>
        </w:rPr>
        <w:t>Byggnation av infart till fastigheten.</w:t>
      </w:r>
    </w:p>
    <w:p>
      <w:pPr>
        <w:pStyle w:val="P22"/>
        <w:numPr>
          <w:ilvl w:val="0"/>
          <w:numId w:val="13"/>
        </w:numPr>
        <w:spacing w:lineRule="auto" w:line="240" w:beforeAutospacing="0" w:afterAutospacing="0"/>
        <w:rPr>
          <w:color w:val="auto"/>
        </w:rPr>
      </w:pPr>
      <w:r>
        <w:rPr>
          <w:color w:val="auto"/>
        </w:rPr>
        <w:t>Anläggningsavgift för vatten och avlopp.</w:t>
      </w:r>
    </w:p>
    <w:p>
      <w:pPr>
        <w:pStyle w:val="P22"/>
        <w:numPr>
          <w:ilvl w:val="0"/>
          <w:numId w:val="13"/>
        </w:numPr>
        <w:spacing w:lineRule="auto" w:line="240" w:beforeAutospacing="0" w:afterAutospacing="0"/>
        <w:rPr>
          <w:color w:val="auto"/>
        </w:rPr>
      </w:pPr>
      <w:r>
        <w:rPr>
          <w:color w:val="auto"/>
        </w:rPr>
        <w:t>Anslutningsavgift för el och fjärrvärme.</w:t>
      </w:r>
    </w:p>
    <w:p>
      <w:pPr>
        <w:pStyle w:val="P1"/>
      </w:pPr>
      <w:bookmarkEnd w:id="203"/>
      <w:bookmarkStart w:id="204" w:name="_Toc120175212"/>
      <w:bookmarkStart w:id="205" w:name="_Toc140225123"/>
      <w:bookmarkStart w:id="206" w:name="_Toc120175296"/>
      <w:bookmarkStart w:id="207" w:name="_Toc120175287"/>
      <w:bookmarkStart w:id="208" w:name="_Toc120175273"/>
      <w:r>
        <w:t>Betydande miljöpåverkan</w:t>
      </w:r>
      <w:bookmarkEnd w:id="204"/>
      <w:bookmarkEnd w:id="205"/>
      <w:bookmarkEnd w:id="206"/>
      <w:bookmarkEnd w:id="207"/>
      <w:bookmarkEnd w:id="208"/>
    </w:p>
    <w:p>
      <w:bookmarkStart w:id="209" w:name="pu_undersökningenl6kap6_mb01"/>
      <w:r>
        <w:t>När en kommun upprättar eller ändrar en detaljplan ska kommunen undersöka om detaljplanens genomförande kan antas medföra en betydande miljöpåverkan.</w:t>
      </w:r>
    </w:p>
    <w:p>
      <w:pPr>
        <w:pStyle w:val="P2"/>
      </w:pPr>
      <w:bookmarkEnd w:id="209"/>
      <w:bookmarkStart w:id="210" w:name="_Toc120175213"/>
      <w:bookmarkStart w:id="211" w:name="_Toc120175274"/>
      <w:r>
        <w:t>Undersökning om betydande miljöpåverkan</w:t>
      </w:r>
      <w:bookmarkEnd w:id="210"/>
      <w:bookmarkEnd w:id="211"/>
    </w:p>
    <w:p>
      <w:bookmarkStart w:id="212" w:name="pu_undersökningenl6kap6_mb02"/>
      <w:r>
        <w:t>En undersökning om betydande miljöpåverkan har upprättats i enlighet med plan- och bygglagen 5 kap 11 a § och miljöbalken 6 kap 5 §.</w:t>
      </w:r>
    </w:p>
    <w:p>
      <w:r>
        <w:t>Kommunens bedömning är att ett genomförande av planen inte kommer att innebära en betydande miljöpåverkan, och att därför ingen strategisk miljöbedömning med tillhörande miljökonsekvensbeskrivning behöver upprättas.</w:t>
      </w:r>
    </w:p>
    <w:p>
      <w:r>
        <w:t>Bedömningen motiveras av att de frågor som identifierats kan lösas inom ramen för detaljplanen. Miljöfrågor om dagvattenhantering, översvämningsrisk och naturvärden hanteras vidare i detaljplanearbetet.</w:t>
      </w:r>
    </w:p>
    <w:p>
      <w:pPr>
        <w:pStyle w:val="P2"/>
      </w:pPr>
      <w:bookmarkEnd w:id="212"/>
      <w:r>
        <w:t>Länsstyrelsens ställningstagande</w:t>
      </w:r>
    </w:p>
    <w:p>
      <w:bookmarkStart w:id="213" w:name="pu_särskiltbeslutombetydandemiljöpåver01"/>
      <w:r>
        <w:t>Länsstyrelsen delade kommunens ställningstagande i yttrande daterat 2023-03-03.</w:t>
      </w:r>
    </w:p>
    <w:p>
      <w:pPr>
        <w:pStyle w:val="P1"/>
      </w:pPr>
      <w:bookmarkEnd w:id="213"/>
      <w:bookmarkStart w:id="214" w:name="_Toc120175211"/>
      <w:bookmarkStart w:id="215" w:name="_Toc140225124"/>
      <w:bookmarkStart w:id="216" w:name="_Toc120175272"/>
      <w:r>
        <w:t>Utredningar</w:t>
      </w:r>
      <w:bookmarkEnd w:id="214"/>
      <w:bookmarkEnd w:id="215"/>
      <w:bookmarkEnd w:id="216"/>
    </w:p>
    <w:p>
      <w:r>
        <w:t>Nedan listas de utredningar som tagits fram under detaljplanearbetet och som legat till grund för detaljplanens utformning.</w:t>
      </w:r>
    </w:p>
    <w:p>
      <w:pPr>
        <w:pStyle w:val="P6"/>
        <w:numPr>
          <w:ilvl w:val="0"/>
          <w:numId w:val="5"/>
        </w:numPr>
      </w:pPr>
      <w:bookmarkStart w:id="217" w:name="pu_dagvattenutredning01"/>
      <w:r>
        <w:t>Tyréns, 2023-09-28. Dagvattenutredning. Sätra 174:1, Gävle.</w:t>
      </w:r>
    </w:p>
    <w:p>
      <w:pPr>
        <w:pStyle w:val="P1"/>
      </w:pPr>
      <w:bookmarkEnd w:id="217"/>
      <w:bookmarkStart w:id="218" w:name="_Toc120175215"/>
      <w:bookmarkStart w:id="219" w:name="_Toc140225125"/>
      <w:bookmarkStart w:id="220" w:name="_Toc120175288"/>
      <w:bookmarkStart w:id="221" w:name="_Toc120175297"/>
      <w:bookmarkStart w:id="222" w:name="_Toc120175276"/>
      <w:r>
        <w:t>Medverkande</w:t>
      </w:r>
      <w:bookmarkEnd w:id="218"/>
      <w:bookmarkEnd w:id="219"/>
      <w:bookmarkEnd w:id="220"/>
      <w:bookmarkEnd w:id="221"/>
      <w:bookmarkEnd w:id="222"/>
    </w:p>
    <w:p>
      <w:pPr>
        <w:pStyle w:val="P2"/>
      </w:pPr>
      <w:bookmarkStart w:id="223" w:name="_Toc120175216"/>
      <w:bookmarkStart w:id="224" w:name="_Toc120175277"/>
      <w:r>
        <w:t>Medverkande tjänstepersoner</w:t>
      </w:r>
      <w:bookmarkEnd w:id="223"/>
      <w:bookmarkEnd w:id="224"/>
    </w:p>
    <w:p>
      <w:bookmarkStart w:id="225" w:name="be_ärendeinformation02"/>
      <w:r>
        <w:t>Planhandlingarna har utarbetats av planarkitekt Elin Rosendahl. Dessutom har följande tjänstepersoner inom Livsmiljö Gävle deltagit:</w:t>
      </w:r>
    </w:p>
    <w:p>
      <w:pPr>
        <w:pStyle w:val="P6"/>
        <w:numPr>
          <w:ilvl w:val="0"/>
          <w:numId w:val="2"/>
        </w:numPr>
      </w:pPr>
      <w:r>
        <w:t>Maria Lind, kommunekolog.</w:t>
      </w:r>
    </w:p>
    <w:p>
      <w:pPr>
        <w:pStyle w:val="P6"/>
        <w:numPr>
          <w:ilvl w:val="0"/>
          <w:numId w:val="2"/>
        </w:numPr>
      </w:pPr>
      <w:r>
        <w:t>Lena Thyberg, miljöutredare.</w:t>
      </w:r>
    </w:p>
    <w:p>
      <w:r>
        <w:t>Planhandlingarna har granskats av Emma Olofsson, planingenjör.</w:t>
      </w:r>
    </w:p>
    <w:p/>
    <w:p>
      <w:pPr>
        <w:rPr>
          <w:b w:val="1"/>
          <w:bCs w:val="1"/>
        </w:rPr>
      </w:pPr>
      <w:r>
        <w:rPr>
          <w:b w:val="1"/>
          <w:bCs w:val="1"/>
        </w:rPr>
        <w:t>Livsmiljö Gävle</w:t>
      </w:r>
    </w:p>
    <w:p/>
    <w:p>
      <w:pPr>
        <w:tabs>
          <w:tab w:val="left" w:pos="4536" w:leader="none"/>
        </w:tabs>
        <w:spacing w:after="0" w:beforeAutospacing="0" w:afterAutospacing="0"/>
      </w:pPr>
      <w:r>
        <w:t>Sari Svedjeholm</w:t>
        <w:tab/>
        <w:t>Elin Rosendahl</w:t>
      </w:r>
    </w:p>
    <w:p>
      <w:pPr>
        <w:tabs>
          <w:tab w:val="left" w:pos="4536" w:leader="none"/>
        </w:tabs>
      </w:pPr>
      <w:r>
        <w:t>Planchef</w:t>
        <w:tab/>
        <w:t>Planarkitekt</w:t>
      </w:r>
      <w:bookmarkEnd w:id="225"/>
    </w:p>
    <w:sectPr>
      <w:footnotePr/>
      <w:endnotePr/>
      <w:type w:val="nextPage"/>
      <w:pgSz w:w="11906" w:h="16838" w:code="0"/>
      <w:pgMar w:left="1418" w:right="1418" w:top="1418" w:bottom="1418" w:header="709" w:footer="709" w:gutter="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 w:type="continuationNotice" w:id="1">
    <w:p>
      <w:pPr>
        <w:spacing w:lineRule="auto" w:line="240" w:after="0" w:beforeAutospacing="0" w:afterAutospacing="0"/>
      </w:pP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 w:type="continuationNotice" w:id="1">
    <w:p>
      <w:pPr>
        <w:spacing w:lineRule="auto" w:line="240" w:after="0" w:beforeAutospacing="0" w:afterAutospacing="0"/>
      </w:pP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lineRule="auto" w:line="240" w:beforeAutospacing="0" w:afterAutospacing="0"/>
      <w:ind w:left="7824"/>
      <w:rPr>
        <w:sz w:val="16"/>
        <w:szCs w:val="16"/>
      </w:rPr>
    </w:pPr>
    <w:r>
      <w:rPr>
        <w:sz w:val="16"/>
        <w:szCs w:val="16"/>
      </w:rPr>
      <w:fldChar w:fldCharType="begin"/>
    </w:r>
    <w:r>
      <w:rPr>
        <w:sz w:val="16"/>
        <w:szCs w:val="16"/>
      </w:rPr>
      <w:instrText xml:space="preserve">PAGE   \* MERGEFORMAT</w:instrText>
    </w:r>
    <w:r>
      <w:rPr>
        <w:sz w:val="16"/>
        <w:szCs w:val="16"/>
      </w:rPr>
      <w:fldChar w:fldCharType="separate"/>
    </w:r>
    <w:r>
      <w:rPr>
        <w:sz w:val="16"/>
        <w:szCs w:val="16"/>
      </w:rPr>
      <w:t>#</w:t>
    </w:r>
    <w:r>
      <w:rPr>
        <w:sz w:val="16"/>
        <w:szCs w:val="16"/>
      </w:rPr>
      <w:fldChar w:fldCharType="end"/>
    </w:r>
  </w:p>
  <w:p>
    <w:pPr>
      <w:pStyle w:val="P10"/>
      <w:spacing w:lineRule="auto" w:line="276" w:after="360" w:beforeAutospacing="0" w:afterAutospacing="0"/>
      <w:ind w:hanging="1701"/>
      <w:rPr>
        <w:rStyle w:val="C9"/>
        <w:szCs w:val="22"/>
      </w:rPr>
    </w:pPr>
    <w:r>
      <w:rPr>
        <w:rStyle w:val="C9"/>
        <w:szCs w:val="22"/>
      </w:rPr>
      <w:tab/>
      <w:t>lagakrafthandling</w:t>
    </w:r>
  </w:p>
</w:hdr>
</file>

<file path=word/numbering.xml><?xml version="1.0" encoding="utf-8"?>
<w:numbering xmlns:w="http://schemas.openxmlformats.org/wordprocessingml/2006/main">
  <w:abstractNum w:abstractNumId="0">
    <w:nsid w:val="0A65773F"/>
    <w:multiLevelType w:val="hybridMultilevel"/>
    <w:lvl w:ilvl="0" w:tplc="4F82C860">
      <w:start w:val="1"/>
      <w:numFmt w:val="bullet"/>
      <w:suff w:val="tab"/>
      <w:lvlText w:val=""/>
      <w:lvlJc w:val="left"/>
      <w:pPr>
        <w:ind w:hanging="360" w:left="1440"/>
      </w:pPr>
      <w:rPr>
        <w:rFonts w:ascii="Symbol" w:hAnsi="Symbol"/>
      </w:rPr>
    </w:lvl>
    <w:lvl w:ilvl="1" w:tplc="7EE81B60">
      <w:start w:val="1"/>
      <w:numFmt w:val="bullet"/>
      <w:suff w:val="tab"/>
      <w:lvlText w:val=""/>
      <w:lvlJc w:val="left"/>
      <w:pPr>
        <w:ind w:hanging="360" w:left="1440"/>
      </w:pPr>
      <w:rPr>
        <w:rFonts w:ascii="Symbol" w:hAnsi="Symbol"/>
      </w:rPr>
    </w:lvl>
    <w:lvl w:ilvl="2" w:tplc="B7A246DA">
      <w:start w:val="1"/>
      <w:numFmt w:val="bullet"/>
      <w:suff w:val="tab"/>
      <w:lvlText w:val=""/>
      <w:lvlJc w:val="left"/>
      <w:pPr>
        <w:ind w:hanging="360" w:left="1440"/>
      </w:pPr>
      <w:rPr>
        <w:rFonts w:ascii="Symbol" w:hAnsi="Symbol"/>
      </w:rPr>
    </w:lvl>
    <w:lvl w:ilvl="3" w:tplc="7C880E6A">
      <w:start w:val="1"/>
      <w:numFmt w:val="bullet"/>
      <w:suff w:val="tab"/>
      <w:lvlText w:val=""/>
      <w:lvlJc w:val="left"/>
      <w:pPr>
        <w:ind w:hanging="360" w:left="1440"/>
      </w:pPr>
      <w:rPr>
        <w:rFonts w:ascii="Symbol" w:hAnsi="Symbol"/>
      </w:rPr>
    </w:lvl>
    <w:lvl w:ilvl="4" w:tplc="50C0418C">
      <w:start w:val="1"/>
      <w:numFmt w:val="bullet"/>
      <w:suff w:val="tab"/>
      <w:lvlText w:val=""/>
      <w:lvlJc w:val="left"/>
      <w:pPr>
        <w:ind w:hanging="360" w:left="1440"/>
      </w:pPr>
      <w:rPr>
        <w:rFonts w:ascii="Symbol" w:hAnsi="Symbol"/>
      </w:rPr>
    </w:lvl>
    <w:lvl w:ilvl="5" w:tplc="E5628590">
      <w:start w:val="1"/>
      <w:numFmt w:val="bullet"/>
      <w:suff w:val="tab"/>
      <w:lvlText w:val=""/>
      <w:lvlJc w:val="left"/>
      <w:pPr>
        <w:ind w:hanging="360" w:left="1440"/>
      </w:pPr>
      <w:rPr>
        <w:rFonts w:ascii="Symbol" w:hAnsi="Symbol"/>
      </w:rPr>
    </w:lvl>
    <w:lvl w:ilvl="6" w:tplc="5B789AB4">
      <w:start w:val="1"/>
      <w:numFmt w:val="bullet"/>
      <w:suff w:val="tab"/>
      <w:lvlText w:val=""/>
      <w:lvlJc w:val="left"/>
      <w:pPr>
        <w:ind w:hanging="360" w:left="1440"/>
      </w:pPr>
      <w:rPr>
        <w:rFonts w:ascii="Symbol" w:hAnsi="Symbol"/>
      </w:rPr>
    </w:lvl>
    <w:lvl w:ilvl="7" w:tplc="79E6F3BE">
      <w:start w:val="1"/>
      <w:numFmt w:val="bullet"/>
      <w:suff w:val="tab"/>
      <w:lvlText w:val=""/>
      <w:lvlJc w:val="left"/>
      <w:pPr>
        <w:ind w:hanging="360" w:left="1440"/>
      </w:pPr>
      <w:rPr>
        <w:rFonts w:ascii="Symbol" w:hAnsi="Symbol"/>
      </w:rPr>
    </w:lvl>
    <w:lvl w:ilvl="8" w:tplc="5052D15C">
      <w:start w:val="1"/>
      <w:numFmt w:val="bullet"/>
      <w:suff w:val="tab"/>
      <w:lvlText w:val=""/>
      <w:lvlJc w:val="left"/>
      <w:pPr>
        <w:ind w:hanging="360" w:left="1440"/>
      </w:pPr>
      <w:rPr>
        <w:rFonts w:ascii="Symbol" w:hAnsi="Symbol"/>
      </w:rPr>
    </w:lvl>
  </w:abstractNum>
  <w:abstractNum w:abstractNumId="1">
    <w:nsid w:val="1AF43E21"/>
    <w:multiLevelType w:val="hybridMultilevel"/>
    <w:lvl w:ilvl="0" w:tplc="3AB22118">
      <w:start w:val="1"/>
      <w:numFmt w:val="bullet"/>
      <w:pStyle w:val="P6"/>
      <w:suff w:val="tab"/>
      <w:lvlText w:val=""/>
      <w:lvlJc w:val="left"/>
      <w:pPr>
        <w:ind w:hanging="360" w:left="-7176"/>
      </w:pPr>
      <w:rPr>
        <w:rFonts w:ascii="Symbol" w:hAnsi="Symbol" w:hint="default"/>
      </w:rPr>
    </w:lvl>
    <w:lvl w:ilvl="1" w:tplc="041D0003">
      <w:start w:val="1"/>
      <w:numFmt w:val="bullet"/>
      <w:suff w:val="tab"/>
      <w:lvlText w:val="o"/>
      <w:lvlJc w:val="left"/>
      <w:pPr>
        <w:ind w:hanging="360" w:left="-6456"/>
      </w:pPr>
      <w:rPr>
        <w:rFonts w:ascii="Courier New" w:hAnsi="Courier New" w:cs="Courier New" w:hint="default"/>
      </w:rPr>
    </w:lvl>
    <w:lvl w:ilvl="2" w:tplc="041D0005">
      <w:start w:val="1"/>
      <w:numFmt w:val="bullet"/>
      <w:suff w:val="tab"/>
      <w:lvlText w:val=""/>
      <w:lvlJc w:val="left"/>
      <w:pPr>
        <w:ind w:hanging="360" w:left="-5736"/>
      </w:pPr>
      <w:rPr>
        <w:rFonts w:ascii="Wingdings" w:hAnsi="Wingdings" w:hint="default"/>
      </w:rPr>
    </w:lvl>
    <w:lvl w:ilvl="3" w:tplc="041D0001">
      <w:start w:val="1"/>
      <w:numFmt w:val="bullet"/>
      <w:suff w:val="tab"/>
      <w:lvlText w:val=""/>
      <w:lvlJc w:val="left"/>
      <w:pPr>
        <w:ind w:hanging="360" w:left="-5016"/>
      </w:pPr>
      <w:rPr>
        <w:rFonts w:ascii="Symbol" w:hAnsi="Symbol" w:hint="default"/>
      </w:rPr>
    </w:lvl>
    <w:lvl w:ilvl="4" w:tplc="041D0003">
      <w:start w:val="1"/>
      <w:numFmt w:val="bullet"/>
      <w:suff w:val="tab"/>
      <w:lvlText w:val="o"/>
      <w:lvlJc w:val="left"/>
      <w:pPr>
        <w:ind w:hanging="360" w:left="-4296"/>
      </w:pPr>
      <w:rPr>
        <w:rFonts w:ascii="Courier New" w:hAnsi="Courier New" w:cs="Courier New" w:hint="default"/>
      </w:rPr>
    </w:lvl>
    <w:lvl w:ilvl="5" w:tplc="041D0005">
      <w:start w:val="1"/>
      <w:numFmt w:val="bullet"/>
      <w:suff w:val="tab"/>
      <w:lvlText w:val=""/>
      <w:lvlJc w:val="left"/>
      <w:pPr>
        <w:ind w:hanging="360" w:left="-3576"/>
      </w:pPr>
      <w:rPr>
        <w:rFonts w:ascii="Wingdings" w:hAnsi="Wingdings" w:hint="default"/>
      </w:rPr>
    </w:lvl>
    <w:lvl w:ilvl="6" w:tplc="041D0001">
      <w:start w:val="1"/>
      <w:numFmt w:val="bullet"/>
      <w:suff w:val="tab"/>
      <w:lvlText w:val=""/>
      <w:lvlJc w:val="left"/>
      <w:pPr>
        <w:ind w:hanging="360" w:left="-2856"/>
      </w:pPr>
      <w:rPr>
        <w:rFonts w:ascii="Symbol" w:hAnsi="Symbol" w:hint="default"/>
      </w:rPr>
    </w:lvl>
    <w:lvl w:ilvl="7" w:tplc="041D0003">
      <w:start w:val="1"/>
      <w:numFmt w:val="bullet"/>
      <w:suff w:val="tab"/>
      <w:lvlText w:val="o"/>
      <w:lvlJc w:val="left"/>
      <w:pPr>
        <w:ind w:hanging="360" w:left="-2136"/>
      </w:pPr>
      <w:rPr>
        <w:rFonts w:ascii="Courier New" w:hAnsi="Courier New" w:cs="Courier New" w:hint="default"/>
      </w:rPr>
    </w:lvl>
    <w:lvl w:ilvl="8" w:tplc="041D0005">
      <w:start w:val="1"/>
      <w:numFmt w:val="bullet"/>
      <w:suff w:val="tab"/>
      <w:lvlText w:val=""/>
      <w:lvlJc w:val="left"/>
      <w:pPr>
        <w:ind w:hanging="360" w:left="-1416"/>
      </w:pPr>
      <w:rPr>
        <w:rFonts w:ascii="Wingdings" w:hAnsi="Wingdings" w:hint="default"/>
      </w:rPr>
    </w:lvl>
  </w:abstractNum>
  <w:abstractNum w:abstractNumId="2">
    <w:nsid w:val="1CD1295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336902B4"/>
    <w:multiLevelType w:val="multilevel"/>
    <w:lvl w:ilvl="0">
      <w:start w:val="1"/>
      <w:numFmt w:val="bullet"/>
      <w:suff w:val="tab"/>
      <w:lvlText w:val=""/>
      <w:lvlJc w:val="left"/>
      <w:pPr>
        <w:ind w:hanging="720" w:left="720"/>
        <w:tabs>
          <w:tab w:val="num" w:pos="720" w:leader="none"/>
        </w:tabs>
      </w:pPr>
      <w:rPr>
        <w:rFonts w:ascii="Symbol" w:hAnsi="Symbol" w:hint="default"/>
      </w:rPr>
    </w:lvl>
    <w:lvl w:ilvl="1">
      <w:start w:val="1"/>
      <w:numFmt w:val="decimal"/>
      <w:suff w:val="tab"/>
      <w:lvlText w:val="%2."/>
      <w:lvlJc w:val="left"/>
      <w:pPr>
        <w:ind w:hanging="720" w:left="1440"/>
        <w:tabs>
          <w:tab w:val="num" w:pos="1440" w:leader="none"/>
        </w:tabs>
      </w:pPr>
      <w:rPr/>
    </w:lvl>
    <w:lvl w:ilvl="2">
      <w:start w:val="1"/>
      <w:numFmt w:val="decimal"/>
      <w:suff w:val="tab"/>
      <w:lvlText w:val="%3."/>
      <w:lvlJc w:val="left"/>
      <w:pPr>
        <w:ind w:hanging="720" w:left="2160"/>
        <w:tabs>
          <w:tab w:val="num" w:pos="2160" w:leader="none"/>
        </w:tabs>
      </w:pPr>
      <w:rPr/>
    </w:lvl>
    <w:lvl w:ilvl="3">
      <w:start w:val="1"/>
      <w:numFmt w:val="decimal"/>
      <w:suff w:val="tab"/>
      <w:lvlText w:val="%4."/>
      <w:lvlJc w:val="left"/>
      <w:pPr>
        <w:ind w:hanging="720" w:left="2880"/>
        <w:tabs>
          <w:tab w:val="num" w:pos="2880" w:leader="none"/>
        </w:tabs>
      </w:pPr>
      <w:rPr/>
    </w:lvl>
    <w:lvl w:ilvl="4">
      <w:start w:val="1"/>
      <w:numFmt w:val="decimal"/>
      <w:suff w:val="tab"/>
      <w:lvlText w:val="%5."/>
      <w:lvlJc w:val="left"/>
      <w:pPr>
        <w:ind w:hanging="720" w:left="3600"/>
        <w:tabs>
          <w:tab w:val="num" w:pos="3600" w:leader="none"/>
        </w:tabs>
      </w:pPr>
      <w:rPr/>
    </w:lvl>
    <w:lvl w:ilvl="5">
      <w:start w:val="1"/>
      <w:numFmt w:val="decimal"/>
      <w:suff w:val="tab"/>
      <w:lvlText w:val="%6."/>
      <w:lvlJc w:val="left"/>
      <w:pPr>
        <w:ind w:hanging="720" w:left="4320"/>
        <w:tabs>
          <w:tab w:val="num" w:pos="4320" w:leader="none"/>
        </w:tabs>
      </w:pPr>
      <w:rPr/>
    </w:lvl>
    <w:lvl w:ilvl="6">
      <w:start w:val="1"/>
      <w:numFmt w:val="decimal"/>
      <w:suff w:val="tab"/>
      <w:lvlText w:val="%7."/>
      <w:lvlJc w:val="left"/>
      <w:pPr>
        <w:ind w:hanging="720" w:left="5040"/>
        <w:tabs>
          <w:tab w:val="num" w:pos="5040" w:leader="none"/>
        </w:tabs>
      </w:pPr>
      <w:rPr/>
    </w:lvl>
    <w:lvl w:ilvl="7">
      <w:start w:val="1"/>
      <w:numFmt w:val="decimal"/>
      <w:suff w:val="tab"/>
      <w:lvlText w:val="%8."/>
      <w:lvlJc w:val="left"/>
      <w:pPr>
        <w:ind w:hanging="720" w:left="5760"/>
        <w:tabs>
          <w:tab w:val="num" w:pos="5760" w:leader="none"/>
        </w:tabs>
      </w:pPr>
      <w:rPr/>
    </w:lvl>
    <w:lvl w:ilvl="8">
      <w:start w:val="1"/>
      <w:numFmt w:val="decimal"/>
      <w:suff w:val="tab"/>
      <w:lvlText w:val="%9."/>
      <w:lvlJc w:val="left"/>
      <w:pPr>
        <w:ind w:hanging="720" w:left="6480"/>
        <w:tabs>
          <w:tab w:val="num" w:pos="6480" w:leader="none"/>
        </w:tabs>
      </w:pPr>
      <w:rPr/>
    </w:lvl>
  </w:abstractNum>
  <w:abstractNum w:abstractNumId="4">
    <w:nsid w:val="3D830755"/>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5">
    <w:nsid w:val="3E446C62"/>
    <w:multiLevelType w:val="multilevel"/>
    <w:lvl w:ilvl="0">
      <w:start w:val="1"/>
      <w:numFmt w:val="bullet"/>
      <w:suff w:val="tab"/>
      <w:lvlText w:val=""/>
      <w:lvlJc w:val="left"/>
      <w:pPr>
        <w:ind w:hanging="720" w:left="720"/>
        <w:tabs>
          <w:tab w:val="num" w:pos="720" w:leader="none"/>
        </w:tabs>
      </w:pPr>
      <w:rPr>
        <w:rFonts w:ascii="Symbol" w:hAnsi="Symbol" w:hint="default"/>
      </w:rPr>
    </w:lvl>
    <w:lvl w:ilvl="1">
      <w:start w:val="1"/>
      <w:numFmt w:val="decimal"/>
      <w:suff w:val="tab"/>
      <w:lvlText w:val="%2."/>
      <w:lvlJc w:val="left"/>
      <w:pPr>
        <w:ind w:hanging="720" w:left="1440"/>
        <w:tabs>
          <w:tab w:val="num" w:pos="1440" w:leader="none"/>
        </w:tabs>
      </w:pPr>
      <w:rPr/>
    </w:lvl>
    <w:lvl w:ilvl="2">
      <w:start w:val="1"/>
      <w:numFmt w:val="decimal"/>
      <w:suff w:val="tab"/>
      <w:lvlText w:val="%3."/>
      <w:lvlJc w:val="left"/>
      <w:pPr>
        <w:ind w:hanging="720" w:left="2160"/>
        <w:tabs>
          <w:tab w:val="num" w:pos="2160" w:leader="none"/>
        </w:tabs>
      </w:pPr>
      <w:rPr/>
    </w:lvl>
    <w:lvl w:ilvl="3">
      <w:start w:val="1"/>
      <w:numFmt w:val="decimal"/>
      <w:suff w:val="tab"/>
      <w:lvlText w:val="%4."/>
      <w:lvlJc w:val="left"/>
      <w:pPr>
        <w:ind w:hanging="720" w:left="2880"/>
        <w:tabs>
          <w:tab w:val="num" w:pos="2880" w:leader="none"/>
        </w:tabs>
      </w:pPr>
      <w:rPr/>
    </w:lvl>
    <w:lvl w:ilvl="4">
      <w:start w:val="1"/>
      <w:numFmt w:val="decimal"/>
      <w:suff w:val="tab"/>
      <w:lvlText w:val="%5."/>
      <w:lvlJc w:val="left"/>
      <w:pPr>
        <w:ind w:hanging="720" w:left="3600"/>
        <w:tabs>
          <w:tab w:val="num" w:pos="3600" w:leader="none"/>
        </w:tabs>
      </w:pPr>
      <w:rPr/>
    </w:lvl>
    <w:lvl w:ilvl="5">
      <w:start w:val="1"/>
      <w:numFmt w:val="decimal"/>
      <w:suff w:val="tab"/>
      <w:lvlText w:val="%6."/>
      <w:lvlJc w:val="left"/>
      <w:pPr>
        <w:ind w:hanging="720" w:left="4320"/>
        <w:tabs>
          <w:tab w:val="num" w:pos="4320" w:leader="none"/>
        </w:tabs>
      </w:pPr>
      <w:rPr/>
    </w:lvl>
    <w:lvl w:ilvl="6">
      <w:start w:val="1"/>
      <w:numFmt w:val="decimal"/>
      <w:suff w:val="tab"/>
      <w:lvlText w:val="%7."/>
      <w:lvlJc w:val="left"/>
      <w:pPr>
        <w:ind w:hanging="720" w:left="5040"/>
        <w:tabs>
          <w:tab w:val="num" w:pos="5040" w:leader="none"/>
        </w:tabs>
      </w:pPr>
      <w:rPr/>
    </w:lvl>
    <w:lvl w:ilvl="7">
      <w:start w:val="1"/>
      <w:numFmt w:val="decimal"/>
      <w:suff w:val="tab"/>
      <w:lvlText w:val="%8."/>
      <w:lvlJc w:val="left"/>
      <w:pPr>
        <w:ind w:hanging="720" w:left="5760"/>
        <w:tabs>
          <w:tab w:val="num" w:pos="5760" w:leader="none"/>
        </w:tabs>
      </w:pPr>
      <w:rPr/>
    </w:lvl>
    <w:lvl w:ilvl="8">
      <w:start w:val="1"/>
      <w:numFmt w:val="decimal"/>
      <w:suff w:val="tab"/>
      <w:lvlText w:val="%9."/>
      <w:lvlJc w:val="left"/>
      <w:pPr>
        <w:ind w:hanging="720" w:left="6480"/>
        <w:tabs>
          <w:tab w:val="num" w:pos="6480" w:leader="none"/>
        </w:tabs>
      </w:pPr>
      <w:rPr/>
    </w:lvl>
  </w:abstractNum>
  <w:abstractNum w:abstractNumId="6">
    <w:nsid w:val="40B34A7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48774248"/>
    <w:multiLevelType w:val="hybridMultilevel"/>
    <w:lvl w:ilvl="0" w:tplc="041D000F">
      <w:start w:val="1"/>
      <w:numFmt w:val="decimal"/>
      <w:suff w:val="tab"/>
      <w:lvlText w:val="%1."/>
      <w:lvlJc w:val="left"/>
      <w:pPr>
        <w:ind w:hanging="360" w:left="720"/>
      </w:pPr>
      <w:rPr>
        <w:rFonts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8">
    <w:nsid w:val="49F632A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55D22535"/>
    <w:multiLevelType w:val="multilevel"/>
    <w:lvl w:ilvl="0">
      <w:start w:val="1"/>
      <w:numFmt w:val="bullet"/>
      <w:suff w:val="tab"/>
      <w:lvlText w:val=""/>
      <w:lvlJc w:val="left"/>
      <w:pPr>
        <w:ind w:hanging="720" w:left="720"/>
        <w:tabs>
          <w:tab w:val="num" w:pos="720" w:leader="none"/>
        </w:tabs>
      </w:pPr>
      <w:rPr>
        <w:rFonts w:ascii="Symbol" w:hAnsi="Symbol" w:hint="default"/>
      </w:rPr>
    </w:lvl>
    <w:lvl w:ilvl="1">
      <w:start w:val="1"/>
      <w:numFmt w:val="decimal"/>
      <w:suff w:val="tab"/>
      <w:lvlText w:val="%2."/>
      <w:lvlJc w:val="left"/>
      <w:pPr>
        <w:ind w:hanging="720" w:left="1440"/>
        <w:tabs>
          <w:tab w:val="num" w:pos="1440" w:leader="none"/>
        </w:tabs>
      </w:pPr>
      <w:rPr/>
    </w:lvl>
    <w:lvl w:ilvl="2">
      <w:start w:val="1"/>
      <w:numFmt w:val="decimal"/>
      <w:suff w:val="tab"/>
      <w:lvlText w:val="%3."/>
      <w:lvlJc w:val="left"/>
      <w:pPr>
        <w:ind w:hanging="720" w:left="2160"/>
        <w:tabs>
          <w:tab w:val="num" w:pos="2160" w:leader="none"/>
        </w:tabs>
      </w:pPr>
      <w:rPr/>
    </w:lvl>
    <w:lvl w:ilvl="3">
      <w:start w:val="1"/>
      <w:numFmt w:val="decimal"/>
      <w:suff w:val="tab"/>
      <w:lvlText w:val="%4."/>
      <w:lvlJc w:val="left"/>
      <w:pPr>
        <w:ind w:hanging="720" w:left="2880"/>
        <w:tabs>
          <w:tab w:val="num" w:pos="2880" w:leader="none"/>
        </w:tabs>
      </w:pPr>
      <w:rPr/>
    </w:lvl>
    <w:lvl w:ilvl="4">
      <w:start w:val="1"/>
      <w:numFmt w:val="decimal"/>
      <w:suff w:val="tab"/>
      <w:lvlText w:val="%5."/>
      <w:lvlJc w:val="left"/>
      <w:pPr>
        <w:ind w:hanging="720" w:left="3600"/>
        <w:tabs>
          <w:tab w:val="num" w:pos="3600" w:leader="none"/>
        </w:tabs>
      </w:pPr>
      <w:rPr/>
    </w:lvl>
    <w:lvl w:ilvl="5">
      <w:start w:val="1"/>
      <w:numFmt w:val="decimal"/>
      <w:suff w:val="tab"/>
      <w:lvlText w:val="%6."/>
      <w:lvlJc w:val="left"/>
      <w:pPr>
        <w:ind w:hanging="720" w:left="4320"/>
        <w:tabs>
          <w:tab w:val="num" w:pos="4320" w:leader="none"/>
        </w:tabs>
      </w:pPr>
      <w:rPr/>
    </w:lvl>
    <w:lvl w:ilvl="6">
      <w:start w:val="1"/>
      <w:numFmt w:val="decimal"/>
      <w:suff w:val="tab"/>
      <w:lvlText w:val="%7."/>
      <w:lvlJc w:val="left"/>
      <w:pPr>
        <w:ind w:hanging="720" w:left="5040"/>
        <w:tabs>
          <w:tab w:val="num" w:pos="5040" w:leader="none"/>
        </w:tabs>
      </w:pPr>
      <w:rPr/>
    </w:lvl>
    <w:lvl w:ilvl="7">
      <w:start w:val="1"/>
      <w:numFmt w:val="decimal"/>
      <w:suff w:val="tab"/>
      <w:lvlText w:val="%8."/>
      <w:lvlJc w:val="left"/>
      <w:pPr>
        <w:ind w:hanging="720" w:left="5760"/>
        <w:tabs>
          <w:tab w:val="num" w:pos="5760" w:leader="none"/>
        </w:tabs>
      </w:pPr>
      <w:rPr/>
    </w:lvl>
    <w:lvl w:ilvl="8">
      <w:start w:val="1"/>
      <w:numFmt w:val="decimal"/>
      <w:suff w:val="tab"/>
      <w:lvlText w:val="%9."/>
      <w:lvlJc w:val="left"/>
      <w:pPr>
        <w:ind w:hanging="720" w:left="6480"/>
        <w:tabs>
          <w:tab w:val="num" w:pos="6480" w:leader="none"/>
        </w:tabs>
      </w:pPr>
      <w:rPr/>
    </w:lvl>
  </w:abstractNum>
  <w:abstractNum w:abstractNumId="10">
    <w:nsid w:val="59B3773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5B8B2B5B"/>
    <w:multiLevelType w:val="hybridMultilevel"/>
    <w:lvl w:ilvl="0" w:tplc="67E65A60">
      <w:start w:val="0"/>
      <w:numFmt w:val="bullet"/>
      <w:suff w:val="tab"/>
      <w:lvlText w:val="-"/>
      <w:lvlJc w:val="left"/>
      <w:pPr>
        <w:ind w:hanging="360" w:left="720"/>
      </w:pPr>
      <w:rPr>
        <w:rFonts w:ascii="Arial" w:hAnsi="Arial" w:cs="Arial"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67283A1E"/>
    <w:multiLevelType w:val="multilevel"/>
    <w:lvl w:ilvl="0">
      <w:start w:val="1"/>
      <w:numFmt w:val="bullet"/>
      <w:suff w:val="tab"/>
      <w:lvlText w:val=""/>
      <w:lvlJc w:val="left"/>
      <w:pPr>
        <w:ind w:hanging="720" w:left="720"/>
        <w:tabs>
          <w:tab w:val="num" w:pos="720" w:leader="none"/>
        </w:tabs>
      </w:pPr>
      <w:rPr>
        <w:rFonts w:ascii="Symbol" w:hAnsi="Symbol" w:hint="default"/>
      </w:rPr>
    </w:lvl>
    <w:lvl w:ilvl="1">
      <w:start w:val="1"/>
      <w:numFmt w:val="decimal"/>
      <w:suff w:val="tab"/>
      <w:lvlText w:val="%2."/>
      <w:lvlJc w:val="left"/>
      <w:pPr>
        <w:ind w:hanging="720" w:left="1440"/>
        <w:tabs>
          <w:tab w:val="num" w:pos="1440" w:leader="none"/>
        </w:tabs>
      </w:pPr>
      <w:rPr/>
    </w:lvl>
    <w:lvl w:ilvl="2">
      <w:start w:val="1"/>
      <w:numFmt w:val="decimal"/>
      <w:suff w:val="tab"/>
      <w:lvlText w:val="%3."/>
      <w:lvlJc w:val="left"/>
      <w:pPr>
        <w:ind w:hanging="720" w:left="2160"/>
        <w:tabs>
          <w:tab w:val="num" w:pos="2160" w:leader="none"/>
        </w:tabs>
      </w:pPr>
      <w:rPr/>
    </w:lvl>
    <w:lvl w:ilvl="3">
      <w:start w:val="1"/>
      <w:numFmt w:val="decimal"/>
      <w:suff w:val="tab"/>
      <w:lvlText w:val="%4."/>
      <w:lvlJc w:val="left"/>
      <w:pPr>
        <w:ind w:hanging="720" w:left="2880"/>
        <w:tabs>
          <w:tab w:val="num" w:pos="2880" w:leader="none"/>
        </w:tabs>
      </w:pPr>
      <w:rPr/>
    </w:lvl>
    <w:lvl w:ilvl="4">
      <w:start w:val="1"/>
      <w:numFmt w:val="decimal"/>
      <w:suff w:val="tab"/>
      <w:lvlText w:val="%5."/>
      <w:lvlJc w:val="left"/>
      <w:pPr>
        <w:ind w:hanging="720" w:left="3600"/>
        <w:tabs>
          <w:tab w:val="num" w:pos="3600" w:leader="none"/>
        </w:tabs>
      </w:pPr>
      <w:rPr/>
    </w:lvl>
    <w:lvl w:ilvl="5">
      <w:start w:val="1"/>
      <w:numFmt w:val="decimal"/>
      <w:suff w:val="tab"/>
      <w:lvlText w:val="%6."/>
      <w:lvlJc w:val="left"/>
      <w:pPr>
        <w:ind w:hanging="720" w:left="4320"/>
        <w:tabs>
          <w:tab w:val="num" w:pos="4320" w:leader="none"/>
        </w:tabs>
      </w:pPr>
      <w:rPr/>
    </w:lvl>
    <w:lvl w:ilvl="6">
      <w:start w:val="1"/>
      <w:numFmt w:val="decimal"/>
      <w:suff w:val="tab"/>
      <w:lvlText w:val="%7."/>
      <w:lvlJc w:val="left"/>
      <w:pPr>
        <w:ind w:hanging="720" w:left="5040"/>
        <w:tabs>
          <w:tab w:val="num" w:pos="5040" w:leader="none"/>
        </w:tabs>
      </w:pPr>
      <w:rPr/>
    </w:lvl>
    <w:lvl w:ilvl="7">
      <w:start w:val="1"/>
      <w:numFmt w:val="decimal"/>
      <w:suff w:val="tab"/>
      <w:lvlText w:val="%8."/>
      <w:lvlJc w:val="left"/>
      <w:pPr>
        <w:ind w:hanging="720" w:left="5760"/>
        <w:tabs>
          <w:tab w:val="num" w:pos="5760" w:leader="none"/>
        </w:tabs>
      </w:pPr>
      <w:rPr/>
    </w:lvl>
    <w:lvl w:ilvl="8">
      <w:start w:val="1"/>
      <w:numFmt w:val="decimal"/>
      <w:suff w:val="tab"/>
      <w:lvlText w:val="%9."/>
      <w:lvlJc w:val="left"/>
      <w:pPr>
        <w:ind w:hanging="720" w:left="6480"/>
        <w:tabs>
          <w:tab w:val="num" w:pos="6480" w:leader="none"/>
        </w:tabs>
      </w:pPr>
      <w:rPr/>
    </w:lvl>
  </w:abstractNum>
  <w:abstractNum w:abstractNumId="13">
    <w:nsid w:val="68B001E6"/>
    <w:multiLevelType w:val="hybridMultilevel"/>
    <w:lvl w:ilvl="0" w:tplc="041D0001">
      <w:start w:val="1"/>
      <w:numFmt w:val="bullet"/>
      <w:suff w:val="tab"/>
      <w:lvlText w:val=""/>
      <w:lvlJc w:val="left"/>
      <w:pPr>
        <w:ind w:hanging="360" w:left="720"/>
      </w:pPr>
      <w:rPr>
        <w:rFonts w:ascii="Symbol" w:hAnsi="Symbol" w:hint="default"/>
      </w:rPr>
    </w:lvl>
    <w:lvl w:ilvl="1" w:tplc="FFFFFFFF">
      <w:start w:val="1"/>
      <w:numFmt w:val="bullet"/>
      <w:suff w:val="tab"/>
      <w:lvlText w:val="o"/>
      <w:lvlJc w:val="left"/>
      <w:pPr>
        <w:ind w:hanging="360" w:left="1440"/>
      </w:pPr>
      <w:rPr>
        <w:rFonts w:ascii="Courier New" w:hAnsi="Courier New" w:cs="Courier New" w:hint="default"/>
      </w:rPr>
    </w:lvl>
    <w:lvl w:ilvl="2" w:tplc="FFFFFFFF">
      <w:start w:val="1"/>
      <w:numFmt w:val="bullet"/>
      <w:suff w:val="tab"/>
      <w:lvlText w:val=""/>
      <w:lvlJc w:val="left"/>
      <w:pPr>
        <w:ind w:hanging="360" w:left="2160"/>
      </w:pPr>
      <w:rPr>
        <w:rFonts w:ascii="Wingdings" w:hAnsi="Wingdings" w:hint="default"/>
      </w:rPr>
    </w:lvl>
    <w:lvl w:ilvl="3" w:tplc="FFFFFFFF">
      <w:start w:val="1"/>
      <w:numFmt w:val="bullet"/>
      <w:suff w:val="tab"/>
      <w:lvlText w:val=""/>
      <w:lvlJc w:val="left"/>
      <w:pPr>
        <w:ind w:hanging="360" w:left="2880"/>
      </w:pPr>
      <w:rPr>
        <w:rFonts w:ascii="Symbol" w:hAnsi="Symbol" w:hint="default"/>
      </w:rPr>
    </w:lvl>
    <w:lvl w:ilvl="4" w:tplc="FFFFFFFF">
      <w:start w:val="1"/>
      <w:numFmt w:val="bullet"/>
      <w:suff w:val="tab"/>
      <w:lvlText w:val="o"/>
      <w:lvlJc w:val="left"/>
      <w:pPr>
        <w:ind w:hanging="360" w:left="3600"/>
      </w:pPr>
      <w:rPr>
        <w:rFonts w:ascii="Courier New" w:hAnsi="Courier New" w:cs="Courier New" w:hint="default"/>
      </w:rPr>
    </w:lvl>
    <w:lvl w:ilvl="5" w:tplc="FFFFFFFF">
      <w:start w:val="1"/>
      <w:numFmt w:val="bullet"/>
      <w:suff w:val="tab"/>
      <w:lvlText w:val=""/>
      <w:lvlJc w:val="left"/>
      <w:pPr>
        <w:ind w:hanging="360" w:left="4320"/>
      </w:pPr>
      <w:rPr>
        <w:rFonts w:ascii="Wingdings" w:hAnsi="Wingdings" w:hint="default"/>
      </w:rPr>
    </w:lvl>
    <w:lvl w:ilvl="6" w:tplc="FFFFFFFF">
      <w:start w:val="1"/>
      <w:numFmt w:val="bullet"/>
      <w:suff w:val="tab"/>
      <w:lvlText w:val=""/>
      <w:lvlJc w:val="left"/>
      <w:pPr>
        <w:ind w:hanging="360" w:left="5040"/>
      </w:pPr>
      <w:rPr>
        <w:rFonts w:ascii="Symbol" w:hAnsi="Symbol" w:hint="default"/>
      </w:rPr>
    </w:lvl>
    <w:lvl w:ilvl="7" w:tplc="FFFFFFFF">
      <w:start w:val="1"/>
      <w:numFmt w:val="bullet"/>
      <w:suff w:val="tab"/>
      <w:lvlText w:val="o"/>
      <w:lvlJc w:val="left"/>
      <w:pPr>
        <w:ind w:hanging="360" w:left="5760"/>
      </w:pPr>
      <w:rPr>
        <w:rFonts w:ascii="Courier New" w:hAnsi="Courier New" w:cs="Courier New" w:hint="default"/>
      </w:rPr>
    </w:lvl>
    <w:lvl w:ilvl="8" w:tplc="FFFFFFFF">
      <w:start w:val="1"/>
      <w:numFmt w:val="bullet"/>
      <w:suff w:val="tab"/>
      <w:lvlText w:val=""/>
      <w:lvlJc w:val="left"/>
      <w:pPr>
        <w:ind w:hanging="360" w:left="6480"/>
      </w:pPr>
      <w:rPr>
        <w:rFonts w:ascii="Wingdings" w:hAnsi="Wingdings" w:hint="default"/>
      </w:rPr>
    </w:lvl>
  </w:abstractNum>
  <w:abstractNum w:abstractNumId="14">
    <w:nsid w:val="7B49691B"/>
    <w:multiLevelType w:val="hybridMultilevel"/>
    <w:lvl w:ilvl="0" w:tplc="A1769388">
      <w:start w:val="1"/>
      <w:numFmt w:val="bullet"/>
      <w:suff w:val="tab"/>
      <w:lvlText w:val=""/>
      <w:lvlJc w:val="left"/>
      <w:pPr>
        <w:ind w:hanging="360" w:left="1440"/>
      </w:pPr>
      <w:rPr>
        <w:rFonts w:ascii="Symbol" w:hAnsi="Symbol"/>
      </w:rPr>
    </w:lvl>
    <w:lvl w:ilvl="1" w:tplc="37F8A672">
      <w:start w:val="1"/>
      <w:numFmt w:val="bullet"/>
      <w:suff w:val="tab"/>
      <w:lvlText w:val=""/>
      <w:lvlJc w:val="left"/>
      <w:pPr>
        <w:ind w:hanging="360" w:left="1440"/>
      </w:pPr>
      <w:rPr>
        <w:rFonts w:ascii="Symbol" w:hAnsi="Symbol"/>
      </w:rPr>
    </w:lvl>
    <w:lvl w:ilvl="2" w:tplc="D116F190">
      <w:start w:val="1"/>
      <w:numFmt w:val="bullet"/>
      <w:suff w:val="tab"/>
      <w:lvlText w:val=""/>
      <w:lvlJc w:val="left"/>
      <w:pPr>
        <w:ind w:hanging="360" w:left="1440"/>
      </w:pPr>
      <w:rPr>
        <w:rFonts w:ascii="Symbol" w:hAnsi="Symbol"/>
      </w:rPr>
    </w:lvl>
    <w:lvl w:ilvl="3" w:tplc="EAF2CC5A">
      <w:start w:val="1"/>
      <w:numFmt w:val="bullet"/>
      <w:suff w:val="tab"/>
      <w:lvlText w:val=""/>
      <w:lvlJc w:val="left"/>
      <w:pPr>
        <w:ind w:hanging="360" w:left="1440"/>
      </w:pPr>
      <w:rPr>
        <w:rFonts w:ascii="Symbol" w:hAnsi="Symbol"/>
      </w:rPr>
    </w:lvl>
    <w:lvl w:ilvl="4" w:tplc="23FAA04E">
      <w:start w:val="1"/>
      <w:numFmt w:val="bullet"/>
      <w:suff w:val="tab"/>
      <w:lvlText w:val=""/>
      <w:lvlJc w:val="left"/>
      <w:pPr>
        <w:ind w:hanging="360" w:left="1440"/>
      </w:pPr>
      <w:rPr>
        <w:rFonts w:ascii="Symbol" w:hAnsi="Symbol"/>
      </w:rPr>
    </w:lvl>
    <w:lvl w:ilvl="5" w:tplc="3E408DFE">
      <w:start w:val="1"/>
      <w:numFmt w:val="bullet"/>
      <w:suff w:val="tab"/>
      <w:lvlText w:val=""/>
      <w:lvlJc w:val="left"/>
      <w:pPr>
        <w:ind w:hanging="360" w:left="1440"/>
      </w:pPr>
      <w:rPr>
        <w:rFonts w:ascii="Symbol" w:hAnsi="Symbol"/>
      </w:rPr>
    </w:lvl>
    <w:lvl w:ilvl="6" w:tplc="F4FCEBFE">
      <w:start w:val="1"/>
      <w:numFmt w:val="bullet"/>
      <w:suff w:val="tab"/>
      <w:lvlText w:val=""/>
      <w:lvlJc w:val="left"/>
      <w:pPr>
        <w:ind w:hanging="360" w:left="1440"/>
      </w:pPr>
      <w:rPr>
        <w:rFonts w:ascii="Symbol" w:hAnsi="Symbol"/>
      </w:rPr>
    </w:lvl>
    <w:lvl w:ilvl="7" w:tplc="02BC37CE">
      <w:start w:val="1"/>
      <w:numFmt w:val="bullet"/>
      <w:suff w:val="tab"/>
      <w:lvlText w:val=""/>
      <w:lvlJc w:val="left"/>
      <w:pPr>
        <w:ind w:hanging="360" w:left="1440"/>
      </w:pPr>
      <w:rPr>
        <w:rFonts w:ascii="Symbol" w:hAnsi="Symbol"/>
      </w:rPr>
    </w:lvl>
    <w:lvl w:ilvl="8" w:tplc="2AFC7254">
      <w:start w:val="1"/>
      <w:numFmt w:val="bullet"/>
      <w:suff w:val="tab"/>
      <w:lvlText w:val=""/>
      <w:lvlJc w:val="left"/>
      <w:pPr>
        <w:ind w:hanging="360" w:left="1440"/>
      </w:pPr>
      <w:rPr>
        <w:rFonts w:ascii="Symbol" w:hAnsi="Symbol"/>
      </w:rPr>
    </w:lvl>
  </w:abstractNum>
  <w:num w:numId="1">
    <w:abstractNumId w:val="1"/>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12"/>
  </w:num>
  <w:num w:numId="7">
    <w:abstractNumId w:val="9"/>
  </w:num>
  <w:num w:numId="8">
    <w:abstractNumId w:val="0"/>
  </w:num>
  <w:num w:numId="9">
    <w:abstractNumId w:val="8"/>
  </w:num>
  <w:num w:numId="10">
    <w:abstractNumId w:val="2"/>
  </w:num>
  <w:num w:numId="11">
    <w:abstractNumId w:val="7"/>
  </w:num>
  <w:num w:numId="12">
    <w:abstractNumId w:val="11"/>
  </w:num>
  <w:num w:numId="13">
    <w:abstractNumId w:val="13"/>
  </w:num>
  <w:num w:numId="14">
    <w:abstractNumId w:val="14"/>
  </w:num>
  <w:num w:numId="15">
    <w:abstractNumId w:val="10"/>
  </w:num>
  <w:num w:numId="16">
    <w:abstractNumId w:val="4"/>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lineRule="auto" w:line="360" w:beforeAutospacing="0" w:afterAutospacing="0"/>
    </w:pPr>
    <w:rPr>
      <w:rFonts w:ascii="Arial" w:hAnsi="Arial"/>
    </w:rPr>
  </w:style>
  <w:style w:type="paragraph" w:styleId="P1">
    <w:name w:val="Heading 1"/>
    <w:basedOn w:val="P0"/>
    <w:next w:val="P0"/>
    <w:link w:val="C3"/>
    <w:qFormat/>
    <w:pPr>
      <w:spacing w:lineRule="auto" w:line="240" w:before="600" w:after="200" w:beforeAutospacing="0" w:afterAutospacing="0"/>
      <w:contextualSpacing w:val="1"/>
      <w:outlineLvl w:val="0"/>
    </w:pPr>
    <w:rPr>
      <w:b w:val="1"/>
      <w:sz w:val="36"/>
    </w:rPr>
  </w:style>
  <w:style w:type="paragraph" w:styleId="P2">
    <w:name w:val="Heading 2"/>
    <w:basedOn w:val="P0"/>
    <w:next w:val="P0"/>
    <w:link w:val="C4"/>
    <w:qFormat/>
    <w:pPr>
      <w:keepNext w:val="1"/>
      <w:spacing w:lineRule="auto" w:line="240" w:before="300" w:beforeAutospacing="0" w:afterAutospacing="0"/>
      <w:outlineLvl w:val="1"/>
    </w:pPr>
    <w:rPr>
      <w:b w:val="1"/>
      <w:sz w:val="28"/>
    </w:rPr>
  </w:style>
  <w:style w:type="paragraph" w:styleId="P3">
    <w:name w:val="Heading 3"/>
    <w:basedOn w:val="P0"/>
    <w:next w:val="P0"/>
    <w:link w:val="C5"/>
    <w:qFormat/>
    <w:pPr>
      <w:keepNext w:val="1"/>
      <w:keepLines w:val="1"/>
      <w:spacing w:before="240" w:after="0" w:beforeAutospacing="0" w:afterAutospacing="0"/>
      <w:outlineLvl w:val="2"/>
    </w:pPr>
    <w:rPr>
      <w:b w:val="1"/>
      <w:sz w:val="24"/>
    </w:rPr>
  </w:style>
  <w:style w:type="paragraph" w:styleId="P4">
    <w:name w:val="Heading 4"/>
    <w:basedOn w:val="P0"/>
    <w:next w:val="P0"/>
    <w:link w:val="C6"/>
    <w:qFormat/>
    <w:pPr>
      <w:keepNext w:val="1"/>
      <w:keepLines w:val="1"/>
      <w:spacing w:before="200" w:after="0" w:beforeAutospacing="0" w:afterAutospacing="0"/>
      <w:outlineLvl w:val="3"/>
    </w:pPr>
    <w:rPr>
      <w:rFonts w:cstheme="majorBidi" w:eastAsiaTheme="majorEastAsia"/>
      <w:b w:val="1"/>
      <w:iCs w:val="1"/>
    </w:rPr>
  </w:style>
  <w:style w:type="paragraph" w:styleId="P5">
    <w:name w:val="Heading 5"/>
    <w:basedOn w:val="P4"/>
    <w:next w:val="P0"/>
    <w:link w:val="C12"/>
    <w:qFormat/>
    <w:pPr>
      <w:spacing w:before="40" w:beforeAutospacing="0" w:afterAutospacing="0"/>
      <w:outlineLvl w:val="4"/>
    </w:pPr>
    <w:rPr>
      <w:b w:val="0"/>
      <w:i w:val="1"/>
    </w:rPr>
  </w:style>
  <w:style w:type="paragraph" w:styleId="P6">
    <w:name w:val="List Paragraph"/>
    <w:qFormat/>
    <w:pPr>
      <w:numPr>
        <w:numId w:val="1"/>
      </w:numPr>
      <w:spacing w:lineRule="auto" w:line="360" w:after="240" w:beforeAutospacing="0" w:afterAutospacing="0"/>
      <w:ind w:firstLine="0" w:left="1077"/>
      <w:contextualSpacing w:val="1"/>
    </w:pPr>
    <w:rPr>
      <w:rFonts w:ascii="Arial" w:hAnsi="Arial"/>
    </w:rPr>
  </w:style>
  <w:style w:type="paragraph" w:styleId="P7">
    <w:name w:val="TOC Heading"/>
    <w:basedOn w:val="P1"/>
    <w:next w:val="P0"/>
    <w:qFormat/>
    <w:pPr>
      <w:outlineLvl w:val="9"/>
    </w:pPr>
    <w:rPr/>
  </w:style>
  <w:style w:type="paragraph" w:styleId="P8">
    <w:name w:val="TOC 1"/>
    <w:basedOn w:val="P0"/>
    <w:next w:val="P0"/>
    <w:pPr>
      <w:spacing w:after="100" w:beforeAutospacing="0" w:afterAutospacing="0"/>
      <w:contextualSpacing w:val="1"/>
    </w:pPr>
    <w:rPr/>
  </w:style>
  <w:style w:type="paragraph" w:styleId="P9">
    <w:name w:val="Vanlig text"/>
    <w:basedOn w:val="P0"/>
    <w:pPr>
      <w:spacing w:lineRule="auto" w:line="240" w:before="240" w:after="0" w:beforeAutospacing="0" w:afterAutospacing="0"/>
    </w:pPr>
    <w:rPr>
      <w:noProof w:val="1"/>
      <w:sz w:val="24"/>
      <w:lang w:val="en-US"/>
    </w:rPr>
  </w:style>
  <w:style w:type="paragraph" w:styleId="P10">
    <w:name w:val="Header"/>
    <w:basedOn w:val="P0"/>
    <w:link w:val="C7"/>
    <w:pPr>
      <w:tabs>
        <w:tab w:val="center" w:pos="4536" w:leader="none"/>
        <w:tab w:val="right" w:pos="9072" w:leader="none"/>
      </w:tabs>
      <w:spacing w:lineRule="auto" w:line="240" w:after="0" w:beforeAutospacing="0" w:afterAutospacing="0"/>
    </w:pPr>
    <w:rPr>
      <w:rFonts w:asciiTheme="minorHAnsi" w:hAnsiTheme="minorHAnsi" w:cstheme="minorHAnsi"/>
      <w:szCs w:val="20"/>
    </w:rPr>
  </w:style>
  <w:style w:type="paragraph" w:styleId="P11">
    <w:name w:val="Rubrik framsida"/>
    <w:basedOn w:val="P1"/>
    <w:qFormat/>
    <w:pPr>
      <w:spacing w:before="800" w:beforeAutospacing="0" w:afterAutospacing="0"/>
    </w:pPr>
    <w:rPr>
      <w:rFonts w:cstheme="majorHAnsi"/>
      <w:bCs w:val="1"/>
      <w:noProof w:val="1"/>
      <w:sz w:val="48"/>
      <w:szCs w:val="36"/>
    </w:rPr>
  </w:style>
  <w:style w:type="paragraph" w:styleId="P12">
    <w:name w:val="Figurtext"/>
    <w:basedOn w:val="P0"/>
    <w:link w:val="C10"/>
    <w:qFormat/>
    <w:pPr/>
    <w:rPr>
      <w:sz w:val="20"/>
      <w:szCs w:val="20"/>
    </w:rPr>
  </w:style>
  <w:style w:type="paragraph" w:styleId="P13">
    <w:name w:val="TOC 4"/>
    <w:basedOn w:val="P0"/>
    <w:next w:val="P0"/>
    <w:pPr>
      <w:spacing w:lineRule="auto" w:line="259" w:after="100" w:beforeAutospacing="0" w:afterAutospacing="0"/>
      <w:ind w:left="660"/>
    </w:pPr>
    <w:rPr>
      <w:rFonts w:asciiTheme="minorHAnsi" w:hAnsiTheme="minorHAnsi" w:eastAsiaTheme="minorEastAsia"/>
      <w:lang w:eastAsia="sv-SE"/>
    </w:rPr>
  </w:style>
  <w:style w:type="paragraph" w:styleId="P14">
    <w:name w:val="TOC 2"/>
    <w:basedOn w:val="P0"/>
    <w:next w:val="P0"/>
    <w:pPr>
      <w:spacing w:after="100" w:beforeAutospacing="0" w:afterAutospacing="0"/>
    </w:pPr>
    <w:rPr/>
  </w:style>
  <w:style w:type="paragraph" w:styleId="P15">
    <w:name w:val="TOC 3"/>
    <w:basedOn w:val="P0"/>
    <w:next w:val="P0"/>
    <w:pPr>
      <w:spacing w:after="100" w:beforeAutospacing="0" w:afterAutospacing="0"/>
    </w:pPr>
    <w:rPr/>
  </w:style>
  <w:style w:type="paragraph" w:styleId="P16">
    <w:name w:val="TOC 5"/>
    <w:basedOn w:val="P0"/>
    <w:next w:val="P0"/>
    <w:pPr>
      <w:spacing w:lineRule="auto" w:line="259" w:after="100" w:beforeAutospacing="0" w:afterAutospacing="0"/>
      <w:ind w:left="880"/>
    </w:pPr>
    <w:rPr>
      <w:rFonts w:asciiTheme="minorHAnsi" w:hAnsiTheme="minorHAnsi" w:eastAsiaTheme="minorEastAsia"/>
      <w:lang w:eastAsia="sv-SE"/>
    </w:rPr>
  </w:style>
  <w:style w:type="paragraph" w:styleId="P17">
    <w:name w:val="TOC 6"/>
    <w:basedOn w:val="P0"/>
    <w:next w:val="P0"/>
    <w:pPr>
      <w:spacing w:lineRule="auto" w:line="259" w:after="100" w:beforeAutospacing="0" w:afterAutospacing="0"/>
      <w:ind w:left="1100"/>
    </w:pPr>
    <w:rPr>
      <w:rFonts w:asciiTheme="minorHAnsi" w:hAnsiTheme="minorHAnsi" w:eastAsiaTheme="minorEastAsia"/>
      <w:lang w:eastAsia="sv-SE"/>
    </w:rPr>
  </w:style>
  <w:style w:type="paragraph" w:styleId="P18">
    <w:name w:val="TOC 7"/>
    <w:basedOn w:val="P0"/>
    <w:next w:val="P0"/>
    <w:pPr>
      <w:spacing w:lineRule="auto" w:line="259" w:after="100" w:beforeAutospacing="0" w:afterAutospacing="0"/>
      <w:ind w:left="1320"/>
    </w:pPr>
    <w:rPr>
      <w:rFonts w:asciiTheme="minorHAnsi" w:hAnsiTheme="minorHAnsi" w:eastAsiaTheme="minorEastAsia"/>
      <w:lang w:eastAsia="sv-SE"/>
    </w:rPr>
  </w:style>
  <w:style w:type="paragraph" w:styleId="P19">
    <w:name w:val="TOC 8"/>
    <w:basedOn w:val="P0"/>
    <w:next w:val="P0"/>
    <w:pPr>
      <w:spacing w:lineRule="auto" w:line="259" w:after="100" w:beforeAutospacing="0" w:afterAutospacing="0"/>
      <w:ind w:left="1540"/>
    </w:pPr>
    <w:rPr>
      <w:rFonts w:asciiTheme="minorHAnsi" w:hAnsiTheme="minorHAnsi" w:eastAsiaTheme="minorEastAsia"/>
      <w:lang w:eastAsia="sv-SE"/>
    </w:rPr>
  </w:style>
  <w:style w:type="paragraph" w:styleId="P20">
    <w:name w:val="TOC 9"/>
    <w:basedOn w:val="P0"/>
    <w:next w:val="P0"/>
    <w:pPr>
      <w:spacing w:lineRule="auto" w:line="259" w:after="100" w:beforeAutospacing="0" w:afterAutospacing="0"/>
      <w:ind w:left="1760"/>
    </w:pPr>
    <w:rPr>
      <w:rFonts w:asciiTheme="minorHAnsi" w:hAnsiTheme="minorHAnsi" w:eastAsiaTheme="minorEastAsia"/>
      <w:lang w:eastAsia="sv-SE"/>
    </w:rPr>
  </w:style>
  <w:style w:type="paragraph" w:styleId="P21">
    <w:name w:val="Footer"/>
    <w:basedOn w:val="P0"/>
    <w:link w:val="C13"/>
    <w:pPr>
      <w:tabs>
        <w:tab w:val="center" w:pos="4536" w:leader="none"/>
        <w:tab w:val="right" w:pos="9072" w:leader="none"/>
      </w:tabs>
      <w:spacing w:lineRule="auto" w:line="240" w:after="0" w:beforeAutospacing="0" w:afterAutospacing="0"/>
    </w:pPr>
    <w:rPr/>
  </w:style>
  <w:style w:type="paragraph" w:styleId="P22">
    <w:name w:val="Förklaringstext"/>
    <w:basedOn w:val="P0"/>
    <w:qFormat/>
    <w:pPr/>
    <w:rPr>
      <w:color w:val="FF5050"/>
    </w:rPr>
  </w:style>
  <w:style w:type="paragraph" w:styleId="P23">
    <w:name w:val="annotation text"/>
    <w:basedOn w:val="P0"/>
    <w:link w:val="C15"/>
    <w:pPr>
      <w:spacing w:lineRule="auto" w:line="240" w:beforeAutospacing="0" w:afterAutospacing="0"/>
    </w:pPr>
    <w:rPr>
      <w:sz w:val="20"/>
      <w:szCs w:val="20"/>
    </w:rPr>
  </w:style>
  <w:style w:type="paragraph" w:styleId="P24">
    <w:name w:val="annotation subject"/>
    <w:basedOn w:val="P23"/>
    <w:next w:val="P23"/>
    <w:link w:val="C16"/>
    <w:semiHidden/>
    <w:pPr/>
    <w:rPr>
      <w:b w:val="1"/>
      <w:bCs w:val="1"/>
    </w:rPr>
  </w:style>
  <w:style w:type="paragraph" w:styleId="P25">
    <w:name w:val="Bildtext"/>
    <w:basedOn w:val="P0"/>
    <w:link w:val="C17"/>
    <w:qFormat/>
    <w:pPr/>
    <w:rPr>
      <w:rFonts w:asciiTheme="minorHAnsi" w:hAnsiTheme="minorHAnsi" w:cstheme="minorHAnsi"/>
      <w:i w:val="1"/>
      <w:iCs w:val="1"/>
      <w:szCs w:val="20"/>
    </w:rPr>
  </w:style>
  <w:style w:type="paragraph" w:styleId="P26">
    <w:name w:val="Default"/>
    <w:pPr>
      <w:spacing w:lineRule="auto" w:line="240" w:after="0" w:beforeAutospacing="0" w:afterAutospacing="0"/>
    </w:pPr>
    <w:rPr>
      <w:rFonts w:ascii="Arial" w:hAnsi="Arial" w:cs="Arial"/>
      <w:color w:val="000000"/>
      <w:sz w:val="24"/>
      <w:szCs w:val="24"/>
    </w:rPr>
  </w:style>
  <w:style w:type="paragraph" w:styleId="P27">
    <w:name w:val="Revision"/>
    <w:hidden/>
    <w:semiHidden/>
    <w:pPr>
      <w:spacing w:lineRule="auto" w:line="240" w:after="0" w:beforeAutospacing="0" w:afterAutospacing="0"/>
    </w:pPr>
    <w:rPr>
      <w:rFonts w:ascii="Arial" w:hAnsi="Arial"/>
    </w:rPr>
  </w:style>
  <w:style w:type="paragraph" w:styleId="P28">
    <w:name w:val="Normal (Web)"/>
    <w:basedOn w:val="P0"/>
    <w:semiHidden/>
    <w:pPr>
      <w:spacing w:lineRule="auto" w:line="240" w:before="100" w:after="100" w:beforeAutospacing="1" w:afterAutospacing="1"/>
    </w:pPr>
    <w:rPr>
      <w:rFonts w:ascii="Times New Roman" w:hAnsi="Times New Roman" w:cs="Times New Roman" w:eastAsia="Times New Roman"/>
      <w:sz w:val="24"/>
      <w:szCs w:val="24"/>
      <w:lang w:eastAsia="sv-SE"/>
    </w:rPr>
  </w:style>
  <w:style w:type="paragraph" w:styleId="P29">
    <w:name w:val="pf0"/>
    <w:basedOn w:val="P0"/>
    <w:pPr>
      <w:spacing w:lineRule="auto" w:line="240" w:before="100" w:after="100" w:beforeAutospacing="1" w:afterAutospacing="1"/>
    </w:pPr>
    <w:rPr>
      <w:rFonts w:ascii="Times New Roman" w:hAnsi="Times New Roman" w:cs="Times New Roman" w:eastAsia="Times New Roman"/>
      <w:sz w:val="24"/>
      <w:szCs w:val="24"/>
      <w:lang w:eastAsia="sv-SE"/>
    </w:rPr>
  </w:style>
  <w:style w:type="paragraph" w:styleId="P30">
    <w:name w:val="Footnote Text"/>
    <w:link w:val="C21"/>
    <w:semiHidden/>
    <w:pPr>
      <w:spacing w:lineRule="auto" w:line="240" w:after="0" w:beforeAutospacing="0" w:afterAutospacing="0"/>
    </w:pPr>
    <w:rPr>
      <w:sz w:val="20"/>
      <w:szCs w:val="20"/>
    </w:rPr>
  </w:style>
  <w:style w:type="paragraph" w:styleId="P31">
    <w:name w:val="Endnote Text"/>
    <w:link w:val="C23"/>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Rubrik 1 Char"/>
    <w:basedOn w:val="C0"/>
    <w:link w:val="P1"/>
    <w:rPr>
      <w:rFonts w:ascii="Arial" w:hAnsi="Arial"/>
      <w:b w:val="1"/>
      <w:sz w:val="36"/>
    </w:rPr>
  </w:style>
  <w:style w:type="character" w:styleId="C4">
    <w:name w:val="Rubrik 2 Char"/>
    <w:basedOn w:val="C0"/>
    <w:link w:val="P2"/>
    <w:rPr>
      <w:rFonts w:ascii="Arial" w:hAnsi="Arial"/>
      <w:b w:val="1"/>
      <w:sz w:val="28"/>
    </w:rPr>
  </w:style>
  <w:style w:type="character" w:styleId="C5">
    <w:name w:val="Rubrik 3 Char"/>
    <w:basedOn w:val="C0"/>
    <w:link w:val="P3"/>
    <w:rPr>
      <w:rFonts w:ascii="Arial" w:hAnsi="Arial"/>
      <w:b w:val="1"/>
      <w:sz w:val="24"/>
    </w:rPr>
  </w:style>
  <w:style w:type="character" w:styleId="C6">
    <w:name w:val="Rubrik 4 Char"/>
    <w:basedOn w:val="C0"/>
    <w:link w:val="P4"/>
    <w:rPr>
      <w:rFonts w:ascii="Arial" w:hAnsi="Arial" w:cstheme="majorBidi" w:eastAsiaTheme="majorEastAsia"/>
      <w:b w:val="1"/>
      <w:iCs w:val="1"/>
    </w:rPr>
  </w:style>
  <w:style w:type="character" w:styleId="C7">
    <w:name w:val="Sidhuvud Char"/>
    <w:basedOn w:val="C0"/>
    <w:link w:val="P10"/>
    <w:rPr>
      <w:rFonts w:cstheme="minorHAnsi"/>
      <w:szCs w:val="20"/>
    </w:rPr>
  </w:style>
  <w:style w:type="character" w:styleId="C8">
    <w:name w:val="Strong"/>
    <w:basedOn w:val="C0"/>
    <w:qFormat/>
    <w:rPr>
      <w:b w:val="1"/>
      <w:bCs w:val="1"/>
    </w:rPr>
  </w:style>
  <w:style w:type="character" w:styleId="C9">
    <w:name w:val="Subtle Reference1"/>
    <w:basedOn w:val="C0"/>
    <w:rPr>
      <w:smallCaps w:val="1"/>
      <w:color w:val="5A5A5A" w:themeColor="text1" w:themeTint="A5"/>
    </w:rPr>
  </w:style>
  <w:style w:type="character" w:styleId="C10">
    <w:name w:val="Figurtext Char"/>
    <w:basedOn w:val="C0"/>
    <w:link w:val="P12"/>
    <w:rPr>
      <w:rFonts w:ascii="Arial" w:hAnsi="Arial"/>
      <w:sz w:val="20"/>
      <w:szCs w:val="20"/>
    </w:rPr>
  </w:style>
  <w:style w:type="character" w:styleId="C11">
    <w:name w:val="Unresolved Mention1"/>
    <w:basedOn w:val="C0"/>
    <w:semiHidden/>
    <w:rPr>
      <w:color w:val="605E5C"/>
      <w:shd w:val="clear" w:color="auto" w:fill="E1DFDD"/>
    </w:rPr>
  </w:style>
  <w:style w:type="character" w:styleId="C12">
    <w:name w:val="Rubrik 5 Char"/>
    <w:basedOn w:val="C0"/>
    <w:link w:val="P5"/>
    <w:rPr>
      <w:rFonts w:ascii="Arial" w:hAnsi="Arial" w:cstheme="majorBidi" w:eastAsiaTheme="majorEastAsia"/>
      <w:i w:val="1"/>
      <w:iCs w:val="1"/>
    </w:rPr>
  </w:style>
  <w:style w:type="character" w:styleId="C13">
    <w:name w:val="Sidfot Char"/>
    <w:basedOn w:val="C0"/>
    <w:link w:val="P21"/>
    <w:rPr>
      <w:rFonts w:ascii="Arial" w:hAnsi="Arial"/>
    </w:rPr>
  </w:style>
  <w:style w:type="character" w:styleId="C14">
    <w:name w:val="annotation reference"/>
    <w:basedOn w:val="C0"/>
    <w:semiHidden/>
    <w:rPr>
      <w:sz w:val="16"/>
      <w:szCs w:val="16"/>
    </w:rPr>
  </w:style>
  <w:style w:type="character" w:styleId="C15">
    <w:name w:val="Kommentarer Char"/>
    <w:basedOn w:val="C0"/>
    <w:link w:val="P23"/>
    <w:rPr>
      <w:rFonts w:ascii="Arial" w:hAnsi="Arial"/>
      <w:sz w:val="20"/>
      <w:szCs w:val="20"/>
    </w:rPr>
  </w:style>
  <w:style w:type="character" w:styleId="C16">
    <w:name w:val="Kommentarsämne Char"/>
    <w:basedOn w:val="C15"/>
    <w:link w:val="P24"/>
    <w:semiHidden/>
    <w:rPr>
      <w:rFonts w:ascii="Arial" w:hAnsi="Arial"/>
      <w:b w:val="1"/>
      <w:bCs w:val="1"/>
      <w:sz w:val="20"/>
      <w:szCs w:val="20"/>
    </w:rPr>
  </w:style>
  <w:style w:type="character" w:styleId="C17">
    <w:name w:val="Bildtext Char"/>
    <w:basedOn w:val="C0"/>
    <w:link w:val="P25"/>
    <w:rPr>
      <w:rFonts w:cstheme="minorHAnsi"/>
      <w:i w:val="1"/>
      <w:iCs w:val="1"/>
      <w:szCs w:val="20"/>
    </w:rPr>
  </w:style>
  <w:style w:type="character" w:styleId="C18">
    <w:name w:val="Mention1"/>
    <w:basedOn w:val="C0"/>
    <w:rPr>
      <w:color w:val="2B579A"/>
      <w:shd w:val="clear" w:color="auto" w:fill="E1DFDD"/>
    </w:rPr>
  </w:style>
  <w:style w:type="character" w:styleId="C19">
    <w:name w:val="cf01"/>
    <w:basedOn w:val="C0"/>
    <w:rPr>
      <w:rFonts w:ascii="Segoe UI" w:hAnsi="Segoe UI" w:cs="Segoe UI" w:hint="default"/>
      <w:sz w:val="18"/>
      <w:szCs w:val="18"/>
    </w:rPr>
  </w:style>
  <w:style w:type="character" w:styleId="C20">
    <w:name w:val="Footnote Reference"/>
    <w:semiHidden/>
    <w:rPr>
      <w:vertAlign w:val="superscript"/>
    </w:rPr>
  </w:style>
  <w:style w:type="character" w:styleId="C21">
    <w:name w:val="Footnote Text Char"/>
    <w:link w:val="P30"/>
    <w:semiHidden/>
    <w:rPr>
      <w:sz w:val="20"/>
      <w:szCs w:val="20"/>
    </w:rPr>
  </w:style>
  <w:style w:type="character" w:styleId="C22">
    <w:name w:val="Endnote Reference"/>
    <w:semiHidden/>
    <w:rPr>
      <w:vertAlign w:val="superscript"/>
    </w:rPr>
  </w:style>
  <w:style w:type="character" w:styleId="C23">
    <w:name w:val="Endnote Text Char"/>
    <w:link w:val="P31"/>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pn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jpg" /><Relationship Id="Relimage22" Type="http://schemas.openxmlformats.org/officeDocument/2006/relationships/image" Target="/media/image22.jpg" /><Relationship Id="Relimage23" Type="http://schemas.openxmlformats.org/officeDocument/2006/relationships/image" Target="/media/image23.jpg" /><Relationship Id="RelHdr1" Type="http://schemas.openxmlformats.org/officeDocument/2006/relationships/header" Target="head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ec2eb78-4226-46eb-bf82-3efdee5a5572" xsi:nil="true"/>
    <lcf76f155ced4ddcb4097134ff3c332f xmlns="524878b9-36c5-41d6-a836-aa9adfacf5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8E0DB519AD4404FBD3BAAB1A69339CE" ma:contentTypeVersion="12" ma:contentTypeDescription="Skapa ett nytt dokument." ma:contentTypeScope="" ma:versionID="a0967dee408c3d85db3584a65c75f682">
  <xsd:schema xmlns:xsd="http://www.w3.org/2001/XMLSchema" xmlns:xs="http://www.w3.org/2001/XMLSchema" xmlns:p="http://schemas.microsoft.com/office/2006/metadata/properties" xmlns:ns2="524878b9-36c5-41d6-a836-aa9adfacf516" xmlns:ns3="9ec2eb78-4226-46eb-bf82-3efdee5a5572" targetNamespace="http://schemas.microsoft.com/office/2006/metadata/properties" ma:root="true" ma:fieldsID="5bbbf342f644f1fcf8b1ca41034948c4" ns2:_="" ns3:_="">
    <xsd:import namespace="524878b9-36c5-41d6-a836-aa9adfacf516"/>
    <xsd:import namespace="9ec2eb78-4226-46eb-bf82-3efdee5a55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878b9-36c5-41d6-a836-aa9adfacf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eringar" ma:readOnly="false" ma:fieldId="{5cf76f15-5ced-4ddc-b409-7134ff3c332f}" ma:taxonomyMulti="true" ma:sspId="2af4cc7b-644b-4e51-812b-d4fcdb045f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c2eb78-4226-46eb-bf82-3efdee5a55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2df26e-fc3e-4b1e-a16d-67d2de4d135a}" ma:internalName="TaxCatchAll" ma:showField="CatchAllData" ma:web="9ec2eb78-4226-46eb-bf82-3efdee5a557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mo_motivtillreglering01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1ac7e00-68d0-44d9-b597-f5a80124b592_f0">
          <gml:exterior>
            <gml:LinearRing>
              <gml:posList>6732292.22 182738.07 6732273.942 182732.04 6732289.292 182685.509 6732321.109 182646.517 6732366.69 182661.553 6732359.484 182683.394 6732357.031 182682.585 6732323.817 182671.628 6732307.571 182691.539 6732292.22 182738.07</gml:posList>
            </gml:LinearRing>
          </gml:exterior>
        </gml:Polygon>
      </lmg:Position>
    </lmg:Ytgeometri>
    <objektreferens>81ac7e00-68d0-44d9-b597-f5a80124b592</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b11b3285-4fa6-4922-85e8-cf69188ce591_f0">
          <gml:exterior>
            <gml:LinearRing>
              <gml:posList>6732365.551 182752.783 6732357.003 182749.964 6732359.354 182742.843 6732359.98 182740.944 6732368.527 182743.763 6732367.9 182745.662 6732365.551 182752.783</gml:posList>
            </gml:LinearRing>
          </gml:exterior>
        </gml:Polygon>
      </lmg:Position>
    </lmg:Ytgeometri>
    <objektreferens>b11b3285-4fa6-4922-85e8-cf69188ce591</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b7ff434-c9f6-40e7-ab1a-d400f6293821_f0">
          <gml:exterior>
            <gml:LinearRing>
              <gml:posList>6732368.527 182743.763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 6732362.486 182733.346 6732362.173 182734.296 6732370.72 182737.115 6732368.527 182743.763</gml:posList>
            </gml:LinearRing>
          </gml:exterior>
        </gml:Polygon>
      </lmg:Position>
    </lmg:Ytgeometri>
    <objektreferens>cb7ff434-c9f6-40e7-ab1a-d400f6293821</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78fef23-29f4-428c-b1f0-8da790b1b8df_f0">
          <gml:exterior>
            <gml:LinearRing>
              <gml:posList>6732368.527 182743.763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 6732362.486 182733.346 6732362.173 182734.296 6732370.72 182737.115 6732368.527 182743.763</gml:posList>
            </gml:LinearRing>
          </gml:exterior>
        </gml:Polygon>
      </lmg:Position>
    </lmg:Ytgeometri>
    <objektreferens>278fef23-29f4-428c-b1f0-8da790b1b8df</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a95dda9-d5cf-44e9-85be-890bcb073eac_f0">
          <gml:exterior>
            <gml:LinearRing>
              <gml:posList>6732368.527 182743.763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 6732362.486 182733.346 6732362.173 182734.296 6732370.72 182737.115 6732368.527 182743.763</gml:posList>
            </gml:LinearRing>
          </gml:exterior>
        </gml:Polygon>
      </lmg:Position>
    </lmg:Ytgeometri>
    <objektreferens>2a95dda9-d5cf-44e9-85be-890bcb073eac</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afed8f91-eee8-4eca-b12c-f04a5990e3d4_f0">
          <gml:exterior>
            <gml:LinearRing>
              <gml:posList>6732369.973 182710.651 6732362.486 182733.346 6732362.173 182734.296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gml:posList>
            </gml:LinearRing>
          </gml:exterior>
          <gml:interior>
            <gml:LinearRing>
              <gml:posList>6732358.598 182693.752 6732354.028 182691.934 6732355.206 182688.301 6732335.051 182681.652 6732325.857 182678.619 6732312.921 182694.472 6732299.172 182736.151 6732315.317 182741.477 6732316.265 182741.791 6732351.64 182753.461 6732365.923 182710.16 6732365.759 182708.048 6732358.598 182693.752</gml:posList>
            </gml:LinearRing>
          </gml:interior>
        </gml:Polygon>
      </lmg:Position>
    </lmg:Ytgeometri>
    <objektreferens>afed8f91-eee8-4eca-b12c-f04a5990e3d4</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a157751c-b2df-47ec-a1e2-ef1394750b0e_f0">
          <gml:exterior>
            <gml:LinearRing>
              <gml:posList>6732315.317 182741.477 6732299.172 182736.151 6732312.921 182694.472 6732325.857 182678.619 6732335.051 182681.652 6732315.317 182741.477</gml:posList>
            </gml:LinearRing>
          </gml:exterior>
        </gml:Polygon>
      </lmg:Position>
    </lmg:Ytgeometri>
    <objektreferens>a157751c-b2df-47ec-a1e2-ef1394750b0e</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6f484b34-6253-4eff-b77e-99d3bedc4908_f0">
          <gml:exterior>
            <gml:LinearRing>
              <gml:posList>6732368.527 182743.763 6732359.98 182740.944 6732362.173 182734.296 6732370.72 182737.115 6732368.527 182743.763</gml:posList>
            </gml:LinearRing>
          </gml:exterior>
        </gml:Polygon>
      </lmg:Position>
    </lmg:Ytgeometri>
    <objektreferens>6f484b34-6253-4eff-b77e-99d3bedc4908</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a778bfb2-ff3c-48a8-a367-6d70aa671336_f0">
          <gml:exterior>
            <gml:LinearRing>
              <gml:posList>6732365.923 182710.16 6732351.64 182753.461 6732316.265 182741.791 6732315.317 182741.477 6732299.172 182736.151 6732312.921 182694.472 6732325.857 182678.619 6732335.051 182681.652 6732355.206 182688.301 6732354.028 182691.934 6732358.598 182693.752 6732365.759 182708.048 6732365.923 182710.16</gml:posList>
            </gml:LinearRing>
          </gml:exterior>
        </gml:Polygon>
      </lmg:Position>
    </lmg:Ytgeometri>
    <objektreferens>a778bfb2-ff3c-48a8-a367-6d70aa671336</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a0714e6-e023-47ca-a7fb-4933a8af339c_f0">
          <gml:exterior>
            <gml:LinearRing>
              <gml:posList>6732315.317 182741.477 6732299.172 182736.151 6732312.921 182694.472 6732325.857 182678.619 6732335.051 182681.652 6732315.317 182741.477</gml:posList>
            </gml:LinearRing>
          </gml:exterior>
        </gml:Polygon>
      </lmg:Position>
    </lmg:Ytgeometri>
    <objektreferens>ca0714e6-e023-47ca-a7fb-4933a8af339c</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e980ae3a-17e2-46c3-a8d2-ef25c2e1be54_f0">
          <gml:exterior>
            <gml:LinearRing>
              <gml:posList>6732368.527 182743.763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 6732362.486 182733.346 6732362.173 182734.296 6732370.72 182737.115 6732368.527 182743.763</gml:posList>
            </gml:LinearRing>
          </gml:exterior>
        </gml:Polygon>
      </lmg:Position>
    </lmg:Ytgeometri>
    <objektreferens>e980ae3a-17e2-46c3-a8d2-ef25c2e1be54</objektreferens>
    <Indelning>
      <tema>Motiv till detaljplanens regleringar</tema>
      <grupp>Motiv till reglering</grupp>
    </Indelning>
  </Omfattning>
  <Omfattning>
    <identitet>mo_motivtillreglering12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cbce60c8-191d-40ba-a7f8-68d0589b278b_f0">
          <gml:exterior>
            <gml:LinearRing>
              <gml:posList>6732368.527 182743.763 6732359.98 182740.944 6732359.354 182742.843 6732357.003 182749.964 6732354.184 182758.512 6732297.919 182739.95 6732292.22 182738.07 6732307.571 182691.539 6732323.817 182671.628 6732357.031 182682.585 6732359.484 182683.394 6732359.744 182687.109 6732363.456 182694.519 6732364.185 182695.974 6732368.83 182705.248 6732369.686 182706.957 6732369.973 182710.651 6732362.486 182733.346 6732362.173 182734.296 6732370.72 182737.115 6732368.527 182743.763</gml:posList>
            </gml:LinearRing>
          </gml:exterior>
        </gml:Polygon>
      </lmg:Position>
    </lmg:Ytgeometri>
    <objektreferens>cbce60c8-191d-40ba-a7f8-68d0589b278b</objektreferens>
    <Indelning>
      <tema>Motiv till detaljplanens regleringar</tema>
      <grupp>Motiv till reglering</grupp>
    </Indelning>
  </Omfattning>
  <Omfattning>
    <identitet>mo_motivtillreglering13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5f70b25a-15c5-4442-8fed-6648a779f06d_f0">
          <gml:exterior>
            <gml:LinearRing>
              <gml:posList>6732358.598 182693.752 6732354.028 182691.934 6732355.206 182688.301 6732357.031 182682.585 6732359.484 182683.394 6732359.744 182687.109 6732363.456 182694.519 6732364.185 182695.974 6732358.598 182693.752</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1ed244e9-2cd7-4f32-a762-efe6388db61c_f0">
          <gml:exterior>
            <gml:LinearRing>
              <gml:posList>6732368.527 182743.763 6732359.98 182740.944 6732362.173 182734.296 6732370.72 182737.115 6732368.527 182743.763</gml:posList>
            </gml:LinearRing>
          </gml:exterior>
        </gml:Polygon>
      </lmg:Position>
    </lmg:Ytgeometri>
    <objektreferens>5f70b25a-15c5-4442-8fed-6648a779f06d</objektreferens>
    <objektreferens>1ed244e9-2cd7-4f32-a762-efe6388db61c</objektreferens>
    <Indelning>
      <tema>Motiv till detaljplanens regleringar</tema>
      <grupp>Motiv till reglering</grupp>
    </Indelning>
  </Omfattning>
  <Omfattning>
    <identitet>mo_motivtillreglering14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11f663e-1322-4a2a-8234-3e094b5eda14_f0">
          <gml:exterior>
            <gml:LinearRing>
              <gml:posList>6732315.317 182741.477 6732299.172 182736.151 6732312.921 182694.472 6732325.857 182678.619 6732335.051 182681.652 6732315.317 182741.477</gml:posList>
            </gml:LinearRing>
          </gml:exterior>
        </gml:Polygon>
      </lmg:Position>
    </lmg:Ytgeometri>
    <objektreferens>811f663e-1322-4a2a-8234-3e094b5eda14</objektreferens>
    <Indelning>
      <tema>Motiv till detaljplanens regleringar</tema>
      <grupp>Motiv till reglering</grupp>
    </Indelning>
  </Omfattning>
  <Omfattning>
    <identitet>pf_översiktsplan01</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pf_planbesked01</identitet>
    <Indelning>
      <tema>Planeringsförutsättningar</tema>
      <grupp>Kommunala</grupp>
      <undergrupp>Planbesked</under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pf_trafik02</identitet>
    <Indelning>
      <tema>Planeringsförutsättningar</tema>
      <grupp>Trafik</grupp>
    </Indelning>
  </Omfattning>
  <Omfattning>
    <identitet>pf_trafik03</identitet>
    <Indelning>
      <tema>Planeringsförutsättningar</tema>
      <grupp>Trafik</grupp>
    </Indelning>
  </Omfattning>
  <Omfattning>
    <identitet>pf_trafik04</identitet>
    <Indelning>
      <tema>Planeringsförutsättningar</tema>
      <grupp>Trafik</grupp>
    </Indelning>
  </Omfattning>
  <Omfattning>
    <identitet>pf_trafik05</identitet>
    <Indelning>
      <tema>Planeringsförutsättningar</tema>
      <grupp>Trafik</grupp>
    </Indelning>
  </Omfattning>
  <Omfattning>
    <identitet>ko_gångochcykeltrafik01</identitet>
    <Indelning>
      <tema>Konsekvenser</tema>
      <grupp>Trafik</grupp>
      <undergrupp>Gång- och cykeltrafik</undergrupp>
    </Indelning>
  </Omfattning>
  <Omfattning>
    <identitet>ko_motortrafik01</identitet>
    <Indelning>
      <tema>Konsekvenser</tema>
      <grupp>Trafik</grupp>
      <undergrupp>Motortrafik</undergrupp>
    </Indelning>
  </Omfattning>
  <Omfattning>
    <identitet>ko_motortrafik02</identitet>
    <Indelning>
      <tema>Konsekvenser</tema>
      <grupp>Trafik</grupp>
      <undergrupp>Motortrafik</undergrupp>
    </Indelning>
  </Omfattning>
  <Omfattning>
    <identitet>ko_gångochcykeltrafik02</identitet>
    <Indelning>
      <tema>Konsekvenser</tema>
      <grupp>Trafik</grupp>
      <undergrupp>Gång- och cykeltrafik</undergrupp>
    </Indelning>
  </Omfattning>
  <Omfattning>
    <identitet>ko_motortrafik03</identitet>
    <Indelning>
      <tema>Konsekvenser</tema>
      <grupp>Trafik</grupp>
      <undergrupp>Motortrafik</undergrupp>
    </Indelning>
  </Omfattning>
  <Omfattning>
    <identitet>ko_trafik01</identitet>
    <Indelning>
      <tema>Konsekvenser</tema>
      <grupp>Trafik</grupp>
    </Indelning>
  </Omfattning>
  <Omfattning>
    <identitet>ko_gångochcykeltrafik03</identitet>
    <Indelning>
      <tema>Konsekvenser</tema>
      <grupp>Trafik</grupp>
      <undergrupp>Gång- och cykeltrafik</under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pf_service02</identitet>
    <Indelning>
      <tema>Planeringsförutsättningar</tema>
      <grupp>Service</grupp>
    </Indelning>
  </Omfattning>
  <Omfattning>
    <identitet>pf_geotekniskaförhållanden01</identitet>
    <Indelning>
      <tema>Planeringsförutsättningar</tema>
      <grupp>Geotekniska förhållanden</grupp>
    </Indelning>
  </Omfattning>
  <Omfattning>
    <identitet>ko_hälsaochsäkerhet01</identitet>
    <Indelning>
      <tema>Konsekvenser</tema>
      <grupp>Hälsa och säkerhet</grupp>
    </Indelning>
  </Omfattning>
  <Omfattning>
    <identitet>ko_ras01</identitet>
    <Indelning>
      <tema>Konsekvenser</tema>
      <grupp>Hälsa och säkerhet</grupp>
      <undergrupp>Ras</undergrupp>
    </Indelning>
  </Omfattning>
  <Omfattning>
    <identitet>ko_hydrologi01</identitet>
    <Indelning>
      <tema>Konsekvenser</tema>
      <grupp>Miljö</grupp>
      <undergrupp>Hydrologi</undergrupp>
    </Indelning>
  </Omfattning>
  <Omfattning>
    <identitet>pf_hydrologiskaförhållanden01</identitet>
    <Indelning>
      <tema>Planeringsförutsättningar</tema>
      <grupp>Hydrologiska förhållanden</grupp>
    </Indelning>
  </Omfattning>
  <Omfattning>
    <identitet>ko_hydrologi02</identitet>
    <Indelning>
      <tema>Konsekvenser</tema>
      <grupp>Miljö</grupp>
      <undergrupp>Hydrologi</undergrupp>
    </Indelning>
  </Omfattning>
  <Omfattning>
    <identitet>pf_dagvatten01</identitet>
    <Indelning>
      <tema>Planeringsförutsättningar</tema>
      <grupp>Miljö</grupp>
      <undergrupp>Dagvatten</undergrupp>
    </Indelning>
  </Omfattning>
  <Omfattning>
    <identitet>ko_dagvatten01</identitet>
    <Indelning>
      <tema>Konsekvenser</tema>
      <grupp>Miljö</grupp>
      <undergrupp>Dagvatten</undergrupp>
    </Indelning>
  </Omfattning>
  <Omfattning>
    <identitet>pf_omgivningsbuller01</identitet>
    <Indelning>
      <tema>Planeringsförutsättningar</tema>
      <grupp>Hälsa och säkerhet</grupp>
      <undergrupp>Omgivningsbuller</undergrupp>
    </Indelning>
  </Omfattning>
  <Omfattning>
    <identitet>ko_beräkningavomgivningsbuller01</identitet>
    <Indelning>
      <tema>Konsekvenser</tema>
      <grupp>Hälsa och säkerhet</grupp>
      <undergrupp>Beräkning av omgivningsbuller</undergrupp>
    </Indelning>
  </Omfattning>
  <Omfattning>
    <identitet>pf_luftkvalitet01</identitet>
    <Indelning>
      <tema>Planeringsförutsättningar</tema>
      <grupp>Hälsa och säkerhet</grupp>
      <undergrupp>Luftkvalitet</undergrupp>
    </Indelning>
  </Omfattning>
  <Omfattning>
    <identitet>ko_luftkvalitet01</identitet>
    <Indelning>
      <tema>Konsekvenser</tema>
      <grupp>Hälsa och säkerhet</grupp>
      <undergrupp>Luftkvalitet</undergrupp>
    </Indelning>
  </Omfattning>
  <Omfattning>
    <identitet>pf_föroreningar01</identitet>
    <Indelning>
      <tema>Planeringsförutsättningar</tema>
      <grupp>Hälsa och säkerhet</grupp>
      <undergrupp>Föroreningar</undergrupp>
    </Indelning>
  </Omfattning>
  <Omfattning>
    <identitet>ko_föroreningar01</identitet>
    <Indelning>
      <tema>Konsekvenser</tema>
      <grupp>Hälsa och säkerhet</grupp>
      <undergrupp>Föroreningar</undergrupp>
    </Indelning>
  </Omfattning>
  <Omfattning>
    <identitet>pf_riskföröversvämning01</identitet>
    <Indelning>
      <tema>Planeringsförutsättningar</tema>
      <grupp>Hälsa och säkerhet</grupp>
      <undergrupp>Risk för översvämning</undergrupp>
    </Indelning>
  </Omfattning>
  <Omfattning>
    <identitet>ko_översvämning01</identitet>
    <Indelning>
      <tema>Konsekvenser</tema>
      <grupp>Hälsa och säkerhet</grupp>
      <undergrupp>Översvämning</undergrupp>
    </Indelning>
  </Omfattning>
  <Omfattning>
    <identitet>pf_riskförolyckor01</identitet>
    <Indelning>
      <tema>Planeringsförutsättningar</tema>
      <grupp>Hälsa och säkerhet</grupp>
      <undergrupp>Risk för olyckor</undergrupp>
    </Indelning>
  </Omfattning>
  <Omfattning>
    <identitet>pf_riskförolyckor02</identitet>
    <Indelning>
      <tema>Planeringsförutsättningar</tema>
      <grupp>Hälsa och säkerhet</grupp>
      <undergrupp>Risk för olyckor</undergrupp>
    </Indelning>
  </Omfattning>
  <Omfattning>
    <identitet>ko_olyckor01</identitet>
    <Indelning>
      <tema>Konsekvenser</tema>
      <grupp>Hälsa och säkerhet</grupp>
      <undergrupp>Olyckor</und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pf_miljömål01</identitet>
    <Indelning>
      <tema>Planeringsförutsättningar</tema>
      <grupp>Miljö</grupp>
      <undergrupp>Miljömål</undergrupp>
    </Indelning>
  </Omfattning>
  <Omfattning>
    <identitet>pf_riksintressen01</identitet>
    <Indelning>
      <tema>Planeringsförutsättningar</tema>
      <grupp>Riksintressen</grupp>
    </Indelning>
  </Omfattning>
  <Omfattning>
    <identitet>gf_fastighetsrättsligafrågor01</identitet>
    <Indelning>
      <tema>Genomförandefrågor</tema>
      <grupp>Fastighetsrättsliga frågor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gf_rättigheter02</identitet>
    <Indelning>
      <tema>Genomförandefrågor</tema>
      <grupp>Fastighetsrättsliga frågor</grupp>
      <undergrupp>Rättigheter</undergrupp>
    </Indelning>
  </Omfattning>
  <Omfattning>
    <identitet>gf_rättigheter03</identitet>
    <Indelning>
      <tema>Genomförandefrågor</tema>
      <grupp>Fastighetsrättsliga frågor</grupp>
      <undergrupp>Rättigheter</undergrupp>
    </Indelning>
  </Omfattning>
  <Omfattning>
    <identitet>gf_fastighetsrättsligafrågor02</identitet>
    <Indelning>
      <tema>Genomförandefrågor</tema>
      <grupp>Fastighetsrättsliga frågor</grupp>
    </Indelning>
  </Omfattning>
  <Omfattning>
    <identitet>gf_förändradfastighetsindelning02</identitet>
    <Indelning>
      <tema>Genomförandefrågor</tema>
      <grupp>Fastighetsrättsliga frågor</grupp>
      <undergrupp>Förändrad fastighetsindelning</undergrupp>
    </Indelning>
  </Omfattning>
  <Omfattning>
    <identitet>gf_förändradfastighetsindelning03</identitet>
    <Indelning>
      <tema>Genomförandefrågor</tema>
      <grupp>Fastighetsrättsliga frågor</grupp>
      <undergrupp>Förändrad fastighetsindelning</undergrupp>
    </Indelning>
  </Omfattning>
  <Omfattning>
    <identitet>gf_rättigheter04</identitet>
    <Indelning>
      <tema>Genomförandefrågor</tema>
      <grupp>Fastighetsrättsliga frågor</grupp>
      <undergrupp>Rättigheter</undergrupp>
    </Indelning>
  </Omfattning>
  <Omfattning>
    <identitet>gf_förändradfastighetsindelning04</identitet>
    <Indelning>
      <tema>Genomförandefrågor</tema>
      <grupp>Fastighetsrättsliga frågor</grupp>
      <undergrupp>Förändrad fastighetsindelning</undergrupp>
    </Indelning>
  </Omfattning>
  <Omfattning>
    <identitet>gf_förändradfastighetsindelning05</identitet>
    <Indelning>
      <tema>Genomförandefrågor</tema>
      <grupp>Fastighetsrättsliga frågor</grupp>
      <undergrupp>Förändrad fastighetsindelning</undergrupp>
    </Indelning>
  </Omfattning>
  <Omfattning>
    <identitet>gf_rättigheter05</identitet>
    <Indelning>
      <tema>Genomförandefrågor</tema>
      <grupp>Fastighetsrättsliga frågor</grupp>
      <undergrupp>Rättigheter</undergrupp>
    </Indelning>
  </Omfattning>
  <Omfattning>
    <identitet>gf_rättigheter06</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gf_markanvisning01</identitet>
    <Indelning>
      <tema>Genomförandefrågor</tema>
      <grupp>Organisatoriska frågor</grupp>
      <undergrupp>Markanvisning</undergrupp>
    </Indelning>
  </Omfattning>
  <Omfattning>
    <identitet>gf_planavgift01</identitet>
    <Indelning>
      <tema>Genomförandefrågor</tema>
      <grupp>Ekonomiska frågor</grupp>
      <undergrupp>Planavgift</undergrupp>
    </Indelning>
  </Omfattning>
  <Omfattning>
    <identitet>gf_planekonomiskbedömning01</identitet>
    <Indelning>
      <tema>Genomförandefrågor</tema>
      <grupp>Ekonomiska frågor</grupp>
      <undergrupp>Planekonomisk bedömning</undergrupp>
    </Indelning>
  </Omfattning>
  <Omfattning>
    <identitet>gf_planekonomiskbedömning02</identitet>
    <Indelning>
      <tema>Genomförandefrågor</tema>
      <grupp>Ekonomiska frågor</grupp>
      <undergrupp>Planekonomisk bedömning</undergrupp>
    </Indelning>
  </Omfattning>
  <Omfattning>
    <identitet>gf_markanvisning02</identitet>
    <Indelning>
      <tema>Genomförandefrågor</tema>
      <grupp>Organisatoriska frågor</grupp>
      <undergrupp>Markanvisning</undergrupp>
    </Indelning>
  </Omfattning>
  <Omfattning>
    <identitet>pu_undersökningenl6kap6_mb01</identitet>
    <Indelning>
      <tema>Planeringsunderlag</tema>
      <grupp>Kommunala</grupp>
      <undergrupp>Undersökning enligt 6 kap. 6 § miljöbalken (1998:808)</undergrupp>
    </Indelning>
  </Omfattning>
  <Omfattning>
    <identitet>pu_undersökningenl6kap6_mb02</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pu_dagvattenutredning01</identitet>
    <Indelning>
      <tema>Planeringsunderlag</tema>
      <grupp>Utredningar</grupp>
      <undergrupp>Dagvattenutredning</undergrupp>
    </Indelning>
  </Omfattning>
  <Omfattning>
    <identitet>be_heladetaljplan03</identitet>
    <Indelning>
      <tema>Beskrivning av detaljplanen</tema>
      <grupp>Hela detaljplan</grupp>
    </Indelning>
  </Omfattning>
  <Omfattning>
    <identitet>be_heladetaljplan04</identitet>
    <Indelning>
      <tema>Beskrivning av detaljplanen</tema>
      <grupp>Hela detaljplan</grupp>
    </Indelning>
  </Omfattning>
  <Omfattning>
    <identitet>be_heladetaljplan05</identitet>
    <Indelning>
      <tema>Beskrivning av detaljplanen</tema>
      <grupp>Hela detaljplan</grupp>
    </Indelning>
  </Omfattning>
  <Omfattning>
    <identitet>be_heladetaljplan06</identitet>
    <Indelning>
      <tema>Beskrivning av detaljplanen</tema>
      <grupp>Hela detaljplan</grupp>
    </Indelning>
  </Omfattning>
  <Omfattning>
    <identitet>be_huvudmannaskap01</identitet>
    <Indelning>
      <tema>Beskrivning av detaljplanen</tema>
      <grupp>Allmän plats</grupp>
      <undergrupp>Huvudmannaskap</undergrupp>
    </Indelning>
  </Omfattning>
  <Omfattning>
    <identitet>ko_grönområde01</identitet>
    <Indelning>
      <tema>Konsekvenser</tema>
      <grupp>Natur</grupp>
      <undergrupp>Grönområde</undergrupp>
    </Indelning>
  </Omfattning>
  <Omfattning>
    <identitet>ko_grönområde02</identitet>
    <Indelning>
      <tema>Konsekvenser</tema>
      <grupp>Natur</grupp>
      <undergrupp>Grönområde</undergrupp>
    </Indelning>
  </Omfattning>
  <Omfattning>
    <identitet>ko_landskapsbild01</identitet>
    <Indelning>
      <tema>Konsekvenser</tema>
      <grupp>Natur</grupp>
      <undergrupp>Landskapsbild</undergrupp>
    </Indelning>
  </Omfattning>
  <Omfattning>
    <identitet>ko_teknik01</identitet>
    <Indelning>
      <tema>Konsekvenser</tema>
      <grupp>Annat</grupp>
      <undergrupp>Teknik</undergrupp>
    </Indelning>
  </Omfattning>
  <Omfattning>
    <identitet>ko_teknik02</identitet>
    <Indelning>
      <tema>Konsekvenser</tema>
      <grupp>Annat</grupp>
      <undergrupp>Teknik</undergrupp>
    </Indelning>
  </Omfattning>
  <Omfattning>
    <identitet>ko_teknik03</identitet>
    <Indelning>
      <tema>Konsekvenser</tema>
      <grupp>Annat</grupp>
      <undergrupp>Teknik</undergrupp>
    </Indelning>
  </Omfattning>
  <Omfattning>
    <identitet>ko_hälsaochsäkerhet02</identitet>
    <Indelning>
      <tema>Konsekvenser</tema>
      <grupp>Hälsa och säkerhet</grupp>
    </Indelning>
  </Omfattning>
  <Omfattning>
    <identitet>be_heladetaljplan07</identitet>
    <Indelning>
      <tema>Beskrivning av detaljplanen</tema>
      <grupp>Hela detaljplan</grupp>
    </Indelning>
  </Omfattning>
  <Omfattning>
    <identitet>be_genomförandetid01</identitet>
    <Indelning>
      <tema>Beskrivning av detaljplanen</tema>
      <grupp>Genomförandetid</grupp>
    </Indelning>
  </Omfattning>
  <Omfattning>
    <identitet>be_ärendeinformation01</identitet>
    <Indelning>
      <tema>Beskrivning av detaljplanen</tema>
      <grupp>Ärendeinformation</grupp>
    </Indelning>
  </Omfattning>
  <Omfattning>
    <identitet>be_befintligt01</identitet>
    <Indelning>
      <tema>Beskrivning av detaljplanen</tema>
      <grupp>Befintligt</grupp>
    </Indelning>
  </Omfattning>
  <Omfattning>
    <identitet>be_allmänplats01</identitet>
    <Indelning>
      <tema>Beskrivning av detaljplanen</tema>
      <grupp>Allmän plats</grupp>
    </Indelning>
  </Omfattning>
  <Omfattning>
    <identitet>be_kvartersmark01</identitet>
    <Indelning>
      <tema>Beskrivning av detaljplanen</tema>
      <grupp>Kvartersmark</grupp>
    </Indelning>
  </Omfattning>
  <Omfattning>
    <identitet>be_kvartersmark02</identitet>
    <Indelning>
      <tema>Beskrivning av detaljplanen</tema>
      <grupp>Kvartersmark</grupp>
    </Indelning>
  </Omfattning>
  <Omfattning>
    <identitet>be_kvartersmark03</identitet>
    <Indelning>
      <tema>Beskrivning av detaljplanen</tema>
      <grupp>Kvartersmark</grupp>
    </Indelning>
  </Omfattning>
  <Omfattning>
    <identitet>pf_fysiskmiljö01</identitet>
    <Indelning>
      <tema>Planeringsförutsättningar</tema>
      <grupp>Fysisk miljö</grupp>
    </Indelning>
  </Omfattning>
  <Omfattning>
    <identitet>pf_fysiskmiljö02</identitet>
    <Indelning>
      <tema>Planeringsförutsättningar</tema>
      <grupp>Fysisk miljö</grupp>
    </Indelning>
  </Omfattning>
  <Omfattning>
    <identitet>pf_fysiskmiljö03</identitet>
    <Indelning>
      <tema>Planeringsförutsättningar</tema>
      <grupp>Fysisk miljö</grupp>
    </Indelning>
  </Omfattning>
  <Omfattning>
    <identitet>be_ärendeinformation02</identitet>
    <Indelning>
      <tema>Beskrivning av detaljplanen</tema>
      <grupp>Ärendeinformation</grupp>
    </Indelning>
  </Omfattning>
  <Omfattning>
    <identitet>Kartlänk_01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1ed244e9-2cd7-4f32-a762-efe6388db61c_f1">
          <gml:exterior>
            <gml:LinearRing>
              <gml:posList>6732368.527 182743.763 6732359.98 182740.944 6732362.173 182734.296 6732370.72 182737.115 6732368.527 182743.763</gml:posList>
            </gml:LinearRing>
          </gml:exterior>
        </gml:Polygon>
      </lmg:Position>
    </lmg:Ytgeometri>
    <objektreferens>1ed244e9-2cd7-4f32-a762-efe6388db61c</objektreferens>
  </Omfattning>
</Planbeskrivning>
</file>

<file path=customXml/itemProps1.xml><?xml version="1.0" encoding="utf-8"?>
<ds:datastoreItem xmlns:ds="http://schemas.openxmlformats.org/officeDocument/2006/customXml" ds:itemID="{b4ceea4c-791a-4cfa-970e-5475b8e75eab}">
  <ds:schemaRefs>
    <ds:schemaRef ds:uri="http://schemas.microsoft.com/vsto/samples"/>
  </ds:schemaRefs>
</ds:datastoreItem>
</file>

<file path=customXml/itemProps2.xml><?xml version="1.0" encoding="utf-8"?>
<ds:datastoreItem xmlns:ds="http://schemas.openxmlformats.org/officeDocument/2006/customXml" ds:itemID="{820afb87-7590-4c7b-b6cb-8b6fe2701a71}">
  <ds:schemaRefs>
    <ds:schemaRef ds:uri="http://schemas.microsoft.com/vsto/samples"/>
  </ds:schemaRefs>
</ds:datastoreItem>
</file>

<file path=customXml/itemProps3.xml><?xml version="1.0" encoding="utf-8"?>
<ds:datastoreItem xmlns:ds="http://schemas.openxmlformats.org/officeDocument/2006/customXml" ds:itemID="{ee31bbd6-13bb-42f9-b0ea-8413b6d71322}">
  <ds:schemaRefs>
    <ds:schemaRef ds:uri="http://schemas.microsoft.com/vsto/samples"/>
  </ds:schemaRefs>
</ds:datastoreItem>
</file>

<file path=customXml/itemProps4.xml><?xml version="1.0" encoding="utf-8"?>
<ds:datastoreItem xmlns:ds="http://schemas.openxmlformats.org/officeDocument/2006/customXml" ds:itemID="{99ef7942-74de-46fd-87ac-4ad0971e20f6}">
  <ds:schemaRefs>
    <ds:schemaRef ds:uri="http://schemas.microsoft.com/vsto/samples"/>
  </ds:schemaRefs>
</ds:datastoreItem>
</file>

<file path=customXml/itemProps5.xml><?xml version="1.0" encoding="utf-8"?>
<ds:datastoreItem xmlns:ds="http://schemas.openxmlformats.org/officeDocument/2006/customXml" ds:itemID="0fc9921d-a664-4418-b4c8-8f536b286eaf">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Elin Rosendahl</dc:creator>
  <dcterms:created xsi:type="dcterms:W3CDTF">2024-03-25T09:10:00Z</dcterms:created>
  <cp:keywords>Detaljplan; Planbeskrivning</cp:keywords>
  <cp:lastModifiedBy>Rosendahl, Elin</cp:lastModifiedBy>
  <cp:lastPrinted>2024-03-25T09:19:00Z</cp:lastPrinted>
  <dcterms:modified xsi:type="dcterms:W3CDTF">2024-07-26T10:03:12Z</dcterms:modified>
  <cp:revision>11</cp:revision>
  <dc:title>Planbeskrivning Gävle kommun</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0x01010068E0DB519AD4404FBD3BAAB1A69339CE</vt:lpwstr>
  </property>
  <property fmtid="{D5CDD505-2E9C-101B-9397-08002B2CF9AE}" pid="3" name="MediaServiceImageTags">
    <vt:lpwstr/>
  </property>
</Properties>
</file>