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after="6000" w:beforeAutospacing="0" w:afterAutospacing="0"/>
        <w:ind w:left="-765"/>
      </w:pPr>
      <w:bookmarkStart w:id="0" w:name="_Toc129767120"/>
    </w:p>
    <w:p>
      <w:pPr>
        <w:pStyle w:val="P12"/>
        <w:spacing w:after="720" w:beforeAutospacing="0" w:afterAutospacing="0"/>
        <w:rPr>
          <w:color w:val="FFFFFF" w:themeColor="background1"/>
        </w:rPr>
      </w:pPr>
      <w:bookmarkStart w:id="1" w:name="_Hlk158973727"/>
      <w:r>
        <w:rPr>
          <w:color w:val="FFFFFF" w:themeColor="background1"/>
          <w:sz w:val="44"/>
          <w:szCs w:val="44"/>
        </w:rPr>
        <w:t>Ändring av Stadsplan för Kv. Runan, Hovmantorp, Lessebo kommun, Kronobergs Län.</w:t>
      </w:r>
    </w:p>
    <w:p>
      <w:pPr>
        <w:tabs>
          <w:tab w:val="left" w:pos="2547" w:leader="none"/>
        </w:tabs>
        <w:spacing w:after="120" w:beforeAutospacing="0" w:afterAutospacing="0"/>
        <w:rPr>
          <w:color w:val="FFFFFF" w:themeColor="background1"/>
        </w:rPr>
      </w:pPr>
      <w:bookmarkEnd w:id="1"/>
      <w:r>
        <w:rPr>
          <w:b w:val="1"/>
          <w:bCs w:val="1"/>
          <w:color w:val="FFFFFF" w:themeColor="background1"/>
        </w:rPr>
        <w:t>Dokumenttyp</w:t>
      </w:r>
      <w:r>
        <w:rPr>
          <w:color w:val="FFFFFF" w:themeColor="background1"/>
        </w:rPr>
        <w:tab/>
        <w:t>Lagakrafthandling. PBL (SFS 2010:900)</w:t>
      </w:r>
    </w:p>
    <w:p>
      <w:pPr>
        <w:tabs>
          <w:tab w:val="left" w:pos="2547" w:leader="none"/>
        </w:tabs>
        <w:spacing w:after="120" w:beforeAutospacing="0" w:afterAutospacing="0"/>
        <w:rPr>
          <w:b w:val="1"/>
          <w:bCs w:val="1"/>
          <w:color w:val="FFFFFF" w:themeColor="background1"/>
        </w:rPr>
      </w:pPr>
      <w:r>
        <w:rPr>
          <w:b w:val="1"/>
          <w:bCs w:val="1"/>
          <w:color w:val="FFFFFF" w:themeColor="background1"/>
        </w:rPr>
        <w:t>Förfarande</w:t>
        <w:tab/>
      </w:r>
      <w:r>
        <w:rPr>
          <w:color w:val="FFFFFF" w:themeColor="background1"/>
        </w:rPr>
        <w:t>Standardförfarande</w:t>
      </w:r>
    </w:p>
    <w:p>
      <w:pPr>
        <w:tabs>
          <w:tab w:val="left" w:pos="2547" w:leader="none"/>
        </w:tabs>
        <w:spacing w:after="120" w:beforeAutospacing="0" w:afterAutospacing="0"/>
        <w:rPr>
          <w:color w:val="FFFFFF" w:themeColor="background1"/>
        </w:rPr>
      </w:pPr>
      <w:r>
        <w:rPr>
          <w:b w:val="1"/>
          <w:bCs w:val="1"/>
          <w:color w:val="FFFFFF" w:themeColor="background1"/>
        </w:rPr>
        <w:t>Påbörjad</w:t>
      </w:r>
      <w:r>
        <w:rPr>
          <w:color w:val="FFFFFF" w:themeColor="background1"/>
        </w:rPr>
        <w:tab/>
        <w:t>2024-12-04</w:t>
      </w:r>
    </w:p>
    <w:p>
      <w:pPr>
        <w:tabs>
          <w:tab w:val="left" w:pos="2547" w:leader="none"/>
        </w:tabs>
        <w:spacing w:after="120" w:beforeAutospacing="0" w:afterAutospacing="0"/>
        <w:rPr>
          <w:color w:val="FFFFFF" w:themeColor="background1"/>
        </w:rPr>
      </w:pPr>
      <w:r>
        <w:rPr>
          <w:b w:val="1"/>
          <w:bCs w:val="1"/>
          <w:color w:val="FFFFFF" w:themeColor="background1"/>
        </w:rPr>
        <w:t>Antagen av KS</w:t>
      </w:r>
      <w:r>
        <w:rPr>
          <w:color w:val="FFFFFF" w:themeColor="background1"/>
        </w:rPr>
        <w:tab/>
        <w:t>2025-04-15</w:t>
      </w:r>
    </w:p>
    <w:p>
      <w:pPr>
        <w:tabs>
          <w:tab w:val="left" w:pos="2547" w:leader="none"/>
        </w:tabs>
        <w:spacing w:after="120" w:beforeAutospacing="0" w:afterAutospacing="0"/>
        <w:rPr>
          <w:color w:val="FFFFFF" w:themeColor="background1"/>
        </w:rPr>
      </w:pPr>
      <w:r>
        <w:rPr>
          <w:b w:val="1"/>
          <w:bCs w:val="1"/>
          <w:color w:val="FFFFFF" w:themeColor="background1"/>
        </w:rPr>
        <w:t>Laga kraft</w:t>
      </w:r>
      <w:r>
        <w:rPr>
          <w:color w:val="FFFFFF" w:themeColor="background1"/>
        </w:rPr>
        <w:tab/>
        <w:t>2024-05-08</w:t>
      </w:r>
    </w:p>
    <w:p>
      <w:pPr>
        <w:tabs>
          <w:tab w:val="left" w:pos="2547" w:leader="none"/>
        </w:tabs>
        <w:spacing w:after="120" w:beforeAutospacing="0" w:afterAutospacing="0"/>
        <w:rPr>
          <w:color w:val="FFFFFF" w:themeColor="background1"/>
        </w:rPr>
      </w:pPr>
      <w:r>
        <w:rPr>
          <w:b w:val="1"/>
          <w:bCs w:val="1"/>
          <w:color w:val="FFFFFF" w:themeColor="background1"/>
        </w:rPr>
        <w:t>Diarienummer</w:t>
      </w:r>
      <w:r>
        <w:rPr>
          <w:color w:val="FFFFFF" w:themeColor="background1"/>
        </w:rPr>
        <w:tab/>
        <w:t>KS 2024/369. SBN 2024/328</w:t>
      </w:r>
    </w:p>
    <w:p>
      <w:pPr>
        <w:tabs>
          <w:tab w:val="left" w:pos="2547" w:leader="none"/>
        </w:tabs>
        <w:spacing w:after="120" w:beforeAutospacing="0" w:afterAutospacing="0"/>
        <w:rPr>
          <w:color w:val="FFFFFF" w:themeColor="background1"/>
        </w:rPr>
      </w:pPr>
      <w:r>
        <w:rPr>
          <w:b w:val="1"/>
          <w:bCs w:val="1"/>
          <w:color w:val="FFFFFF" w:themeColor="background1"/>
        </w:rPr>
        <w:t>Genomförandetid</w:t>
      </w:r>
      <w:r>
        <w:rPr>
          <w:color w:val="FFFFFF" w:themeColor="background1"/>
        </w:rPr>
        <w:tab/>
        <w:t>5 år</w:t>
      </w:r>
    </w:p>
    <w:p>
      <w:pPr>
        <w:tabs>
          <w:tab w:val="left" w:pos="2547" w:leader="none"/>
        </w:tabs>
        <w:spacing w:after="120" w:beforeAutospacing="0" w:afterAutospacing="0"/>
        <w:rPr>
          <w:rFonts w:cs="Times New Roman (CS-brödtext)"/>
          <w:color w:val="FFFFFF" w:themeColor="background1"/>
        </w:rPr>
      </w:pPr>
      <w:r>
        <w:rPr>
          <w:rFonts w:cs="Times New Roman (CS-brödtext)"/>
          <w:b w:val="1"/>
          <w:bCs w:val="1"/>
          <w:color w:val="FFFFFF" w:themeColor="background1"/>
        </w:rPr>
        <w:t>Dokumentansvarig</w:t>
      </w:r>
      <w:r>
        <w:rPr>
          <w:rFonts w:cs="Times New Roman (CS-brödtext)"/>
          <w:color w:val="FFFFFF" w:themeColor="background1"/>
        </w:rPr>
        <w:tab/>
        <w:t>Samhällsbyggnadsförvaltningen</w:t>
      </w:r>
    </w:p>
    <w:p>
      <w:pPr>
        <w:tabs>
          <w:tab w:val="left" w:pos="2547" w:leader="none"/>
        </w:tabs>
        <w:spacing w:after="120" w:beforeAutospacing="0" w:afterAutospacing="0"/>
        <w:rPr>
          <w:rFonts w:cs="Times New Roman (CS-brödtext)"/>
          <w:color w:val="FFFFFF" w:themeColor="background1"/>
        </w:rPr>
      </w:pPr>
      <w:r>
        <w:rPr>
          <w:rFonts w:cs="Times New Roman (CS-brödtext)"/>
          <w:b w:val="1"/>
          <w:bCs w:val="1"/>
          <w:color w:val="FFFFFF" w:themeColor="background1"/>
        </w:rPr>
        <w:t>Planförfattare</w:t>
      </w:r>
      <w:r>
        <w:rPr>
          <w:rFonts w:cs="Times New Roman (CS-brödtext)"/>
          <w:color w:val="FFFFFF" w:themeColor="background1"/>
        </w:rPr>
        <w:tab/>
        <w:t>Sofia Edlund Renbjörk</w:t>
      </w:r>
    </w:p>
    <w:p>
      <w:pPr>
        <w:tabs>
          <w:tab w:val="left" w:pos="2547" w:leader="none"/>
        </w:tabs>
        <w:spacing w:after="120" w:beforeAutospacing="0" w:afterAutospacing="0"/>
        <w:rPr>
          <w:rFonts w:cs="Times New Roman (CS-brödtext)"/>
          <w:color w:val="FFFFFF" w:themeColor="background1"/>
        </w:rPr>
      </w:pPr>
    </w:p>
    <w:p>
      <w:r>
        <w:br w:type="page"/>
      </w:r>
    </w:p>
    <w:p>
      <w:pPr>
        <w:pStyle w:val="P11"/>
        <w:tabs>
          <w:tab w:val="left" w:pos="6853" w:leader="none"/>
        </w:tabs>
      </w:pPr>
      <w:r>
        <w:t>Innehåll</w:t>
        <w:tab/>
      </w:r>
    </w:p>
    <w:p>
      <w:pPr>
        <w:pStyle w:val="P24"/>
        <w:tabs>
          <w:tab w:val="left" w:pos="440" w:leader="none"/>
        </w:tabs>
      </w:pPr>
    </w:p>
    <w:p>
      <w:pPr>
        <w:pStyle w:val="P24"/>
        <w:tabs>
          <w:tab w:val="left" w:pos="440" w:leader="none"/>
        </w:tabs>
        <w:rPr>
          <w:rFonts w:asciiTheme="minorHAnsi" w:hAnsiTheme="minorHAnsi" w:eastAsiaTheme="minorEastAsia"/>
          <w:b w:val="0"/>
          <w:noProof w:val="1"/>
          <w:sz w:val="24"/>
          <w:szCs w:val="24"/>
          <w:kern w:val="2"/>
          <w:lang w:eastAsia="sv-SE"/>
        </w:rPr>
      </w:pPr>
      <w:r>
        <w:fldChar w:fldCharType="begin"/>
      </w:r>
      <w:r>
        <w:instrText xml:space="preserve"> TOC \o "3-3" \h \z \u \t "Rubrik 1;1;Rubrik 2;2" </w:instrText>
      </w:r>
      <w:r>
        <w:fldChar w:fldCharType="separate"/>
      </w:r>
      <w:hyperlink w:anchor="_Toc188429234">
        <w:r>
          <w:rPr>
            <w:rStyle w:val="C2"/>
            <w:noProof w:val="1"/>
          </w:rPr>
          <w:t>1</w:t>
        </w:r>
        <w:r>
          <w:rPr>
            <w:rFonts w:asciiTheme="minorHAnsi" w:hAnsiTheme="minorHAnsi" w:eastAsiaTheme="minorEastAsia"/>
            <w:b w:val="0"/>
            <w:noProof w:val="1"/>
            <w:sz w:val="24"/>
            <w:szCs w:val="24"/>
            <w:kern w:val="2"/>
            <w:lang w:eastAsia="sv-SE"/>
          </w:rPr>
          <w:tab/>
        </w:r>
        <w:r>
          <w:rPr>
            <w:rStyle w:val="C2"/>
            <w:noProof w:val="1"/>
          </w:rPr>
          <w:t>ÄNDRINGENS SYFTE</w:t>
        </w:r>
        <w:r>
          <w:rPr>
            <w:noProof w:val="1"/>
          </w:rPr>
          <w:tab/>
        </w:r>
        <w:r>
          <w:rPr>
            <w:noProof w:val="1"/>
          </w:rPr>
          <w:fldChar w:fldCharType="begin"/>
        </w:r>
        <w:r>
          <w:rPr>
            <w:noProof w:val="1"/>
          </w:rPr>
          <w:instrText xml:space="preserve"> PAGEREF _Toc188429234 \h </w:instrText>
        </w:r>
        <w:r>
          <w:rPr>
            <w:noProof w:val="1"/>
          </w:rPr>
          <w:fldChar w:fldCharType="separate"/>
        </w:r>
        <w:r>
          <w:rPr>
            <w:noProof w:val="1"/>
          </w:rPr>
          <w:t>5</w:t>
        </w:r>
        <w:r>
          <w:rPr>
            <w:noProof w:val="1"/>
          </w:rPr>
          <w:fldChar w:fldCharType="end"/>
        </w:r>
      </w:hyperlink>
    </w:p>
    <w:p>
      <w:pPr>
        <w:pStyle w:val="P25"/>
        <w:tabs>
          <w:tab w:val="left" w:pos="720" w:leader="none"/>
          <w:tab w:val="right" w:pos="7643" w:leader="dot"/>
        </w:tabs>
        <w:rPr>
          <w:rFonts w:asciiTheme="minorHAnsi" w:hAnsiTheme="minorHAnsi" w:eastAsiaTheme="minorEastAsia"/>
          <w:noProof w:val="1"/>
          <w:sz w:val="24"/>
          <w:szCs w:val="24"/>
          <w:kern w:val="2"/>
          <w:lang w:eastAsia="sv-SE"/>
        </w:rPr>
      </w:pPr>
      <w:hyperlink w:anchor="_Toc188429235">
        <w:r>
          <w:rPr>
            <w:rStyle w:val="C2"/>
            <w:noProof w:val="1"/>
          </w:rPr>
          <w:t>1.1</w:t>
        </w:r>
        <w:r>
          <w:rPr>
            <w:rFonts w:asciiTheme="minorHAnsi" w:hAnsiTheme="minorHAnsi" w:eastAsiaTheme="minorEastAsia"/>
            <w:noProof w:val="1"/>
            <w:sz w:val="24"/>
            <w:szCs w:val="24"/>
            <w:kern w:val="2"/>
            <w:lang w:eastAsia="sv-SE"/>
          </w:rPr>
          <w:tab/>
        </w:r>
        <w:r>
          <w:rPr>
            <w:rStyle w:val="C2"/>
            <w:noProof w:val="1"/>
          </w:rPr>
          <w:t>SYFTE</w:t>
        </w:r>
        <w:r>
          <w:rPr>
            <w:noProof w:val="1"/>
          </w:rPr>
          <w:tab/>
        </w:r>
        <w:r>
          <w:rPr>
            <w:noProof w:val="1"/>
          </w:rPr>
          <w:fldChar w:fldCharType="begin"/>
        </w:r>
        <w:r>
          <w:rPr>
            <w:noProof w:val="1"/>
          </w:rPr>
          <w:instrText xml:space="preserve"> PAGEREF _Toc188429235 \h </w:instrText>
        </w:r>
        <w:r>
          <w:rPr>
            <w:noProof w:val="1"/>
          </w:rPr>
          <w:fldChar w:fldCharType="separate"/>
        </w:r>
        <w:r>
          <w:rPr>
            <w:noProof w:val="1"/>
          </w:rPr>
          <w:t>5</w:t>
        </w:r>
        <w:r>
          <w:rPr>
            <w:noProof w:val="1"/>
          </w:rPr>
          <w:fldChar w:fldCharType="end"/>
        </w:r>
      </w:hyperlink>
    </w:p>
    <w:p>
      <w:pPr>
        <w:pStyle w:val="P25"/>
        <w:tabs>
          <w:tab w:val="left" w:pos="960" w:leader="none"/>
          <w:tab w:val="right" w:pos="7643" w:leader="dot"/>
        </w:tabs>
        <w:rPr>
          <w:noProof w:val="1"/>
        </w:rPr>
      </w:pPr>
      <w:hyperlink w:anchor="_Toc188429236">
        <w:r>
          <w:rPr>
            <w:rStyle w:val="C2"/>
            <w:noProof w:val="1"/>
          </w:rPr>
          <w:t>1.2</w:t>
        </w:r>
        <w:r>
          <w:rPr>
            <w:rFonts w:asciiTheme="minorHAnsi" w:hAnsiTheme="minorHAnsi" w:eastAsiaTheme="minorEastAsia"/>
            <w:noProof w:val="1"/>
            <w:sz w:val="24"/>
            <w:szCs w:val="24"/>
            <w:kern w:val="2"/>
            <w:lang w:eastAsia="sv-SE"/>
          </w:rPr>
          <w:tab/>
        </w:r>
        <w:r>
          <w:rPr>
            <w:rStyle w:val="C2"/>
            <w:noProof w:val="1"/>
          </w:rPr>
          <w:t>VARFÖR ÄNDRING AV DETALJPLAN VALTS</w:t>
        </w:r>
        <w:r>
          <w:rPr>
            <w:noProof w:val="1"/>
          </w:rPr>
          <w:tab/>
        </w:r>
        <w:r>
          <w:rPr>
            <w:noProof w:val="1"/>
          </w:rPr>
          <w:fldChar w:fldCharType="begin"/>
        </w:r>
        <w:r>
          <w:rPr>
            <w:noProof w:val="1"/>
          </w:rPr>
          <w:instrText xml:space="preserve"> PAGEREF _Toc188429236 \h </w:instrText>
        </w:r>
        <w:r>
          <w:rPr>
            <w:noProof w:val="1"/>
          </w:rPr>
          <w:fldChar w:fldCharType="separate"/>
        </w:r>
        <w:r>
          <w:rPr>
            <w:noProof w:val="1"/>
          </w:rPr>
          <w:t>5</w:t>
        </w:r>
        <w:r>
          <w:rPr>
            <w:noProof w:val="1"/>
          </w:rPr>
          <w:fldChar w:fldCharType="end"/>
        </w:r>
      </w:hyperlink>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237">
        <w:r>
          <w:rPr>
            <w:rStyle w:val="C2"/>
            <w:noProof w:val="1"/>
          </w:rPr>
          <w:t>2</w:t>
        </w:r>
        <w:r>
          <w:rPr>
            <w:rFonts w:asciiTheme="minorHAnsi" w:hAnsiTheme="minorHAnsi" w:eastAsiaTheme="minorEastAsia"/>
            <w:b w:val="0"/>
            <w:noProof w:val="1"/>
            <w:sz w:val="24"/>
            <w:szCs w:val="24"/>
            <w:kern w:val="2"/>
            <w:lang w:eastAsia="sv-SE"/>
          </w:rPr>
          <w:tab/>
        </w:r>
        <w:r>
          <w:rPr>
            <w:rStyle w:val="C2"/>
            <w:noProof w:val="1"/>
          </w:rPr>
          <w:t>BESKRIVNING AV ÄNDRINGEN</w:t>
        </w:r>
        <w:r>
          <w:rPr>
            <w:noProof w:val="1"/>
          </w:rPr>
          <w:tab/>
        </w:r>
        <w:r>
          <w:rPr>
            <w:noProof w:val="1"/>
          </w:rPr>
          <w:fldChar w:fldCharType="begin"/>
        </w:r>
        <w:r>
          <w:rPr>
            <w:noProof w:val="1"/>
          </w:rPr>
          <w:instrText xml:space="preserve"> PAGEREF _Toc188429237 \h </w:instrText>
        </w:r>
        <w:r>
          <w:rPr>
            <w:noProof w:val="1"/>
          </w:rPr>
          <w:fldChar w:fldCharType="separate"/>
        </w:r>
        <w:r>
          <w:rPr>
            <w:noProof w:val="1"/>
          </w:rPr>
          <w:t>6</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38">
        <w:r>
          <w:rPr>
            <w:rStyle w:val="C2"/>
            <w:noProof w:val="1"/>
          </w:rPr>
          <w:t>2.1</w:t>
        </w:r>
        <w:r>
          <w:rPr>
            <w:rFonts w:asciiTheme="minorHAnsi" w:hAnsiTheme="minorHAnsi" w:eastAsiaTheme="minorEastAsia"/>
            <w:noProof w:val="1"/>
            <w:sz w:val="24"/>
            <w:szCs w:val="24"/>
            <w:kern w:val="2"/>
            <w:lang w:eastAsia="sv-SE"/>
          </w:rPr>
          <w:tab/>
        </w:r>
        <w:r>
          <w:rPr>
            <w:rStyle w:val="C2"/>
            <w:noProof w:val="1"/>
          </w:rPr>
          <w:t>HELA DETALJPLANEN</w:t>
        </w:r>
        <w:r>
          <w:rPr>
            <w:noProof w:val="1"/>
          </w:rPr>
          <w:tab/>
        </w:r>
        <w:r>
          <w:rPr>
            <w:noProof w:val="1"/>
          </w:rPr>
          <w:fldChar w:fldCharType="begin"/>
        </w:r>
        <w:r>
          <w:rPr>
            <w:noProof w:val="1"/>
          </w:rPr>
          <w:instrText xml:space="preserve"> PAGEREF _Toc188429238 \h </w:instrText>
        </w:r>
        <w:r>
          <w:rPr>
            <w:noProof w:val="1"/>
          </w:rPr>
          <w:fldChar w:fldCharType="separate"/>
        </w:r>
        <w:r>
          <w:rPr>
            <w:noProof w:val="1"/>
          </w:rPr>
          <w:t>6</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40">
        <w:r>
          <w:rPr>
            <w:rStyle w:val="C2"/>
            <w:noProof w:val="1"/>
          </w:rPr>
          <w:t>2.2</w:t>
        </w:r>
        <w:r>
          <w:rPr>
            <w:rFonts w:asciiTheme="minorHAnsi" w:hAnsiTheme="minorHAnsi" w:eastAsiaTheme="minorEastAsia"/>
            <w:noProof w:val="1"/>
            <w:sz w:val="24"/>
            <w:szCs w:val="24"/>
            <w:kern w:val="2"/>
            <w:lang w:eastAsia="sv-SE"/>
          </w:rPr>
          <w:tab/>
        </w:r>
        <w:r>
          <w:rPr>
            <w:rStyle w:val="C2"/>
            <w:noProof w:val="1"/>
          </w:rPr>
          <w:t>GENOMFÖRANDETID</w:t>
        </w:r>
        <w:r>
          <w:rPr>
            <w:noProof w:val="1"/>
          </w:rPr>
          <w:tab/>
        </w:r>
        <w:r>
          <w:rPr>
            <w:noProof w:val="1"/>
          </w:rPr>
          <w:fldChar w:fldCharType="begin"/>
        </w:r>
        <w:r>
          <w:rPr>
            <w:noProof w:val="1"/>
          </w:rPr>
          <w:instrText xml:space="preserve"> PAGEREF _Toc188429240 \h </w:instrText>
        </w:r>
        <w:r>
          <w:rPr>
            <w:noProof w:val="1"/>
          </w:rPr>
          <w:fldChar w:fldCharType="separate"/>
        </w:r>
        <w:r>
          <w:rPr>
            <w:noProof w:val="1"/>
          </w:rPr>
          <w:t>6</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41">
        <w:r>
          <w:rPr>
            <w:rStyle w:val="C2"/>
            <w:noProof w:val="1"/>
          </w:rPr>
          <w:t>2.3</w:t>
        </w:r>
        <w:r>
          <w:rPr>
            <w:rFonts w:asciiTheme="minorHAnsi" w:hAnsiTheme="minorHAnsi" w:eastAsiaTheme="minorEastAsia"/>
            <w:noProof w:val="1"/>
            <w:sz w:val="24"/>
            <w:szCs w:val="24"/>
            <w:kern w:val="2"/>
            <w:lang w:eastAsia="sv-SE"/>
          </w:rPr>
          <w:tab/>
        </w:r>
        <w:r>
          <w:rPr>
            <w:rStyle w:val="C2"/>
            <w:noProof w:val="1"/>
          </w:rPr>
          <w:t>KVARTERSMARK</w:t>
        </w:r>
        <w:r>
          <w:rPr>
            <w:noProof w:val="1"/>
          </w:rPr>
          <w:tab/>
        </w:r>
        <w:r>
          <w:rPr>
            <w:noProof w:val="1"/>
          </w:rPr>
          <w:fldChar w:fldCharType="begin"/>
        </w:r>
        <w:r>
          <w:rPr>
            <w:noProof w:val="1"/>
          </w:rPr>
          <w:instrText xml:space="preserve"> PAGEREF _Toc188429241 \h </w:instrText>
        </w:r>
        <w:r>
          <w:rPr>
            <w:noProof w:val="1"/>
          </w:rPr>
          <w:fldChar w:fldCharType="separate"/>
        </w:r>
        <w:r>
          <w:rPr>
            <w:noProof w:val="1"/>
          </w:rPr>
          <w:t>7</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42">
        <w:r>
          <w:rPr>
            <w:rStyle w:val="C2"/>
            <w:noProof w:val="1"/>
          </w:rPr>
          <w:t>2.4</w:t>
        </w:r>
        <w:r>
          <w:rPr>
            <w:rFonts w:asciiTheme="minorHAnsi" w:hAnsiTheme="minorHAnsi" w:eastAsiaTheme="minorEastAsia"/>
            <w:noProof w:val="1"/>
            <w:sz w:val="24"/>
            <w:szCs w:val="24"/>
            <w:kern w:val="2"/>
            <w:lang w:eastAsia="sv-SE"/>
          </w:rPr>
          <w:tab/>
        </w:r>
        <w:r>
          <w:rPr>
            <w:rStyle w:val="C2"/>
            <w:noProof w:val="1"/>
          </w:rPr>
          <w:t>BEFINTLIGT</w:t>
        </w:r>
        <w:r>
          <w:rPr>
            <w:noProof w:val="1"/>
          </w:rPr>
          <w:tab/>
        </w:r>
        <w:r>
          <w:rPr>
            <w:noProof w:val="1"/>
          </w:rPr>
          <w:fldChar w:fldCharType="begin"/>
        </w:r>
        <w:r>
          <w:rPr>
            <w:noProof w:val="1"/>
          </w:rPr>
          <w:instrText xml:space="preserve"> PAGEREF _Toc188429242 \h </w:instrText>
        </w:r>
        <w:r>
          <w:rPr>
            <w:noProof w:val="1"/>
          </w:rPr>
          <w:fldChar w:fldCharType="separate"/>
        </w:r>
        <w:r>
          <w:rPr>
            <w:noProof w:val="1"/>
          </w:rPr>
          <w:t>7</w:t>
        </w:r>
        <w:r>
          <w:rPr>
            <w:noProof w:val="1"/>
          </w:rPr>
          <w:fldChar w:fldCharType="end"/>
        </w:r>
      </w:hyperlink>
    </w:p>
    <w:p>
      <w:pPr>
        <w:pStyle w:val="P25"/>
        <w:tabs>
          <w:tab w:val="left" w:pos="960" w:leader="none"/>
          <w:tab w:val="right" w:pos="7643" w:leader="dot"/>
        </w:tabs>
        <w:rPr>
          <w:noProof w:val="1"/>
        </w:rPr>
      </w:pPr>
      <w:hyperlink w:anchor="_Toc188429243">
        <w:r>
          <w:rPr>
            <w:rStyle w:val="C2"/>
            <w:noProof w:val="1"/>
          </w:rPr>
          <w:t>2.5</w:t>
        </w:r>
        <w:r>
          <w:rPr>
            <w:rFonts w:asciiTheme="minorHAnsi" w:hAnsiTheme="minorHAnsi" w:eastAsiaTheme="minorEastAsia"/>
            <w:noProof w:val="1"/>
            <w:sz w:val="24"/>
            <w:szCs w:val="24"/>
            <w:kern w:val="2"/>
            <w:lang w:eastAsia="sv-SE"/>
          </w:rPr>
          <w:tab/>
        </w:r>
        <w:r>
          <w:rPr>
            <w:rStyle w:val="C2"/>
            <w:noProof w:val="1"/>
          </w:rPr>
          <w:t>ÄRENDEINFORMATION</w:t>
        </w:r>
        <w:r>
          <w:rPr>
            <w:noProof w:val="1"/>
          </w:rPr>
          <w:tab/>
        </w:r>
        <w:r>
          <w:rPr>
            <w:noProof w:val="1"/>
          </w:rPr>
          <w:fldChar w:fldCharType="begin"/>
        </w:r>
        <w:r>
          <w:rPr>
            <w:noProof w:val="1"/>
          </w:rPr>
          <w:instrText xml:space="preserve"> PAGEREF _Toc188429243 \h </w:instrText>
        </w:r>
        <w:r>
          <w:rPr>
            <w:noProof w:val="1"/>
          </w:rPr>
          <w:fldChar w:fldCharType="separate"/>
        </w:r>
        <w:r>
          <w:rPr>
            <w:noProof w:val="1"/>
          </w:rPr>
          <w:t>7</w:t>
        </w:r>
        <w:r>
          <w:rPr>
            <w:noProof w:val="1"/>
          </w:rPr>
          <w:fldChar w:fldCharType="end"/>
        </w:r>
      </w:hyperlink>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244">
        <w:r>
          <w:rPr>
            <w:rStyle w:val="C2"/>
            <w:noProof w:val="1"/>
          </w:rPr>
          <w:t>3</w:t>
        </w:r>
        <w:r>
          <w:rPr>
            <w:rFonts w:asciiTheme="minorHAnsi" w:hAnsiTheme="minorHAnsi" w:eastAsiaTheme="minorEastAsia"/>
            <w:b w:val="0"/>
            <w:noProof w:val="1"/>
            <w:sz w:val="24"/>
            <w:szCs w:val="24"/>
            <w:kern w:val="2"/>
            <w:lang w:eastAsia="sv-SE"/>
          </w:rPr>
          <w:tab/>
        </w:r>
        <w:r>
          <w:rPr>
            <w:rStyle w:val="C2"/>
            <w:noProof w:val="1"/>
          </w:rPr>
          <w:t>MOTIV TILL ÄNDRINGENS REGLERINGAR</w:t>
        </w:r>
        <w:r>
          <w:rPr>
            <w:noProof w:val="1"/>
          </w:rPr>
          <w:tab/>
        </w:r>
        <w:r>
          <w:rPr>
            <w:noProof w:val="1"/>
          </w:rPr>
          <w:fldChar w:fldCharType="begin"/>
        </w:r>
        <w:r>
          <w:rPr>
            <w:noProof w:val="1"/>
          </w:rPr>
          <w:instrText xml:space="preserve"> PAGEREF _Toc188429244 \h </w:instrText>
        </w:r>
        <w:r>
          <w:rPr>
            <w:noProof w:val="1"/>
          </w:rPr>
          <w:fldChar w:fldCharType="separate"/>
        </w:r>
        <w:r>
          <w:rPr>
            <w:noProof w:val="1"/>
          </w:rPr>
          <w:t>8</w:t>
        </w:r>
        <w:r>
          <w:rPr>
            <w:noProof w:val="1"/>
          </w:rPr>
          <w:fldChar w:fldCharType="end"/>
        </w:r>
      </w:hyperlink>
    </w:p>
    <w:p>
      <w:pPr>
        <w:pStyle w:val="P25"/>
        <w:tabs>
          <w:tab w:val="left" w:pos="960" w:leader="none"/>
          <w:tab w:val="right" w:pos="7643" w:leader="dot"/>
        </w:tabs>
        <w:rPr>
          <w:noProof w:val="1"/>
        </w:rPr>
      </w:pPr>
      <w:hyperlink w:anchor="_Toc188429245">
        <w:r>
          <w:rPr>
            <w:rStyle w:val="C2"/>
            <w:noProof w:val="1"/>
          </w:rPr>
          <w:t>3.1</w:t>
        </w:r>
        <w:r>
          <w:rPr>
            <w:rFonts w:asciiTheme="minorHAnsi" w:hAnsiTheme="minorHAnsi" w:eastAsiaTheme="minorEastAsia"/>
            <w:noProof w:val="1"/>
            <w:sz w:val="24"/>
            <w:szCs w:val="24"/>
            <w:kern w:val="2"/>
            <w:lang w:eastAsia="sv-SE"/>
          </w:rPr>
          <w:tab/>
        </w:r>
        <w:r>
          <w:rPr>
            <w:rStyle w:val="C2"/>
            <w:noProof w:val="1"/>
          </w:rPr>
          <w:t>MOTIV TILL REGLERINGAR</w:t>
        </w:r>
        <w:r>
          <w:rPr>
            <w:noProof w:val="1"/>
          </w:rPr>
          <w:tab/>
        </w:r>
        <w:r>
          <w:rPr>
            <w:noProof w:val="1"/>
          </w:rPr>
          <w:fldChar w:fldCharType="begin"/>
        </w:r>
        <w:r>
          <w:rPr>
            <w:noProof w:val="1"/>
          </w:rPr>
          <w:instrText xml:space="preserve"> PAGEREF _Toc188429245 \h </w:instrText>
        </w:r>
        <w:r>
          <w:rPr>
            <w:noProof w:val="1"/>
          </w:rPr>
          <w:fldChar w:fldCharType="separate"/>
        </w:r>
        <w:r>
          <w:rPr>
            <w:noProof w:val="1"/>
          </w:rPr>
          <w:t>8</w:t>
        </w:r>
        <w:r>
          <w:rPr>
            <w:noProof w:val="1"/>
          </w:rPr>
          <w:fldChar w:fldCharType="end"/>
        </w:r>
      </w:hyperlink>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247">
        <w:r>
          <w:rPr>
            <w:rStyle w:val="C2"/>
            <w:noProof w:val="1"/>
          </w:rPr>
          <w:t>4</w:t>
        </w:r>
        <w:r>
          <w:rPr>
            <w:rFonts w:asciiTheme="minorHAnsi" w:hAnsiTheme="minorHAnsi" w:eastAsiaTheme="minorEastAsia"/>
            <w:b w:val="0"/>
            <w:noProof w:val="1"/>
            <w:sz w:val="24"/>
            <w:szCs w:val="24"/>
            <w:kern w:val="2"/>
            <w:lang w:eastAsia="sv-SE"/>
          </w:rPr>
          <w:tab/>
        </w:r>
        <w:r>
          <w:rPr>
            <w:rStyle w:val="C2"/>
            <w:noProof w:val="1"/>
          </w:rPr>
          <w:t>PLANERINGSFÖRUTSÄTTNINGAR</w:t>
        </w:r>
        <w:r>
          <w:rPr>
            <w:noProof w:val="1"/>
          </w:rPr>
          <w:tab/>
        </w:r>
        <w:r>
          <w:rPr>
            <w:noProof w:val="1"/>
          </w:rPr>
          <w:fldChar w:fldCharType="begin"/>
        </w:r>
        <w:r>
          <w:rPr>
            <w:noProof w:val="1"/>
          </w:rPr>
          <w:instrText xml:space="preserve"> PAGEREF _Toc188429247 \h </w:instrText>
        </w:r>
        <w:r>
          <w:rPr>
            <w:noProof w:val="1"/>
          </w:rPr>
          <w:fldChar w:fldCharType="separate"/>
        </w:r>
        <w:r>
          <w:rPr>
            <w:noProof w:val="1"/>
          </w:rPr>
          <w:t>9</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48">
        <w:r>
          <w:rPr>
            <w:rStyle w:val="C2"/>
            <w:noProof w:val="1"/>
          </w:rPr>
          <w:t>4.1</w:t>
        </w:r>
        <w:r>
          <w:rPr>
            <w:rFonts w:asciiTheme="minorHAnsi" w:hAnsiTheme="minorHAnsi" w:eastAsiaTheme="minorEastAsia"/>
            <w:noProof w:val="1"/>
            <w:sz w:val="24"/>
            <w:szCs w:val="24"/>
            <w:kern w:val="2"/>
            <w:lang w:eastAsia="sv-SE"/>
          </w:rPr>
          <w:tab/>
        </w:r>
        <w:r>
          <w:rPr>
            <w:rStyle w:val="C2"/>
            <w:noProof w:val="1"/>
          </w:rPr>
          <w:t>KOMMUNALA</w:t>
        </w:r>
        <w:r>
          <w:rPr>
            <w:noProof w:val="1"/>
          </w:rPr>
          <w:tab/>
        </w:r>
        <w:r>
          <w:rPr>
            <w:noProof w:val="1"/>
          </w:rPr>
          <w:fldChar w:fldCharType="begin"/>
        </w:r>
        <w:r>
          <w:rPr>
            <w:noProof w:val="1"/>
          </w:rPr>
          <w:instrText xml:space="preserve"> PAGEREF _Toc188429248 \h </w:instrText>
        </w:r>
        <w:r>
          <w:rPr>
            <w:noProof w:val="1"/>
          </w:rPr>
          <w:fldChar w:fldCharType="separate"/>
        </w:r>
        <w:r>
          <w:rPr>
            <w:noProof w:val="1"/>
          </w:rPr>
          <w:t>9</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52">
        <w:r>
          <w:rPr>
            <w:rStyle w:val="C2"/>
            <w:noProof w:val="1"/>
          </w:rPr>
          <w:t>4.2</w:t>
        </w:r>
        <w:r>
          <w:rPr>
            <w:rFonts w:asciiTheme="minorHAnsi" w:hAnsiTheme="minorHAnsi" w:eastAsiaTheme="minorEastAsia"/>
            <w:noProof w:val="1"/>
            <w:sz w:val="24"/>
            <w:szCs w:val="24"/>
            <w:kern w:val="2"/>
            <w:lang w:eastAsia="sv-SE"/>
          </w:rPr>
          <w:tab/>
        </w:r>
        <w:r>
          <w:rPr>
            <w:rStyle w:val="C2"/>
            <w:noProof w:val="1"/>
          </w:rPr>
          <w:t>RIKSINTRESSEN</w:t>
        </w:r>
        <w:r>
          <w:rPr>
            <w:noProof w:val="1"/>
          </w:rPr>
          <w:tab/>
        </w:r>
        <w:r>
          <w:rPr>
            <w:noProof w:val="1"/>
          </w:rPr>
          <w:fldChar w:fldCharType="begin"/>
        </w:r>
        <w:r>
          <w:rPr>
            <w:noProof w:val="1"/>
          </w:rPr>
          <w:instrText xml:space="preserve"> PAGEREF _Toc188429252 \h </w:instrText>
        </w:r>
        <w:r>
          <w:rPr>
            <w:noProof w:val="1"/>
          </w:rPr>
          <w:fldChar w:fldCharType="separate"/>
        </w:r>
        <w:r>
          <w:rPr>
            <w:noProof w:val="1"/>
          </w:rPr>
          <w:t>11</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55">
        <w:r>
          <w:rPr>
            <w:rStyle w:val="C2"/>
            <w:noProof w:val="1"/>
          </w:rPr>
          <w:t>4.3</w:t>
        </w:r>
        <w:r>
          <w:rPr>
            <w:rFonts w:asciiTheme="minorHAnsi" w:hAnsiTheme="minorHAnsi" w:eastAsiaTheme="minorEastAsia"/>
            <w:noProof w:val="1"/>
            <w:sz w:val="24"/>
            <w:szCs w:val="24"/>
            <w:kern w:val="2"/>
            <w:lang w:eastAsia="sv-SE"/>
          </w:rPr>
          <w:tab/>
        </w:r>
        <w:r>
          <w:rPr>
            <w:rStyle w:val="C2"/>
            <w:noProof w:val="1"/>
          </w:rPr>
          <w:t>HUSHÅLLNINGSBESTÄMMELSER ENLIGT 3 KAP. MILJÖBALKEN</w:t>
        </w:r>
        <w:r>
          <w:rPr>
            <w:noProof w:val="1"/>
          </w:rPr>
          <w:tab/>
        </w:r>
        <w:r>
          <w:rPr>
            <w:noProof w:val="1"/>
          </w:rPr>
          <w:fldChar w:fldCharType="begin"/>
        </w:r>
        <w:r>
          <w:rPr>
            <w:noProof w:val="1"/>
          </w:rPr>
          <w:instrText xml:space="preserve"> PAGEREF _Toc188429255 \h </w:instrText>
        </w:r>
        <w:r>
          <w:rPr>
            <w:noProof w:val="1"/>
          </w:rPr>
          <w:fldChar w:fldCharType="separate"/>
        </w:r>
        <w:r>
          <w:rPr>
            <w:noProof w:val="1"/>
          </w:rPr>
          <w:t>11</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58">
        <w:r>
          <w:rPr>
            <w:rStyle w:val="C2"/>
            <w:noProof w:val="1"/>
          </w:rPr>
          <w:t>4.4</w:t>
        </w:r>
        <w:r>
          <w:rPr>
            <w:rFonts w:asciiTheme="minorHAnsi" w:hAnsiTheme="minorHAnsi" w:eastAsiaTheme="minorEastAsia"/>
            <w:noProof w:val="1"/>
            <w:sz w:val="24"/>
            <w:szCs w:val="24"/>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_Toc188429258 \h </w:instrText>
        </w:r>
        <w:r>
          <w:rPr>
            <w:noProof w:val="1"/>
          </w:rPr>
          <w:fldChar w:fldCharType="separate"/>
        </w:r>
        <w:r>
          <w:rPr>
            <w:noProof w:val="1"/>
          </w:rPr>
          <w:t>11</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62">
        <w:r>
          <w:rPr>
            <w:rStyle w:val="C2"/>
            <w:noProof w:val="1"/>
          </w:rPr>
          <w:t>4.5</w:t>
        </w:r>
        <w:r>
          <w:rPr>
            <w:rFonts w:asciiTheme="minorHAnsi" w:hAnsiTheme="minorHAnsi" w:eastAsiaTheme="minorEastAsia"/>
            <w:noProof w:val="1"/>
            <w:sz w:val="24"/>
            <w:szCs w:val="24"/>
            <w:kern w:val="2"/>
            <w:lang w:eastAsia="sv-SE"/>
          </w:rPr>
          <w:tab/>
        </w:r>
        <w:r>
          <w:rPr>
            <w:rStyle w:val="C2"/>
            <w:noProof w:val="1"/>
          </w:rPr>
          <w:t>MILJÖ</w:t>
        </w:r>
        <w:r>
          <w:rPr>
            <w:noProof w:val="1"/>
          </w:rPr>
          <w:tab/>
        </w:r>
        <w:r>
          <w:rPr>
            <w:noProof w:val="1"/>
          </w:rPr>
          <w:fldChar w:fldCharType="begin"/>
        </w:r>
        <w:r>
          <w:rPr>
            <w:noProof w:val="1"/>
          </w:rPr>
          <w:instrText xml:space="preserve"> PAGEREF _Toc188429262 \h </w:instrText>
        </w:r>
        <w:r>
          <w:rPr>
            <w:noProof w:val="1"/>
          </w:rPr>
          <w:fldChar w:fldCharType="separate"/>
        </w:r>
        <w:r>
          <w:rPr>
            <w:noProof w:val="1"/>
          </w:rPr>
          <w:t>14</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65">
        <w:r>
          <w:rPr>
            <w:rStyle w:val="C2"/>
            <w:noProof w:val="1"/>
          </w:rPr>
          <w:t>4.6</w:t>
        </w:r>
        <w:r>
          <w:rPr>
            <w:rFonts w:asciiTheme="minorHAnsi" w:hAnsiTheme="minorHAnsi" w:eastAsiaTheme="minorEastAsia"/>
            <w:noProof w:val="1"/>
            <w:sz w:val="24"/>
            <w:szCs w:val="24"/>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_Toc188429265 \h </w:instrText>
        </w:r>
        <w:r>
          <w:rPr>
            <w:noProof w:val="1"/>
          </w:rPr>
          <w:fldChar w:fldCharType="separate"/>
        </w:r>
        <w:r>
          <w:rPr>
            <w:noProof w:val="1"/>
          </w:rPr>
          <w:t>15</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71">
        <w:r>
          <w:rPr>
            <w:rStyle w:val="C2"/>
            <w:noProof w:val="1"/>
          </w:rPr>
          <w:t>4.7</w:t>
        </w:r>
        <w:r>
          <w:rPr>
            <w:rFonts w:asciiTheme="minorHAnsi" w:hAnsiTheme="minorHAnsi" w:eastAsiaTheme="minorEastAsia"/>
            <w:noProof w:val="1"/>
            <w:sz w:val="24"/>
            <w:szCs w:val="24"/>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_Toc188429271 \h </w:instrText>
        </w:r>
        <w:r>
          <w:rPr>
            <w:noProof w:val="1"/>
          </w:rPr>
          <w:fldChar w:fldCharType="separate"/>
        </w:r>
        <w:r>
          <w:rPr>
            <w:noProof w:val="1"/>
          </w:rPr>
          <w:t>17</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73">
        <w:r>
          <w:rPr>
            <w:rStyle w:val="C2"/>
            <w:noProof w:val="1"/>
          </w:rPr>
          <w:t>4.8</w:t>
        </w:r>
        <w:r>
          <w:rPr>
            <w:rFonts w:asciiTheme="minorHAnsi" w:hAnsiTheme="minorHAnsi" w:eastAsiaTheme="minorEastAsia"/>
            <w:noProof w:val="1"/>
            <w:sz w:val="24"/>
            <w:szCs w:val="24"/>
            <w:kern w:val="2"/>
            <w:lang w:eastAsia="sv-SE"/>
          </w:rPr>
          <w:tab/>
        </w:r>
        <w:r>
          <w:rPr>
            <w:rStyle w:val="C2"/>
            <w:noProof w:val="1"/>
          </w:rPr>
          <w:t>FYSISK MILJÖ</w:t>
        </w:r>
        <w:r>
          <w:rPr>
            <w:noProof w:val="1"/>
          </w:rPr>
          <w:tab/>
        </w:r>
        <w:r>
          <w:rPr>
            <w:noProof w:val="1"/>
          </w:rPr>
          <w:fldChar w:fldCharType="begin"/>
        </w:r>
        <w:r>
          <w:rPr>
            <w:noProof w:val="1"/>
          </w:rPr>
          <w:instrText xml:space="preserve"> PAGEREF _Toc188429273 \h </w:instrText>
        </w:r>
        <w:r>
          <w:rPr>
            <w:noProof w:val="1"/>
          </w:rPr>
          <w:fldChar w:fldCharType="separate"/>
        </w:r>
        <w:r>
          <w:rPr>
            <w:noProof w:val="1"/>
          </w:rPr>
          <w:t>17</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74">
        <w:r>
          <w:rPr>
            <w:rStyle w:val="C2"/>
            <w:noProof w:val="1"/>
          </w:rPr>
          <w:t>4.9</w:t>
        </w:r>
        <w:r>
          <w:rPr>
            <w:rFonts w:asciiTheme="minorHAnsi" w:hAnsiTheme="minorHAnsi" w:eastAsiaTheme="minorEastAsia"/>
            <w:noProof w:val="1"/>
            <w:sz w:val="24"/>
            <w:szCs w:val="24"/>
            <w:kern w:val="2"/>
            <w:lang w:eastAsia="sv-SE"/>
          </w:rPr>
          <w:tab/>
        </w:r>
        <w:r>
          <w:rPr>
            <w:rStyle w:val="C2"/>
            <w:noProof w:val="1"/>
          </w:rPr>
          <w:t>SOCIALA</w:t>
        </w:r>
        <w:r>
          <w:rPr>
            <w:noProof w:val="1"/>
          </w:rPr>
          <w:tab/>
        </w:r>
        <w:r>
          <w:rPr>
            <w:noProof w:val="1"/>
          </w:rPr>
          <w:fldChar w:fldCharType="begin"/>
        </w:r>
        <w:r>
          <w:rPr>
            <w:noProof w:val="1"/>
          </w:rPr>
          <w:instrText xml:space="preserve"> PAGEREF _Toc188429274 \h </w:instrText>
        </w:r>
        <w:r>
          <w:rPr>
            <w:noProof w:val="1"/>
          </w:rPr>
          <w:fldChar w:fldCharType="separate"/>
        </w:r>
        <w:r>
          <w:rPr>
            <w:noProof w:val="1"/>
          </w:rPr>
          <w:t>18</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77">
        <w:r>
          <w:rPr>
            <w:rStyle w:val="C2"/>
            <w:noProof w:val="1"/>
          </w:rPr>
          <w:t>4.10</w:t>
        </w:r>
        <w:r>
          <w:rPr>
            <w:rFonts w:asciiTheme="minorHAnsi" w:hAnsiTheme="minorHAnsi" w:eastAsiaTheme="minorEastAsia"/>
            <w:noProof w:val="1"/>
            <w:sz w:val="24"/>
            <w:szCs w:val="24"/>
            <w:kern w:val="2"/>
            <w:lang w:eastAsia="sv-SE"/>
          </w:rPr>
          <w:tab/>
        </w:r>
        <w:r>
          <w:rPr>
            <w:rStyle w:val="C2"/>
            <w:noProof w:val="1"/>
          </w:rPr>
          <w:t>TEKNIK</w:t>
        </w:r>
        <w:r>
          <w:rPr>
            <w:noProof w:val="1"/>
          </w:rPr>
          <w:tab/>
        </w:r>
        <w:r>
          <w:rPr>
            <w:noProof w:val="1"/>
          </w:rPr>
          <w:fldChar w:fldCharType="begin"/>
        </w:r>
        <w:r>
          <w:rPr>
            <w:noProof w:val="1"/>
          </w:rPr>
          <w:instrText xml:space="preserve"> PAGEREF _Toc188429277 \h </w:instrText>
        </w:r>
        <w:r>
          <w:rPr>
            <w:noProof w:val="1"/>
          </w:rPr>
          <w:fldChar w:fldCharType="separate"/>
        </w:r>
        <w:r>
          <w:rPr>
            <w:noProof w:val="1"/>
          </w:rPr>
          <w:t>19</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80">
        <w:r>
          <w:rPr>
            <w:rStyle w:val="C2"/>
            <w:noProof w:val="1"/>
          </w:rPr>
          <w:t>4.11</w:t>
        </w:r>
        <w:r>
          <w:rPr>
            <w:rFonts w:asciiTheme="minorHAnsi" w:hAnsiTheme="minorHAnsi" w:eastAsiaTheme="minorEastAsia"/>
            <w:noProof w:val="1"/>
            <w:sz w:val="24"/>
            <w:szCs w:val="24"/>
            <w:kern w:val="2"/>
            <w:lang w:eastAsia="sv-SE"/>
          </w:rPr>
          <w:tab/>
        </w:r>
        <w:r>
          <w:rPr>
            <w:rStyle w:val="C2"/>
            <w:noProof w:val="1"/>
          </w:rPr>
          <w:t>SERVICE</w:t>
        </w:r>
        <w:r>
          <w:rPr>
            <w:noProof w:val="1"/>
          </w:rPr>
          <w:tab/>
        </w:r>
        <w:r>
          <w:rPr>
            <w:noProof w:val="1"/>
          </w:rPr>
          <w:fldChar w:fldCharType="begin"/>
        </w:r>
        <w:r>
          <w:rPr>
            <w:noProof w:val="1"/>
          </w:rPr>
          <w:instrText xml:space="preserve"> PAGEREF _Toc188429280 \h </w:instrText>
        </w:r>
        <w:r>
          <w:rPr>
            <w:noProof w:val="1"/>
          </w:rPr>
          <w:fldChar w:fldCharType="separate"/>
        </w:r>
        <w:r>
          <w:rPr>
            <w:noProof w:val="1"/>
          </w:rPr>
          <w:t>19</w:t>
        </w:r>
        <w:r>
          <w:rPr>
            <w:noProof w:val="1"/>
          </w:rPr>
          <w:fldChar w:fldCharType="end"/>
        </w:r>
      </w:hyperlink>
    </w:p>
    <w:p>
      <w:pPr>
        <w:pStyle w:val="P25"/>
        <w:tabs>
          <w:tab w:val="left" w:pos="960" w:leader="none"/>
          <w:tab w:val="right" w:pos="7643" w:leader="dot"/>
        </w:tabs>
        <w:rPr>
          <w:noProof w:val="1"/>
        </w:rPr>
      </w:pPr>
      <w:hyperlink w:anchor="_Toc188429282">
        <w:r>
          <w:rPr>
            <w:rStyle w:val="C2"/>
            <w:noProof w:val="1"/>
          </w:rPr>
          <w:t>4.12</w:t>
        </w:r>
        <w:r>
          <w:rPr>
            <w:rFonts w:asciiTheme="minorHAnsi" w:hAnsiTheme="minorHAnsi" w:eastAsiaTheme="minorEastAsia"/>
            <w:noProof w:val="1"/>
            <w:sz w:val="24"/>
            <w:szCs w:val="24"/>
            <w:kern w:val="2"/>
            <w:lang w:eastAsia="sv-SE"/>
          </w:rPr>
          <w:tab/>
        </w:r>
        <w:r>
          <w:rPr>
            <w:rStyle w:val="C2"/>
            <w:noProof w:val="1"/>
          </w:rPr>
          <w:t>TRAFIK</w:t>
        </w:r>
        <w:r>
          <w:rPr>
            <w:noProof w:val="1"/>
          </w:rPr>
          <w:tab/>
        </w:r>
        <w:r>
          <w:rPr>
            <w:noProof w:val="1"/>
          </w:rPr>
          <w:fldChar w:fldCharType="begin"/>
        </w:r>
        <w:r>
          <w:rPr>
            <w:noProof w:val="1"/>
          </w:rPr>
          <w:instrText xml:space="preserve"> PAGEREF _Toc188429282 \h </w:instrText>
        </w:r>
        <w:r>
          <w:rPr>
            <w:noProof w:val="1"/>
          </w:rPr>
          <w:fldChar w:fldCharType="separate"/>
        </w:r>
        <w:r>
          <w:rPr>
            <w:noProof w:val="1"/>
          </w:rPr>
          <w:t>20</w:t>
        </w:r>
        <w:r>
          <w:rPr>
            <w:noProof w:val="1"/>
          </w:rPr>
          <w:fldChar w:fldCharType="end"/>
        </w:r>
      </w:hyperlink>
    </w:p>
    <w:p>
      <w:pPr>
        <w:rPr>
          <w:noProof w:val="1"/>
        </w:rPr>
      </w:pPr>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286">
        <w:r>
          <w:rPr>
            <w:rStyle w:val="C2"/>
            <w:noProof w:val="1"/>
          </w:rPr>
          <w:t>5</w:t>
        </w:r>
        <w:r>
          <w:rPr>
            <w:rFonts w:asciiTheme="minorHAnsi" w:hAnsiTheme="minorHAnsi" w:eastAsiaTheme="minorEastAsia"/>
            <w:b w:val="0"/>
            <w:noProof w:val="1"/>
            <w:sz w:val="24"/>
            <w:szCs w:val="24"/>
            <w:kern w:val="2"/>
            <w:lang w:eastAsia="sv-SE"/>
          </w:rPr>
          <w:tab/>
        </w:r>
        <w:r>
          <w:rPr>
            <w:rStyle w:val="C2"/>
            <w:noProof w:val="1"/>
          </w:rPr>
          <w:t>PLANERINGSUNDERLAG</w:t>
        </w:r>
        <w:r>
          <w:rPr>
            <w:noProof w:val="1"/>
          </w:rPr>
          <w:tab/>
        </w:r>
        <w:r>
          <w:rPr>
            <w:noProof w:val="1"/>
          </w:rPr>
          <w:fldChar w:fldCharType="begin"/>
        </w:r>
        <w:r>
          <w:rPr>
            <w:noProof w:val="1"/>
          </w:rPr>
          <w:instrText xml:space="preserve"> PAGEREF _Toc188429286 \h </w:instrText>
        </w:r>
        <w:r>
          <w:rPr>
            <w:noProof w:val="1"/>
          </w:rPr>
          <w:fldChar w:fldCharType="separate"/>
        </w:r>
        <w:r>
          <w:rPr>
            <w:noProof w:val="1"/>
          </w:rPr>
          <w:t>22</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87">
        <w:r>
          <w:rPr>
            <w:rStyle w:val="C2"/>
            <w:noProof w:val="1"/>
          </w:rPr>
          <w:t>5.1</w:t>
        </w:r>
        <w:r>
          <w:rPr>
            <w:rFonts w:asciiTheme="minorHAnsi" w:hAnsiTheme="minorHAnsi" w:eastAsiaTheme="minorEastAsia"/>
            <w:noProof w:val="1"/>
            <w:sz w:val="24"/>
            <w:szCs w:val="24"/>
            <w:kern w:val="2"/>
            <w:lang w:eastAsia="sv-SE"/>
          </w:rPr>
          <w:tab/>
        </w:r>
        <w:r>
          <w:rPr>
            <w:rStyle w:val="C2"/>
            <w:noProof w:val="1"/>
          </w:rPr>
          <w:t>KOMMUNALA</w:t>
        </w:r>
        <w:r>
          <w:rPr>
            <w:noProof w:val="1"/>
          </w:rPr>
          <w:tab/>
        </w:r>
        <w:r>
          <w:rPr>
            <w:noProof w:val="1"/>
          </w:rPr>
          <w:fldChar w:fldCharType="begin"/>
        </w:r>
        <w:r>
          <w:rPr>
            <w:noProof w:val="1"/>
          </w:rPr>
          <w:instrText xml:space="preserve"> PAGEREF _Toc188429287 \h </w:instrText>
        </w:r>
        <w:r>
          <w:rPr>
            <w:noProof w:val="1"/>
          </w:rPr>
          <w:fldChar w:fldCharType="separate"/>
        </w:r>
        <w:r>
          <w:rPr>
            <w:noProof w:val="1"/>
          </w:rPr>
          <w:t>22</w:t>
        </w:r>
        <w:r>
          <w:rPr>
            <w:noProof w:val="1"/>
          </w:rPr>
          <w:fldChar w:fldCharType="end"/>
        </w:r>
      </w:hyperlink>
    </w:p>
    <w:p>
      <w:pPr>
        <w:pStyle w:val="P25"/>
        <w:tabs>
          <w:tab w:val="left" w:pos="960" w:leader="none"/>
          <w:tab w:val="right" w:pos="7643" w:leader="dot"/>
        </w:tabs>
        <w:rPr>
          <w:noProof w:val="1"/>
        </w:rPr>
      </w:pPr>
      <w:hyperlink w:anchor="_Toc188429292">
        <w:r>
          <w:rPr>
            <w:rStyle w:val="C2"/>
            <w:noProof w:val="1"/>
          </w:rPr>
          <w:t>5.2</w:t>
        </w:r>
        <w:r>
          <w:rPr>
            <w:rFonts w:asciiTheme="minorHAnsi" w:hAnsiTheme="minorHAnsi" w:eastAsiaTheme="minorEastAsia"/>
            <w:noProof w:val="1"/>
            <w:sz w:val="24"/>
            <w:szCs w:val="24"/>
            <w:kern w:val="2"/>
            <w:lang w:eastAsia="sv-SE"/>
          </w:rPr>
          <w:tab/>
        </w:r>
        <w:r>
          <w:rPr>
            <w:rStyle w:val="C2"/>
            <w:noProof w:val="1"/>
          </w:rPr>
          <w:t>UTREDNINGAR</w:t>
        </w:r>
        <w:r>
          <w:rPr>
            <w:noProof w:val="1"/>
          </w:rPr>
          <w:tab/>
        </w:r>
        <w:r>
          <w:rPr>
            <w:noProof w:val="1"/>
          </w:rPr>
          <w:fldChar w:fldCharType="begin"/>
        </w:r>
        <w:r>
          <w:rPr>
            <w:noProof w:val="1"/>
          </w:rPr>
          <w:instrText xml:space="preserve"> PAGEREF _Toc188429292 \h </w:instrText>
        </w:r>
        <w:r>
          <w:rPr>
            <w:noProof w:val="1"/>
          </w:rPr>
          <w:fldChar w:fldCharType="separate"/>
        </w:r>
        <w:r>
          <w:rPr>
            <w:noProof w:val="1"/>
          </w:rPr>
          <w:t>22</w:t>
        </w:r>
        <w:r>
          <w:rPr>
            <w:noProof w:val="1"/>
          </w:rPr>
          <w:fldChar w:fldCharType="end"/>
        </w:r>
      </w:hyperlink>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293">
        <w:r>
          <w:rPr>
            <w:rStyle w:val="C2"/>
            <w:noProof w:val="1"/>
          </w:rPr>
          <w:t>6</w:t>
        </w:r>
        <w:r>
          <w:rPr>
            <w:rFonts w:asciiTheme="minorHAnsi" w:hAnsiTheme="minorHAnsi" w:eastAsiaTheme="minorEastAsia"/>
            <w:b w:val="0"/>
            <w:noProof w:val="1"/>
            <w:sz w:val="24"/>
            <w:szCs w:val="24"/>
            <w:kern w:val="2"/>
            <w:lang w:eastAsia="sv-SE"/>
          </w:rPr>
          <w:tab/>
        </w:r>
        <w:r>
          <w:rPr>
            <w:rStyle w:val="C2"/>
            <w:noProof w:val="1"/>
          </w:rPr>
          <w:t>KONSEKVENSER</w:t>
        </w:r>
        <w:r>
          <w:rPr>
            <w:noProof w:val="1"/>
          </w:rPr>
          <w:tab/>
        </w:r>
        <w:r>
          <w:rPr>
            <w:noProof w:val="1"/>
          </w:rPr>
          <w:fldChar w:fldCharType="begin"/>
        </w:r>
        <w:r>
          <w:rPr>
            <w:noProof w:val="1"/>
          </w:rPr>
          <w:instrText xml:space="preserve"> PAGEREF _Toc188429293 \h </w:instrText>
        </w:r>
        <w:r>
          <w:rPr>
            <w:noProof w:val="1"/>
          </w:rPr>
          <w:fldChar w:fldCharType="separate"/>
        </w:r>
        <w:r>
          <w:rPr>
            <w:noProof w:val="1"/>
          </w:rPr>
          <w:t>23</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94">
        <w:r>
          <w:rPr>
            <w:rStyle w:val="C2"/>
            <w:noProof w:val="1"/>
          </w:rPr>
          <w:t>6.1</w:t>
        </w:r>
        <w:r>
          <w:rPr>
            <w:rFonts w:asciiTheme="minorHAnsi" w:hAnsiTheme="minorHAnsi" w:eastAsiaTheme="minorEastAsia"/>
            <w:noProof w:val="1"/>
            <w:sz w:val="24"/>
            <w:szCs w:val="24"/>
            <w:kern w:val="2"/>
            <w:lang w:eastAsia="sv-SE"/>
          </w:rPr>
          <w:tab/>
        </w:r>
        <w:r>
          <w:rPr>
            <w:rStyle w:val="C2"/>
            <w:noProof w:val="1"/>
          </w:rPr>
          <w:t>FASTIGHETER OCH RÄTTIGHETER</w:t>
        </w:r>
        <w:r>
          <w:rPr>
            <w:noProof w:val="1"/>
          </w:rPr>
          <w:tab/>
        </w:r>
        <w:r>
          <w:rPr>
            <w:noProof w:val="1"/>
          </w:rPr>
          <w:fldChar w:fldCharType="begin"/>
        </w:r>
        <w:r>
          <w:rPr>
            <w:noProof w:val="1"/>
          </w:rPr>
          <w:instrText xml:space="preserve"> PAGEREF _Toc188429294 \h </w:instrText>
        </w:r>
        <w:r>
          <w:rPr>
            <w:noProof w:val="1"/>
          </w:rPr>
          <w:fldChar w:fldCharType="separate"/>
        </w:r>
        <w:r>
          <w:rPr>
            <w:noProof w:val="1"/>
          </w:rPr>
          <w:t>23</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95">
        <w:r>
          <w:rPr>
            <w:rStyle w:val="C2"/>
            <w:noProof w:val="1"/>
          </w:rPr>
          <w:t>6.2</w:t>
        </w:r>
        <w:r>
          <w:rPr>
            <w:rFonts w:asciiTheme="minorHAnsi" w:hAnsiTheme="minorHAnsi" w:eastAsiaTheme="minorEastAsia"/>
            <w:noProof w:val="1"/>
            <w:sz w:val="24"/>
            <w:szCs w:val="24"/>
            <w:kern w:val="2"/>
            <w:lang w:eastAsia="sv-SE"/>
          </w:rPr>
          <w:tab/>
        </w:r>
        <w:r>
          <w:rPr>
            <w:rStyle w:val="C2"/>
            <w:noProof w:val="1"/>
          </w:rPr>
          <w:t>RIKSINTRESSE</w:t>
        </w:r>
        <w:r>
          <w:rPr>
            <w:noProof w:val="1"/>
          </w:rPr>
          <w:tab/>
        </w:r>
        <w:r>
          <w:rPr>
            <w:noProof w:val="1"/>
          </w:rPr>
          <w:fldChar w:fldCharType="begin"/>
        </w:r>
        <w:r>
          <w:rPr>
            <w:noProof w:val="1"/>
          </w:rPr>
          <w:instrText xml:space="preserve"> PAGEREF _Toc188429295 \h </w:instrText>
        </w:r>
        <w:r>
          <w:rPr>
            <w:noProof w:val="1"/>
          </w:rPr>
          <w:fldChar w:fldCharType="separate"/>
        </w:r>
        <w:r>
          <w:rPr>
            <w:noProof w:val="1"/>
          </w:rPr>
          <w:t>23</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298">
        <w:r>
          <w:rPr>
            <w:rStyle w:val="C2"/>
            <w:noProof w:val="1"/>
          </w:rPr>
          <w:t>6.3</w:t>
        </w:r>
        <w:r>
          <w:rPr>
            <w:rFonts w:asciiTheme="minorHAnsi" w:hAnsiTheme="minorHAnsi" w:eastAsiaTheme="minorEastAsia"/>
            <w:noProof w:val="1"/>
            <w:sz w:val="24"/>
            <w:szCs w:val="24"/>
            <w:kern w:val="2"/>
            <w:lang w:eastAsia="sv-SE"/>
          </w:rPr>
          <w:tab/>
        </w:r>
        <w:r>
          <w:rPr>
            <w:rStyle w:val="C2"/>
            <w:noProof w:val="1"/>
          </w:rPr>
          <w:t>HUSHÅLLNINGSBESTÄMMELSER ENLIGT 3 KAP. MILJÖBALKEN</w:t>
        </w:r>
        <w:r>
          <w:rPr>
            <w:noProof w:val="1"/>
          </w:rPr>
          <w:tab/>
        </w:r>
        <w:r>
          <w:rPr>
            <w:noProof w:val="1"/>
          </w:rPr>
          <w:fldChar w:fldCharType="begin"/>
        </w:r>
        <w:r>
          <w:rPr>
            <w:noProof w:val="1"/>
          </w:rPr>
          <w:instrText xml:space="preserve"> PAGEREF _Toc188429298 \h </w:instrText>
        </w:r>
        <w:r>
          <w:rPr>
            <w:noProof w:val="1"/>
          </w:rPr>
          <w:fldChar w:fldCharType="separate"/>
        </w:r>
        <w:r>
          <w:rPr>
            <w:noProof w:val="1"/>
          </w:rPr>
          <w:t>23</w:t>
        </w:r>
        <w:r>
          <w:rPr>
            <w:noProof w:val="1"/>
          </w:rPr>
          <w:fldChar w:fldCharType="end"/>
        </w:r>
      </w:hyperlink>
    </w:p>
    <w:p>
      <w:pPr>
        <w:pStyle w:val="P26"/>
        <w:tabs>
          <w:tab w:val="left" w:pos="1200" w:leader="none"/>
          <w:tab w:val="right" w:pos="7643" w:leader="dot"/>
        </w:tabs>
        <w:rPr>
          <w:rFonts w:asciiTheme="minorHAnsi" w:hAnsiTheme="minorHAnsi" w:eastAsiaTheme="minorEastAsia"/>
          <w:noProof w:val="1"/>
          <w:sz w:val="24"/>
          <w:szCs w:val="24"/>
          <w:kern w:val="2"/>
          <w:lang w:eastAsia="sv-SE"/>
        </w:rPr>
      </w:pPr>
      <w:hyperlink w:anchor="_Toc188429299">
        <w:r>
          <w:rPr>
            <w:rStyle w:val="C2"/>
            <w:noProof w:val="1"/>
          </w:rPr>
          <w:t>6.3.1</w:t>
        </w:r>
        <w:r>
          <w:rPr>
            <w:rFonts w:asciiTheme="minorHAnsi" w:hAnsiTheme="minorHAnsi" w:eastAsiaTheme="minorEastAsia"/>
            <w:noProof w:val="1"/>
            <w:sz w:val="24"/>
            <w:szCs w:val="24"/>
            <w:kern w:val="2"/>
            <w:lang w:eastAsia="sv-SE"/>
          </w:rPr>
          <w:tab/>
        </w:r>
        <w:r>
          <w:rPr>
            <w:rStyle w:val="C2"/>
            <w:noProof w:val="1"/>
          </w:rPr>
          <w:t>JORDBRUKSMARK, SKOGSBRUK OCH EKOLOGISKT SÄRSKLIT KÄNSLIGA OMRÅDEN</w:t>
        </w:r>
        <w:r>
          <w:rPr>
            <w:noProof w:val="1"/>
          </w:rPr>
          <w:tab/>
        </w:r>
        <w:r>
          <w:rPr>
            <w:noProof w:val="1"/>
          </w:rPr>
          <w:fldChar w:fldCharType="begin"/>
        </w:r>
        <w:r>
          <w:rPr>
            <w:noProof w:val="1"/>
          </w:rPr>
          <w:instrText xml:space="preserve"> PAGEREF _Toc188429299 \h </w:instrText>
        </w:r>
        <w:r>
          <w:rPr>
            <w:noProof w:val="1"/>
          </w:rPr>
          <w:fldChar w:fldCharType="separate"/>
        </w:r>
        <w:r>
          <w:rPr>
            <w:noProof w:val="1"/>
          </w:rPr>
          <w:t>23</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00">
        <w:r>
          <w:rPr>
            <w:rStyle w:val="C2"/>
            <w:noProof w:val="1"/>
          </w:rPr>
          <w:t>6.4</w:t>
        </w:r>
        <w:r>
          <w:rPr>
            <w:rFonts w:asciiTheme="minorHAnsi" w:hAnsiTheme="minorHAnsi" w:eastAsiaTheme="minorEastAsia"/>
            <w:noProof w:val="1"/>
            <w:sz w:val="24"/>
            <w:szCs w:val="24"/>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_Toc188429300 \h </w:instrText>
        </w:r>
        <w:r>
          <w:rPr>
            <w:noProof w:val="1"/>
          </w:rPr>
          <w:fldChar w:fldCharType="separate"/>
        </w:r>
        <w:r>
          <w:rPr>
            <w:noProof w:val="1"/>
          </w:rPr>
          <w:t>23</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04">
        <w:r>
          <w:rPr>
            <w:rStyle w:val="C2"/>
            <w:noProof w:val="1"/>
          </w:rPr>
          <w:t>6.5</w:t>
        </w:r>
        <w:r>
          <w:rPr>
            <w:rFonts w:asciiTheme="minorHAnsi" w:hAnsiTheme="minorHAnsi" w:eastAsiaTheme="minorEastAsia"/>
            <w:noProof w:val="1"/>
            <w:sz w:val="24"/>
            <w:szCs w:val="24"/>
            <w:kern w:val="2"/>
            <w:lang w:eastAsia="sv-SE"/>
          </w:rPr>
          <w:tab/>
        </w:r>
        <w:r>
          <w:rPr>
            <w:rStyle w:val="C2"/>
            <w:noProof w:val="1"/>
          </w:rPr>
          <w:t>MILJÖ</w:t>
        </w:r>
        <w:r>
          <w:rPr>
            <w:noProof w:val="1"/>
          </w:rPr>
          <w:tab/>
        </w:r>
        <w:r>
          <w:rPr>
            <w:noProof w:val="1"/>
          </w:rPr>
          <w:fldChar w:fldCharType="begin"/>
        </w:r>
        <w:r>
          <w:rPr>
            <w:noProof w:val="1"/>
          </w:rPr>
          <w:instrText xml:space="preserve"> PAGEREF _Toc188429304 \h </w:instrText>
        </w:r>
        <w:r>
          <w:rPr>
            <w:noProof w:val="1"/>
          </w:rPr>
          <w:fldChar w:fldCharType="separate"/>
        </w:r>
        <w:r>
          <w:rPr>
            <w:noProof w:val="1"/>
          </w:rPr>
          <w:t>24</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08">
        <w:r>
          <w:rPr>
            <w:rStyle w:val="C2"/>
            <w:noProof w:val="1"/>
          </w:rPr>
          <w:t>6.6</w:t>
        </w:r>
        <w:r>
          <w:rPr>
            <w:rFonts w:asciiTheme="minorHAnsi" w:hAnsiTheme="minorHAnsi" w:eastAsiaTheme="minorEastAsia"/>
            <w:noProof w:val="1"/>
            <w:sz w:val="24"/>
            <w:szCs w:val="24"/>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_Toc188429308 \h </w:instrText>
        </w:r>
        <w:r>
          <w:rPr>
            <w:noProof w:val="1"/>
          </w:rPr>
          <w:fldChar w:fldCharType="separate"/>
        </w:r>
        <w:r>
          <w:rPr>
            <w:noProof w:val="1"/>
          </w:rPr>
          <w:t>25</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14">
        <w:r>
          <w:rPr>
            <w:rStyle w:val="C2"/>
            <w:noProof w:val="1"/>
          </w:rPr>
          <w:t>6.7</w:t>
        </w:r>
        <w:r>
          <w:rPr>
            <w:rFonts w:asciiTheme="minorHAnsi" w:hAnsiTheme="minorHAnsi" w:eastAsiaTheme="minorEastAsia"/>
            <w:noProof w:val="1"/>
            <w:sz w:val="24"/>
            <w:szCs w:val="24"/>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_Toc188429314 \h </w:instrText>
        </w:r>
        <w:r>
          <w:rPr>
            <w:noProof w:val="1"/>
          </w:rPr>
          <w:fldChar w:fldCharType="separate"/>
        </w:r>
        <w:r>
          <w:rPr>
            <w:noProof w:val="1"/>
          </w:rPr>
          <w:t>26</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15">
        <w:r>
          <w:rPr>
            <w:rStyle w:val="C2"/>
            <w:noProof w:val="1"/>
          </w:rPr>
          <w:t>6.8</w:t>
        </w:r>
        <w:r>
          <w:rPr>
            <w:rFonts w:asciiTheme="minorHAnsi" w:hAnsiTheme="minorHAnsi" w:eastAsiaTheme="minorEastAsia"/>
            <w:noProof w:val="1"/>
            <w:sz w:val="24"/>
            <w:szCs w:val="24"/>
            <w:kern w:val="2"/>
            <w:lang w:eastAsia="sv-SE"/>
          </w:rPr>
          <w:tab/>
        </w:r>
        <w:r>
          <w:rPr>
            <w:rStyle w:val="C2"/>
            <w:noProof w:val="1"/>
          </w:rPr>
          <w:t>FYSISKA MILJÖ</w:t>
        </w:r>
        <w:r>
          <w:rPr>
            <w:noProof w:val="1"/>
          </w:rPr>
          <w:tab/>
        </w:r>
        <w:r>
          <w:rPr>
            <w:noProof w:val="1"/>
          </w:rPr>
          <w:fldChar w:fldCharType="begin"/>
        </w:r>
        <w:r>
          <w:rPr>
            <w:noProof w:val="1"/>
          </w:rPr>
          <w:instrText xml:space="preserve"> PAGEREF _Toc188429315 \h </w:instrText>
        </w:r>
        <w:r>
          <w:rPr>
            <w:noProof w:val="1"/>
          </w:rPr>
          <w:fldChar w:fldCharType="separate"/>
        </w:r>
        <w:r>
          <w:rPr>
            <w:noProof w:val="1"/>
          </w:rPr>
          <w:t>26</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17">
        <w:r>
          <w:rPr>
            <w:rStyle w:val="C2"/>
            <w:noProof w:val="1"/>
          </w:rPr>
          <w:t>6.9</w:t>
        </w:r>
        <w:r>
          <w:rPr>
            <w:rFonts w:asciiTheme="minorHAnsi" w:hAnsiTheme="minorHAnsi" w:eastAsiaTheme="minorEastAsia"/>
            <w:noProof w:val="1"/>
            <w:sz w:val="24"/>
            <w:szCs w:val="24"/>
            <w:kern w:val="2"/>
            <w:lang w:eastAsia="sv-SE"/>
          </w:rPr>
          <w:tab/>
        </w:r>
        <w:r>
          <w:rPr>
            <w:rStyle w:val="C2"/>
            <w:noProof w:val="1"/>
          </w:rPr>
          <w:t>SOCIALA</w:t>
        </w:r>
        <w:r>
          <w:rPr>
            <w:noProof w:val="1"/>
          </w:rPr>
          <w:tab/>
        </w:r>
        <w:r>
          <w:rPr>
            <w:noProof w:val="1"/>
          </w:rPr>
          <w:fldChar w:fldCharType="begin"/>
        </w:r>
        <w:r>
          <w:rPr>
            <w:noProof w:val="1"/>
          </w:rPr>
          <w:instrText xml:space="preserve"> PAGEREF _Toc188429317 \h </w:instrText>
        </w:r>
        <w:r>
          <w:rPr>
            <w:noProof w:val="1"/>
          </w:rPr>
          <w:fldChar w:fldCharType="separate"/>
        </w:r>
        <w:r>
          <w:rPr>
            <w:noProof w:val="1"/>
          </w:rPr>
          <w:t>26</w:t>
        </w:r>
        <w:r>
          <w:rPr>
            <w:noProof w:val="1"/>
          </w:rPr>
          <w:fldChar w:fldCharType="end"/>
        </w:r>
      </w:hyperlink>
    </w:p>
    <w:p>
      <w:pPr>
        <w:pStyle w:val="P25"/>
        <w:tabs>
          <w:tab w:val="left" w:pos="960" w:leader="none"/>
          <w:tab w:val="right" w:pos="7643" w:leader="dot"/>
        </w:tabs>
        <w:rPr>
          <w:noProof w:val="1"/>
        </w:rPr>
      </w:pPr>
      <w:hyperlink w:anchor="_Toc188429319">
        <w:r>
          <w:rPr>
            <w:rStyle w:val="C2"/>
            <w:noProof w:val="1"/>
          </w:rPr>
          <w:t>6.10</w:t>
        </w:r>
        <w:r>
          <w:rPr>
            <w:rFonts w:asciiTheme="minorHAnsi" w:hAnsiTheme="minorHAnsi" w:eastAsiaTheme="minorEastAsia"/>
            <w:noProof w:val="1"/>
            <w:sz w:val="24"/>
            <w:szCs w:val="24"/>
            <w:kern w:val="2"/>
            <w:lang w:eastAsia="sv-SE"/>
          </w:rPr>
          <w:tab/>
        </w:r>
        <w:r>
          <w:rPr>
            <w:rStyle w:val="C2"/>
            <w:noProof w:val="1"/>
          </w:rPr>
          <w:t>TRAFIK</w:t>
        </w:r>
        <w:r>
          <w:rPr>
            <w:noProof w:val="1"/>
          </w:rPr>
          <w:tab/>
        </w:r>
        <w:r>
          <w:rPr>
            <w:noProof w:val="1"/>
          </w:rPr>
          <w:fldChar w:fldCharType="begin"/>
        </w:r>
        <w:r>
          <w:rPr>
            <w:noProof w:val="1"/>
          </w:rPr>
          <w:instrText xml:space="preserve"> PAGEREF _Toc188429319 \h </w:instrText>
        </w:r>
        <w:r>
          <w:rPr>
            <w:noProof w:val="1"/>
          </w:rPr>
          <w:fldChar w:fldCharType="separate"/>
        </w:r>
        <w:r>
          <w:rPr>
            <w:noProof w:val="1"/>
          </w:rPr>
          <w:t>27</w:t>
        </w:r>
        <w:r>
          <w:rPr>
            <w:noProof w:val="1"/>
          </w:rPr>
          <w:fldChar w:fldCharType="end"/>
        </w:r>
      </w:hyperlink>
    </w:p>
    <w:p>
      <w:pPr>
        <w:rPr>
          <w:noProof w:val="1"/>
        </w:rPr>
      </w:pPr>
    </w:p>
    <w:p>
      <w:pPr>
        <w:pStyle w:val="P24"/>
        <w:tabs>
          <w:tab w:val="left" w:pos="440" w:leader="none"/>
        </w:tabs>
        <w:rPr>
          <w:rFonts w:asciiTheme="minorHAnsi" w:hAnsiTheme="minorHAnsi" w:eastAsiaTheme="minorEastAsia"/>
          <w:b w:val="0"/>
          <w:noProof w:val="1"/>
          <w:sz w:val="24"/>
          <w:szCs w:val="24"/>
          <w:kern w:val="2"/>
          <w:lang w:eastAsia="sv-SE"/>
        </w:rPr>
      </w:pPr>
      <w:hyperlink w:anchor="_Toc188429320">
        <w:r>
          <w:rPr>
            <w:rStyle w:val="C2"/>
            <w:noProof w:val="1"/>
          </w:rPr>
          <w:t>7</w:t>
        </w:r>
        <w:r>
          <w:rPr>
            <w:rFonts w:asciiTheme="minorHAnsi" w:hAnsiTheme="minorHAnsi" w:eastAsiaTheme="minorEastAsia"/>
            <w:b w:val="0"/>
            <w:noProof w:val="1"/>
            <w:sz w:val="24"/>
            <w:szCs w:val="24"/>
            <w:kern w:val="2"/>
            <w:lang w:eastAsia="sv-SE"/>
          </w:rPr>
          <w:tab/>
        </w:r>
        <w:r>
          <w:rPr>
            <w:rStyle w:val="C2"/>
            <w:noProof w:val="1"/>
          </w:rPr>
          <w:t>GENOMFÖRANDEFRÅGOR</w:t>
        </w:r>
        <w:r>
          <w:rPr>
            <w:noProof w:val="1"/>
          </w:rPr>
          <w:tab/>
        </w:r>
        <w:r>
          <w:rPr>
            <w:noProof w:val="1"/>
          </w:rPr>
          <w:fldChar w:fldCharType="begin"/>
        </w:r>
        <w:r>
          <w:rPr>
            <w:noProof w:val="1"/>
          </w:rPr>
          <w:instrText xml:space="preserve"> PAGEREF _Toc188429320 \h </w:instrText>
        </w:r>
        <w:r>
          <w:rPr>
            <w:noProof w:val="1"/>
          </w:rPr>
          <w:fldChar w:fldCharType="separate"/>
        </w:r>
        <w:r>
          <w:rPr>
            <w:noProof w:val="1"/>
          </w:rPr>
          <w:t>28</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21">
        <w:r>
          <w:rPr>
            <w:rStyle w:val="C2"/>
            <w:noProof w:val="1"/>
          </w:rPr>
          <w:t>7.1</w:t>
        </w:r>
        <w:r>
          <w:rPr>
            <w:rFonts w:asciiTheme="minorHAnsi" w:hAnsiTheme="minorHAnsi" w:eastAsiaTheme="minorEastAsia"/>
            <w:noProof w:val="1"/>
            <w:sz w:val="24"/>
            <w:szCs w:val="24"/>
            <w:kern w:val="2"/>
            <w:lang w:eastAsia="sv-SE"/>
          </w:rPr>
          <w:tab/>
        </w:r>
        <w:r>
          <w:rPr>
            <w:rStyle w:val="C2"/>
            <w:noProof w:val="1"/>
          </w:rPr>
          <w:t>MARK- OCH UTRYMMESFÖRVÄRV</w:t>
        </w:r>
        <w:r>
          <w:rPr>
            <w:noProof w:val="1"/>
          </w:rPr>
          <w:tab/>
        </w:r>
        <w:r>
          <w:rPr>
            <w:noProof w:val="1"/>
          </w:rPr>
          <w:fldChar w:fldCharType="begin"/>
        </w:r>
        <w:r>
          <w:rPr>
            <w:noProof w:val="1"/>
          </w:rPr>
          <w:instrText xml:space="preserve"> PAGEREF _Toc188429321 \h </w:instrText>
        </w:r>
        <w:r>
          <w:rPr>
            <w:noProof w:val="1"/>
          </w:rPr>
          <w:fldChar w:fldCharType="separate"/>
        </w:r>
        <w:r>
          <w:rPr>
            <w:noProof w:val="1"/>
          </w:rPr>
          <w:t>28</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22">
        <w:r>
          <w:rPr>
            <w:rStyle w:val="C2"/>
            <w:noProof w:val="1"/>
          </w:rPr>
          <w:t>7.2</w:t>
        </w:r>
        <w:r>
          <w:rPr>
            <w:rFonts w:asciiTheme="minorHAnsi" w:hAnsiTheme="minorHAnsi" w:eastAsiaTheme="minorEastAsia"/>
            <w:noProof w:val="1"/>
            <w:sz w:val="24"/>
            <w:szCs w:val="24"/>
            <w:kern w:val="2"/>
            <w:lang w:eastAsia="sv-SE"/>
          </w:rPr>
          <w:tab/>
        </w:r>
        <w:r>
          <w:rPr>
            <w:rStyle w:val="C2"/>
            <w:noProof w:val="1"/>
          </w:rPr>
          <w:t>FASTIGHETSRÄTTSLIGA FRÅGOR</w:t>
        </w:r>
        <w:r>
          <w:rPr>
            <w:noProof w:val="1"/>
          </w:rPr>
          <w:tab/>
        </w:r>
        <w:r>
          <w:rPr>
            <w:noProof w:val="1"/>
          </w:rPr>
          <w:fldChar w:fldCharType="begin"/>
        </w:r>
        <w:r>
          <w:rPr>
            <w:noProof w:val="1"/>
          </w:rPr>
          <w:instrText xml:space="preserve"> PAGEREF _Toc188429322 \h </w:instrText>
        </w:r>
        <w:r>
          <w:rPr>
            <w:noProof w:val="1"/>
          </w:rPr>
          <w:fldChar w:fldCharType="separate"/>
        </w:r>
        <w:r>
          <w:rPr>
            <w:noProof w:val="1"/>
          </w:rPr>
          <w:t>28</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26">
        <w:r>
          <w:rPr>
            <w:rStyle w:val="C2"/>
            <w:noProof w:val="1"/>
          </w:rPr>
          <w:t>7.3</w:t>
        </w:r>
        <w:r>
          <w:rPr>
            <w:rFonts w:asciiTheme="minorHAnsi" w:hAnsiTheme="minorHAnsi" w:eastAsiaTheme="minorEastAsia"/>
            <w:noProof w:val="1"/>
            <w:sz w:val="24"/>
            <w:szCs w:val="24"/>
            <w:kern w:val="2"/>
            <w:lang w:eastAsia="sv-SE"/>
          </w:rPr>
          <w:tab/>
        </w:r>
        <w:r>
          <w:rPr>
            <w:rStyle w:val="C2"/>
            <w:noProof w:val="1"/>
          </w:rPr>
          <w:t>TEKNISKA FRÅGOR</w:t>
        </w:r>
        <w:r>
          <w:rPr>
            <w:noProof w:val="1"/>
          </w:rPr>
          <w:tab/>
        </w:r>
        <w:r>
          <w:rPr>
            <w:noProof w:val="1"/>
          </w:rPr>
          <w:fldChar w:fldCharType="begin"/>
        </w:r>
        <w:r>
          <w:rPr>
            <w:noProof w:val="1"/>
          </w:rPr>
          <w:instrText xml:space="preserve"> PAGEREF _Toc188429326 \h </w:instrText>
        </w:r>
        <w:r>
          <w:rPr>
            <w:noProof w:val="1"/>
          </w:rPr>
          <w:fldChar w:fldCharType="separate"/>
        </w:r>
        <w:r>
          <w:rPr>
            <w:noProof w:val="1"/>
          </w:rPr>
          <w:t>29</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35">
        <w:r>
          <w:rPr>
            <w:rStyle w:val="C2"/>
            <w:noProof w:val="1"/>
          </w:rPr>
          <w:t>7.4</w:t>
        </w:r>
        <w:r>
          <w:rPr>
            <w:rFonts w:asciiTheme="minorHAnsi" w:hAnsiTheme="minorHAnsi" w:eastAsiaTheme="minorEastAsia"/>
            <w:noProof w:val="1"/>
            <w:sz w:val="24"/>
            <w:szCs w:val="24"/>
            <w:kern w:val="2"/>
            <w:lang w:eastAsia="sv-SE"/>
          </w:rPr>
          <w:tab/>
        </w:r>
        <w:r>
          <w:rPr>
            <w:rStyle w:val="C2"/>
            <w:noProof w:val="1"/>
          </w:rPr>
          <w:t>EKONOMISKA FRÅGOR</w:t>
        </w:r>
        <w:r>
          <w:rPr>
            <w:noProof w:val="1"/>
          </w:rPr>
          <w:tab/>
        </w:r>
        <w:r>
          <w:rPr>
            <w:noProof w:val="1"/>
          </w:rPr>
          <w:fldChar w:fldCharType="begin"/>
        </w:r>
        <w:r>
          <w:rPr>
            <w:noProof w:val="1"/>
          </w:rPr>
          <w:instrText xml:space="preserve"> PAGEREF _Toc188429335 \h </w:instrText>
        </w:r>
        <w:r>
          <w:rPr>
            <w:noProof w:val="1"/>
          </w:rPr>
          <w:fldChar w:fldCharType="separate"/>
        </w:r>
        <w:r>
          <w:rPr>
            <w:noProof w:val="1"/>
          </w:rPr>
          <w:t>30</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40">
        <w:r>
          <w:rPr>
            <w:rStyle w:val="C2"/>
            <w:noProof w:val="1"/>
          </w:rPr>
          <w:t>7.5</w:t>
        </w:r>
        <w:r>
          <w:rPr>
            <w:rFonts w:asciiTheme="minorHAnsi" w:hAnsiTheme="minorHAnsi" w:eastAsiaTheme="minorEastAsia"/>
            <w:noProof w:val="1"/>
            <w:sz w:val="24"/>
            <w:szCs w:val="24"/>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_Toc188429340 \h </w:instrText>
        </w:r>
        <w:r>
          <w:rPr>
            <w:noProof w:val="1"/>
          </w:rPr>
          <w:fldChar w:fldCharType="separate"/>
        </w:r>
        <w:r>
          <w:rPr>
            <w:noProof w:val="1"/>
          </w:rPr>
          <w:t>31</w:t>
        </w:r>
        <w:r>
          <w:rPr>
            <w:noProof w:val="1"/>
          </w:rPr>
          <w:fldChar w:fldCharType="end"/>
        </w:r>
      </w:hyperlink>
    </w:p>
    <w:p>
      <w:pPr>
        <w:pStyle w:val="P25"/>
        <w:tabs>
          <w:tab w:val="left" w:pos="960" w:leader="none"/>
          <w:tab w:val="right" w:pos="7643" w:leader="dot"/>
        </w:tabs>
        <w:rPr>
          <w:rFonts w:asciiTheme="minorHAnsi" w:hAnsiTheme="minorHAnsi" w:eastAsiaTheme="minorEastAsia"/>
          <w:noProof w:val="1"/>
          <w:sz w:val="24"/>
          <w:szCs w:val="24"/>
          <w:kern w:val="2"/>
          <w:lang w:eastAsia="sv-SE"/>
        </w:rPr>
      </w:pPr>
      <w:hyperlink w:anchor="_Toc188429343">
        <w:r>
          <w:rPr>
            <w:rStyle w:val="C2"/>
            <w:noProof w:val="1"/>
          </w:rPr>
          <w:t>7.6</w:t>
        </w:r>
        <w:r>
          <w:rPr>
            <w:rFonts w:asciiTheme="minorHAnsi" w:hAnsiTheme="minorHAnsi" w:eastAsiaTheme="minorEastAsia"/>
            <w:noProof w:val="1"/>
            <w:sz w:val="24"/>
            <w:szCs w:val="24"/>
            <w:kern w:val="2"/>
            <w:lang w:eastAsia="sv-SE"/>
          </w:rPr>
          <w:tab/>
        </w:r>
        <w:r>
          <w:rPr>
            <w:rStyle w:val="C2"/>
            <w:noProof w:val="1"/>
          </w:rPr>
          <w:t>MEDVERKANDE</w:t>
        </w:r>
        <w:r>
          <w:rPr>
            <w:noProof w:val="1"/>
          </w:rPr>
          <w:tab/>
        </w:r>
        <w:r>
          <w:rPr>
            <w:noProof w:val="1"/>
          </w:rPr>
          <w:fldChar w:fldCharType="begin"/>
        </w:r>
        <w:r>
          <w:rPr>
            <w:noProof w:val="1"/>
          </w:rPr>
          <w:instrText xml:space="preserve"> PAGEREF _Toc188429343 \h </w:instrText>
        </w:r>
        <w:r>
          <w:rPr>
            <w:noProof w:val="1"/>
          </w:rPr>
          <w:fldChar w:fldCharType="separate"/>
        </w:r>
        <w:r>
          <w:rPr>
            <w:noProof w:val="1"/>
          </w:rPr>
          <w:t>31</w:t>
        </w:r>
        <w:r>
          <w:rPr>
            <w:noProof w:val="1"/>
          </w:rPr>
          <w:fldChar w:fldCharType="end"/>
        </w:r>
      </w:hyperlink>
    </w:p>
    <w:p>
      <w:pPr>
        <w:pStyle w:val="P24"/>
      </w:pPr>
      <w:r>
        <w:fldChar w:fldCharType="end"/>
      </w:r>
    </w:p>
    <w:p>
      <w:r>
        <w:br w:type="page"/>
      </w:r>
      <w:bookmarkEnd w:id="0"/>
    </w:p>
    <w:p>
      <w:pPr>
        <w:rPr>
          <w:rFonts w:asciiTheme="minorHAnsi" w:hAnsiTheme="minorHAnsi" w:cstheme="minorHAnsi"/>
          <w:b w:val="1"/>
          <w:bCs w:val="1"/>
          <w:sz w:val="44"/>
          <w:szCs w:val="44"/>
        </w:rPr>
      </w:pPr>
      <w:r>
        <w:rPr>
          <w:rFonts w:asciiTheme="minorHAnsi" w:hAnsiTheme="minorHAnsi" w:cstheme="minorHAnsi"/>
          <w:b w:val="1"/>
          <w:bCs w:val="1"/>
          <w:sz w:val="44"/>
          <w:szCs w:val="44"/>
        </w:rPr>
        <w:t>Så här görs en ändring av detaljplan</w:t>
      </w:r>
    </w:p>
    <w:p>
      <w:r>
        <w:t xml:space="preserve">UPPDRAG – En plan initieras av en beställare genom en ansökan om planbesked. Det är kommunen som beslutar om planbeskedet och vid positivt planbesked tas beslut om att påbörja en detaljplan. </w:t>
      </w:r>
    </w:p>
    <w:p/>
    <w:p>
      <w:r>
        <w:t>SAMRÅD – Efter beslut om planuppdrag ordnas formalia kring planens omkostnader och</w:t>
      </w:r>
      <w:bookmarkStart w:id="2" w:name="_Hlk149901152"/>
      <w:bookmarkEnd w:id="2"/>
      <w:r>
        <w:t xml:space="preserve"> ansvar i ett planavtal. Omfattande planarbete med tillhörande utredningar sker inför samråd. Efter beslut hos samhällsbyggnadsnämnden skickas planförslaget ut så berörda och intresserade kan lämna synpunkter på förslaget. </w:t>
      </w:r>
    </w:p>
    <w:p/>
    <w:p>
      <w:r>
        <w:t xml:space="preserve">GRANSKNING – Efter samrådet sammanställs och besvaras skriftligt inkomna synpunkter i en samrådsredogörelse. Planförslaget revideras utifrån de ändringar som synpunkterna medför till. Efter beslut skickas en uppdaterad version av planförslaget ut för granskning. </w:t>
      </w:r>
    </w:p>
    <w:p/>
    <w:p>
      <w:r>
        <w:t xml:space="preserve">ANTAGANDE – Efter granskning sammanställs och besvaras skriftligt inkomna synpunkter. Planförslaget bearbetas och ändras i begränsad omfattning. De som inte fått sina synpunkter tillgodosedda får meddelande om det i samband med att förslaget antas av kommunstyrelsen. </w:t>
      </w:r>
    </w:p>
    <w:p/>
    <w:p>
      <w:r>
        <w:t xml:space="preserve">ÖVERKLAGANDE – Under tre veckor från det att antagandebeslutet har publicerats på kommunens digitala anslagstavla har de, vars synpunkter som inte blivit tillgodosedda möjlighet att överklaga beslutet. </w:t>
      </w:r>
    </w:p>
    <w:p/>
    <w:p>
      <w:r>
        <w:t xml:space="preserve">LAGA KRAFT – Planförslaget vinner laga kraft om ingen överklagat. Om planen överprövas får planen laga kraft först då ärendet är avgjort i domstol. </w:t>
      </w:r>
    </w:p>
    <w:p/>
    <w:p/>
    <w:p/>
    <w:p>
      <w:pPr>
        <w:pStyle w:val="P1"/>
      </w:pPr>
      <w:bookmarkStart w:id="3" w:name="_Toc89445972"/>
      <w:bookmarkStart w:id="4" w:name="_Toc172289113"/>
      <w:bookmarkStart w:id="5" w:name="_Toc188429234"/>
      <w:bookmarkStart w:id="6" w:name="_Toc136357348"/>
      <w:r>
        <w:t>ÄNDRINGENS SYFTE</w:t>
      </w:r>
      <w:bookmarkEnd w:id="3"/>
      <w:bookmarkEnd w:id="4"/>
      <w:bookmarkEnd w:id="5"/>
      <w:bookmarkEnd w:id="6"/>
    </w:p>
    <w:p>
      <w:pPr>
        <w:pStyle w:val="P2"/>
      </w:pPr>
      <w:bookmarkStart w:id="7" w:name="_Toc89445973"/>
      <w:bookmarkStart w:id="8" w:name="_Toc188429235"/>
      <w:bookmarkStart w:id="9" w:name="_Toc172289114"/>
      <w:bookmarkStart w:id="10" w:name="_Toc136357349"/>
      <w:bookmarkStart w:id="11" w:name="sy_syfte01"/>
      <w:r>
        <w:t>SYFTE</w:t>
      </w:r>
      <w:bookmarkEnd w:id="7"/>
      <w:bookmarkEnd w:id="8"/>
      <w:bookmarkEnd w:id="9"/>
      <w:bookmarkEnd w:id="10"/>
    </w:p>
    <w:p>
      <w:bookmarkStart w:id="12" w:name="_Hlk184301076"/>
      <w:bookmarkStart w:id="13" w:name="_Hlk172289260"/>
      <w:bookmarkStart w:id="14" w:name="_Hlk172289246"/>
      <w:r>
        <w:t>Syftet med ändringen är att justera befintliga formuleringar av planbestämmelser, till att endast reglera enskilda fastigheter inom kvarteret och inte hela kvarteret som en enhet. Vid ändringen kommer planen även att uppdateras till att överstämma med dagens verkliga situation och behov.</w:t>
      </w:r>
    </w:p>
    <w:p>
      <w:pPr>
        <w:pStyle w:val="P2"/>
      </w:pPr>
      <w:bookmarkEnd w:id="11"/>
      <w:bookmarkEnd w:id="12"/>
      <w:bookmarkStart w:id="15" w:name="_Toc188429236"/>
      <w:bookmarkStart w:id="16" w:name="be_varförändringavdetaljplanvalts01"/>
      <w:r>
        <w:t>VARFÖR ÄNDRING AV DETALJPLAN VALTS</w:t>
      </w:r>
      <w:bookmarkEnd w:id="15"/>
      <w:r>
        <w:t xml:space="preserve"> </w:t>
      </w:r>
    </w:p>
    <w:p>
      <w:r>
        <w:rPr>
          <w:noProof w:val="1"/>
        </w:rPr>
        <w:drawing>
          <wp:anchor xmlns:wp="http://schemas.openxmlformats.org/drawingml/2006/wordprocessingDrawing" distT="0" distB="0" distL="114300" distR="114300" simplePos="0" relativeHeight="11" behindDoc="0" locked="0" layoutInCell="1" allowOverlap="1">
            <wp:simplePos x="0" y="0"/>
            <wp:positionH relativeFrom="column">
              <wp:posOffset>2466975</wp:posOffset>
            </wp:positionH>
            <wp:positionV relativeFrom="paragraph">
              <wp:posOffset>1438910</wp:posOffset>
            </wp:positionV>
            <wp:extent cx="3053715" cy="3927475"/>
            <wp:effectExtent l="0" t="0" r="0" b="0"/>
            <wp:wrapSquare wrapText="bothSides"/>
            <wp:docPr id="375234153" name="Bildobjekt 1" descr="En bild som visar text, skiss, diagram, ri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4153" name="Bildobjekt 1" descr="En bild som visar text, skiss, diagram, rita&#10;&#10;Automatiskt genererad beskrivning"/>
                    <pic:cNvPicPr/>
                  </pic:nvPicPr>
                  <pic:blipFill dpi="0">
                    <a:blip xmlns:r="http://schemas.openxmlformats.org/officeDocument/2006/relationships" r:embed="Relimage1"/>
                    <a:srcRect l="22011" t="2973" r="8289" b="3196"/>
                    <a:stretch>
                      <a:fillRect/>
                    </a:stretch>
                  </pic:blipFill>
                  <pic:spPr bwMode="auto">
                    <a:xfrm>
                      <a:off x="0" y="0"/>
                      <a:ext cx="3053715" cy="3927475"/>
                    </a:xfrm>
                    <a:prstGeom prst="rect"/>
                    <a:ln>
                      <a:noFill/>
                    </a:ln>
                  </pic:spPr>
                </pic:pic>
              </a:graphicData>
            </a:graphic>
          </wp:anchor>
        </w:drawing>
      </w:r>
      <w:r>
        <w:t>Befintlig stadsplan reglerar idag exploateringsgraden för hela kvarteret och inte för varje enskild fastighet inom kvarteret. Detta innebär att varje enskild fastighet påverkas av hur mycket de andra fastigheterna inom kvarteret har exploaterat. Kommunen ser inte befintlig formulering som eftersträvansvärd och har därför valt att göra en ändring av planen. Samtidigt som planens egenskapsbestämmelser uppdateras och ändras, gör kommunen en översyn över befintlig exploatering inom kvarteret, samt undersöker framtida behov av utveckling.</w:t>
      </w:r>
    </w:p>
    <w:p>
      <w:r>
        <w:t xml:space="preserve">Kommunen gör bedömningen att åtgärden ryms inom ursprungsplanens syfte och är av ringa betydelse för allmänheten, samt inte innebär någon betydande miljöpåverkan eller strider mot översiktsplanen varpå befintlig detaljplan ändras i stället för att en ny tas fram. Vid en ändring är det enbart förutsättningarna för den del av planen som ändras som prövas utifrån PBL. Detaljplaneändringen innefattar inte att planområdet utökas eller minskas, endast att planbestämmelser förändras. </w:t>
      </w:r>
    </w:p>
    <w:p>
      <w:pPr>
        <w:rPr>
          <w:noProof w:val="1"/>
        </w:rPr>
      </w:pPr>
      <w:bookmarkEnd w:id="16"/>
      <w:r>
        <w:t xml:space="preserve"> </w:t>
      </w:r>
    </w:p>
    <w:p/>
    <w:p>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page">
                  <wp:posOffset>3639185</wp:posOffset>
                </wp:positionH>
                <wp:positionV relativeFrom="paragraph">
                  <wp:posOffset>351790</wp:posOffset>
                </wp:positionV>
                <wp:extent cx="3319145" cy="228600"/>
                <wp:effectExtent l="0" t="0" r="0" b="0"/>
                <wp:wrapTopAndBottom/>
                <wp:docPr id="1750719180" name="Textruta 6"/>
                <wp:cNvGraphicFramePr/>
                <a:graphic xmlns:a="http://schemas.openxmlformats.org/drawingml/2006/main">
                  <a:graphicData uri="http://schemas.microsoft.com/office/word/2010/wordprocessingShape">
                    <wps:wsp>
                      <wps:cNvSpPr txBox="1"/>
                      <wps:spPr>
                        <a:xfrm>
                          <a:off x="0" y="0"/>
                          <a:ext cx="3319145"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sz w:val="24"/>
                                <w:shd w:val="clear" w:color="auto" w:fill="FFFFFF"/>
                              </w:rPr>
                            </w:pPr>
                            <w:r>
                              <w:t>Området för ändringen.</w:t>
                            </w:r>
                          </w:p>
                          <w:p>
                            <w:pPr>
                              <w:rPr>
                                <w:sz w:val="24"/>
                              </w:rPr>
                            </w:pP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6" o:spid="_x0000_s1026" style="position:absolute;width:261.35pt;height:18pt;z-index:3;mso-wrap-distance-left:9pt;mso-wrap-distance-top:0pt;mso-wrap-distance-right:9pt;mso-wrap-distance-bottom:0pt;margin-left:286.55pt;margin-top:27.7pt;mso-position-horizontal:absolute;mso-position-horizontal-relative:page;mso-position-vertical:absolute;mso-position-vertical-relative:text" o:allowincell="t" fillcolor="#FFFFFF" stroked="f">
                <v:textbox inset="0mm,0mm,0mm,0mm">
                  <w:txbxContent>
                    <w:p>
                      <w:pPr>
                        <w:pStyle w:val="P36"/>
                        <w:rPr>
                          <w:noProof w:val="1"/>
                          <w:sz w:val="24"/>
                          <w:shd w:val="clear" w:color="auto" w:fill="FFFFFF"/>
                        </w:rPr>
                      </w:pPr>
                      <w:r>
                        <w:t>Området för ändringen.</w:t>
                      </w:r>
                    </w:p>
                    <w:p>
                      <w:pPr>
                        <w:rPr>
                          <w:sz w:val="24"/>
                        </w:rPr>
                      </w:pPr>
                    </w:p>
                  </w:txbxContent>
                </v:textbox>
                <w10:wrap type="topAndBottom"/>
              </v:shape>
            </w:pict>
          </mc:Fallback>
        </mc:AlternateContent>
      </w:r>
      <w:r>
        <w:br w:type="page"/>
      </w:r>
    </w:p>
    <w:p>
      <w:pPr>
        <w:pStyle w:val="P1"/>
        <w:rPr>
          <w:sz w:val="40"/>
          <w:szCs w:val="40"/>
        </w:rPr>
      </w:pPr>
      <w:bookmarkEnd w:id="13"/>
      <w:bookmarkEnd w:id="14"/>
      <w:bookmarkStart w:id="17" w:name="_Toc89445974"/>
      <w:bookmarkStart w:id="18" w:name="_Toc172289115"/>
      <w:bookmarkStart w:id="19" w:name="_Toc136357350"/>
      <w:bookmarkStart w:id="20" w:name="_Toc188429237"/>
      <w:r>
        <w:rPr>
          <w:sz w:val="40"/>
          <w:szCs w:val="40"/>
        </w:rPr>
        <w:t xml:space="preserve">BESKRIVNING AV </w:t>
      </w:r>
      <w:bookmarkEnd w:id="17"/>
      <w:bookmarkEnd w:id="18"/>
      <w:bookmarkEnd w:id="19"/>
      <w:bookmarkStart w:id="21" w:name="_Toc89445975"/>
      <w:bookmarkStart w:id="22" w:name="_Toc136357351"/>
      <w:r>
        <w:rPr>
          <w:sz w:val="40"/>
          <w:szCs w:val="40"/>
        </w:rPr>
        <w:t>ÄNDRINGEN</w:t>
      </w:r>
      <w:bookmarkEnd w:id="20"/>
    </w:p>
    <w:p>
      <w:pPr>
        <w:pStyle w:val="P2"/>
      </w:pPr>
      <w:bookmarkStart w:id="23" w:name="_Toc172289116"/>
      <w:bookmarkStart w:id="24" w:name="_Toc188429238"/>
      <w:bookmarkStart w:id="25" w:name="be_heladetaljplan01"/>
      <w:r>
        <w:t>HELA DETALJPLANEN</w:t>
      </w:r>
      <w:bookmarkEnd w:id="21"/>
      <w:bookmarkEnd w:id="22"/>
      <w:bookmarkEnd w:id="23"/>
      <w:bookmarkEnd w:id="24"/>
      <w:bookmarkStart w:id="26" w:name="_Toc89445976"/>
    </w:p>
    <w:p>
      <w:pPr>
        <w:pStyle w:val="P3"/>
      </w:pPr>
      <w:bookmarkStart w:id="27" w:name="_Toc136357352"/>
      <w:bookmarkStart w:id="28" w:name="_Toc188429239"/>
      <w:bookmarkStart w:id="29" w:name="_Toc178943393"/>
      <w:bookmarkStart w:id="30" w:name="_Toc184299367"/>
      <w:bookmarkStart w:id="31" w:name="_Toc172289117"/>
      <w:r>
        <w:t>GEOGRAFISKT LÄGE, AREAL</w:t>
      </w:r>
      <w:bookmarkEnd w:id="27"/>
      <w:bookmarkEnd w:id="28"/>
      <w:bookmarkEnd w:id="29"/>
      <w:bookmarkEnd w:id="30"/>
      <w:bookmarkEnd w:id="31"/>
    </w:p>
    <w:p>
      <w:bookmarkStart w:id="32" w:name="_Hlk172289245"/>
      <w:r>
        <w:t>Planområdet är i Hovmantorps centrala delar, söder om järnvägen ”Kust till Kustbanan”, öster om Rottnen och Väster om Sandviks gamla glasbruk. Kvarteret ligger intill genomfartsgatan Storgatan och omges av villabebyggelse av olika karaktär.</w:t>
      </w:r>
    </w:p>
    <w:p>
      <w:r>
        <w:rPr>
          <w:rFonts w:ascii="Times New Roman" w:hAnsi="Times New Roman" w:cs="Times New Roman"/>
          <w:noProof w:val="1"/>
          <w:sz w:val="24"/>
          <w:szCs w:val="24"/>
          <w:lang w:eastAsia="sv-SE"/>
        </w:rPr>
        <mc:AlternateContent>
          <mc:Choice Requires="wps">
            <w:drawing>
              <wp:anchor xmlns:wp="http://schemas.openxmlformats.org/drawingml/2006/wordprocessingDrawing" distT="0" distB="0" distL="114300" distR="114300" simplePos="0" relativeHeight="16" behindDoc="0" locked="0" layoutInCell="1" allowOverlap="1">
                <wp:simplePos x="0" y="0"/>
                <wp:positionH relativeFrom="page">
                  <wp:posOffset>1136650</wp:posOffset>
                </wp:positionH>
                <wp:positionV relativeFrom="paragraph">
                  <wp:posOffset>4398010</wp:posOffset>
                </wp:positionV>
                <wp:extent cx="3800475" cy="247650"/>
                <wp:effectExtent l="0" t="0" r="9525" b="0"/>
                <wp:wrapTopAndBottom/>
                <wp:docPr id="1530807699" name="Textruta 4"/>
                <wp:cNvGraphicFramePr/>
                <a:graphic xmlns:a="http://schemas.openxmlformats.org/drawingml/2006/main">
                  <a:graphicData uri="http://schemas.microsoft.com/office/word/2010/wordprocessingShape">
                    <wps:wsp>
                      <wps:cNvSpPr txBox="1"/>
                      <wps:spPr>
                        <a:xfrm>
                          <a:off x="0" y="0"/>
                          <a:ext cx="3800475" cy="24765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pPr>
                            <w:r>
                              <w:t>Planområdets lokalisering i Hovmantorps tätort.</w:t>
                            </w:r>
                          </w:p>
                          <w:p>
                            <w:pPr>
                              <w:pStyle w:val="P36"/>
                              <w:rPr>
                                <w:noProof w:val="1"/>
                                <w:color w:val="000000"/>
                                <w:sz w:val="24"/>
                              </w:rPr>
                            </w:pP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4" o:spid="_x0000_s1027" style="position:absolute;width:299.25pt;height:19.5pt;z-index:16;mso-wrap-distance-left:9pt;mso-wrap-distance-top:0pt;mso-wrap-distance-right:9pt;mso-wrap-distance-bottom:0pt;margin-left:89.5pt;margin-top:346.3pt;mso-position-horizontal:absolute;mso-position-horizontal-relative:page;mso-position-vertical:absolute;mso-position-vertical-relative:text" o:allowincell="t" fillcolor="#FFFFFF" stroked="f">
                <v:textbox inset="0mm,0mm,0mm,0mm">
                  <w:txbxContent>
                    <w:p>
                      <w:pPr>
                        <w:pStyle w:val="P36"/>
                      </w:pPr>
                      <w:r>
                        <w:t>Planområdets lokalisering i Hovmantorps tätort.</w:t>
                      </w:r>
                    </w:p>
                    <w:p>
                      <w:pPr>
                        <w:pStyle w:val="P36"/>
                        <w:rPr>
                          <w:noProof w:val="1"/>
                          <w:color w:val="000000"/>
                          <w:sz w:val="24"/>
                        </w:rPr>
                      </w:pPr>
                    </w:p>
                  </w:txbxContent>
                </v:textbox>
                <w10:wrap type="topAndBottom"/>
              </v:shape>
            </w:pict>
          </mc:Fallback>
        </mc:AlternateContent>
      </w:r>
      <w:r>
        <w:rPr>
          <w:rFonts w:ascii="Times New Roman" w:hAnsi="Times New Roman" w:cs="Times New Roman"/>
          <w:noProof w:val="1"/>
          <w:sz w:val="24"/>
          <w:szCs w:val="24"/>
          <w:lang w:eastAsia="sv-SE"/>
        </w:rPr>
        <w:drawing>
          <wp:anchor xmlns:wp="http://schemas.openxmlformats.org/drawingml/2006/wordprocessingDrawing" distT="0" distB="0" distL="114300" distR="114300" simplePos="0" relativeHeight="15" behindDoc="0" locked="0" layoutInCell="1" allowOverlap="1">
            <wp:simplePos x="0" y="0"/>
            <wp:positionH relativeFrom="margin">
              <wp:posOffset>-210185</wp:posOffset>
            </wp:positionH>
            <wp:positionV relativeFrom="paragraph">
              <wp:posOffset>1014095</wp:posOffset>
            </wp:positionV>
            <wp:extent cx="5674360" cy="3579495"/>
            <wp:effectExtent l="0" t="0" r="2540" b="1905"/>
            <wp:wrapTopAndBottom/>
            <wp:docPr id="2135501573" name="Bildobjekt 3" descr="En bild som visar skärmbild, Flygfotografi, tex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01573" name="Bildobjekt 3" descr="En bild som visar skärmbild, Flygfotografi, text, karta&#10;&#10;Automatiskt genererad beskrivning"/>
                    <pic:cNvPicPr>
                      <a:picLocks noChangeAspect="1" noChangeArrowheads="1"/>
                    </pic:cNvPicPr>
                  </pic:nvPicPr>
                  <pic:blipFill dpi="0">
                    <a:blip xmlns:r="http://schemas.openxmlformats.org/officeDocument/2006/relationships" r:embed="Relimage2" cstate="print"/>
                    <a:srcRect t="10802"/>
                    <a:stretch>
                      <a:fillRect/>
                    </a:stretch>
                  </pic:blipFill>
                  <pic:spPr bwMode="auto">
                    <a:xfrm>
                      <a:off x="0" y="0"/>
                      <a:ext cx="5674360" cy="3579495"/>
                    </a:xfrm>
                    <a:prstGeom prst="rect"/>
                    <a:noFill/>
                  </pic:spPr>
                </pic:pic>
              </a:graphicData>
            </a:graphic>
          </wp:anchor>
        </w:drawing>
      </w:r>
      <w:r>
        <w:t>Planområdet omfattar tre fastigheter. Den ena fastigheten ”Runan 5” är privatägd och den andra ”Runan 6” ägs av Lindström Property Småland AB. Fastigheterna uppgår idag till en areal på 871 kvm respektive 3345 kvm. Den tredje är en del av Stamfastigheten Hovmantorp 5:1 som ägs av Lessebo kommun.</w:t>
      </w:r>
    </w:p>
    <w:p>
      <w:bookmarkEnd w:id="25"/>
    </w:p>
    <w:p>
      <w:pPr>
        <w:pStyle w:val="P2"/>
      </w:pPr>
      <w:bookmarkEnd w:id="32"/>
      <w:bookmarkStart w:id="33" w:name="_Toc136357353"/>
      <w:bookmarkStart w:id="34" w:name="_Toc188429240"/>
      <w:bookmarkStart w:id="35" w:name="_Toc172289118"/>
      <w:bookmarkStart w:id="36" w:name="be_genomförandetid01"/>
      <w:r>
        <w:t>GENOMFÖRANDETID</w:t>
      </w:r>
      <w:bookmarkEnd w:id="26"/>
      <w:bookmarkEnd w:id="33"/>
      <w:bookmarkEnd w:id="34"/>
      <w:bookmarkEnd w:id="35"/>
    </w:p>
    <w:p>
      <w:bookmarkStart w:id="37" w:name="_Toc89445977"/>
      <w:r>
        <w:t>Detaljplanens genomförandetid är 5 år, räknat från den dag planen vunnit laga kraft. Genomförandetiden är enbart aktuell för den del av detaljplanen som ändras. Efter genomförandetiden har fastighetsägaren inte längre garanterad byggrätt. Detaljplanen fortsätter att gälla tills den upphävs, ändras eller ersätts med en ny plan.</w:t>
      </w:r>
    </w:p>
    <w:p>
      <w:pPr>
        <w:pStyle w:val="P2"/>
      </w:pPr>
      <w:bookmarkEnd w:id="36"/>
      <w:bookmarkEnd w:id="37"/>
      <w:bookmarkStart w:id="38" w:name="_Toc89445979"/>
      <w:bookmarkStart w:id="39" w:name="_Toc188429241"/>
      <w:bookmarkStart w:id="40" w:name="_Toc172289121"/>
      <w:bookmarkStart w:id="41" w:name="_Toc136357356"/>
      <w:r>
        <w:t>K</w:t>
      </w:r>
      <w:bookmarkStart w:id="42" w:name="be_kvartersmark01"/>
      <w:r>
        <w:t>VARTERSMARK</w:t>
      </w:r>
      <w:bookmarkEnd w:id="38"/>
      <w:bookmarkEnd w:id="39"/>
      <w:bookmarkEnd w:id="40"/>
      <w:bookmarkEnd w:id="41"/>
    </w:p>
    <w:p>
      <w:r>
        <w:t>De ändringar som föreslås är att planbestämmelsen ”Högsta tillåtna bruttovåningsyta inom kvarteret” byts ut till planbestämmelsen ”e” och förändrar sin reglering. Även en mindre del av prickmarken ändrar sin utformning. Utöver detta görs inga förändringar; inga borttagna, ändrande eller nya planbestämmelser tillkommer.</w:t>
      </w:r>
    </w:p>
    <w:p>
      <w:r>
        <w:rPr>
          <w:b w:val="1"/>
          <w:bCs w:val="1"/>
        </w:rPr>
        <w:t>Byggnadens omfattning</w:t>
      </w:r>
      <w:r>
        <w:t>:</w:t>
        <w:br w:type="textWrapping"/>
        <w:t xml:space="preserve">Befintlig bestämmelse: </w:t>
        <w:br w:type="textWrapping"/>
        <w:t xml:space="preserve">- ”Största exploatering är 2000 kvadratmeter bruttoarea inom kvarteret” </w:t>
      </w:r>
    </w:p>
    <w:p>
      <w:r>
        <w:t>Föreslagen bestämmelse ”e”:</w:t>
        <w:br w:type="textWrapping"/>
        <w:t xml:space="preserve">- ” Största byggnadsarea är 35% av fastighetsarean inom användningsområdet”. </w:t>
      </w:r>
    </w:p>
    <w:p>
      <w:r>
        <w:t>Befintlig bestämmelse innebär att kvarteret på ca 4200 kvm får exploateras med en exploateringsgrad på ca 47 % om bebyggelsen uppförs i 1 våning. Föreslagen bestämmelse medger en exploateringsgrad på 35 % vilket är en minskning av 12 procentenheter. Den befintlig bestämmelsen att ”byggnad får uppföras med högst 2 våningar varutöver vind icke får inredas” bevaras.</w:t>
      </w:r>
    </w:p>
    <w:p>
      <w:pPr>
        <w:pStyle w:val="P2"/>
      </w:pPr>
      <w:bookmarkEnd w:id="42"/>
      <w:bookmarkStart w:id="43" w:name="_Toc89445981"/>
      <w:bookmarkStart w:id="44" w:name="_Toc136357358"/>
      <w:bookmarkStart w:id="45" w:name="_Toc188429242"/>
      <w:bookmarkStart w:id="46" w:name="_Toc172289122"/>
      <w:r>
        <w:t>B</w:t>
      </w:r>
      <w:bookmarkStart w:id="47" w:name="be_befintligt01"/>
      <w:r>
        <w:t>EFINTLIG</w:t>
      </w:r>
      <w:bookmarkEnd w:id="43"/>
      <w:r>
        <w:t>T</w:t>
      </w:r>
      <w:bookmarkEnd w:id="44"/>
      <w:bookmarkEnd w:id="45"/>
      <w:bookmarkEnd w:id="46"/>
    </w:p>
    <w:p>
      <w:bookmarkStart w:id="48" w:name="_Hlk184366858"/>
      <w:bookmarkStart w:id="49" w:name="_Toc136357357"/>
      <w:bookmarkStart w:id="50" w:name="_Toc89445982"/>
      <w:r>
        <w:t>Planområdet består idag av en villabyggnad med privat tomt på fastigheten Runan 5 och två flerbostadshus med tillhörande parkering och utegård på fastighet Runan 6. Del av fastigheten Hovmantorp 5:1 är gata.</w:t>
      </w:r>
    </w:p>
    <w:p>
      <w:bookmarkEnd w:id="48"/>
      <w:r>
        <w:t xml:space="preserve">Befintlig detaljplan vann laga kraft 1967-07-19. </w:t>
      </w:r>
      <w:bookmarkEnd w:id="49"/>
    </w:p>
    <w:p>
      <w:pPr>
        <w:pStyle w:val="P2"/>
      </w:pPr>
      <w:bookmarkEnd w:id="47"/>
      <w:bookmarkEnd w:id="50"/>
      <w:bookmarkStart w:id="51" w:name="_Toc89445983"/>
      <w:bookmarkStart w:id="52" w:name="_Toc172289124"/>
      <w:bookmarkStart w:id="53" w:name="_Toc188429243"/>
      <w:bookmarkStart w:id="54" w:name="_Toc136357359"/>
      <w:bookmarkStart w:id="55" w:name="be_ärendeinformation01"/>
      <w:r>
        <w:t>ÄRENDEINFORMATION</w:t>
      </w:r>
      <w:bookmarkEnd w:id="51"/>
      <w:bookmarkEnd w:id="52"/>
      <w:bookmarkEnd w:id="53"/>
      <w:bookmarkEnd w:id="54"/>
    </w:p>
    <w:p>
      <w:r>
        <w:t>Detaljplaneändringen följer Plan- och bygglagen (SFS 2010:900)</w:t>
      </w:r>
      <w:bookmarkStart w:id="56" w:name="_Hlk147744356"/>
      <w:r>
        <w:t xml:space="preserve"> och Boverkets allmänna råd (2020:8) om planbeskrivning</w:t>
      </w:r>
      <w:bookmarkEnd w:id="56"/>
      <w:r>
        <w:t>. Ändringen upprättas med ett standardförfarande, vilket innebär att planen antas i kommunstyrelsen.</w:t>
      </w:r>
      <w:bookmarkEnd w:id="55"/>
      <w:bookmarkStart w:id="57" w:name="_Toc89445985"/>
      <w:bookmarkStart w:id="58" w:name="_Toc136357360"/>
      <w:r>
        <w:br w:type="page"/>
      </w:r>
    </w:p>
    <w:p>
      <w:pPr>
        <w:pStyle w:val="P1"/>
      </w:pPr>
      <w:bookmarkStart w:id="59" w:name="_Toc172289125"/>
      <w:bookmarkStart w:id="60" w:name="_Toc188429244"/>
      <w:r>
        <w:t>MOTIV TILL ÄNDRINGENS REGLERINGAR</w:t>
      </w:r>
      <w:bookmarkEnd w:id="57"/>
      <w:bookmarkEnd w:id="58"/>
      <w:bookmarkEnd w:id="59"/>
      <w:bookmarkEnd w:id="60"/>
    </w:p>
    <w:p>
      <w:pPr>
        <w:pStyle w:val="P2"/>
      </w:pPr>
      <w:bookmarkStart w:id="61" w:name="_Toc89445986"/>
      <w:bookmarkStart w:id="62" w:name="_Toc172289126"/>
      <w:bookmarkStart w:id="63" w:name="_Toc188429245"/>
      <w:bookmarkStart w:id="64" w:name="_Toc136357361"/>
      <w:r>
        <w:t>MOTIV TILL REGLERINGAR</w:t>
      </w:r>
      <w:bookmarkEnd w:id="61"/>
      <w:bookmarkEnd w:id="62"/>
      <w:bookmarkEnd w:id="63"/>
      <w:bookmarkEnd w:id="64"/>
      <w:bookmarkStart w:id="65" w:name="_Toc89445989"/>
    </w:p>
    <w:p>
      <w:pPr>
        <w:pStyle w:val="P3"/>
      </w:pPr>
      <w:bookmarkEnd w:id="65"/>
      <w:bookmarkStart w:id="66" w:name="_Toc89445990"/>
      <w:bookmarkStart w:id="67" w:name="_Toc188429246"/>
      <w:bookmarkStart w:id="68" w:name="_Toc184299374"/>
      <w:bookmarkStart w:id="69" w:name="_Toc172289129"/>
      <w:bookmarkStart w:id="70" w:name="_Toc178943400"/>
      <w:bookmarkStart w:id="71" w:name="_Toc136357364"/>
      <w:r>
        <w:t>EGENSKAPSBESTÄMMELSER FÖR KVARTERSMARK</w:t>
      </w:r>
      <w:bookmarkEnd w:id="66"/>
      <w:bookmarkEnd w:id="67"/>
      <w:bookmarkEnd w:id="68"/>
      <w:bookmarkEnd w:id="69"/>
      <w:bookmarkEnd w:id="70"/>
      <w:bookmarkEnd w:id="71"/>
    </w:p>
    <w:p/>
    <w:p>
      <w:bookmarkStart w:id="72" w:name="_Hlk184301086"/>
      <w:bookmarkStart w:id="73" w:name="_Hlk178759153"/>
      <w:r>
        <w:t>Planbestämmelser som ändrar reglering och benämning:</w:t>
      </w:r>
    </w:p>
    <w:p>
      <w:bookmarkStart w:id="74" w:name="mo_motivtillreglering01"/>
      <w:r>
        <w:rPr>
          <w:b w:val="1"/>
          <w:bCs w:val="1"/>
        </w:rPr>
        <w:t xml:space="preserve">e – Största byggnadsarea är 35% av fastighetsarean inom användningsområdet: </w:t>
      </w:r>
      <w:r>
        <w:t xml:space="preserve">Bestämmelsen styr byggandets omfattning. Planbestämmelsen medger en byggrätt som reglerar varje fastighet för sig. Detta möjliggör utveckling av fastigheterna utan påverkan av grannarnas exploatering. </w:t>
      </w:r>
    </w:p>
    <w:p>
      <w:bookmarkEnd w:id="74"/>
    </w:p>
    <w:p>
      <w:r>
        <w:t>Planbestämmelse som ändrar utformning i karta:</w:t>
      </w:r>
    </w:p>
    <w:p>
      <w:bookmarkStart w:id="75" w:name="mo_motivtillreglering02"/>
      <w:r>
        <w:rPr>
          <w:b w:val="1"/>
          <w:bCs w:val="1"/>
        </w:rPr>
        <w:t xml:space="preserve">Prickmark - Marken får inte bebyggas: </w:t>
      </w:r>
      <w:r>
        <w:t xml:space="preserve">Begränsning av markens bebyggande används i den befintliga planen. Utifrån ändringens syfte att uppdatera planen till dagens verkliga situation väljs prickmarken mot Nygatan i väster att minskas till 4 m i bredd (från ca 5,7 m). Detta gör att befintlig byggnad inom planområdet blir planenlig. Avståndet på 4 m till lokalgatan bedöms tillräcklig. </w:t>
      </w:r>
    </w:p>
    <w:p>
      <w:bookmarkEnd w:id="72"/>
      <w:bookmarkEnd w:id="75"/>
    </w:p>
    <w:p/>
    <w:p>
      <w:pPr>
        <w:rPr>
          <w:u w:val="single"/>
        </w:rPr>
      </w:pPr>
      <w:bookmarkEnd w:id="73"/>
      <w:bookmarkStart w:id="76" w:name="_Toc172289130"/>
      <w:r>
        <w:rPr>
          <w:u w:val="single"/>
        </w:rPr>
        <w:br w:type="page"/>
      </w:r>
    </w:p>
    <w:p>
      <w:pPr>
        <w:pStyle w:val="P1"/>
        <w:rPr>
          <w:sz w:val="40"/>
          <w:szCs w:val="40"/>
        </w:rPr>
      </w:pPr>
      <w:bookmarkStart w:id="77" w:name="_Toc188429247"/>
      <w:r>
        <w:rPr>
          <w:sz w:val="40"/>
          <w:szCs w:val="40"/>
        </w:rPr>
        <w:t>PLANERINGSFÖRUTSÄTTNINGAR</w:t>
      </w:r>
      <w:bookmarkEnd w:id="76"/>
      <w:bookmarkEnd w:id="77"/>
    </w:p>
    <w:p>
      <w:pPr>
        <w:pStyle w:val="P2"/>
      </w:pPr>
      <w:bookmarkStart w:id="78" w:name="_Toc89445992"/>
      <w:bookmarkStart w:id="79" w:name="_Toc188429248"/>
      <w:bookmarkStart w:id="80" w:name="_Toc172289131"/>
      <w:bookmarkStart w:id="81" w:name="_Toc136357366"/>
      <w:r>
        <w:t>KOMMUNALA</w:t>
      </w:r>
      <w:bookmarkEnd w:id="78"/>
      <w:bookmarkEnd w:id="79"/>
      <w:bookmarkEnd w:id="80"/>
      <w:bookmarkEnd w:id="81"/>
    </w:p>
    <w:p>
      <w:pPr>
        <w:pStyle w:val="P3"/>
      </w:pPr>
      <w:bookmarkStart w:id="82" w:name="_Toc89445993"/>
      <w:bookmarkStart w:id="83" w:name="_Toc188429249"/>
      <w:bookmarkStart w:id="84" w:name="_Toc178943403"/>
      <w:bookmarkStart w:id="85" w:name="_Toc184299377"/>
      <w:bookmarkStart w:id="86" w:name="_Toc172289132"/>
      <w:bookmarkStart w:id="87" w:name="_Toc136357367"/>
      <w:bookmarkStart w:id="88" w:name="pf_detaljplan01"/>
      <w:r>
        <w:t>DETALJPLAN</w:t>
      </w:r>
      <w:bookmarkEnd w:id="82"/>
      <w:bookmarkEnd w:id="83"/>
      <w:bookmarkEnd w:id="84"/>
      <w:bookmarkEnd w:id="85"/>
      <w:bookmarkEnd w:id="86"/>
      <w:bookmarkEnd w:id="87"/>
      <w:r>
        <w:t xml:space="preserve"> </w:t>
      </w:r>
    </w:p>
    <w:p>
      <w:bookmarkStart w:id="89" w:name="_Hlk184366848"/>
      <w:bookmarkStart w:id="90" w:name="_Hlk184301108"/>
      <w:bookmarkStart w:id="91" w:name="_Toc89445994"/>
      <w:r>
        <w:t>Fastigheterna Runan 5 och Runan 6 och del av Hovmantorp 5:1 som planändringen omfattar, regleras av detaljplanen (07-HOS-150) ”Förslag till ändring av stadsplan för Kv. Runan”, som vann laga kraft 1967-07-19.</w:t>
      </w:r>
    </w:p>
    <w:p>
      <w:bookmarkEnd w:id="89"/>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margin">
                  <wp:posOffset>-300355</wp:posOffset>
                </wp:positionH>
                <wp:positionV relativeFrom="paragraph">
                  <wp:posOffset>4873625</wp:posOffset>
                </wp:positionV>
                <wp:extent cx="6252210" cy="228600"/>
                <wp:effectExtent l="0" t="0" r="0" b="0"/>
                <wp:wrapTopAndBottom/>
                <wp:docPr id="1461691583" name="Textruta 6"/>
                <wp:cNvGraphicFramePr/>
                <a:graphic xmlns:a="http://schemas.openxmlformats.org/drawingml/2006/main">
                  <a:graphicData uri="http://schemas.microsoft.com/office/word/2010/wordprocessingShape">
                    <wps:wsp>
                      <wps:cNvSpPr txBox="1"/>
                      <wps:spPr>
                        <a:xfrm>
                          <a:off x="0" y="0"/>
                          <a:ext cx="6252210"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sz w:val="24"/>
                                <w:shd w:val="clear" w:color="auto" w:fill="FFFFFF"/>
                              </w:rPr>
                            </w:pPr>
                            <w:r>
                              <w:t>Området för ändringen är markerat i rött.</w:t>
                            </w:r>
                          </w:p>
                          <w:p>
                            <w:pPr>
                              <w:rPr>
                                <w:sz w:val="24"/>
                              </w:rPr>
                            </w:pP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6" o:spid="_x0000_s1028" style="position:absolute;width:492.3pt;height:18pt;z-index:9;mso-wrap-distance-left:9pt;mso-wrap-distance-top:0pt;mso-wrap-distance-right:9pt;mso-wrap-distance-bottom:0pt;margin-left:-23.65pt;margin-top:383.75pt;mso-position-horizontal:absolute;mso-position-horizontal-relative:margin;mso-position-vertical:absolute;mso-position-vertical-relative:text" o:allowincell="t" fillcolor="#FFFFFF" stroked="f">
                <v:textbox inset="0mm,0mm,0mm,0mm">
                  <w:txbxContent>
                    <w:p>
                      <w:pPr>
                        <w:pStyle w:val="P36"/>
                        <w:rPr>
                          <w:noProof w:val="1"/>
                          <w:sz w:val="24"/>
                          <w:shd w:val="clear" w:color="auto" w:fill="FFFFFF"/>
                        </w:rPr>
                      </w:pPr>
                      <w:r>
                        <w:t>Området för ändringen är markerat i rött.</w:t>
                      </w:r>
                    </w:p>
                    <w:p>
                      <w:pPr>
                        <w:rPr>
                          <w:sz w:val="24"/>
                        </w:rPr>
                      </w:pPr>
                    </w:p>
                  </w:txbxContent>
                </v:textbox>
                <w10:wrap type="topAndBottom"/>
              </v:shape>
            </w:pict>
          </mc:Fallback>
        </mc:AlternateContent>
      </w:r>
      <w:r>
        <w:rPr>
          <w:noProof w:val="1"/>
        </w:rPr>
        <w:drawing>
          <wp:anchor xmlns:wp="http://schemas.openxmlformats.org/drawingml/2006/wordprocessingDrawing" distT="0" distB="0" distL="114300" distR="114300" simplePos="0" relativeHeight="12" behindDoc="0" locked="0" layoutInCell="1" allowOverlap="1">
            <wp:simplePos x="0" y="0"/>
            <wp:positionH relativeFrom="column">
              <wp:posOffset>-59690</wp:posOffset>
            </wp:positionH>
            <wp:positionV relativeFrom="paragraph">
              <wp:posOffset>1341755</wp:posOffset>
            </wp:positionV>
            <wp:extent cx="4848225" cy="3459480"/>
            <wp:effectExtent l="0" t="0" r="9525" b="7620"/>
            <wp:wrapTopAndBottom/>
            <wp:docPr id="4358885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3" cstate="print"/>
                    <a:srcRect/>
                    <a:stretch>
                      <a:fillRect/>
                    </a:stretch>
                  </pic:blipFill>
                  <pic:spPr bwMode="auto">
                    <a:xfrm>
                      <a:off x="0" y="0"/>
                      <a:ext cx="4848225" cy="3459480"/>
                    </a:xfrm>
                    <a:prstGeom prst="rect"/>
                    <a:noFill/>
                    <a:ln>
                      <a:noFill/>
                    </a:ln>
                  </pic:spPr>
                </pic:pic>
              </a:graphicData>
            </a:graphic>
          </wp:anchor>
        </w:drawing>
      </w:r>
      <w:r>
        <w:t>Detaljplanen för det avsedda området medger på kvartersmark, användningen bostäder och egenskapsbestämmelser som reglerar; högsta byggnadshöjd är på 7,6 m, högsta antal våningar II, största exploatering är 2000 kvadratmeter bruttoarea inom kvarteret, samt den del av marken som är prickad får ej förses med byggnad. Allmän plats inom planområdet regeras som gata med kommunalt huvudmannaskap.</w:t>
      </w:r>
    </w:p>
    <w:p>
      <w:bookmarkEnd w:id="90"/>
      <w:r>
        <w:t>Planområdet omfattas också av en fastighetsindelningsbestämmelse för Runan 6, en tomtindelning, akt 07-HOS-155. Enligt övergångsbestämmelser räknas tomtindelningen som en fastighetsindelningsbestämmelse och innebär att utformningen av Runan 6 inte kan ändras. Det finns även en fastighetsindelningsbestämmelse, en tomtindelning för Runan 5, akt 07-HOS-56.</w:t>
      </w:r>
    </w:p>
    <w:p>
      <w:bookmarkEnd w:id="88"/>
    </w:p>
    <w:p>
      <w:pPr>
        <w:pStyle w:val="P3"/>
      </w:pPr>
      <w:bookmarkEnd w:id="91"/>
      <w:bookmarkStart w:id="92" w:name="_Toc89445997"/>
      <w:bookmarkStart w:id="93" w:name="_Toc178943404"/>
      <w:bookmarkStart w:id="94" w:name="_Toc184299378"/>
      <w:bookmarkStart w:id="95" w:name="_Toc188429250"/>
      <w:bookmarkStart w:id="96" w:name="_Toc172289133"/>
      <w:bookmarkStart w:id="97" w:name="_Toc136357369"/>
      <w:bookmarkStart w:id="98" w:name="_Toc136357368"/>
      <w:bookmarkStart w:id="99" w:name="pf_planbesked01"/>
      <w:r>
        <w:t>PLANBESKED</w:t>
      </w:r>
      <w:bookmarkEnd w:id="92"/>
      <w:bookmarkEnd w:id="93"/>
      <w:bookmarkEnd w:id="94"/>
      <w:bookmarkEnd w:id="95"/>
      <w:bookmarkEnd w:id="96"/>
      <w:bookmarkEnd w:id="97"/>
      <w:r>
        <w:t xml:space="preserve"> </w:t>
      </w:r>
    </w:p>
    <w:p>
      <w:bookmarkEnd w:id="98"/>
      <w:bookmarkStart w:id="100" w:name="_Hlk184367242"/>
      <w:bookmarkStart w:id="101" w:name="_Toc89445999"/>
      <w:bookmarkStart w:id="102" w:name="_Toc178943405"/>
      <w:bookmarkStart w:id="103" w:name="_Toc172289134"/>
      <w:bookmarkStart w:id="104" w:name="_Toc136357370"/>
      <w:r>
        <w:t>Enligt kommunstyrelsens beslut 2021-10-05 § 322 ska samhällsbyggnadsförvaltningen se över möjligheter att uppdatera gällande detaljplaner i Hovmantorp tätort</w:t>
      </w:r>
      <w:bookmarkEnd w:id="100"/>
      <w:r>
        <w:t xml:space="preserve">. </w:t>
      </w:r>
    </w:p>
    <w:p>
      <w:pPr>
        <w:pStyle w:val="P3"/>
      </w:pPr>
      <w:bookmarkEnd w:id="99"/>
      <w:bookmarkStart w:id="105" w:name="_Toc184299379"/>
      <w:bookmarkStart w:id="106" w:name="_Toc188429251"/>
      <w:bookmarkStart w:id="107" w:name="pf_översiktsplan01"/>
      <w:r>
        <w:t>ÖVERSIKTSPLAN</w:t>
      </w:r>
      <w:bookmarkEnd w:id="101"/>
      <w:bookmarkEnd w:id="102"/>
      <w:bookmarkEnd w:id="103"/>
      <w:bookmarkEnd w:id="104"/>
      <w:bookmarkEnd w:id="105"/>
      <w:bookmarkEnd w:id="106"/>
    </w:p>
    <w:p>
      <w:bookmarkStart w:id="108" w:name="_Hlk172289388"/>
      <w:bookmarkStart w:id="109" w:name="_Hlk90559718"/>
      <w:bookmarkStart w:id="110" w:name="_Hlk145493116"/>
      <w:bookmarkStart w:id="111" w:name="_Hlk184301139"/>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page">
                  <wp:posOffset>1406525</wp:posOffset>
                </wp:positionH>
                <wp:positionV relativeFrom="paragraph">
                  <wp:posOffset>6309995</wp:posOffset>
                </wp:positionV>
                <wp:extent cx="4591050" cy="400050"/>
                <wp:effectExtent l="0" t="0" r="0" b="0"/>
                <wp:wrapSquare wrapText="bothSides"/>
                <wp:docPr id="797018275" name="Textruta 100"/>
                <wp:cNvGraphicFramePr/>
                <a:graphic xmlns:a="http://schemas.openxmlformats.org/drawingml/2006/main">
                  <a:graphicData uri="http://schemas.microsoft.com/office/word/2010/wordprocessingShape">
                    <wps:wsp>
                      <wps:cNvSpPr txBox="1"/>
                      <wps:spPr>
                        <a:xfrm>
                          <a:off x="0" y="0"/>
                          <a:ext cx="4591050" cy="40005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color w:val="000000" w:themeColor="text2"/>
                                <w:sz w:val="18"/>
                                <w:szCs w:val="18"/>
                              </w:rPr>
                            </w:pPr>
                            <w:r>
                              <w:rPr>
                                <w:i w:val="1"/>
                                <w:iCs w:val="1"/>
                                <w:color w:val="000000" w:themeColor="text2"/>
                                <w:sz w:val="18"/>
                                <w:szCs w:val="18"/>
                              </w:rPr>
                              <w:t xml:space="preserve">Markanvändningskarta från gällande översiktsplan. Planområdet är utpekat med en röd markering. </w:t>
                            </w:r>
                          </w:p>
                          <w:p>
                            <w:pPr>
                              <w:pStyle w:val="P36"/>
                              <w:rPr>
                                <w:noProof w:val="1"/>
                                <w:color w:val="000000"/>
                                <w:szCs w:val="22"/>
                              </w:rPr>
                            </w:pP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00" o:spid="_x0000_s1029" style="position:absolute;width:361.5pt;height:31.5pt;z-index:5;mso-wrap-distance-left:9pt;mso-wrap-distance-top:0pt;mso-wrap-distance-right:9pt;mso-wrap-distance-bottom:0pt;margin-left:110.75pt;margin-top:496.85pt;mso-position-horizontal:absolute;mso-position-horizontal-relative:page;mso-position-vertical:absolute;mso-position-vertical-relative:text" o:allowincell="t" fillcolor="#FFFFFF" stroked="f">
                <v:textbox inset="0mm,0mm,0mm,0mm">
                  <w:txbxContent>
                    <w:p>
                      <w:pPr>
                        <w:rPr>
                          <w:i w:val="1"/>
                          <w:iCs w:val="1"/>
                          <w:color w:val="000000" w:themeColor="text2"/>
                          <w:sz w:val="18"/>
                          <w:szCs w:val="18"/>
                        </w:rPr>
                      </w:pPr>
                      <w:r>
                        <w:rPr>
                          <w:i w:val="1"/>
                          <w:iCs w:val="1"/>
                          <w:color w:val="000000" w:themeColor="text2"/>
                          <w:sz w:val="18"/>
                          <w:szCs w:val="18"/>
                        </w:rPr>
                        <w:t xml:space="preserve">Markanvändningskarta från gällande översiktsplan. Planområdet är utpekat med en röd markering. </w:t>
                      </w:r>
                    </w:p>
                    <w:p>
                      <w:pPr>
                        <w:pStyle w:val="P36"/>
                        <w:rPr>
                          <w:noProof w:val="1"/>
                          <w:color w:val="000000"/>
                          <w:szCs w:val="22"/>
                        </w:rPr>
                      </w:pPr>
                    </w:p>
                  </w:txbxContent>
                </v:textbox>
                <w10:wrap type="square"/>
              </v:shape>
            </w:pict>
          </mc:Fallback>
        </mc:AlternateContent>
      </w:r>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margin">
                  <wp:align>center</wp:align>
                </wp:positionH>
                <wp:positionV relativeFrom="paragraph">
                  <wp:posOffset>2256790</wp:posOffset>
                </wp:positionV>
                <wp:extent cx="75565" cy="127000"/>
                <wp:effectExtent l="19050" t="19050" r="19685" b="25400"/>
                <wp:wrapNone/>
                <wp:docPr id="1275510722" name="Rektangel 7"/>
                <wp:cNvGraphicFramePr/>
                <a:graphic xmlns:a="http://schemas.openxmlformats.org/drawingml/2006/main">
                  <a:graphicData uri="http://schemas.microsoft.com/office/word/2010/wordprocessingShape">
                    <wps:wsp>
                      <wps:cNvSpPr/>
                      <wps:spPr>
                        <a:xfrm>
                          <a:off x="0" y="0"/>
                          <a:ext cx="75840" cy="127600"/>
                        </a:xfrm>
                        <a:prstGeom prst="rect"/>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clip" horzOverflow="clip"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7" o:spid="_x0000_s1030" style="position:absolute;width:5.95pt;height:10pt;z-index:14;mso-wrap-distance-left:9pt;mso-wrap-distance-top:0pt;mso-wrap-distance-right:9pt;mso-wrap-distance-bottom:0pt;margin-left:0pt;margin-top:177.7pt;mso-position-horizontal:center;mso-position-horizontal-relative:margin;mso-position-vertical:absolute;mso-position-vertical-relative:text;v-text-anchor:middle" o:allowincell="t" filled="f" strokecolor="#FF0000" strokeweight="2.25pt" stroked="t">
                <v:textbox inset="3mm,1mm,3mm,1mm">
                  <w:txbxContent>
                    <w:p/>
                  </w:txbxContent>
                </v:textbox>
              </v:rect>
            </w:pict>
          </mc:Fallback>
        </mc:AlternateContent>
      </w:r>
      <w:r>
        <w:rPr>
          <w:noProof w:val="1"/>
        </w:rPr>
        <w:drawing>
          <wp:anchor xmlns:wp="http://schemas.openxmlformats.org/drawingml/2006/wordprocessingDrawing" distT="0" distB="0" distL="114300" distR="114300" simplePos="0" relativeHeight="13" behindDoc="0" locked="0" layoutInCell="1" allowOverlap="1">
            <wp:simplePos x="0" y="0"/>
            <wp:positionH relativeFrom="page">
              <wp:posOffset>1353820</wp:posOffset>
            </wp:positionH>
            <wp:positionV relativeFrom="paragraph">
              <wp:posOffset>487045</wp:posOffset>
            </wp:positionV>
            <wp:extent cx="4554220" cy="5762625"/>
            <wp:effectExtent l="0" t="0" r="0" b="9525"/>
            <wp:wrapTopAndBottom/>
            <wp:docPr id="1757547919" name="Bildobjekt 1" descr="En bild som visar text, karta, skärmbild,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47919" name="Bildobjekt 1" descr="En bild som visar text, karta, skärmbild, diagram&#10;&#10;Automatiskt genererad beskrivning"/>
                    <pic:cNvPicPr/>
                  </pic:nvPicPr>
                  <pic:blipFill dpi="0">
                    <a:blip xmlns:r="http://schemas.openxmlformats.org/officeDocument/2006/relationships" r:embed="Relimage4"/>
                    <a:srcRect t="835"/>
                    <a:stretch>
                      <a:fillRect/>
                    </a:stretch>
                  </pic:blipFill>
                  <pic:spPr bwMode="auto">
                    <a:xfrm>
                      <a:off x="0" y="0"/>
                      <a:ext cx="4554220" cy="5762625"/>
                    </a:xfrm>
                    <a:prstGeom prst="rect"/>
                    <a:ln>
                      <a:noFill/>
                    </a:ln>
                  </pic:spPr>
                </pic:pic>
              </a:graphicData>
            </a:graphic>
          </wp:anchor>
        </w:drawing>
      </w:r>
      <w:r>
        <w:t>Planförslaget bedöms överensstämma med kommunens översiktsplan (år 2018), som pekar ut området som befintliga bostäder.</w:t>
      </w:r>
      <w:r>
        <w:rPr>
          <w:i w:val="1"/>
          <w:iCs w:val="1"/>
        </w:rPr>
        <w:t xml:space="preserve"> </w:t>
      </w:r>
      <w:bookmarkEnd w:id="108"/>
      <w:bookmarkEnd w:id="109"/>
      <w:bookmarkEnd w:id="110"/>
      <w:bookmarkStart w:id="112" w:name="_Toc89446000"/>
      <w:bookmarkStart w:id="113" w:name="_Toc172289135"/>
      <w:bookmarkStart w:id="114" w:name="_Toc136357371"/>
    </w:p>
    <w:p>
      <w:pPr>
        <w:pStyle w:val="P2"/>
      </w:pPr>
      <w:bookmarkEnd w:id="107"/>
      <w:bookmarkEnd w:id="111"/>
      <w:bookmarkEnd w:id="112"/>
      <w:bookmarkEnd w:id="113"/>
      <w:bookmarkEnd w:id="114"/>
      <w:bookmarkStart w:id="115" w:name="_Toc89446002"/>
      <w:bookmarkStart w:id="116" w:name="_Toc172289136"/>
      <w:bookmarkStart w:id="117" w:name="_Toc188429252"/>
      <w:bookmarkStart w:id="118" w:name="_Toc136357372"/>
      <w:bookmarkStart w:id="119" w:name="pf_riksintressen01"/>
      <w:bookmarkStart w:id="120" w:name="_Hlk184301183"/>
      <w:r>
        <w:t>RIKSINTRESSEN</w:t>
      </w:r>
      <w:bookmarkEnd w:id="115"/>
      <w:bookmarkEnd w:id="116"/>
      <w:bookmarkEnd w:id="117"/>
      <w:bookmarkEnd w:id="118"/>
    </w:p>
    <w:p>
      <w:r>
        <w:t>De riksintressen som berörs av planförslaget är: totalförsvaret 9 § och kommunikationer 8 §.</w:t>
      </w:r>
    </w:p>
    <w:p>
      <w:pPr>
        <w:pStyle w:val="P3"/>
      </w:pPr>
      <w:bookmarkEnd w:id="119"/>
      <w:bookmarkStart w:id="121" w:name="_Toc178943407"/>
      <w:bookmarkStart w:id="122" w:name="_Toc188429253"/>
      <w:bookmarkStart w:id="123" w:name="_Toc184299381"/>
      <w:bookmarkStart w:id="124" w:name="pf_totalförsvar01"/>
      <w:r>
        <w:t>TOTALFÖRSVARET</w:t>
      </w:r>
      <w:bookmarkEnd w:id="121"/>
      <w:bookmarkEnd w:id="122"/>
      <w:bookmarkEnd w:id="123"/>
    </w:p>
    <w:p>
      <w:bookmarkStart w:id="125" w:name="_Hlk158359054"/>
      <w:bookmarkStart w:id="126" w:name="_Hlk172293658"/>
      <w:r>
        <w:t>Området ligger inom riksintresse för lågflygningsområde med påverkansområde</w:t>
      </w:r>
      <w:bookmarkStart w:id="127" w:name="_Hlk145495763"/>
      <w:r>
        <w:t>: Norra Blekinge - Södra Småland.</w:t>
      </w:r>
      <w:bookmarkEnd w:id="125"/>
      <w:bookmarkEnd w:id="127"/>
    </w:p>
    <w:p>
      <w:pPr>
        <w:pStyle w:val="P3"/>
      </w:pPr>
      <w:bookmarkEnd w:id="124"/>
      <w:bookmarkEnd w:id="126"/>
      <w:bookmarkStart w:id="128" w:name="_Toc184299382"/>
      <w:bookmarkStart w:id="129" w:name="_Toc188429254"/>
      <w:bookmarkStart w:id="130" w:name="pf_trafikkommunikation01"/>
      <w:r>
        <w:t>KOMMUNIKATIONER</w:t>
      </w:r>
      <w:bookmarkEnd w:id="128"/>
      <w:bookmarkEnd w:id="129"/>
    </w:p>
    <w:p>
      <w:bookmarkStart w:id="131" w:name="_Hlk172293716"/>
      <w:r>
        <w:t xml:space="preserve">Planområdet ligger ca 80 m söder om järnvägen Kust till Kustbanan - järnväg som trafikeras av godstrafik och långväga persontrafik med station utmed järnväg som är av riksintresse, samt binder samman anläggningar av riksintresse. </w:t>
      </w:r>
      <w:bookmarkEnd w:id="131"/>
      <w:bookmarkStart w:id="132" w:name="_Toc89446025"/>
      <w:bookmarkStart w:id="133" w:name="_Toc136357379"/>
    </w:p>
    <w:p>
      <w:pPr>
        <w:pStyle w:val="P2"/>
      </w:pPr>
      <w:bookmarkEnd w:id="120"/>
      <w:bookmarkEnd w:id="130"/>
      <w:bookmarkStart w:id="134" w:name="_Toc172289140"/>
      <w:bookmarkStart w:id="135" w:name="_Toc188429255"/>
      <w:bookmarkStart w:id="136" w:name="pf_hushållningsbestämmelserenl3kap_mb01"/>
      <w:r>
        <w:t>HUSHÅLLNINGSBESTÄMMELSER ENLIGT 3 KAP. MILJÖBALKEN</w:t>
      </w:r>
      <w:bookmarkEnd w:id="132"/>
      <w:bookmarkEnd w:id="133"/>
      <w:bookmarkEnd w:id="134"/>
      <w:bookmarkEnd w:id="135"/>
    </w:p>
    <w:p>
      <w:r>
        <w:t xml:space="preserve">Enligt 3 kap. Miljöbalken ska mark- och vattenområden användas för det eller de ändamål för vilka områdena är mest lämpade med hänsyn till beskaffenhet och läge samt föreliggande behov. Företräde skall ges sådan användning som medför en från allmän synpunkt god hushållning. </w:t>
      </w:r>
    </w:p>
    <w:p>
      <w:pPr>
        <w:pStyle w:val="P3"/>
      </w:pPr>
      <w:bookmarkEnd w:id="136"/>
      <w:bookmarkStart w:id="137" w:name="_Toc89446026"/>
      <w:bookmarkStart w:id="138" w:name="_Toc136357380"/>
      <w:bookmarkStart w:id="139" w:name="_Toc172289141"/>
      <w:bookmarkStart w:id="140" w:name="_Toc184299384"/>
      <w:bookmarkStart w:id="141" w:name="_Toc188429256"/>
      <w:bookmarkStart w:id="142" w:name="_Toc178943410"/>
      <w:bookmarkStart w:id="143" w:name="pf_ekologisktsärskiltkänsligaområden01"/>
      <w:bookmarkStart w:id="144" w:name="pf_skogsbruk01"/>
      <w:bookmarkStart w:id="145" w:name="pf_jordbruksmark01"/>
      <w:r>
        <w:t>JORDBRUKSMARK</w:t>
      </w:r>
      <w:bookmarkEnd w:id="137"/>
      <w:bookmarkEnd w:id="138"/>
      <w:r>
        <w:t>, SKOGSBRUK OCH EKOLOGISKT SÄRSKLIT KÄNSLIGA OMRÅDEN</w:t>
      </w:r>
      <w:bookmarkEnd w:id="139"/>
      <w:bookmarkEnd w:id="140"/>
      <w:bookmarkEnd w:id="141"/>
      <w:bookmarkEnd w:id="142"/>
    </w:p>
    <w:p>
      <w:r>
        <w:t xml:space="preserve">Planområdet omfattar varken jordbruksmark, skogsbruk eller ekologiskt särskilt känsliga områden. </w:t>
      </w:r>
      <w:bookmarkEnd w:id="143"/>
      <w:bookmarkEnd w:id="144"/>
      <w:bookmarkEnd w:id="145"/>
    </w:p>
    <w:p>
      <w:pPr>
        <w:pStyle w:val="P3"/>
      </w:pPr>
      <w:bookmarkStart w:id="146" w:name="_Toc89446028"/>
      <w:bookmarkStart w:id="147" w:name="_Toc188429257"/>
      <w:bookmarkStart w:id="148" w:name="_Toc178943411"/>
      <w:bookmarkStart w:id="149" w:name="_Toc184299385"/>
      <w:bookmarkStart w:id="150" w:name="_Toc172289142"/>
      <w:bookmarkStart w:id="151" w:name="_Toc136357381"/>
      <w:bookmarkStart w:id="152" w:name="pf_oexploateradeområden01"/>
      <w:r>
        <w:t>OEXPLOATERADE OMRÅDEN</w:t>
      </w:r>
      <w:bookmarkEnd w:id="146"/>
      <w:bookmarkEnd w:id="147"/>
      <w:bookmarkEnd w:id="148"/>
      <w:bookmarkEnd w:id="149"/>
      <w:bookmarkEnd w:id="150"/>
      <w:bookmarkEnd w:id="151"/>
    </w:p>
    <w:p>
      <w:r>
        <w:t xml:space="preserve">Marken inom planområdet är ianspråktagen med villabebyggelse och flerbostadshus och tillhörande parkering och utegård. Förekomsten av naturvärden i området är därför begränsad. </w:t>
      </w:r>
    </w:p>
    <w:p>
      <w:pPr>
        <w:pStyle w:val="P2"/>
      </w:pPr>
      <w:bookmarkEnd w:id="152"/>
      <w:bookmarkStart w:id="153" w:name="_Toc89446030"/>
      <w:bookmarkStart w:id="154" w:name="_Toc188429258"/>
      <w:bookmarkStart w:id="155" w:name="_Toc172289143"/>
      <w:bookmarkStart w:id="156" w:name="_Toc136357382"/>
      <w:bookmarkStart w:id="157" w:name="pf_miljökvalitetsnormer01"/>
      <w:r>
        <w:t>MILJÖKVALITETSNORMER</w:t>
      </w:r>
      <w:bookmarkEnd w:id="153"/>
      <w:bookmarkEnd w:id="154"/>
      <w:bookmarkEnd w:id="155"/>
      <w:bookmarkEnd w:id="156"/>
    </w:p>
    <w:p>
      <w:r>
        <w:t xml:space="preserve">Miljökvalitetsnormer är föreskrifter i Miljöbalken om kvaliteten på mark, vatten, luft eller miljön i övrigt. Miljökvalitetsnormerna anger bland annat förorenings- och störningsnivåer som inte får överskridas. </w:t>
      </w:r>
    </w:p>
    <w:p>
      <w:pPr>
        <w:pStyle w:val="P3"/>
      </w:pPr>
      <w:bookmarkEnd w:id="157"/>
      <w:bookmarkStart w:id="158" w:name="_Toc89446031"/>
      <w:bookmarkStart w:id="159" w:name="_Toc188429259"/>
      <w:bookmarkStart w:id="160" w:name="_Toc178943413"/>
      <w:bookmarkStart w:id="161" w:name="_Toc184299387"/>
      <w:bookmarkStart w:id="162" w:name="_Toc172289144"/>
      <w:bookmarkStart w:id="163" w:name="_Toc136357383"/>
      <w:bookmarkStart w:id="164" w:name="pf_luft01"/>
      <w:r>
        <w:t>LUFT</w:t>
      </w:r>
      <w:bookmarkEnd w:id="158"/>
      <w:bookmarkEnd w:id="159"/>
      <w:bookmarkEnd w:id="160"/>
      <w:bookmarkEnd w:id="161"/>
      <w:bookmarkEnd w:id="162"/>
      <w:bookmarkEnd w:id="163"/>
    </w:p>
    <w:p>
      <w:r>
        <w:t xml:space="preserve">Kronobergs Luftvårdsförbund har presenterat 2022 års siffror för luftkvaliteten i länet och Lessebo kommun. I mätningarna mäts andelen kvävedioxid (NO2) i luften. Kvävedioxider är det som bildas från luftens kväve eller kvävet från bränsle vid bränsleförbränning i exempelvis fordonstrafik, arbetsmaskiner och värmeanläggningar. I mätningarna ingår även luftpartiklar som mäts i storlekarna PM10 och PM2,5. Luftpartiklar kommer främst från däckslitage, sand, långväga transporter, eldning, damm och havssalt. Mätningarna visar att utomhusluften i kommunen överlag håller en god kvalitet. Som jämförelse är WHO:s nya riktvärde till miljökvalitetsmålet Frisk luft för ämnet PM10, en nivå som inte ska överstiga 15 mikrogram per kubikmeter luft. Den senaste mätningen i Lessebo kommun som genomfördes år 2022 visar en nivå på 9 mikrogram per kubikmeter luft. Kommande mätningar i Lessebo kommun planeras enligt Kronobergs Luftvårdsförbund att genomföras år 2025 respektive år 2027. </w:t>
      </w:r>
    </w:p>
    <w:p>
      <w:r>
        <w:t xml:space="preserve">Generellt låg halterna för både PM10 och kvävedioxid (NO₂) under de gränsvärden som anges i miljömålet "Frisk luft," även om variationer förekommer mellan åren beroende på trafik och väderförhållanden. </w:t>
      </w:r>
    </w:p>
    <w:p>
      <w:r>
        <w:t>Resultatet från mätningarna visade att gällande normer för luftföroreningar inte överskrids.</w:t>
      </w:r>
    </w:p>
    <w:p>
      <w:pPr>
        <w:pStyle w:val="P3"/>
      </w:pPr>
      <w:bookmarkEnd w:id="164"/>
      <w:bookmarkStart w:id="165" w:name="_Toc89446032"/>
      <w:bookmarkStart w:id="166" w:name="_Toc188429260"/>
      <w:bookmarkStart w:id="167" w:name="_Toc178943414"/>
      <w:bookmarkStart w:id="168" w:name="_Toc184299388"/>
      <w:bookmarkStart w:id="169" w:name="_Toc172289145"/>
      <w:bookmarkStart w:id="170" w:name="_Toc136357384"/>
      <w:bookmarkStart w:id="171" w:name="pf_vatten01"/>
      <w:r>
        <w:t>VATTEN</w:t>
      </w:r>
      <w:bookmarkEnd w:id="165"/>
      <w:bookmarkEnd w:id="166"/>
      <w:bookmarkEnd w:id="167"/>
      <w:bookmarkEnd w:id="168"/>
      <w:bookmarkEnd w:id="169"/>
      <w:bookmarkEnd w:id="170"/>
    </w:p>
    <w:p>
      <w:r>
        <w:t xml:space="preserve">EU:s vattendirektiv har införts i Miljöbalken genom förordningen om förvaltning av kvaliteten på vattenmiljön (SFS 2004:660) och i enlighet med detta har Vattenmyndigheten beslutat om miljökvalitetsnormer, förvaltningsplaner samt åtgärdsprogram för i princip alla vattenresurser, såväl yt- som grundvatten. Miljökvalitetsnormerna formuleras för den status som bedöms kunna uppnå och vidmakthållas i vattenresursen. För sjöar och vattendrag ska god ekologisk status uppnås till år 2027 eller år 2045 enligt beslutad miljökvalitetsnorm 2021-05-31. </w:t>
      </w:r>
    </w:p>
    <w:p>
      <w:pPr>
        <w:rPr>
          <w:b w:val="1"/>
          <w:bCs w:val="1"/>
        </w:rPr>
      </w:pPr>
      <w:r>
        <w:t>Miljökvalitetsnormer är ett juridiskt styrmedel som regleras i 5 kap. Miljöbalken. Det förväntas att alla verksamheter och samhällssektor i förhållande till sina respektive belastningar medverkar till att god status kan uppnås. Detta är särskilt lämpligt att beakta i samband med framtagande av en detaljplan.</w:t>
      </w:r>
    </w:p>
    <w:p>
      <w:r>
        <w:t xml:space="preserve">Huvudavrinningsområde är Ronnebyån och delavrinningsområde är utloppet i Rottnen. </w:t>
      </w:r>
    </w:p>
    <w:p>
      <w:r>
        <w:t xml:space="preserve">Aktuellt planområde berör vattenförekomsterna/recipienterna Ronnebyån (SE82000) och Rottnen (SE629022-146127). Lyckebyån och Djupgöls vatten bedöms vara inom klassificeringen naturlig. </w:t>
      </w:r>
    </w:p>
    <w:p>
      <w:r>
        <w:t xml:space="preserve">Ronnebyåns ekologiska status uppnår klassificeringen måttlig med avseende på fisk och hydromorfologi, och dess kemiska status klassificeras som ej god, på grund av de överskridande ämnena bromerad difenyleter och kvicksilver. </w:t>
      </w:r>
    </w:p>
    <w:p>
      <w:r>
        <w:t>Rottnens ekologiska status klassas till måttligt på grund av särskilt förorenade ämnen, och dess kemiska status klassificeras som ej god, på grund av de överskridande ämnena kadimun, bly, bromerad difenyleter och kvicksilver, samt på grund av att gränsvärdet för koppar i ytvatten överskrids.</w:t>
      </w:r>
    </w:p>
    <w:p>
      <w:r>
        <w:t>Området ligger inom vattenskyddsområde.</w:t>
      </w:r>
    </w:p>
    <w:p>
      <w:pPr>
        <w:pStyle w:val="P3"/>
      </w:pPr>
      <w:bookmarkEnd w:id="171"/>
      <w:bookmarkStart w:id="172" w:name="_Toc89446033"/>
      <w:bookmarkStart w:id="173" w:name="_Toc188429261"/>
      <w:bookmarkStart w:id="174" w:name="_Toc178943415"/>
      <w:bookmarkStart w:id="175" w:name="_Toc184299389"/>
      <w:bookmarkStart w:id="176" w:name="_Toc172289146"/>
      <w:bookmarkStart w:id="177" w:name="_Toc136357385"/>
      <w:bookmarkStart w:id="178" w:name="pf_buller01"/>
      <w:r>
        <w:t>BULLER</w:t>
      </w:r>
      <w:bookmarkEnd w:id="172"/>
      <w:bookmarkEnd w:id="173"/>
      <w:bookmarkEnd w:id="174"/>
      <w:bookmarkEnd w:id="175"/>
      <w:bookmarkEnd w:id="176"/>
      <w:bookmarkEnd w:id="177"/>
    </w:p>
    <w:p>
      <w:r>
        <w:t>Riksdagen har i förordning (2015:216) om trafikbuller vid bostadsbyggande antagit riktvärden utomhus vid nybyggnad av bostäder, gällande från 1 juni 2015. Från den 1 juli 2017 har justeringar av förordningen gjorts i samband med den beslutande förändringen 2017 (SFS 2017:359). Dessa riktvärden kan tillämpas i planer påbörjade efter 2 januari 2015. Bostäder bör därför lokaliseras så att ljudnivåer från spårtrafik och vägrar inte bör överstiga nedanstående riktvärden;</w:t>
      </w:r>
    </w:p>
    <w:p>
      <w:r>
        <w:t xml:space="preserve">Utomhus vid fasad – 60 dBA ekvivalent ljudnivå. Om 60 dBA ekvivalent ljudnivå ändå överskrids bör minst hälften av alla bostadsrum i en bostad vara vända mot en sida där 55 dBA ekvivalent ljudnivå inte överskrids vid fasaden och där 70 dBA maximal ljudnivå inte överskrids nattetid kl. 22.00 – 06.00. För en bostad om högst 35 kvadratmeter gäller i stället att bullret inte bör överskrida 65 dBA ekvivalent ljudnivå vid bostadsbyggnadens fasad. </w:t>
      </w:r>
    </w:p>
    <w:p>
      <w:r>
        <w:t>Uteplats – Om 70 dBA maximal ljudnivå ändå överskrids bör nivån inte överskridas med mer än 10 dBA och max 5 ggr/timme under dagtid 06.00 – 22.00.</w:t>
      </w:r>
    </w:p>
    <w:p>
      <w:r>
        <w:t>Trafikverket har 2020 mätt årsmedeldygnstrafik längs med Storgatan vägnummer 834, som visar ett ÅDT på 840 fordon/dygn (med reservation för påverkan av COVID-19).</w:t>
      </w:r>
    </w:p>
    <w:p>
      <w:r>
        <w:t>Hastighetsbegränsningen på Storgatan är 40 km/tim. En beräkning utifrån hastighet på 40 km/h ges bullernivåer under 55 dBA ekvivalent ljudnivå vid en byggnadsfasad 10 meter från vägen enligt Boverkets skrift ”Hur mycket bullrar vägtrafiken?”. Detta är under riktvärdena för buller vid bostadsbyggnader och uteplatser.</w:t>
      </w:r>
    </w:p>
    <w:p>
      <w:pPr>
        <w:rPr>
          <w:b w:val="1"/>
          <w:bCs w:val="1"/>
        </w:rPr>
      </w:pPr>
      <w:bookmarkStart w:id="179" w:name="_Toc89446034"/>
      <w:bookmarkStart w:id="180" w:name="_Toc136357386"/>
      <w:r>
        <w:rPr>
          <w:b w:val="1"/>
          <w:bCs w:val="1"/>
        </w:rPr>
        <w:t>Framtida prognos</w:t>
        <w:br w:type="textWrapping"/>
      </w:r>
      <w:r>
        <w:t xml:space="preserve">Trafikmängden fram till år 2040 bedöms öka. Detta dels på grund av att Hovmantorps samhälle är en tätort i utveckling. Det innebär ett ökat befolkningsunderlag och troligen ökad mängd persontrafik. Samtidigt innebär ett ökat befolkningsunderlag även bättre förutsättningar för ett utökat kollektivtrafiknät, med tätare avgångar, vilket bedöms kunna attrahera fler till att välja ett kollektivt färdmedel och därmed en minskad användning av personbilsfordon. </w:t>
      </w:r>
    </w:p>
    <w:p>
      <w:r>
        <w:t>Med EU:s förslag om förbud mot försäljning av nya bensin- och dieselbilar från år 2035, för att alla bilar ska vara koldioxidneutrala år 2050, bedöms innehavet av eldrivna bilar öka. En ökning av dessa transportmedel innebär en lägre bullernivå än en fossildrivet trasportsmedel.</w:t>
      </w:r>
    </w:p>
    <w:p>
      <w:r>
        <w:t xml:space="preserve">En sannolik prognos för framtida trafikmängd till år 2040 och till år 2065 har genomförts med stöd i Trafikverkets PM </w:t>
      </w:r>
      <w:bookmarkStart w:id="181" w:name="_Hlk149811427"/>
      <w:r>
        <w:t>”Trafikuppräkningstal” som togs fram år 2023.</w:t>
      </w:r>
      <w:bookmarkEnd w:id="181"/>
      <w:r>
        <w:t xml:space="preserve"> En bedömning av mängden ökad trafikmängd redovisas regionvis. Mätningarna för trafiktillväxt för personbil från år 2023 visar en ökning av fordonskilometer på 32 % (kvot) mellan år 2018–2040, och en ökning på 61 % (kvot) mellan år 2017-2065. Som nämns i Trafikverkets PM är det viktigt att ta hänsyn till att resultatet bygger på flera kommuners genomsnittliga trafikutveckling och tar inte hänsyn till lokala avvikelser. De menar att det därför kan vara stora skillnader mellan kommuner beroende på befolknings- och arbetsmarknadsutveckling. Vid användning av talen bör man underbygga att dessa är tillämpliga samt göra en rimlighetsbedömning, exempelvis genom att titta på ortens förutsättningar, på hur trafikutvecklingen varit historiskt, vilken exploatering som förväntas i närområdet, genomfartstrafik m.m.</w:t>
      </w:r>
    </w:p>
    <w:p>
      <w:r>
        <w:t xml:space="preserve">Inom region Kronoberg som Lessebo kommun tillhör, ingår även kommunerna Växjö, Uppvidinge, Tingsryd, Alvesta, Älmhult, Markaryd och Ljungby. Lessebo kommun är den kommun i Kronobergs län med lägst befolkningsmängd. Detta behöver tas hänsyn till vid användningen av resultatet. Vid en annan bullerräkning i närområdet utgick beräkningarna för en uppskattad ökning till 25 %. Detta var i ett område med högre andel genomfartstrafik. </w:t>
      </w:r>
    </w:p>
    <w:p>
      <w:r>
        <w:t>Vid beräkning har därför en trafikökning på 25% för ÅDT mellan åren 2017-2040, samt en dubblering för åren 2017-2065 på 50 %, använts. Resultatet för prognosen visar värden under riktvärdena för buller vid bostadsbyggnader och uteplatser.</w:t>
      </w:r>
    </w:p>
    <w:tbl>
      <w:tblPr>
        <w:tblStyle w:val="T2"/>
        <w:tblW w:w="8931" w:type="dxa"/>
        <w:tblInd w:w="-856" w:type="dxa"/>
        <w:tblLook w:val="04A0"/>
      </w:tblPr>
      <w:tblGrid/>
      <w:tr>
        <w:tc>
          <w:tcPr>
            <w:tcW w:w="1418"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 xml:space="preserve">Gata </w:t>
            </w:r>
          </w:p>
        </w:tc>
        <w:tc>
          <w:tcPr>
            <w:tcW w:w="2089"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ÅDT, dagens situation (2022)</w:t>
            </w:r>
          </w:p>
        </w:tc>
        <w:tc>
          <w:tcPr>
            <w:tcW w:w="1044"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Ökning (25%)</w:t>
            </w:r>
          </w:p>
        </w:tc>
        <w:tc>
          <w:tcPr>
            <w:tcW w:w="1223"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 xml:space="preserve">ÅDT, år 2040 </w:t>
            </w:r>
          </w:p>
        </w:tc>
        <w:tc>
          <w:tcPr>
            <w:tcW w:w="1299"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Skyltad hastighet</w:t>
            </w:r>
          </w:p>
        </w:tc>
        <w:tc>
          <w:tcPr>
            <w:tcW w:w="1858" w:type="dxa"/>
            <w:tcBorders>
              <w:top w:val="single" w:sz="4" w:space="0" w:shadow="0" w:frame="0"/>
              <w:left w:val="single" w:sz="4" w:space="0" w:shadow="0" w:frame="0"/>
              <w:bottom w:val="single" w:sz="4" w:space="0" w:shadow="0" w:frame="0"/>
              <w:right w:val="single" w:sz="4" w:space="0" w:shadow="0" w:frame="0"/>
            </w:tcBorders>
            <w:shd w:val="clear" w:color="auto" w:fill="F4E7DD" w:themeFill="accent5" w:themeFillTint="32"/>
            <w:hideMark/>
          </w:tcPr>
          <w:p>
            <w:pPr>
              <w:spacing w:lineRule="auto" w:line="288" w:after="160" w:beforeAutospacing="0" w:afterAutospacing="0"/>
              <w:rPr>
                <w:b w:val="1"/>
                <w:bCs w:val="1"/>
              </w:rPr>
            </w:pPr>
            <w:r>
              <w:rPr>
                <w:b w:val="1"/>
                <w:bCs w:val="1"/>
              </w:rPr>
              <w:t>Bullernivå (10m)</w:t>
            </w:r>
          </w:p>
        </w:tc>
      </w:tr>
      <w:tr>
        <w:tc>
          <w:tcPr>
            <w:tcW w:w="1418"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Storgatan (väg 834)</w:t>
            </w:r>
          </w:p>
        </w:tc>
        <w:tc>
          <w:tcPr>
            <w:tcW w:w="2089"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840 (2020) f/d</w:t>
            </w:r>
          </w:p>
        </w:tc>
        <w:tc>
          <w:tcPr>
            <w:tcW w:w="1044"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210</w:t>
            </w:r>
          </w:p>
        </w:tc>
        <w:tc>
          <w:tcPr>
            <w:tcW w:w="1223"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1050 f/d</w:t>
            </w:r>
          </w:p>
        </w:tc>
        <w:tc>
          <w:tcPr>
            <w:tcW w:w="1299"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40 km/h</w:t>
            </w:r>
          </w:p>
        </w:tc>
        <w:tc>
          <w:tcPr>
            <w:tcW w:w="1858"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Ca 55 dBA</w:t>
            </w:r>
          </w:p>
        </w:tc>
      </w:tr>
    </w:tbl>
    <w:p>
      <w:pPr>
        <w:pStyle w:val="P2"/>
      </w:pPr>
      <w:bookmarkEnd w:id="178"/>
      <w:bookmarkEnd w:id="179"/>
      <w:bookmarkEnd w:id="180"/>
      <w:bookmarkStart w:id="182" w:name="_Toc89446035"/>
      <w:bookmarkStart w:id="183" w:name="_Toc188429262"/>
      <w:bookmarkStart w:id="184" w:name="_Toc172289148"/>
      <w:bookmarkStart w:id="185" w:name="_Toc136357387"/>
      <w:r>
        <w:t>MILJÖ</w:t>
      </w:r>
      <w:bookmarkEnd w:id="182"/>
      <w:bookmarkEnd w:id="183"/>
      <w:bookmarkEnd w:id="184"/>
      <w:bookmarkEnd w:id="185"/>
    </w:p>
    <w:p>
      <w:pPr>
        <w:pStyle w:val="P3"/>
      </w:pPr>
      <w:bookmarkStart w:id="186" w:name="_Toc89446036"/>
      <w:bookmarkStart w:id="187" w:name="_Toc178943417"/>
      <w:bookmarkStart w:id="188" w:name="_Toc184299391"/>
      <w:bookmarkStart w:id="189" w:name="_Toc188429263"/>
      <w:bookmarkStart w:id="190" w:name="_Toc172289149"/>
      <w:bookmarkStart w:id="191" w:name="_Toc136357388"/>
      <w:bookmarkStart w:id="192" w:name="pf_strandskydd01"/>
      <w:r>
        <w:t>STRANDSKYDD</w:t>
      </w:r>
      <w:bookmarkEnd w:id="186"/>
      <w:bookmarkEnd w:id="187"/>
      <w:bookmarkEnd w:id="188"/>
      <w:bookmarkEnd w:id="189"/>
      <w:bookmarkEnd w:id="190"/>
      <w:bookmarkEnd w:id="191"/>
      <w:r>
        <w:t xml:space="preserve"> </w:t>
      </w:r>
    </w:p>
    <w:p>
      <w:r>
        <w:t xml:space="preserve">Planområdet ligger mindre än 200 m från Rottnen och mindre än 100 m från bäck som rinner ner i Rottnen, vilket är inom område för strandskydd. Befintlig plan antogs år 1967 och generellt strandskydd infördes inte förrän år 1975. I och med att detta endast är en ändringsplan återinträder/träder inte strandskyddet in som det hade gjort om en ny plan för området togs fram. </w:t>
      </w:r>
      <w:bookmarkEnd w:id="192"/>
    </w:p>
    <w:p>
      <w:pPr>
        <w:pStyle w:val="P3"/>
      </w:pPr>
      <w:bookmarkStart w:id="193" w:name="_Toc89446037"/>
      <w:bookmarkStart w:id="194" w:name="_Toc178943418"/>
      <w:bookmarkStart w:id="195" w:name="_Toc184299392"/>
      <w:bookmarkStart w:id="196" w:name="_Toc188429264"/>
      <w:bookmarkStart w:id="197" w:name="_Toc172289150"/>
      <w:bookmarkStart w:id="198" w:name="_Toc136357389"/>
      <w:bookmarkStart w:id="199" w:name="pf_dagvatten01"/>
      <w:r>
        <w:t>DAGVATTEN</w:t>
      </w:r>
      <w:bookmarkEnd w:id="193"/>
      <w:bookmarkEnd w:id="194"/>
      <w:bookmarkEnd w:id="195"/>
      <w:bookmarkEnd w:id="196"/>
      <w:bookmarkEnd w:id="197"/>
      <w:bookmarkEnd w:id="198"/>
    </w:p>
    <w:p>
      <w:r>
        <w:t>Området för detaljplaneändringen ligger inom kommunens verksamhetsområde för dagvatten. Kommunala ledningar för bortförsel av dagvatten finns i inom planområdet samt i gatumark strax utanför.</w:t>
      </w:r>
    </w:p>
    <w:p>
      <w:r>
        <w:t>Ledningsnätet kan inte dimensioneras för att klara de stora flödena som uppstår i samband med skyfall. Dagvattnet kommer då under korta tider att ansamlas som ytvatten. Det är då viktigt att eftersträva att dagvatten styrs så att omkringliggande områden inte översvämmas på ett oönskat sätt.</w:t>
      </w:r>
    </w:p>
    <w:p>
      <w:r>
        <w:t>Idag tas dagvattnet även omhand lokalt genom infiltration på fastigheterna, i syfte att belastningen på ledningsnät och angränsande fastigheter ska minimeras.</w:t>
      </w:r>
    </w:p>
    <w:p>
      <w:r>
        <w:t xml:space="preserve">Idag består delar av planområdets markyta av genomsläppligt underlag, i form av gräs. Föreslagen ändring innebär också en minskad exploateringsgrad på 12% i jämförelse med befintlig plan om bebyggelse endast skulle uppföras i 1 våning. Största delen av befintlig prickmark behålls, vilket begränsar bebyggelsens utbredning. </w:t>
      </w:r>
    </w:p>
    <w:p>
      <w:pPr>
        <w:pStyle w:val="P2"/>
      </w:pPr>
      <w:bookmarkEnd w:id="199"/>
      <w:bookmarkStart w:id="200" w:name="_Toc89446038"/>
      <w:bookmarkStart w:id="201" w:name="_Toc188429265"/>
      <w:bookmarkStart w:id="202" w:name="_Toc172289151"/>
      <w:bookmarkStart w:id="203" w:name="_Toc136357390"/>
      <w:r>
        <w:t>HÄLSA OCH SÄKERHET</w:t>
      </w:r>
      <w:bookmarkEnd w:id="200"/>
      <w:bookmarkEnd w:id="201"/>
      <w:bookmarkEnd w:id="202"/>
      <w:bookmarkEnd w:id="203"/>
    </w:p>
    <w:p>
      <w:pPr>
        <w:pStyle w:val="P3"/>
      </w:pPr>
      <w:bookmarkStart w:id="204" w:name="_Toc172289152"/>
      <w:bookmarkStart w:id="205" w:name="_Toc188429266"/>
      <w:bookmarkStart w:id="206" w:name="_Toc184299394"/>
      <w:bookmarkStart w:id="207" w:name="_Toc178943420"/>
      <w:bookmarkStart w:id="208" w:name="pf_omgivningsbuller01"/>
      <w:bookmarkStart w:id="209" w:name="_Toc89446040"/>
      <w:bookmarkStart w:id="210" w:name="_Toc136357391"/>
      <w:r>
        <w:t>OMGIVNINGSBULLER</w:t>
      </w:r>
      <w:bookmarkEnd w:id="204"/>
      <w:bookmarkEnd w:id="205"/>
      <w:bookmarkEnd w:id="206"/>
      <w:bookmarkEnd w:id="207"/>
      <w:r>
        <w:t xml:space="preserve"> </w:t>
      </w:r>
    </w:p>
    <w:p>
      <w:r>
        <w:t xml:space="preserve">Planförslaget förväntas inte innebära någon förändring i trafikflödet till och från planområdet och därmed inte öka risken för trafik- och verksamhetsbuller. Föreslagen markanvändning medför ingen ökning av tung trafik. </w:t>
      </w:r>
    </w:p>
    <w:p>
      <w:pPr>
        <w:pStyle w:val="P3"/>
      </w:pPr>
      <w:bookmarkEnd w:id="208"/>
      <w:bookmarkStart w:id="211" w:name="_Toc172289153"/>
      <w:bookmarkStart w:id="212" w:name="_Toc188429267"/>
      <w:bookmarkStart w:id="213" w:name="_Toc184299395"/>
      <w:bookmarkStart w:id="214" w:name="_Toc178943421"/>
      <w:bookmarkStart w:id="215" w:name="pf_riskförolyckor01"/>
      <w:r>
        <w:t>RISK FÖR OLYCKOR</w:t>
      </w:r>
      <w:bookmarkEnd w:id="209"/>
      <w:bookmarkEnd w:id="210"/>
      <w:bookmarkEnd w:id="211"/>
      <w:bookmarkEnd w:id="212"/>
      <w:bookmarkEnd w:id="213"/>
      <w:bookmarkEnd w:id="214"/>
      <w:r>
        <w:t xml:space="preserve"> </w:t>
      </w:r>
    </w:p>
    <w:p>
      <w:bookmarkStart w:id="216" w:name="_Toc89446039"/>
      <w:bookmarkStart w:id="217" w:name="_Toc136357392"/>
      <w:r>
        <w:t>Det bedöms inte föreligga några risker kring olyckor.</w:t>
      </w:r>
    </w:p>
    <w:p>
      <w:pPr>
        <w:pStyle w:val="P3"/>
      </w:pPr>
      <w:bookmarkEnd w:id="215"/>
      <w:bookmarkEnd w:id="216"/>
      <w:bookmarkEnd w:id="217"/>
      <w:bookmarkStart w:id="218" w:name="_Toc89446041"/>
      <w:bookmarkStart w:id="219" w:name="_Toc184299396"/>
      <w:bookmarkStart w:id="220" w:name="_Toc188429268"/>
      <w:bookmarkStart w:id="221" w:name="_Toc172289154"/>
      <w:bookmarkStart w:id="222" w:name="_Toc178943422"/>
      <w:bookmarkStart w:id="223" w:name="_Toc136357395"/>
      <w:bookmarkStart w:id="224" w:name="pf_riskföröversvämning01"/>
      <w:bookmarkStart w:id="225" w:name="_Toc89446042"/>
      <w:bookmarkStart w:id="226" w:name="_Toc136357393"/>
      <w:r>
        <w:t>RISK FÖR ÖVERSVÄMNING</w:t>
      </w:r>
      <w:bookmarkEnd w:id="218"/>
      <w:bookmarkEnd w:id="219"/>
      <w:bookmarkEnd w:id="220"/>
      <w:bookmarkEnd w:id="221"/>
      <w:bookmarkEnd w:id="222"/>
      <w:bookmarkEnd w:id="223"/>
      <w:r>
        <w:t xml:space="preserve"> </w:t>
      </w:r>
    </w:p>
    <w:p>
      <w:r>
        <w:t>Utvärdering av översvämningsrisker har gjorts med beräkningsverktyget Scalgo Live för att kartera lågpunkter och rinnvägar vid den utvalda nettonederbörden. Scalgo Live är ett GIS-baserat verktyg som används för att analysera höjddata ur ett ytvattenperspektiv. I skyfallsanalysen används både terrängdata och vattenvolymer för att identifiera vilka områden som översvämmas vid en given vattenvolym. Utvärderingen av översvämningsrisker vid skyfall i Scalgo Live utgår från ett klimatkompenserat 100-årsregn med 1 timmes varaktighet med en volym på 80 mm. Regnvolymen har beräknats med Dahlströms formel (Svenskt Vatten Utveckling, 2010). Klimatfaktorn 25% har använts, vilket är i det övre intervall av förändring som prognosticerats för extrem 1-timmesnederbörd i Kronobergs län till slutet av seklet (SMHI, 2015). Denna klimatfaktor överensstämmer även med rekommendationen från P110 (Svenskt Vatten, 2016).</w:t>
      </w:r>
    </w:p>
    <w:p>
      <w:r>
        <w:t xml:space="preserve">Nedanstående karta visar att det inte finns några större lågpunkter inom eller nära området som ändringen av detaljplanen omfattar. </w:t>
      </w:r>
    </w:p>
    <w:p>
      <w:pPr>
        <w:rPr>
          <w:noProof w:val="1"/>
        </w:rPr>
      </w:pPr>
      <w:r>
        <w:t>Observera att kartan påvisar befintliga förhållanden och tar inte hänsyn till exploatering. För att garantera att ingen risk för översvämning föreligger bör den nytillkommande bebyggelse i möjligaste mån anpassas till omgivande terräng. Marken bedöms översiktligt vara byggbar och risken för påtagliga konsekvenser av översvämning vid 100-årsflöden är således låg.</w:t>
      </w:r>
    </w:p>
    <w:p>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margin">
                  <wp:posOffset>-278130</wp:posOffset>
                </wp:positionH>
                <wp:positionV relativeFrom="paragraph">
                  <wp:posOffset>2486025</wp:posOffset>
                </wp:positionV>
                <wp:extent cx="2215515" cy="635"/>
                <wp:effectExtent l="0" t="0" r="0" b="8255"/>
                <wp:wrapTopAndBottom/>
                <wp:docPr id="1694622950" name="Textruta 1"/>
                <wp:cNvGraphicFramePr/>
                <a:graphic xmlns:a="http://schemas.openxmlformats.org/drawingml/2006/main">
                  <a:graphicData uri="http://schemas.microsoft.com/office/word/2010/wordprocessingShape">
                    <wps:wsp>
                      <wps:cNvSpPr txBox="1"/>
                      <wps:spPr>
                        <a:xfrm>
                          <a:off x="0" y="0"/>
                          <a:ext cx="221551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sz w:val="22"/>
                                <w:szCs w:val="22"/>
                                <w:lang w:eastAsia="en-US"/>
                              </w:rPr>
                            </w:pPr>
                            <w:r>
                              <w:t>Karta över lågpunkter och rinnvägar.</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 o:spid="_x0000_s1031" style="position:absolute;width:174.45pt;height:0.05pt;z-index:6;mso-wrap-distance-left:9pt;mso-wrap-distance-top:0pt;mso-wrap-distance-right:9pt;mso-wrap-distance-bottom:0pt;margin-left:-21.9pt;margin-top:195.75pt;mso-position-horizontal:absolute;mso-position-horizontal-relative:margin;mso-position-vertical:absolute;mso-position-vertical-relative:text" o:allowincell="t" fillcolor="#FFFFFF" stroked="f">
                <v:textbox style="mso-fit-shape-to-text:t" inset="0mm,0mm,0mm,0mm">
                  <w:txbxContent>
                    <w:p>
                      <w:pPr>
                        <w:pStyle w:val="P36"/>
                        <w:rPr>
                          <w:rFonts w:ascii="Georgia" w:hAnsi="Georgia" w:eastAsiaTheme="minorHAnsi"/>
                          <w:sz w:val="22"/>
                          <w:szCs w:val="22"/>
                          <w:lang w:eastAsia="en-US"/>
                        </w:rPr>
                      </w:pPr>
                      <w:r>
                        <w:t>Karta över lågpunkter och rinnvägar.</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22" behindDoc="0" locked="0" layoutInCell="1" allowOverlap="1">
            <wp:simplePos x="0" y="0"/>
            <wp:positionH relativeFrom="page">
              <wp:posOffset>1435735</wp:posOffset>
            </wp:positionH>
            <wp:positionV relativeFrom="paragraph">
              <wp:posOffset>0</wp:posOffset>
            </wp:positionV>
            <wp:extent cx="5451475" cy="2449830"/>
            <wp:effectExtent l="0" t="0" r="0" b="7620"/>
            <wp:wrapTopAndBottom/>
            <wp:docPr id="40999052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5" cstate="print"/>
                    <a:srcRect/>
                    <a:stretch>
                      <a:fillRect/>
                    </a:stretch>
                  </pic:blipFill>
                  <pic:spPr bwMode="auto">
                    <a:xfrm>
                      <a:off x="0" y="0"/>
                      <a:ext cx="5451475" cy="2449830"/>
                    </a:xfrm>
                    <a:prstGeom prst="rect"/>
                    <a:noFill/>
                    <a:ln>
                      <a:noFill/>
                    </a:ln>
                  </pic:spPr>
                </pic:pic>
              </a:graphicData>
            </a:graphic>
          </wp:anchor>
        </w:drawing>
      </w:r>
    </w:p>
    <w:p>
      <w:pPr>
        <w:pStyle w:val="P3"/>
      </w:pPr>
      <w:bookmarkEnd w:id="224"/>
      <w:bookmarkStart w:id="227" w:name="_Toc172289155"/>
      <w:bookmarkStart w:id="228" w:name="_Toc184299397"/>
      <w:bookmarkStart w:id="229" w:name="_Toc188429269"/>
      <w:bookmarkStart w:id="230" w:name="_Toc178943423"/>
      <w:bookmarkStart w:id="231" w:name="pf_riskförskred01"/>
      <w:bookmarkStart w:id="232" w:name="pf_riskförerosion01"/>
      <w:bookmarkStart w:id="233" w:name="pf_riskförras01"/>
      <w:r>
        <w:t>RISK FÖR EROSION</w:t>
      </w:r>
      <w:bookmarkEnd w:id="225"/>
      <w:r>
        <w:t>, RAS OCH SKRED</w:t>
      </w:r>
      <w:bookmarkEnd w:id="226"/>
      <w:bookmarkEnd w:id="227"/>
      <w:bookmarkEnd w:id="228"/>
      <w:bookmarkEnd w:id="229"/>
      <w:bookmarkEnd w:id="230"/>
      <w:r>
        <w:t xml:space="preserve"> </w:t>
      </w:r>
    </w:p>
    <w:p>
      <w:r>
        <w:t xml:space="preserve">Marken bedöms inte vara utsatt för någon ökad risk kopplat till påverkan genom erosion, ras och skred. </w:t>
      </w:r>
      <w:bookmarkEnd w:id="231"/>
      <w:bookmarkEnd w:id="232"/>
      <w:bookmarkEnd w:id="233"/>
    </w:p>
    <w:p>
      <w:pPr>
        <w:pStyle w:val="P3"/>
      </w:pPr>
      <w:bookmarkStart w:id="234" w:name="_Toc136357394"/>
      <w:bookmarkStart w:id="235" w:name="_Toc188429270"/>
      <w:bookmarkStart w:id="236" w:name="_Toc178943424"/>
      <w:bookmarkStart w:id="237" w:name="_Toc184299398"/>
      <w:bookmarkStart w:id="238" w:name="_Toc172289156"/>
      <w:bookmarkStart w:id="239" w:name="pf_förorenadmark01"/>
      <w:r>
        <w:t>FÖRORENAD MARK</w:t>
      </w:r>
      <w:bookmarkEnd w:id="234"/>
      <w:bookmarkEnd w:id="235"/>
      <w:bookmarkEnd w:id="236"/>
      <w:bookmarkEnd w:id="237"/>
      <w:bookmarkEnd w:id="238"/>
    </w:p>
    <w:p>
      <w:r>
        <w:t>Enligt Länsstyrelsens EBH (Efterbehandling av förorenade områden) karta finns inga kända markföroreningar inom det avsedda området.</w:t>
      </w:r>
    </w:p>
    <w:p>
      <w:r>
        <w:t xml:space="preserve">Utifrån EBH-kartan finns ca 50 m nordöst om planområdet ett ”Graveri” som bedöms innebära en liten risk för potentiella föroreningar. Ca 50 m sydöst om planområdet ligger Sandviks gamla glasbruk ”Glasindustri” och bedöms innebära en mycket stor risk. </w:t>
      </w:r>
    </w:p>
    <w:p>
      <w:r>
        <w:t>Om föroreningar skulle påträffas vid till exempel markarbeten ska tillsynsmyndigheten genast underrättas enligt 10 kap. Miljöbalken</w:t>
      </w:r>
    </w:p>
    <w:p>
      <w:pPr>
        <w:pStyle w:val="P2"/>
      </w:pPr>
      <w:bookmarkEnd w:id="239"/>
      <w:bookmarkStart w:id="240" w:name="_Toc89446045"/>
      <w:bookmarkStart w:id="241" w:name="_Toc172289157"/>
      <w:bookmarkStart w:id="242" w:name="_Toc188429271"/>
      <w:bookmarkStart w:id="243" w:name="_Toc136357396"/>
      <w:bookmarkStart w:id="244" w:name="pf_geotekniskaförhållanden01"/>
      <w:r>
        <w:t>GEOTEKNISKA FÖRHÅLLANDEN</w:t>
      </w:r>
      <w:bookmarkEnd w:id="240"/>
      <w:bookmarkEnd w:id="241"/>
      <w:bookmarkEnd w:id="242"/>
      <w:bookmarkEnd w:id="243"/>
      <w:r>
        <w:t xml:space="preserve"> </w:t>
      </w:r>
    </w:p>
    <w:p>
      <w:r>
        <w:t xml:space="preserve">Planområdet för detaljplaneändringen har inte föregåtts av någon geoteknisk undersökning. Enligt jordartskartan från Sveriges Geologiska Undersökning (SGU) består jordarten inom planområdet av morän. Jorddjupet inom planområdet uppskattas till 5-20 m och bedöms inneha en medelhög genomsläpplighet. </w:t>
      </w:r>
    </w:p>
    <w:p>
      <w:r>
        <w:t>Bergarten i området är Svecokarelian orogen och består av Granit.</w:t>
      </w:r>
    </w:p>
    <w:p>
      <w:r>
        <w:t xml:space="preserve">Området har en jämnt fördelad höjdnivå som varierar mellan ca 153- 154 möh. </w:t>
      </w:r>
    </w:p>
    <w:p>
      <w:r>
        <w:t xml:space="preserve">Med tanke på den uppskattade jordarten och jorddjupet bedöms marken ha bra hållfastighetsegenskaper och bra genomsläpplighet. Utifrån SGU:s information, befintlig bebyggelse och tänkt markanvändning anses inte en geoteknisk undersökning vara nödvändig för det aktuella området. Närmare undersökningar föreslås göras vid behov, i bygglovsskedet. </w:t>
      </w:r>
      <w:bookmarkEnd w:id="244"/>
    </w:p>
    <w:p>
      <w:pPr>
        <w:pStyle w:val="P3"/>
      </w:pPr>
      <w:bookmarkStart w:id="245" w:name="_Toc89446048"/>
      <w:bookmarkStart w:id="246" w:name="_Toc184299400"/>
      <w:bookmarkStart w:id="247" w:name="_Toc188429272"/>
      <w:bookmarkStart w:id="248" w:name="_Toc172289159"/>
      <w:bookmarkStart w:id="249" w:name="_Toc178943427"/>
      <w:bookmarkStart w:id="250" w:name="_Toc136357398"/>
      <w:bookmarkStart w:id="251" w:name="pf_geotekniskaförhållanden02"/>
      <w:r>
        <w:t>ARKEOLOGI OCH FORNLÄMNINGAR</w:t>
      </w:r>
      <w:bookmarkEnd w:id="245"/>
      <w:bookmarkEnd w:id="246"/>
      <w:bookmarkEnd w:id="247"/>
      <w:bookmarkEnd w:id="248"/>
      <w:bookmarkEnd w:id="249"/>
      <w:bookmarkEnd w:id="250"/>
      <w:r>
        <w:t xml:space="preserve"> </w:t>
      </w:r>
    </w:p>
    <w:p>
      <w:r>
        <w:t xml:space="preserve">Inga kända fornlämningar finns inom området. </w:t>
      </w:r>
    </w:p>
    <w:p>
      <w:r>
        <w:t>Fornlämningar är skyddade enligt Kulturmiljölagen. Enligt lagen fordras Länsstyrelsen tillstånd för att rubba, ta bort, gräva ut, täcka över eller på annat sätt ändra eller skada fornlämning eller dess fornlämningsområde. Se Kulturmiljölagens 2 kap. 10 § anges att ”Om en fornlämning påträffas under grävning eller annat arbete, ska arbetet omedelbart avbrytas till den del fornlämningen berörs. Den som leder arbetet ska omedelbart anmäla förhållandet till Länsstyrelsen. Lag (2013:548)”.</w:t>
      </w:r>
    </w:p>
    <w:p>
      <w:pPr>
        <w:pStyle w:val="P2"/>
      </w:pPr>
      <w:bookmarkEnd w:id="251"/>
      <w:bookmarkStart w:id="252" w:name="_Toc89446051"/>
      <w:bookmarkStart w:id="253" w:name="_Toc172289160"/>
      <w:bookmarkStart w:id="254" w:name="_Toc188429273"/>
      <w:bookmarkStart w:id="255" w:name="_Toc136357399"/>
      <w:bookmarkStart w:id="256" w:name="pf_fysiskmiljö01"/>
      <w:r>
        <w:t>FYSISK MILJÖ</w:t>
      </w:r>
      <w:bookmarkEnd w:id="252"/>
      <w:bookmarkEnd w:id="253"/>
      <w:bookmarkEnd w:id="254"/>
      <w:bookmarkEnd w:id="255"/>
      <w:r>
        <w:t xml:space="preserve"> </w:t>
      </w:r>
    </w:p>
    <w:p>
      <w:r>
        <w:t xml:space="preserve">Området som är avsedd för ändring är idag bebyggt med en villabyggnad och två flerbostadshus i två våningar med källare. Marken består av tomtmark, utegård, gräsmatta, vegetation och parkering. </w:t>
      </w:r>
    </w:p>
    <w:p>
      <w:r>
        <w:t>Kvarteret ligger inom ett bostadsområde med närhet till genomfartsgata, kollektivtrafik i form av buss och tåg, samt en del service och handel. Kvarteret ligger även i närhet till sjön Rottnen som är en värdefull målpunkt i tätorten, med bland annat badplatser och småbåtshamnar.</w:t>
      </w:r>
    </w:p>
    <w:p/>
    <w:p>
      <w:r>
        <w:rPr>
          <w:noProof w:val="1"/>
        </w:rPr>
        <w:drawing>
          <wp:anchor xmlns:wp="http://schemas.openxmlformats.org/drawingml/2006/wordprocessingDrawing" distT="0" distB="0" distL="114300" distR="114300" simplePos="0" relativeHeight="39" behindDoc="0" locked="0" layoutInCell="1" allowOverlap="1">
            <wp:simplePos x="0" y="0"/>
            <wp:positionH relativeFrom="margin">
              <wp:posOffset>2536190</wp:posOffset>
            </wp:positionH>
            <wp:positionV relativeFrom="paragraph">
              <wp:posOffset>2110740</wp:posOffset>
            </wp:positionV>
            <wp:extent cx="2289810" cy="1716405"/>
            <wp:effectExtent l="0" t="0" r="0" b="0"/>
            <wp:wrapTopAndBottom/>
            <wp:docPr id="1440610244"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dpi="0">
                    <a:blip xmlns:r="http://schemas.openxmlformats.org/officeDocument/2006/relationships" r:embed="Relimage6" cstate="print"/>
                    <a:srcRect/>
                    <a:stretch>
                      <a:fillRect/>
                    </a:stretch>
                  </pic:blipFill>
                  <pic:spPr bwMode="auto">
                    <a:xfrm>
                      <a:off x="0" y="0"/>
                      <a:ext cx="2289810" cy="1716405"/>
                    </a:xfrm>
                    <a:prstGeom prst="rect"/>
                    <a:noFill/>
                    <a:ln>
                      <a:noFill/>
                    </a:ln>
                  </pic:spPr>
                </pic:pic>
              </a:graphicData>
            </a:graphic>
          </wp:anchor>
        </w:drawing>
      </w:r>
      <w:r>
        <w:rPr>
          <w:noProof w:val="1"/>
        </w:rPr>
        <mc:AlternateContent>
          <mc:Choice Requires="wps">
            <w:drawing>
              <wp:anchor xmlns:wp="http://schemas.openxmlformats.org/drawingml/2006/wordprocessingDrawing" distT="0" distB="0" distL="114300" distR="114300" simplePos="0" relativeHeight="40" behindDoc="0" locked="0" layoutInCell="1" allowOverlap="1">
                <wp:simplePos x="0" y="0"/>
                <wp:positionH relativeFrom="column">
                  <wp:posOffset>2247900</wp:posOffset>
                </wp:positionH>
                <wp:positionV relativeFrom="paragraph">
                  <wp:posOffset>3892550</wp:posOffset>
                </wp:positionV>
                <wp:extent cx="2863850" cy="189230"/>
                <wp:effectExtent l="0" t="0" r="0" b="1270"/>
                <wp:wrapTopAndBottom/>
                <wp:docPr id="1189588350" name="Textruta 1"/>
                <wp:cNvGraphicFramePr/>
                <a:graphic xmlns:a="http://schemas.openxmlformats.org/drawingml/2006/main">
                  <a:graphicData uri="http://schemas.microsoft.com/office/word/2010/wordprocessingShape">
                    <wps:wsp>
                      <wps:cNvSpPr txBox="1"/>
                      <wps:spPr>
                        <a:xfrm>
                          <a:off x="0" y="0"/>
                          <a:ext cx="2863850" cy="18923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Tidigare Sandviks glasbruk, idag Röda Korset.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2" style="position:absolute;width:225.5pt;height:14.9pt;z-index:40;mso-wrap-distance-left:9pt;mso-wrap-distance-top:0pt;mso-wrap-distance-right:9pt;mso-wrap-distance-bottom:0pt;margin-left:177pt;margin-top:306.5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Tidigare Sandviks glasbruk, idag Röda Korset.</w:t>
                      </w:r>
                    </w:p>
                  </w:txbxContent>
                </v:textbox>
                <w10:wrap type="topAndBottom"/>
              </v:shape>
            </w:pict>
          </mc:Fallback>
        </mc:AlternateContent>
      </w:r>
      <w:r>
        <w:rPr>
          <w:noProof w:val="1"/>
        </w:rPr>
        <mc:AlternateContent>
          <mc:Choice Requires="wps">
            <w:drawing>
              <wp:anchor xmlns:wp="http://schemas.openxmlformats.org/drawingml/2006/wordprocessingDrawing" distT="0" distB="0" distL="114300" distR="114300" simplePos="0" relativeHeight="28" behindDoc="0" locked="0" layoutInCell="1" allowOverlap="1">
                <wp:simplePos x="0" y="0"/>
                <wp:positionH relativeFrom="column">
                  <wp:posOffset>2249170</wp:posOffset>
                </wp:positionH>
                <wp:positionV relativeFrom="paragraph">
                  <wp:posOffset>1828800</wp:posOffset>
                </wp:positionV>
                <wp:extent cx="2337435" cy="154940"/>
                <wp:effectExtent l="0" t="0" r="5715" b="0"/>
                <wp:wrapTopAndBottom/>
                <wp:docPr id="1027730329" name="Textruta 1"/>
                <wp:cNvGraphicFramePr/>
                <a:graphic xmlns:a="http://schemas.openxmlformats.org/drawingml/2006/main">
                  <a:graphicData uri="http://schemas.microsoft.com/office/word/2010/wordprocessingShape">
                    <wps:wsp>
                      <wps:cNvSpPr txBox="1"/>
                      <wps:spPr>
                        <a:xfrm>
                          <a:off x="0" y="0"/>
                          <a:ext cx="2337435" cy="1549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Flerbostadshus på fastighet Runan 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3" style="position:absolute;width:184.05pt;height:12.2pt;z-index:28;mso-wrap-distance-left:9pt;mso-wrap-distance-top:0pt;mso-wrap-distance-right:9pt;mso-wrap-distance-bottom:0pt;margin-left:177.1pt;margin-top:144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Flerbostadshus på fastighet Runan 6.</w:t>
                      </w:r>
                    </w:p>
                  </w:txbxContent>
                </v:textbox>
                <w10:wrap type="topAndBottom"/>
              </v:shape>
            </w:pict>
          </mc:Fallback>
        </mc:AlternateContent>
      </w:r>
      <w:r>
        <w:rPr>
          <w:noProof w:val="1"/>
        </w:rPr>
        <mc:AlternateContent>
          <mc:Choice Requires="wps">
            <w:drawing>
              <wp:anchor xmlns:wp="http://schemas.openxmlformats.org/drawingml/2006/wordprocessingDrawing" distT="0" distB="0" distL="114300" distR="114300" simplePos="0" relativeHeight="38" behindDoc="0" locked="0" layoutInCell="1" allowOverlap="1">
                <wp:simplePos x="0" y="0"/>
                <wp:positionH relativeFrom="column">
                  <wp:posOffset>-336550</wp:posOffset>
                </wp:positionH>
                <wp:positionV relativeFrom="paragraph">
                  <wp:posOffset>3881120</wp:posOffset>
                </wp:positionV>
                <wp:extent cx="2863850" cy="189230"/>
                <wp:effectExtent l="0" t="0" r="0" b="1270"/>
                <wp:wrapTopAndBottom/>
                <wp:docPr id="34644587" name="Textruta 1"/>
                <wp:cNvGraphicFramePr/>
                <a:graphic xmlns:a="http://schemas.openxmlformats.org/drawingml/2006/main">
                  <a:graphicData uri="http://schemas.microsoft.com/office/word/2010/wordprocessingShape">
                    <wps:wsp>
                      <wps:cNvSpPr txBox="1"/>
                      <wps:spPr>
                        <a:xfrm>
                          <a:off x="0" y="0"/>
                          <a:ext cx="2863850" cy="18923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Mindre utegård/lekplats på fastighet Runan 6.</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4" style="position:absolute;width:225.5pt;height:14.9pt;z-index:38;mso-wrap-distance-left:9pt;mso-wrap-distance-top:0pt;mso-wrap-distance-right:9pt;mso-wrap-distance-bottom:0pt;margin-left:-26.5pt;margin-top:305.6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Mindre utegård/lekplats på fastighet Runan 6.</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37" behindDoc="0" locked="0" layoutInCell="1" allowOverlap="1">
            <wp:simplePos x="0" y="0"/>
            <wp:positionH relativeFrom="margin">
              <wp:posOffset>-26670</wp:posOffset>
            </wp:positionH>
            <wp:positionV relativeFrom="paragraph">
              <wp:posOffset>2087245</wp:posOffset>
            </wp:positionV>
            <wp:extent cx="2324100" cy="1742440"/>
            <wp:effectExtent l="0" t="0" r="0" b="0"/>
            <wp:wrapTopAndBottom/>
            <wp:docPr id="1902475611" name="Bildobjekt 3" descr="En bild som visar utomhus, himmel, moln,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75611" name="Bildobjekt 3" descr="En bild som visar utomhus, himmel, moln, växt&#10;&#10;Automatiskt genererad beskrivning"/>
                    <pic:cNvPicPr>
                      <a:picLocks noChangeAspect="1" noChangeArrowheads="1"/>
                    </pic:cNvPicPr>
                  </pic:nvPicPr>
                  <pic:blipFill dpi="0">
                    <a:blip xmlns:r="http://schemas.openxmlformats.org/officeDocument/2006/relationships" r:embed="Relimage7" cstate="print"/>
                    <a:srcRect/>
                    <a:stretch>
                      <a:fillRect/>
                    </a:stretch>
                  </pic:blipFill>
                  <pic:spPr bwMode="auto">
                    <a:xfrm>
                      <a:off x="0" y="0"/>
                      <a:ext cx="2324100" cy="1742440"/>
                    </a:xfrm>
                    <a:prstGeom prst="rect"/>
                    <a:noFill/>
                    <a:ln>
                      <a:noFill/>
                    </a:ln>
                  </pic:spPr>
                </pic:pic>
              </a:graphicData>
            </a:graphic>
          </wp:anchor>
        </w:drawing>
      </w:r>
      <w:r>
        <w:rPr>
          <w:noProof w:val="1"/>
        </w:rPr>
        <mc:AlternateContent>
          <mc:Choice Requires="wps">
            <w:drawing>
              <wp:anchor xmlns:wp="http://schemas.openxmlformats.org/drawingml/2006/wordprocessingDrawing" distT="0" distB="0" distL="114300" distR="114300" simplePos="0" relativeHeight="27" behindDoc="0" locked="0" layoutInCell="1" allowOverlap="1">
                <wp:simplePos x="0" y="0"/>
                <wp:positionH relativeFrom="column">
                  <wp:posOffset>-260350</wp:posOffset>
                </wp:positionH>
                <wp:positionV relativeFrom="paragraph">
                  <wp:posOffset>1797050</wp:posOffset>
                </wp:positionV>
                <wp:extent cx="2337435" cy="154940"/>
                <wp:effectExtent l="0" t="0" r="5715" b="0"/>
                <wp:wrapTopAndBottom/>
                <wp:docPr id="1935103594" name="Textruta 1"/>
                <wp:cNvGraphicFramePr/>
                <a:graphic xmlns:a="http://schemas.openxmlformats.org/drawingml/2006/main">
                  <a:graphicData uri="http://schemas.microsoft.com/office/word/2010/wordprocessingShape">
                    <wps:wsp>
                      <wps:cNvSpPr txBox="1"/>
                      <wps:spPr>
                        <a:xfrm>
                          <a:off x="0" y="0"/>
                          <a:ext cx="2337435" cy="1549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Villabebyggelse på fastighet Runan 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5" style="position:absolute;width:184.05pt;height:12.2pt;z-index:27;mso-wrap-distance-left:9pt;mso-wrap-distance-top:0pt;mso-wrap-distance-right:9pt;mso-wrap-distance-bottom:0pt;margin-left:-20.5pt;margin-top:141.5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Villabebyggelse på fastighet Runan 5.</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26" behindDoc="0" locked="0" layoutInCell="1" allowOverlap="1">
            <wp:simplePos x="0" y="0"/>
            <wp:positionH relativeFrom="margin">
              <wp:align>right</wp:align>
            </wp:positionH>
            <wp:positionV relativeFrom="paragraph">
              <wp:posOffset>0</wp:posOffset>
            </wp:positionV>
            <wp:extent cx="2359025" cy="1767840"/>
            <wp:effectExtent l="0" t="0" r="3175" b="3810"/>
            <wp:wrapTopAndBottom/>
            <wp:docPr id="199765158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8" cstate="print"/>
                    <a:srcRect/>
                    <a:stretch>
                      <a:fillRect/>
                    </a:stretch>
                  </pic:blipFill>
                  <pic:spPr bwMode="auto">
                    <a:xfrm>
                      <a:off x="0" y="0"/>
                      <a:ext cx="2359025" cy="1767840"/>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25" behindDoc="0" locked="0" layoutInCell="1" allowOverlap="1">
            <wp:simplePos x="0" y="0"/>
            <wp:positionH relativeFrom="margin">
              <wp:align>left</wp:align>
            </wp:positionH>
            <wp:positionV relativeFrom="paragraph">
              <wp:posOffset>0</wp:posOffset>
            </wp:positionV>
            <wp:extent cx="2359025" cy="1767840"/>
            <wp:effectExtent l="0" t="0" r="3175" b="3810"/>
            <wp:wrapTopAndBottom/>
            <wp:docPr id="832739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9" cstate="print"/>
                    <a:srcRect/>
                    <a:stretch>
                      <a:fillRect/>
                    </a:stretch>
                  </pic:blipFill>
                  <pic:spPr bwMode="auto">
                    <a:xfrm>
                      <a:off x="0" y="0"/>
                      <a:ext cx="2359025" cy="1767840"/>
                    </a:xfrm>
                    <a:prstGeom prst="rect"/>
                    <a:noFill/>
                    <a:ln>
                      <a:noFill/>
                    </a:ln>
                  </pic:spPr>
                </pic:pic>
              </a:graphicData>
            </a:graphic>
          </wp:anchor>
        </w:drawing>
      </w:r>
    </w:p>
    <w:p>
      <w:pPr>
        <w:pStyle w:val="P2"/>
      </w:pPr>
      <w:bookmarkEnd w:id="256"/>
      <w:bookmarkStart w:id="257" w:name="_Toc89446052"/>
      <w:bookmarkStart w:id="258" w:name="_Toc172289161"/>
      <w:bookmarkStart w:id="259" w:name="_Toc188429274"/>
      <w:bookmarkStart w:id="260" w:name="_Toc136357400"/>
      <w:r>
        <w:t>SOCIALA</w:t>
      </w:r>
      <w:bookmarkEnd w:id="257"/>
      <w:bookmarkEnd w:id="258"/>
      <w:bookmarkEnd w:id="259"/>
      <w:bookmarkEnd w:id="260"/>
      <w:r>
        <w:t xml:space="preserve"> </w:t>
      </w:r>
    </w:p>
    <w:p>
      <w:pPr>
        <w:pStyle w:val="P3"/>
      </w:pPr>
      <w:bookmarkStart w:id="261" w:name="_Toc136357401"/>
      <w:bookmarkStart w:id="262" w:name="_Toc188429275"/>
      <w:bookmarkStart w:id="263" w:name="_Toc178943430"/>
      <w:bookmarkStart w:id="264" w:name="_Toc184299403"/>
      <w:bookmarkStart w:id="265" w:name="_Toc172289162"/>
      <w:bookmarkStart w:id="266" w:name="pf_sociala01"/>
      <w:r>
        <w:t>LEK OCH REKREATION</w:t>
      </w:r>
      <w:bookmarkEnd w:id="261"/>
      <w:bookmarkEnd w:id="262"/>
      <w:bookmarkEnd w:id="263"/>
      <w:bookmarkEnd w:id="264"/>
      <w:bookmarkEnd w:id="265"/>
    </w:p>
    <w:p>
      <w:r>
        <w:t xml:space="preserve">Tillgången och närheten till grönområde i form av skogsmark för lek, motion och rekreation är god i Hovmantorp samhälle. Detta bedöms vara viktigt ur trygghetssynpunkt samt utifrån ett socialt hållbarhetsperspektiv vad gäller utökade möjligheter till utbyten människor emellan. </w:t>
      </w:r>
    </w:p>
    <w:p>
      <w:r>
        <w:t>Sydöst om planområdet finns skogsmark och befintliga promenadstråk. Inom minder än 1 km från planområdet finns Hovmantorps idrottsplan och ett elljusspår med utegym som även kan fungera för lek. Grönområdena och funktionerna kan användas på olika sätt av kommunens invånare. De fungerar som mötesplatser, vilka bidrar till att människor från olika grupper kan mötas, vilket ger en positiv påverkan på den sociala hållbarheten.</w:t>
      </w:r>
    </w:p>
    <w:p>
      <w:r>
        <w:t>Tätorten erbjuder lekplatser på dess förskolor och skolor, samt en nyare lekplats på strandpromenaden mellan Rottnen och järnvägen, centralt i tätorten.</w:t>
      </w:r>
    </w:p>
    <w:p>
      <w:r>
        <w:rPr>
          <w:noProof w:val="1"/>
        </w:rPr>
        <w:drawing>
          <wp:anchor xmlns:wp="http://schemas.openxmlformats.org/drawingml/2006/wordprocessingDrawing" distT="0" distB="0" distL="114300" distR="114300" simplePos="0" relativeHeight="19" behindDoc="0" locked="0" layoutInCell="1" allowOverlap="1">
            <wp:simplePos x="0" y="0"/>
            <wp:positionH relativeFrom="margin">
              <wp:posOffset>2870200</wp:posOffset>
            </wp:positionH>
            <wp:positionV relativeFrom="paragraph">
              <wp:posOffset>-430530</wp:posOffset>
            </wp:positionV>
            <wp:extent cx="1475740" cy="2337435"/>
            <wp:effectExtent l="6985" t="0" r="0" b="0"/>
            <wp:wrapTopAndBottom/>
            <wp:docPr id="156006033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0" cstate="print"/>
                    <a:srcRect l="26569" t="-504" r="10687" b="1200"/>
                    <a:stretch>
                      <a:fillRect/>
                    </a:stretch>
                  </pic:blipFill>
                  <pic:spPr bwMode="auto">
                    <a:xfrm rot="5400000">
                      <a:off x="0" y="0"/>
                      <a:ext cx="1475740" cy="2337435"/>
                    </a:xfrm>
                    <a:prstGeom prst="rect"/>
                    <a:noFill/>
                    <a:ln>
                      <a:noFill/>
                    </a:ln>
                  </pic:spPr>
                </pic:pic>
              </a:graphicData>
            </a:graphic>
          </wp:anchor>
        </w:drawing>
      </w:r>
      <w:r>
        <w:rPr>
          <w:noProof w:val="1"/>
        </w:rPr>
        <mc:AlternateContent>
          <mc:Choice Requires="wps">
            <w:drawing>
              <wp:anchor xmlns:wp="http://schemas.openxmlformats.org/drawingml/2006/wordprocessingDrawing" distT="0" distB="0" distL="114300" distR="114300" simplePos="0" relativeHeight="24" behindDoc="0" locked="0" layoutInCell="1" allowOverlap="1">
                <wp:simplePos x="0" y="0"/>
                <wp:positionH relativeFrom="column">
                  <wp:posOffset>2207895</wp:posOffset>
                </wp:positionH>
                <wp:positionV relativeFrom="paragraph">
                  <wp:posOffset>1514475</wp:posOffset>
                </wp:positionV>
                <wp:extent cx="2337435" cy="154940"/>
                <wp:effectExtent l="0" t="0" r="5715" b="0"/>
                <wp:wrapTopAndBottom/>
                <wp:docPr id="75587435" name="Textruta 1"/>
                <wp:cNvGraphicFramePr/>
                <a:graphic xmlns:a="http://schemas.openxmlformats.org/drawingml/2006/main">
                  <a:graphicData uri="http://schemas.microsoft.com/office/word/2010/wordprocessingShape">
                    <wps:wsp>
                      <wps:cNvSpPr txBox="1"/>
                      <wps:spPr>
                        <a:xfrm>
                          <a:off x="0" y="0"/>
                          <a:ext cx="2337435" cy="1549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Mindre småbåtshamn vid Rottnen.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6" style="position:absolute;width:184.05pt;height:12.2pt;z-index:24;mso-wrap-distance-left:9pt;mso-wrap-distance-top:0pt;mso-wrap-distance-right:9pt;mso-wrap-distance-bottom:0pt;margin-left:173.85pt;margin-top:119.25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Mindre småbåtshamn vid Rottnen.</w:t>
                      </w:r>
                    </w:p>
                  </w:txbxContent>
                </v:textbox>
                <w10:wrap type="topAndBottom"/>
              </v:shape>
            </w:pict>
          </mc:Fallback>
        </mc:AlternateContent>
      </w:r>
      <w:r>
        <w:rPr>
          <w:noProof w:val="1"/>
        </w:rPr>
        <mc:AlternateContent>
          <mc:Choice Requires="wps">
            <w:drawing>
              <wp:anchor xmlns:wp="http://schemas.openxmlformats.org/drawingml/2006/wordprocessingDrawing" distT="0" distB="0" distL="114300" distR="114300" simplePos="0" relativeHeight="23" behindDoc="0" locked="0" layoutInCell="1" allowOverlap="1">
                <wp:simplePos x="0" y="0"/>
                <wp:positionH relativeFrom="column">
                  <wp:posOffset>-241300</wp:posOffset>
                </wp:positionH>
                <wp:positionV relativeFrom="paragraph">
                  <wp:posOffset>1503680</wp:posOffset>
                </wp:positionV>
                <wp:extent cx="2337435" cy="154940"/>
                <wp:effectExtent l="0" t="0" r="5715" b="0"/>
                <wp:wrapTopAndBottom/>
                <wp:docPr id="168016755" name="Textruta 1"/>
                <wp:cNvGraphicFramePr/>
                <a:graphic xmlns:a="http://schemas.openxmlformats.org/drawingml/2006/main">
                  <a:graphicData uri="http://schemas.microsoft.com/office/word/2010/wordprocessingShape">
                    <wps:wsp>
                      <wps:cNvSpPr txBox="1"/>
                      <wps:spPr>
                        <a:xfrm>
                          <a:off x="0" y="0"/>
                          <a:ext cx="2337435" cy="1549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rFonts w:ascii="Georgia" w:hAnsi="Georgia" w:eastAsiaTheme="minorHAnsi"/>
                                <w:noProof w:val="1"/>
                                <w:sz w:val="22"/>
                                <w:szCs w:val="22"/>
                                <w:lang w:eastAsia="en-US"/>
                              </w:rPr>
                            </w:pPr>
                            <w:r>
                              <w:t>Lekplats vid strandpromenaden.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37" style="position:absolute;width:184.05pt;height:12.2pt;z-index:23;mso-wrap-distance-left:9pt;mso-wrap-distance-top:0pt;mso-wrap-distance-right:9pt;mso-wrap-distance-bottom:0pt;margin-left:-19pt;margin-top:118.4pt;mso-position-horizontal:absolute;mso-position-horizontal-relative:text;mso-position-vertical:absolute;mso-position-vertical-relative:text" o:allowincell="t" fillcolor="#FFFFFF" stroked="f">
                <v:textbox inset="0mm,0mm,0mm,0mm">
                  <w:txbxContent>
                    <w:p>
                      <w:pPr>
                        <w:pStyle w:val="P36"/>
                        <w:rPr>
                          <w:rFonts w:ascii="Georgia" w:hAnsi="Georgia" w:eastAsiaTheme="minorHAnsi"/>
                          <w:noProof w:val="1"/>
                          <w:sz w:val="22"/>
                          <w:szCs w:val="22"/>
                          <w:lang w:eastAsia="en-US"/>
                        </w:rPr>
                      </w:pPr>
                      <w:r>
                        <w:t>Lekplats vid strandpromenaden.</w:t>
                      </w:r>
                    </w:p>
                  </w:txbxContent>
                </v:textbox>
                <w10:wrap type="topAndBottom"/>
              </v:shape>
            </w:pict>
          </mc:Fallback>
        </mc:AlternateContent>
      </w:r>
      <w:r>
        <w:rPr>
          <w:noProof w:val="1"/>
          <w:u w:val="single"/>
        </w:rPr>
        <w:drawing>
          <wp:anchor xmlns:wp="http://schemas.openxmlformats.org/drawingml/2006/wordprocessingDrawing" distT="0" distB="0" distL="114300" distR="114300" simplePos="0" relativeHeight="18" behindDoc="0" locked="0" layoutInCell="1" allowOverlap="1">
            <wp:simplePos x="0" y="0"/>
            <wp:positionH relativeFrom="margin">
              <wp:align>left</wp:align>
            </wp:positionH>
            <wp:positionV relativeFrom="paragraph">
              <wp:posOffset>0</wp:posOffset>
            </wp:positionV>
            <wp:extent cx="2334260" cy="1466215"/>
            <wp:effectExtent l="0" t="0" r="8890" b="635"/>
            <wp:wrapTopAndBottom/>
            <wp:docPr id="174684589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1" cstate="print"/>
                    <a:srcRect t="16140" b="1"/>
                    <a:stretch>
                      <a:fillRect/>
                    </a:stretch>
                  </pic:blipFill>
                  <pic:spPr bwMode="auto">
                    <a:xfrm>
                      <a:off x="0" y="0"/>
                      <a:ext cx="2337509" cy="1468296"/>
                    </a:xfrm>
                    <a:prstGeom prst="rect"/>
                    <a:noFill/>
                    <a:ln>
                      <a:noFill/>
                    </a:ln>
                  </pic:spPr>
                </pic:pic>
              </a:graphicData>
            </a:graphic>
          </wp:anchor>
        </w:drawing>
      </w:r>
    </w:p>
    <w:p>
      <w:pPr>
        <w:pStyle w:val="P3"/>
        <w:rPr>
          <w:lang w:val="en-US"/>
        </w:rPr>
      </w:pPr>
      <w:bookmarkEnd w:id="266"/>
      <w:bookmarkStart w:id="267" w:name="_Toc178943431"/>
      <w:bookmarkStart w:id="268" w:name="_Toc188429276"/>
      <w:bookmarkStart w:id="269" w:name="_Toc184299404"/>
      <w:bookmarkStart w:id="270" w:name="pf_sociala02"/>
      <w:r>
        <w:t>TILLGÄNGLIGHET</w:t>
      </w:r>
      <w:bookmarkEnd w:id="267"/>
      <w:bookmarkEnd w:id="268"/>
      <w:bookmarkEnd w:id="269"/>
    </w:p>
    <w:p>
      <w:r>
        <w:t>Området ska planeras utifrån de krav som plan- och bygglagen ställer på tillgänglighet. Bland annat ska planläggningen främja en ”från social synpunkt god livsmiljö som är tillgänglig och användbar för alla samhällsgrupper”. Planering och byggande ska utformas och placeras på ett sätt som är lämpligt med hänsyn till ”möjligheter för personer med nedsatt rörelse- eller orienteringsförmåga att använda området”.</w:t>
      </w:r>
    </w:p>
    <w:p>
      <w:pPr>
        <w:pStyle w:val="P2"/>
      </w:pPr>
      <w:bookmarkEnd w:id="270"/>
      <w:bookmarkStart w:id="271" w:name="_Toc89446053"/>
      <w:bookmarkStart w:id="272" w:name="_Toc172289164"/>
      <w:bookmarkStart w:id="273" w:name="_Toc188429277"/>
      <w:bookmarkStart w:id="274" w:name="_Toc136357402"/>
      <w:r>
        <w:t>TEKNIK</w:t>
      </w:r>
      <w:bookmarkEnd w:id="271"/>
      <w:bookmarkEnd w:id="272"/>
      <w:bookmarkEnd w:id="273"/>
      <w:bookmarkEnd w:id="274"/>
    </w:p>
    <w:p>
      <w:pPr>
        <w:pStyle w:val="P3"/>
      </w:pPr>
      <w:bookmarkStart w:id="275" w:name="_Toc136357403"/>
      <w:bookmarkStart w:id="276" w:name="_Toc188429278"/>
      <w:bookmarkStart w:id="277" w:name="_Toc178943433"/>
      <w:bookmarkStart w:id="278" w:name="_Toc184299406"/>
      <w:bookmarkStart w:id="279" w:name="_Toc172289165"/>
      <w:bookmarkStart w:id="280" w:name="pf_teknik01"/>
      <w:r>
        <w:t>VATTEN OCH AVLOPP</w:t>
      </w:r>
      <w:bookmarkEnd w:id="275"/>
      <w:bookmarkEnd w:id="276"/>
      <w:bookmarkEnd w:id="277"/>
      <w:bookmarkEnd w:id="278"/>
      <w:bookmarkEnd w:id="279"/>
    </w:p>
    <w:p>
      <w:r>
        <w:t xml:space="preserve">Planområdet ligger inom verksamhetsområde för vatten, spillvatten och dagvatten. Dagvattenledningen är förlagd i gatan utanför, samt inom planområdet. Området är redan idag anslutet till det kommunala VA-nätet. </w:t>
      </w:r>
    </w:p>
    <w:p>
      <w:pPr>
        <w:pStyle w:val="P3"/>
      </w:pPr>
      <w:bookmarkEnd w:id="280"/>
      <w:bookmarkStart w:id="281" w:name="_Toc136357404"/>
      <w:bookmarkStart w:id="282" w:name="_Toc188429279"/>
      <w:bookmarkStart w:id="283" w:name="_Toc178943434"/>
      <w:bookmarkStart w:id="284" w:name="_Toc184299407"/>
      <w:bookmarkStart w:id="285" w:name="_Toc172289166"/>
      <w:bookmarkStart w:id="286" w:name="pf_teknik02"/>
      <w:r>
        <w:t>EL, FIBER, TELE OCH VÄRME</w:t>
      </w:r>
      <w:bookmarkEnd w:id="281"/>
      <w:bookmarkEnd w:id="282"/>
      <w:bookmarkEnd w:id="283"/>
      <w:bookmarkEnd w:id="284"/>
      <w:bookmarkEnd w:id="285"/>
    </w:p>
    <w:p>
      <w:r>
        <w:t xml:space="preserve">Ledningar för el, tele- och optofiber finns utbyggt i befintligt område. El- och teleanslutning sker i samråd med el- och teleleverantör. Fjärrvärme finns också framdraget till fastigheterna. Ledningarna är förlagda i gatorna. </w:t>
      </w:r>
      <w:bookmarkEnd w:id="286"/>
      <w:r>
        <w:t xml:space="preserve"> </w:t>
      </w:r>
    </w:p>
    <w:p>
      <w:pPr>
        <w:pStyle w:val="P2"/>
      </w:pPr>
      <w:bookmarkStart w:id="287" w:name="_Toc89446054"/>
      <w:bookmarkStart w:id="288" w:name="_Toc172289167"/>
      <w:bookmarkStart w:id="289" w:name="_Toc188429280"/>
      <w:bookmarkStart w:id="290" w:name="_Toc136357405"/>
      <w:r>
        <w:t>SERVICE</w:t>
      </w:r>
      <w:bookmarkEnd w:id="287"/>
      <w:bookmarkEnd w:id="288"/>
      <w:bookmarkEnd w:id="289"/>
      <w:bookmarkEnd w:id="290"/>
      <w:r>
        <w:t xml:space="preserve"> </w:t>
      </w:r>
    </w:p>
    <w:p>
      <w:pPr>
        <w:pStyle w:val="P3"/>
      </w:pPr>
      <w:bookmarkStart w:id="291" w:name="_Toc136357406"/>
      <w:bookmarkStart w:id="292" w:name="_Toc188429281"/>
      <w:bookmarkStart w:id="293" w:name="_Toc178943436"/>
      <w:bookmarkStart w:id="294" w:name="_Toc184299409"/>
      <w:bookmarkStart w:id="295" w:name="_Toc172289168"/>
      <w:bookmarkStart w:id="296" w:name="pf_service01"/>
      <w:r>
        <w:t>OFFENTLIG- OCH KOMMERSIELL SERVICE</w:t>
      </w:r>
      <w:bookmarkEnd w:id="291"/>
      <w:bookmarkEnd w:id="292"/>
      <w:bookmarkEnd w:id="293"/>
      <w:bookmarkEnd w:id="294"/>
      <w:bookmarkEnd w:id="295"/>
    </w:p>
    <w:p>
      <w:r>
        <w:t xml:space="preserve">Skola och förskola finns i inom tätorten. </w:t>
      </w:r>
      <w:r>
        <w:rPr>
          <w:i w:val="1"/>
          <w:iCs w:val="1"/>
        </w:rPr>
        <w:t>Kvarndammskolan</w:t>
      </w:r>
      <w:r>
        <w:t xml:space="preserve"> är en grundskola (f-6), och sedan finns tre kommunala förskolor </w:t>
      </w:r>
      <w:r>
        <w:rPr>
          <w:i w:val="1"/>
          <w:iCs w:val="1"/>
        </w:rPr>
        <w:t>Askungen</w:t>
      </w:r>
      <w:r>
        <w:t xml:space="preserve">, </w:t>
      </w:r>
      <w:r>
        <w:rPr>
          <w:i w:val="1"/>
          <w:iCs w:val="1"/>
        </w:rPr>
        <w:t>Tuvan</w:t>
      </w:r>
      <w:r>
        <w:t xml:space="preserve"> och </w:t>
      </w:r>
      <w:r>
        <w:rPr>
          <w:i w:val="1"/>
          <w:iCs w:val="1"/>
        </w:rPr>
        <w:t>Prästkragen</w:t>
      </w:r>
      <w:r>
        <w:t xml:space="preserve"> och en privat </w:t>
      </w:r>
      <w:r>
        <w:rPr>
          <w:i w:val="1"/>
          <w:iCs w:val="1"/>
        </w:rPr>
        <w:t>Norlandia förskolor skogsbacken</w:t>
      </w:r>
      <w:r>
        <w:t xml:space="preserve">. </w:t>
      </w:r>
    </w:p>
    <w:p>
      <w:r>
        <w:t>Inom tätorten finns bland annat en livsmedelsbutik med postservice, kiosker, restauranger, frisörer, bibliotek, drivmedelsstation, secondhand-butiker, mindre lokala butiker barnavårdscentral, och tandläkare.</w:t>
      </w:r>
    </w:p>
    <w:p>
      <w:r>
        <w:t>Annan offentlig service som vårdcentral finns i Lessebo, cirka 1,5 mil sydväst om Kosta. I Lessebos centrala delar och med omnejd finns även ett varierande utbud av livsmedelsbutiker, restauranger, frisörsalong, apotek, systembolag, skola, förskola, drivmedelsstation, bibliotek, vårdcentral, folktandvård med flera.</w:t>
      </w:r>
    </w:p>
    <w:p>
      <w:pPr>
        <w:pStyle w:val="P2"/>
      </w:pPr>
      <w:bookmarkEnd w:id="296"/>
      <w:bookmarkStart w:id="297" w:name="_Toc89446055"/>
      <w:bookmarkStart w:id="298" w:name="_Toc188429282"/>
      <w:bookmarkStart w:id="299" w:name="_Toc172289169"/>
      <w:bookmarkStart w:id="300" w:name="_Toc136357407"/>
      <w:r>
        <w:t>TRAFIK</w:t>
      </w:r>
      <w:bookmarkEnd w:id="297"/>
      <w:bookmarkEnd w:id="298"/>
      <w:bookmarkEnd w:id="299"/>
      <w:bookmarkEnd w:id="300"/>
      <w:r>
        <w:t xml:space="preserve"> </w:t>
      </w:r>
    </w:p>
    <w:p>
      <w:pPr>
        <w:pStyle w:val="P3"/>
      </w:pPr>
      <w:bookmarkStart w:id="301" w:name="_Toc136357408"/>
      <w:bookmarkStart w:id="302" w:name="_Toc184299411"/>
      <w:bookmarkStart w:id="303" w:name="_Toc188429283"/>
      <w:bookmarkStart w:id="304" w:name="_Toc178943438"/>
      <w:bookmarkStart w:id="305" w:name="_Toc172289170"/>
      <w:bookmarkStart w:id="306" w:name="pf_trafik01"/>
      <w:r>
        <w:t>BILTRAFIK</w:t>
      </w:r>
      <w:bookmarkEnd w:id="301"/>
      <w:bookmarkEnd w:id="302"/>
      <w:bookmarkEnd w:id="303"/>
      <w:bookmarkEnd w:id="304"/>
      <w:bookmarkEnd w:id="305"/>
    </w:p>
    <w:p>
      <w:pPr>
        <w:rPr>
          <w:i w:val="1"/>
          <w:iCs w:val="1"/>
        </w:rPr>
      </w:pPr>
      <w:r>
        <w:t xml:space="preserve">Planområdet har befintlig infrastruktur utbyggt i form av gatorna </w:t>
      </w:r>
      <w:r>
        <w:rPr>
          <w:i w:val="1"/>
          <w:iCs w:val="1"/>
        </w:rPr>
        <w:t>Nygatan</w:t>
      </w:r>
      <w:r>
        <w:t xml:space="preserve">, </w:t>
      </w:r>
      <w:r>
        <w:rPr>
          <w:i w:val="1"/>
          <w:iCs w:val="1"/>
        </w:rPr>
        <w:t>Glasbruksgatan</w:t>
      </w:r>
      <w:r>
        <w:t xml:space="preserve"> och genomfartsgatan </w:t>
      </w:r>
      <w:r>
        <w:rPr>
          <w:i w:val="1"/>
          <w:iCs w:val="1"/>
        </w:rPr>
        <w:t xml:space="preserve">Storgatan. </w:t>
      </w:r>
    </w:p>
    <w:p>
      <w:r>
        <w:t xml:space="preserve">Genomfartsgatan </w:t>
      </w:r>
      <w:r>
        <w:rPr>
          <w:i w:val="1"/>
          <w:iCs w:val="1"/>
        </w:rPr>
        <w:t>Storgatan</w:t>
      </w:r>
      <w:r>
        <w:t xml:space="preserve"> sträcker sig mellan Hovmantorps centrala delar söder ut mot Ormeshaga och senare Tingsryd. Skyltad hastighet för gatorna är 40 km/tim. Lokalgatorna är kommunalt ägda medan genomfartsgatan ägs av Trafikverket. Angöring till fastigheterna sker idag utmed lokalgatorna. </w:t>
      </w:r>
    </w:p>
    <w:p>
      <w:pPr>
        <w:rPr>
          <w:noProof w:val="1"/>
        </w:rPr>
      </w:pPr>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36" behindDoc="0" locked="0" layoutInCell="1" allowOverlap="1">
                <wp:simplePos x="0" y="0"/>
                <wp:positionH relativeFrom="margin">
                  <wp:posOffset>2475865</wp:posOffset>
                </wp:positionH>
                <wp:positionV relativeFrom="paragraph">
                  <wp:posOffset>4693285</wp:posOffset>
                </wp:positionV>
                <wp:extent cx="3010535" cy="318770"/>
                <wp:effectExtent l="0" t="0" r="0" b="5080"/>
                <wp:wrapTopAndBottom/>
                <wp:docPr id="264589710" name="Textruta 18"/>
                <wp:cNvGraphicFramePr/>
                <a:graphic xmlns:a="http://schemas.openxmlformats.org/drawingml/2006/main">
                  <a:graphicData uri="http://schemas.microsoft.com/office/word/2010/wordprocessingShape">
                    <wps:wsp>
                      <wps:cNvSpPr txBox="1"/>
                      <wps:spPr>
                        <a:xfrm>
                          <a:off x="0" y="0"/>
                          <a:ext cx="3010535" cy="31877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Storgatan – genomfartsgata öster om planområdet.</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8" o:spid="_x0000_s1038" style="position:absolute;width:237.05pt;height:25.1pt;z-index:36;mso-wrap-distance-left:9pt;mso-wrap-distance-top:0pt;mso-wrap-distance-right:9pt;mso-wrap-distance-bottom:0pt;margin-left:194.95pt;margin-top:369.55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Storgatan – genomfartsgata öster om planområdet.</w:t>
                      </w:r>
                    </w:p>
                  </w:txbxContent>
                </v:textbox>
                <w10:wrap type="topAndBottom"/>
              </v:shape>
            </w:pict>
          </mc:Fallback>
        </mc:AlternateContent>
      </w:r>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35" behindDoc="0" locked="0" layoutInCell="1" allowOverlap="1">
                <wp:simplePos x="0" y="0"/>
                <wp:positionH relativeFrom="margin">
                  <wp:posOffset>-293370</wp:posOffset>
                </wp:positionH>
                <wp:positionV relativeFrom="paragraph">
                  <wp:posOffset>4718685</wp:posOffset>
                </wp:positionV>
                <wp:extent cx="2561590" cy="228600"/>
                <wp:effectExtent l="0" t="0" r="0" b="0"/>
                <wp:wrapTopAndBottom/>
                <wp:docPr id="432988975" name="Textruta 18"/>
                <wp:cNvGraphicFramePr/>
                <a:graphic xmlns:a="http://schemas.openxmlformats.org/drawingml/2006/main">
                  <a:graphicData uri="http://schemas.microsoft.com/office/word/2010/wordprocessingShape">
                    <wps:wsp>
                      <wps:cNvSpPr txBox="1"/>
                      <wps:spPr>
                        <a:xfrm>
                          <a:off x="0" y="0"/>
                          <a:ext cx="2561590"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Glasbruksgatan – söder om planområdet.</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8" o:spid="_x0000_s1039" style="position:absolute;width:201.7pt;height:18pt;z-index:35;mso-wrap-distance-left:9pt;mso-wrap-distance-top:0pt;mso-wrap-distance-right:9pt;mso-wrap-distance-bottom:0pt;margin-left:-23.1pt;margin-top:371.55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Glasbruksgatan – söder om planområdet.</w:t>
                      </w:r>
                    </w:p>
                  </w:txbxContent>
                </v:textbox>
                <w10:wrap type="topAndBottom"/>
              </v:shape>
            </w:pict>
          </mc:Fallback>
        </mc:AlternateContent>
      </w:r>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34" behindDoc="0" locked="0" layoutInCell="1" allowOverlap="1">
                <wp:simplePos x="0" y="0"/>
                <wp:positionH relativeFrom="margin">
                  <wp:posOffset>2449830</wp:posOffset>
                </wp:positionH>
                <wp:positionV relativeFrom="paragraph">
                  <wp:posOffset>2424430</wp:posOffset>
                </wp:positionV>
                <wp:extent cx="3217545" cy="228600"/>
                <wp:effectExtent l="0" t="0" r="1905" b="0"/>
                <wp:wrapTopAndBottom/>
                <wp:docPr id="357570338" name="Textruta 18"/>
                <wp:cNvGraphicFramePr/>
                <a:graphic xmlns:a="http://schemas.openxmlformats.org/drawingml/2006/main">
                  <a:graphicData uri="http://schemas.microsoft.com/office/word/2010/wordprocessingShape">
                    <wps:wsp>
                      <wps:cNvSpPr txBox="1"/>
                      <wps:spPr>
                        <a:xfrm>
                          <a:off x="0" y="0"/>
                          <a:ext cx="3217545"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Storgatan – genomfartsgata öster om planområdet.</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8" o:spid="_x0000_s1040" style="position:absolute;width:253.35pt;height:18pt;z-index:34;mso-wrap-distance-left:9pt;mso-wrap-distance-top:0pt;mso-wrap-distance-right:9pt;mso-wrap-distance-bottom:0pt;margin-left:192.9pt;margin-top:190.9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Storgatan – genomfartsgata öster om planområdet.</w:t>
                      </w:r>
                    </w:p>
                  </w:txbxContent>
                </v:textbox>
                <w10:wrap type="topAndBottom"/>
              </v:shape>
            </w:pict>
          </mc:Fallback>
        </mc:AlternateContent>
      </w:r>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33" behindDoc="0" locked="0" layoutInCell="1" allowOverlap="1">
                <wp:simplePos x="0" y="0"/>
                <wp:positionH relativeFrom="margin">
                  <wp:posOffset>-266700</wp:posOffset>
                </wp:positionH>
                <wp:positionV relativeFrom="paragraph">
                  <wp:posOffset>2437130</wp:posOffset>
                </wp:positionV>
                <wp:extent cx="2380615" cy="228600"/>
                <wp:effectExtent l="0" t="0" r="635" b="0"/>
                <wp:wrapTopAndBottom/>
                <wp:docPr id="99773423" name="Textruta 18"/>
                <wp:cNvGraphicFramePr/>
                <a:graphic xmlns:a="http://schemas.openxmlformats.org/drawingml/2006/main">
                  <a:graphicData uri="http://schemas.microsoft.com/office/word/2010/wordprocessingShape">
                    <wps:wsp>
                      <wps:cNvSpPr txBox="1"/>
                      <wps:spPr>
                        <a:xfrm>
                          <a:off x="0" y="0"/>
                          <a:ext cx="2380615"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Nygatan – väster om planområdet.</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8" o:spid="_x0000_s1041" style="position:absolute;width:187.45pt;height:18pt;z-index:33;mso-wrap-distance-left:9pt;mso-wrap-distance-top:0pt;mso-wrap-distance-right:9pt;mso-wrap-distance-bottom:0pt;margin-left:-21pt;margin-top:191.9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Nygatan – väster om planområdet.</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31" behindDoc="0" locked="0" layoutInCell="1" allowOverlap="1">
            <wp:simplePos x="0" y="0"/>
            <wp:positionH relativeFrom="column">
              <wp:posOffset>2734310</wp:posOffset>
            </wp:positionH>
            <wp:positionV relativeFrom="paragraph">
              <wp:posOffset>2753995</wp:posOffset>
            </wp:positionV>
            <wp:extent cx="2515235" cy="1885315"/>
            <wp:effectExtent l="0" t="0" r="0" b="635"/>
            <wp:wrapTopAndBottom/>
            <wp:docPr id="1888657102"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xmlns:r="http://schemas.openxmlformats.org/officeDocument/2006/relationships" r:embed="Relimage12" cstate="print"/>
                    <a:srcRect/>
                    <a:stretch>
                      <a:fillRect/>
                    </a:stretch>
                  </pic:blipFill>
                  <pic:spPr bwMode="auto">
                    <a:xfrm>
                      <a:off x="0" y="0"/>
                      <a:ext cx="2515235" cy="1885315"/>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30" behindDoc="0" locked="0" layoutInCell="1" allowOverlap="1">
            <wp:simplePos x="0" y="0"/>
            <wp:positionH relativeFrom="margin">
              <wp:align>left</wp:align>
            </wp:positionH>
            <wp:positionV relativeFrom="paragraph">
              <wp:posOffset>2755265</wp:posOffset>
            </wp:positionV>
            <wp:extent cx="2519680" cy="1889125"/>
            <wp:effectExtent l="0" t="0" r="0" b="0"/>
            <wp:wrapTopAndBottom/>
            <wp:docPr id="125983738"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3" cstate="print"/>
                    <a:srcRect/>
                    <a:stretch>
                      <a:fillRect/>
                    </a:stretch>
                  </pic:blipFill>
                  <pic:spPr bwMode="auto">
                    <a:xfrm>
                      <a:off x="0" y="0"/>
                      <a:ext cx="2519680" cy="1889125"/>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32" behindDoc="0" locked="0" layoutInCell="1" allowOverlap="1">
            <wp:simplePos x="0" y="0"/>
            <wp:positionH relativeFrom="column">
              <wp:posOffset>2726055</wp:posOffset>
            </wp:positionH>
            <wp:positionV relativeFrom="paragraph">
              <wp:posOffset>492125</wp:posOffset>
            </wp:positionV>
            <wp:extent cx="2515235" cy="1885315"/>
            <wp:effectExtent l="0" t="0" r="0" b="635"/>
            <wp:wrapTopAndBottom/>
            <wp:docPr id="2128105881"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xmlns:r="http://schemas.openxmlformats.org/officeDocument/2006/relationships" r:embed="Relimage14" cstate="print"/>
                    <a:srcRect/>
                    <a:stretch>
                      <a:fillRect/>
                    </a:stretch>
                  </pic:blipFill>
                  <pic:spPr bwMode="auto">
                    <a:xfrm>
                      <a:off x="0" y="0"/>
                      <a:ext cx="2515235" cy="1885315"/>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29" behindDoc="0" locked="0" layoutInCell="1" allowOverlap="1">
            <wp:simplePos x="0" y="0"/>
            <wp:positionH relativeFrom="margin">
              <wp:align>left</wp:align>
            </wp:positionH>
            <wp:positionV relativeFrom="paragraph">
              <wp:posOffset>483235</wp:posOffset>
            </wp:positionV>
            <wp:extent cx="2527300" cy="1894205"/>
            <wp:effectExtent l="0" t="0" r="6350" b="0"/>
            <wp:wrapTopAndBottom/>
            <wp:docPr id="120834645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5" cstate="print"/>
                    <a:srcRect/>
                    <a:stretch>
                      <a:fillRect/>
                    </a:stretch>
                  </pic:blipFill>
                  <pic:spPr bwMode="auto">
                    <a:xfrm>
                      <a:off x="0" y="0"/>
                      <a:ext cx="2528715" cy="1895511"/>
                    </a:xfrm>
                    <a:prstGeom prst="rect"/>
                    <a:noFill/>
                    <a:ln>
                      <a:noFill/>
                    </a:ln>
                  </pic:spPr>
                </pic:pic>
              </a:graphicData>
            </a:graphic>
          </wp:anchor>
        </w:drawing>
      </w:r>
      <w:r>
        <w:t xml:space="preserve">Norr om planområdet passerar järnvägen </w:t>
      </w:r>
      <w:r>
        <w:rPr>
          <w:i w:val="1"/>
          <w:iCs w:val="1"/>
        </w:rPr>
        <w:t>Kust till Kustbanan</w:t>
      </w:r>
      <w:r>
        <w:t xml:space="preserve"> som går mellan Kalmar och Köpenhamn/Göteborg. Mer norrut får sedan riksväg 25.</w:t>
      </w:r>
      <w:r>
        <w:rPr>
          <w:noProof w:val="1"/>
        </w:rPr>
        <w:t xml:space="preserve"> </w:t>
      </w:r>
    </w:p>
    <w:p>
      <w:pPr>
        <w:rPr>
          <w:noProof w:val="1"/>
        </w:rPr>
      </w:pPr>
      <w:bookmarkEnd w:id="306"/>
    </w:p>
    <w:p>
      <w:pPr>
        <w:pStyle w:val="P3"/>
      </w:pPr>
      <w:bookmarkStart w:id="307" w:name="_Toc136357409"/>
      <w:bookmarkStart w:id="308" w:name="_Toc184299412"/>
      <w:bookmarkStart w:id="309" w:name="_Toc188429284"/>
      <w:bookmarkStart w:id="310" w:name="_Toc178943439"/>
      <w:bookmarkStart w:id="311" w:name="_Toc172289171"/>
      <w:bookmarkStart w:id="312" w:name="pf_trafik02"/>
      <w:r>
        <w:t>GÅNG- OCH CYKELVÄG</w:t>
      </w:r>
      <w:bookmarkEnd w:id="307"/>
      <w:bookmarkEnd w:id="308"/>
      <w:bookmarkEnd w:id="309"/>
      <w:bookmarkEnd w:id="310"/>
      <w:bookmarkEnd w:id="311"/>
    </w:p>
    <w:p>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margin">
                  <wp:posOffset>2445385</wp:posOffset>
                </wp:positionH>
                <wp:positionV relativeFrom="paragraph">
                  <wp:posOffset>3057525</wp:posOffset>
                </wp:positionV>
                <wp:extent cx="1552575" cy="228600"/>
                <wp:effectExtent l="0" t="0" r="9525" b="0"/>
                <wp:wrapTopAndBottom/>
                <wp:docPr id="1554873772" name="Textruta 1"/>
                <wp:cNvGraphicFramePr/>
                <a:graphic xmlns:a="http://schemas.openxmlformats.org/drawingml/2006/main">
                  <a:graphicData uri="http://schemas.microsoft.com/office/word/2010/wordprocessingShape">
                    <wps:wsp>
                      <wps:cNvSpPr txBox="1"/>
                      <wps:spPr>
                        <a:xfrm>
                          <a:off x="0" y="0"/>
                          <a:ext cx="1552575"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Tågstation.</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42" style="position:absolute;width:122.25pt;height:18pt;z-index:8;mso-wrap-distance-left:9pt;mso-wrap-distance-top:0pt;mso-wrap-distance-right:9pt;mso-wrap-distance-bottom:0pt;margin-left:192.55pt;margin-top:240.75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Tågstation.</w:t>
                      </w:r>
                    </w:p>
                  </w:txbxContent>
                </v:textbox>
                <w10:wrap type="topAndBottom"/>
              </v:shape>
            </w:pict>
          </mc:Fallback>
        </mc:AlternateContent>
      </w:r>
      <w:r>
        <w:rPr>
          <w:rFonts w:ascii="Times New Roman" w:hAnsi="Times New Roman" w:cs="Times New Roman" w:eastAsiaTheme="minorEastAsia"/>
          <w:noProof w:val="1"/>
          <w:szCs w:val="24"/>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margin">
                  <wp:posOffset>-267335</wp:posOffset>
                </wp:positionH>
                <wp:positionV relativeFrom="paragraph">
                  <wp:posOffset>3064510</wp:posOffset>
                </wp:positionV>
                <wp:extent cx="2380615" cy="228600"/>
                <wp:effectExtent l="0" t="0" r="635" b="0"/>
                <wp:wrapTopAndBottom/>
                <wp:docPr id="452347415" name="Textruta 18"/>
                <wp:cNvGraphicFramePr/>
                <a:graphic xmlns:a="http://schemas.openxmlformats.org/drawingml/2006/main">
                  <a:graphicData uri="http://schemas.microsoft.com/office/word/2010/wordprocessingShape">
                    <wps:wsp>
                      <wps:cNvSpPr txBox="1"/>
                      <wps:spPr>
                        <a:xfrm>
                          <a:off x="0" y="0"/>
                          <a:ext cx="2380615" cy="2286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Cykelparkeringar vid stationen.</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8" o:spid="_x0000_s1043" style="position:absolute;width:187.45pt;height:18pt;z-index:7;mso-wrap-distance-left:9pt;mso-wrap-distance-top:0pt;mso-wrap-distance-right:9pt;mso-wrap-distance-bottom:0pt;margin-left:-21.05pt;margin-top:241.3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Cykelparkeringar vid stationen.</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21" behindDoc="0" locked="0" layoutInCell="1" allowOverlap="1">
            <wp:simplePos x="0" y="0"/>
            <wp:positionH relativeFrom="margin">
              <wp:posOffset>2699385</wp:posOffset>
            </wp:positionH>
            <wp:positionV relativeFrom="paragraph">
              <wp:posOffset>1046480</wp:posOffset>
            </wp:positionV>
            <wp:extent cx="2635250" cy="1974850"/>
            <wp:effectExtent l="0" t="0" r="0" b="6350"/>
            <wp:wrapTopAndBottom/>
            <wp:docPr id="251782521"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xmlns:r="http://schemas.openxmlformats.org/officeDocument/2006/relationships" r:embed="Relimage16" cstate="print"/>
                    <a:srcRect/>
                    <a:stretch>
                      <a:fillRect/>
                    </a:stretch>
                  </pic:blipFill>
                  <pic:spPr bwMode="auto">
                    <a:xfrm>
                      <a:off x="0" y="0"/>
                      <a:ext cx="2635250" cy="1974850"/>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20" behindDoc="0" locked="0" layoutInCell="1" allowOverlap="1">
            <wp:simplePos x="0" y="0"/>
            <wp:positionH relativeFrom="margin">
              <wp:align>left</wp:align>
            </wp:positionH>
            <wp:positionV relativeFrom="paragraph">
              <wp:posOffset>764540</wp:posOffset>
            </wp:positionV>
            <wp:extent cx="1998980" cy="2498725"/>
            <wp:effectExtent l="0" t="1905" r="0" b="0"/>
            <wp:wrapTopAndBottom/>
            <wp:docPr id="424312671"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7" cstate="print"/>
                    <a:srcRect l="27106" r="12913"/>
                    <a:stretch>
                      <a:fillRect/>
                    </a:stretch>
                  </pic:blipFill>
                  <pic:spPr bwMode="auto">
                    <a:xfrm rot="5400000">
                      <a:off x="0" y="0"/>
                      <a:ext cx="1998980" cy="2498725"/>
                    </a:xfrm>
                    <a:prstGeom prst="rect"/>
                    <a:noFill/>
                    <a:ln>
                      <a:noFill/>
                    </a:ln>
                  </pic:spPr>
                </pic:pic>
              </a:graphicData>
            </a:graphic>
          </wp:anchor>
        </w:drawing>
      </w:r>
      <w:r>
        <w:t xml:space="preserve">Planområdet ligger centralt med möjlighet att röra sig längs med separerade gång- och cykelvägar. I de fall det saknas avskilda gång- och cykelvägar, finns det trottoar för gående och cykling hänvisas till körbanan, tillsammans med biltrafik. </w:t>
      </w:r>
    </w:p>
    <w:p>
      <w:pPr>
        <w:pStyle w:val="P3"/>
      </w:pPr>
      <w:bookmarkEnd w:id="312"/>
      <w:bookmarkStart w:id="313" w:name="_Toc136357410"/>
      <w:bookmarkStart w:id="314" w:name="_Toc184299413"/>
      <w:bookmarkStart w:id="315" w:name="_Toc188429285"/>
      <w:bookmarkStart w:id="316" w:name="_Toc178943440"/>
      <w:bookmarkStart w:id="317" w:name="_Toc172289172"/>
      <w:r>
        <w:rPr>
          <w:noProof w:val="1"/>
        </w:rPr>
        <w:drawing>
          <wp:anchor xmlns:wp="http://schemas.openxmlformats.org/drawingml/2006/wordprocessingDrawing" distT="0" distB="0" distL="114300" distR="114300" simplePos="0" relativeHeight="17" behindDoc="0" locked="0" layoutInCell="1" allowOverlap="1">
            <wp:simplePos x="0" y="0"/>
            <wp:positionH relativeFrom="margin">
              <wp:align>right</wp:align>
            </wp:positionH>
            <wp:positionV relativeFrom="paragraph">
              <wp:posOffset>2503805</wp:posOffset>
            </wp:positionV>
            <wp:extent cx="2725420" cy="4856480"/>
            <wp:effectExtent l="1270" t="0" r="0" b="0"/>
            <wp:wrapTopAndBottom/>
            <wp:docPr id="60682408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8" cstate="print"/>
                    <a:srcRect l="43874"/>
                    <a:stretch>
                      <a:fillRect/>
                    </a:stretch>
                  </pic:blipFill>
                  <pic:spPr bwMode="auto">
                    <a:xfrm rot="5400000">
                      <a:off x="0" y="0"/>
                      <a:ext cx="2725420" cy="4856480"/>
                    </a:xfrm>
                    <a:prstGeom prst="rect"/>
                    <a:noFill/>
                    <a:ln>
                      <a:noFill/>
                    </a:ln>
                  </pic:spPr>
                </pic:pic>
              </a:graphicData>
            </a:graphic>
          </wp:anchor>
        </w:drawing>
      </w:r>
      <w:bookmarkStart w:id="318" w:name="pf_trafik03"/>
      <w:r>
        <w:t>KOLLEKTIVTRAFIK</w:t>
      </w:r>
      <w:bookmarkEnd w:id="313"/>
      <w:bookmarkEnd w:id="314"/>
      <w:bookmarkEnd w:id="315"/>
      <w:bookmarkEnd w:id="316"/>
      <w:bookmarkEnd w:id="317"/>
    </w:p>
    <w:p>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margin">
                  <wp:posOffset>-267335</wp:posOffset>
                </wp:positionH>
                <wp:positionV relativeFrom="paragraph">
                  <wp:posOffset>3681730</wp:posOffset>
                </wp:positionV>
                <wp:extent cx="4752975" cy="266700"/>
                <wp:effectExtent l="0" t="0" r="9525" b="0"/>
                <wp:wrapTopAndBottom/>
                <wp:docPr id="903323218" name="Textruta 8"/>
                <wp:cNvGraphicFramePr/>
                <a:graphic xmlns:a="http://schemas.openxmlformats.org/drawingml/2006/main">
                  <a:graphicData uri="http://schemas.microsoft.com/office/word/2010/wordprocessingShape">
                    <wps:wsp>
                      <wps:cNvSpPr txBox="1"/>
                      <wps:spPr>
                        <a:xfrm>
                          <a:off x="0" y="0"/>
                          <a:ext cx="4752975" cy="2667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6"/>
                              <w:rPr>
                                <w:noProof w:val="1"/>
                                <w:color w:val="000000"/>
                                <w:sz w:val="24"/>
                              </w:rPr>
                            </w:pPr>
                            <w:r>
                              <w:t>Stationsområdet med tåg- och bussförbindelser.</w:t>
                            </w:r>
                          </w:p>
                        </w:txbxContent>
                      </wps:txbx>
                      <wps:bodyPr rot="0" spcFirstLastPara="0" vertOverflow="clip" horzOverflow="clip"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8" o:spid="_x0000_s1044" style="position:absolute;width:374.25pt;height:21pt;z-index:10;mso-wrap-distance-left:9pt;mso-wrap-distance-top:0pt;mso-wrap-distance-right:9pt;mso-wrap-distance-bottom:0pt;margin-left:-21.05pt;margin-top:289.9pt;mso-position-horizontal:absolute;mso-position-horizontal-relative:margin;mso-position-vertical:absolute;mso-position-vertical-relative:text" o:allowincell="t" fillcolor="#FFFFFF" stroked="f">
                <v:textbox inset="0mm,0mm,0mm,0mm">
                  <w:txbxContent>
                    <w:p>
                      <w:pPr>
                        <w:pStyle w:val="P36"/>
                        <w:rPr>
                          <w:noProof w:val="1"/>
                          <w:color w:val="000000"/>
                          <w:sz w:val="24"/>
                        </w:rPr>
                      </w:pPr>
                      <w:r>
                        <w:t>Stationsområdet med tåg- och bussförbindelser.</w:t>
                      </w:r>
                    </w:p>
                  </w:txbxContent>
                </v:textbox>
                <w10:wrap type="topAndBottom"/>
              </v:shape>
            </w:pict>
          </mc:Fallback>
        </mc:AlternateContent>
      </w:r>
      <w:r>
        <w:t>Mellan Hovmantorp och kommunens resterande tätorter, samt vidare till andra städer finns goda buss- och tågförbindelser. Busshållplats finns stationsområdet, ca 300 m från planområdet.</w:t>
      </w:r>
      <w:bookmarkStart w:id="319" w:name="_Toc172289173"/>
      <w:r>
        <w:rPr>
          <w:u w:val="single"/>
        </w:rPr>
        <w:t xml:space="preserve"> </w:t>
        <w:br w:type="page"/>
      </w:r>
    </w:p>
    <w:p>
      <w:pPr>
        <w:pStyle w:val="P1"/>
      </w:pPr>
      <w:bookmarkEnd w:id="318"/>
      <w:bookmarkStart w:id="320" w:name="_Toc188429286"/>
      <w:r>
        <w:t>PLANERINGSUNDERLAG</w:t>
      </w:r>
      <w:bookmarkEnd w:id="319"/>
      <w:bookmarkEnd w:id="320"/>
    </w:p>
    <w:p>
      <w:pPr>
        <w:pStyle w:val="P2"/>
      </w:pPr>
      <w:bookmarkStart w:id="321" w:name="_Toc89446058"/>
      <w:bookmarkStart w:id="322" w:name="_Toc188429287"/>
      <w:bookmarkStart w:id="323" w:name="_Toc172289174"/>
      <w:bookmarkStart w:id="324" w:name="_Toc136357412"/>
      <w:r>
        <w:t>KOMMUNALA</w:t>
      </w:r>
      <w:bookmarkEnd w:id="321"/>
      <w:bookmarkEnd w:id="322"/>
      <w:bookmarkEnd w:id="323"/>
      <w:bookmarkEnd w:id="324"/>
    </w:p>
    <w:p>
      <w:pPr>
        <w:pStyle w:val="P3"/>
      </w:pPr>
      <w:bookmarkStart w:id="325" w:name="_Toc89446059"/>
      <w:bookmarkStart w:id="326" w:name="_Toc184299416"/>
      <w:bookmarkStart w:id="327" w:name="_Toc188429288"/>
      <w:bookmarkStart w:id="328" w:name="_Toc172289175"/>
      <w:bookmarkStart w:id="329" w:name="_Toc136357413"/>
      <w:bookmarkStart w:id="330" w:name="pu_detaljplan01"/>
      <w:r>
        <w:t>DETALJPLAN</w:t>
      </w:r>
      <w:bookmarkEnd w:id="325"/>
      <w:bookmarkEnd w:id="326"/>
      <w:bookmarkEnd w:id="327"/>
      <w:bookmarkEnd w:id="328"/>
      <w:bookmarkEnd w:id="329"/>
    </w:p>
    <w:p>
      <w:bookmarkStart w:id="331" w:name="_Toc89446061"/>
      <w:bookmarkStart w:id="332" w:name="_Toc172289176"/>
      <w:bookmarkStart w:id="333" w:name="_Toc136357414"/>
      <w:r>
        <w:t>Fastigheterna Runan 5 och Runan 6 och del av Hovmantorp 5:1 som planändringen omfattar, regleras av detaljplanen (07-HOS-150) ”Förslag till ändring av stadsplan för Kv. Runan”, som vann laga kraft 1967-07-19.</w:t>
      </w:r>
    </w:p>
    <w:p>
      <w:pPr>
        <w:pStyle w:val="P3"/>
        <w:rPr>
          <w:lang w:val="en-US"/>
        </w:rPr>
      </w:pPr>
      <w:bookmarkEnd w:id="330"/>
      <w:bookmarkStart w:id="334" w:name="_Toc184299417"/>
      <w:bookmarkStart w:id="335" w:name="_Toc188429289"/>
      <w:bookmarkStart w:id="336" w:name="pu_grundkarta01"/>
      <w:r>
        <w:t>GRUNDKARTA</w:t>
      </w:r>
      <w:bookmarkEnd w:id="331"/>
      <w:bookmarkEnd w:id="332"/>
      <w:bookmarkEnd w:id="333"/>
      <w:bookmarkEnd w:id="334"/>
      <w:bookmarkEnd w:id="335"/>
    </w:p>
    <w:p>
      <w:r>
        <w:t>En grundkarta för digital illustration av ändringen är upprättad för planområdet, daterad 2024-xx-xx i plansystem SWEREF99 15 00 och höjdsystem RH2000. Befintlig grundkarta är från år 1966/1967.</w:t>
      </w:r>
    </w:p>
    <w:p>
      <w:pPr>
        <w:pStyle w:val="P3"/>
      </w:pPr>
      <w:bookmarkEnd w:id="336"/>
      <w:bookmarkStart w:id="337" w:name="_Toc89446062"/>
      <w:bookmarkStart w:id="338" w:name="_Toc184299418"/>
      <w:bookmarkStart w:id="339" w:name="_Toc188429290"/>
      <w:bookmarkStart w:id="340" w:name="_Toc172289177"/>
      <w:bookmarkStart w:id="341" w:name="_Toc136357415"/>
      <w:bookmarkStart w:id="342" w:name="pu_översiktsplan01"/>
      <w:r>
        <w:t>ÖVERSIKTSPLAN</w:t>
      </w:r>
      <w:bookmarkEnd w:id="337"/>
      <w:bookmarkEnd w:id="338"/>
      <w:bookmarkEnd w:id="339"/>
      <w:bookmarkEnd w:id="340"/>
      <w:bookmarkEnd w:id="341"/>
    </w:p>
    <w:p>
      <w:pPr>
        <w:rPr>
          <w:highlight w:val="yellow"/>
        </w:rPr>
      </w:pPr>
      <w:r>
        <w:t>Lessebo kommuns översiktsplan (KS 2016/25) antogs av kommunfullmäktige år 2018 och vann laga kraft den 31 oktober 2018.</w:t>
      </w:r>
    </w:p>
    <w:p>
      <w:pPr>
        <w:pStyle w:val="P3"/>
      </w:pPr>
      <w:bookmarkEnd w:id="342"/>
      <w:bookmarkStart w:id="343" w:name="_Toc89446063"/>
      <w:bookmarkStart w:id="344" w:name="_Toc188429291"/>
      <w:bookmarkStart w:id="345" w:name="_Toc178943446"/>
      <w:bookmarkStart w:id="346" w:name="_Toc184299419"/>
      <w:bookmarkStart w:id="347" w:name="_Toc172289178"/>
      <w:bookmarkStart w:id="348" w:name="_Toc136357416"/>
      <w:bookmarkStart w:id="349" w:name="pu_undersökningenl6kap6_mb01"/>
      <w:r>
        <w:t>UNDERSÖKNING ENLIGT 6 KAP. 6§ PLAN- OCH BYGGLAGEN (2010:900)</w:t>
      </w:r>
      <w:bookmarkEnd w:id="343"/>
      <w:bookmarkEnd w:id="344"/>
      <w:bookmarkEnd w:id="345"/>
      <w:bookmarkEnd w:id="346"/>
      <w:bookmarkEnd w:id="347"/>
      <w:bookmarkEnd w:id="348"/>
    </w:p>
    <w:p>
      <w:r>
        <w:t xml:space="preserve">Enligt sjätte kapitlet i Miljöbalken ska kommunen göra en undersökning för att ta reda på om detaljplaneändringen antas medföra betydande miljöpåverkan. Undersökningen är den process som ska komma fram till om ett förslag till en detaljplans genomförande kan antas medföra en betydande miljöpåverkan eller inte. </w:t>
      </w:r>
    </w:p>
    <w:p>
      <w:r>
        <w:t>Lessebo kommun har upprättat en undersökning om betydandet miljöpåverkan den 5 december 2024 och gjort bedömningen att planförslaget inte kan antas leda till betydande miljöpåverkan. Samhällsbyggnadsnämnden tog beslutet den 2024-12-16 (samrådet) (Dnr 2024/328-4.2.2 §141)</w:t>
      </w:r>
    </w:p>
    <w:p>
      <w:pPr>
        <w:pStyle w:val="P2"/>
      </w:pPr>
      <w:bookmarkEnd w:id="349"/>
      <w:bookmarkStart w:id="350" w:name="_Toc89446066"/>
      <w:bookmarkStart w:id="351" w:name="_Toc188429292"/>
      <w:bookmarkStart w:id="352" w:name="_Toc172289179"/>
      <w:bookmarkStart w:id="353" w:name="_Toc136357417"/>
      <w:bookmarkStart w:id="354" w:name="pu_utredningar01"/>
      <w:r>
        <w:t>UTREDNINGAR</w:t>
      </w:r>
      <w:bookmarkEnd w:id="350"/>
      <w:bookmarkEnd w:id="351"/>
      <w:bookmarkEnd w:id="352"/>
      <w:bookmarkEnd w:id="353"/>
    </w:p>
    <w:p>
      <w:r>
        <w:t xml:space="preserve">Inga nya utredningar har gjorts i arbetet med att ta fram planhandlingarna. </w:t>
      </w:r>
    </w:p>
    <w:p>
      <w:bookmarkEnd w:id="354"/>
    </w:p>
    <w:p>
      <w:r>
        <w:br w:type="page"/>
      </w:r>
    </w:p>
    <w:p>
      <w:pPr>
        <w:pStyle w:val="P1"/>
      </w:pPr>
      <w:bookmarkStart w:id="355" w:name="_Toc89446079"/>
      <w:bookmarkStart w:id="356" w:name="_Toc188429293"/>
      <w:bookmarkStart w:id="357" w:name="_Toc172289181"/>
      <w:bookmarkStart w:id="358" w:name="_Toc136357419"/>
      <w:r>
        <w:t>KONSEKVENSER</w:t>
      </w:r>
      <w:bookmarkEnd w:id="355"/>
      <w:bookmarkEnd w:id="356"/>
      <w:bookmarkEnd w:id="357"/>
      <w:bookmarkEnd w:id="358"/>
    </w:p>
    <w:p>
      <w:pPr>
        <w:pStyle w:val="P2"/>
      </w:pPr>
      <w:bookmarkStart w:id="359" w:name="_Toc89446080"/>
      <w:bookmarkStart w:id="360" w:name="_Toc188429294"/>
      <w:bookmarkStart w:id="361" w:name="_Toc172289182"/>
      <w:bookmarkStart w:id="362" w:name="_Toc136357420"/>
      <w:bookmarkStart w:id="363" w:name="ko_fastigheterochrättigheter01"/>
      <w:r>
        <w:t>FASTIGHETER OCH RÄTTIGHETER</w:t>
      </w:r>
      <w:bookmarkEnd w:id="359"/>
      <w:bookmarkEnd w:id="360"/>
      <w:bookmarkEnd w:id="361"/>
      <w:bookmarkEnd w:id="362"/>
      <w:r>
        <w:t xml:space="preserve"> </w:t>
      </w:r>
    </w:p>
    <w:p>
      <w:r>
        <w:t>Fastigheten Runan 5 är privatägd, Runan 6 ägs av Lindström Property Småland AB och Stamfastigheten Hovmantorp 5:1 ägs av Lessebo kommun.</w:t>
      </w:r>
    </w:p>
    <w:p>
      <w:pPr>
        <w:pStyle w:val="P2"/>
      </w:pPr>
      <w:bookmarkEnd w:id="363"/>
      <w:bookmarkStart w:id="364" w:name="_Toc89446105"/>
      <w:bookmarkStart w:id="365" w:name="_Toc188429295"/>
      <w:bookmarkStart w:id="366" w:name="_Toc172289205"/>
      <w:bookmarkStart w:id="367" w:name="_Toc136357440"/>
      <w:r>
        <w:t>RIKSINTRESSE</w:t>
      </w:r>
      <w:bookmarkEnd w:id="364"/>
      <w:bookmarkEnd w:id="365"/>
      <w:bookmarkEnd w:id="366"/>
      <w:bookmarkEnd w:id="367"/>
    </w:p>
    <w:p>
      <w:pPr>
        <w:pStyle w:val="P3"/>
      </w:pPr>
      <w:bookmarkStart w:id="368" w:name="_Toc172289208"/>
      <w:bookmarkStart w:id="369" w:name="_Toc188429296"/>
      <w:bookmarkStart w:id="370" w:name="_Toc184299424"/>
      <w:bookmarkStart w:id="371" w:name="_Toc178943472"/>
      <w:bookmarkStart w:id="372" w:name="ko_totalförsvar01"/>
      <w:r>
        <w:t>TOTALFÖRSVAR</w:t>
      </w:r>
      <w:bookmarkEnd w:id="368"/>
      <w:bookmarkEnd w:id="369"/>
      <w:bookmarkEnd w:id="370"/>
      <w:bookmarkEnd w:id="371"/>
    </w:p>
    <w:p>
      <w:r>
        <w:t xml:space="preserve">Området ligger inom riksintresset för lågflygningsområde med påverkansområde Norra Blekinge - Södra Småland. Eftersom ingen hög bebyggelse planeras innebär planförslaget inget hinder för Försvarsmaktens verksamhet. </w:t>
      </w:r>
    </w:p>
    <w:p>
      <w:pPr>
        <w:pStyle w:val="P3"/>
      </w:pPr>
      <w:bookmarkEnd w:id="372"/>
      <w:bookmarkStart w:id="373" w:name="_Toc184299425"/>
      <w:bookmarkStart w:id="374" w:name="_Toc188429297"/>
      <w:bookmarkStart w:id="375" w:name="ko_trafikkommunikation01"/>
      <w:r>
        <w:t>KOMMUNIKATIONER</w:t>
      </w:r>
      <w:bookmarkEnd w:id="373"/>
      <w:bookmarkEnd w:id="374"/>
    </w:p>
    <w:p>
      <w:r>
        <w:t>Befintlig järnväg norr om planområdet bedöms inte påverkas av ett genomförande av detaljplaneändringen. Avståndet mellan planområdet och järnvägen är tillräckligt stort för att göra bedömningen att förslaget inte har någon inverkan på riksintresset trafikkommunikation.</w:t>
      </w:r>
    </w:p>
    <w:p>
      <w:pPr>
        <w:pStyle w:val="P2"/>
      </w:pPr>
      <w:bookmarkEnd w:id="375"/>
      <w:bookmarkStart w:id="376" w:name="_Toc89446128"/>
      <w:bookmarkStart w:id="377" w:name="_Toc188429298"/>
      <w:bookmarkStart w:id="378" w:name="_Toc172289209"/>
      <w:bookmarkStart w:id="379" w:name="_Toc136357442"/>
      <w:bookmarkStart w:id="380" w:name="ko_hushållningsbestämmelserenl3kap_mb01"/>
      <w:r>
        <w:t>HUSHÅLLNINGSBESTÄMMELSER ENLIGT 3 KAP. MILJÖBALKEN</w:t>
      </w:r>
      <w:bookmarkEnd w:id="376"/>
      <w:bookmarkEnd w:id="377"/>
      <w:bookmarkEnd w:id="378"/>
      <w:bookmarkEnd w:id="379"/>
    </w:p>
    <w:p>
      <w:r>
        <w:t>Planområdet ligger centralt i tätorten Hovmantorp med goda förutsättningar att nyttja befintliga vägar, resurser och platsen på ett sätt som innebär en god hushållning.</w:t>
      </w:r>
    </w:p>
    <w:p>
      <w:pPr>
        <w:pStyle w:val="P3"/>
      </w:pPr>
      <w:bookmarkEnd w:id="380"/>
      <w:bookmarkStart w:id="381" w:name="_Toc172289210"/>
      <w:bookmarkStart w:id="382" w:name="_Toc188429299"/>
      <w:bookmarkStart w:id="383" w:name="_Toc184299427"/>
      <w:bookmarkStart w:id="384" w:name="_Toc178943474"/>
      <w:bookmarkStart w:id="385" w:name="ko_jordbruksmark01"/>
      <w:bookmarkStart w:id="386" w:name="ko_ekologisktsärskiltkänsligaområden01"/>
      <w:bookmarkStart w:id="387" w:name="ko_skogsbruk01"/>
      <w:r>
        <w:t>JORDBRUKSMARK, SKOGSBRUK OCH EKOLOGISKT SÄRSKLIT KÄNSLIGA OMRÅDEN</w:t>
      </w:r>
      <w:bookmarkEnd w:id="381"/>
      <w:bookmarkEnd w:id="382"/>
      <w:bookmarkEnd w:id="383"/>
      <w:bookmarkEnd w:id="384"/>
    </w:p>
    <w:p>
      <w:r>
        <w:t xml:space="preserve">Planområdet omfattar varken jordbruksmark, skogsbruk eller ekologiskt särskilt känsliga områden. </w:t>
      </w:r>
    </w:p>
    <w:p>
      <w:pPr>
        <w:pStyle w:val="P2"/>
      </w:pPr>
      <w:bookmarkEnd w:id="385"/>
      <w:bookmarkEnd w:id="386"/>
      <w:bookmarkEnd w:id="387"/>
      <w:bookmarkStart w:id="388" w:name="_Toc89446091"/>
      <w:bookmarkStart w:id="389" w:name="_Toc188429300"/>
      <w:bookmarkStart w:id="390" w:name="_Toc172289191"/>
      <w:bookmarkStart w:id="391" w:name="_Toc136357428"/>
      <w:bookmarkStart w:id="392" w:name="ko_miljökvalitetsnormer01"/>
      <w:r>
        <w:t>MILJÖKVALITETSNORMER</w:t>
      </w:r>
      <w:bookmarkEnd w:id="388"/>
      <w:bookmarkEnd w:id="389"/>
      <w:bookmarkEnd w:id="390"/>
      <w:bookmarkEnd w:id="391"/>
    </w:p>
    <w:p>
      <w:r>
        <w:t xml:space="preserve">Kommunen ser inte att genomförandet av detaljplaneändringen kommer att bidra till att någon av miljökvalitetsnormerna överskrids eller påverkas negativt. </w:t>
      </w:r>
    </w:p>
    <w:p>
      <w:pPr>
        <w:pStyle w:val="P3"/>
      </w:pPr>
      <w:bookmarkEnd w:id="392"/>
      <w:bookmarkStart w:id="393" w:name="_Toc89446092"/>
      <w:bookmarkStart w:id="394" w:name="_Toc178943457"/>
      <w:bookmarkStart w:id="395" w:name="_Toc184299429"/>
      <w:bookmarkStart w:id="396" w:name="_Toc188429301"/>
      <w:bookmarkStart w:id="397" w:name="_Toc172289192"/>
      <w:bookmarkStart w:id="398" w:name="_Toc136357429"/>
      <w:bookmarkStart w:id="399" w:name="ko_luft01"/>
      <w:r>
        <w:t>LUFT</w:t>
      </w:r>
      <w:bookmarkEnd w:id="393"/>
      <w:bookmarkEnd w:id="394"/>
      <w:bookmarkEnd w:id="395"/>
      <w:bookmarkEnd w:id="396"/>
      <w:bookmarkEnd w:id="397"/>
      <w:bookmarkEnd w:id="398"/>
    </w:p>
    <w:p>
      <w:r>
        <w:t xml:space="preserve">Miljökvalitetsnormerna för luft ska säkerställa en god luftkvalitet som inte medför risker för människors hälsa. Risk för överskridande av normerna finns framför allt i områden med intensiv fordonstrafik, i anslutning till stora punktkällor eller i täta slutna gaturum med högre bebyggelse och dålig genomluftning. </w:t>
      </w:r>
    </w:p>
    <w:p>
      <w:r>
        <w:t>Planändringen bedöms inte innebära ökad trafik i området, då områdets användning ej förändras. Detaljplaneändringens genomförande bedöms inte bidra till att gällande miljökvalitetsnormer avseende luftkvalitet överskrids och kommer inte heller att innebära någon större skillnad på luftkvalitén jämfört med idag.</w:t>
      </w:r>
    </w:p>
    <w:p>
      <w:pPr>
        <w:pStyle w:val="P3"/>
      </w:pPr>
      <w:bookmarkEnd w:id="399"/>
      <w:bookmarkStart w:id="400" w:name="_Toc89446093"/>
      <w:bookmarkStart w:id="401" w:name="_Toc178943458"/>
      <w:bookmarkStart w:id="402" w:name="_Toc184299430"/>
      <w:bookmarkStart w:id="403" w:name="_Toc188429302"/>
      <w:bookmarkStart w:id="404" w:name="_Toc172289193"/>
      <w:bookmarkStart w:id="405" w:name="_Toc136357430"/>
      <w:bookmarkStart w:id="406" w:name="ko_vatten01"/>
      <w:r>
        <w:t>VATTEN</w:t>
      </w:r>
      <w:bookmarkEnd w:id="400"/>
      <w:bookmarkEnd w:id="401"/>
      <w:bookmarkEnd w:id="402"/>
      <w:bookmarkEnd w:id="403"/>
      <w:bookmarkEnd w:id="404"/>
      <w:bookmarkEnd w:id="405"/>
    </w:p>
    <w:p>
      <w:r>
        <w:t>Planförslaget bedöms inte bidra till att gällande miljökvalitetsnormer avseende vattenkvalitet överskrids.</w:t>
      </w:r>
    </w:p>
    <w:p>
      <w:pPr>
        <w:pStyle w:val="P3"/>
      </w:pPr>
      <w:bookmarkEnd w:id="406"/>
      <w:bookmarkStart w:id="407" w:name="_Toc89446094"/>
      <w:bookmarkStart w:id="408" w:name="_Toc178943459"/>
      <w:bookmarkStart w:id="409" w:name="_Toc184299431"/>
      <w:bookmarkStart w:id="410" w:name="_Toc188429303"/>
      <w:bookmarkStart w:id="411" w:name="_Toc172289194"/>
      <w:bookmarkStart w:id="412" w:name="_Toc136357431"/>
      <w:r>
        <w:t>B</w:t>
      </w:r>
      <w:bookmarkStart w:id="413" w:name="ko_buller01"/>
      <w:r>
        <w:t>ULLER</w:t>
      </w:r>
      <w:bookmarkEnd w:id="407"/>
      <w:bookmarkEnd w:id="408"/>
      <w:bookmarkEnd w:id="409"/>
      <w:bookmarkEnd w:id="410"/>
      <w:bookmarkEnd w:id="411"/>
      <w:bookmarkEnd w:id="412"/>
    </w:p>
    <w:p>
      <w:r>
        <w:t xml:space="preserve">Detaljplaneändringens genomförande bidrar inte till att gällande miljökvalitetsnormer avseende buller överskrids. </w:t>
      </w:r>
    </w:p>
    <w:p>
      <w:pPr>
        <w:pStyle w:val="P2"/>
      </w:pPr>
      <w:bookmarkEnd w:id="413"/>
      <w:bookmarkStart w:id="414" w:name="_Toc89446085"/>
      <w:bookmarkStart w:id="415" w:name="_Toc188429304"/>
      <w:bookmarkStart w:id="416" w:name="_Toc172289186"/>
      <w:bookmarkStart w:id="417" w:name="_Toc136357424"/>
      <w:r>
        <w:t>MILJÖ</w:t>
      </w:r>
      <w:bookmarkEnd w:id="414"/>
      <w:bookmarkEnd w:id="415"/>
      <w:bookmarkEnd w:id="416"/>
      <w:bookmarkEnd w:id="417"/>
    </w:p>
    <w:p>
      <w:pPr>
        <w:pStyle w:val="P3"/>
      </w:pPr>
      <w:bookmarkStart w:id="418" w:name="_Toc89446087"/>
      <w:bookmarkStart w:id="419" w:name="_Toc178943453"/>
      <w:bookmarkStart w:id="420" w:name="_Toc184299433"/>
      <w:bookmarkStart w:id="421" w:name="_Toc188429305"/>
      <w:bookmarkStart w:id="422" w:name="_Toc172289187"/>
      <w:bookmarkStart w:id="423" w:name="_Toc136357425"/>
      <w:bookmarkStart w:id="424" w:name="ko_miljöbedömning01"/>
      <w:r>
        <w:t>MILJÖBEDÖMNING</w:t>
      </w:r>
      <w:bookmarkEnd w:id="418"/>
      <w:bookmarkEnd w:id="419"/>
      <w:bookmarkEnd w:id="420"/>
      <w:bookmarkEnd w:id="421"/>
      <w:bookmarkEnd w:id="422"/>
      <w:bookmarkEnd w:id="423"/>
    </w:p>
    <w:p>
      <w:r>
        <w:t>Samhällsbyggnadsförvaltningen har genomfört en undersökning om betydande miljöpåverkan enligt 6 kap. Miljöbalken. Undersökningen har genomförts enligt avdelningens bedömningsmall och detaljplaneändringens genomförande bedöms inte leda till någon betydande miljöpåverkan.</w:t>
      </w:r>
    </w:p>
    <w:p>
      <w:pPr>
        <w:pStyle w:val="P3"/>
      </w:pPr>
      <w:bookmarkEnd w:id="424"/>
      <w:bookmarkStart w:id="425" w:name="_Toc89446088"/>
      <w:bookmarkStart w:id="426" w:name="_Toc178943454"/>
      <w:bookmarkStart w:id="427" w:name="_Toc184299434"/>
      <w:bookmarkStart w:id="428" w:name="_Toc188429306"/>
      <w:bookmarkStart w:id="429" w:name="_Toc172289188"/>
      <w:bookmarkStart w:id="430" w:name="_Toc136357426"/>
      <w:bookmarkStart w:id="431" w:name="ko_ställningstagande4kap33b_pbl01"/>
      <w:r>
        <w:t>STÄLLNINGSTAGANDE 4 KAP. 33 B § PLAN- OCH BYGGLAGEN (2010:900)</w:t>
      </w:r>
      <w:bookmarkEnd w:id="425"/>
      <w:bookmarkEnd w:id="426"/>
      <w:bookmarkEnd w:id="427"/>
      <w:bookmarkEnd w:id="428"/>
      <w:bookmarkEnd w:id="429"/>
      <w:bookmarkEnd w:id="430"/>
    </w:p>
    <w:p>
      <w:bookmarkStart w:id="432" w:name="_Hlk178674103"/>
      <w:r>
        <w:t xml:space="preserve">Kommunen grundar sitt ställningstagande på att den nu föreslagna markanvändningen inte får några nämnvärda effekter på miljön, marken, luften eller klimatet, vegetationen, djurlivet eller effekter på hälsan, naturresurser, transporter, rekreation. Planförslaget påverkar landskapsbilden till viss del men bedöms passa in i befintlig miljö. Det finns inte anledning att anta att miljökvalitetsnormen kommer att överskridas. En särskild miljökonsekvensbeskrivning enligt Miljöbalken 6 kap. 11, 12 §§ bedöms därför inte behöva genomföras. </w:t>
      </w:r>
    </w:p>
    <w:p>
      <w:pPr>
        <w:pStyle w:val="P3"/>
      </w:pPr>
      <w:bookmarkEnd w:id="431"/>
      <w:bookmarkEnd w:id="432"/>
      <w:bookmarkStart w:id="433" w:name="_Toc89446090"/>
      <w:bookmarkStart w:id="434" w:name="_Toc188429307"/>
      <w:bookmarkStart w:id="435" w:name="_Toc178943455"/>
      <w:bookmarkStart w:id="436" w:name="_Ref183526692"/>
      <w:bookmarkStart w:id="437" w:name="_Toc184299435"/>
      <w:bookmarkStart w:id="438" w:name="_Toc172289190"/>
      <w:bookmarkStart w:id="439" w:name="_Toc136357427"/>
      <w:bookmarkStart w:id="440" w:name="ko_dagvatten01"/>
      <w:r>
        <w:t>DAGVATTEN</w:t>
      </w:r>
      <w:bookmarkEnd w:id="433"/>
      <w:bookmarkEnd w:id="434"/>
      <w:bookmarkEnd w:id="435"/>
      <w:bookmarkEnd w:id="436"/>
      <w:bookmarkEnd w:id="437"/>
      <w:bookmarkEnd w:id="438"/>
      <w:bookmarkEnd w:id="439"/>
    </w:p>
    <w:p>
      <w:r>
        <w:t xml:space="preserve">Ändringen av detaljplanen meder totalt sett inte en högre exploateringsgrad, utan istället en 12% lägre exploateringsgrad utifrån befintlig detaljplan. Detta gör att dagvatten har större möjlighet att hanteras inom fastigheten än tidigare detaljplan. Den största delen av den befintliga detaljplanens prickmark bevaras, vilket styr bebyggelsens placering. </w:t>
      </w:r>
    </w:p>
    <w:p>
      <w:r>
        <w:t>Kommunala ledningar för bortförsel av dagvatten finns inom och i omgivande gatumark i nära anslutning till planområdet. De kommunala dagvattenledningarna samt hantering av dagvatten på den egna fastigheten, gör att planområdet bedöms inneha tillräckligt goda förutsättningar för hantering av en större mängd dagvatten. Bedömningen görs även med hänsyn till markens infiltrationskapacitet som enligt SGUs genomsläpplighetskarta bedöms till medelhög.</w:t>
      </w:r>
    </w:p>
    <w:p>
      <w:r>
        <w:t xml:space="preserve">Inom kvartersmarken ska så mycket vatten som möjligt infiltreras, renas och fördröjas i marken och får inte avledas på ett sätt som kan medföra skada för en annan fastighet. Avledning av dagvatten från hårdgjorda ytor som hustak, uppfarter och parkeringar ska i första hand minimeras genom att öka möjligheterna för infiltration, avdunstning och transpiration. </w:t>
      </w:r>
    </w:p>
    <w:p>
      <w:r>
        <w:t xml:space="preserve">På körytor och parkeringsplatser kan man jobba med genomsläppliga beläggningar, till exempel porös asfalt, naturgrus eller hålsten av betong vilket bidrar med en utjämning av flöden, reduktion av flödeshastigheter och rening av dagvattnet. Andra exempel på genomsläppliga material är ihåliga plastplattor, permeabel asfalt och grus eller en kombination av dessa. </w:t>
      </w:r>
    </w:p>
    <w:p>
      <w:pPr>
        <w:pStyle w:val="P2"/>
      </w:pPr>
      <w:bookmarkEnd w:id="440"/>
      <w:bookmarkStart w:id="441" w:name="_Toc89446095"/>
      <w:bookmarkStart w:id="442" w:name="_Toc188429308"/>
      <w:bookmarkStart w:id="443" w:name="_Toc172289195"/>
      <w:bookmarkStart w:id="444" w:name="_Toc136357432"/>
      <w:r>
        <w:t>HÄLSA OCH SÄKERHET</w:t>
      </w:r>
      <w:bookmarkEnd w:id="441"/>
      <w:bookmarkEnd w:id="442"/>
      <w:bookmarkEnd w:id="443"/>
      <w:bookmarkEnd w:id="444"/>
    </w:p>
    <w:p>
      <w:pPr>
        <w:pStyle w:val="P3"/>
      </w:pPr>
      <w:bookmarkStart w:id="445" w:name="_Toc89446096"/>
      <w:bookmarkStart w:id="446" w:name="_Toc184299437"/>
      <w:bookmarkStart w:id="447" w:name="_Toc188429309"/>
      <w:bookmarkStart w:id="448" w:name="_Toc172289196"/>
      <w:bookmarkStart w:id="449" w:name="_Toc178943461"/>
      <w:bookmarkStart w:id="450" w:name="_Toc136357433"/>
      <w:bookmarkStart w:id="451" w:name="ko_beräkningavomgivningsbuller01"/>
      <w:r>
        <w:t>BERÄKNING AV OMGIVNINGSBULLER</w:t>
      </w:r>
      <w:bookmarkEnd w:id="445"/>
      <w:bookmarkEnd w:id="446"/>
      <w:bookmarkEnd w:id="447"/>
      <w:bookmarkEnd w:id="448"/>
      <w:bookmarkEnd w:id="449"/>
      <w:bookmarkEnd w:id="450"/>
    </w:p>
    <w:p>
      <w:r>
        <w:t>Ändringen av detaljplanen bedöms inte leda till någon ökning av omgivningsbuller och därmed inte heller överstiga några gällande riktvärden. Föreslagen markanvändning medför inte någon ökning av tung trafik.</w:t>
      </w:r>
      <w:bookmarkEnd w:id="451"/>
      <w:r>
        <w:t xml:space="preserve"> </w:t>
      </w:r>
    </w:p>
    <w:p>
      <w:pPr>
        <w:pStyle w:val="P3"/>
        <w:rPr>
          <w:lang w:val="en-US"/>
        </w:rPr>
      </w:pPr>
      <w:bookmarkStart w:id="452" w:name="_Toc89446097"/>
      <w:bookmarkStart w:id="453" w:name="_Toc184299438"/>
      <w:bookmarkStart w:id="454" w:name="_Toc188429310"/>
      <w:bookmarkStart w:id="455" w:name="_Toc172289197"/>
      <w:bookmarkStart w:id="456" w:name="_Toc178943462"/>
      <w:bookmarkStart w:id="457" w:name="_Toc136357434"/>
      <w:bookmarkStart w:id="458" w:name="ko_översvämning01"/>
      <w:r>
        <w:t>ÖVERSVÄMNING</w:t>
      </w:r>
      <w:bookmarkEnd w:id="452"/>
      <w:bookmarkEnd w:id="453"/>
      <w:bookmarkEnd w:id="454"/>
      <w:bookmarkEnd w:id="455"/>
      <w:bookmarkEnd w:id="456"/>
      <w:bookmarkEnd w:id="457"/>
    </w:p>
    <w:p>
      <w:r>
        <w:t xml:space="preserve">Utifrån beräkningsverketyget Scalgo Live (samt med hänsyn till de befintliga brunnar som finns inom planområdet och i gatan utanför), befintliga höjdförhållanden och markens jorddjup, innehåll och genomsläpplighetsgrad, gör kommunen bedömningen att en exploatering av området inte riskerar att skapa någon översvämningsproblematik. </w:t>
      </w:r>
    </w:p>
    <w:p>
      <w:r>
        <w:t>De lågpunkter som finns inom planområdet hanteras antingen med den kommunala dagvattenledningen i gatan och inom planområdet, eller genom infiltration på fastigheten. Det är fastighetsägarens egna ansvar att dagvattenhantering och fördröjning av dagvatten kan ske inom den egna fastigheten</w:t>
      </w:r>
      <w:r>
        <w:rPr>
          <w:rtl w:val="0"/>
          <w:lang w:val="sv-SE" w:bidi="sv-SE" w:eastAsia="sv-SE"/>
        </w:rPr>
        <w:t>.</w:t>
      </w:r>
    </w:p>
    <w:p>
      <w:pPr>
        <w:pStyle w:val="P3"/>
      </w:pPr>
      <w:bookmarkEnd w:id="458"/>
      <w:bookmarkStart w:id="459" w:name="_Toc89446098"/>
      <w:bookmarkStart w:id="460" w:name="_Toc184299439"/>
      <w:bookmarkStart w:id="461" w:name="_Toc188429311"/>
      <w:bookmarkStart w:id="462" w:name="_Toc172289198"/>
      <w:bookmarkStart w:id="463" w:name="_Toc178943463"/>
      <w:bookmarkStart w:id="464" w:name="_Toc136357435"/>
      <w:bookmarkStart w:id="465" w:name="ko_olyckor01"/>
      <w:r>
        <w:t>OLYCKOR</w:t>
      </w:r>
      <w:bookmarkEnd w:id="459"/>
      <w:bookmarkEnd w:id="460"/>
      <w:bookmarkEnd w:id="461"/>
      <w:bookmarkEnd w:id="462"/>
      <w:bookmarkEnd w:id="463"/>
      <w:bookmarkEnd w:id="464"/>
    </w:p>
    <w:p>
      <w:r>
        <w:t>Det bedöms inte föreligga några risker kring olyckor.</w:t>
      </w:r>
    </w:p>
    <w:p>
      <w:pPr>
        <w:pStyle w:val="P3"/>
      </w:pPr>
      <w:bookmarkEnd w:id="465"/>
      <w:bookmarkStart w:id="466" w:name="_Toc89446099"/>
      <w:bookmarkStart w:id="467" w:name="_Toc136357436"/>
      <w:bookmarkStart w:id="468" w:name="_Toc188429312"/>
      <w:bookmarkStart w:id="469" w:name="_Toc178943464"/>
      <w:bookmarkStart w:id="470" w:name="_Toc184299440"/>
      <w:bookmarkStart w:id="471" w:name="_Toc172289199"/>
      <w:bookmarkStart w:id="472" w:name="ko_erosion01"/>
      <w:bookmarkStart w:id="473" w:name="ko_ras01"/>
      <w:bookmarkStart w:id="474" w:name="ko_skred01"/>
      <w:r>
        <w:t>EROSION</w:t>
      </w:r>
      <w:bookmarkEnd w:id="466"/>
      <w:r>
        <w:t>, RAS OCH SKRED</w:t>
      </w:r>
      <w:bookmarkEnd w:id="467"/>
      <w:bookmarkEnd w:id="468"/>
      <w:bookmarkEnd w:id="469"/>
      <w:bookmarkEnd w:id="470"/>
      <w:bookmarkEnd w:id="471"/>
    </w:p>
    <w:p>
      <w:r>
        <w:t xml:space="preserve">Marken inom och omkring planområdet bedöms inte ligga i ett område där det föreligger någon risk för ras, skred eller erosion. </w:t>
      </w:r>
    </w:p>
    <w:p>
      <w:pPr>
        <w:pStyle w:val="P3"/>
      </w:pPr>
      <w:bookmarkEnd w:id="472"/>
      <w:bookmarkEnd w:id="473"/>
      <w:bookmarkEnd w:id="474"/>
      <w:bookmarkStart w:id="475" w:name="_Toc172289200"/>
      <w:bookmarkStart w:id="476" w:name="_Toc184299441"/>
      <w:bookmarkStart w:id="477" w:name="_Toc188429313"/>
      <w:bookmarkStart w:id="478" w:name="_Toc178943465"/>
      <w:bookmarkStart w:id="479" w:name="ko_förorenadeområden01"/>
      <w:r>
        <w:t>FÖRORENADE OMRÅDEN</w:t>
      </w:r>
      <w:bookmarkEnd w:id="475"/>
      <w:bookmarkEnd w:id="476"/>
      <w:bookmarkEnd w:id="477"/>
      <w:bookmarkEnd w:id="478"/>
    </w:p>
    <w:p>
      <w:r>
        <w:t>Marken är idag redan är planlagd och prövad för användning bostäder. Risken för förorening bedöms som låg och ingen undersökning av markföroreningar inom planarbetet bedöms som nödvändigt. Om föroreningar skulle påträffas vid till exempel markarbeten ska tillsynsmyndigheten genast underrättas enligt 10 kap. Miljöbalken.</w:t>
      </w:r>
    </w:p>
    <w:p>
      <w:pPr>
        <w:pStyle w:val="P2"/>
      </w:pPr>
      <w:bookmarkEnd w:id="479"/>
      <w:bookmarkStart w:id="480" w:name="_Toc188429314"/>
      <w:bookmarkStart w:id="481" w:name="ko_annat01"/>
      <w:r>
        <w:t>GEOTEKNISKA FÖRHÅLLANDEN</w:t>
      </w:r>
      <w:bookmarkEnd w:id="480"/>
    </w:p>
    <w:p>
      <w:r>
        <w:t xml:space="preserve">Föreslagen ändring av planen bedöms inte utgöra någon försvåring för exploatering i jämförelse med befintlig detaljplan. </w:t>
      </w:r>
    </w:p>
    <w:p>
      <w:pPr>
        <w:pStyle w:val="P2"/>
      </w:pPr>
      <w:bookmarkEnd w:id="481"/>
      <w:bookmarkStart w:id="482" w:name="_Toc188429315"/>
      <w:r>
        <w:t>FYSISK</w:t>
      </w:r>
      <w:r>
        <w:t xml:space="preserve"> MILJÖ</w:t>
      </w:r>
      <w:bookmarkEnd w:id="482"/>
    </w:p>
    <w:p>
      <w:pPr>
        <w:pStyle w:val="P3"/>
      </w:pPr>
      <w:bookmarkStart w:id="483" w:name="_Toc89446083"/>
      <w:bookmarkStart w:id="484" w:name="_Toc184299444"/>
      <w:bookmarkStart w:id="485" w:name="_Toc188429316"/>
      <w:bookmarkStart w:id="486" w:name="_Toc172289185"/>
      <w:bookmarkStart w:id="487" w:name="_Toc178943451"/>
      <w:bookmarkStart w:id="488" w:name="_Toc136357423"/>
      <w:bookmarkStart w:id="489" w:name="ko_landskapsbild01"/>
      <w:r>
        <w:t>LANDSKAPSBILD</w:t>
      </w:r>
      <w:bookmarkEnd w:id="483"/>
      <w:bookmarkEnd w:id="484"/>
      <w:bookmarkEnd w:id="485"/>
      <w:bookmarkEnd w:id="486"/>
      <w:bookmarkEnd w:id="487"/>
      <w:bookmarkEnd w:id="488"/>
      <w:r>
        <w:t xml:space="preserve"> </w:t>
      </w:r>
    </w:p>
    <w:p>
      <w:r>
        <w:t xml:space="preserve">Ändringen av detaljplanen bedöms kunna medföra en förändrad landskapsbild i och med att föreslagna planbestämmelser reglerar byggrätten på ett annat sätt än som görs idag. Byggrätten kommer med förslaget att reglera varje fastighet för sig, vilket utifrån dagens situation gör att mer markyta kan tas i anspråk, än vad som görs idag. Befintlig plan reglerar BTA per kvarter. </w:t>
      </w:r>
    </w:p>
    <w:p>
      <w:r>
        <w:t>Landskapsbilden i området är idag varierad och växlar i skala, uttryck, material och karaktär. Omgivningen består idag bland annat av både mindre byggnader i form av villor, men även större byggnadskroppar med tidigare användningar såsom glasbruk. I förhållande till planområdets omgivning bedöms inte landskapsbilden som helhet förändras i någon större omfattning. Den föreslagna utformningen bedöms passa i en den befintliga landskapsbilden.</w:t>
      </w:r>
    </w:p>
    <w:p>
      <w:pPr>
        <w:pStyle w:val="P2"/>
      </w:pPr>
      <w:bookmarkEnd w:id="489"/>
      <w:bookmarkStart w:id="490" w:name="_Toc89446102"/>
      <w:bookmarkStart w:id="491" w:name="_Toc172289202"/>
      <w:bookmarkStart w:id="492" w:name="_Toc188429317"/>
      <w:bookmarkStart w:id="493" w:name="_Toc136357438"/>
      <w:r>
        <w:t>SOCIALA</w:t>
      </w:r>
      <w:bookmarkEnd w:id="490"/>
      <w:bookmarkEnd w:id="491"/>
      <w:bookmarkEnd w:id="492"/>
      <w:bookmarkEnd w:id="493"/>
    </w:p>
    <w:p>
      <w:pPr>
        <w:pStyle w:val="P3"/>
      </w:pPr>
      <w:bookmarkStart w:id="494" w:name="_Toc172289203"/>
      <w:bookmarkStart w:id="495" w:name="_Toc184299446"/>
      <w:bookmarkStart w:id="496" w:name="_Toc188429318"/>
      <w:bookmarkStart w:id="497" w:name="_Toc178943468"/>
      <w:bookmarkStart w:id="498" w:name="ko_barn01"/>
      <w:r>
        <w:t>BARN</w:t>
      </w:r>
      <w:bookmarkEnd w:id="494"/>
      <w:bookmarkEnd w:id="495"/>
      <w:bookmarkEnd w:id="496"/>
      <w:bookmarkEnd w:id="497"/>
    </w:p>
    <w:p>
      <w:r>
        <w:t xml:space="preserve">I januari 2020 trädde lagen om Barnkonventionen i kraft vilka ska synliggöra barns rättigheter i samhället. Enligt artikel 3 i barnkonventionen ska barnets bästa beaktas vid alla åtgärder som rör barn. Som barn betraktas alla människor under 18 år. </w:t>
      </w:r>
    </w:p>
    <w:p>
      <w:r>
        <w:t xml:space="preserve">Planförslaget och planområdets läge bedöms inte innebära några påtagliga konsekvenser utifrån barnperspektivet. Planområdet är idag redan exploaterat och inga större förändringar förslås. Förslaget ger möjligheter till vidare utveckling av tätorten, vilket kan locka nya och fler invånare att både besöka och etablera sig i orten. </w:t>
      </w:r>
    </w:p>
    <w:p>
      <w:r>
        <w:t xml:space="preserve">När fler människor besöker eller bosätter sig i området ökar chanserna till spontana möten under fler tider på dygnet och året. Detta gör att närvaron i området ökar och därmed även den upplevda tryggheten, vilket är positivt för främst barn och unga. </w:t>
      </w:r>
    </w:p>
    <w:p>
      <w:r>
        <w:t xml:space="preserve">Planområdet och dess omgivning anses vara barnvänligt, sett till omkringliggande miljöer. Det finns en närhet till gröna ytor och platser för lek, för både yngre och äldre barn. Både skola och förskola finns i närhet till planområdet. Det är viktigt att skapa en säker utomhusmiljö där barn kan röra sig på ett bra och tryggt sätt. </w:t>
      </w:r>
    </w:p>
    <w:p>
      <w:r>
        <w:t xml:space="preserve">Barn- och utbildningsnämnden är med på sändlistan när ändringsplanen skickas ut på samråd och granskning. </w:t>
      </w:r>
    </w:p>
    <w:p>
      <w:pPr>
        <w:pStyle w:val="P2"/>
      </w:pPr>
      <w:bookmarkEnd w:id="498"/>
      <w:bookmarkStart w:id="499" w:name="_Toc89446133"/>
      <w:bookmarkStart w:id="500" w:name="_Toc172289212"/>
      <w:bookmarkStart w:id="501" w:name="_Toc188429319"/>
      <w:bookmarkStart w:id="502" w:name="_Toc136357444"/>
      <w:bookmarkStart w:id="503" w:name="ko_trafik01"/>
      <w:r>
        <w:t>TRAFIK</w:t>
      </w:r>
      <w:bookmarkEnd w:id="499"/>
      <w:bookmarkEnd w:id="500"/>
      <w:bookmarkEnd w:id="501"/>
      <w:bookmarkEnd w:id="502"/>
    </w:p>
    <w:p>
      <w:r>
        <w:t>Detaljplaneändringen innebär ingen förändring i nuvarande gatusystem.</w:t>
      </w:r>
      <w:bookmarkEnd w:id="503"/>
      <w:bookmarkStart w:id="504" w:name="_Toc172289216"/>
      <w:r>
        <w:rPr>
          <w:u w:val="single"/>
        </w:rPr>
        <w:br w:type="page"/>
      </w:r>
    </w:p>
    <w:p>
      <w:pPr>
        <w:pStyle w:val="P1"/>
      </w:pPr>
      <w:bookmarkEnd w:id="504"/>
      <w:bookmarkStart w:id="505" w:name="_Toc188429320"/>
      <w:r>
        <w:t>GENOMFÖRANDEFRÅGOR</w:t>
      </w:r>
      <w:bookmarkEnd w:id="505"/>
    </w:p>
    <w:p>
      <w:pPr>
        <w:pStyle w:val="P2"/>
      </w:pPr>
      <w:bookmarkStart w:id="506" w:name="_Toc188429321"/>
      <w:bookmarkStart w:id="507" w:name="gf_markochutrymmesförvärv01"/>
      <w:r>
        <w:t>MARK- OCH UTRYMMESFÖRVÄRV</w:t>
      </w:r>
      <w:bookmarkEnd w:id="506"/>
    </w:p>
    <w:p>
      <w:pPr>
        <w:rPr>
          <w:shd w:val="clear" w:color="auto" w:fill="FFFFFF"/>
        </w:rPr>
      </w:pPr>
      <w:r>
        <w:rPr>
          <w:shd w:val="clear" w:color="auto" w:fill="FFFFFF"/>
        </w:rPr>
        <w:t>Något mark- och utrymmesförvärv inte är aktuellt för att genomföra ändringen av detaljplanen.</w:t>
      </w:r>
    </w:p>
    <w:p>
      <w:pPr>
        <w:pStyle w:val="P2"/>
      </w:pPr>
      <w:bookmarkEnd w:id="507"/>
      <w:bookmarkStart w:id="508" w:name="_Toc188429322"/>
      <w:bookmarkStart w:id="509" w:name="gf_fastighetsrättsligafrågor01"/>
      <w:r>
        <w:t>FASTIGHETSRÄTTSLIGA FRÅGOR</w:t>
      </w:r>
      <w:bookmarkEnd w:id="508"/>
    </w:p>
    <w:p>
      <w:r>
        <w:t xml:space="preserve">Här beskrivs de fastighetsrättsliga åtgärderna som behövs för att planen ska kunna genomföras på ett samordnat och ändamålsenligt sätt. </w:t>
      </w:r>
    </w:p>
    <w:p>
      <w:pPr>
        <w:pStyle w:val="P3"/>
      </w:pPr>
      <w:bookmarkEnd w:id="509"/>
      <w:bookmarkStart w:id="510" w:name="_Toc178943479"/>
      <w:bookmarkStart w:id="511" w:name="_Toc188429323"/>
      <w:bookmarkStart w:id="512" w:name="_Toc184299452"/>
      <w:bookmarkStart w:id="513" w:name="gf_fastighetsindelningsbestämmelser01"/>
      <w:r>
        <w:t>FASTIGHETSINDELNINGSBESTÄMMELSER</w:t>
      </w:r>
      <w:bookmarkEnd w:id="510"/>
      <w:bookmarkEnd w:id="511"/>
      <w:bookmarkEnd w:id="512"/>
    </w:p>
    <w:p>
      <w:r>
        <w:t>Planområdet omfattas av en fastighetsindelningsbestämmelse för Runan 6, en tomtindelning, akt 07-HOS-155. Enligt övergångsbestämmelser räknas tomtindelningen som en fastighetsindelningsbestämmelse och innebär att utformningen av Runan 6 inte kan ändras. Det finns även en fastighetsindelningsbestämmelse, en tomtindelning för Runan 5, akt 07-HOS-56.</w:t>
      </w:r>
    </w:p>
    <w:p>
      <w:pPr>
        <w:pStyle w:val="P3"/>
      </w:pPr>
      <w:bookmarkEnd w:id="513"/>
      <w:bookmarkStart w:id="514" w:name="_Toc89446146"/>
      <w:bookmarkStart w:id="515" w:name="_Toc172289220"/>
      <w:bookmarkStart w:id="516" w:name="_Toc136357452"/>
      <w:bookmarkStart w:id="517" w:name="_Toc178943480"/>
      <w:bookmarkStart w:id="518" w:name="_Toc188429324"/>
      <w:bookmarkStart w:id="519" w:name="_Toc184299453"/>
      <w:bookmarkStart w:id="520" w:name="gf_förändradfastighetsindelning01"/>
      <w:r>
        <w:t>F</w:t>
      </w:r>
      <w:bookmarkEnd w:id="514"/>
      <w:bookmarkEnd w:id="515"/>
      <w:bookmarkEnd w:id="516"/>
      <w:r>
        <w:t>ÖRÄNDRAD FASTIGHETSINDELNING</w:t>
      </w:r>
      <w:bookmarkEnd w:id="517"/>
      <w:bookmarkEnd w:id="518"/>
      <w:bookmarkEnd w:id="519"/>
    </w:p>
    <w:p>
      <w:r>
        <w:t>Planen innebär ingen förändrad fastighetsindelning.</w:t>
      </w:r>
    </w:p>
    <w:p>
      <w:pPr>
        <w:pStyle w:val="P3"/>
        <w:rPr>
          <w:lang w:val="en-US"/>
        </w:rPr>
      </w:pPr>
      <w:bookmarkEnd w:id="520"/>
      <w:bookmarkStart w:id="521" w:name="_Toc178943481"/>
      <w:bookmarkStart w:id="522" w:name="_Toc188429325"/>
      <w:bookmarkStart w:id="523" w:name="_Toc184299454"/>
      <w:bookmarkStart w:id="524" w:name="gf_rättigheter01"/>
      <w:r>
        <w:t>RÄTTIGHETER</w:t>
      </w:r>
      <w:bookmarkEnd w:id="521"/>
      <w:bookmarkEnd w:id="522"/>
      <w:bookmarkEnd w:id="523"/>
      <w:r>
        <w:br w:type="textWrapping"/>
      </w:r>
    </w:p>
    <w:tbl>
      <w:tblPr>
        <w:tblStyle w:val="T2"/>
        <w:tblW w:w="7655" w:type="dxa"/>
        <w:tblInd w:w="-5" w:type="dxa"/>
        <w:tblLook w:val="04A0"/>
      </w:tblPr>
      <w:tblGrid/>
      <w:tr>
        <w:tc>
          <w:tcPr>
            <w:tcW w:w="1843" w:type="dxa"/>
            <w:tcBorders>
              <w:top w:val="single" w:sz="4" w:space="0" w:shadow="0" w:frame="0"/>
              <w:left w:val="single" w:sz="4" w:space="0" w:shadow="0" w:frame="0"/>
              <w:bottom w:val="single" w:sz="4" w:space="0" w:shadow="0" w:frame="0"/>
              <w:right w:val="single" w:sz="4" w:space="0" w:shadow="0" w:frame="0"/>
            </w:tcBorders>
            <w:shd w:val="clear" w:color="auto" w:fill="F2F2F2" w:themeFill="background1" w:themeFillShade="F2"/>
            <w:hideMark/>
          </w:tcPr>
          <w:p>
            <w:pPr>
              <w:spacing w:lineRule="auto" w:line="288" w:after="160" w:beforeAutospacing="0" w:afterAutospacing="0"/>
              <w:rPr>
                <w:b w:val="1"/>
                <w:bCs w:val="1"/>
              </w:rPr>
            </w:pPr>
            <w:r>
              <w:rPr>
                <w:b w:val="1"/>
                <w:bCs w:val="1"/>
              </w:rPr>
              <w:t>Servitut / nr</w:t>
            </w:r>
          </w:p>
        </w:tc>
        <w:tc>
          <w:tcPr>
            <w:tcW w:w="3119" w:type="dxa"/>
            <w:tcBorders>
              <w:top w:val="single" w:sz="4" w:space="0" w:shadow="0" w:frame="0"/>
              <w:left w:val="single" w:sz="4" w:space="0" w:shadow="0" w:frame="0"/>
              <w:bottom w:val="single" w:sz="4" w:space="0" w:shadow="0" w:frame="0"/>
              <w:right w:val="single" w:sz="4" w:space="0" w:shadow="0" w:frame="0"/>
            </w:tcBorders>
            <w:shd w:val="clear" w:color="auto" w:fill="F2F2F2" w:themeFill="background1" w:themeFillShade="F2"/>
            <w:hideMark/>
          </w:tcPr>
          <w:p>
            <w:pPr>
              <w:spacing w:lineRule="auto" w:line="288" w:after="160" w:beforeAutospacing="0" w:afterAutospacing="0"/>
              <w:rPr>
                <w:b w:val="1"/>
                <w:bCs w:val="1"/>
              </w:rPr>
            </w:pPr>
            <w:r>
              <w:rPr>
                <w:b w:val="1"/>
                <w:bCs w:val="1"/>
              </w:rPr>
              <w:t>Vad</w:t>
            </w:r>
          </w:p>
        </w:tc>
        <w:tc>
          <w:tcPr>
            <w:tcW w:w="2693" w:type="dxa"/>
            <w:tcBorders>
              <w:top w:val="single" w:sz="4" w:space="0" w:shadow="0" w:frame="0"/>
              <w:left w:val="single" w:sz="4" w:space="0" w:shadow="0" w:frame="0"/>
              <w:bottom w:val="single" w:sz="4" w:space="0" w:shadow="0" w:frame="0"/>
              <w:right w:val="single" w:sz="4" w:space="0" w:shadow="0" w:frame="0"/>
            </w:tcBorders>
            <w:shd w:val="clear" w:color="auto" w:fill="F2F2F2" w:themeFill="background1" w:themeFillShade="F2"/>
            <w:hideMark/>
          </w:tcPr>
          <w:p>
            <w:pPr>
              <w:spacing w:lineRule="auto" w:line="288" w:after="160" w:beforeAutospacing="0" w:afterAutospacing="0"/>
              <w:rPr>
                <w:b w:val="1"/>
                <w:bCs w:val="1"/>
              </w:rPr>
            </w:pPr>
            <w:r>
              <w:rPr>
                <w:b w:val="1"/>
                <w:bCs w:val="1"/>
              </w:rPr>
              <w:t>Berörda fastigheter</w:t>
            </w:r>
          </w:p>
        </w:tc>
      </w:tr>
      <w:tr>
        <w:trPr>
          <w:trHeight w:hRule="atLeast" w:val="699"/>
        </w:trPr>
        <w:tc>
          <w:tcPr>
            <w:tcW w:w="1843"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0761-16/4.1</w:t>
            </w:r>
          </w:p>
        </w:tc>
        <w:tc>
          <w:tcPr>
            <w:tcW w:w="3119"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Ledningsrätt, Levande, Last, FJÄRRVÄRME</w:t>
              <w:tab/>
            </w:r>
          </w:p>
        </w:tc>
        <w:tc>
          <w:tcPr>
            <w:tcW w:w="2693" w:type="dxa"/>
            <w:tcBorders>
              <w:top w:val="single" w:sz="4" w:space="0" w:shadow="0" w:frame="0"/>
              <w:left w:val="single" w:sz="4" w:space="0" w:shadow="0" w:frame="0"/>
              <w:bottom w:val="single" w:sz="4" w:space="0" w:shadow="0" w:frame="0"/>
              <w:right w:val="single" w:sz="4" w:space="0" w:shadow="0" w:frame="0"/>
            </w:tcBorders>
            <w:hideMark/>
          </w:tcPr>
          <w:p>
            <w:pPr>
              <w:spacing w:lineRule="auto" w:line="288" w:after="160" w:beforeAutospacing="0" w:afterAutospacing="0"/>
            </w:pPr>
            <w:r>
              <w:t>Runan 5, Runan 6</w:t>
            </w:r>
          </w:p>
        </w:tc>
      </w:tr>
      <w:tr>
        <w:tc>
          <w:tcPr>
            <w:tcW w:w="1843" w:type="dxa"/>
            <w:tcBorders>
              <w:top w:val="single" w:sz="4" w:space="0" w:shadow="0" w:frame="0"/>
              <w:left w:val="single" w:sz="4" w:space="0" w:shadow="0" w:frame="0"/>
              <w:bottom w:val="single" w:sz="4" w:space="0" w:shadow="0" w:frame="0"/>
              <w:right w:val="single" w:sz="4" w:space="0" w:shadow="0" w:frame="0"/>
            </w:tcBorders>
          </w:tcPr>
          <w:p>
            <w:r>
              <w:t>0761-2017/7.1</w:t>
            </w:r>
          </w:p>
        </w:tc>
        <w:tc>
          <w:tcPr>
            <w:tcW w:w="3119" w:type="dxa"/>
            <w:tcBorders>
              <w:top w:val="single" w:sz="4" w:space="0" w:shadow="0" w:frame="0"/>
              <w:left w:val="single" w:sz="4" w:space="0" w:shadow="0" w:frame="0"/>
              <w:bottom w:val="single" w:sz="4" w:space="0" w:shadow="0" w:frame="0"/>
              <w:right w:val="single" w:sz="4" w:space="0" w:shadow="0" w:frame="0"/>
            </w:tcBorders>
          </w:tcPr>
          <w:p>
            <w:r>
              <w:t>Ledningsrätt, Levande, Last, ELEKTRONISK KOMMUNIKATION</w:t>
              <w:tab/>
            </w:r>
          </w:p>
          <w:p/>
        </w:tc>
        <w:tc>
          <w:tcPr>
            <w:tcW w:w="2693" w:type="dxa"/>
            <w:tcBorders>
              <w:top w:val="single" w:sz="4" w:space="0" w:shadow="0" w:frame="0"/>
              <w:left w:val="single" w:sz="4" w:space="0" w:shadow="0" w:frame="0"/>
              <w:bottom w:val="single" w:sz="4" w:space="0" w:shadow="0" w:frame="0"/>
              <w:right w:val="single" w:sz="4" w:space="0" w:shadow="0" w:frame="0"/>
            </w:tcBorders>
          </w:tcPr>
          <w:p>
            <w:r>
              <w:t>Runan 5, Runan 6</w:t>
            </w:r>
          </w:p>
        </w:tc>
      </w:tr>
      <w:tr>
        <w:trPr>
          <w:trHeight w:hRule="atLeast" w:val="478"/>
        </w:trPr>
        <w:tc>
          <w:tcPr>
            <w:tcW w:w="1843" w:type="dxa"/>
            <w:hideMark/>
          </w:tcPr>
          <w:p>
            <w:pPr>
              <w:spacing w:lineRule="auto" w:line="288" w:after="160" w:beforeAutospacing="0" w:afterAutospacing="0"/>
            </w:pPr>
            <w:r>
              <w:t>07-HOS-755</w:t>
            </w:r>
          </w:p>
        </w:tc>
        <w:tc>
          <w:tcPr>
            <w:tcW w:w="3119" w:type="dxa"/>
            <w:hideMark/>
          </w:tcPr>
          <w:p>
            <w:pPr>
              <w:spacing w:lineRule="auto" w:line="288" w:after="160" w:beforeAutospacing="0" w:afterAutospacing="0"/>
            </w:pPr>
            <w:r>
              <w:t>Tomtmätning</w:t>
              <w:tab/>
            </w:r>
          </w:p>
        </w:tc>
        <w:tc>
          <w:tcPr>
            <w:tcW w:w="2693" w:type="dxa"/>
            <w:hideMark/>
          </w:tcPr>
          <w:p>
            <w:pPr>
              <w:spacing w:lineRule="auto" w:line="288" w:after="160" w:beforeAutospacing="0" w:afterAutospacing="0"/>
            </w:pPr>
            <w:r>
              <w:t>Runan 5</w:t>
            </w:r>
          </w:p>
        </w:tc>
      </w:tr>
      <w:tr>
        <w:trPr>
          <w:trHeight w:hRule="atLeast" w:val="417"/>
        </w:trPr>
        <w:tc>
          <w:tcPr>
            <w:tcW w:w="1843" w:type="dxa"/>
          </w:tcPr>
          <w:p>
            <w:r>
              <w:t>07-HOS-56</w:t>
            </w:r>
          </w:p>
        </w:tc>
        <w:tc>
          <w:tcPr>
            <w:tcW w:w="3119" w:type="dxa"/>
          </w:tcPr>
          <w:p>
            <w:r>
              <w:t>Tomtindelning</w:t>
            </w:r>
          </w:p>
          <w:p/>
        </w:tc>
        <w:tc>
          <w:tcPr>
            <w:tcW w:w="2693" w:type="dxa"/>
          </w:tcPr>
          <w:p>
            <w:r>
              <w:t>Runan 5</w:t>
            </w:r>
          </w:p>
        </w:tc>
      </w:tr>
      <w:tr>
        <w:tc>
          <w:tcPr>
            <w:tcW w:w="1843" w:type="dxa"/>
          </w:tcPr>
          <w:p>
            <w:r>
              <w:t>07-HOS-756</w:t>
            </w:r>
          </w:p>
        </w:tc>
        <w:tc>
          <w:tcPr>
            <w:tcW w:w="3119" w:type="dxa"/>
          </w:tcPr>
          <w:p>
            <w:r>
              <w:t>Tomtmätning</w:t>
              <w:tab/>
            </w:r>
          </w:p>
          <w:p/>
        </w:tc>
        <w:tc>
          <w:tcPr>
            <w:tcW w:w="2693" w:type="dxa"/>
          </w:tcPr>
          <w:p>
            <w:r>
              <w:t>Runan 6</w:t>
            </w:r>
          </w:p>
        </w:tc>
      </w:tr>
      <w:tr>
        <w:tc>
          <w:tcPr>
            <w:tcW w:w="1843" w:type="dxa"/>
          </w:tcPr>
          <w:p>
            <w:r>
              <w:t>07-HOS-155</w:t>
            </w:r>
          </w:p>
        </w:tc>
        <w:tc>
          <w:tcPr>
            <w:tcW w:w="3119" w:type="dxa"/>
          </w:tcPr>
          <w:p>
            <w:r>
              <w:t>Tomtindelning</w:t>
            </w:r>
          </w:p>
          <w:p/>
        </w:tc>
        <w:tc>
          <w:tcPr>
            <w:tcW w:w="2693" w:type="dxa"/>
          </w:tcPr>
          <w:p>
            <w:r>
              <w:t>Runan 6</w:t>
            </w:r>
          </w:p>
        </w:tc>
      </w:tr>
      <w:tr>
        <w:trPr>
          <w:trHeight w:hRule="atLeast" w:val="468"/>
        </w:trPr>
        <w:tc>
          <w:tcPr>
            <w:tcW w:w="1843" w:type="dxa"/>
            <w:hideMark/>
          </w:tcPr>
          <w:p>
            <w:pPr>
              <w:spacing w:lineRule="auto" w:line="288" w:after="160" w:beforeAutospacing="0" w:afterAutospacing="0"/>
            </w:pPr>
            <w:r>
              <w:t>0761-16/4</w:t>
            </w:r>
          </w:p>
        </w:tc>
        <w:tc>
          <w:tcPr>
            <w:tcW w:w="3119" w:type="dxa"/>
            <w:hideMark/>
          </w:tcPr>
          <w:p>
            <w:pPr>
              <w:spacing w:lineRule="auto" w:line="288" w:after="160" w:beforeAutospacing="0" w:afterAutospacing="0"/>
            </w:pPr>
            <w:r>
              <w:t>Ledningsåtgärd</w:t>
            </w:r>
          </w:p>
        </w:tc>
        <w:tc>
          <w:tcPr>
            <w:tcW w:w="2693" w:type="dxa"/>
            <w:hideMark/>
          </w:tcPr>
          <w:p>
            <w:pPr>
              <w:spacing w:lineRule="auto" w:line="288" w:after="160" w:beforeAutospacing="0" w:afterAutospacing="0"/>
            </w:pPr>
            <w:r>
              <w:t>Runan 5, Runan 6</w:t>
            </w:r>
          </w:p>
        </w:tc>
      </w:tr>
      <w:tr>
        <w:trPr>
          <w:trHeight w:hRule="atLeast" w:val="560"/>
        </w:trPr>
        <w:tc>
          <w:tcPr>
            <w:tcW w:w="1843" w:type="dxa"/>
          </w:tcPr>
          <w:p>
            <w:r>
              <w:t>0761-2017/7</w:t>
            </w:r>
          </w:p>
        </w:tc>
        <w:tc>
          <w:tcPr>
            <w:tcW w:w="3119" w:type="dxa"/>
          </w:tcPr>
          <w:p>
            <w:r>
              <w:t>Ledningsåtgärd</w:t>
            </w:r>
          </w:p>
        </w:tc>
        <w:tc>
          <w:tcPr>
            <w:tcW w:w="2693" w:type="dxa"/>
          </w:tcPr>
          <w:p>
            <w:r>
              <w:t>Runan 5, Runan 6</w:t>
            </w:r>
          </w:p>
        </w:tc>
      </w:tr>
    </w:tbl>
    <w:p>
      <w:r>
        <w:br w:type="textWrapping"/>
        <w:t xml:space="preserve">Det är fastighetsägaren som bekostar eventuell flytt/åtgärder eller skada på ledningar i samband med genomförandet av detaljplaneändringen. De som har förmån av ledningsrätten bör därför vara uppmärksamma på eventuella följder av den aktuella planen. </w:t>
      </w:r>
    </w:p>
    <w:p>
      <w:r>
        <w:t>Rättighet för nya ledningar kan bildas genom lantmäteriförrättning. En rätt kan även grunda sig på servitutsavtal samt på de allmänna avtalsvillkoren (NÄT 2012K) som gäller mellan elnätsföretaget och kunder som är anslutna till elnätet.</w:t>
      </w:r>
    </w:p>
    <w:p>
      <w:pPr>
        <w:pStyle w:val="P2"/>
      </w:pPr>
      <w:bookmarkEnd w:id="524"/>
      <w:bookmarkStart w:id="525" w:name="_Toc188429326"/>
      <w:r>
        <w:t>TEKNISKA FRÅGOR</w:t>
      </w:r>
      <w:bookmarkEnd w:id="525"/>
    </w:p>
    <w:p>
      <w:pPr>
        <w:pStyle w:val="P3"/>
      </w:pPr>
      <w:bookmarkStart w:id="526" w:name="_Toc89446149"/>
      <w:bookmarkStart w:id="527" w:name="_Toc172289223"/>
      <w:bookmarkStart w:id="528" w:name="_Toc136357455"/>
      <w:bookmarkStart w:id="529" w:name="_Toc178943483"/>
      <w:bookmarkStart w:id="530" w:name="_Toc188429327"/>
      <w:bookmarkStart w:id="531" w:name="_Toc184299456"/>
      <w:bookmarkStart w:id="532" w:name="gf_tekniskaåtgärder01"/>
      <w:r>
        <w:t>T</w:t>
      </w:r>
      <w:bookmarkEnd w:id="526"/>
      <w:bookmarkEnd w:id="527"/>
      <w:bookmarkEnd w:id="528"/>
      <w:r>
        <w:t>EKNISKA ÅTGÄRDER</w:t>
      </w:r>
      <w:bookmarkEnd w:id="529"/>
      <w:bookmarkEnd w:id="530"/>
      <w:bookmarkEnd w:id="531"/>
    </w:p>
    <w:p>
      <w:r>
        <w:t xml:space="preserve">Inga tekniska åtgärder planeras för genomförandet. Eventuella framtida tekniska åtgärder på kvartersmark inom detaljplaneområdet bekostas av exploatören. </w:t>
      </w:r>
    </w:p>
    <w:p>
      <w:pPr>
        <w:pStyle w:val="P3"/>
      </w:pPr>
      <w:bookmarkEnd w:id="532"/>
      <w:bookmarkStart w:id="533" w:name="_Toc178943484"/>
      <w:bookmarkStart w:id="534" w:name="_Toc188429328"/>
      <w:bookmarkStart w:id="535" w:name="_Toc184299457"/>
      <w:bookmarkStart w:id="536" w:name="gf_utbyggnadallmänplats01"/>
      <w:r>
        <w:t>UTBYGGNAD AV ALLMÄN PLATS</w:t>
      </w:r>
      <w:bookmarkEnd w:id="533"/>
      <w:bookmarkEnd w:id="534"/>
      <w:bookmarkEnd w:id="535"/>
    </w:p>
    <w:p>
      <w:r>
        <w:t xml:space="preserve">Genomförandet av detaljplaneändringen förutsätter ingen utbyggnad av allmän plats. Kommunen ansvarar för drift av allmän plats. </w:t>
      </w:r>
    </w:p>
    <w:p>
      <w:pPr>
        <w:pStyle w:val="P3"/>
      </w:pPr>
      <w:bookmarkEnd w:id="536"/>
      <w:bookmarkStart w:id="537" w:name="_Toc178943485"/>
      <w:bookmarkStart w:id="538" w:name="_Toc188429329"/>
      <w:bookmarkStart w:id="539" w:name="_Toc184299458"/>
      <w:bookmarkStart w:id="540" w:name="_Toc136357457"/>
      <w:bookmarkStart w:id="541" w:name="gf_utbyggnadvattenochavlopp01"/>
      <w:r>
        <w:t>UTBYGGNAD AV VATTEN OCH AVLOPP</w:t>
      </w:r>
      <w:bookmarkEnd w:id="537"/>
      <w:bookmarkEnd w:id="538"/>
      <w:bookmarkEnd w:id="539"/>
    </w:p>
    <w:p>
      <w:r>
        <w:t xml:space="preserve">Befintliga fastigheter är anslutna till det kommunala vatten- och avloppsledningsnätet. Planområdet ligger också inom verksamhetsområde för dagvatten. </w:t>
      </w:r>
    </w:p>
    <w:p>
      <w:r>
        <w:t>Dagvattnet ska tas om hand lokalt eller fördröjas på den egna fastigheten innan det påförs det kommunala ledningsnätet.</w:t>
      </w:r>
    </w:p>
    <w:p>
      <w:r>
        <w:t>Genomförandet av detaljplaneändringen förutsätter ingen utbyggnad av vatten och avlopp. Fastighetsägare som bekostar flytt av ledningen. Kommunen ansvarar för drift av vatten och avlopp.</w:t>
      </w:r>
    </w:p>
    <w:p>
      <w:pPr>
        <w:pStyle w:val="P3"/>
      </w:pPr>
      <w:bookmarkEnd w:id="540"/>
      <w:bookmarkEnd w:id="541"/>
      <w:bookmarkStart w:id="542" w:name="_Toc178943486"/>
      <w:bookmarkStart w:id="543" w:name="_Toc188429330"/>
      <w:bookmarkStart w:id="544" w:name="_Toc184299459"/>
      <w:bookmarkStart w:id="545" w:name="gf_ledningarimark01"/>
      <w:r>
        <w:t>LEDNINGAR I MARK</w:t>
      </w:r>
      <w:bookmarkEnd w:id="542"/>
      <w:bookmarkEnd w:id="543"/>
      <w:bookmarkEnd w:id="544"/>
    </w:p>
    <w:p>
      <w:r>
        <w:t xml:space="preserve">Inom och intill planområdet finns markförlagda kablar i osäkert och säkert läge. Oavsett om markkablar är inmätta eller ligger i osäkert läge måste kablarnas lägen säkerställas innan markarbete påbörjas. Kabelvisning för beställs av leverantör.  </w:t>
      </w:r>
    </w:p>
    <w:p>
      <w:r>
        <w:t>För elledning i mark får byggnad eller annan anläggning så som staket eller plank inte utan ledningsägarens medgivande och lämnade instruktioner uppföras på närmare avstånd än 3 meter från markkabeln. Inte heller får utan ledningsägarens medgivande upplag anordnas eller marknivån ändras ovanför markkabeln, så att reparation och underhåll försvåras.</w:t>
      </w:r>
    </w:p>
    <w:p>
      <w:pPr>
        <w:pStyle w:val="P3"/>
      </w:pPr>
      <w:bookmarkEnd w:id="545"/>
      <w:bookmarkStart w:id="546" w:name="_Toc178943487"/>
      <w:bookmarkStart w:id="547" w:name="_Toc188429331"/>
      <w:bookmarkStart w:id="548" w:name="_Toc184299460"/>
      <w:bookmarkStart w:id="549" w:name="gf_parkering01"/>
      <w:r>
        <w:t>PARKERING</w:t>
      </w:r>
      <w:bookmarkEnd w:id="546"/>
      <w:bookmarkEnd w:id="547"/>
      <w:bookmarkEnd w:id="548"/>
    </w:p>
    <w:p>
      <w:r>
        <w:t xml:space="preserve">Parkeringsplatser för fastighetens behov avses kunna anordnas inom den egna fastigheten. Parkeringsfrågan hanteras i bygglovsskedet. </w:t>
      </w:r>
    </w:p>
    <w:p>
      <w:pPr>
        <w:pStyle w:val="P3"/>
      </w:pPr>
      <w:bookmarkEnd w:id="549"/>
      <w:bookmarkStart w:id="550" w:name="_Toc89446014"/>
      <w:bookmarkStart w:id="551" w:name="_Toc184299461"/>
      <w:bookmarkStart w:id="552" w:name="_Toc188429332"/>
      <w:bookmarkStart w:id="553" w:name="_Toc172289228"/>
      <w:bookmarkStart w:id="554" w:name="_Toc178943488"/>
      <w:bookmarkStart w:id="555" w:name="_Toc136357460"/>
      <w:bookmarkStart w:id="556" w:name="gf_avfallshantering01"/>
      <w:r>
        <w:t>AVFALLSHANTERING</w:t>
      </w:r>
      <w:bookmarkEnd w:id="550"/>
      <w:bookmarkEnd w:id="551"/>
      <w:bookmarkEnd w:id="552"/>
      <w:bookmarkEnd w:id="553"/>
      <w:bookmarkEnd w:id="554"/>
      <w:bookmarkEnd w:id="555"/>
    </w:p>
    <w:p>
      <w:r>
        <w:t>SSAM AB vill verka för att avfallshantering inom planområdet ska utformas så att det främjar ett hållbart cirkulärt samhälle (för mer information se Avfallsplan). Utrymmen för sortering av avfall, transportvägar samt vändplatser etc. ska följa ”Handbok för avfallsutrymmen” och ”Avfallsföreskrifter för Lessebo kommun”. Båda dokumenten finns på www.ssam.se. Avfallshanteringen ska ske inom fastigheten. Detta hanteras i bygglovet.</w:t>
      </w:r>
    </w:p>
    <w:p>
      <w:pPr>
        <w:pStyle w:val="P3"/>
      </w:pPr>
      <w:bookmarkEnd w:id="556"/>
      <w:bookmarkStart w:id="557" w:name="_Toc136357461"/>
      <w:bookmarkStart w:id="558" w:name="_Toc188429333"/>
      <w:bookmarkStart w:id="559" w:name="_Toc178943489"/>
      <w:bookmarkStart w:id="560" w:name="_Toc184299462"/>
      <w:bookmarkStart w:id="561" w:name="_Toc172289229"/>
      <w:bookmarkStart w:id="562" w:name="gf_posthantering01"/>
      <w:r>
        <w:t>POSTHANTERING</w:t>
      </w:r>
      <w:bookmarkEnd w:id="557"/>
      <w:bookmarkEnd w:id="558"/>
      <w:bookmarkEnd w:id="559"/>
      <w:bookmarkEnd w:id="560"/>
      <w:bookmarkEnd w:id="561"/>
    </w:p>
    <w:p>
      <w:r>
        <w:t xml:space="preserve">Vid bygglovshantering granskas hantering av post. Vid nybyggnation av verksamhetsområden är det önskvärt att postlådan placeras i en lådsamling vid infarten till området för en effektiv posthantering. </w:t>
      </w:r>
    </w:p>
    <w:p>
      <w:pPr>
        <w:pStyle w:val="P3"/>
      </w:pPr>
      <w:bookmarkEnd w:id="562"/>
      <w:bookmarkStart w:id="563" w:name="_Toc136357462"/>
      <w:bookmarkStart w:id="564" w:name="_Toc188429334"/>
      <w:bookmarkStart w:id="565" w:name="_Toc178943490"/>
      <w:bookmarkStart w:id="566" w:name="_Toc184299463"/>
      <w:bookmarkStart w:id="567" w:name="_Toc172289230"/>
      <w:bookmarkStart w:id="568" w:name="gf_räddningstjänstensbehov01"/>
      <w:r>
        <w:t>RÄDDNINGSTJÄNSTENS BEHOV</w:t>
      </w:r>
      <w:bookmarkEnd w:id="563"/>
      <w:bookmarkEnd w:id="564"/>
      <w:bookmarkEnd w:id="565"/>
      <w:bookmarkEnd w:id="566"/>
      <w:bookmarkEnd w:id="567"/>
    </w:p>
    <w:p>
      <w:r>
        <w:t xml:space="preserve">Räddningstjänstens behov av framkomlighet till angreppsvägar samt behov av brandposter och släckvatten ska alltid beaktas i samband med ny- och ombyggnationer.  </w:t>
      </w:r>
    </w:p>
    <w:p>
      <w:pPr>
        <w:pStyle w:val="P2"/>
      </w:pPr>
      <w:bookmarkEnd w:id="568"/>
      <w:bookmarkStart w:id="569" w:name="_Toc89446152"/>
      <w:bookmarkStart w:id="570" w:name="_Toc172289231"/>
      <w:bookmarkStart w:id="571" w:name="_Toc188429335"/>
      <w:bookmarkStart w:id="572" w:name="_Toc136357463"/>
      <w:bookmarkStart w:id="573" w:name="gf_ekonomiskafrågor01"/>
      <w:r>
        <w:t>EKONOMISKA FRÅGOR</w:t>
      </w:r>
      <w:bookmarkEnd w:id="569"/>
      <w:bookmarkEnd w:id="570"/>
      <w:bookmarkEnd w:id="571"/>
      <w:bookmarkEnd w:id="572"/>
    </w:p>
    <w:p>
      <w:r>
        <w:t xml:space="preserve">Här redovisas en ekonomisk bedömning över väsentliga delar av vad genomförandet av ändringsplanen kan antas innebära för berörda parter. </w:t>
      </w:r>
    </w:p>
    <w:p>
      <w:pPr>
        <w:pStyle w:val="P3"/>
      </w:pPr>
      <w:bookmarkEnd w:id="573"/>
      <w:bookmarkStart w:id="574" w:name="_Toc178943492"/>
      <w:bookmarkStart w:id="575" w:name="_Toc188429336"/>
      <w:bookmarkStart w:id="576" w:name="_Toc184299465"/>
      <w:bookmarkStart w:id="577" w:name="gf_planekonomiskbedömning01"/>
      <w:r>
        <w:t>PLANEKONOMISK BEDÖMNING</w:t>
      </w:r>
      <w:bookmarkEnd w:id="574"/>
      <w:bookmarkEnd w:id="575"/>
      <w:bookmarkEnd w:id="576"/>
    </w:p>
    <w:p>
      <w:r>
        <w:t xml:space="preserve">Kommunstyrelsen får intäkter genom bygglov och anslutningsavgifter enligt gällande taxa. För den enskilde fastighetsägaren innebär planförslaget en möjlighet att utveckla fastigheten och därmed dess värde. </w:t>
      </w:r>
    </w:p>
    <w:p>
      <w:r>
        <w:t>Fastighetsägaren ansvarar för att kontakta E.ON gällande kabelvisning. Tvingas Skanova (Telia Company) AB vidta undanflyttningsåtgärder eller skydda telekablar för att möjliggöra exploatering förutsätter Skanova att den part som initierar åtgärden även bekostar den.</w:t>
      </w:r>
    </w:p>
    <w:p>
      <w:r>
        <w:t>Andra kostnader som kan uppstå vid markköp och byggnation, samt för anslutning till vatten- och avlopp, el, fiber, ledningsdragning och annan infrastruktur som kan behövas, bekostas av fastighetsägaren. Ansvar för bildande av nya ledningsrätter faller på ledningsinnehavaren. Även bygglovsavgifter och eventuella framtida fastighetsregleringar eller dylikt bekostas av fastighetsägaren.</w:t>
      </w:r>
    </w:p>
    <w:p>
      <w:pPr>
        <w:pStyle w:val="P3"/>
      </w:pPr>
      <w:bookmarkEnd w:id="577"/>
      <w:bookmarkStart w:id="578" w:name="_Toc178943493"/>
      <w:bookmarkStart w:id="579" w:name="_Toc188429337"/>
      <w:bookmarkStart w:id="580" w:name="_Toc184299466"/>
      <w:bookmarkStart w:id="581" w:name="gf_driftallmänplats01"/>
      <w:r>
        <w:t>DRIFT AV ALLMÄN PLATS</w:t>
      </w:r>
      <w:bookmarkEnd w:id="578"/>
      <w:bookmarkEnd w:id="579"/>
      <w:bookmarkEnd w:id="580"/>
    </w:p>
    <w:p>
      <w:r>
        <w:t>Lessebo kommun ansvarar för skötsel och underhåll av anläggningar inom allmän plats. Lessebo fjärrvärme ansvarar för fjärrvärmenätet i kommunen. Wexnet AB ansvarar för optofiber inom planområdet. Eon Elnät Sverige AB ansvarar för eldistributionsnätet inom planområdet. Skanova (Telia Company) AB ansvar för telenätet.</w:t>
      </w:r>
    </w:p>
    <w:p>
      <w:pPr>
        <w:pStyle w:val="P3"/>
      </w:pPr>
      <w:bookmarkEnd w:id="581"/>
      <w:bookmarkStart w:id="582" w:name="_Toc178943494"/>
      <w:bookmarkStart w:id="583" w:name="_Toc188429338"/>
      <w:bookmarkStart w:id="584" w:name="_Toc184299467"/>
      <w:bookmarkStart w:id="585" w:name="gf_driftvattenochavlopp01"/>
      <w:r>
        <w:t>DRIFT VATTEN OCH AVLOPP</w:t>
      </w:r>
      <w:bookmarkEnd w:id="582"/>
      <w:bookmarkEnd w:id="583"/>
      <w:bookmarkEnd w:id="584"/>
    </w:p>
    <w:p>
      <w:r>
        <w:t xml:space="preserve">Lessebo kommun ansvarar för drift och underhåll av allmänna vatten- och spillvattenledningar fram till anslutningspunkt. </w:t>
      </w:r>
    </w:p>
    <w:p>
      <w:r>
        <w:t>Fastighetsägaren/exploatören är ansvarig för hantering av dagvatten inom den egna fastigheten.</w:t>
      </w:r>
    </w:p>
    <w:p>
      <w:pPr>
        <w:pStyle w:val="P3"/>
      </w:pPr>
      <w:bookmarkEnd w:id="585"/>
      <w:bookmarkStart w:id="586" w:name="_Toc178943495"/>
      <w:bookmarkStart w:id="587" w:name="_Toc188429339"/>
      <w:bookmarkStart w:id="588" w:name="_Toc184299468"/>
      <w:bookmarkStart w:id="589" w:name="gf_gatukostnader01"/>
      <w:r>
        <w:t>GATUKOSTNADER</w:t>
      </w:r>
      <w:bookmarkEnd w:id="586"/>
      <w:bookmarkEnd w:id="587"/>
      <w:bookmarkEnd w:id="588"/>
    </w:p>
    <w:p>
      <w:r>
        <w:t xml:space="preserve">Gata är utbyggd inom området. Uttag av gatukostnader är därmed inte aktuellt. </w:t>
      </w:r>
    </w:p>
    <w:p>
      <w:pPr>
        <w:pStyle w:val="P2"/>
      </w:pPr>
      <w:bookmarkEnd w:id="589"/>
      <w:bookmarkStart w:id="590" w:name="_Toc188429340"/>
      <w:r>
        <w:t>ORGANISATORISKA FRÅGOR</w:t>
      </w:r>
      <w:bookmarkEnd w:id="590"/>
    </w:p>
    <w:p>
      <w:pPr>
        <w:pStyle w:val="P3"/>
      </w:pPr>
      <w:bookmarkStart w:id="591" w:name="_Toc178943497"/>
      <w:bookmarkStart w:id="592" w:name="_Toc188429341"/>
      <w:bookmarkStart w:id="593" w:name="_Toc184299470"/>
      <w:bookmarkStart w:id="594" w:name="gf_tidplan01"/>
      <w:r>
        <w:t>TIDPLAN</w:t>
      </w:r>
      <w:bookmarkEnd w:id="591"/>
      <w:bookmarkEnd w:id="592"/>
      <w:bookmarkEnd w:id="593"/>
    </w:p>
    <w:p>
      <w:r>
        <w:t xml:space="preserve">Samråd påbörjas i december 2024. </w:t>
      </w:r>
    </w:p>
    <w:p>
      <w:r>
        <w:t xml:space="preserve">Granskning planeras till februari 2025 </w:t>
      </w:r>
    </w:p>
    <w:p>
      <w:r>
        <w:t>Planen planeras antas i kommunstyrelsen våren 2025.</w:t>
      </w:r>
    </w:p>
    <w:p>
      <w:r>
        <w:t xml:space="preserve">Ovanstående tidplan gäller under förutsättning att inkomna synpunkter inte innebär stora revideringar av planförslaget samt att ingen överklagar detaljplanen. </w:t>
      </w:r>
    </w:p>
    <w:p>
      <w:pPr>
        <w:pStyle w:val="P3"/>
      </w:pPr>
      <w:bookmarkEnd w:id="594"/>
      <w:bookmarkStart w:id="595" w:name="_Toc136357474"/>
      <w:bookmarkStart w:id="596" w:name="_Toc188429342"/>
      <w:bookmarkStart w:id="597" w:name="_Toc178943498"/>
      <w:bookmarkStart w:id="598" w:name="_Toc184299471"/>
      <w:bookmarkStart w:id="599" w:name="_Toc172289242"/>
      <w:bookmarkStart w:id="600" w:name="gf_ansvarsfördelning01"/>
      <w:r>
        <w:t>ANSVARSFÖRDELNING</w:t>
      </w:r>
      <w:bookmarkEnd w:id="595"/>
      <w:bookmarkEnd w:id="596"/>
      <w:bookmarkEnd w:id="597"/>
      <w:bookmarkEnd w:id="598"/>
      <w:bookmarkEnd w:id="599"/>
    </w:p>
    <w:p>
      <w:r>
        <w:t xml:space="preserve">Fastighetsägare står för ansvaret inom kvartersmark. </w:t>
      </w:r>
    </w:p>
    <w:p>
      <w:pPr>
        <w:pStyle w:val="P2"/>
      </w:pPr>
      <w:bookmarkEnd w:id="600"/>
      <w:bookmarkStart w:id="601" w:name="_Toc136357476"/>
      <w:bookmarkStart w:id="602" w:name="_Toc188429343"/>
      <w:bookmarkStart w:id="603" w:name="_Toc172289244"/>
      <w:r>
        <w:t>MEDVERKANDE</w:t>
      </w:r>
      <w:bookmarkEnd w:id="601"/>
      <w:bookmarkEnd w:id="602"/>
      <w:bookmarkEnd w:id="603"/>
    </w:p>
    <w:p>
      <w:r>
        <w:t>Detaljplaneändringen har upprättats av samhällsbyggnadsförvaltningen genom Sofia Edlund Renbjörk i samarbete med berörda tjänstepersoner inom Lessebo kommun.</w: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default" r:id="RelFtr1"/>
      <w:footnotePr/>
      <w:endnotePr/>
      <w:type w:val="continuous"/>
      <w:pgSz w:w="11906" w:h="16838" w:code="0"/>
      <w:pgMar w:left="2268" w:right="1985" w:top="851" w:bottom="1418" w:header="340" w:footer="340"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p/>
  </w:endnote>
  <w:endnote w:type="continuationSeparator" w:id="0">
    <w:p>
      <w:pPr>
        <w:spacing w:lineRule="auto" w:line="240" w:after="0" w:beforeAutospacing="0" w:afterAutospacing="0"/>
      </w:pPr>
      <w:r>
        <w:continuationSeparator/>
      </w:r>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9"/>
    </w:pP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left w:w="0" w:type="dxa"/>
        <w:right w:w="0" w:type="dxa"/>
      </w:tblCellMar>
      <w:tblLook w:val="04A0"/>
    </w:tblPr>
    <w:tblGrid/>
    <w:tr>
      <w:tc>
        <w:tcPr>
          <w:tcW w:w="2547" w:type="dxa"/>
        </w:tcPr>
        <w:p>
          <w:pPr>
            <w:pStyle w:val="P29"/>
            <w:rPr>
              <w:b w:val="1"/>
              <w:bCs w:val="1"/>
            </w:rPr>
          </w:pPr>
          <w:r>
            <w:rPr>
              <w:b w:val="1"/>
              <w:bCs w:val="1"/>
            </w:rPr>
            <w:t>Dnr</w:t>
          </w:r>
        </w:p>
      </w:tc>
      <w:tc>
        <w:tcPr>
          <w:tcW w:w="2548" w:type="dxa"/>
        </w:tcPr>
        <w:p>
          <w:pPr>
            <w:pStyle w:val="P29"/>
            <w:rPr>
              <w:b w:val="1"/>
              <w:bCs w:val="1"/>
            </w:rPr>
          </w:pPr>
          <w:r>
            <w:rPr>
              <w:b w:val="1"/>
              <w:bCs w:val="1"/>
            </w:rPr>
            <w:t>Laga kraft</w:t>
          </w:r>
        </w:p>
      </w:tc>
      <w:tc>
        <w:tcPr>
          <w:tcW w:w="2548" w:type="dxa"/>
        </w:tcPr>
        <w:p>
          <w:pPr>
            <w:rPr>
              <w:b w:val="1"/>
              <w:bCs w:val="1"/>
            </w:rPr>
          </w:pPr>
        </w:p>
      </w:tc>
    </w:tr>
    <w:tr>
      <w:tc>
        <w:tcPr>
          <w:tcW w:w="2547" w:type="dxa"/>
        </w:tcPr>
        <w:p>
          <w:pPr>
            <w:pStyle w:val="P29"/>
          </w:pPr>
          <w:r>
            <w:t>SBN 2024/328</w:t>
          </w:r>
        </w:p>
      </w:tc>
      <w:tc>
        <w:tcPr>
          <w:tcW w:w="2548" w:type="dxa"/>
        </w:tcPr>
        <w:p>
          <w:pPr>
            <w:pStyle w:val="P29"/>
          </w:pPr>
          <w:r>
            <w:t>2025-05-08</w:t>
          </w:r>
        </w:p>
      </w:tc>
      <w:tc>
        <w:tcPr>
          <w:tcW w:w="2548" w:type="dxa"/>
        </w:tcPr>
        <w:p>
          <w:pPr>
            <w:pStyle w:val="P29"/>
            <w:jc w:val="right"/>
          </w:pPr>
          <w:r>
            <w:fldChar w:fldCharType="begin"/>
          </w:r>
          <w:r>
            <w:instrText xml:space="preserve">PAGE   \* MERGEFORMAT</w:instrText>
          </w:r>
          <w:r>
            <w:fldChar w:fldCharType="separate"/>
          </w:r>
          <w:r>
            <w:t>#</w:t>
          </w:r>
          <w:r>
            <w:fldChar w:fldCharType="end"/>
          </w:r>
          <w:r>
            <w:t xml:space="preserve"> </w:t>
          </w:r>
          <w:r>
            <w:t>(</w:t>
          </w:r>
          <w:r>
            <w:fldChar w:fldCharType="begin"/>
          </w:r>
          <w:r>
            <w:instrText xml:space="preserve"> NUMPAGES  \* Arabic  \* MERGEFORMAT </w:instrText>
          </w:r>
          <w:r>
            <w:fldChar w:fldCharType="separate"/>
          </w:r>
          <w:r>
            <w:t>#</w:t>
          </w:r>
          <w:r>
            <w:fldChar w:fldCharType="end"/>
          </w:r>
          <w:r>
            <w:t>)</w:t>
          </w:r>
        </w:p>
      </w:tc>
    </w:tr>
  </w:tbl>
  <w:p>
    <w:pPr>
      <w:pStyle w:val="P29"/>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p/>
  </w:footnote>
  <w:footnote w:type="continuationSeparator" w:id="0">
    <w:p>
      <w:pPr>
        <w:spacing w:lineRule="auto" w:line="240" w:after="0" w:beforeAutospacing="0" w:afterAutospacing="0"/>
      </w:pPr>
      <w:r>
        <w:continuationSeparator/>
      </w:r>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480" w:beforeAutospacing="0" w:afterAutospacing="0"/>
      <w:rPr>
        <w:sz w:val="2"/>
        <w:szCs w:val="2"/>
      </w:rPr>
    </w:pPr>
    <w:r>
      <w:rPr>
        <w:noProof w:val="1"/>
      </w:rPr>
      <w:drawing>
        <wp:anchor xmlns:wp="http://schemas.openxmlformats.org/drawingml/2006/wordprocessingDrawing" distT="0" distB="0" distL="114300" distR="114300" simplePos="0" relativeHeight="4" behindDoc="0" locked="1" layoutInCell="1" allowOverlap="1">
          <wp:simplePos x="0" y="0"/>
          <wp:positionH relativeFrom="page">
            <wp:posOffset>5351145</wp:posOffset>
          </wp:positionH>
          <wp:positionV relativeFrom="page">
            <wp:posOffset>9422130</wp:posOffset>
          </wp:positionV>
          <wp:extent cx="1363980" cy="496570"/>
          <wp:effectExtent l="0" t="0" r="0" b="0"/>
          <wp:wrapNone/>
          <wp:docPr id="1569845020" name="Bildobjekt 2" descr="Lessebo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12491" name="Bildobjekt 2" descr="Lessebo kommun, logotyp."/>
                  <pic:cNvPicPr/>
                </pic:nvPicPr>
                <pic:blipFill dpi="0">
                  <a:blip xmlns:r="http://schemas.openxmlformats.org/officeDocument/2006/relationships" r:embed="Relimage19" cstate="print"/>
                  <a:srcRect/>
                  <a:stretch>
                    <a:fillRect/>
                  </a:stretch>
                </pic:blipFill>
                <pic:spPr>
                  <a:xfrm>
                    <a:off x="0" y="0"/>
                    <a:ext cx="1363980" cy="496570"/>
                  </a:xfrm>
                  <a:prstGeom prst="rect"/>
                </pic:spPr>
              </pic:pic>
            </a:graphicData>
          </a:graphic>
        </wp:anchor>
      </w:drawing>
    </w:r>
    <w:r>
      <w:rPr>
        <w:noProof w:val="1"/>
      </w:rPr>
      <w:drawing>
        <wp:anchor xmlns:wp="http://schemas.openxmlformats.org/drawingml/2006/wordprocessingDrawing" distT="0" distB="0" distL="114300" distR="114300" simplePos="0" relativeHeight="251661312" behindDoc="1" locked="0" layoutInCell="1" allowOverlap="1">
          <wp:simplePos x="0" y="0"/>
          <wp:positionH relativeFrom="page">
            <wp:posOffset>2540</wp:posOffset>
          </wp:positionH>
          <wp:positionV relativeFrom="page">
            <wp:posOffset>3175</wp:posOffset>
          </wp:positionV>
          <wp:extent cx="7559675" cy="9021445"/>
          <wp:effectExtent l="0" t="0" r="3175" b="8255"/>
          <wp:wrapNone/>
          <wp:docPr id="3392639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85212" name="Bild 5"/>
                  <pic:cNvPicPr/>
                </pic:nvPicPr>
                <pic:blipFill dpi="0">
                  <a:blip xmlns:r="http://schemas.openxmlformats.org/officeDocument/2006/relationships" r:embed="Relimage20"/>
                  <a:srcRect/>
                  <a:stretch>
                    <a:fillRect/>
                  </a:stretch>
                </pic:blipFill>
                <pic:spPr>
                  <a:xfrm>
                    <a:off x="0" y="0"/>
                    <a:ext cx="7560000" cy="9021601"/>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2" behindDoc="0" locked="1" layoutInCell="1" allowOverlap="1">
              <wp:simplePos x="0" y="0"/>
              <wp:positionH relativeFrom="page">
                <wp:posOffset>-1581150</wp:posOffset>
              </wp:positionH>
              <wp:positionV relativeFrom="page">
                <wp:posOffset>1565910</wp:posOffset>
              </wp:positionV>
              <wp:extent cx="10691495" cy="7559675"/>
              <wp:effectExtent l="3810" t="0" r="5715" b="5715"/>
              <wp:wrapNone/>
              <wp:docPr id="4" name="Frihandsfigur: Form 3"/>
              <wp:cNvGraphicFramePr/>
              <a:graphic xmlns:a="http://schemas.openxmlformats.org/drawingml/2006/main">
                <a:graphicData uri="http://schemas.microsoft.com/office/word/2010/wordprocessingShape">
                  <wps:wsp>
                    <wps:cNvSpPr/>
                    <wps:spPr>
                      <a:xfrm rot="5400000">
                        <a:off x="0" y="0"/>
                        <a:ext cx="10691495" cy="7559675"/>
                      </a:xfrm>
                      <a:custGeom>
                        <a:gdLst>
                          <a:gd name="connsiteX0" fmla="*/ 226800 w 10692000"/>
                          <a:gd name="connsiteY0" fmla="*/ 7333200 h 7560000"/>
                          <a:gd name="connsiteX1" fmla="*/ 10465200 w 10692000"/>
                          <a:gd name="connsiteY1" fmla="*/ 7333200 h 7560000"/>
                          <a:gd name="connsiteX2" fmla="*/ 10465200 w 10692000"/>
                          <a:gd name="connsiteY2" fmla="*/ 226800 h 7560000"/>
                          <a:gd name="connsiteX3" fmla="*/ 226800 w 10692000"/>
                          <a:gd name="connsiteY3" fmla="*/ 226800 h 7560000"/>
                          <a:gd name="connsiteX4" fmla="*/ 0 w 10692000"/>
                          <a:gd name="connsiteY4" fmla="*/ 7560000 h 7560000"/>
                          <a:gd name="connsiteX5" fmla="*/ 0 w 10692000"/>
                          <a:gd name="connsiteY5" fmla="*/ 0 h 7560000"/>
                          <a:gd name="connsiteX6" fmla="*/ 10692000 w 10692000"/>
                          <a:gd name="connsiteY6" fmla="*/ 0 h 7560000"/>
                          <a:gd name="connsiteX7" fmla="*/ 10692000 w 10692000"/>
                          <a:gd name="connsiteY7" fmla="*/ 7560000 h 756000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692000" h="7560000">
                            <a:moveTo>
                              <a:pt x="226800" y="7333200"/>
                            </a:moveTo>
                            <a:lnTo>
                              <a:pt x="10465200" y="7333200"/>
                            </a:lnTo>
                            <a:lnTo>
                              <a:pt x="10465200" y="226800"/>
                            </a:lnTo>
                            <a:lnTo>
                              <a:pt x="226800" y="226800"/>
                            </a:lnTo>
                            <a:close/>
                            <a:moveTo>
                              <a:pt x="0" y="7560000"/>
                            </a:moveTo>
                            <a:lnTo>
                              <a:pt x="0" y="0"/>
                            </a:lnTo>
                            <a:lnTo>
                              <a:pt x="10692000" y="0"/>
                            </a:lnTo>
                            <a:lnTo>
                              <a:pt x="10692000" y="7560000"/>
                            </a:lnTo>
                            <a:close/>
                          </a:path>
                        </a:pathLst>
                      </a:cu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wrap="square" rtlCol="0" anchor="ctr">
                      <a:noAutofit/>
                    </wps:bodyPr>
                  </wps:wsp>
                </a:graphicData>
              </a:graphic>
            </wp:anchor>
          </w:drawing>
        </mc:Choice>
        <mc:Fallback>
          <w:pict>
            <v:shape xmlns:o="urn:schemas-microsoft-com:office:office" id="Frihandsfigur: Form 3" o:spid="_x0000_s1045" style="position:absolute;width:841.85pt;height:595.25pt;z-index:2;mso-wrap-distance-left:9pt;mso-wrap-distance-top:0pt;mso-wrap-distance-right:9pt;mso-wrap-distance-bottom:0pt;margin-left:-124.5pt;margin-top:123.3pt;mso-position-horizontal:absolute;mso-position-horizontal-relative:page;mso-position-vertical:absolute;mso-position-vertical-relative:page;v-text-anchor:middle;rotation:90" o:allowincell="t" fillcolor="#FFFFFF" strokeweight="1pt" stroked="f" coordsize="16837,11905" path="m226800,7333200l10465200,7333200,10465200,226800,226800,226800,xm0,7560000l,,10692000,,10692000,7560000,xe">
              <v:textbox>
                <w:txbxContent>
                  <w:p/>
                </w:txbxContent>
              </v:textbox>
              <w10:anchorlock/>
            </v:shape>
          </w:pict>
        </mc:Fallback>
      </mc:AlternateContent>
    </w:r>
    <w:r>
      <w:rPr>
        <w:noProof w:val="1"/>
      </w:rPr>
      <w:drawing>
        <wp:anchor xmlns:wp="http://schemas.openxmlformats.org/drawingml/2006/wordprocessingDrawing" distT="0" distB="0" distL="114300" distR="114300" simplePos="0" relativeHeight="1" behindDoc="0" locked="1" layoutInCell="1" allowOverlap="1">
          <wp:simplePos x="0" y="0"/>
          <wp:positionH relativeFrom="page">
            <wp:posOffset>10795</wp:posOffset>
          </wp:positionH>
          <wp:positionV relativeFrom="page">
            <wp:posOffset>3289300</wp:posOffset>
          </wp:positionV>
          <wp:extent cx="8112125" cy="7200265"/>
          <wp:effectExtent l="0" t="0" r="3175" b="635"/>
          <wp:wrapNone/>
          <wp:docPr id="31677259"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6360" name="Bild 6"/>
                  <pic:cNvPicPr>
                    <a:picLocks noChangeAspect="1"/>
                  </pic:cNvPicPr>
                </pic:nvPicPr>
                <pic:blipFill dpi="0">
                  <a:blip xmlns:r="http://schemas.openxmlformats.org/officeDocument/2006/relationships" r:embed="Relimage21"/>
                  <a:srcRect l="9838" r="38220" b="50687"/>
                  <a:stretch>
                    <a:fillRect/>
                  </a:stretch>
                </pic:blipFill>
                <pic:spPr>
                  <a:xfrm flipH="1">
                    <a:off x="0" y="0"/>
                    <a:ext cx="8112125" cy="7200265"/>
                  </a:xfrm>
                  <a:prstGeom prst="rect"/>
                </pic:spPr>
              </pic:pic>
            </a:graphicData>
          </a:graphic>
        </wp:anchor>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spacing w:after="1660" w:beforeAutospacing="0" w:afterAutospacing="0"/>
      <w:jc w:val="right"/>
    </w:pPr>
    <w:r>
      <w:t>Ändring av Stadsplan för Kv. Runan, Hovmantorp, Lessebo kommun, Kronobergs Län.</w:t>
    </w:r>
  </w:p>
</w:hdr>
</file>

<file path=word/numbering.xml><?xml version="1.0" encoding="utf-8"?>
<w:numbering xmlns:w="http://schemas.openxmlformats.org/wordprocessingml/2006/main">
  <w:abstractNum w:abstractNumId="0">
    <w:nsid w:val="FFFFFF7C"/>
    <w:multiLevelType w:val="hybridMultilevel"/>
    <w:lvl w:ilvl="0">
      <w:start w:val="1"/>
      <w:numFmt w:val="decimal"/>
      <w:suff w:val="tab"/>
      <w:lvlText w:val="%1."/>
      <w:lvlJc w:val="left"/>
      <w:pPr>
        <w:ind w:hanging="360" w:left="1492"/>
        <w:tabs>
          <w:tab w:val="num" w:pos="1492" w:leader="none"/>
        </w:tabs>
      </w:pPr>
      <w:rPr/>
    </w:lvl>
    <w:lvl w:ilvl="1" w:tplc="14C6E385">
      <w:start w:val="1"/>
      <w:numFmt w:val="decimal"/>
      <w:suff w:val="tab"/>
      <w:lvlText w:val="%1."/>
      <w:lvlJc w:val="left"/>
      <w:pPr/>
      <w:rPr/>
    </w:lvl>
    <w:lvl w:ilvl="2" w:tplc="633CA7B9">
      <w:start w:val="1"/>
      <w:numFmt w:val="decimal"/>
      <w:suff w:val="tab"/>
      <w:lvlText w:val="%1."/>
      <w:lvlJc w:val="left"/>
      <w:pPr/>
      <w:rPr/>
    </w:lvl>
    <w:lvl w:ilvl="3" w:tplc="4ABCC73A">
      <w:start w:val="1"/>
      <w:numFmt w:val="decimal"/>
      <w:suff w:val="tab"/>
      <w:lvlText w:val="%1."/>
      <w:lvlJc w:val="left"/>
      <w:pPr/>
      <w:rPr/>
    </w:lvl>
    <w:lvl w:ilvl="4" w:tplc="14CC0FB6">
      <w:start w:val="1"/>
      <w:numFmt w:val="decimal"/>
      <w:suff w:val="tab"/>
      <w:lvlText w:val="%1."/>
      <w:lvlJc w:val="left"/>
      <w:pPr/>
      <w:rPr/>
    </w:lvl>
    <w:lvl w:ilvl="5" w:tplc="10ACFE98">
      <w:start w:val="1"/>
      <w:numFmt w:val="decimal"/>
      <w:suff w:val="tab"/>
      <w:lvlText w:val="%1."/>
      <w:lvlJc w:val="left"/>
      <w:pPr/>
      <w:rPr/>
    </w:lvl>
    <w:lvl w:ilvl="6" w:tplc="7830EA72">
      <w:start w:val="1"/>
      <w:numFmt w:val="decimal"/>
      <w:suff w:val="tab"/>
      <w:lvlText w:val="%1."/>
      <w:lvlJc w:val="left"/>
      <w:pPr/>
      <w:rPr/>
    </w:lvl>
    <w:lvl w:ilvl="7" w:tplc="2D94E61E">
      <w:start w:val="1"/>
      <w:numFmt w:val="decimal"/>
      <w:suff w:val="tab"/>
      <w:lvlText w:val="%1."/>
      <w:lvlJc w:val="left"/>
      <w:pPr/>
      <w:rPr/>
    </w:lvl>
    <w:lvl w:ilvl="8" w:tplc="3E5ABBAE">
      <w:start w:val="1"/>
      <w:numFmt w:val="decimal"/>
      <w:suff w:val="tab"/>
      <w:lvlText w:val="%1."/>
      <w:lvlJc w:val="left"/>
      <w:pPr/>
      <w:rPr/>
    </w:lvl>
  </w:abstractNum>
  <w:abstractNum w:abstractNumId="1">
    <w:nsid w:val="FFFFFF7D"/>
    <w:multiLevelType w:val="hybridMultilevel"/>
    <w:lvl w:ilvl="0">
      <w:start w:val="1"/>
      <w:numFmt w:val="decimal"/>
      <w:suff w:val="tab"/>
      <w:lvlText w:val="%1."/>
      <w:lvlJc w:val="left"/>
      <w:pPr>
        <w:ind w:hanging="360" w:left="1209"/>
        <w:tabs>
          <w:tab w:val="num" w:pos="1209" w:leader="none"/>
        </w:tabs>
      </w:pPr>
      <w:rPr/>
    </w:lvl>
    <w:lvl w:ilvl="1" w:tplc="1267879A">
      <w:start w:val="1"/>
      <w:numFmt w:val="decimal"/>
      <w:suff w:val="tab"/>
      <w:lvlText w:val="%1."/>
      <w:lvlJc w:val="left"/>
      <w:pPr/>
      <w:rPr/>
    </w:lvl>
    <w:lvl w:ilvl="2" w:tplc="4507AD57">
      <w:start w:val="1"/>
      <w:numFmt w:val="decimal"/>
      <w:suff w:val="tab"/>
      <w:lvlText w:val="%1."/>
      <w:lvlJc w:val="left"/>
      <w:pPr/>
      <w:rPr/>
    </w:lvl>
    <w:lvl w:ilvl="3" w:tplc="7CD5A8D8">
      <w:start w:val="1"/>
      <w:numFmt w:val="decimal"/>
      <w:suff w:val="tab"/>
      <w:lvlText w:val="%1."/>
      <w:lvlJc w:val="left"/>
      <w:pPr/>
      <w:rPr/>
    </w:lvl>
    <w:lvl w:ilvl="4" w:tplc="4972576E">
      <w:start w:val="1"/>
      <w:numFmt w:val="decimal"/>
      <w:suff w:val="tab"/>
      <w:lvlText w:val="%1."/>
      <w:lvlJc w:val="left"/>
      <w:pPr/>
      <w:rPr/>
    </w:lvl>
    <w:lvl w:ilvl="5" w:tplc="1C52A609">
      <w:start w:val="1"/>
      <w:numFmt w:val="decimal"/>
      <w:suff w:val="tab"/>
      <w:lvlText w:val="%1."/>
      <w:lvlJc w:val="left"/>
      <w:pPr/>
      <w:rPr/>
    </w:lvl>
    <w:lvl w:ilvl="6" w:tplc="644A1021">
      <w:start w:val="1"/>
      <w:numFmt w:val="decimal"/>
      <w:suff w:val="tab"/>
      <w:lvlText w:val="%1."/>
      <w:lvlJc w:val="left"/>
      <w:pPr/>
      <w:rPr/>
    </w:lvl>
    <w:lvl w:ilvl="7" w:tplc="4159D1D2">
      <w:start w:val="1"/>
      <w:numFmt w:val="decimal"/>
      <w:suff w:val="tab"/>
      <w:lvlText w:val="%1."/>
      <w:lvlJc w:val="left"/>
      <w:pPr/>
      <w:rPr/>
    </w:lvl>
    <w:lvl w:ilvl="8" w:tplc="4615B85A">
      <w:start w:val="1"/>
      <w:numFmt w:val="decimal"/>
      <w:suff w:val="tab"/>
      <w:lvlText w:val="%1."/>
      <w:lvlJc w:val="left"/>
      <w:pPr/>
      <w:rPr/>
    </w:lvl>
  </w:abstractNum>
  <w:abstractNum w:abstractNumId="2">
    <w:nsid w:val="FFFFFF7E"/>
    <w:multiLevelType w:val="hybridMultilevel"/>
    <w:lvl w:ilvl="0">
      <w:start w:val="1"/>
      <w:numFmt w:val="decimal"/>
      <w:suff w:val="tab"/>
      <w:lvlText w:val="%1."/>
      <w:lvlJc w:val="left"/>
      <w:pPr>
        <w:ind w:hanging="360" w:left="926"/>
        <w:tabs>
          <w:tab w:val="num" w:pos="926" w:leader="none"/>
        </w:tabs>
      </w:pPr>
      <w:rPr/>
    </w:lvl>
    <w:lvl w:ilvl="1" w:tplc="6F7F2FE8">
      <w:start w:val="1"/>
      <w:numFmt w:val="decimal"/>
      <w:suff w:val="tab"/>
      <w:lvlText w:val="%1."/>
      <w:lvlJc w:val="left"/>
      <w:pPr/>
      <w:rPr/>
    </w:lvl>
    <w:lvl w:ilvl="2" w:tplc="6757B094">
      <w:start w:val="1"/>
      <w:numFmt w:val="decimal"/>
      <w:suff w:val="tab"/>
      <w:lvlText w:val="%1."/>
      <w:lvlJc w:val="left"/>
      <w:pPr/>
      <w:rPr/>
    </w:lvl>
    <w:lvl w:ilvl="3" w:tplc="470A5B1E">
      <w:start w:val="1"/>
      <w:numFmt w:val="decimal"/>
      <w:suff w:val="tab"/>
      <w:lvlText w:val="%1."/>
      <w:lvlJc w:val="left"/>
      <w:pPr/>
      <w:rPr/>
    </w:lvl>
    <w:lvl w:ilvl="4" w:tplc="7A2BF061">
      <w:start w:val="1"/>
      <w:numFmt w:val="decimal"/>
      <w:suff w:val="tab"/>
      <w:lvlText w:val="%1."/>
      <w:lvlJc w:val="left"/>
      <w:pPr/>
      <w:rPr/>
    </w:lvl>
    <w:lvl w:ilvl="5" w:tplc="6AD2A6EE">
      <w:start w:val="1"/>
      <w:numFmt w:val="decimal"/>
      <w:suff w:val="tab"/>
      <w:lvlText w:val="%1."/>
      <w:lvlJc w:val="left"/>
      <w:pPr/>
      <w:rPr/>
    </w:lvl>
    <w:lvl w:ilvl="6" w:tplc="0A8F530D">
      <w:start w:val="1"/>
      <w:numFmt w:val="decimal"/>
      <w:suff w:val="tab"/>
      <w:lvlText w:val="%1."/>
      <w:lvlJc w:val="left"/>
      <w:pPr/>
      <w:rPr/>
    </w:lvl>
    <w:lvl w:ilvl="7" w:tplc="3C698C01">
      <w:start w:val="1"/>
      <w:numFmt w:val="decimal"/>
      <w:suff w:val="tab"/>
      <w:lvlText w:val="%1."/>
      <w:lvlJc w:val="left"/>
      <w:pPr/>
      <w:rPr/>
    </w:lvl>
    <w:lvl w:ilvl="8" w:tplc="45DB4187">
      <w:start w:val="1"/>
      <w:numFmt w:val="decimal"/>
      <w:suff w:val="tab"/>
      <w:lvlText w:val="%1."/>
      <w:lvlJc w:val="left"/>
      <w:pPr/>
      <w:rPr/>
    </w:lvl>
  </w:abstractNum>
  <w:abstractNum w:abstractNumId="3">
    <w:nsid w:val="FFFFFF7F"/>
    <w:multiLevelType w:val="hybridMultilevel"/>
    <w:lvl w:ilvl="0">
      <w:start w:val="1"/>
      <w:numFmt w:val="decimal"/>
      <w:suff w:val="tab"/>
      <w:lvlText w:val="%1."/>
      <w:lvlJc w:val="left"/>
      <w:pPr>
        <w:ind w:hanging="360" w:left="643"/>
        <w:tabs>
          <w:tab w:val="num" w:pos="643" w:leader="none"/>
        </w:tabs>
      </w:pPr>
      <w:rPr/>
    </w:lvl>
    <w:lvl w:ilvl="1" w:tplc="52FC6783">
      <w:start w:val="1"/>
      <w:numFmt w:val="decimal"/>
      <w:suff w:val="tab"/>
      <w:lvlText w:val="%1."/>
      <w:lvlJc w:val="left"/>
      <w:pPr/>
      <w:rPr/>
    </w:lvl>
    <w:lvl w:ilvl="2" w:tplc="30186A7C">
      <w:start w:val="1"/>
      <w:numFmt w:val="decimal"/>
      <w:suff w:val="tab"/>
      <w:lvlText w:val="%1."/>
      <w:lvlJc w:val="left"/>
      <w:pPr/>
      <w:rPr/>
    </w:lvl>
    <w:lvl w:ilvl="3" w:tplc="7A701CCB">
      <w:start w:val="1"/>
      <w:numFmt w:val="decimal"/>
      <w:suff w:val="tab"/>
      <w:lvlText w:val="%1."/>
      <w:lvlJc w:val="left"/>
      <w:pPr/>
      <w:rPr/>
    </w:lvl>
    <w:lvl w:ilvl="4" w:tplc="058D4EBE">
      <w:start w:val="1"/>
      <w:numFmt w:val="decimal"/>
      <w:suff w:val="tab"/>
      <w:lvlText w:val="%1."/>
      <w:lvlJc w:val="left"/>
      <w:pPr/>
      <w:rPr/>
    </w:lvl>
    <w:lvl w:ilvl="5" w:tplc="3A17D7F6">
      <w:start w:val="1"/>
      <w:numFmt w:val="decimal"/>
      <w:suff w:val="tab"/>
      <w:lvlText w:val="%1."/>
      <w:lvlJc w:val="left"/>
      <w:pPr/>
      <w:rPr/>
    </w:lvl>
    <w:lvl w:ilvl="6" w:tplc="12F66F56">
      <w:start w:val="1"/>
      <w:numFmt w:val="decimal"/>
      <w:suff w:val="tab"/>
      <w:lvlText w:val="%1."/>
      <w:lvlJc w:val="left"/>
      <w:pPr/>
      <w:rPr/>
    </w:lvl>
    <w:lvl w:ilvl="7" w:tplc="72C031DD">
      <w:start w:val="1"/>
      <w:numFmt w:val="decimal"/>
      <w:suff w:val="tab"/>
      <w:lvlText w:val="%1."/>
      <w:lvlJc w:val="left"/>
      <w:pPr/>
      <w:rPr/>
    </w:lvl>
    <w:lvl w:ilvl="8" w:tplc="0BA74E09">
      <w:start w:val="1"/>
      <w:numFmt w:val="decimal"/>
      <w:suff w:val="tab"/>
      <w:lvlText w:val="%1."/>
      <w:lvlJc w:val="left"/>
      <w:pPr/>
      <w:rPr/>
    </w:lvl>
  </w:abstractNum>
  <w:abstractNum w:abstractNumId="4">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072E73E3">
      <w:start w:val="1"/>
      <w:numFmt w:val="decimal"/>
      <w:suff w:val="tab"/>
      <w:lvlText w:val="%1."/>
      <w:lvlJc w:val="left"/>
      <w:pPr/>
      <w:rPr/>
    </w:lvl>
    <w:lvl w:ilvl="2" w:tplc="7DB9A38A">
      <w:start w:val="1"/>
      <w:numFmt w:val="decimal"/>
      <w:suff w:val="tab"/>
      <w:lvlText w:val="%1."/>
      <w:lvlJc w:val="left"/>
      <w:pPr/>
      <w:rPr/>
    </w:lvl>
    <w:lvl w:ilvl="3" w:tplc="0578EBB9">
      <w:start w:val="1"/>
      <w:numFmt w:val="decimal"/>
      <w:suff w:val="tab"/>
      <w:lvlText w:val="%1."/>
      <w:lvlJc w:val="left"/>
      <w:pPr/>
      <w:rPr/>
    </w:lvl>
    <w:lvl w:ilvl="4" w:tplc="1BC47470">
      <w:start w:val="1"/>
      <w:numFmt w:val="decimal"/>
      <w:suff w:val="tab"/>
      <w:lvlText w:val="%1."/>
      <w:lvlJc w:val="left"/>
      <w:pPr/>
      <w:rPr/>
    </w:lvl>
    <w:lvl w:ilvl="5" w:tplc="5E046BFF">
      <w:start w:val="1"/>
      <w:numFmt w:val="decimal"/>
      <w:suff w:val="tab"/>
      <w:lvlText w:val="%1."/>
      <w:lvlJc w:val="left"/>
      <w:pPr/>
      <w:rPr/>
    </w:lvl>
    <w:lvl w:ilvl="6" w:tplc="3D382BA6">
      <w:start w:val="1"/>
      <w:numFmt w:val="decimal"/>
      <w:suff w:val="tab"/>
      <w:lvlText w:val="%1."/>
      <w:lvlJc w:val="left"/>
      <w:pPr/>
      <w:rPr/>
    </w:lvl>
    <w:lvl w:ilvl="7" w:tplc="6305B22F">
      <w:start w:val="1"/>
      <w:numFmt w:val="decimal"/>
      <w:suff w:val="tab"/>
      <w:lvlText w:val="%1."/>
      <w:lvlJc w:val="left"/>
      <w:pPr/>
      <w:rPr/>
    </w:lvl>
    <w:lvl w:ilvl="8" w:tplc="46C4D7CE">
      <w:start w:val="1"/>
      <w:numFmt w:val="decimal"/>
      <w:suff w:val="tab"/>
      <w:lvlText w:val="%1."/>
      <w:lvlJc w:val="left"/>
      <w:pPr/>
      <w:rPr/>
    </w:lvl>
  </w:abstractNum>
  <w:abstractNum w:abstractNumId="5">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2228478E">
      <w:start w:val="1"/>
      <w:numFmt w:val="decimal"/>
      <w:suff w:val="tab"/>
      <w:lvlText w:val="%1."/>
      <w:lvlJc w:val="left"/>
      <w:pPr/>
      <w:rPr/>
    </w:lvl>
    <w:lvl w:ilvl="2" w:tplc="603633D2">
      <w:start w:val="1"/>
      <w:numFmt w:val="decimal"/>
      <w:suff w:val="tab"/>
      <w:lvlText w:val="%1."/>
      <w:lvlJc w:val="left"/>
      <w:pPr/>
      <w:rPr/>
    </w:lvl>
    <w:lvl w:ilvl="3" w:tplc="5153D5A9">
      <w:start w:val="1"/>
      <w:numFmt w:val="decimal"/>
      <w:suff w:val="tab"/>
      <w:lvlText w:val="%1."/>
      <w:lvlJc w:val="left"/>
      <w:pPr/>
      <w:rPr/>
    </w:lvl>
    <w:lvl w:ilvl="4" w:tplc="4FEADBDC">
      <w:start w:val="1"/>
      <w:numFmt w:val="decimal"/>
      <w:suff w:val="tab"/>
      <w:lvlText w:val="%1."/>
      <w:lvlJc w:val="left"/>
      <w:pPr/>
      <w:rPr/>
    </w:lvl>
    <w:lvl w:ilvl="5" w:tplc="192E17FF">
      <w:start w:val="1"/>
      <w:numFmt w:val="decimal"/>
      <w:suff w:val="tab"/>
      <w:lvlText w:val="%1."/>
      <w:lvlJc w:val="left"/>
      <w:pPr/>
      <w:rPr/>
    </w:lvl>
    <w:lvl w:ilvl="6" w:tplc="2CFED580">
      <w:start w:val="1"/>
      <w:numFmt w:val="decimal"/>
      <w:suff w:val="tab"/>
      <w:lvlText w:val="%1."/>
      <w:lvlJc w:val="left"/>
      <w:pPr/>
      <w:rPr/>
    </w:lvl>
    <w:lvl w:ilvl="7" w:tplc="71FB5041">
      <w:start w:val="1"/>
      <w:numFmt w:val="decimal"/>
      <w:suff w:val="tab"/>
      <w:lvlText w:val="%1."/>
      <w:lvlJc w:val="left"/>
      <w:pPr/>
      <w:rPr/>
    </w:lvl>
    <w:lvl w:ilvl="8" w:tplc="521D83B9">
      <w:start w:val="1"/>
      <w:numFmt w:val="decimal"/>
      <w:suff w:val="tab"/>
      <w:lvlText w:val="%1."/>
      <w:lvlJc w:val="left"/>
      <w:pPr/>
      <w:rPr/>
    </w:lvl>
  </w:abstractNum>
  <w:abstractNum w:abstractNumId="6">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6BA75C80">
      <w:start w:val="1"/>
      <w:numFmt w:val="decimal"/>
      <w:suff w:val="tab"/>
      <w:lvlText w:val="%1."/>
      <w:lvlJc w:val="left"/>
      <w:pPr/>
      <w:rPr/>
    </w:lvl>
    <w:lvl w:ilvl="2" w:tplc="1A9AF322">
      <w:start w:val="1"/>
      <w:numFmt w:val="decimal"/>
      <w:suff w:val="tab"/>
      <w:lvlText w:val="%1."/>
      <w:lvlJc w:val="left"/>
      <w:pPr/>
      <w:rPr/>
    </w:lvl>
    <w:lvl w:ilvl="3" w:tplc="786A00CA">
      <w:start w:val="1"/>
      <w:numFmt w:val="decimal"/>
      <w:suff w:val="tab"/>
      <w:lvlText w:val="%1."/>
      <w:lvlJc w:val="left"/>
      <w:pPr/>
      <w:rPr/>
    </w:lvl>
    <w:lvl w:ilvl="4" w:tplc="402D752C">
      <w:start w:val="1"/>
      <w:numFmt w:val="decimal"/>
      <w:suff w:val="tab"/>
      <w:lvlText w:val="%1."/>
      <w:lvlJc w:val="left"/>
      <w:pPr/>
      <w:rPr/>
    </w:lvl>
    <w:lvl w:ilvl="5" w:tplc="586283B4">
      <w:start w:val="1"/>
      <w:numFmt w:val="decimal"/>
      <w:suff w:val="tab"/>
      <w:lvlText w:val="%1."/>
      <w:lvlJc w:val="left"/>
      <w:pPr/>
      <w:rPr/>
    </w:lvl>
    <w:lvl w:ilvl="6" w:tplc="4AD1BD10">
      <w:start w:val="1"/>
      <w:numFmt w:val="decimal"/>
      <w:suff w:val="tab"/>
      <w:lvlText w:val="%1."/>
      <w:lvlJc w:val="left"/>
      <w:pPr/>
      <w:rPr/>
    </w:lvl>
    <w:lvl w:ilvl="7" w:tplc="5B0F21C6">
      <w:start w:val="1"/>
      <w:numFmt w:val="decimal"/>
      <w:suff w:val="tab"/>
      <w:lvlText w:val="%1."/>
      <w:lvlJc w:val="left"/>
      <w:pPr/>
      <w:rPr/>
    </w:lvl>
    <w:lvl w:ilvl="8" w:tplc="5A987E9A">
      <w:start w:val="1"/>
      <w:numFmt w:val="decimal"/>
      <w:suff w:val="tab"/>
      <w:lvlText w:val="%1."/>
      <w:lvlJc w:val="left"/>
      <w:pPr/>
      <w:rPr/>
    </w:lvl>
  </w:abstractNum>
  <w:abstractNum w:abstractNumId="7">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5DA99619">
      <w:start w:val="1"/>
      <w:numFmt w:val="decimal"/>
      <w:suff w:val="tab"/>
      <w:lvlText w:val="%1."/>
      <w:lvlJc w:val="left"/>
      <w:pPr/>
      <w:rPr/>
    </w:lvl>
    <w:lvl w:ilvl="2" w:tplc="0CDA39DB">
      <w:start w:val="1"/>
      <w:numFmt w:val="decimal"/>
      <w:suff w:val="tab"/>
      <w:lvlText w:val="%1."/>
      <w:lvlJc w:val="left"/>
      <w:pPr/>
      <w:rPr/>
    </w:lvl>
    <w:lvl w:ilvl="3" w:tplc="0AEFD661">
      <w:start w:val="1"/>
      <w:numFmt w:val="decimal"/>
      <w:suff w:val="tab"/>
      <w:lvlText w:val="%1."/>
      <w:lvlJc w:val="left"/>
      <w:pPr/>
      <w:rPr/>
    </w:lvl>
    <w:lvl w:ilvl="4" w:tplc="69DF3A82">
      <w:start w:val="1"/>
      <w:numFmt w:val="decimal"/>
      <w:suff w:val="tab"/>
      <w:lvlText w:val="%1."/>
      <w:lvlJc w:val="left"/>
      <w:pPr/>
      <w:rPr/>
    </w:lvl>
    <w:lvl w:ilvl="5" w:tplc="56B2258F">
      <w:start w:val="1"/>
      <w:numFmt w:val="decimal"/>
      <w:suff w:val="tab"/>
      <w:lvlText w:val="%1."/>
      <w:lvlJc w:val="left"/>
      <w:pPr/>
      <w:rPr/>
    </w:lvl>
    <w:lvl w:ilvl="6" w:tplc="10AB58FF">
      <w:start w:val="1"/>
      <w:numFmt w:val="decimal"/>
      <w:suff w:val="tab"/>
      <w:lvlText w:val="%1."/>
      <w:lvlJc w:val="left"/>
      <w:pPr/>
      <w:rPr/>
    </w:lvl>
    <w:lvl w:ilvl="7" w:tplc="5123B0D4">
      <w:start w:val="1"/>
      <w:numFmt w:val="decimal"/>
      <w:suff w:val="tab"/>
      <w:lvlText w:val="%1."/>
      <w:lvlJc w:val="left"/>
      <w:pPr/>
      <w:rPr/>
    </w:lvl>
    <w:lvl w:ilvl="8" w:tplc="3A2B5EEE">
      <w:start w:val="1"/>
      <w:numFmt w:val="decimal"/>
      <w:suff w:val="tab"/>
      <w:lvlText w:val="%1."/>
      <w:lvlJc w:val="left"/>
      <w:pPr/>
      <w:rPr/>
    </w:lvl>
  </w:abstractNum>
  <w:abstractNum w:abstractNumId="8">
    <w:nsid w:val="FFFFFF88"/>
    <w:multiLevelType w:val="hybridMultilevel"/>
    <w:lvl w:ilvl="0">
      <w:start w:val="1"/>
      <w:numFmt w:val="decimal"/>
      <w:suff w:val="tab"/>
      <w:lvlText w:val="%1."/>
      <w:lvlJc w:val="left"/>
      <w:pPr>
        <w:ind w:hanging="360" w:left="360"/>
        <w:tabs>
          <w:tab w:val="num" w:pos="360" w:leader="none"/>
        </w:tabs>
      </w:pPr>
      <w:rPr/>
    </w:lvl>
    <w:lvl w:ilvl="1" w:tplc="3A2A9D12">
      <w:start w:val="1"/>
      <w:numFmt w:val="decimal"/>
      <w:suff w:val="tab"/>
      <w:lvlText w:val="%1."/>
      <w:lvlJc w:val="left"/>
      <w:pPr/>
      <w:rPr/>
    </w:lvl>
    <w:lvl w:ilvl="2" w:tplc="53BABC77">
      <w:start w:val="1"/>
      <w:numFmt w:val="decimal"/>
      <w:suff w:val="tab"/>
      <w:lvlText w:val="%1."/>
      <w:lvlJc w:val="left"/>
      <w:pPr/>
      <w:rPr/>
    </w:lvl>
    <w:lvl w:ilvl="3" w:tplc="09534594">
      <w:start w:val="1"/>
      <w:numFmt w:val="decimal"/>
      <w:suff w:val="tab"/>
      <w:lvlText w:val="%1."/>
      <w:lvlJc w:val="left"/>
      <w:pPr/>
      <w:rPr/>
    </w:lvl>
    <w:lvl w:ilvl="4" w:tplc="09D23078">
      <w:start w:val="1"/>
      <w:numFmt w:val="decimal"/>
      <w:suff w:val="tab"/>
      <w:lvlText w:val="%1."/>
      <w:lvlJc w:val="left"/>
      <w:pPr/>
      <w:rPr/>
    </w:lvl>
    <w:lvl w:ilvl="5" w:tplc="17263F31">
      <w:start w:val="1"/>
      <w:numFmt w:val="decimal"/>
      <w:suff w:val="tab"/>
      <w:lvlText w:val="%1."/>
      <w:lvlJc w:val="left"/>
      <w:pPr/>
      <w:rPr/>
    </w:lvl>
    <w:lvl w:ilvl="6" w:tplc="240DD01F">
      <w:start w:val="1"/>
      <w:numFmt w:val="decimal"/>
      <w:suff w:val="tab"/>
      <w:lvlText w:val="%1."/>
      <w:lvlJc w:val="left"/>
      <w:pPr/>
      <w:rPr/>
    </w:lvl>
    <w:lvl w:ilvl="7" w:tplc="187C1CA3">
      <w:start w:val="1"/>
      <w:numFmt w:val="decimal"/>
      <w:suff w:val="tab"/>
      <w:lvlText w:val="%1."/>
      <w:lvlJc w:val="left"/>
      <w:pPr/>
      <w:rPr/>
    </w:lvl>
    <w:lvl w:ilvl="8" w:tplc="1A414572">
      <w:start w:val="1"/>
      <w:numFmt w:val="decimal"/>
      <w:suff w:val="tab"/>
      <w:lvlText w:val="%1."/>
      <w:lvlJc w:val="left"/>
      <w:pPr/>
      <w:rPr/>
    </w:lvl>
  </w:abstractNum>
  <w:abstractNum w:abstractNumId="9">
    <w:nsid w:val="14412B46"/>
    <w:multiLevelType w:val="multilevel"/>
    <w:lvl w:ilvl="0">
      <w:start w:val="1"/>
      <w:numFmt w:val="decimal"/>
      <w:pStyle w:val="P34"/>
      <w:suff w:val="space"/>
      <w:lvlText w:val="Not %1."/>
      <w:lvlJc w:val="left"/>
      <w:pPr>
        <w:ind w:firstLine="0" w:left="0"/>
      </w:pPr>
      <w:rPr>
        <w:rFonts w:hint="default"/>
      </w:rPr>
    </w:lvl>
    <w:lvl w:ilvl="1">
      <w:start w:val="1"/>
      <w:numFmt w:val="lowerLetter"/>
      <w:pStyle w:val="P34"/>
      <w:suff w:val="tab"/>
      <w:lvlText w:val="%2)"/>
      <w:lvlJc w:val="left"/>
      <w:pPr>
        <w:ind w:firstLine="0" w:left="0"/>
      </w:pPr>
      <w:rPr>
        <w:rFonts w:hint="default"/>
      </w:rPr>
    </w:lvl>
    <w:lvl w:ilvl="2">
      <w:start w:val="1"/>
      <w:numFmt w:val="lowerRoman"/>
      <w:suff w:val="tab"/>
      <w:lvlText w:val="%3)"/>
      <w:lvlJc w:val="left"/>
      <w:pPr>
        <w:ind w:firstLine="0" w:left="0"/>
      </w:pPr>
      <w:rPr>
        <w:rFonts w:hint="default"/>
      </w:rPr>
    </w:lvl>
    <w:lvl w:ilvl="3">
      <w:start w:val="1"/>
      <w:numFmt w:val="decimal"/>
      <w:suff w:val="tab"/>
      <w:lvlText w:val="(%4)"/>
      <w:lvlJc w:val="left"/>
      <w:pPr>
        <w:ind w:firstLine="0" w:left="0"/>
      </w:pPr>
      <w:rPr>
        <w:rFonts w:hint="default"/>
      </w:rPr>
    </w:lvl>
    <w:lvl w:ilvl="4">
      <w:start w:val="1"/>
      <w:numFmt w:val="lowerLetter"/>
      <w:suff w:val="tab"/>
      <w:lvlText w:val="(%5)"/>
      <w:lvlJc w:val="left"/>
      <w:pPr>
        <w:ind w:firstLine="0" w:left="0"/>
      </w:pPr>
      <w:rPr>
        <w:rFonts w:hint="default"/>
      </w:rPr>
    </w:lvl>
    <w:lvl w:ilvl="5">
      <w:start w:val="1"/>
      <w:numFmt w:val="lowerRoman"/>
      <w:suff w:val="tab"/>
      <w:lvlText w:val="(%6)"/>
      <w:lvlJc w:val="left"/>
      <w:pPr>
        <w:ind w:firstLine="0" w:left="0"/>
      </w:pPr>
      <w:rPr>
        <w:rFonts w:hint="default"/>
      </w:rPr>
    </w:lvl>
    <w:lvl w:ilvl="6">
      <w:start w:val="1"/>
      <w:numFmt w:val="decimal"/>
      <w:suff w:val="tab"/>
      <w:lvlText w:val="%7."/>
      <w:lvlJc w:val="left"/>
      <w:pPr>
        <w:ind w:firstLine="0" w:left="0"/>
      </w:pPr>
      <w:rPr>
        <w:rFonts w:hint="default"/>
      </w:rPr>
    </w:lvl>
    <w:lvl w:ilvl="7">
      <w:start w:val="1"/>
      <w:numFmt w:val="lowerLetter"/>
      <w:suff w:val="tab"/>
      <w:lvlText w:val="%8."/>
      <w:lvlJc w:val="left"/>
      <w:pPr>
        <w:ind w:firstLine="0" w:left="0"/>
      </w:pPr>
      <w:rPr>
        <w:rFonts w:hint="default"/>
      </w:rPr>
    </w:lvl>
    <w:lvl w:ilvl="8">
      <w:start w:val="1"/>
      <w:numFmt w:val="lowerRoman"/>
      <w:suff w:val="tab"/>
      <w:lvlText w:val="%9."/>
      <w:lvlJc w:val="left"/>
      <w:pPr>
        <w:ind w:firstLine="0" w:left="0"/>
      </w:pPr>
      <w:rPr>
        <w:rFonts w:hint="default"/>
      </w:rPr>
    </w:lvl>
  </w:abstractNum>
  <w:abstractNum w:abstractNumId="10">
    <w:nsid w:val="16B4260A"/>
    <w:multiLevelType w:val="multilevel"/>
    <w:lvl w:ilvl="0">
      <w:start w:val="1"/>
      <w:numFmt w:val="bullet"/>
      <w:pStyle w:val="P14"/>
      <w:suff w:val="tab"/>
      <w:lvlText w:val="•"/>
      <w:lvlJc w:val="left"/>
      <w:pPr>
        <w:ind w:hanging="357" w:left="357"/>
      </w:pPr>
      <w:rPr>
        <w:rFonts w:ascii="Calibri" w:hAnsi="Calibri" w:hint="default"/>
        <w:color w:val="auto"/>
      </w:rPr>
    </w:lvl>
    <w:lvl w:ilvl="1">
      <w:start w:val="1"/>
      <w:numFmt w:val="bullet"/>
      <w:pStyle w:val="P15"/>
      <w:suff w:val="tab"/>
      <w:lvlText w:val="•"/>
      <w:lvlJc w:val="left"/>
      <w:pPr>
        <w:ind w:hanging="357" w:left="714"/>
      </w:pPr>
      <w:rPr>
        <w:rFonts w:ascii="Calibri" w:hAnsi="Calibri" w:hint="default"/>
        <w:color w:val="auto"/>
      </w:rPr>
    </w:lvl>
    <w:lvl w:ilvl="2">
      <w:start w:val="1"/>
      <w:numFmt w:val="bullet"/>
      <w:pStyle w:val="P16"/>
      <w:suff w:val="tab"/>
      <w:lvlText w:val="•"/>
      <w:lvlJc w:val="left"/>
      <w:pPr>
        <w:ind w:hanging="357" w:left="1071"/>
      </w:pPr>
      <w:rPr>
        <w:rFonts w:ascii="Calibri" w:hAnsi="Calibri" w:hint="default"/>
        <w:color w:val="auto"/>
      </w:rPr>
    </w:lvl>
    <w:lvl w:ilvl="3">
      <w:start w:val="1"/>
      <w:numFmt w:val="bullet"/>
      <w:pStyle w:val="P17"/>
      <w:suff w:val="tab"/>
      <w:lvlText w:val="•"/>
      <w:lvlJc w:val="left"/>
      <w:pPr>
        <w:ind w:hanging="357" w:left="1428"/>
      </w:pPr>
      <w:rPr>
        <w:rFonts w:ascii="Calibri" w:hAnsi="Calibri" w:hint="default"/>
        <w:color w:val="auto"/>
      </w:rPr>
    </w:lvl>
    <w:lvl w:ilvl="4">
      <w:start w:val="1"/>
      <w:numFmt w:val="bullet"/>
      <w:pStyle w:val="P18"/>
      <w:suff w:val="tab"/>
      <w:lvlText w:val="•"/>
      <w:lvlJc w:val="left"/>
      <w:pPr>
        <w:ind w:hanging="357" w:left="1785"/>
      </w:pPr>
      <w:rPr>
        <w:rFonts w:ascii="Calibri" w:hAnsi="Calibri" w:hint="default"/>
        <w:color w:val="auto"/>
      </w:rPr>
    </w:lvl>
    <w:lvl w:ilvl="5">
      <w:start w:val="1"/>
      <w:numFmt w:val="lowerRoman"/>
      <w:suff w:val="tab"/>
      <w:lvlText w:val="(%6)"/>
      <w:lvlJc w:val="left"/>
      <w:pPr>
        <w:ind w:hanging="357" w:left="2142"/>
      </w:pPr>
      <w:rPr>
        <w:rFonts w:hint="default"/>
      </w:rPr>
    </w:lvl>
    <w:lvl w:ilvl="6">
      <w:start w:val="1"/>
      <w:numFmt w:val="decimal"/>
      <w:suff w:val="tab"/>
      <w:lvlText w:val="%7."/>
      <w:lvlJc w:val="left"/>
      <w:pPr>
        <w:ind w:hanging="357" w:left="2499"/>
      </w:pPr>
      <w:rPr>
        <w:rFonts w:hint="default"/>
      </w:rPr>
    </w:lvl>
    <w:lvl w:ilvl="7">
      <w:start w:val="1"/>
      <w:numFmt w:val="lowerLetter"/>
      <w:suff w:val="tab"/>
      <w:lvlText w:val="%8."/>
      <w:lvlJc w:val="left"/>
      <w:pPr>
        <w:ind w:hanging="357" w:left="2856"/>
      </w:pPr>
      <w:rPr>
        <w:rFonts w:hint="default"/>
      </w:rPr>
    </w:lvl>
    <w:lvl w:ilvl="8">
      <w:start w:val="1"/>
      <w:numFmt w:val="lowerRoman"/>
      <w:suff w:val="tab"/>
      <w:lvlText w:val="%9."/>
      <w:lvlJc w:val="left"/>
      <w:pPr>
        <w:ind w:hanging="357" w:left="3213"/>
      </w:pPr>
      <w:rPr>
        <w:rFonts w:hint="default"/>
      </w:rPr>
    </w:lvl>
  </w:abstractNum>
  <w:abstractNum w:abstractNumId="11">
    <w:nsid w:val="57040B31"/>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2">
    <w:nsid w:val="5DCC16EE"/>
    <w:multiLevelType w:val="multilevel"/>
    <w:lvl w:ilvl="0">
      <w:start w:val="1"/>
      <w:numFmt w:val="decimal"/>
      <w:pStyle w:val="P19"/>
      <w:suff w:val="tab"/>
      <w:lvlText w:val="%1."/>
      <w:lvlJc w:val="left"/>
      <w:pPr>
        <w:ind w:hanging="357" w:left="357"/>
      </w:pPr>
      <w:rPr>
        <w:rFonts w:hint="default"/>
      </w:rPr>
    </w:lvl>
    <w:lvl w:ilvl="1">
      <w:start w:val="1"/>
      <w:numFmt w:val="lowerLetter"/>
      <w:pStyle w:val="P20"/>
      <w:suff w:val="tab"/>
      <w:lvlText w:val="%2."/>
      <w:lvlJc w:val="left"/>
      <w:pPr>
        <w:ind w:hanging="357" w:left="714"/>
      </w:pPr>
      <w:rPr>
        <w:rFonts w:hint="default"/>
      </w:rPr>
    </w:lvl>
    <w:lvl w:ilvl="2">
      <w:start w:val="1"/>
      <w:numFmt w:val="lowerRoman"/>
      <w:pStyle w:val="P21"/>
      <w:suff w:val="tab"/>
      <w:lvlText w:val="%3."/>
      <w:lvlJc w:val="left"/>
      <w:pPr>
        <w:ind w:hanging="357" w:left="1071"/>
      </w:pPr>
      <w:rPr>
        <w:rFonts w:hint="default"/>
      </w:rPr>
    </w:lvl>
    <w:lvl w:ilvl="3">
      <w:start w:val="1"/>
      <w:numFmt w:val="decimal"/>
      <w:pStyle w:val="P22"/>
      <w:suff w:val="tab"/>
      <w:lvlText w:val="%4)"/>
      <w:lvlJc w:val="left"/>
      <w:pPr>
        <w:ind w:hanging="357" w:left="1428"/>
      </w:pPr>
      <w:rPr>
        <w:rFonts w:hint="default"/>
      </w:rPr>
    </w:lvl>
    <w:lvl w:ilvl="4">
      <w:start w:val="1"/>
      <w:numFmt w:val="lowerLetter"/>
      <w:pStyle w:val="P23"/>
      <w:suff w:val="tab"/>
      <w:lvlText w:val="%5)"/>
      <w:lvlJc w:val="left"/>
      <w:pPr>
        <w:ind w:hanging="357" w:left="1785"/>
      </w:pPr>
      <w:rPr>
        <w:rFonts w:hint="default"/>
      </w:rPr>
    </w:lvl>
    <w:lvl w:ilvl="5">
      <w:start w:val="1"/>
      <w:numFmt w:val="lowerRoman"/>
      <w:suff w:val="tab"/>
      <w:lvlText w:val="(%6)"/>
      <w:lvlJc w:val="left"/>
      <w:pPr>
        <w:ind w:hanging="357" w:left="2142"/>
      </w:pPr>
      <w:rPr>
        <w:rFonts w:hint="default"/>
      </w:rPr>
    </w:lvl>
    <w:lvl w:ilvl="6">
      <w:start w:val="1"/>
      <w:numFmt w:val="decimal"/>
      <w:suff w:val="tab"/>
      <w:lvlText w:val="%7."/>
      <w:lvlJc w:val="left"/>
      <w:pPr>
        <w:ind w:hanging="357" w:left="2499"/>
      </w:pPr>
      <w:rPr>
        <w:rFonts w:hint="default"/>
      </w:rPr>
    </w:lvl>
    <w:lvl w:ilvl="7">
      <w:start w:val="1"/>
      <w:numFmt w:val="lowerLetter"/>
      <w:suff w:val="tab"/>
      <w:lvlText w:val="%8."/>
      <w:lvlJc w:val="left"/>
      <w:pPr>
        <w:ind w:hanging="357" w:left="2856"/>
      </w:pPr>
      <w:rPr>
        <w:rFonts w:hint="default"/>
      </w:rPr>
    </w:lvl>
    <w:lvl w:ilvl="8">
      <w:start w:val="1"/>
      <w:numFmt w:val="lowerRoman"/>
      <w:suff w:val="tab"/>
      <w:lvlText w:val="%9."/>
      <w:lvlJc w:val="left"/>
      <w:pPr>
        <w:ind w:hanging="357" w:left="3213"/>
      </w:pPr>
      <w:rPr>
        <w:rFonts w:hint="default"/>
      </w:rPr>
    </w:lvl>
  </w:abstractNum>
  <w:abstractNum w:abstractNumId="13">
    <w:nsid w:val="6D6C0845"/>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num w:numId="1">
    <w:abstractNumId w:val="10"/>
  </w:num>
  <w:num w:numId="2">
    <w:abstractNumId w:val="7"/>
  </w:num>
  <w:num w:numId="3">
    <w:abstractNumId w:val="6"/>
  </w:num>
  <w:num w:numId="4">
    <w:abstractNumId w:val="5"/>
  </w:num>
  <w:num w:numId="5">
    <w:abstractNumId w:val="4"/>
  </w:num>
  <w:num w:numId="6">
    <w:abstractNumId w:val="12"/>
  </w:num>
  <w:num w:numId="7">
    <w:abstractNumId w:val="3"/>
  </w:num>
  <w:num w:numId="8">
    <w:abstractNumId w:val="2"/>
  </w:num>
  <w:num w:numId="9">
    <w:abstractNumId w:val="1"/>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Georgia" w:hAnsi="Georgia"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88" w:before="0" w:after="16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12"/>
    <w:qFormat/>
    <w:pPr>
      <w:keepNext w:val="1"/>
      <w:keepLines w:val="1"/>
      <w:numPr>
        <w:numId w:val="16"/>
      </w:numPr>
      <w:spacing w:lineRule="auto" w:line="240" w:before="240" w:after="120" w:beforeAutospacing="0" w:afterAutospacing="0"/>
      <w:outlineLvl w:val="0"/>
    </w:pPr>
    <w:rPr>
      <w:rFonts w:ascii="Arial" w:hAnsi="Arial" w:cstheme="majorBidi" w:eastAsiaTheme="majorEastAsia"/>
      <w:b w:val="1"/>
      <w:bCs w:val="1"/>
      <w:color w:val="000000" w:themeColor="text1"/>
      <w:sz w:val="44"/>
      <w:szCs w:val="36"/>
    </w:rPr>
  </w:style>
  <w:style w:type="paragraph" w:styleId="P2">
    <w:name w:val="Heading 2"/>
    <w:basedOn w:val="P1"/>
    <w:next w:val="P0"/>
    <w:link w:val="C11"/>
    <w:qFormat/>
    <w:pPr>
      <w:numPr>
        <w:ilvl w:val="1"/>
      </w:numPr>
      <w:spacing w:before="320" w:beforeAutospacing="0" w:afterAutospacing="0"/>
      <w:outlineLvl w:val="1"/>
    </w:pPr>
    <w:rPr>
      <w:sz w:val="28"/>
      <w:szCs w:val="28"/>
    </w:rPr>
  </w:style>
  <w:style w:type="paragraph" w:styleId="P3">
    <w:name w:val="Heading 3"/>
    <w:basedOn w:val="P2"/>
    <w:next w:val="P0"/>
    <w:link w:val="C10"/>
    <w:qFormat/>
    <w:pPr>
      <w:numPr>
        <w:ilvl w:val="2"/>
      </w:numPr>
      <w:spacing w:before="240" w:after="40" w:beforeAutospacing="0" w:afterAutospacing="0"/>
      <w:outlineLvl w:val="2"/>
    </w:pPr>
    <w:rPr>
      <w:sz w:val="24"/>
      <w:szCs w:val="24"/>
    </w:rPr>
  </w:style>
  <w:style w:type="paragraph" w:styleId="P4">
    <w:name w:val="Heading 4"/>
    <w:basedOn w:val="P3"/>
    <w:next w:val="P0"/>
    <w:link w:val="C9"/>
    <w:qFormat/>
    <w:pPr>
      <w:numPr>
        <w:ilvl w:val="3"/>
      </w:numPr>
      <w:outlineLvl w:val="3"/>
    </w:pPr>
    <w:rPr>
      <w:iCs w:val="1"/>
      <w:color w:val="000000" w:themeColor="text2"/>
      <w:sz w:val="22"/>
    </w:rPr>
  </w:style>
  <w:style w:type="paragraph" w:styleId="P5">
    <w:name w:val="Heading 5"/>
    <w:basedOn w:val="P4"/>
    <w:next w:val="P0"/>
    <w:link w:val="C8"/>
    <w:qFormat/>
    <w:pPr>
      <w:numPr>
        <w:ilvl w:val="4"/>
      </w:numPr>
      <w:outlineLvl w:val="4"/>
    </w:pPr>
    <w:rPr>
      <w:b w:val="0"/>
      <w:bCs w:val="0"/>
    </w:rPr>
  </w:style>
  <w:style w:type="paragraph" w:styleId="P6">
    <w:name w:val="Heading 6"/>
    <w:basedOn w:val="P5"/>
    <w:next w:val="P0"/>
    <w:link w:val="C7"/>
    <w:semiHidden/>
    <w:qFormat/>
    <w:pPr>
      <w:numPr>
        <w:ilvl w:val="5"/>
      </w:numPr>
      <w:outlineLvl w:val="5"/>
    </w:pPr>
    <w:rPr>
      <w:i w:val="1"/>
    </w:rPr>
  </w:style>
  <w:style w:type="paragraph" w:styleId="P7">
    <w:name w:val="Heading 7"/>
    <w:basedOn w:val="P6"/>
    <w:next w:val="P0"/>
    <w:link w:val="C6"/>
    <w:semiHidden/>
    <w:qFormat/>
    <w:pPr>
      <w:numPr>
        <w:ilvl w:val="6"/>
      </w:numPr>
      <w:outlineLvl w:val="6"/>
    </w:pPr>
    <w:rPr>
      <w:i w:val="0"/>
      <w:iCs w:val="0"/>
    </w:rPr>
  </w:style>
  <w:style w:type="paragraph" w:styleId="P8">
    <w:name w:val="Heading 8"/>
    <w:basedOn w:val="P7"/>
    <w:next w:val="P0"/>
    <w:link w:val="C5"/>
    <w:semiHidden/>
    <w:qFormat/>
    <w:pPr>
      <w:numPr>
        <w:ilvl w:val="7"/>
      </w:numPr>
      <w:outlineLvl w:val="7"/>
    </w:pPr>
    <w:rPr>
      <w:i w:val="1"/>
      <w:szCs w:val="21"/>
    </w:rPr>
  </w:style>
  <w:style w:type="paragraph" w:styleId="P9">
    <w:name w:val="Heading 9"/>
    <w:basedOn w:val="P8"/>
    <w:next w:val="P0"/>
    <w:link w:val="C4"/>
    <w:semiHidden/>
    <w:qFormat/>
    <w:pPr>
      <w:numPr>
        <w:ilvl w:val="8"/>
      </w:numPr>
      <w:outlineLvl w:val="8"/>
    </w:pPr>
    <w:rPr>
      <w:i w:val="0"/>
      <w:iCs w:val="1"/>
      <w:sz w:val="20"/>
    </w:rPr>
  </w:style>
  <w:style w:type="paragraph" w:styleId="P10">
    <w:name w:val="Subtitle"/>
    <w:basedOn w:val="P0"/>
    <w:next w:val="P0"/>
    <w:link w:val="C3"/>
    <w:pPr/>
    <w:rPr>
      <w:rFonts w:eastAsiaTheme="minorEastAsia"/>
      <w:sz w:val="28"/>
    </w:rPr>
  </w:style>
  <w:style w:type="paragraph" w:styleId="P11">
    <w:name w:val="TOC Heading"/>
    <w:basedOn w:val="P0"/>
    <w:next w:val="P0"/>
    <w:qFormat/>
    <w:pPr>
      <w:spacing w:lineRule="auto" w:line="240" w:before="240" w:after="120" w:beforeAutospacing="0" w:afterAutospacing="0"/>
    </w:pPr>
    <w:rPr>
      <w:rFonts w:asciiTheme="minorHAnsi" w:hAnsiTheme="minorHAnsi"/>
      <w:b w:val="1"/>
      <w:sz w:val="44"/>
    </w:rPr>
  </w:style>
  <w:style w:type="paragraph" w:styleId="P12">
    <w:name w:val="Title"/>
    <w:basedOn w:val="P0"/>
    <w:next w:val="P0"/>
    <w:link w:val="C13"/>
    <w:pPr>
      <w:spacing w:lineRule="auto" w:line="240" w:after="0" w:beforeAutospacing="0" w:afterAutospacing="0"/>
      <w:contextualSpacing w:val="1"/>
      <w:outlineLvl w:val="0"/>
    </w:pPr>
    <w:rPr>
      <w:rFonts w:ascii="Arial" w:hAnsi="Arial" w:cstheme="majorBidi" w:eastAsiaTheme="majorEastAsia"/>
      <w:b w:val="1"/>
      <w:sz w:val="72"/>
      <w:szCs w:val="56"/>
      <w:kern w:val="28"/>
    </w:rPr>
  </w:style>
  <w:style w:type="paragraph" w:styleId="P13">
    <w:name w:val="Salutation"/>
    <w:basedOn w:val="P0"/>
    <w:next w:val="P0"/>
    <w:link w:val="C14"/>
    <w:semiHidden/>
    <w:pPr/>
    <w:rPr>
      <w:sz w:val="24"/>
    </w:rPr>
  </w:style>
  <w:style w:type="paragraph" w:styleId="P14">
    <w:name w:val="List Bullet"/>
    <w:basedOn w:val="P0"/>
    <w:qFormat/>
    <w:pPr>
      <w:numPr>
        <w:numId w:val="1"/>
      </w:numPr>
      <w:spacing w:lineRule="auto" w:line="276" w:beforeAutospacing="0" w:afterAutospacing="0"/>
      <w:contextualSpacing w:val="1"/>
    </w:pPr>
    <w:rPr/>
  </w:style>
  <w:style w:type="paragraph" w:styleId="P15">
    <w:name w:val="List Bullet 2"/>
    <w:basedOn w:val="P0"/>
    <w:pPr>
      <w:numPr>
        <w:ilvl w:val="1"/>
        <w:numId w:val="1"/>
      </w:numPr>
      <w:spacing w:lineRule="auto" w:line="276" w:beforeAutospacing="0" w:afterAutospacing="0"/>
      <w:contextualSpacing w:val="1"/>
    </w:pPr>
    <w:rPr/>
  </w:style>
  <w:style w:type="paragraph" w:styleId="P16">
    <w:name w:val="List Bullet 3"/>
    <w:basedOn w:val="P0"/>
    <w:pPr>
      <w:numPr>
        <w:ilvl w:val="2"/>
        <w:numId w:val="1"/>
      </w:numPr>
      <w:spacing w:lineRule="auto" w:line="276" w:beforeAutospacing="0" w:afterAutospacing="0"/>
      <w:contextualSpacing w:val="1"/>
    </w:pPr>
    <w:rPr/>
  </w:style>
  <w:style w:type="paragraph" w:styleId="P17">
    <w:name w:val="List Bullet 4"/>
    <w:basedOn w:val="P0"/>
    <w:semiHidden/>
    <w:pPr>
      <w:numPr>
        <w:ilvl w:val="3"/>
        <w:numId w:val="1"/>
      </w:numPr>
      <w:contextualSpacing w:val="1"/>
    </w:pPr>
    <w:rPr/>
  </w:style>
  <w:style w:type="paragraph" w:styleId="P18">
    <w:name w:val="List Bullet 5"/>
    <w:basedOn w:val="P0"/>
    <w:semiHidden/>
    <w:pPr>
      <w:numPr>
        <w:ilvl w:val="4"/>
        <w:numId w:val="1"/>
      </w:numPr>
      <w:spacing w:lineRule="auto" w:line="276" w:beforeAutospacing="0" w:afterAutospacing="0"/>
      <w:ind w:left="1786"/>
      <w:contextualSpacing w:val="1"/>
    </w:pPr>
    <w:rPr/>
  </w:style>
  <w:style w:type="paragraph" w:styleId="P19">
    <w:name w:val="List Number"/>
    <w:basedOn w:val="P0"/>
    <w:qFormat/>
    <w:pPr>
      <w:numPr>
        <w:numId w:val="6"/>
      </w:numPr>
      <w:spacing w:lineRule="auto" w:line="276" w:beforeAutospacing="0" w:afterAutospacing="0"/>
      <w:contextualSpacing w:val="1"/>
    </w:pPr>
    <w:rPr/>
  </w:style>
  <w:style w:type="paragraph" w:styleId="P20">
    <w:name w:val="List Number 2"/>
    <w:basedOn w:val="P0"/>
    <w:pPr>
      <w:numPr>
        <w:ilvl w:val="1"/>
        <w:numId w:val="6"/>
      </w:numPr>
      <w:spacing w:lineRule="auto" w:line="276" w:beforeAutospacing="0" w:afterAutospacing="0"/>
      <w:contextualSpacing w:val="1"/>
    </w:pPr>
    <w:rPr/>
  </w:style>
  <w:style w:type="paragraph" w:styleId="P21">
    <w:name w:val="List Number 3"/>
    <w:basedOn w:val="P0"/>
    <w:pPr>
      <w:numPr>
        <w:ilvl w:val="2"/>
        <w:numId w:val="6"/>
      </w:numPr>
      <w:spacing w:lineRule="auto" w:line="276" w:beforeAutospacing="0" w:afterAutospacing="0"/>
      <w:contextualSpacing w:val="1"/>
    </w:pPr>
    <w:rPr/>
  </w:style>
  <w:style w:type="paragraph" w:styleId="P22">
    <w:name w:val="List Number 4"/>
    <w:basedOn w:val="P0"/>
    <w:semiHidden/>
    <w:pPr>
      <w:numPr>
        <w:ilvl w:val="3"/>
        <w:numId w:val="6"/>
      </w:numPr>
      <w:spacing w:lineRule="auto" w:line="276" w:beforeAutospacing="0" w:afterAutospacing="0"/>
      <w:ind w:left="1429"/>
      <w:contextualSpacing w:val="1"/>
    </w:pPr>
    <w:rPr/>
  </w:style>
  <w:style w:type="paragraph" w:styleId="P23">
    <w:name w:val="List Number 5"/>
    <w:basedOn w:val="P0"/>
    <w:semiHidden/>
    <w:pPr>
      <w:numPr>
        <w:ilvl w:val="4"/>
        <w:numId w:val="6"/>
      </w:numPr>
      <w:spacing w:lineRule="auto" w:line="276" w:beforeAutospacing="0" w:afterAutospacing="0"/>
      <w:ind w:left="1786"/>
      <w:contextualSpacing w:val="1"/>
    </w:pPr>
    <w:rPr/>
  </w:style>
  <w:style w:type="paragraph" w:styleId="P24">
    <w:name w:val="TOC 1"/>
    <w:basedOn w:val="P0"/>
    <w:next w:val="P0"/>
    <w:pPr>
      <w:tabs>
        <w:tab w:val="right" w:pos="9062" w:leader="dot"/>
      </w:tabs>
      <w:spacing w:lineRule="auto" w:line="276" w:after="100" w:beforeAutospacing="0" w:afterAutospacing="0"/>
    </w:pPr>
    <w:rPr>
      <w:b w:val="1"/>
    </w:rPr>
  </w:style>
  <w:style w:type="paragraph" w:styleId="P25">
    <w:name w:val="TOC 2"/>
    <w:basedOn w:val="P0"/>
    <w:next w:val="P0"/>
    <w:pPr>
      <w:spacing w:after="100" w:beforeAutospacing="0" w:afterAutospacing="0"/>
      <w:ind w:left="220"/>
    </w:pPr>
    <w:rPr/>
  </w:style>
  <w:style w:type="paragraph" w:styleId="P26">
    <w:name w:val="TOC 3"/>
    <w:basedOn w:val="P0"/>
    <w:next w:val="P0"/>
    <w:pPr>
      <w:spacing w:after="100" w:beforeAutospacing="0" w:afterAutospacing="0"/>
      <w:ind w:left="440"/>
    </w:pPr>
    <w:rPr/>
  </w:style>
  <w:style w:type="paragraph" w:styleId="P27">
    <w:name w:val="No Spacing"/>
    <w:qFormat/>
    <w:pPr>
      <w:spacing w:lineRule="auto" w:line="240" w:after="0" w:beforeAutospacing="0" w:afterAutospacing="0"/>
    </w:pPr>
    <w:rPr/>
  </w:style>
  <w:style w:type="paragraph" w:styleId="P28">
    <w:name w:val="Header"/>
    <w:basedOn w:val="P0"/>
    <w:link w:val="C16"/>
    <w:pPr>
      <w:tabs>
        <w:tab w:val="center" w:pos="4536" w:leader="none"/>
        <w:tab w:val="right" w:pos="9072" w:leader="none"/>
      </w:tabs>
      <w:spacing w:lineRule="auto" w:line="240" w:after="0" w:beforeAutospacing="0" w:afterAutospacing="0"/>
    </w:pPr>
    <w:rPr>
      <w:sz w:val="18"/>
    </w:rPr>
  </w:style>
  <w:style w:type="paragraph" w:styleId="P29">
    <w:name w:val="Footer"/>
    <w:basedOn w:val="P0"/>
    <w:link w:val="C17"/>
    <w:pPr>
      <w:tabs>
        <w:tab w:val="center" w:pos="4536" w:leader="none"/>
        <w:tab w:val="right" w:pos="9072" w:leader="none"/>
      </w:tabs>
      <w:spacing w:lineRule="auto" w:line="240" w:after="0" w:beforeAutospacing="0" w:afterAutospacing="0"/>
    </w:pPr>
    <w:rPr>
      <w:sz w:val="18"/>
    </w:rPr>
  </w:style>
  <w:style w:type="paragraph" w:styleId="P30">
    <w:name w:val="Quote"/>
    <w:basedOn w:val="P0"/>
    <w:next w:val="P0"/>
    <w:link w:val="C18"/>
    <w:pPr>
      <w:spacing w:before="200" w:beforeAutospacing="0" w:afterAutospacing="0"/>
      <w:ind w:left="864" w:right="864"/>
      <w:jc w:val="center"/>
    </w:pPr>
    <w:rPr>
      <w:i w:val="1"/>
      <w:iCs w:val="1"/>
      <w:color w:val="404040" w:themeColor="text1" w:themeTint="BF"/>
    </w:rPr>
  </w:style>
  <w:style w:type="paragraph" w:styleId="P31">
    <w:name w:val="Closing"/>
    <w:basedOn w:val="P0"/>
    <w:next w:val="P27"/>
    <w:link w:val="C19"/>
    <w:pPr>
      <w:spacing w:lineRule="auto" w:line="240" w:before="720" w:after="720" w:beforeAutospacing="0" w:afterAutospacing="0"/>
    </w:pPr>
    <w:rPr/>
  </w:style>
  <w:style w:type="paragraph" w:styleId="P32">
    <w:name w:val="Ingress"/>
    <w:basedOn w:val="P0"/>
    <w:next w:val="P0"/>
    <w:qFormat/>
    <w:pPr/>
    <w:rPr>
      <w:sz w:val="26"/>
    </w:rPr>
  </w:style>
  <w:style w:type="paragraph" w:styleId="P33">
    <w:name w:val="Envelope Address"/>
    <w:basedOn w:val="P27"/>
    <w:pPr>
      <w:framePr w:w="5670" w:h="2268" w:hRule="exact" w:vSpace="2268" w:wrap="around" w:vAnchor="page" w:hAnchor="page" w:x="0" w:xAlign="right" w:y="0" w:yAlign="top" w:anchorLock="1"/>
    </w:pPr>
    <w:rPr>
      <w:rFonts w:cstheme="majorBidi" w:eastAsiaTheme="majorEastAsia"/>
      <w:szCs w:val="24"/>
    </w:rPr>
  </w:style>
  <w:style w:type="paragraph" w:styleId="P34">
    <w:name w:val="Noter"/>
    <w:basedOn w:val="P2"/>
    <w:next w:val="P0"/>
    <w:semiHidden/>
    <w:pPr>
      <w:numPr>
        <w:numId w:val="12"/>
      </w:numPr>
    </w:pPr>
    <w:rPr/>
  </w:style>
  <w:style w:type="paragraph" w:styleId="P35">
    <w:name w:val="Footnote Text"/>
    <w:basedOn w:val="P0"/>
    <w:link w:val="C20"/>
    <w:pPr>
      <w:spacing w:lineRule="auto" w:line="240" w:after="0" w:beforeAutospacing="0" w:afterAutospacing="0"/>
    </w:pPr>
    <w:rPr>
      <w:sz w:val="20"/>
      <w:szCs w:val="20"/>
    </w:rPr>
  </w:style>
  <w:style w:type="paragraph" w:styleId="P36">
    <w:name w:val="Caption"/>
    <w:basedOn w:val="P0"/>
    <w:next w:val="P0"/>
    <w:qFormat/>
    <w:pPr>
      <w:spacing w:lineRule="auto" w:line="240" w:after="200" w:beforeAutospacing="0" w:afterAutospacing="0"/>
      <w:ind w:left="425"/>
    </w:pPr>
    <w:rPr>
      <w:rFonts w:ascii="Arial" w:hAnsi="Arial" w:cs="Arial" w:eastAsia="Arial"/>
      <w:i w:val="1"/>
      <w:iCs w:val="1"/>
      <w:color w:val="000000" w:themeColor="text2"/>
      <w:sz w:val="18"/>
      <w:szCs w:val="18"/>
      <w:lang w:eastAsia="sv-SE"/>
    </w:rPr>
  </w:style>
  <w:style w:type="paragraph" w:styleId="P37">
    <w:name w:val="Tema"/>
    <w:basedOn w:val="P1"/>
    <w:qFormat/>
    <w:pPr>
      <w:numPr>
        <w:numId w:val="0"/>
      </w:numPr>
      <w:tabs>
        <w:tab w:val="num" w:pos="360" w:leader="none"/>
      </w:tabs>
      <w:spacing w:lineRule="auto" w:line="256" w:before="360" w:after="367" w:beforeAutospacing="0" w:afterAutospacing="0"/>
      <w:ind w:hanging="431" w:left="431"/>
    </w:pPr>
    <w:rPr>
      <w:rFonts w:cs="Arial" w:eastAsia="Arial"/>
      <w:b w:val="0"/>
      <w:bCs w:val="0"/>
      <w:caps w:val="1"/>
      <w:color w:val="000000"/>
      <w:sz w:val="40"/>
      <w:szCs w:val="22"/>
      <w:u w:val="single"/>
      <w:lang w:eastAsia="sv-SE"/>
    </w:rPr>
  </w:style>
  <w:style w:type="paragraph" w:styleId="P38">
    <w:name w:val="Grupp"/>
    <w:basedOn w:val="P2"/>
    <w:qFormat/>
    <w:pPr>
      <w:numPr>
        <w:numId w:val="0"/>
      </w:numPr>
      <w:tabs>
        <w:tab w:val="num" w:pos="360" w:leader="none"/>
      </w:tabs>
      <w:spacing w:lineRule="auto" w:line="256" w:before="0" w:after="51" w:beforeAutospacing="0" w:afterAutospacing="0"/>
      <w:ind w:left="425"/>
    </w:pPr>
    <w:rPr>
      <w:rFonts w:cs="Arial" w:eastAsia="Arial"/>
      <w:caps w:val="1"/>
      <w:color w:val="000000"/>
      <w:sz w:val="36"/>
      <w:szCs w:val="20"/>
      <w:lang w:eastAsia="sv-SE"/>
    </w:rPr>
  </w:style>
  <w:style w:type="paragraph" w:styleId="P39">
    <w:name w:val="Undergrupp"/>
    <w:basedOn w:val="P3"/>
    <w:qFormat/>
    <w:pPr>
      <w:keepNext w:val="0"/>
      <w:keepLines w:val="0"/>
      <w:numPr>
        <w:numId w:val="0"/>
      </w:numPr>
      <w:tabs>
        <w:tab w:val="num" w:pos="360" w:leader="none"/>
      </w:tabs>
      <w:spacing w:lineRule="auto" w:line="256" w:before="0" w:after="60" w:beforeAutospacing="0" w:afterAutospacing="0"/>
      <w:ind w:left="425"/>
    </w:pPr>
    <w:rPr>
      <w:rFonts w:cs="Arial" w:eastAsia="Arial"/>
      <w:b w:val="0"/>
      <w:bCs w:val="0"/>
      <w:caps w:val="1"/>
      <w:color w:val="000000"/>
      <w:sz w:val="28"/>
      <w:szCs w:val="22"/>
      <w:lang w:eastAsia="sv-SE"/>
    </w:rPr>
  </w:style>
  <w:style w:type="paragraph" w:styleId="P40">
    <w:name w:val="TOC 4"/>
    <w:basedOn w:val="P0"/>
    <w:next w:val="P0"/>
    <w:pPr>
      <w:spacing w:lineRule="auto" w:line="278" w:after="100" w:beforeAutospacing="0" w:afterAutospacing="0"/>
      <w:ind w:left="720"/>
    </w:pPr>
    <w:rPr>
      <w:rFonts w:asciiTheme="minorHAnsi" w:hAnsiTheme="minorHAnsi" w:eastAsiaTheme="minorEastAsia"/>
      <w:sz w:val="24"/>
      <w:szCs w:val="24"/>
      <w:kern w:val="2"/>
      <w:lang w:eastAsia="sv-SE"/>
    </w:rPr>
  </w:style>
  <w:style w:type="paragraph" w:styleId="P41">
    <w:name w:val="TOC 5"/>
    <w:basedOn w:val="P0"/>
    <w:next w:val="P0"/>
    <w:pPr>
      <w:spacing w:lineRule="auto" w:line="278" w:after="100" w:beforeAutospacing="0" w:afterAutospacing="0"/>
      <w:ind w:left="960"/>
    </w:pPr>
    <w:rPr>
      <w:rFonts w:asciiTheme="minorHAnsi" w:hAnsiTheme="minorHAnsi" w:eastAsiaTheme="minorEastAsia"/>
      <w:sz w:val="24"/>
      <w:szCs w:val="24"/>
      <w:kern w:val="2"/>
      <w:lang w:eastAsia="sv-SE"/>
    </w:rPr>
  </w:style>
  <w:style w:type="paragraph" w:styleId="P42">
    <w:name w:val="TOC 6"/>
    <w:basedOn w:val="P0"/>
    <w:next w:val="P0"/>
    <w:pPr>
      <w:spacing w:lineRule="auto" w:line="278" w:after="100" w:beforeAutospacing="0" w:afterAutospacing="0"/>
      <w:ind w:left="1200"/>
    </w:pPr>
    <w:rPr>
      <w:rFonts w:asciiTheme="minorHAnsi" w:hAnsiTheme="minorHAnsi" w:eastAsiaTheme="minorEastAsia"/>
      <w:sz w:val="24"/>
      <w:szCs w:val="24"/>
      <w:kern w:val="2"/>
      <w:lang w:eastAsia="sv-SE"/>
    </w:rPr>
  </w:style>
  <w:style w:type="paragraph" w:styleId="P43">
    <w:name w:val="TOC 7"/>
    <w:basedOn w:val="P0"/>
    <w:next w:val="P0"/>
    <w:pPr>
      <w:spacing w:lineRule="auto" w:line="278" w:after="100" w:beforeAutospacing="0" w:afterAutospacing="0"/>
      <w:ind w:left="1440"/>
    </w:pPr>
    <w:rPr>
      <w:rFonts w:asciiTheme="minorHAnsi" w:hAnsiTheme="minorHAnsi" w:eastAsiaTheme="minorEastAsia"/>
      <w:sz w:val="24"/>
      <w:szCs w:val="24"/>
      <w:kern w:val="2"/>
      <w:lang w:eastAsia="sv-SE"/>
    </w:rPr>
  </w:style>
  <w:style w:type="paragraph" w:styleId="P44">
    <w:name w:val="TOC 8"/>
    <w:basedOn w:val="P0"/>
    <w:next w:val="P0"/>
    <w:pPr>
      <w:spacing w:lineRule="auto" w:line="278" w:after="100" w:beforeAutospacing="0" w:afterAutospacing="0"/>
      <w:ind w:left="1680"/>
    </w:pPr>
    <w:rPr>
      <w:rFonts w:asciiTheme="minorHAnsi" w:hAnsiTheme="minorHAnsi" w:eastAsiaTheme="minorEastAsia"/>
      <w:sz w:val="24"/>
      <w:szCs w:val="24"/>
      <w:kern w:val="2"/>
      <w:lang w:eastAsia="sv-SE"/>
    </w:rPr>
  </w:style>
  <w:style w:type="paragraph" w:styleId="P45">
    <w:name w:val="TOC 9"/>
    <w:basedOn w:val="P0"/>
    <w:next w:val="P0"/>
    <w:pPr>
      <w:spacing w:lineRule="auto" w:line="278" w:after="100" w:beforeAutospacing="0" w:afterAutospacing="0"/>
      <w:ind w:left="1920"/>
    </w:pPr>
    <w:rPr>
      <w:rFonts w:asciiTheme="minorHAnsi" w:hAnsiTheme="minorHAnsi" w:eastAsiaTheme="minorEastAsia"/>
      <w:sz w:val="24"/>
      <w:szCs w:val="24"/>
      <w:kern w:val="2"/>
      <w:lang w:eastAsia="sv-SE"/>
    </w:rPr>
  </w:style>
  <w:style w:type="paragraph" w:styleId="P46">
    <w:name w:val="Endnote Text"/>
    <w:link w:val="C25"/>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6D72A9" w:themeColor="hyperlink"/>
      <w:u w:val="single"/>
    </w:rPr>
  </w:style>
  <w:style w:type="character" w:styleId="C3">
    <w:name w:val="Underrubrik Char"/>
    <w:basedOn w:val="C0"/>
    <w:link w:val="P10"/>
    <w:rPr>
      <w:rFonts w:eastAsiaTheme="minorEastAsia"/>
      <w:sz w:val="28"/>
    </w:rPr>
  </w:style>
  <w:style w:type="character" w:styleId="C4">
    <w:name w:val="Rubrik 9 Char"/>
    <w:basedOn w:val="C0"/>
    <w:link w:val="P9"/>
    <w:semiHidden/>
    <w:rPr>
      <w:rFonts w:asciiTheme="majorHAnsi" w:hAnsiTheme="majorHAnsi" w:cstheme="majorBidi" w:eastAsiaTheme="majorEastAsia"/>
      <w:b w:val="1"/>
      <w:iCs w:val="1"/>
      <w:color w:val="000000" w:themeColor="text2"/>
      <w:sz w:val="20"/>
      <w:szCs w:val="21"/>
    </w:rPr>
  </w:style>
  <w:style w:type="character" w:styleId="C5">
    <w:name w:val="Rubrik 8 Char"/>
    <w:basedOn w:val="C0"/>
    <w:link w:val="P8"/>
    <w:semiHidden/>
    <w:rPr>
      <w:rFonts w:asciiTheme="majorHAnsi" w:hAnsiTheme="majorHAnsi" w:cstheme="majorBidi" w:eastAsiaTheme="majorEastAsia"/>
      <w:b w:val="1"/>
      <w:i w:val="1"/>
      <w:color w:val="000000" w:themeColor="text2"/>
      <w:szCs w:val="21"/>
    </w:rPr>
  </w:style>
  <w:style w:type="character" w:styleId="C6">
    <w:name w:val="Rubrik 7 Char"/>
    <w:basedOn w:val="C0"/>
    <w:link w:val="P7"/>
    <w:semiHidden/>
    <w:rPr>
      <w:rFonts w:asciiTheme="majorHAnsi" w:hAnsiTheme="majorHAnsi" w:cstheme="majorBidi" w:eastAsiaTheme="majorEastAsia"/>
      <w:b w:val="1"/>
      <w:color w:val="000000" w:themeColor="text2"/>
      <w:szCs w:val="24"/>
    </w:rPr>
  </w:style>
  <w:style w:type="character" w:styleId="C7">
    <w:name w:val="Rubrik 6 Char"/>
    <w:basedOn w:val="C0"/>
    <w:link w:val="P6"/>
    <w:semiHidden/>
    <w:rPr>
      <w:rFonts w:asciiTheme="majorHAnsi" w:hAnsiTheme="majorHAnsi" w:cstheme="majorBidi" w:eastAsiaTheme="majorEastAsia"/>
      <w:b w:val="1"/>
      <w:i w:val="1"/>
      <w:iCs w:val="1"/>
      <w:color w:val="000000" w:themeColor="text2"/>
      <w:szCs w:val="24"/>
    </w:rPr>
  </w:style>
  <w:style w:type="character" w:styleId="C8">
    <w:name w:val="Rubrik 5 Char"/>
    <w:basedOn w:val="C0"/>
    <w:link w:val="P5"/>
    <w:rPr>
      <w:rFonts w:ascii="Arial" w:hAnsi="Arial" w:cstheme="majorBidi" w:eastAsiaTheme="majorEastAsia"/>
      <w:iCs w:val="1"/>
      <w:color w:val="000000" w:themeColor="text2"/>
      <w:szCs w:val="24"/>
    </w:rPr>
  </w:style>
  <w:style w:type="character" w:styleId="C9">
    <w:name w:val="Rubrik 4 Char"/>
    <w:basedOn w:val="C0"/>
    <w:link w:val="P4"/>
    <w:rPr>
      <w:rFonts w:ascii="Arial" w:hAnsi="Arial" w:cstheme="majorBidi" w:eastAsiaTheme="majorEastAsia"/>
      <w:b w:val="1"/>
      <w:bCs w:val="1"/>
      <w:iCs w:val="1"/>
      <w:color w:val="000000" w:themeColor="text2"/>
      <w:szCs w:val="24"/>
    </w:rPr>
  </w:style>
  <w:style w:type="character" w:styleId="C10">
    <w:name w:val="Rubrik 3 Char"/>
    <w:basedOn w:val="C0"/>
    <w:link w:val="P3"/>
    <w:rPr>
      <w:rFonts w:asciiTheme="majorHAnsi" w:hAnsiTheme="majorHAnsi" w:cstheme="majorBidi" w:eastAsiaTheme="majorEastAsia"/>
      <w:b w:val="1"/>
      <w:bCs w:val="1"/>
      <w:sz w:val="24"/>
      <w:szCs w:val="24"/>
    </w:rPr>
  </w:style>
  <w:style w:type="character" w:styleId="C11">
    <w:name w:val="Rubrik 2 Char"/>
    <w:basedOn w:val="C0"/>
    <w:link w:val="P2"/>
    <w:rPr>
      <w:rFonts w:asciiTheme="majorHAnsi" w:hAnsiTheme="majorHAnsi" w:cstheme="majorBidi" w:eastAsiaTheme="majorEastAsia"/>
      <w:b w:val="1"/>
      <w:bCs w:val="1"/>
      <w:sz w:val="28"/>
      <w:szCs w:val="28"/>
    </w:rPr>
  </w:style>
  <w:style w:type="character" w:styleId="C12">
    <w:name w:val="Rubrik 1 Char"/>
    <w:basedOn w:val="C0"/>
    <w:link w:val="P1"/>
    <w:rPr>
      <w:rFonts w:ascii="Arial" w:hAnsi="Arial" w:cstheme="majorBidi" w:eastAsiaTheme="majorEastAsia"/>
      <w:b w:val="1"/>
      <w:bCs w:val="1"/>
      <w:color w:val="000000" w:themeColor="text1"/>
      <w:sz w:val="44"/>
      <w:szCs w:val="36"/>
    </w:rPr>
  </w:style>
  <w:style w:type="character" w:styleId="C13">
    <w:name w:val="Rubrik Char"/>
    <w:basedOn w:val="C0"/>
    <w:link w:val="P12"/>
    <w:rPr>
      <w:rFonts w:ascii="Arial" w:hAnsi="Arial" w:cstheme="majorBidi" w:eastAsiaTheme="majorEastAsia"/>
      <w:b w:val="1"/>
      <w:sz w:val="72"/>
      <w:szCs w:val="56"/>
      <w:kern w:val="28"/>
    </w:rPr>
  </w:style>
  <w:style w:type="character" w:styleId="C14">
    <w:name w:val="Inledning Char"/>
    <w:basedOn w:val="C0"/>
    <w:link w:val="P13"/>
    <w:semiHidden/>
    <w:rPr>
      <w:sz w:val="24"/>
    </w:rPr>
  </w:style>
  <w:style w:type="character" w:styleId="C15">
    <w:name w:val="Placeholder Text1"/>
    <w:basedOn w:val="C0"/>
    <w:rPr>
      <w:color w:val="6A6C6C"/>
      <w:shd w:val="clear" w:color="auto" w:fill="F2F2F2"/>
    </w:rPr>
  </w:style>
  <w:style w:type="character" w:styleId="C16">
    <w:name w:val="Sidhuvud Char"/>
    <w:basedOn w:val="C0"/>
    <w:link w:val="P28"/>
    <w:rPr>
      <w:sz w:val="18"/>
    </w:rPr>
  </w:style>
  <w:style w:type="character" w:styleId="C17">
    <w:name w:val="Sidfot Char"/>
    <w:basedOn w:val="C0"/>
    <w:link w:val="P29"/>
    <w:rPr>
      <w:sz w:val="18"/>
    </w:rPr>
  </w:style>
  <w:style w:type="character" w:styleId="C18">
    <w:name w:val="Citat Char"/>
    <w:basedOn w:val="C0"/>
    <w:link w:val="P30"/>
    <w:rPr>
      <w:i w:val="1"/>
      <w:iCs w:val="1"/>
      <w:color w:val="404040" w:themeColor="text1" w:themeTint="BF"/>
    </w:rPr>
  </w:style>
  <w:style w:type="character" w:styleId="C19">
    <w:name w:val="Avslutande text Char"/>
    <w:basedOn w:val="C0"/>
    <w:link w:val="P31"/>
    <w:rPr/>
  </w:style>
  <w:style w:type="character" w:styleId="C20">
    <w:name w:val="Fotnotstext Char"/>
    <w:basedOn w:val="C0"/>
    <w:link w:val="P35"/>
    <w:rPr>
      <w:sz w:val="20"/>
      <w:szCs w:val="20"/>
    </w:rPr>
  </w:style>
  <w:style w:type="character" w:styleId="C21">
    <w:name w:val="Footnote Reference"/>
    <w:basedOn w:val="C0"/>
    <w:rPr>
      <w:vertAlign w:val="superscript"/>
    </w:rPr>
  </w:style>
  <w:style w:type="character" w:styleId="C22">
    <w:name w:val="Unresolved Mention1"/>
    <w:basedOn w:val="C0"/>
    <w:semiHidden/>
    <w:rPr>
      <w:color w:val="605E5C"/>
      <w:shd w:val="clear" w:color="auto" w:fill="E1DFDD"/>
    </w:rPr>
  </w:style>
  <w:style w:type="character" w:styleId="C23">
    <w:name w:val="Footnote Text Char"/>
    <w:semiHidden/>
    <w:rPr>
      <w:sz w:val="20"/>
      <w:szCs w:val="20"/>
    </w:rPr>
  </w:style>
  <w:style w:type="character" w:styleId="C24">
    <w:name w:val="Endnote Reference"/>
    <w:semiHidden/>
    <w:rPr>
      <w:vertAlign w:val="superscript"/>
    </w:rPr>
  </w:style>
  <w:style w:type="character" w:styleId="C25">
    <w:name w:val="Endnote Text Char"/>
    <w:link w:val="P46"/>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Lessebo Kommun"/>
    <w:basedOn w:val="T0"/>
    <w:pPr>
      <w:spacing w:lineRule="auto" w:line="240" w:after="0" w:beforeAutospacing="0" w:afterAutospacing="0"/>
    </w:pPr>
    <w:rPr>
      <w:rFonts w:asciiTheme="minorHAnsi" w:hAnsiTheme="minorHAnsi"/>
      <w:sz w:val="18"/>
    </w:rPr>
    <w:tblPr>
      <w:tblStyleRowBandSize w:val="1"/>
      <w:tblStyleColBandSize w:val="1"/>
      <w:tblCellMar>
        <w:top w:w="57" w:type="dxa"/>
        <w:left w:w="28" w:type="dxa"/>
        <w:bottom w:w="57" w:type="dxa"/>
        <w:right w:w="28" w:type="dxa"/>
      </w:tblCellMar>
    </w:tblPr>
    <w:trPr/>
    <w:tcPr>
      <w:shd w:val="clear" w:color="auto" w:fill="auto"/>
    </w:tcPr>
    <w:tblStylePr w:type="band2Horz">
      <w:tblPr/>
      <w:trPr/>
      <w:tcPr>
        <w:shd w:val="clear" w:color="auto" w:fill="F2F2F2" w:themeFill="background1" w:themeFillShade="F2"/>
      </w:tcPr>
    </w:tblStylePr>
    <w:tblStylePr w:type="lastRow">
      <w:rPr>
        <w:b w:val="1"/>
      </w:rPr>
      <w:tblPr/>
      <w:trPr/>
      <w:tcPr>
        <w:tcBorders>
          <w:top w:val="single" w:sz="4" w:space="0" w:shadow="0" w:frame="0" w:color="000000" w:themeColor="text1"/>
        </w:tcBorders>
        <w:shd w:val="clear" w:color="auto" w:fill="auto"/>
      </w:tcPr>
    </w:tblStylePr>
    <w:tblStylePr w:type="firstRow">
      <w:rPr>
        <w:b w:val="1"/>
      </w:rPr>
      <w:tblPr/>
      <w:trPr>
        <w:tblHeader/>
      </w:trPr>
      <w:tcPr>
        <w:tcBorders>
          <w:bottom w:val="single" w:sz="4" w:space="0" w:shadow="0" w:frame="0" w:color="000000" w:themeColor="text1"/>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jpg" /><Relationship Id="Relimage17" Type="http://schemas.openxmlformats.org/officeDocument/2006/relationships/image" Target="/media/image17.jpg" /><Relationship Id="Relimage18" Type="http://schemas.openxmlformats.org/officeDocument/2006/relationships/image" Target="/media/image18.jp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s>
</file>

<file path=word/_rels/header2.xml.rels>&#65279;<?xml version="1.0" encoding="utf-8"?><Relationships xmlns="http://schemas.openxmlformats.org/package/2006/relationships" />
</file>

<file path=word/theme/theme1.xml><?xml version="1.0" encoding="utf-8"?>
<a:theme xmlns:a="http://schemas.openxmlformats.org/drawingml/2006/main" name="Office-tema">
  <a:themeElements>
    <a:clrScheme name="Anpassat 15">
      <a:dk1>
        <a:sysClr val="windowText" lastClr="000000"/>
      </a:dk1>
      <a:lt1>
        <a:sysClr val="window" lastClr="FFFFFF"/>
      </a:lt1>
      <a:dk2>
        <a:srgbClr val="000000"/>
      </a:dk2>
      <a:lt2>
        <a:srgbClr val="F8F8F8"/>
      </a:lt2>
      <a:accent1>
        <a:srgbClr val="455947"/>
      </a:accent1>
      <a:accent2>
        <a:srgbClr val="A41E36"/>
      </a:accent2>
      <a:accent3>
        <a:srgbClr val="96C7C5"/>
      </a:accent3>
      <a:accent4>
        <a:srgbClr val="E57800"/>
      </a:accent4>
      <a:accent5>
        <a:srgbClr val="C88954"/>
      </a:accent5>
      <a:accent6>
        <a:srgbClr val="383330"/>
      </a:accent6>
      <a:hlink>
        <a:srgbClr val="6D72A9"/>
      </a:hlink>
      <a:folHlink>
        <a:srgbClr val="2E314F"/>
      </a:folHlink>
    </a:clrScheme>
    <a:fontScheme name="Lessebo">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18" ma:contentTypeDescription="Skapa ett nytt dokument." ma:contentTypeScope="" ma:versionID="f785344ff5fa8ddeabd4f747105feb71">
  <xsd:schema xmlns:xsd="http://www.w3.org/2001/XMLSchema" xmlns:xs="http://www.w3.org/2001/XMLSchema" xmlns:p="http://schemas.microsoft.com/office/2006/metadata/properties" xmlns:ns2="10c3a147-0d64-46aa-a281-dc97358e8373" xmlns:ns3="d7532cd0-e888-47d6-8f58-db0210f25002" targetNamespace="http://schemas.microsoft.com/office/2006/metadata/properties" ma:root="true" ma:fieldsID="a5f4b006d4b4696993581f237f565ed4" ns2:_="" ns3:_="">
    <xsd:import namespace="10c3a147-0d64-46aa-a281-dc97358e8373"/>
    <xsd:import namespace="d7532cd0-e888-47d6-8f58-db0210f25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e641fc9e-d469-439b-858c-bb315f8f2b44"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32cd0-e888-47d6-8f58-db0210f2500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eaa7d78-03e5-4bbd-a481-ef22043eef7d}" ma:internalName="TaxCatchAll" ma:showField="CatchAllData" ma:web="d7532cd0-e888-47d6-8f58-db0210f2500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532cd0-e888-47d6-8f58-db0210f25002" xsi:nil="true"/>
    <lcf76f155ced4ddcb4097134ff3c332f xmlns="10c3a147-0d64-46aa-a281-dc97358e83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lanbeskrivning xmlns:lmg="http://namespace.lantmateriet.se/distribution/geometri/v2" xmlns:gml="http://www.opengis.net/gml/3.2" xmlns="http://namespace.lantmateriet.se/distribution/geodatakatalog/planbeskrivning/v2">
  <versionGiltigFran>2025-04-22T09:23:12.4524459+02:00</versionGiltigFran>
  <detaljplansreferens>1ff36b95-9820-408d-bad0-9ae460568309</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be_varförändringavdetaljplanvalts01</identitet>
    <Lage>
      <planomrade>true</planomrade>
    </Lage>
    <Indelning>
      <tema>Beskrivning av detaljplanen</tema>
      <grupp>Varför ändring av detaljplan valts</grupp>
    </Indelning>
  </Omfattning>
  <Omfattning>
    <identitet>be_heladetaljplan01</identitet>
    <Lage>
      <planomrade>true</planomrade>
    </Lage>
    <Indelning>
      <tema>Beskrivning av detaljplanen</tema>
      <grupp>Hela detaljplan</grupp>
    </Indelning>
  </Omfattning>
  <Omfattning>
    <identitet>be_genomförandetid01</identitet>
    <Lage>
      <planomrade>true</planomrade>
    </Lage>
    <Indelning>
      <tema>Beskrivning av detaljplanen</tema>
      <grupp>Genomförandetid</grupp>
    </Indelning>
  </Omfattning>
  <Omfattning>
    <identitet>be_kvartersmark01</identitet>
    <Lage>
      <planomrade>true</planomrade>
    </Lage>
    <Indelning>
      <tema>Beskrivning av detaljplanen</tema>
      <grupp>Kvartersmark</grupp>
    </Indelning>
  </Omfattning>
  <Omfattning>
    <identitet>be_befintligt01</identitet>
    <Lage>
      <planomrade>true</planomrade>
    </Lage>
    <Indelning>
      <tema>Beskrivning av detaljplanen</tema>
      <grupp>Befintligt</grupp>
    </Indelning>
  </Omfattning>
  <Omfattning>
    <identitet>be_ärendeinformation01</identitet>
    <Lage>
      <planomrade>true</planomrade>
    </Lage>
    <Indelning>
      <tema>Beskrivning av detaljplanen</tema>
      <grupp>Ärendeinformation</grupp>
    </Indelning>
  </Omfattning>
  <Omfattning>
    <identitet>mo_motivtillreglering01</identitet>
    <Lage>
      <lmg:Yta>
        <lmg:absolutLagesosakerhetPlan>0</lmg:absolutLagesosakerhetPlan>
        <lmg:absolutLagesosakerhetHojd>0</lmg:absolutLagesosakerhetHojd>
        <lmg:hojdsystem>RH 2000</lmg:hojdsystem>
        <gml:Polygon gml:id="ID_4aa9b4f7-e674-4f50-b242-c3a8df96c474" srsName="EPSG:3009" srsDimension="2">
          <gml:exterior>
            <gml:LinearRing gml:id="ID_7f5c5284-688c-4025-9471-9e43e9fc0ef1">
              <gml:posList>6295820.402 158807.889 6295820.261 158809.468 6295818.779 158825.978 6295812.216 158832.71 6295805.025 158831.989 6295797.945 158831.431 6295797.717 158831.413 6295791.887 158831.137 6295783.426 158830.731 6295774.621 158830.611 6295765.948 158830.693 6295757.197 158830.897 6295748.491 158831.303 6295739.662 158831.972 6295727.738 158832.941 6295727.616 158831.68 6295727.239 158827.772 6295724.537 158799.785 6295724.164 158795.921 6295723.966 158793.877 6295800.678 158805.006 6295800.822 158805.027 6295820.402 158807.889</gml:posList>
            </gml:LinearRing>
          </gml:exterior>
        </gml:Polygon>
      </lmg:Yta>
      <planbestammelsereferens>b93009f6-5daa-435a-a3ef-8204395e1078</planbestammelsereferens>
    </Lage>
    <Indelning>
      <tema>Motiv till detaljplanens regleringar</tema>
      <grupp>Motiv till reglering</grupp>
    </Indelning>
  </Omfattning>
  <Omfattning>
    <identitet>mo_motivtillreglering02</identitet>
    <Lage>
      <lmg:Yta>
        <lmg:absolutLagesosakerhetPlan>0.1</lmg:absolutLagesosakerhetPlan>
        <lmg:absolutLagesosakerhetHojd>0</lmg:absolutLagesosakerhetHojd>
        <lmg:hojdsystem>RH 2000</lmg:hojdsystem>
        <gml:Polygon gml:id="ID_c570ed12-04de-4754-b5e1-c451887db39c" srsName="EPSG:3009" srsDimension="2">
          <gml:exterior>
            <gml:LinearRing gml:id="ID_57f95f77-9964-4ff3-95eb-2792ffb7e5a7">
              <gml:posList>6295822.482 158835.338 6295818.839 158838.491 6295811.718 158837.685 6295804.579 158836.97 6295797.402 158836.404 6295791.649 158836.132 6295783.272 158835.729 6295774.611 158835.611 6295766.03 158835.692 6295757.372 158835.894 6295748.797 158836.294 6295740.053 158836.957 6295727.664 158837.963 6295722.352 158834.495 6295718.279 158818.992 6295716.067 158797.647 6295715.944 158793.158 6295719.999 158789.26 6295801.255 158801.047 6295821.953 158804.074 6295825.946 158808.596 6295824.969 158821.529 6295822.482 158835.338</gml:posList>
            </gml:LinearRing>
          </gml:exterior>
          <gml:interior>
            <gml:LinearRing gml:id="ID_2218b8a8-acf4-45f6-9889-f4b6d244c062">
              <gml:posList>6295800.678 158805.006 6295723.966 158793.877 6295724.164 158795.921 6295724.537 158799.785 6295727.239 158827.772 6295727.616 158831.68 6295727.738 158832.941 6295739.662 158831.972 6295748.491 158831.303 6295757.197 158830.897 6295765.948 158830.693 6295774.621 158830.611 6295783.426 158830.731 6295791.887 158831.137 6295797.717 158831.413 6295797.945 158831.431 6295805.025 158831.989 6295812.216 158832.71 6295818.779 158825.978 6295820.261 158809.468 6295820.402 158807.889 6295800.822 158805.027 6295800.678 158805.006</gml:posList>
            </gml:LinearRing>
          </gml:interior>
        </gml:Polygon>
      </lmg:Yta>
      <planbestammelsereferens>d4499e47-da37-4ea2-ab08-f6ab2a9fc833</planbestammelsereferens>
    </Lage>
    <Indelning>
      <tema>Motiv till detaljplanens regleringar</tema>
      <grupp>Motiv till reglering</grupp>
    </Indelning>
  </Omfattning>
  <Omfattning>
    <identitet>pf_riksintressen01</identitet>
    <Lage>
      <planomrade>true</planomrade>
    </Lage>
    <Indelning>
      <tema>Planeringsförutsättningar</tema>
      <grupp>Riksintressen</grupp>
    </Indelning>
  </Omfattning>
  <Omfattning>
    <identitet>pf_totalförsvar01</identitet>
    <Lage>
      <planomrade>true</planomrade>
    </Lage>
    <Indelning>
      <tema>Planeringsförutsättningar</tema>
      <grupp>Riksintressen</grupp>
      <undergrupp>Totalförsvar</undergrupp>
    </Indelning>
  </Omfattning>
  <Omfattning>
    <identitet>pf_trafikkommunikation01</identitet>
    <Lage>
      <planomrade>true</planomrade>
    </Lage>
    <Indelning>
      <tema>Planeringsförutsättningar</tema>
      <grupp>Riksintressen</grupp>
      <undergrupp>Trafikkommunikation</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pf_ekologisktsärskiltkänsligaområden01</identitet>
    <Lage>
      <planomrade>true</planomrade>
    </Lage>
    <Indelning>
      <tema>Planeringsförutsättningar</tema>
      <grupp>Hushållningsbestämmelser enligt 3 kap. miljöbalken</grupp>
      <undergrupp>Ekologiskt särskilt känsliga områden</under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pf_oexploateradeområden01</identitet>
    <Lage>
      <planomrade>true</planomrade>
    </Lage>
    <Indelning>
      <tema>Planeringsförutsättningar</tema>
      <grupp>Hushållningsbestämmelser enligt 3 kap. miljöbalken</grupp>
      <undergrupp>Oexploaterade områden</under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pf_strandskydd01</identitet>
    <Lage>
      <planomrade>true</planomrade>
    </Lage>
    <Indelning>
      <tema>Planeringsförutsättningar</tema>
      <grupp>Miljö</grupp>
      <undergrupp>Strandskydd</undergrupp>
    </Indelning>
  </Omfattning>
  <Omfattning>
    <identitet>pf_dagvatten01</identitet>
    <Lage>
      <planomrade>true</planomrade>
    </Lage>
    <Indelning>
      <tema>Planeringsförutsättningar</tema>
      <grupp>Miljö</grupp>
      <undergrupp>Dagvatten</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pf_riskförskred01</identitet>
    <Lage>
      <planomrade>true</planomrade>
    </Lage>
    <Indelning>
      <tema>Planeringsförutsättningar</tema>
      <grupp>Hälsa och säkerhet</grupp>
      <undergrupp>Risk för skred</undergrupp>
    </Indelning>
  </Omfattning>
  <Omfattning>
    <identitet>pf_riskförras01</identitet>
    <Lage>
      <planomrade>true</planomrade>
    </Lage>
    <Indelning>
      <tema>Planeringsförutsättningar</tema>
      <grupp>Hälsa och säkerhet</grupp>
      <undergrupp>Risk för ras</undergrupp>
    </Indelning>
  </Omfattning>
  <Omfattning>
    <identitet>pf_riskförerosion01</identitet>
    <Lage>
      <planomrade>true</planomrade>
    </Lage>
    <Indelning>
      <tema>Planeringsförutsättningar</tema>
      <grupp>Hälsa och säkerhet</grupp>
      <undergrupp>Risk för erosion</undergrupp>
    </Indelning>
  </Omfattning>
  <Omfattning>
    <identitet>pf_förorenadmark01</identitet>
    <Lage>
      <planomrade>true</planomrade>
    </Lage>
    <Indelning>
      <tema>Planeringsförutsättningar</tema>
      <grupp>Hälsa och säkerhet</grupp>
      <undergrupp>förorenad mark</undergrupp>
    </Indelning>
  </Omfattning>
  <Omfattning>
    <identitet>pf_geotekniskaförhållanden01</identitet>
    <Lage>
      <planomrade>true</planomrade>
    </Lage>
    <Indelning>
      <tema>Planeringsförutsättningar</tema>
      <grupp>Geotekniska förhållanden</grupp>
    </Indelning>
  </Omfattning>
  <Omfattning>
    <identitet>pf_geotekniskaförhållanden02</identitet>
    <Lage>
      <planomrade>true</planomrade>
    </Lage>
    <Indelning>
      <tema>Planeringsförutsättningar</tema>
      <grupp>Geotekniska förhållanden</grupp>
    </Indelning>
  </Omfattning>
  <Omfattning>
    <identitet>pf_fysiskmiljö01</identitet>
    <Lage>
      <planomrade>true</planomrade>
    </Lage>
    <Indelning>
      <tema>Planeringsförutsättningar</tema>
      <grupp>Fysisk miljö</grupp>
    </Indelning>
  </Omfattning>
  <Omfattning>
    <identitet>pf_sociala01</identitet>
    <Lage>
      <planomrade>true</planomrade>
    </Lage>
    <Indelning>
      <tema>Planeringsförutsättningar</tema>
      <grupp>Sociala</grupp>
    </Indelning>
  </Omfattning>
  <Omfattning>
    <identitet>pf_sociala02</identitet>
    <Lage>
      <planomrade>true</planomrade>
    </Lage>
    <Indelning>
      <tema>Planeringsförutsättningar</tema>
      <grupp>Sociala</grupp>
    </Indelning>
  </Omfattning>
  <Omfattning>
    <identitet>pf_teknik01</identitet>
    <Lage>
      <planomrade>true</planomrade>
    </Lage>
    <Indelning>
      <tema>Planeringsförutsättningar</tema>
      <grupp>Teknik</grupp>
    </Indelning>
  </Omfattning>
  <Omfattning>
    <identitet>pf_teknik02</identitet>
    <Lage>
      <planomrade>true</planomrade>
    </Lage>
    <Indelning>
      <tema>Planeringsförutsättningar</tema>
      <grupp>Teknik</grupp>
    </Indelning>
  </Omfattning>
  <Omfattning>
    <identitet>pf_service01</identitet>
    <Lage>
      <planomrade>true</planomrade>
    </Lage>
    <Indelning>
      <tema>Planeringsförutsättningar</tema>
      <grupp>Service</grupp>
    </Indelning>
  </Omfattning>
  <Omfattning>
    <identitet>pf_trafik01</identitet>
    <Lage>
      <planomrade>true</planomrade>
    </Lage>
    <Indelning>
      <tema>Planeringsförutsättningar</tema>
      <grupp>Trafik</grupp>
    </Indelning>
  </Omfattning>
  <Omfattning>
    <identitet>pf_trafik02</identitet>
    <Lage>
      <planomrade>true</planomrade>
    </Lage>
    <Indelning>
      <tema>Planeringsförutsättningar</tema>
      <grupp>Trafik</grupp>
    </Indelning>
  </Omfattning>
  <Omfattning>
    <identitet>pf_trafik03</identitet>
    <Lage>
      <planomrade>true</planomrade>
    </Lage>
    <Indelning>
      <tema>Planeringsförutsättningar</tema>
      <grupp>Trafik</grupp>
    </Indelning>
  </Omfattning>
  <Omfattning>
    <identitet>pf_planbesked01</identitet>
    <Lage>
      <planomrade>true</planomrade>
    </Lage>
    <Indelning>
      <tema>Planeringsförutsättningar</tema>
      <grupp>Kommunala</grupp>
      <undergrupp>Planbesked</undergrupp>
    </Indelning>
  </Omfattning>
  <Omfattning>
    <identitet>pf_detaljplan01</identitet>
    <Lage>
      <planomrade>true</planomrade>
    </Lage>
    <Indelning>
      <tema>Planeringsförutsättningar</tema>
      <grupp>Kommunala</grupp>
      <undergrupp>Detaljplan</undergrupp>
    </Indelning>
  </Omfattning>
  <Omfattning>
    <identitet>pf_översiktsplan01</identitet>
    <Lage>
      <planomrade>true</planomrade>
    </Lage>
    <Indelning>
      <tema>Planeringsförutsättningar</tema>
      <grupp>Kommunala</grupp>
      <undergrupp>Översiktsplan</unde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pu_utredningar01</identitet>
    <Lage>
      <planomrade>true</planomrade>
    </Lage>
    <Indelning>
      <tema>Planeringsunderlag</tema>
      <grupp>Utredningar</grupp>
    </Indelning>
  </Omfattning>
  <Omfattning>
    <identitet>ko_fastigheterochrättigheter01</identitet>
    <Lage>
      <planomrade>true</planomrade>
    </Lage>
    <Indelning>
      <tema>Konsekvenser</tema>
      <grupp>Fastigheter och rättigheter</grupp>
    </Indelning>
  </Omfattning>
  <Omfattning>
    <identitet>ko_totalförsvar01</identitet>
    <Lage>
      <planomrade>true</planomrade>
    </Lage>
    <Indelning>
      <tema>Konsekvenser</tema>
      <grupp>Riksintresse</grupp>
      <undergrupp>Totalförsvar</undergrupp>
    </Indelning>
  </Omfattning>
  <Omfattning>
    <identitet>ko_trafikkommunikation01</identitet>
    <Lage>
      <planomrade>true</planomrade>
    </Lage>
    <Indelning>
      <tema>Konsekvenser</tema>
      <grupp>Riksintresse</grupp>
      <undergrupp>Trafikkommunikation</undergrupp>
    </Indelning>
  </Omfattning>
  <Omfattning>
    <identitet>ko_hushållningsbestämmelserenl3kap_mb01</identitet>
    <Lage>
      <planomrade>true</planomrade>
    </Lage>
    <Indelning>
      <tema>Konsekvenser</tema>
      <grupp>Hushållningsbestämmelser enligt 3 kap. miljöbalken</grupp>
    </Indelning>
  </Omfattning>
  <Omfattning>
    <identitet>ko_jordbruksmark01</identitet>
    <Lage>
      <planomrade>true</planomrade>
    </Lage>
    <Indelning>
      <tema>Konsekvenser</tema>
      <grupp>Hushållningsbestämmelser enligt 3 kap. miljöbalken</grupp>
      <undergrupp>Jordbruksmark</undergrupp>
    </Indelning>
  </Omfattning>
  <Omfattning>
    <identitet>ko_skogsbruk01</identitet>
    <Lage>
      <planomrade>true</planomrade>
    </Lage>
    <Indelning>
      <tema>Konsekvenser</tema>
      <grupp>Hushållningsbestämmelser enligt 3 kap. miljöbalken</grupp>
      <undergrupp>Skogsbruk</undergrupp>
    </Indelning>
  </Omfattning>
  <Omfattning>
    <identitet>ko_ekologisktsärskiltkänsligaområden01</identitet>
    <Lage>
      <planomrade>true</planomrade>
    </Lage>
    <Indelning>
      <tema>Konsekvenser</tema>
      <grupp>Hushållningsbestämmelser enligt 3 kap. miljöbalken</grupp>
      <undergrupp>Ekologiskt särskilt känsliga områden</undergrupp>
    </Indelning>
  </Omfattning>
  <Omfattning>
    <identitet>ko_miljökvalitetsnormer01</identitet>
    <Lage>
      <planomrade>true</planomrade>
    </Lage>
    <Indelning>
      <tema>Konsekvenser</tema>
      <grupp>Miljökvalitetsnormer</grupp>
    </Indelning>
  </Omfattning>
  <Omfattning>
    <identitet>ko_luft01</identitet>
    <Lage>
      <planomrade>true</planomrade>
    </Lage>
    <Indelning>
      <tema>Konsekvenser</tema>
      <grupp>Miljökvalitetsnormer</grupp>
      <undergrupp>Luft</undergrupp>
    </Indelning>
  </Omfattning>
  <Omfattning>
    <identitet>ko_vatten01</identitet>
    <Lage>
      <planomrade>true</planomrade>
    </Lage>
    <Indelning>
      <tema>Konsekvenser</tema>
      <grupp>Miljökvalitetsnormer</grupp>
      <undergrupp>Vatten</undergrupp>
    </Indelning>
  </Omfattning>
  <Omfattning>
    <identitet>ko_buller01</identitet>
    <Lage>
      <planomrade>true</planomrade>
    </Lage>
    <Indelning>
      <tema>Konsekvenser</tema>
      <grupp>Miljökvalitetsnormer</grupp>
      <undergrupp>Buller</undergrupp>
    </Indelning>
  </Omfattning>
  <Omfattning>
    <identitet>ko_miljöbedömning01</identitet>
    <Lage>
      <planomrade>true</planomrade>
    </Lage>
    <Indelning>
      <tema>Konsekvenser</tema>
      <grupp>Miljö</grupp>
      <undergrupp>Miljöbedömning</under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ko_dagvatten01</identitet>
    <Lage>
      <planomrade>true</planomrade>
    </Lage>
    <Indelning>
      <tema>Konsekvenser</tema>
      <grupp>Miljö</grupp>
      <undergrupp>Dagvatten</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ko_översvämning01</identitet>
    <Lage>
      <planomrade>true</planomrade>
    </Lage>
    <Indelning>
      <tema>Konsekvenser</tema>
      <grupp>Hälsa och säkerhet</grupp>
      <undergrupp>Översvämning</undergrupp>
    </Indelning>
  </Omfattning>
  <Omfattning>
    <identitet>ko_olyckor01</identitet>
    <Lage>
      <planomrade>true</planomrade>
    </Lage>
    <Indelning>
      <tema>Konsekvenser</tema>
      <grupp>Hälsa och säkerhet</grupp>
      <undergrupp>Olyckor</undergrupp>
    </Indelning>
  </Omfattning>
  <Omfattning>
    <identitet>ko_erosion01</identitet>
    <Lage>
      <planomrade>true</planomrade>
    </Lage>
    <Indelning>
      <tema>Konsekvenser</tema>
      <grupp>Hälsa och säkerhet</grupp>
      <undergrupp>Erosion</undergrupp>
    </Indelning>
  </Omfattning>
  <Omfattning>
    <identitet>ko_ras01</identitet>
    <Lage>
      <planomrade>true</planomrade>
    </Lage>
    <Indelning>
      <tema>Konsekvenser</tema>
      <grupp>Hälsa och säkerhet</grupp>
      <undergrupp>Ras</undergrupp>
    </Indelning>
  </Omfattning>
  <Omfattning>
    <identitet>ko_skred01</identitet>
    <Lage>
      <planomrade>true</planomrade>
    </Lage>
    <Indelning>
      <tema>Konsekvenser</tema>
      <grupp>Hälsa och säkerhet</grupp>
      <undergrupp>Skred</undergrupp>
    </Indelning>
  </Omfattning>
  <Omfattning>
    <identitet>ko_förorenadeområden01</identitet>
    <Lage>
      <planomrade>true</planomrade>
    </Lage>
    <Indelning>
      <tema>Konsekvenser</tema>
      <grupp>Hälsa och säkerhet</grupp>
      <undergrupp>Förorenade områden</undergrupp>
    </Indelning>
  </Omfattning>
  <Omfattning>
    <identitet>ko_landskapsbild01</identitet>
    <Lage>
      <planomrade>true</planomrade>
    </Lage>
    <Indelning>
      <tema>Konsekvenser</tema>
      <grupp>Natur</grupp>
      <undergrupp>Landskapsbild</undergrupp>
    </Indelning>
  </Omfattning>
  <Omfattning>
    <identitet>ko_annat01</identitet>
    <Lage>
      <planomrade>true</planomrade>
    </Lage>
    <Indelning>
      <tema>Konsekvenser</tema>
      <grupp>Annat</grupp>
    </Indelning>
  </Omfattning>
  <Omfattning>
    <identitet>ko_barn01</identitet>
    <Lage>
      <planomrade>true</planomrade>
    </Lage>
    <Indelning>
      <tema>Konsekvenser</tema>
      <grupp>Sociala</grupp>
      <undergrupp>Barn</undergrupp>
    </Indelning>
  </Omfattning>
  <Omfattning>
    <identitet>ko_trafik01</identitet>
    <Lage>
      <planomrade>true</planomrade>
    </Lage>
    <Indelning>
      <tema>Konsekvenser</tema>
      <grupp>Trafik</grupp>
    </Indelning>
  </Omfattning>
  <Omfattning>
    <identitet>gf_markochutrymmesförvärv01</identitet>
    <Lage>
      <planomrade>true</planomrade>
    </Lage>
    <Indelning>
      <tema>Genomförandefrågor</tema>
      <grupp>Mark- och utrymmesförvärv</grupp>
    </Indelning>
  </Omfattning>
  <Omfattning>
    <identitet>gf_fastighetsrättsligafrågor01</identitet>
    <Lage>
      <planomrade>true</planomrade>
    </Lage>
    <Indelning>
      <tema>Genomförandefrågor</tema>
      <grupp>Fastighetsrättsliga frågor</grupp>
    </Indelning>
  </Omfattning>
  <Omfattning>
    <identitet>gf_fastighetsindelningsbestämmelser01</identitet>
    <Lage>
      <planomrade>true</planomrade>
    </Lage>
    <Indelning>
      <tema>Genomförandefrågor</tema>
      <grupp>Fastighetsrättsliga frågor</grupp>
      <undergrupp>Fastighetsindelningsbestämmelser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gf_ledningarimark01</identitet>
    <Lage>
      <planomrade>true</planomrade>
    </Lage>
    <Indelning>
      <tema>Genomförandefrågor</tema>
      <grupp>Tekniska frågor</grupp>
      <undergrupp>Ledningar i mark</undergrupp>
    </Indelning>
  </Omfattning>
  <Omfattning>
    <identitet>gf_parkering01</identitet>
    <Lage>
      <planomrade>true</planomrade>
    </Lage>
    <Indelning>
      <tema>Genomförandefrågor</tema>
      <grupp>Tekniska frågor</grupp>
      <undergrupp>Parkering</undergrupp>
    </Indelning>
  </Omfattning>
  <Omfattning>
    <identitet>gf_avfallshantering01</identitet>
    <Lage>
      <planomrade>true</planomrade>
    </Lage>
    <Indelning>
      <tema>Genomförandefrågor</tema>
      <grupp>Tekniska frågor</grupp>
      <undergrupp>Avfallshantering</undergrupp>
    </Indelning>
  </Omfattning>
  <Omfattning>
    <identitet>gf_posthantering01</identitet>
    <Lage>
      <planomrade>true</planomrade>
    </Lage>
    <Indelning>
      <tema>Genomförandefrågor</tema>
      <grupp>Tekniska frågor</grupp>
      <undergrupp>Posthantering</undergrupp>
    </Indelning>
  </Omfattning>
  <Omfattning>
    <identitet>gf_räddningstjänstensbehov01</identitet>
    <Lage>
      <planomrade>true</planomrade>
    </Lage>
    <Indelning>
      <tema>Genomförandefrågor</tema>
      <grupp>Tekniska frågor</grupp>
      <undergrupp>Räddningstjänstens behov</undergrupp>
    </Indelning>
  </Omfattning>
  <Omfattning>
    <identitet>gf_ekonomiskafrågor01</identitet>
    <Lage>
      <planomrade>true</planomrade>
    </Lage>
    <Indelning>
      <tema>Genomförandefrågor</tema>
      <grupp>Ekonomiska frågor</grupp>
    </Indelning>
  </Omfattning>
  <Omfattning>
    <identitet>gf_planekonomiskbedömning01</identitet>
    <Lage>
      <planomrade>true</planomrade>
    </Lage>
    <Indelning>
      <tema>Genomförandefrågor</tema>
      <grupp>Ekonomiska frågor</grupp>
      <undergrupp>Planekonomisk bedömning</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gf_gatukostnader01</identitet>
    <Lage>
      <planomrade>true</planomrade>
    </Lage>
    <Indelning>
      <tema>Genomförandefrågor</tema>
      <grupp>Ekonomiska frågor</grupp>
      <undergrupp>Gatukostnader</undergrupp>
    </Indelning>
  </Omfattning>
  <Omfattning>
    <identitet>gf_tidplan01</identitet>
    <Lage>
      <planomrade>true</planomrade>
    </Lage>
    <Indelning>
      <tema>Genomförandefrågor</tema>
      <grupp>Organisatoriska frågor</grupp>
      <undergrupp>Tidplan</undergrupp>
    </Indelning>
  </Omfattning>
  <Omfattning>
    <identitet>gf_ansvarsfördelning01</identitet>
    <Lage>
      <planomrade>true</planomrade>
    </Lage>
    <Indelning>
      <tema>Genomförandefrågor</tema>
      <grupp>Organisatoriska frågor</grupp>
      <undergrupp>Ansvarsfördelning</undergrupp>
    </Indelning>
  </Omfattning>
</Planbeskrivning>
</file>

<file path=customXml/itemProps1.xml><?xml version="1.0" encoding="utf-8"?>
<ds:datastoreItem xmlns:ds="http://schemas.openxmlformats.org/officeDocument/2006/customXml" ds:itemID="{74646cf2-1bdd-40ce-915f-1e47ec9e6f3c}">
  <ds:schemaRefs>
    <ds:schemaRef ds:uri="http://schemas.microsoft.com/vsto/samples"/>
  </ds:schemaRefs>
</ds:datastoreItem>
</file>

<file path=customXml/itemProps2.xml><?xml version="1.0" encoding="utf-8"?>
<ds:datastoreItem xmlns:ds="http://schemas.openxmlformats.org/officeDocument/2006/customXml" ds:itemID="{7dce1f04-932e-4fb5-ae1b-8f976b8d6091}">
  <ds:schemaRefs>
    <ds:schemaRef ds:uri="http://schemas.microsoft.com/vsto/samples"/>
  </ds:schemaRefs>
</ds:datastoreItem>
</file>

<file path=customXml/itemProps3.xml><?xml version="1.0" encoding="utf-8"?>
<ds:datastoreItem xmlns:ds="http://schemas.openxmlformats.org/officeDocument/2006/customXml" ds:itemID="{119ef0b7-e069-4ea9-84eb-2283053c4acd}">
  <ds:schemaRefs>
    <ds:schemaRef ds:uri="http://schemas.microsoft.com/vsto/samples"/>
  </ds:schemaRefs>
</ds:datastoreItem>
</file>

<file path=customXml/itemProps4.xml><?xml version="1.0" encoding="utf-8"?>
<ds:datastoreItem xmlns:ds="http://schemas.openxmlformats.org/officeDocument/2006/customXml" ds:itemID="{33937a8c-8756-4670-a220-b5d1af872b9f}">
  <ds:schemaRefs>
    <ds:schemaRef ds:uri="http://schemas.microsoft.com/vsto/samples"/>
  </ds:schemaRefs>
</ds:datastoreItem>
</file>

<file path=customXml/itemProps5.xml><?xml version="1.0" encoding="utf-8"?>
<ds:datastoreItem xmlns:ds="http://schemas.openxmlformats.org/officeDocument/2006/customXml" ds:itemID="a2746c7b-45c0-4208-8cb3-9272c08c19fb">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2024-05-08T00:00:00</Company>
  <Manager>KS 2024/369. SBN 2024/328</Manager>
  <Template>Styrdokumentmall Lessebo kommun_v3</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Edlund Renbjörk Sofia</dc:creator>
  <dcterms:created xsi:type="dcterms:W3CDTF">2025-01-22T09:32:00Z</dcterms:created>
  <cp:lastModifiedBy>Edlund Renbjörk Sofia</cp:lastModifiedBy>
  <dcterms:modified xsi:type="dcterms:W3CDTF">2025-04-22T07:23:48Z</dcterms:modified>
  <cp:revision>34</cp:revision>
  <dc:title>Ändring av Stadsplan för Kv. Runan, Hovmantorp, Lessebo kommun, Kronobergs Län.</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0x010100C6B6390C7ADB844FA4166D522F61840C</vt:lpwstr>
  </property>
  <property fmtid="{D5CDD505-2E9C-101B-9397-08002B2CF9AE}" pid="3" name="MediaServiceImageTags">
    <vt:lpwstr/>
  </property>
</Properties>
</file>