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31"/>
        <w:rPr>
          <w:sz w:val="40"/>
          <w:szCs w:val="40"/>
        </w:rPr>
      </w:pPr>
      <w:bookmarkStart w:id="0" w:name="_Toc246132116"/>
      <w:bookmarkStart w:id="1" w:name="_Toc246132343"/>
      <w:bookmarkStart w:id="2" w:name="_Toc280260432"/>
      <w:bookmarkStart w:id="3" w:name="_Toc280261206"/>
      <w:bookmarkStart w:id="4" w:name="_Toc280261571"/>
      <w:bookmarkStart w:id="5" w:name="_Toc280262412"/>
      <w:bookmarkStart w:id="6" w:name="_Toc280262686"/>
      <w:bookmarkStart w:id="7" w:name="_Toc280262967"/>
      <w:bookmarkStart w:id="8" w:name="_Toc280263694"/>
      <w:bookmarkStart w:id="9" w:name="_Toc326829696"/>
      <w:bookmarkStart w:id="10" w:name="_Toc280263785"/>
      <w:bookmarkStart w:id="11" w:name="_Toc280263619"/>
      <w:bookmarkStart w:id="12" w:name="_Toc280262904"/>
      <w:bookmarkStart w:id="13" w:name="_Toc280262513"/>
      <w:bookmarkStart w:id="14" w:name="_Toc280262296"/>
      <w:bookmarkStart w:id="15" w:name="_Toc280261443"/>
      <w:bookmarkStart w:id="16" w:name="_Toc280260761"/>
      <w:bookmarkStart w:id="17" w:name="_Toc280259986"/>
      <w:bookmarkStart w:id="18" w:name="_Toc246132272"/>
      <w:bookmarkStart w:id="19" w:name="_Toc246132117"/>
      <w:bookmarkStart w:id="20" w:name="_Toc280261444"/>
      <w:bookmarkStart w:id="21" w:name="_Toc280262297"/>
      <w:bookmarkStart w:id="22" w:name="_Toc280262413"/>
      <w:bookmarkStart w:id="23" w:name="_Toc280262514"/>
      <w:bookmarkStart w:id="24" w:name="_Toc280262905"/>
      <w:bookmarkStart w:id="25" w:name="_Toc280262968"/>
      <w:bookmarkStart w:id="26" w:name="_Toc280263620"/>
      <w:bookmarkStart w:id="27" w:name="_Toc280263695"/>
      <w:bookmarkStart w:id="28" w:name="_Toc280262687"/>
      <w:bookmarkStart w:id="29" w:name="_Toc280261572"/>
      <w:bookmarkStart w:id="30" w:name="_Toc280259987"/>
      <w:bookmarkStart w:id="31" w:name="_Toc280260762"/>
      <w:bookmarkStart w:id="32" w:name="_Toc280261207"/>
      <w:bookmarkStart w:id="33" w:name="_Toc280260433"/>
      <w:bookmarkStart w:id="34" w:name="_Toc275242351"/>
      <w:bookmarkStart w:id="35" w:name="_Toc246132387"/>
      <w:r>
        <w:rPr>
          <w:sz w:val="40"/>
          <w:szCs w:val="40"/>
        </w:rPr>
        <w:t xml:space="preserve">Detaljplan för del av Moheda-Ryd 1:56 (Långagård) i Moheda tätort, </w:t>
      </w:r>
    </w:p>
    <w:p>
      <w:pPr>
        <w:pStyle w:val="P31"/>
        <w:rPr>
          <w:sz w:val="40"/>
          <w:szCs w:val="40"/>
        </w:rPr>
      </w:pPr>
      <w:r>
        <w:rPr>
          <w:sz w:val="40"/>
          <w:szCs w:val="40"/>
        </w:rPr>
        <w:t>Alvesta kommun, Kronobergs län</w:t>
      </w:r>
    </w:p>
    <w:p>
      <w:pPr>
        <w:ind w:left="1134"/>
        <w:rPr>
          <w:rFonts w:ascii="Arial" w:hAnsi="Arial" w:cs="Arial"/>
          <w:b w:val="1"/>
          <w:sz w:val="36"/>
          <w:szCs w:val="36"/>
        </w:rPr>
      </w:pPr>
    </w:p>
    <w:p>
      <w:pPr>
        <w:pStyle w:val="P31"/>
      </w:pPr>
      <w:r>
        <w:t>PLANBESKRIVNING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P2"/>
      </w:pPr>
      <w:r>
        <w:t>Handlingar:</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pPr>
        <w:pStyle w:val="P5"/>
        <w:rPr>
          <w:rFonts w:ascii="Calibri Light" w:hAnsi="Calibri Light" w:cs="Calibri Light"/>
        </w:rPr>
      </w:pPr>
      <w:r>
        <w:rPr>
          <w:rFonts w:ascii="Calibri Light" w:hAnsi="Calibri Light" w:cs="Calibri Light"/>
        </w:rPr>
        <w:t>Denna planbeskrivning</w:t>
      </w:r>
    </w:p>
    <w:p>
      <w:pPr>
        <w:pStyle w:val="P5"/>
        <w:rPr>
          <w:rFonts w:ascii="Calibri Light" w:hAnsi="Calibri Light" w:cs="Calibri Light"/>
        </w:rPr>
      </w:pPr>
      <w:r>
        <w:rPr>
          <w:rFonts w:ascii="Calibri Light" w:hAnsi="Calibri Light" w:cs="Calibri Light"/>
        </w:rPr>
        <w:t>Samrådsredogörelse</w:t>
      </w:r>
    </w:p>
    <w:p>
      <w:pPr>
        <w:pStyle w:val="P5"/>
        <w:rPr>
          <w:rFonts w:ascii="Calibri Light" w:hAnsi="Calibri Light" w:cs="Calibri Light"/>
        </w:rPr>
      </w:pPr>
      <w:r>
        <w:rPr>
          <w:rFonts w:ascii="Calibri Light" w:hAnsi="Calibri Light" w:cs="Calibri Light"/>
        </w:rPr>
        <w:t>Granskningsutlåtande</w:t>
      </w:r>
    </w:p>
    <w:p>
      <w:pPr>
        <w:pStyle w:val="P5"/>
        <w:rPr>
          <w:rFonts w:ascii="Calibri Light" w:hAnsi="Calibri Light" w:cs="Calibri Light"/>
        </w:rPr>
      </w:pPr>
      <w:r>
        <w:rPr>
          <w:rFonts w:ascii="Calibri Light" w:hAnsi="Calibri Light" w:cs="Calibri Light"/>
        </w:rPr>
        <w:t>Fastighetsförteckning</w:t>
      </w:r>
    </w:p>
    <w:p>
      <w:pPr>
        <w:pStyle w:val="P5"/>
        <w:rPr>
          <w:rFonts w:ascii="Calibri Light" w:hAnsi="Calibri Light" w:cs="Calibri Light"/>
        </w:rPr>
      </w:pPr>
      <w:r>
        <w:rPr>
          <w:rFonts w:ascii="Calibri Light" w:hAnsi="Calibri Light" w:cs="Calibri Light"/>
        </w:rPr>
        <w:t>Plankarta upprättad på grundkarta</w:t>
      </w:r>
    </w:p>
    <w:p>
      <w:pPr>
        <w:pStyle w:val="P2"/>
      </w:pPr>
      <w:r>
        <w:t>INNEHÅLLSFÖRTECKNING</w:t>
      </w:r>
    </w:p>
    <w:p>
      <w:pPr>
        <w:pStyle w:val="P12"/>
        <w:tabs>
          <w:tab w:val="left" w:pos="1680" w:leader="none"/>
        </w:tabs>
        <w:rPr>
          <w:rFonts w:asciiTheme="minorHAnsi" w:hAnsiTheme="minorHAnsi" w:cstheme="minorBidi" w:eastAsiaTheme="minorEastAsia"/>
          <w:bCs w:val="0"/>
          <w:caps w:val="0"/>
          <w:noProof w:val="1"/>
          <w:szCs w:val="22"/>
        </w:rPr>
      </w:pPr>
      <w:r>
        <w:rPr>
          <w:rFonts w:cs="Calibri Light"/>
          <w:b w:val="1"/>
          <w:bCs w:val="0"/>
          <w:caps w:val="0"/>
          <w:sz w:val="28"/>
          <w:szCs w:val="32"/>
          <w:kern w:val="32"/>
        </w:rPr>
        <w:fldChar w:fldCharType="begin"/>
      </w:r>
      <w:r>
        <w:rPr>
          <w:rFonts w:cs="Calibri Light"/>
          <w:b w:val="1"/>
          <w:bCs w:val="0"/>
          <w:caps w:val="0"/>
          <w:sz w:val="28"/>
          <w:szCs w:val="32"/>
          <w:kern w:val="32"/>
        </w:rPr>
        <w:instrText xml:space="preserve"> TOC \o "1-1" \u </w:instrText>
      </w:r>
      <w:r>
        <w:rPr>
          <w:rFonts w:cs="Calibri Light"/>
          <w:b w:val="1"/>
          <w:bCs w:val="0"/>
          <w:caps w:val="0"/>
          <w:sz w:val="28"/>
          <w:szCs w:val="32"/>
          <w:kern w:val="32"/>
        </w:rPr>
        <w:fldChar w:fldCharType="separate"/>
      </w:r>
      <w:r>
        <w:rPr>
          <w:noProof w:val="1"/>
        </w:rPr>
        <w:t>1.</w:t>
      </w:r>
      <w:r>
        <w:rPr>
          <w:rFonts w:asciiTheme="minorHAnsi" w:hAnsiTheme="minorHAnsi" w:cstheme="minorBidi" w:eastAsiaTheme="minorEastAsia"/>
          <w:bCs w:val="0"/>
          <w:caps w:val="0"/>
          <w:noProof w:val="1"/>
          <w:szCs w:val="22"/>
        </w:rPr>
        <w:tab/>
      </w:r>
      <w:r>
        <w:rPr>
          <w:noProof w:val="1"/>
        </w:rPr>
        <w:t>INLEDNING</w:t>
        <w:tab/>
      </w:r>
      <w:r>
        <w:rPr>
          <w:noProof w:val="1"/>
        </w:rPr>
        <w:fldChar w:fldCharType="begin"/>
      </w:r>
      <w:r>
        <w:rPr>
          <w:noProof w:val="1"/>
        </w:rPr>
        <w:instrText xml:space="preserve"> PAGEREF _Toc86648184 \h </w:instrText>
      </w:r>
      <w:r>
        <w:rPr>
          <w:noProof w:val="1"/>
        </w:rPr>
        <w:fldChar w:fldCharType="separate"/>
      </w:r>
      <w:r>
        <w:rPr>
          <w:noProof w:val="1"/>
        </w:rPr>
        <w:t>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2.</w:t>
      </w:r>
      <w:r>
        <w:rPr>
          <w:rFonts w:asciiTheme="minorHAnsi" w:hAnsiTheme="minorHAnsi" w:cstheme="minorBidi" w:eastAsiaTheme="minorEastAsia"/>
          <w:bCs w:val="0"/>
          <w:caps w:val="0"/>
          <w:noProof w:val="1"/>
          <w:szCs w:val="22"/>
        </w:rPr>
        <w:tab/>
      </w:r>
      <w:r>
        <w:rPr>
          <w:noProof w:val="1"/>
        </w:rPr>
        <w:t>PLATSENS FÖRUTSÄTTNINGAR</w:t>
        <w:tab/>
      </w:r>
      <w:r>
        <w:rPr>
          <w:noProof w:val="1"/>
        </w:rPr>
        <w:fldChar w:fldCharType="begin"/>
      </w:r>
      <w:r>
        <w:rPr>
          <w:noProof w:val="1"/>
        </w:rPr>
        <w:instrText xml:space="preserve"> PAGEREF _Toc86648185 \h </w:instrText>
      </w:r>
      <w:r>
        <w:rPr>
          <w:noProof w:val="1"/>
        </w:rPr>
        <w:fldChar w:fldCharType="separate"/>
      </w:r>
      <w:r>
        <w:rPr>
          <w:noProof w:val="1"/>
        </w:rPr>
        <w:t>5</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3.</w:t>
      </w:r>
      <w:r>
        <w:rPr>
          <w:rFonts w:asciiTheme="minorHAnsi" w:hAnsiTheme="minorHAnsi" w:cstheme="minorBidi" w:eastAsiaTheme="minorEastAsia"/>
          <w:bCs w:val="0"/>
          <w:caps w:val="0"/>
          <w:noProof w:val="1"/>
          <w:szCs w:val="22"/>
        </w:rPr>
        <w:tab/>
      </w:r>
      <w:r>
        <w:rPr>
          <w:noProof w:val="1"/>
        </w:rPr>
        <w:t>PLANFÖRSLAG</w:t>
        <w:tab/>
      </w:r>
      <w:r>
        <w:rPr>
          <w:noProof w:val="1"/>
        </w:rPr>
        <w:fldChar w:fldCharType="begin"/>
      </w:r>
      <w:r>
        <w:rPr>
          <w:noProof w:val="1"/>
        </w:rPr>
        <w:instrText xml:space="preserve"> PAGEREF _Toc86648186 \h </w:instrText>
      </w:r>
      <w:r>
        <w:rPr>
          <w:noProof w:val="1"/>
        </w:rPr>
        <w:fldChar w:fldCharType="separate"/>
      </w:r>
      <w:r>
        <w:rPr>
          <w:noProof w:val="1"/>
        </w:rPr>
        <w:t>10</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4.</w:t>
      </w:r>
      <w:r>
        <w:rPr>
          <w:rFonts w:asciiTheme="minorHAnsi" w:hAnsiTheme="minorHAnsi" w:cstheme="minorBidi" w:eastAsiaTheme="minorEastAsia"/>
          <w:bCs w:val="0"/>
          <w:caps w:val="0"/>
          <w:noProof w:val="1"/>
          <w:szCs w:val="22"/>
        </w:rPr>
        <w:tab/>
      </w:r>
      <w:r>
        <w:rPr>
          <w:noProof w:val="1"/>
        </w:rPr>
        <w:t>KONSEKVENSER AV PLANFÖRSLAGET</w:t>
        <w:tab/>
      </w:r>
      <w:r>
        <w:rPr>
          <w:noProof w:val="1"/>
        </w:rPr>
        <w:fldChar w:fldCharType="begin"/>
      </w:r>
      <w:r>
        <w:rPr>
          <w:noProof w:val="1"/>
        </w:rPr>
        <w:instrText xml:space="preserve"> PAGEREF _Toc86648187 \h </w:instrText>
      </w:r>
      <w:r>
        <w:rPr>
          <w:noProof w:val="1"/>
        </w:rPr>
        <w:fldChar w:fldCharType="separate"/>
      </w:r>
      <w:r>
        <w:rPr>
          <w:noProof w:val="1"/>
        </w:rPr>
        <w:t>12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5.</w:t>
      </w:r>
      <w:r>
        <w:rPr>
          <w:rFonts w:asciiTheme="minorHAnsi" w:hAnsiTheme="minorHAnsi" w:cstheme="minorBidi" w:eastAsiaTheme="minorEastAsia"/>
          <w:bCs w:val="0"/>
          <w:caps w:val="0"/>
          <w:noProof w:val="1"/>
          <w:szCs w:val="22"/>
        </w:rPr>
        <w:tab/>
      </w:r>
      <w:r>
        <w:rPr>
          <w:noProof w:val="1"/>
        </w:rPr>
        <w:t>GENOMFÖRANDE</w:t>
        <w:tab/>
      </w:r>
      <w:r>
        <w:rPr>
          <w:noProof w:val="1"/>
        </w:rPr>
        <w:fldChar w:fldCharType="begin"/>
      </w:r>
      <w:r>
        <w:rPr>
          <w:noProof w:val="1"/>
        </w:rPr>
        <w:instrText xml:space="preserve"> PAGEREF _Toc86648188 \h </w:instrText>
      </w:r>
      <w:r>
        <w:rPr>
          <w:noProof w:val="1"/>
        </w:rPr>
        <w:fldChar w:fldCharType="separate"/>
      </w:r>
      <w:r>
        <w:rPr>
          <w:noProof w:val="1"/>
        </w:rPr>
        <w:t>15</w:t>
      </w:r>
      <w:r>
        <w:rPr>
          <w:noProof w:val="1"/>
        </w:rPr>
        <w:fldChar w:fldCharType="end"/>
      </w:r>
    </w:p>
    <w:p>
      <w:pPr>
        <w:pStyle w:val="P21"/>
      </w:pPr>
      <w:r>
        <w:rPr>
          <w:rFonts w:cs="Calibri Light"/>
          <w:b w:val="1"/>
          <w:bCs w:val="0"/>
          <w:caps w:val="0"/>
          <w:sz w:val="28"/>
          <w:szCs w:val="32"/>
          <w:kern w:val="32"/>
        </w:rPr>
        <w:fldChar w:fldCharType="end"/>
      </w:r>
    </w:p>
    <w:p>
      <w:pPr>
        <w:pStyle w:val="P1"/>
      </w:pPr>
      <w:bookmarkStart w:id="36" w:name="_Toc280260434"/>
      <w:bookmarkStart w:id="37" w:name="_Toc280261573"/>
      <w:bookmarkStart w:id="38" w:name="_Toc280261208"/>
      <w:bookmarkStart w:id="39" w:name="_Toc280260763"/>
      <w:bookmarkStart w:id="40" w:name="_Toc246132119"/>
      <w:r>
        <w:br w:type="page"/>
      </w:r>
      <w:bookmarkStart w:id="41" w:name="_Toc86648184"/>
      <w:r>
        <w:t>INLEDNING</w:t>
      </w:r>
      <w:bookmarkEnd w:id="36"/>
      <w:bookmarkEnd w:id="37"/>
      <w:bookmarkEnd w:id="38"/>
      <w:bookmarkEnd w:id="39"/>
      <w:bookmarkEnd w:id="41"/>
    </w:p>
    <w:p>
      <w:pPr>
        <w:pStyle w:val="P2"/>
      </w:pPr>
      <w:bookmarkStart w:id="42" w:name="_Toc275242353"/>
      <w:bookmarkStart w:id="43" w:name="_Toc280261209"/>
      <w:bookmarkStart w:id="44" w:name="_Toc280261574"/>
      <w:bookmarkStart w:id="45" w:name="_Toc280260764"/>
      <w:bookmarkStart w:id="46" w:name="_Toc280260435"/>
      <w:r>
        <w:t>PLANENS SYFTE OCH HUVUDDRAG</w:t>
      </w:r>
      <w:bookmarkEnd w:id="40"/>
      <w:bookmarkEnd w:id="42"/>
      <w:bookmarkEnd w:id="43"/>
      <w:bookmarkEnd w:id="44"/>
      <w:bookmarkEnd w:id="45"/>
      <w:bookmarkEnd w:id="46"/>
    </w:p>
    <w:p>
      <w:pPr>
        <w:pStyle w:val="P23"/>
      </w:pPr>
      <w:bookmarkStart w:id="47" w:name="sy_syfte01"/>
      <w:r>
        <w:t xml:space="preserve">Syftet med detaljplanen är att möjliggöra en flexibel användning av marken. </w:t>
      </w:r>
    </w:p>
    <w:p>
      <w:pPr>
        <w:pStyle w:val="P23"/>
      </w:pPr>
      <w:bookmarkEnd w:id="47"/>
      <w:r>
        <w:t xml:space="preserve">Detaljplanen handläggs med standardförfarande enligt 5 kap 6 § Plan- och bygglagen. </w:t>
      </w:r>
    </w:p>
    <w:p>
      <w:pPr>
        <w:pStyle w:val="P2"/>
      </w:pPr>
      <w:bookmarkStart w:id="48" w:name="_Toc246132120"/>
      <w:bookmarkStart w:id="49" w:name="_Toc280261210"/>
      <w:bookmarkStart w:id="50" w:name="_Toc280261575"/>
      <w:bookmarkStart w:id="51" w:name="_Toc280260436"/>
      <w:bookmarkStart w:id="52" w:name="_Toc280260765"/>
      <w:bookmarkStart w:id="53" w:name="_Toc275242354"/>
      <w:r>
        <w:t>PLANDATA</w:t>
      </w:r>
      <w:bookmarkEnd w:id="48"/>
      <w:bookmarkEnd w:id="49"/>
      <w:bookmarkEnd w:id="50"/>
      <w:bookmarkEnd w:id="51"/>
      <w:bookmarkEnd w:id="52"/>
      <w:bookmarkEnd w:id="53"/>
    </w:p>
    <w:p>
      <w:pPr>
        <w:pStyle w:val="P3"/>
      </w:pPr>
      <w:bookmarkStart w:id="54" w:name="_Toc280259991"/>
      <w:bookmarkStart w:id="55" w:name="_Toc280260437"/>
      <w:r>
        <w:t>Lägesbestämning</w:t>
      </w:r>
      <w:bookmarkEnd w:id="54"/>
      <w:bookmarkEnd w:id="55"/>
      <w:r>
        <w:t xml:space="preserve"> </w:t>
      </w:r>
      <w:bookmarkStart w:id="56" w:name="_Toc280259992"/>
      <w:bookmarkStart w:id="57" w:name="_Toc280260438"/>
      <w:r>
        <w:t>och areal</w:t>
      </w:r>
      <w:bookmarkEnd w:id="56"/>
      <w:bookmarkEnd w:id="57"/>
    </w:p>
    <w:p>
      <w:pPr>
        <w:pStyle w:val="P23"/>
      </w:pPr>
      <w:r>
        <w:rPr>
          <w:i w:val="1"/>
          <w:noProof w:val="1"/>
          <w:color w:val="7F7F7F" w:themeColor="text1" w:themeTint="80"/>
          <w:sz w:val="20"/>
          <w:szCs w:val="20"/>
        </w:rPr>
        <w:drawing>
          <wp:anchor xmlns:wp="http://schemas.openxmlformats.org/drawingml/2006/wordprocessingDrawing" distT="0" distB="0" distL="114300" distR="114300" simplePos="0" relativeHeight="251658241" behindDoc="1" locked="0" layoutInCell="1" allowOverlap="1">
            <wp:simplePos x="0" y="0"/>
            <wp:positionH relativeFrom="column">
              <wp:posOffset>3108325</wp:posOffset>
            </wp:positionH>
            <wp:positionV relativeFrom="paragraph">
              <wp:posOffset>400685</wp:posOffset>
            </wp:positionV>
            <wp:extent cx="2172970" cy="2224405"/>
            <wp:effectExtent l="0" t="0" r="0" b="4445"/>
            <wp:wrapTight wrapText="bothSides">
              <wp:wrapPolygon edited="0">
                <wp:start x="0" y="0"/>
                <wp:lineTo x="0" y="21458"/>
                <wp:lineTo x="21398" y="21458"/>
                <wp:lineTo x="21398" y="0"/>
                <wp:lineTo x="0" y="0"/>
              </wp:wrapPolygon>
            </wp:wrapTight>
            <wp:docPr id="299881953" name="Bildobjekt 1" descr="Flygfotografi som visar var planområdet är lokalise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81953" name="Bildobjekt 1" descr="Flygfotografi som visar var planområdet är lokaliserat"/>
                    <pic:cNvPicPr/>
                  </pic:nvPicPr>
                  <pic:blipFill dpi="0">
                    <a:blip xmlns:r="http://schemas.openxmlformats.org/officeDocument/2006/relationships" r:embed="Relimage1" cstate="print"/>
                    <a:srcRect l="16991" r="13906"/>
                    <a:stretch>
                      <a:fillRect/>
                    </a:stretch>
                  </pic:blipFill>
                  <pic:spPr bwMode="auto">
                    <a:xfrm>
                      <a:off x="0" y="0"/>
                      <a:ext cx="2172970" cy="2224405"/>
                    </a:xfrm>
                    <a:prstGeom prst="rect"/>
                    <a:ln>
                      <a:noFill/>
                    </a:ln>
                  </pic:spPr>
                </pic:pic>
              </a:graphicData>
            </a:graphic>
          </wp:anchor>
        </w:drawing>
      </w:r>
      <w:r>
        <w:t>Planområdet är beläget i norra Moheda och är cirka 7400 kvadratmeter.</w:t>
      </w:r>
    </w:p>
    <w:p>
      <w:pPr>
        <w:pStyle w:val="P23"/>
      </w:pPr>
      <w:r>
        <w:rPr>
          <w:rStyle w:val="C8"/>
          <w:noProof w:val="1"/>
        </w:rPr>
        <w:drawing>
          <wp:anchor xmlns:wp="http://schemas.openxmlformats.org/drawingml/2006/wordprocessingDrawing" distT="0" distB="0" distL="114300" distR="114300" simplePos="0" relativeHeight="251658240" behindDoc="1" locked="0" layoutInCell="1" allowOverlap="1">
            <wp:simplePos x="0" y="0"/>
            <wp:positionH relativeFrom="column">
              <wp:posOffset>723900</wp:posOffset>
            </wp:positionH>
            <wp:positionV relativeFrom="paragraph">
              <wp:posOffset>0</wp:posOffset>
            </wp:positionV>
            <wp:extent cx="2346960" cy="2224405"/>
            <wp:effectExtent l="0" t="0" r="0" b="4445"/>
            <wp:wrapTight wrapText="bothSides">
              <wp:wrapPolygon edited="0">
                <wp:start x="0" y="0"/>
                <wp:lineTo x="0" y="21458"/>
                <wp:lineTo x="21390" y="21458"/>
                <wp:lineTo x="21390" y="0"/>
                <wp:lineTo x="0" y="0"/>
              </wp:wrapPolygon>
            </wp:wrapTight>
            <wp:docPr id="385409129" name="Bildobjekt 1" descr="Kartbild som visar var planområdet är lokalise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09129" name="Bildobjekt 1" descr="Kartbild som visar var planområdet är lokaliserat"/>
                    <pic:cNvPicPr/>
                  </pic:nvPicPr>
                  <pic:blipFill dpi="0">
                    <a:blip xmlns:r="http://schemas.openxmlformats.org/officeDocument/2006/relationships" r:embed="Relimage2" cstate="print"/>
                    <a:srcRect/>
                    <a:stretch>
                      <a:fillRect/>
                    </a:stretch>
                  </pic:blipFill>
                  <pic:spPr>
                    <a:xfrm>
                      <a:off x="0" y="0"/>
                      <a:ext cx="2347200" cy="2224801"/>
                    </a:xfrm>
                    <a:prstGeom prst="rect"/>
                  </pic:spPr>
                </pic:pic>
              </a:graphicData>
            </a:graphic>
          </wp:anchor>
        </w:drawing>
      </w:r>
      <w:r>
        <w:rPr>
          <w:rStyle w:val="C8"/>
          <w:color w:val="404040" w:themeColor="text1" w:themeTint="BF"/>
        </w:rPr>
        <w:t xml:space="preserve">Planområdets lokalisering (röd cirkel) samt utbredning (vit skraffering). </w:t>
      </w:r>
    </w:p>
    <w:p>
      <w:pPr>
        <w:pStyle w:val="P3"/>
      </w:pPr>
      <w:bookmarkStart w:id="58" w:name="_Toc280259993"/>
      <w:bookmarkStart w:id="59" w:name="_Toc280260439"/>
      <w:r>
        <w:t>Markägoförhållanden</w:t>
      </w:r>
      <w:bookmarkEnd w:id="58"/>
      <w:bookmarkEnd w:id="59"/>
    </w:p>
    <w:p>
      <w:pPr>
        <w:pStyle w:val="P23"/>
      </w:pPr>
      <w:r>
        <w:t>Planområdet ligger inom fastigheten Moheda-Ryd 1:56.</w:t>
      </w:r>
    </w:p>
    <w:p>
      <w:pPr>
        <w:pStyle w:val="P2"/>
      </w:pPr>
      <w:bookmarkStart w:id="60" w:name="_Toc246132121"/>
      <w:bookmarkStart w:id="61" w:name="_Toc280261576"/>
      <w:bookmarkStart w:id="62" w:name="_Toc280261211"/>
      <w:bookmarkStart w:id="63" w:name="_Toc280260440"/>
      <w:bookmarkStart w:id="64" w:name="_Toc280260766"/>
      <w:bookmarkStart w:id="65" w:name="_Toc275242355"/>
      <w:r>
        <w:t>TIDIGARE STÄLLNINGSTAGANDEN</w:t>
      </w:r>
      <w:bookmarkEnd w:id="60"/>
      <w:bookmarkEnd w:id="61"/>
      <w:bookmarkEnd w:id="62"/>
      <w:bookmarkEnd w:id="63"/>
      <w:bookmarkEnd w:id="64"/>
      <w:bookmarkEnd w:id="65"/>
    </w:p>
    <w:p>
      <w:pPr>
        <w:pStyle w:val="P3"/>
      </w:pPr>
      <w:bookmarkStart w:id="66" w:name="_Toc280259995"/>
      <w:bookmarkStart w:id="67" w:name="_Toc280260441"/>
      <w:r>
        <w:t>Översiktsplan</w:t>
      </w:r>
      <w:bookmarkEnd w:id="66"/>
      <w:bookmarkEnd w:id="67"/>
    </w:p>
    <w:p>
      <w:pPr>
        <w:pStyle w:val="P23"/>
        <w:rPr>
          <w:vertAlign w:val="subscript"/>
        </w:rPr>
      </w:pPr>
      <w:r>
        <w:t>Detaljplanen ligger i linje med intentionerna i fördjupad översiktsplan för Moheda tätort (2014). Den fördjupade översiktsplanen syftar bland annat till att Moheda ska stärkas som centralort, att planprocessen ska resultera i ändamålsenliga och genomförbara detaljplaner samt att lokala initiativ ska tillvaratas.</w:t>
      </w:r>
    </w:p>
    <w:p>
      <w:pPr>
        <w:pStyle w:val="P3"/>
      </w:pPr>
      <w:bookmarkStart w:id="68" w:name="_Toc280259996"/>
      <w:bookmarkStart w:id="69" w:name="_Toc280260442"/>
      <w:r>
        <w:t>Gällande detaljplaner</w:t>
      </w:r>
      <w:bookmarkEnd w:id="68"/>
      <w:bookmarkEnd w:id="69"/>
    </w:p>
    <w:p>
      <w:pPr>
        <w:pStyle w:val="P4"/>
      </w:pPr>
      <w:bookmarkStart w:id="70" w:name="_Toc280259997"/>
      <w:bookmarkStart w:id="71" w:name="_Toc280260443"/>
      <w:r>
        <w:t>Inom planområdet:</w:t>
      </w:r>
    </w:p>
    <w:p>
      <w:pPr>
        <w:pStyle w:val="P23"/>
      </w:pPr>
      <w:r>
        <w:t xml:space="preserve">Marken är idag planlagd med två detaljplaner, M17 och M21 antagna 1975 respektive 1977. Båda detaljplanerna reglerar marken till ”A – område för allmänt ändamål”. Regleringen begränsar användning till aktörer vars syfte är att driva offentlig verksamhet. </w:t>
      </w:r>
    </w:p>
    <w:p>
      <w:pPr>
        <w:pStyle w:val="P4"/>
      </w:pPr>
      <w:r>
        <w:t xml:space="preserve">Närmast utanför planområdet: </w:t>
      </w:r>
    </w:p>
    <w:p>
      <w:pPr>
        <w:pStyle w:val="P23"/>
      </w:pPr>
      <w:r>
        <w:t xml:space="preserve">Planområdet angränsar till tre detaljplaner, M4, M17 och M21. Söder och norrut regleras marken till fristående bostäder. Väster om planområdet är marken reglerad till allmänt ändamål och i öster till industri. </w:t>
      </w:r>
    </w:p>
    <w:p>
      <w:pPr>
        <w:pStyle w:val="P23"/>
      </w:pPr>
      <w:r>
        <w:rPr>
          <w:noProof w:val="1"/>
        </w:rPr>
        <w:drawing>
          <wp:inline xmlns:wp="http://schemas.openxmlformats.org/drawingml/2006/wordprocessingDrawing" distT="0" distB="0" distL="0" distR="0">
            <wp:extent cx="4444365" cy="3134995"/>
            <wp:effectExtent l="0" t="0" r="0" b="8255"/>
            <wp:docPr id="1028135454" name="Bildobjekt 1" descr="Bild som visar planområdets förhållande till fastställda detaljplaner i närom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35454" name="Bildobjekt 1" descr="Bild som visar planområdets förhållande till fastställda detaljplaner i näromådet."/>
                    <pic:cNvPicPr/>
                  </pic:nvPicPr>
                  <pic:blipFill dpi="0">
                    <a:blip xmlns:r="http://schemas.openxmlformats.org/officeDocument/2006/relationships" r:embed="Relimage3"/>
                    <a:srcRect/>
                    <a:stretch>
                      <a:fillRect/>
                    </a:stretch>
                  </pic:blipFill>
                  <pic:spPr>
                    <a:xfrm>
                      <a:off x="0" y="0"/>
                      <a:ext cx="4465888" cy="3150019"/>
                    </a:xfrm>
                    <a:prstGeom prst="rect"/>
                  </pic:spPr>
                </pic:pic>
              </a:graphicData>
            </a:graphic>
          </wp:inline>
        </w:drawing>
      </w:r>
    </w:p>
    <w:p>
      <w:pPr>
        <w:pStyle w:val="P23"/>
      </w:pPr>
      <w:r>
        <w:rPr>
          <w:rStyle w:val="C8"/>
          <w:color w:val="404040" w:themeColor="text1" w:themeTint="BF"/>
        </w:rPr>
        <w:t xml:space="preserve">Planområdets lokalisering (röd linje) i förhållande till omkringliggande planer. </w:t>
      </w:r>
    </w:p>
    <w:p>
      <w:pPr>
        <w:pStyle w:val="P3"/>
      </w:pPr>
      <w:r>
        <w:t>Bostadsförsörjningsprogram</w:t>
      </w:r>
    </w:p>
    <w:p>
      <w:pPr>
        <w:pStyle w:val="P23"/>
      </w:pPr>
      <w:r>
        <w:t>För att möta invånarnas skiftande behov av bostäder på ett hållbart sätt har kommunen tagit fram Bostadsförsörjningsprogram för 2025-2030. Programmet innehåller ett antal övergripande riktlinjer och mål för bostadsförsörjningen i kommunen. Detaljplanen uppfyller bland annat följande mål:</w:t>
      </w:r>
    </w:p>
    <w:p>
      <w:pPr>
        <w:pStyle w:val="P23"/>
        <w:numPr>
          <w:ilvl w:val="0"/>
          <w:numId w:val="28"/>
        </w:numPr>
        <w:rPr>
          <w:i w:val="1"/>
          <w:iCs w:val="1"/>
        </w:rPr>
      </w:pPr>
      <w:r>
        <w:rPr>
          <w:i w:val="1"/>
          <w:iCs w:val="1"/>
        </w:rPr>
        <w:t>Kommunkoncernen ska verka för ett varierat utbud av bostäder i alla kommundelar som tillgodoser invånarnas behov och efterfrågan</w:t>
      </w:r>
    </w:p>
    <w:p>
      <w:pPr>
        <w:pStyle w:val="P23"/>
        <w:ind w:left="1539"/>
      </w:pPr>
      <w:r>
        <w:t xml:space="preserve">Målet innefattar att kommunen ska verka för en större bredd av upplåtelseformer samt ett ändamålsenligt och kostnadseffektivt utbud. Detaljplanen bidrar särskilt till det sistnämnda, då den möjliggör för omvandling av befintlig bebyggelse till bostäder. </w:t>
      </w:r>
    </w:p>
    <w:p>
      <w:pPr>
        <w:pStyle w:val="P23"/>
        <w:numPr>
          <w:ilvl w:val="0"/>
          <w:numId w:val="27"/>
        </w:numPr>
        <w:rPr>
          <w:i w:val="1"/>
          <w:iCs w:val="1"/>
        </w:rPr>
      </w:pPr>
      <w:r>
        <w:rPr>
          <w:i w:val="1"/>
          <w:iCs w:val="1"/>
        </w:rPr>
        <w:t>Kommunkoncernen bör tillskapa 200 bostäder fram till 2030 genom omvandling eller nyproduktion</w:t>
      </w:r>
    </w:p>
    <w:p>
      <w:pPr>
        <w:pStyle w:val="P23"/>
        <w:ind w:left="1539"/>
      </w:pPr>
      <w:r>
        <w:t xml:space="preserve">Möjlighet till omvandling av befintlig bebyggelse till bostäder bidrar till att uppfylla målet.  </w:t>
      </w:r>
    </w:p>
    <w:p>
      <w:pPr>
        <w:pStyle w:val="P3"/>
      </w:pPr>
      <w:r>
        <w:t>Kommunala beslut</w:t>
      </w:r>
      <w:bookmarkEnd w:id="70"/>
      <w:bookmarkEnd w:id="71"/>
    </w:p>
    <w:p>
      <w:pPr>
        <w:pStyle w:val="P23"/>
      </w:pPr>
      <w:bookmarkStart w:id="72" w:name="_Toc280259999"/>
      <w:bookmarkStart w:id="73" w:name="_Toc280260445"/>
      <w:r>
        <w:t>Samhällsbyggnadsnämnden gav 2025-06-12 (SBN § 63) samhällsbyggnadsförvaltningen i uppdrag att upprätta och samråda förslag till detaljplan.</w:t>
      </w:r>
      <w:bookmarkEnd w:id="72"/>
      <w:bookmarkEnd w:id="73"/>
      <w:bookmarkStart w:id="74" w:name="_Toc280260448"/>
      <w:bookmarkStart w:id="75" w:name="_Toc280261578"/>
      <w:bookmarkStart w:id="76" w:name="_Toc246132123"/>
      <w:bookmarkStart w:id="77" w:name="_Toc280261213"/>
      <w:bookmarkStart w:id="78" w:name="_Toc280260768"/>
    </w:p>
    <w:p>
      <w:pPr>
        <w:pStyle w:val="P23"/>
      </w:pPr>
      <w:r>
        <w:t xml:space="preserve">Samhällsbyggnadsnämnden beslutade 2025-09-25 (SBN § 76) att detaljplaneförslaget ska ställas ut för granskning. </w:t>
      </w:r>
    </w:p>
    <w:p>
      <w:pPr>
        <w:pStyle w:val="P1"/>
        <w:numPr>
          <w:ilvl w:val="0"/>
          <w:numId w:val="0"/>
        </w:numPr>
        <w:ind w:firstLine="0" w:left="0"/>
      </w:pPr>
      <w:bookmarkStart w:id="79" w:name="_Toc86648185"/>
      <w:r>
        <w:br w:type="page"/>
      </w:r>
    </w:p>
    <w:p>
      <w:pPr>
        <w:pStyle w:val="P1"/>
      </w:pPr>
      <w:r>
        <w:t>PLATSENS FÖRUTSÄTTNINGAR</w:t>
      </w:r>
      <w:bookmarkEnd w:id="74"/>
      <w:bookmarkEnd w:id="75"/>
      <w:bookmarkEnd w:id="76"/>
      <w:bookmarkEnd w:id="77"/>
      <w:bookmarkEnd w:id="78"/>
      <w:bookmarkEnd w:id="79"/>
      <w:bookmarkStart w:id="80" w:name="_Toc280260004"/>
      <w:bookmarkStart w:id="81" w:name="_Toc280260450"/>
    </w:p>
    <w:p>
      <w:pPr>
        <w:pStyle w:val="P3"/>
      </w:pPr>
      <w:r>
        <w:t>Befintlig bebyggelse</w:t>
      </w:r>
      <w:bookmarkEnd w:id="80"/>
      <w:bookmarkEnd w:id="81"/>
    </w:p>
    <w:p>
      <w:pPr>
        <w:pStyle w:val="P23"/>
      </w:pPr>
      <w:r>
        <w:t xml:space="preserve">Området är idag bebyggt med en cirka 1500 kvadratmeter stor byggnad i en våning. Byggnaden är från 1960-talet och har blivit tillbyggd flera gånger. Fasaden har ett tidstypiskt uttryck för sin funktion, med omväxlande tegel och röd stående träpanel. Byggnaden har tidigare fungerat som förskola och miljön runtomkring är därmed anpassad efter den verksamheten med lekytor, ställningar, uthus och förråd. I anslutning till planområdet och längs med Torpsbruksvägen finns friliggande villor i en till två våningar, verksamhet samt förskola. Villorna är uppförda under olika tider på 1900-talet, främst under 60- och 70-talen. Det finns även de som är uppförda tidigare och senare. Flera av bostäderna byggdes innan området blev planlagt, vilket går att tyda i tomtstorlek och placering på tomten. Villorna i stort längs med Torpsbruksvägen skiljer sig åt i materialval (olika tegel och träpanel), tomtstorlek och placering. </w:t>
      </w:r>
    </w:p>
    <w:p>
      <w:pPr>
        <w:pStyle w:val="P23"/>
      </w:pPr>
      <w:r>
        <w:t xml:space="preserve">Bebyggelsen längs med Ulfsaxs väg och Ljungvägen är mer enhetlig och följer tydligare en struktur i form av placering och tomtstorlek, då de uppförts på detaljplanelagd mark. Villorna uppfördes nästan uteslutande på 1960- och 1970-talen och har en relativt enhetlig stil. Fasadmaterial varierar i olika typer av tegel, men även träpanel. </w:t>
      </w:r>
    </w:p>
    <w:p>
      <w:pPr>
        <w:pStyle w:val="P23"/>
      </w:pPr>
      <w:r>
        <w:rPr>
          <w:noProof w:val="1"/>
        </w:rPr>
        <w:drawing>
          <wp:inline xmlns:wp="http://schemas.openxmlformats.org/drawingml/2006/wordprocessingDrawing" distT="0" distB="0" distL="0" distR="0">
            <wp:extent cx="3632200" cy="4448175"/>
            <wp:effectExtent l="0" t="7620" r="0" b="0"/>
            <wp:docPr id="1769524477" name="Bildobjekt 2" descr="Bild som visar befintlig byggnad i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24477" name="Bildobjekt 2" descr="Bild som visar befintlig byggnad inom planområdet."/>
                    <pic:cNvPicPr/>
                  </pic:nvPicPr>
                  <pic:blipFill dpi="0">
                    <a:blip xmlns:r="http://schemas.openxmlformats.org/officeDocument/2006/relationships" r:embed="Relimage4" cstate="print"/>
                    <a:srcRect l="24701" t="-400" r="14058" b="400"/>
                    <a:stretch>
                      <a:fillRect/>
                    </a:stretch>
                  </pic:blipFill>
                  <pic:spPr bwMode="auto">
                    <a:xfrm rot="5400000">
                      <a:off x="0" y="0"/>
                      <a:ext cx="3650526" cy="4470675"/>
                    </a:xfrm>
                    <a:prstGeom prst="rect"/>
                    <a:ln>
                      <a:noFill/>
                    </a:ln>
                  </pic:spPr>
                </pic:pic>
              </a:graphicData>
            </a:graphic>
          </wp:inline>
        </w:drawing>
      </w:r>
      <w:r>
        <w:br w:type="textWrapping"/>
      </w:r>
      <w:r>
        <w:rPr>
          <w:rStyle w:val="C8"/>
          <w:color w:val="404040" w:themeColor="text1" w:themeTint="BF"/>
        </w:rPr>
        <w:t xml:space="preserve">Befintlig byggnad inom planområdet. </w:t>
      </w:r>
    </w:p>
    <w:p>
      <w:pPr>
        <w:pStyle w:val="P3"/>
      </w:pPr>
      <w:r>
        <w:t xml:space="preserve">Mark och vegetation </w:t>
      </w:r>
    </w:p>
    <w:p>
      <w:pPr>
        <w:pStyle w:val="P23"/>
      </w:pPr>
      <w:bookmarkStart w:id="82" w:name="_Toc280260005"/>
      <w:bookmarkStart w:id="83" w:name="_Toc280260451"/>
      <w:r>
        <w:t xml:space="preserve">Marken har fungerat som förskolans rastgård och är därför utformad med diverse lekredskap. Det finns enstaka träd inom området, i övrigt är vegetationen sparsam. Träden består nästan uteslutande av ung björk, med undantag för en cirka 60 år gammal asp. </w:t>
      </w:r>
    </w:p>
    <w:p>
      <w:pPr>
        <w:pStyle w:val="P3"/>
      </w:pPr>
      <w:r>
        <w:t>Gator och trafik</w:t>
      </w:r>
      <w:bookmarkEnd w:id="82"/>
      <w:bookmarkEnd w:id="83"/>
    </w:p>
    <w:p>
      <w:pPr>
        <w:pStyle w:val="P23"/>
      </w:pPr>
      <w:r>
        <w:t xml:space="preserve">Planområdet angränsar till Torpsbruksvägen. Invid planområdet är hastigheten begränsad till 40 km/h. Längs med Torpsbruksvägen finns en cykelväg som går mellan Moheda och Torpsbruk. </w:t>
      </w:r>
    </w:p>
    <w:p>
      <w:pPr>
        <w:pStyle w:val="P3"/>
      </w:pPr>
      <w:bookmarkStart w:id="84" w:name="_Toc280260006"/>
      <w:bookmarkStart w:id="85" w:name="_Toc280260452"/>
      <w:r>
        <w:t>Service</w:t>
      </w:r>
      <w:bookmarkEnd w:id="84"/>
      <w:bookmarkEnd w:id="85"/>
      <w:bookmarkStart w:id="86" w:name="_Toc280260007"/>
      <w:bookmarkStart w:id="87" w:name="_Toc280260453"/>
      <w:r>
        <w:t xml:space="preserve"> och tillgänglighe</w:t>
      </w:r>
      <w:bookmarkEnd w:id="86"/>
      <w:bookmarkEnd w:id="87"/>
      <w:r>
        <w:t>t</w:t>
      </w:r>
    </w:p>
    <w:p>
      <w:pPr>
        <w:pStyle w:val="P23"/>
      </w:pPr>
      <w:r>
        <w:t xml:space="preserve">Det är cirka 800 meter från centrala Moheda, vilket kan nås med gång, cykel, buss eller bil. I centrala Moheda finns livsmedelsbutik, vårdcentral, restauranger och övrig kommersiell service. Busshållplats ligger 160 meter från planområdet. </w:t>
      </w:r>
    </w:p>
    <w:p>
      <w:pPr>
        <w:pStyle w:val="P23"/>
      </w:pPr>
      <w:r>
        <w:t xml:space="preserve">Området har tidigare fungerat som förskola, varför dess utbredning i dagsläget är inhägnat med stängsel. Längs med stängslet förekommer relativt kraftiga höjdskillnader, i övrigt är området plant med lätt lutning och enkelt att ta sig fram inom. </w:t>
      </w:r>
    </w:p>
    <w:p>
      <w:pPr>
        <w:pStyle w:val="P3"/>
      </w:pPr>
      <w:bookmarkStart w:id="88" w:name="_Toc280260008"/>
      <w:bookmarkStart w:id="89" w:name="_Toc280260454"/>
      <w:r>
        <w:t>Teknisk försörjning</w:t>
      </w:r>
      <w:bookmarkEnd w:id="88"/>
      <w:bookmarkEnd w:id="89"/>
    </w:p>
    <w:p>
      <w:pPr>
        <w:pStyle w:val="P23"/>
      </w:pPr>
      <w:r>
        <w:t>Området är anslutet till el, fiber, fjärrvärme och kommunalt VA.</w:t>
      </w:r>
    </w:p>
    <w:p>
      <w:pPr>
        <w:pStyle w:val="P3"/>
      </w:pPr>
      <w:r>
        <w:t xml:space="preserve">Ledningsrätter </w:t>
      </w:r>
    </w:p>
    <w:p>
      <w:pPr>
        <w:pStyle w:val="P23"/>
      </w:pPr>
      <w:r>
        <w:t xml:space="preserve">Inom planområdet finns en ledningsrätt för vatten och avlopp, 0764-13/40.5. </w:t>
      </w:r>
    </w:p>
    <w:p>
      <w:pPr>
        <w:pStyle w:val="P3"/>
      </w:pPr>
      <w:bookmarkStart w:id="90" w:name="_Toc280260010"/>
      <w:bookmarkStart w:id="91" w:name="_Toc280260456"/>
      <w:r>
        <w:t>Fornlämningar</w:t>
      </w:r>
      <w:bookmarkEnd w:id="90"/>
      <w:bookmarkEnd w:id="91"/>
    </w:p>
    <w:p>
      <w:pPr>
        <w:pStyle w:val="P23"/>
      </w:pPr>
      <w:r>
        <w:t>Inom planområdet finns inga kända fornlämningar. Om det vid utgrävning eller annat arbete skulle påträffas fornlämningar som inte tidigare varit kända, ska arbetet omedelbart avbrytas och Länsstyrelsen underrättas.</w:t>
      </w:r>
    </w:p>
    <w:p>
      <w:pPr>
        <w:pStyle w:val="P3"/>
      </w:pPr>
      <w:bookmarkStart w:id="92" w:name="_Toc280260011"/>
      <w:bookmarkStart w:id="93" w:name="_Toc280260457"/>
      <w:r>
        <w:t>Geotekniska förhållanden</w:t>
      </w:r>
      <w:bookmarkEnd w:id="92"/>
      <w:bookmarkEnd w:id="93"/>
    </w:p>
    <w:p>
      <w:pPr>
        <w:pStyle w:val="P23"/>
      </w:pPr>
      <w:bookmarkStart w:id="94" w:name="_Toc280260012"/>
      <w:bookmarkStart w:id="95" w:name="_Toc280260458"/>
      <w:r>
        <w:t xml:space="preserve">Enligt SGUs jordartskarta består marken av grusig morän. </w:t>
      </w:r>
    </w:p>
    <w:p>
      <w:pPr>
        <w:pStyle w:val="P3"/>
      </w:pPr>
      <w:r>
        <w:t>Förorenad mark</w:t>
      </w:r>
      <w:bookmarkEnd w:id="94"/>
      <w:bookmarkEnd w:id="95"/>
    </w:p>
    <w:p>
      <w:pPr>
        <w:pStyle w:val="P23"/>
      </w:pPr>
      <w:r>
        <w:t>Enligt Länsstyrelsens MIFO-inventering finns ingen misstänkt förorenad mark inom planområdet. Det finns inte några kända föroreningar i närområdet som bedöms utgöra en risk för människors hälsa och säkerhet. Den som äger eller brukar en fastighet skall oavsett om området tidigare ansetts förorenat genast underrätta tillsynsmyndigheten om det upptäcks en förorening på fastigheten och föroreningen kan medföra skada eller olägenhet för människors hälsa eller miljön, i enlighet med 10 kap 11 § Miljöbalken.</w:t>
      </w:r>
    </w:p>
    <w:p>
      <w:pPr>
        <w:pStyle w:val="P3"/>
      </w:pPr>
      <w:bookmarkStart w:id="96" w:name="_Toc280260013"/>
      <w:bookmarkStart w:id="97" w:name="_Toc280260459"/>
      <w:r>
        <w:t>Radon</w:t>
      </w:r>
      <w:bookmarkEnd w:id="96"/>
      <w:bookmarkEnd w:id="97"/>
    </w:p>
    <w:p>
      <w:pPr>
        <w:pStyle w:val="P23"/>
      </w:pPr>
      <w:bookmarkStart w:id="98" w:name="_Toc280260014"/>
      <w:bookmarkStart w:id="99" w:name="_Toc280260460"/>
      <w:r>
        <w:t xml:space="preserve">Enligt Alvesta kommuns översiktliga radonriskkartering ligger detaljplanen inom område med förhöjd risk för radon i bergborrade brunnar. Planområdet är anslutet till kommunalt vatten och den förhöjda risken gäller således inte i dagsläget. </w:t>
      </w:r>
    </w:p>
    <w:p>
      <w:pPr>
        <w:pStyle w:val="P3"/>
      </w:pPr>
      <w:r>
        <w:t>Störningar</w:t>
      </w:r>
      <w:bookmarkEnd w:id="98"/>
      <w:bookmarkEnd w:id="99"/>
    </w:p>
    <w:p>
      <w:pPr>
        <w:pStyle w:val="P4"/>
      </w:pPr>
      <w:r>
        <w:t>Vägbuller</w:t>
      </w:r>
    </w:p>
    <w:p>
      <w:pPr>
        <w:pStyle w:val="P23"/>
      </w:pPr>
      <w:r>
        <w:t xml:space="preserve">Planområdet angränsar till Torpsbruksvägen som är en statlig väg. 2021 uppmättes årsdygnstrafiken (ÅDT) till 935 fordon, med cirka fem procent tung trafik. Vägen är hastighetsbegränsad till 40 km/h. För att ge en översiktlig bild av vägtrafikbuller har kommunen tagit hjälp av Boverkets skrift ”Hur mycket bullrar vägtrafiken”. Med hjälp av tabellerna i skriften bedömer kommunen den ekvivalenta bullernivån från vägtrafik vid närmast byggbara bostadsmark (cirka 30 meter från Torpsbruksvägens mitt) till ungefär 48 dBA. Riktvärden för ekvivalent ljudnivå som gäller för vägtrafik är 55 dBA vid bostadsfasad, samt högst 50 dBA vid uteplats. </w:t>
      </w:r>
    </w:p>
    <w:p>
      <w:pPr>
        <w:pStyle w:val="P23"/>
      </w:pPr>
      <w:r>
        <w:t xml:space="preserve">För att bedöma lämpligheten bör dock trafikbullret inte bara prövas mot nuvarande situation utan även mot framtida trafikmängder och hastigheter. Sett över de tre senaste mätningarna har ÅDT-siffrorna på Torpsbruksvägen minskat från 1156 år 1997, 1112 år 2009 till 935 år 2021. För att riskera en överskridning av riktvärdena vid bostadsfasad krävs att trafiken på Torpsbruksvägen ökar rejält, med ÅDT-siffor på cirka 4000–5000. Kommunen bedömer det inte som troligt att Torpsbruksvägens trafikbelastning skulle öka så pass mycket varken på kort, medellång eller lång sikt. Hänsyn är då även tagen till övriga pågående detaljplaner som kan få konsekvenser för trafikmängden på Torpsbruksvägen. Kommunen bedömer det inte heller som troligt att den skyltade hastigheten ändras, då vägen går inom tättbebyggt område med närhet till förskola, bostäder och idrottsplatser. Bashastigheten i Alvesta kommun för tättbebyggt område är 40 kilometer i timmen. </w:t>
      </w:r>
    </w:p>
    <w:p>
      <w:pPr>
        <w:pStyle w:val="P4"/>
      </w:pPr>
      <w:r>
        <w:t>Verksamhetsbuller</w:t>
      </w:r>
    </w:p>
    <w:p>
      <w:pPr>
        <w:pStyle w:val="P23"/>
      </w:pPr>
      <w:r>
        <w:t>Öster om Torpsbruksvägen ligger en större verksamhet. Verksamhetens tillståndsbeslut tillåter att den ekvivalenta ljudnivån vid bostäder ska begränsas till ett visst mått under olika tider på dygnet:</w:t>
      </w:r>
    </w:p>
    <w:p>
      <w:pPr>
        <w:pStyle w:val="P23"/>
      </w:pPr>
      <w:r>
        <w:t>Vardag</w:t>
        <w:tab/>
        <w:tab/>
        <w:t>kl. 06.00 – 07.00</w:t>
        <w:tab/>
        <w:t>50 dB(A)</w:t>
        <w:br w:type="textWrapping"/>
        <w:t>Vardag</w:t>
        <w:tab/>
        <w:tab/>
        <w:t>kl. 07.00 – 18.00</w:t>
        <w:tab/>
        <w:t>55 dB(A)</w:t>
        <w:br w:type="textWrapping"/>
        <w:t>Kväll</w:t>
        <w:tab/>
        <w:tab/>
        <w:t>kl. 18.00 – 22.00</w:t>
        <w:tab/>
        <w:t>50 dB(A)</w:t>
        <w:br w:type="textWrapping"/>
        <w:t>Natt</w:t>
        <w:tab/>
        <w:tab/>
        <w:t>kl. 22.00 – 06.00</w:t>
        <w:tab/>
        <w:t>45 dB(A)</w:t>
        <w:br w:type="textWrapping"/>
        <w:t>Sön- och helgdag</w:t>
        <w:tab/>
        <w:t>kl. 07.00 – 18.00</w:t>
        <w:tab/>
        <w:t>50 dB(A)</w:t>
      </w:r>
    </w:p>
    <w:p>
      <w:pPr>
        <w:pStyle w:val="P23"/>
      </w:pPr>
      <w:r>
        <w:t xml:space="preserve">Boverket har tagit fram en vägledning för planläggning inom områden utsatta för buller från industri och verksamheter (Industri- och annat verksamhetsbuller vid planläggning och bygglovsprövning av bostäder, 2015). Utifrån bullernivåerna föreslår Boverket att områden delas in i olika zoner – A, B och C (se tabell nedan). </w:t>
      </w:r>
    </w:p>
    <w:p>
      <w:pPr>
        <w:pStyle w:val="P23"/>
      </w:pPr>
    </w:p>
    <w:tbl>
      <w:tblPr>
        <w:tblW w:w="6780"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914" w:type="dxa"/>
            <w:vAlign w:val="bottom"/>
            <w:hideMark/>
          </w:tcPr>
          <w:p>
            <w:pPr>
              <w:jc w:val="right"/>
              <w:rPr>
                <w:rFonts w:asciiTheme="minorHAnsi" w:hAnsiTheme="minorHAnsi" w:cstheme="minorHAnsi"/>
                <w:sz w:val="20"/>
                <w:szCs w:val="20"/>
              </w:rPr>
            </w:pPr>
            <w:r>
              <w:rPr>
                <w:rFonts w:asciiTheme="minorHAnsi" w:hAnsiTheme="minorHAnsi" w:cstheme="minorHAnsi"/>
                <w:sz w:val="20"/>
                <w:szCs w:val="20"/>
              </w:rPr>
              <w:t> </w:t>
            </w:r>
          </w:p>
        </w:tc>
        <w:tc>
          <w:tcPr>
            <w:tcW w:w="1662" w:type="dxa"/>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dag</w:t>
              <w:br w:type="textWrapping"/>
              <w:t>(06-18)</w:t>
            </w:r>
          </w:p>
        </w:tc>
        <w:tc>
          <w:tcPr>
            <w:tcW w:w="1787" w:type="dxa"/>
            <w:vAlign w:val="bottom"/>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kväll</w:t>
              <w:br w:type="textWrapping"/>
              <w:t>(18-22)</w:t>
            </w:r>
          </w:p>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Lördagar, söndagar och helgdagar</w:t>
            </w:r>
          </w:p>
          <w:p>
            <w:pPr>
              <w:jc w:val="center"/>
              <w:rPr>
                <w:rFonts w:asciiTheme="minorHAnsi" w:hAnsiTheme="minorHAnsi" w:cstheme="minorHAnsi"/>
                <w:b w:val="1"/>
                <w:bCs w:val="1"/>
                <w:sz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dag + kväll (06-22)</w:t>
            </w:r>
          </w:p>
        </w:tc>
        <w:tc>
          <w:tcPr>
            <w:tcW w:w="1417" w:type="dxa"/>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natt</w:t>
            </w:r>
          </w:p>
          <w:p>
            <w:pPr>
              <w:jc w:val="center"/>
              <w:rPr>
                <w:rFonts w:asciiTheme="minorHAnsi" w:hAnsiTheme="minorHAnsi" w:cstheme="minorHAnsi"/>
                <w:b w:val="1"/>
                <w:bCs w:val="1"/>
                <w:sz w:val="20"/>
              </w:rPr>
            </w:pPr>
            <w:r>
              <w:rPr>
                <w:rFonts w:asciiTheme="minorHAnsi" w:hAnsiTheme="minorHAnsi" w:cstheme="minorHAnsi"/>
                <w:b w:val="1"/>
                <w:bCs w:val="1"/>
                <w:sz w:val="20"/>
                <w:szCs w:val="20"/>
              </w:rPr>
              <w:t>(22-06)</w:t>
            </w:r>
          </w:p>
        </w:tc>
      </w:tr>
      <w:tr>
        <w:trPr>
          <w:trHeight w:hRule="atLeast" w:val="174"/>
        </w:trPr>
        <w:tc>
          <w:tcPr>
            <w:tcW w:w="1914" w:type="dxa"/>
            <w:hideMark/>
          </w:tcPr>
          <w:p>
            <w:pPr>
              <w:rPr>
                <w:rFonts w:asciiTheme="minorHAnsi" w:hAnsiTheme="minorHAnsi" w:cstheme="minorHAnsi"/>
                <w:b w:val="1"/>
                <w:bCs w:val="1"/>
                <w:sz w:val="20"/>
                <w:szCs w:val="20"/>
              </w:rPr>
            </w:pPr>
            <w:r>
              <w:rPr>
                <w:rFonts w:asciiTheme="minorHAnsi" w:hAnsiTheme="minorHAnsi" w:cstheme="minorHAnsi"/>
                <w:b w:val="1"/>
                <w:bCs w:val="1"/>
                <w:sz w:val="20"/>
                <w:szCs w:val="20"/>
              </w:rPr>
              <w:t>Zon A</w:t>
            </w:r>
          </w:p>
          <w:p>
            <w:pPr>
              <w:rPr>
                <w:rFonts w:asciiTheme="minorHAnsi" w:hAnsiTheme="minorHAnsi" w:cstheme="minorHAnsi"/>
                <w:sz w:val="20"/>
                <w:szCs w:val="20"/>
              </w:rPr>
            </w:pPr>
            <w:r>
              <w:rPr>
                <w:rFonts w:asciiTheme="minorHAnsi" w:hAnsiTheme="minorHAnsi" w:cstheme="minorHAnsi"/>
                <w:sz w:val="20"/>
                <w:szCs w:val="20"/>
              </w:rPr>
              <w:t>Bostadsbyggnader bör kunna accepteras upp till angivna nivåer.</w:t>
            </w:r>
          </w:p>
        </w:tc>
        <w:tc>
          <w:tcPr>
            <w:tcW w:w="1662" w:type="dxa"/>
            <w:vAlign w:val="center"/>
            <w:hideMark/>
          </w:tcPr>
          <w:p>
            <w:pPr>
              <w:jc w:val="center"/>
              <w:rPr>
                <w:rFonts w:asciiTheme="minorHAnsi" w:hAnsiTheme="minorHAnsi" w:cstheme="minorHAnsi"/>
                <w:sz w:val="20"/>
                <w:szCs w:val="20"/>
              </w:rPr>
            </w:pPr>
            <w:r>
              <w:rPr>
                <w:rFonts w:asciiTheme="minorHAnsi" w:hAnsiTheme="minorHAnsi" w:cstheme="minorHAnsi"/>
                <w:sz w:val="20"/>
              </w:rPr>
              <w:t>50 dBA</w:t>
            </w:r>
          </w:p>
        </w:tc>
        <w:tc>
          <w:tcPr>
            <w:tcW w:w="1787" w:type="dxa"/>
            <w:vAlign w:val="center"/>
            <w:hideMark/>
          </w:tcPr>
          <w:p>
            <w:pPr>
              <w:jc w:val="center"/>
              <w:rPr>
                <w:rFonts w:asciiTheme="minorHAnsi" w:hAnsiTheme="minorHAnsi" w:cstheme="minorHAnsi"/>
                <w:sz w:val="20"/>
              </w:rPr>
            </w:pPr>
            <w:r>
              <w:rPr>
                <w:rFonts w:asciiTheme="minorHAnsi" w:hAnsiTheme="minorHAnsi" w:cstheme="minorHAnsi"/>
                <w:sz w:val="20"/>
              </w:rPr>
              <w:t>45 dBA</w:t>
            </w:r>
          </w:p>
        </w:tc>
        <w:tc>
          <w:tcPr>
            <w:tcW w:w="1417" w:type="dxa"/>
            <w:vAlign w:val="center"/>
            <w:hideMark/>
          </w:tcPr>
          <w:p>
            <w:pPr>
              <w:jc w:val="center"/>
              <w:rPr>
                <w:rFonts w:asciiTheme="minorHAnsi" w:hAnsiTheme="minorHAnsi" w:cstheme="minorHAnsi"/>
                <w:sz w:val="20"/>
              </w:rPr>
            </w:pPr>
            <w:r>
              <w:rPr>
                <w:rFonts w:asciiTheme="minorHAnsi" w:hAnsiTheme="minorHAnsi" w:cstheme="minorHAnsi"/>
                <w:sz w:val="20"/>
              </w:rPr>
              <w:t>45 dBA</w:t>
            </w:r>
          </w:p>
        </w:tc>
      </w:tr>
      <w:tr>
        <w:trPr>
          <w:trHeight w:hRule="atLeast" w:val="205"/>
        </w:trPr>
        <w:tc>
          <w:tcPr>
            <w:tcW w:w="1914" w:type="dxa"/>
            <w:hideMark/>
          </w:tcPr>
          <w:p>
            <w:pPr>
              <w:rPr>
                <w:rFonts w:asciiTheme="minorHAnsi" w:hAnsiTheme="minorHAnsi" w:cstheme="minorHAnsi"/>
                <w:b w:val="1"/>
                <w:bCs w:val="1"/>
                <w:sz w:val="20"/>
                <w:szCs w:val="20"/>
              </w:rPr>
            </w:pPr>
            <w:r>
              <w:rPr>
                <w:rFonts w:asciiTheme="minorHAnsi" w:hAnsiTheme="minorHAnsi" w:cstheme="minorHAnsi"/>
                <w:b w:val="1"/>
                <w:bCs w:val="1"/>
                <w:sz w:val="20"/>
                <w:szCs w:val="20"/>
              </w:rPr>
              <w:t>Zon B</w:t>
            </w:r>
          </w:p>
          <w:p>
            <w:pPr>
              <w:rPr>
                <w:rFonts w:asciiTheme="minorHAnsi" w:hAnsiTheme="minorHAnsi" w:cstheme="minorHAnsi"/>
                <w:sz w:val="20"/>
                <w:szCs w:val="20"/>
              </w:rPr>
            </w:pPr>
            <w:r>
              <w:rPr>
                <w:rFonts w:asciiTheme="minorHAnsi" w:hAnsiTheme="minorHAnsi" w:cstheme="minorHAnsi"/>
                <w:sz w:val="20"/>
                <w:szCs w:val="20"/>
              </w:rPr>
              <w:t>Bostadsbyggnader bör kunna accepteras förutsatt att tillgång till ljuddämpad sida finns och att byggnaderna bulleranpassas.</w:t>
            </w:r>
          </w:p>
        </w:tc>
        <w:tc>
          <w:tcPr>
            <w:tcW w:w="1662" w:type="dxa"/>
            <w:vAlign w:val="center"/>
            <w:hideMark/>
          </w:tcPr>
          <w:p>
            <w:pPr>
              <w:jc w:val="center"/>
              <w:rPr>
                <w:rFonts w:asciiTheme="minorHAnsi" w:hAnsiTheme="minorHAnsi" w:cstheme="minorHAnsi"/>
                <w:sz w:val="20"/>
                <w:szCs w:val="20"/>
              </w:rPr>
            </w:pPr>
            <w:r>
              <w:rPr>
                <w:rFonts w:asciiTheme="minorHAnsi" w:hAnsiTheme="minorHAnsi" w:cstheme="minorHAnsi"/>
                <w:sz w:val="20"/>
              </w:rPr>
              <w:t>60 dBA</w:t>
            </w:r>
          </w:p>
        </w:tc>
        <w:tc>
          <w:tcPr>
            <w:tcW w:w="1787" w:type="dxa"/>
            <w:vAlign w:val="center"/>
            <w:hideMark/>
          </w:tcPr>
          <w:p>
            <w:pPr>
              <w:jc w:val="center"/>
              <w:rPr>
                <w:rFonts w:asciiTheme="minorHAnsi" w:hAnsiTheme="minorHAnsi" w:cstheme="minorHAnsi"/>
                <w:sz w:val="20"/>
                <w:szCs w:val="20"/>
              </w:rPr>
            </w:pPr>
            <w:r>
              <w:rPr>
                <w:rFonts w:asciiTheme="minorHAnsi" w:hAnsiTheme="minorHAnsi" w:cstheme="minorHAnsi"/>
                <w:sz w:val="20"/>
              </w:rPr>
              <w:t>55 dBA</w:t>
            </w:r>
          </w:p>
        </w:tc>
        <w:tc>
          <w:tcPr>
            <w:tcW w:w="1417" w:type="dxa"/>
            <w:vAlign w:val="center"/>
            <w:hideMark/>
          </w:tcPr>
          <w:p>
            <w:pPr>
              <w:jc w:val="center"/>
              <w:rPr>
                <w:rFonts w:asciiTheme="minorHAnsi" w:hAnsiTheme="minorHAnsi" w:cstheme="minorHAnsi"/>
                <w:sz w:val="20"/>
                <w:szCs w:val="20"/>
              </w:rPr>
            </w:pPr>
            <w:r>
              <w:rPr>
                <w:rFonts w:asciiTheme="minorHAnsi" w:hAnsiTheme="minorHAnsi" w:cstheme="minorHAnsi"/>
                <w:sz w:val="20"/>
              </w:rPr>
              <w:t>50 dBA</w:t>
            </w:r>
          </w:p>
        </w:tc>
      </w:tr>
      <w:tr>
        <w:trPr>
          <w:trHeight w:hRule="atLeast" w:val="324"/>
        </w:trPr>
        <w:tc>
          <w:tcPr>
            <w:tcW w:w="1914" w:type="dxa"/>
            <w:hideMark/>
          </w:tcPr>
          <w:p>
            <w:pPr>
              <w:rPr>
                <w:rFonts w:asciiTheme="minorHAnsi" w:hAnsiTheme="minorHAnsi" w:cstheme="minorHAnsi"/>
                <w:b w:val="1"/>
                <w:bCs w:val="1"/>
                <w:sz w:val="20"/>
                <w:szCs w:val="20"/>
              </w:rPr>
            </w:pPr>
            <w:r>
              <w:rPr>
                <w:rFonts w:asciiTheme="minorHAnsi" w:hAnsiTheme="minorHAnsi" w:cstheme="minorHAnsi"/>
                <w:b w:val="1"/>
                <w:bCs w:val="1"/>
                <w:sz w:val="20"/>
                <w:szCs w:val="20"/>
              </w:rPr>
              <w:t>Zon C</w:t>
            </w:r>
          </w:p>
          <w:p>
            <w:pPr>
              <w:rPr>
                <w:rFonts w:asciiTheme="minorHAnsi" w:hAnsiTheme="minorHAnsi" w:cstheme="minorHAnsi"/>
                <w:sz w:val="20"/>
                <w:szCs w:val="20"/>
              </w:rPr>
            </w:pPr>
            <w:r>
              <w:rPr>
                <w:rFonts w:asciiTheme="minorHAnsi" w:hAnsiTheme="minorHAnsi" w:cstheme="minorHAnsi"/>
                <w:sz w:val="20"/>
                <w:szCs w:val="20"/>
              </w:rPr>
              <w:t>Bostadsbyggnader bör inte accepteras.</w:t>
            </w:r>
          </w:p>
        </w:tc>
        <w:tc>
          <w:tcPr>
            <w:tcW w:w="1662" w:type="dxa"/>
            <w:vAlign w:val="center"/>
            <w:hideMark/>
          </w:tcPr>
          <w:p>
            <w:pPr>
              <w:jc w:val="center"/>
              <w:rPr>
                <w:rFonts w:asciiTheme="minorHAnsi" w:hAnsiTheme="minorHAnsi" w:cstheme="minorHAnsi"/>
                <w:sz w:val="20"/>
                <w:szCs w:val="20"/>
              </w:rPr>
            </w:pPr>
            <w:r>
              <w:rPr>
                <w:rFonts w:asciiTheme="minorHAnsi" w:hAnsiTheme="minorHAnsi" w:cstheme="minorHAnsi"/>
                <w:sz w:val="20"/>
              </w:rPr>
              <w:t>&gt;60 dBA</w:t>
            </w:r>
          </w:p>
        </w:tc>
        <w:tc>
          <w:tcPr>
            <w:tcW w:w="1787" w:type="dxa"/>
            <w:vAlign w:val="center"/>
            <w:hideMark/>
          </w:tcPr>
          <w:p>
            <w:pPr>
              <w:jc w:val="center"/>
              <w:rPr>
                <w:rFonts w:asciiTheme="minorHAnsi" w:hAnsiTheme="minorHAnsi" w:cstheme="minorHAnsi"/>
                <w:sz w:val="20"/>
                <w:szCs w:val="20"/>
              </w:rPr>
            </w:pPr>
            <w:r>
              <w:rPr>
                <w:rFonts w:asciiTheme="minorHAnsi" w:hAnsiTheme="minorHAnsi" w:cstheme="minorHAnsi"/>
                <w:sz w:val="20"/>
              </w:rPr>
              <w:t>&gt;55 dBA</w:t>
            </w:r>
          </w:p>
        </w:tc>
        <w:tc>
          <w:tcPr>
            <w:tcW w:w="1417" w:type="dxa"/>
            <w:vAlign w:val="center"/>
            <w:hideMark/>
          </w:tcPr>
          <w:p>
            <w:pPr>
              <w:jc w:val="center"/>
              <w:rPr>
                <w:rFonts w:asciiTheme="minorHAnsi" w:hAnsiTheme="minorHAnsi" w:cstheme="minorHAnsi"/>
                <w:sz w:val="20"/>
                <w:szCs w:val="20"/>
              </w:rPr>
            </w:pPr>
            <w:r>
              <w:rPr>
                <w:rFonts w:asciiTheme="minorHAnsi" w:hAnsiTheme="minorHAnsi" w:cstheme="minorHAnsi"/>
                <w:sz w:val="20"/>
              </w:rPr>
              <w:t>&gt;50 dBA</w:t>
            </w:r>
          </w:p>
        </w:tc>
      </w:tr>
    </w:tbl>
    <w:p>
      <w:pPr>
        <w:pStyle w:val="P23"/>
      </w:pPr>
    </w:p>
    <w:p>
      <w:pPr>
        <w:pStyle w:val="P23"/>
      </w:pPr>
      <w:r>
        <w:t xml:space="preserve">Verksamhetens tillståndsbeslut förhåller sig till gränsvärdena för zon A under kväll och natt. Vid dagtid tillåts verksamheten bullra upp till 55 dBA ekvivalent ljudnivå vid bostäder, vilket detaljplanen då tar höjd för. Med tillståndsbeslutet som utgångspunkt bedöms planområdet uppfylla riktvärden för zon B, förutsatt att tillgång till ljuddämpad sida finns samt att bostäderna bulleranpassas. </w:t>
      </w:r>
    </w:p>
    <w:tbl>
      <w:tblPr>
        <w:tblW w:w="5788"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217" w:type="dxa"/>
            <w:vAlign w:val="bottom"/>
            <w:hideMark/>
          </w:tcPr>
          <w:p>
            <w:pPr>
              <w:jc w:val="right"/>
              <w:rPr>
                <w:rFonts w:asciiTheme="minorHAnsi" w:hAnsiTheme="minorHAnsi" w:cstheme="minorHAnsi"/>
                <w:sz w:val="20"/>
                <w:szCs w:val="20"/>
              </w:rPr>
            </w:pPr>
            <w:r>
              <w:rPr>
                <w:rFonts w:asciiTheme="minorHAnsi" w:hAnsiTheme="minorHAnsi" w:cstheme="minorHAnsi"/>
                <w:sz w:val="20"/>
              </w:rPr>
              <w:t> </w:t>
            </w:r>
          </w:p>
        </w:tc>
        <w:tc>
          <w:tcPr>
            <w:tcW w:w="2020" w:type="dxa"/>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dag</w:t>
              <w:br w:type="textWrapping"/>
              <w:t>(06-18)</w:t>
            </w:r>
          </w:p>
        </w:tc>
        <w:tc>
          <w:tcPr>
            <w:tcW w:w="1275" w:type="dxa"/>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kväll</w:t>
              <w:br w:type="textWrapping"/>
              <w:t>(18-22)</w:t>
            </w:r>
          </w:p>
        </w:tc>
        <w:tc>
          <w:tcPr>
            <w:tcW w:w="1276" w:type="dxa"/>
            <w:hideMark/>
          </w:tcPr>
          <w:p>
            <w:pPr>
              <w:jc w:val="center"/>
              <w:rPr>
                <w:rFonts w:asciiTheme="minorHAnsi" w:hAnsiTheme="minorHAnsi" w:cstheme="minorHAnsi"/>
                <w:b w:val="1"/>
                <w:bCs w:val="1"/>
                <w:sz w:val="20"/>
                <w:szCs w:val="20"/>
              </w:rPr>
            </w:pPr>
            <w:r>
              <w:rPr>
                <w:rFonts w:asciiTheme="minorHAnsi" w:hAnsiTheme="minorHAnsi" w:cstheme="minorHAnsi"/>
                <w:b w:val="1"/>
                <w:bCs w:val="1"/>
                <w:sz w:val="20"/>
                <w:szCs w:val="20"/>
              </w:rPr>
              <w:t>L</w:t>
            </w:r>
            <w:r>
              <w:rPr>
                <w:rFonts w:asciiTheme="minorHAnsi" w:hAnsiTheme="minorHAnsi" w:cstheme="minorHAnsi"/>
                <w:b w:val="1"/>
                <w:bCs w:val="1"/>
                <w:sz w:val="20"/>
                <w:szCs w:val="20"/>
                <w:vertAlign w:val="subscript"/>
              </w:rPr>
              <w:t xml:space="preserve">eq </w:t>
            </w:r>
            <w:r>
              <w:rPr>
                <w:rFonts w:asciiTheme="minorHAnsi" w:hAnsiTheme="minorHAnsi" w:cstheme="minorHAnsi"/>
                <w:b w:val="1"/>
                <w:bCs w:val="1"/>
                <w:sz w:val="20"/>
                <w:szCs w:val="20"/>
              </w:rPr>
              <w:t>natt</w:t>
            </w:r>
          </w:p>
          <w:p>
            <w:pPr>
              <w:jc w:val="center"/>
              <w:rPr>
                <w:rFonts w:asciiTheme="minorHAnsi" w:hAnsiTheme="minorHAnsi" w:cstheme="minorHAnsi"/>
                <w:b w:val="1"/>
                <w:bCs w:val="1"/>
                <w:sz w:val="20"/>
              </w:rPr>
            </w:pPr>
            <w:r>
              <w:rPr>
                <w:rFonts w:asciiTheme="minorHAnsi" w:hAnsiTheme="minorHAnsi" w:cstheme="minorHAnsi"/>
                <w:b w:val="1"/>
                <w:bCs w:val="1"/>
                <w:sz w:val="20"/>
                <w:szCs w:val="20"/>
              </w:rPr>
              <w:t>(22-06)</w:t>
            </w:r>
          </w:p>
        </w:tc>
      </w:tr>
      <w:tr>
        <w:trPr>
          <w:trHeight w:hRule="atLeast" w:val="174"/>
        </w:trPr>
        <w:tc>
          <w:tcPr>
            <w:tcW w:w="1217" w:type="dxa"/>
            <w:vAlign w:val="center"/>
            <w:hideMark/>
          </w:tcPr>
          <w:p>
            <w:pPr>
              <w:rPr>
                <w:rFonts w:asciiTheme="minorHAnsi" w:hAnsiTheme="minorHAnsi" w:cstheme="minorHAnsi"/>
                <w:b w:val="1"/>
                <w:bCs w:val="1"/>
                <w:sz w:val="20"/>
                <w:szCs w:val="20"/>
              </w:rPr>
            </w:pPr>
            <w:r>
              <w:rPr>
                <w:rFonts w:asciiTheme="minorHAnsi" w:hAnsiTheme="minorHAnsi" w:cstheme="minorHAnsi"/>
                <w:b w:val="1"/>
                <w:bCs w:val="1"/>
                <w:sz w:val="20"/>
              </w:rPr>
              <w:t>Ljuddämpad sida</w:t>
            </w:r>
          </w:p>
        </w:tc>
        <w:tc>
          <w:tcPr>
            <w:tcW w:w="2020" w:type="dxa"/>
            <w:vAlign w:val="center"/>
            <w:hideMark/>
          </w:tcPr>
          <w:p>
            <w:pPr>
              <w:jc w:val="center"/>
              <w:rPr>
                <w:rFonts w:asciiTheme="minorHAnsi" w:hAnsiTheme="minorHAnsi" w:cstheme="minorHAnsi"/>
                <w:sz w:val="20"/>
                <w:szCs w:val="20"/>
              </w:rPr>
            </w:pPr>
            <w:r>
              <w:rPr>
                <w:rFonts w:asciiTheme="minorHAnsi" w:hAnsiTheme="minorHAnsi" w:cstheme="minorHAnsi"/>
                <w:sz w:val="20"/>
              </w:rPr>
              <w:t>45 dBA</w:t>
            </w:r>
          </w:p>
        </w:tc>
        <w:tc>
          <w:tcPr>
            <w:tcW w:w="1275" w:type="dxa"/>
            <w:vAlign w:val="center"/>
            <w:hideMark/>
          </w:tcPr>
          <w:p>
            <w:pPr>
              <w:jc w:val="center"/>
              <w:rPr>
                <w:rFonts w:asciiTheme="minorHAnsi" w:hAnsiTheme="minorHAnsi" w:cstheme="minorHAnsi"/>
                <w:sz w:val="20"/>
              </w:rPr>
            </w:pPr>
            <w:r>
              <w:rPr>
                <w:rFonts w:asciiTheme="minorHAnsi" w:hAnsiTheme="minorHAnsi" w:cstheme="minorHAnsi"/>
                <w:sz w:val="20"/>
              </w:rPr>
              <w:t>45 dBA</w:t>
            </w:r>
          </w:p>
        </w:tc>
        <w:tc>
          <w:tcPr>
            <w:tcW w:w="1276" w:type="dxa"/>
            <w:vAlign w:val="center"/>
            <w:hideMark/>
          </w:tcPr>
          <w:p>
            <w:pPr>
              <w:jc w:val="center"/>
              <w:rPr>
                <w:rFonts w:asciiTheme="minorHAnsi" w:hAnsiTheme="minorHAnsi" w:cstheme="minorHAnsi"/>
                <w:sz w:val="20"/>
              </w:rPr>
            </w:pPr>
            <w:r>
              <w:rPr>
                <w:rFonts w:asciiTheme="minorHAnsi" w:hAnsiTheme="minorHAnsi" w:cstheme="minorHAnsi"/>
                <w:sz w:val="20"/>
              </w:rPr>
              <w:t>40 dBA</w:t>
            </w:r>
          </w:p>
        </w:tc>
      </w:tr>
    </w:tbl>
    <w:p>
      <w:pPr>
        <w:pStyle w:val="P23"/>
      </w:pPr>
    </w:p>
    <w:p>
      <w:pPr>
        <w:pStyle w:val="P23"/>
      </w:pPr>
      <w:r>
        <w:t xml:space="preserve">Som följd begränsas kvartersmark för bostäder med krav om ljuddämpad sida, se mer under planförslag. Möjligheterna för en ljuddämpad sida bedöms som mycket goda då nuvarande bebyggelse är uppdelad i flera sektioner, med långa sidor mot väg och verksamhet som avskärmar mot ljudkällorna. </w:t>
      </w:r>
    </w:p>
    <w:p>
      <w:pPr>
        <w:pStyle w:val="P23"/>
      </w:pPr>
      <w:r>
        <w:t xml:space="preserve">Senaste mätningen som gjordes för huruvida verksamheten uppnår sina gränsvärden kvälls- (18.00 – 22.00) och nattetid (22.00 – 06.00) gjordes i september 2022. Mätningen genomfördes eftersom sågverket utökat driften vid en av hyvlarna från dagtid till tvåskiftsdrift. Sågverket ombads då utföra kontrollmätningar vid bostäder för att visa att verksamheten uppfyller miljötillståndets bullergränsvärden. Mätningarna utfördes vid Torpsbruksvägen 39 då ljudnivåerna bedömdes vara som högst där, eftersom huset ligger närmast den berörda hyveln samt det tillhörande spånmagasinet. Mätresultaten visar ekvivalent ljudtrycksnivå på 43 dBA, vilket innebär att verksamheten vid Hyveln uppfyller miljötillståndets gränsvärden för ekvivalenta ljudnivåer under dag, kväll och natt. Mätningen visade också att verksamheten ligger under nattgränsvärdet för höga momentana ljud. Byggrättens närmaste del inom föreslagen detaljplan är cirka 50 meter längre ifrån hyveln än Torpsbruksvägen 39 och på samma avstånd från spånmagasinet, varför kommunen finner det skäligt att verksamheten även här uppfyller sitt miljötillstånd. </w:t>
      </w:r>
    </w:p>
    <w:p>
      <w:pPr>
        <w:pStyle w:val="P4"/>
      </w:pPr>
      <w:r>
        <w:t>Översvämningsrisk</w:t>
      </w:r>
    </w:p>
    <w:p>
      <w:pPr>
        <w:pStyle w:val="P23"/>
      </w:pPr>
      <w:r>
        <w:t xml:space="preserve">DHIs skyfallskartering för Alvesta kommun från 2014 visar de beräknade maximala vattendjupen i samband med ett framtida 100-årsregn (skyfall som har en återkomsttid på 100 år). Karteringen visar att det inom planområdet finns lågpunkter där vatten kan samlas. Emellertid har kommunen bedrivit verksamhet på platsen i närmare 60 år och någon kännedom om instängda lågpunkter finns inte. Vid platsbesök har inte några lågpunkter identifieras. </w:t>
      </w:r>
    </w:p>
    <w:p>
      <w:pPr>
        <w:pStyle w:val="P23"/>
      </w:pPr>
      <w:r>
        <w:t xml:space="preserve">Enligt höjdmodeller sluttar hela området mot Torpsbruksvägen och det bedöms inte föreligga någon risk för översvämning inom fastigheten. </w:t>
      </w:r>
    </w:p>
    <w:p>
      <w:pPr>
        <w:pStyle w:val="P1"/>
        <w:numPr>
          <w:ilvl w:val="0"/>
          <w:numId w:val="0"/>
        </w:numPr>
        <w:ind w:hanging="360" w:left="1494"/>
      </w:pPr>
      <w:bookmarkStart w:id="100" w:name="_Toc280260461"/>
      <w:bookmarkStart w:id="101" w:name="_Toc86648186"/>
      <w:bookmarkStart w:id="102" w:name="_Toc280261214"/>
      <w:bookmarkStart w:id="103" w:name="_Toc280261579"/>
      <w:bookmarkStart w:id="104" w:name="_Toc280260769"/>
      <w:r>
        <w:br w:type="page"/>
      </w:r>
    </w:p>
    <w:p>
      <w:pPr>
        <w:pStyle w:val="P1"/>
      </w:pPr>
      <w:r>
        <w:t>PLANFÖRSLAG</w:t>
      </w:r>
      <w:bookmarkEnd w:id="100"/>
      <w:bookmarkEnd w:id="101"/>
      <w:bookmarkEnd w:id="102"/>
      <w:bookmarkEnd w:id="103"/>
      <w:bookmarkEnd w:id="104"/>
      <w:bookmarkStart w:id="105" w:name="_Toc280261580"/>
    </w:p>
    <w:p>
      <w:pPr>
        <w:pStyle w:val="P2"/>
      </w:pPr>
      <w:bookmarkEnd w:id="105"/>
      <w:bookmarkStart w:id="106" w:name="be_kvartersmark01"/>
      <w:r>
        <w:t>Kvartersmark</w:t>
      </w:r>
    </w:p>
    <w:p>
      <w:pPr>
        <w:pStyle w:val="P3"/>
      </w:pPr>
      <w:bookmarkStart w:id="107" w:name="_Toc280260018"/>
      <w:bookmarkStart w:id="108" w:name="_Toc280260464"/>
      <w:r>
        <w:t>Centrum och bostäder</w:t>
      </w:r>
    </w:p>
    <w:p>
      <w:pPr>
        <w:pStyle w:val="P23"/>
      </w:pPr>
      <w:bookmarkEnd w:id="107"/>
      <w:bookmarkEnd w:id="108"/>
      <w:r>
        <w:t xml:space="preserve">Hela detaljplaneområdet omfattas av bestämmelsen </w:t>
      </w:r>
      <w:r>
        <w:rPr>
          <w:b w:val="1"/>
          <w:bCs w:val="1"/>
        </w:rPr>
        <w:t>C</w:t>
      </w:r>
      <w:r>
        <w:t xml:space="preserve"> – centrum. Regleringen skapar förutsättningar för en mer flexibel och ändamålsenlig användning av befintlig och framtida bebyggelse. Inom användningen centrum ryms olika typer av verksamheter som handel, samlingslokaler, tillfällig vistelse med mera. Bestämmelsen bedöms bäst motsvara intentionen om flexibel markanvändning inom planområdet.</w:t>
      </w:r>
    </w:p>
    <w:p>
      <w:pPr>
        <w:pStyle w:val="P23"/>
      </w:pPr>
      <w:r>
        <w:t xml:space="preserve">Planområdet omfattas även av bestämmelsen </w:t>
      </w:r>
      <w:r>
        <w:rPr>
          <w:b w:val="1"/>
          <w:bCs w:val="1"/>
        </w:rPr>
        <w:t>B</w:t>
      </w:r>
      <w:r>
        <w:t xml:space="preserve"> – bostäder. Regleringen skapar förutsättningar för att marken kan användas för permanenta bostäder. Bestämmelsen breddar detaljplanens användbarhet samtidigt som etablering av bostäder inte bedöms utgöra en konflikt med centrumverksamheter eller närmiljön. Bostäder motiveras med att de kompletterar de andra funktionerna i området och bidrar med liv och rörelse under hela dygnet. Användningen gäller för hela planområdet och motiveras av planens syfte att möjliggöra för flexibilitet och att kunna möta olika behov i området. De kombinerade användningsbestämmelserna möjliggör för en robust plan, som kan hantera flera behov i framtiden. </w:t>
      </w:r>
    </w:p>
    <w:p>
      <w:pPr>
        <w:pStyle w:val="P4"/>
      </w:pPr>
      <w:bookmarkEnd w:id="106"/>
      <w:r>
        <w:t>Egenskapsbestämmelser:</w:t>
      </w:r>
    </w:p>
    <w:p>
      <w:pPr>
        <w:pStyle w:val="P23"/>
      </w:pPr>
      <w:bookmarkStart w:id="109" w:name="mo_motivtillreglering01"/>
      <w:r>
        <w:t>Som högsta nockhöjd i planområdet föreslås 8 meter (</w:t>
      </w:r>
      <w:r>
        <w:rPr>
          <w:b w:val="1"/>
          <w:bCs w:val="1"/>
        </w:rPr>
        <w:t>h</w:t>
      </w:r>
      <w:r>
        <w:rPr>
          <w:b w:val="1"/>
          <w:bCs w:val="1"/>
          <w:vertAlign w:val="subscript"/>
        </w:rPr>
        <w:t>1</w:t>
      </w:r>
      <w:r>
        <w:t xml:space="preserve">). Befintlig byggnad i en våning ryms inom begränsningen, samtidigt som två våningar möjliggörs vid om- eller nybyggnation. </w:t>
      </w:r>
    </w:p>
    <w:p>
      <w:pPr>
        <w:pStyle w:val="P23"/>
      </w:pPr>
      <w:r>
        <w:rPr>
          <w:bCs w:val="1"/>
        </w:rPr>
        <w:t>Exploateringsgraden</w:t>
      </w:r>
      <w:r>
        <w:t xml:space="preserve"> föreslås till 25 % av fastighetsarean inom användningsområdet (</w:t>
      </w:r>
      <w:r>
        <w:rPr>
          <w:b w:val="1"/>
          <w:bCs w:val="1"/>
        </w:rPr>
        <w:t>e</w:t>
      </w:r>
      <w:r>
        <w:rPr>
          <w:b w:val="1"/>
          <w:bCs w:val="1"/>
          <w:vertAlign w:val="subscript"/>
        </w:rPr>
        <w:t>1</w:t>
      </w:r>
      <w:r>
        <w:t xml:space="preserve">). Bestämmelsen bekräftar befintlig bebyggelse samtidigt som det ger mindre kompletteringsmöjligheter. </w:t>
      </w:r>
    </w:p>
    <w:p>
      <w:pPr>
        <w:pStyle w:val="P23"/>
      </w:pPr>
      <w:r>
        <w:t>Användningarna begränsas även av utformningsbestämmelse om att minst hälften av bostadsrummen i varje lägenhet ska orienteras mot en ljuddämpad sida (</w:t>
      </w:r>
      <w:r>
        <w:rPr>
          <w:b w:val="1"/>
          <w:bCs w:val="1"/>
        </w:rPr>
        <w:t>f</w:t>
      </w:r>
      <w:r>
        <w:rPr>
          <w:b w:val="1"/>
          <w:bCs w:val="1"/>
          <w:vertAlign w:val="subscript"/>
        </w:rPr>
        <w:t>1</w:t>
      </w:r>
      <w:r>
        <w:t xml:space="preserve">). Begränsningen styr i realiteten endast bostäder då den är formulerad i förhållande till lägenheter. Bestämmelsen syftar till att anpassa bostäder till bullernivåerna från verksamhet öster om planområdet. </w:t>
      </w:r>
    </w:p>
    <w:p>
      <w:pPr>
        <w:pStyle w:val="P23"/>
      </w:pPr>
      <w:r>
        <w:rPr>
          <w:b w:val="1"/>
          <w:bCs w:val="1"/>
        </w:rPr>
        <w:t>Prickmark</w:t>
      </w:r>
      <w:r>
        <w:t xml:space="preserve"> reglerar att mark inte får förses med byggnad. Bestämmelsen syftar till att säkerställa en rimlig placering samt att följa byggnadslinje från detaljplan M17 norr om planområdet.  </w:t>
      </w:r>
    </w:p>
    <w:p>
      <w:pPr>
        <w:pStyle w:val="P23"/>
      </w:pPr>
      <w:r>
        <w:t>U-område säkerställer markreservat för allmännyttiga underjordiska ledningar inom området (</w:t>
      </w:r>
      <w:r>
        <w:rPr>
          <w:b w:val="1"/>
          <w:bCs w:val="1"/>
        </w:rPr>
        <w:t>u</w:t>
      </w:r>
      <w:r>
        <w:rPr>
          <w:b w:val="1"/>
          <w:bCs w:val="1"/>
          <w:vertAlign w:val="subscript"/>
        </w:rPr>
        <w:t>1</w:t>
      </w:r>
      <w:r>
        <w:t xml:space="preserve">). Bestämmelsen säkerställer att befintliga ledningsrätter fortsättningsvis kan skyddas och att nya ledningsrätter kan bildas där behov finns. Bestämmelsen gör också att befintlig byggnad blir planstridig, vilket innebär ett hinder vid utbyggnad och tillbyggnad. För att detta inte ska hindra en användningsändring är plankartan även belagd med bestämmelse om minskad lovplikt, se nedan. </w:t>
      </w:r>
    </w:p>
    <w:p>
      <w:pPr>
        <w:pStyle w:val="P23"/>
        <w:rPr>
          <w:color w:val="000000" w:themeColor="text1"/>
        </w:rPr>
      </w:pPr>
      <w:r>
        <w:rPr>
          <w:b w:val="1"/>
          <w:bCs w:val="1"/>
          <w:color w:val="000000" w:themeColor="text1"/>
        </w:rPr>
        <w:t xml:space="preserve">Bestämmelse om minskad lovplikt - </w:t>
      </w:r>
      <w:r>
        <w:rPr>
          <w:color w:val="000000" w:themeColor="text1"/>
        </w:rPr>
        <w:t xml:space="preserve">bestämmelsen motiveras av att befintlig byggnad redan i dagsläget går över en allmännyttig ledning. Att ändra användningen kommer inte förändra åtkomsten eller påverka ledningens dragning i övrigt. </w:t>
      </w:r>
    </w:p>
    <w:p>
      <w:pPr>
        <w:pStyle w:val="P23"/>
        <w:rPr>
          <w:color w:val="000000" w:themeColor="text1"/>
        </w:rPr>
      </w:pPr>
      <w:r>
        <w:rPr>
          <w:color w:val="000000" w:themeColor="text1"/>
        </w:rPr>
        <w:t xml:space="preserve">Skulle byggnaden rivas och ersättas med ny bebyggelse gäller inte den minskade lovplikten, då bestämmelsen är knuten till befintlig huvudbyggnad. </w:t>
      </w:r>
    </w:p>
    <w:p>
      <w:pPr>
        <w:pStyle w:val="P2"/>
      </w:pPr>
      <w:bookmarkEnd w:id="109"/>
      <w:bookmarkStart w:id="110" w:name="_Toc275242360"/>
      <w:bookmarkStart w:id="111" w:name="_Toc280261582"/>
      <w:bookmarkStart w:id="112" w:name="_Toc280260772"/>
      <w:bookmarkStart w:id="113" w:name="_Toc280261217"/>
      <w:bookmarkStart w:id="114" w:name="_Toc280260472"/>
      <w:r>
        <w:t>Gator och trafik</w:t>
      </w:r>
      <w:bookmarkEnd w:id="110"/>
      <w:bookmarkEnd w:id="111"/>
      <w:bookmarkEnd w:id="112"/>
      <w:bookmarkEnd w:id="113"/>
      <w:bookmarkEnd w:id="114"/>
    </w:p>
    <w:p>
      <w:pPr>
        <w:pStyle w:val="P3"/>
      </w:pPr>
      <w:bookmarkStart w:id="115" w:name="_Toc280260028"/>
      <w:bookmarkStart w:id="116" w:name="_Toc280260474"/>
      <w:r>
        <w:t>Parkering</w:t>
      </w:r>
      <w:bookmarkEnd w:id="115"/>
      <w:bookmarkEnd w:id="116"/>
    </w:p>
    <w:p>
      <w:pPr>
        <w:pStyle w:val="P23"/>
      </w:pPr>
      <w:bookmarkStart w:id="117" w:name="_Toc280260029"/>
      <w:bookmarkStart w:id="118" w:name="_Toc280260475"/>
      <w:r>
        <w:t xml:space="preserve">Planområdet har idag omkring 30 parkeringsplatser. Det finns möjligheter att tillskapa fler utefter behov. All parkering liksom lastning och lossning tillgodoses inom den egna fastigheten. </w:t>
      </w:r>
    </w:p>
    <w:p>
      <w:pPr>
        <w:pStyle w:val="P3"/>
      </w:pPr>
      <w:bookmarkEnd w:id="117"/>
      <w:bookmarkEnd w:id="118"/>
      <w:r>
        <w:t>Utfarter</w:t>
      </w:r>
    </w:p>
    <w:p>
      <w:pPr>
        <w:pStyle w:val="P23"/>
      </w:pPr>
      <w:r>
        <w:t xml:space="preserve">Angöring sker från Torpsbruksvägen. </w:t>
      </w:r>
    </w:p>
    <w:p>
      <w:pPr>
        <w:pStyle w:val="P2"/>
      </w:pPr>
      <w:bookmarkStart w:id="119" w:name="_Toc280260478"/>
      <w:bookmarkStart w:id="120" w:name="_Toc280261218"/>
      <w:bookmarkStart w:id="121" w:name="_Toc280261583"/>
      <w:bookmarkStart w:id="122" w:name="_Toc280260773"/>
      <w:r>
        <w:t>TEKNISK FÖRSÖRJNING</w:t>
      </w:r>
      <w:bookmarkEnd w:id="119"/>
      <w:bookmarkEnd w:id="120"/>
      <w:bookmarkEnd w:id="121"/>
      <w:bookmarkEnd w:id="122"/>
    </w:p>
    <w:p>
      <w:pPr>
        <w:pStyle w:val="P3"/>
      </w:pPr>
      <w:bookmarkStart w:id="123" w:name="_Toc280260033"/>
      <w:bookmarkStart w:id="124" w:name="_Toc280260479"/>
      <w:r>
        <w:t>Dagvattenhantering</w:t>
      </w:r>
      <w:bookmarkEnd w:id="123"/>
      <w:bookmarkEnd w:id="124"/>
    </w:p>
    <w:p>
      <w:pPr>
        <w:pStyle w:val="P23"/>
      </w:pPr>
      <w:r>
        <w:t xml:space="preserve">Området är anslutet till det kommunala ledningsnätet för dagvatten. Inom området finns ett antal sammanhängande genomsläppliga ytor belagda med prickmark där möjligheter ges att fördröja dagvatten lokalt. </w:t>
      </w:r>
    </w:p>
    <w:p>
      <w:pPr>
        <w:pStyle w:val="P3"/>
      </w:pPr>
      <w:bookmarkStart w:id="125" w:name="_Toc280260034"/>
      <w:bookmarkStart w:id="126" w:name="_Toc280260480"/>
      <w:r>
        <w:t>Vatten och avlopp</w:t>
      </w:r>
      <w:bookmarkEnd w:id="125"/>
      <w:bookmarkEnd w:id="126"/>
    </w:p>
    <w:p>
      <w:pPr>
        <w:pStyle w:val="P23"/>
      </w:pPr>
      <w:r>
        <w:t xml:space="preserve">Planområdet är kopplat till det kommunala nätet för vatten och avlopp. </w:t>
      </w:r>
    </w:p>
    <w:p>
      <w:pPr>
        <w:pStyle w:val="P3"/>
      </w:pPr>
      <w:bookmarkStart w:id="127" w:name="_Toc280260035"/>
      <w:bookmarkStart w:id="128" w:name="_Toc280260481"/>
      <w:r>
        <w:t>Elnät</w:t>
      </w:r>
      <w:bookmarkEnd w:id="127"/>
      <w:bookmarkEnd w:id="128"/>
    </w:p>
    <w:p>
      <w:pPr>
        <w:pStyle w:val="P23"/>
      </w:pPr>
      <w:bookmarkStart w:id="129" w:name="_Toc280260036"/>
      <w:bookmarkStart w:id="130" w:name="_Toc280260482"/>
      <w:r>
        <w:t xml:space="preserve">Befintlig byggnad är ansluten till elnätet, som Alvesta Elnät AB ansvarar för. </w:t>
      </w:r>
    </w:p>
    <w:p>
      <w:pPr>
        <w:pStyle w:val="P3"/>
      </w:pPr>
      <w:r>
        <w:t>Avfall</w:t>
      </w:r>
      <w:bookmarkEnd w:id="129"/>
      <w:bookmarkEnd w:id="130"/>
    </w:p>
    <w:p>
      <w:pPr>
        <w:pStyle w:val="P23"/>
      </w:pPr>
      <w:bookmarkStart w:id="131" w:name="_Toc280260037"/>
      <w:bookmarkStart w:id="132" w:name="_Toc280260483"/>
      <w:r>
        <w:t>Återvinning och avfallshantering ansluts till befintligt system som Alvesta Renhållnings AB (ARAB) ansvarar för</w:t>
      </w:r>
      <w:bookmarkEnd w:id="131"/>
      <w:bookmarkEnd w:id="132"/>
      <w:bookmarkStart w:id="133" w:name="_Toc280260484"/>
      <w:bookmarkStart w:id="134" w:name="_Toc280261584"/>
      <w:bookmarkStart w:id="135" w:name="_Toc54351727"/>
      <w:bookmarkStart w:id="136" w:name="_Toc280261219"/>
      <w:bookmarkStart w:id="137" w:name="_Toc280260774"/>
      <w:r>
        <w:t xml:space="preserve">. </w:t>
      </w:r>
    </w:p>
    <w:p>
      <w:pPr>
        <w:pStyle w:val="P3"/>
      </w:pPr>
      <w:r>
        <w:t>Uppvärmning</w:t>
      </w:r>
    </w:p>
    <w:p>
      <w:pPr>
        <w:pStyle w:val="P23"/>
      </w:pPr>
      <w:r>
        <w:t xml:space="preserve">Befintlig byggnad är ansluten till fjärrvärmenätet. </w:t>
        <w:br w:type="page"/>
      </w:r>
    </w:p>
    <w:p>
      <w:pPr>
        <w:pStyle w:val="P1"/>
        <w:numPr>
          <w:ilvl w:val="0"/>
          <w:numId w:val="25"/>
        </w:numPr>
      </w:pPr>
      <w:bookmarkStart w:id="138" w:name="_Toc86648187"/>
      <w:r>
        <w:t>KONSEKVENSER AV PLANFÖRSLAGET</w:t>
      </w:r>
      <w:bookmarkEnd w:id="133"/>
      <w:bookmarkEnd w:id="134"/>
      <w:bookmarkEnd w:id="135"/>
      <w:bookmarkEnd w:id="136"/>
      <w:bookmarkEnd w:id="137"/>
      <w:bookmarkEnd w:id="138"/>
    </w:p>
    <w:p>
      <w:pPr>
        <w:pStyle w:val="P3"/>
      </w:pPr>
      <w:bookmarkStart w:id="139" w:name="_Toc280260039"/>
      <w:bookmarkStart w:id="140" w:name="_Toc280260485"/>
      <w:bookmarkStart w:id="141" w:name="ko_miljökvalitetsnormer01"/>
      <w:r>
        <w:t>Miljökvalitetsnormer</w:t>
      </w:r>
      <w:bookmarkEnd w:id="139"/>
      <w:bookmarkEnd w:id="140"/>
      <w:r>
        <w:t xml:space="preserve"> (MKN)</w:t>
      </w:r>
    </w:p>
    <w:p>
      <w:pPr>
        <w:pStyle w:val="P23"/>
      </w:pPr>
      <w:r>
        <w:t xml:space="preserve">5 kap. miljöbalken behandlar miljökvalitetsnormer (MKN). MKN är ett begrepp som sätter en bindande gräns för ett miljötillstånd som ska följas vid eller efter en viss tidpunkt. En miljökvalitetsnorm fastställs utifrån kunskap om vad som utgör en föroreningsnivå eller störningsnivå som människor, miljö och natur kan utsättas för utan större påverkan. Målsättningen för MKN är att en god miljö ska upprätthållas eller förbättras. Det finns MKN för vattenkvalitet, utomhusluft och omgivningsbuller. Miljökvalitetsnormer för omgivningsbuller gäller för kommuner med mer än 100 000 invånare, vilket Alvesta kommun inte uppnår. Dock ska strävan oavsett vara att begränsa buller, vilket styrs av bland annat hänsynsreglerna i miljöbalken. </w:t>
      </w:r>
    </w:p>
    <w:p>
      <w:pPr>
        <w:pStyle w:val="P4"/>
      </w:pPr>
      <w:bookmarkStart w:id="142" w:name="_Toc280260040"/>
      <w:bookmarkStart w:id="143" w:name="_Toc280260486"/>
      <w:r>
        <w:t>MKN för luft</w:t>
      </w:r>
    </w:p>
    <w:p>
      <w:pPr>
        <w:pStyle w:val="P23"/>
      </w:pPr>
      <w:r>
        <w:t xml:space="preserve">Växjövägen i Alvesta är mer trafikerad än Torpsbruksvägen, varför Växjövägen utgör utgångspunkt i förhållande till miljökvalitetsnormer för luft. Luftföroreningar har i spridningsmodeller (Luftvårdsförbundet Kronoberg 2016) på Växjövägen bedömts enligt tabell nedan och således inte överskridit gällande miljökvalitetsnormer för luftföroreningar. Uppmätta värden är även under de fastställda riktvärdena (preciseringarna) i miljömålet </w:t>
      </w:r>
      <w:r>
        <w:rPr>
          <w:i w:val="1"/>
        </w:rPr>
        <w:t>Frisk luft</w:t>
      </w:r>
      <w:r>
        <w:t>.</w:t>
      </w:r>
    </w:p>
    <w:tbl>
      <w:tblPr>
        <w:tblW w:w="7267"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217" w:type="dxa"/>
            <w:vAlign w:val="bottom"/>
            <w:hideMark/>
          </w:tcPr>
          <w:p>
            <w:pPr>
              <w:jc w:val="right"/>
              <w:rPr>
                <w:rFonts w:asciiTheme="minorHAnsi" w:hAnsiTheme="minorHAnsi" w:cstheme="minorHAnsi"/>
                <w:sz w:val="20"/>
                <w:szCs w:val="20"/>
              </w:rPr>
            </w:pPr>
            <w:r>
              <w:rPr>
                <w:rFonts w:asciiTheme="minorHAnsi" w:hAnsiTheme="minorHAnsi" w:cstheme="minorHAnsi"/>
                <w:sz w:val="20"/>
              </w:rPr>
              <w:t> </w:t>
            </w:r>
          </w:p>
        </w:tc>
        <w:tc>
          <w:tcPr>
            <w:tcW w:w="2020" w:type="dxa"/>
            <w:vAlign w:val="bottom"/>
            <w:hideMark/>
          </w:tcPr>
          <w:p>
            <w:pPr>
              <w:jc w:val="right"/>
              <w:rPr>
                <w:rFonts w:asciiTheme="minorHAnsi" w:hAnsiTheme="minorHAnsi" w:cstheme="minorHAnsi"/>
                <w:sz w:val="20"/>
              </w:rPr>
            </w:pPr>
            <w:r>
              <w:rPr>
                <w:rFonts w:asciiTheme="minorHAnsi" w:hAnsiTheme="minorHAnsi" w:cstheme="minorHAnsi"/>
                <w:sz w:val="20"/>
              </w:rPr>
              <w:t>Växjövägen (årsmedel)</w:t>
            </w:r>
          </w:p>
        </w:tc>
        <w:tc>
          <w:tcPr>
            <w:tcW w:w="1275" w:type="dxa"/>
            <w:vAlign w:val="bottom"/>
            <w:hideMark/>
          </w:tcPr>
          <w:p>
            <w:pPr>
              <w:jc w:val="right"/>
              <w:rPr>
                <w:rFonts w:asciiTheme="minorHAnsi" w:hAnsiTheme="minorHAnsi" w:cstheme="minorHAnsi"/>
                <w:sz w:val="20"/>
              </w:rPr>
            </w:pPr>
            <w:r>
              <w:rPr>
                <w:rFonts w:asciiTheme="minorHAnsi" w:hAnsiTheme="minorHAnsi" w:cstheme="minorHAnsi"/>
                <w:sz w:val="20"/>
              </w:rPr>
              <w:t>MKN</w:t>
            </w:r>
          </w:p>
        </w:tc>
        <w:tc>
          <w:tcPr>
            <w:tcW w:w="1276" w:type="dxa"/>
            <w:vAlign w:val="bottom"/>
            <w:hideMark/>
          </w:tcPr>
          <w:p>
            <w:pPr>
              <w:jc w:val="right"/>
              <w:rPr>
                <w:rFonts w:asciiTheme="minorHAnsi" w:hAnsiTheme="minorHAnsi" w:cstheme="minorHAnsi"/>
                <w:sz w:val="20"/>
              </w:rPr>
            </w:pPr>
            <w:r>
              <w:rPr>
                <w:rFonts w:asciiTheme="minorHAnsi" w:hAnsiTheme="minorHAnsi" w:cstheme="minorHAnsi"/>
                <w:sz w:val="20"/>
              </w:rPr>
              <w:t>Miljömål</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WHO</w:t>
            </w:r>
          </w:p>
        </w:tc>
      </w:tr>
      <w:tr>
        <w:trPr>
          <w:trHeight w:hRule="atLeast" w:val="17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NO</w:t>
            </w:r>
            <w:r>
              <w:rPr>
                <w:rFonts w:asciiTheme="minorHAnsi" w:hAnsiTheme="minorHAnsi" w:cstheme="minorHAnsi"/>
                <w:sz w:val="20"/>
                <w:szCs w:val="20"/>
                <w:vertAlign w:val="subscript"/>
              </w:rPr>
              <w:t>2</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6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rPr>
            </w:pPr>
            <w:r>
              <w:rPr>
                <w:rFonts w:asciiTheme="minorHAnsi" w:hAnsiTheme="minorHAnsi" w:cstheme="minorHAnsi"/>
                <w:sz w:val="20"/>
              </w:rPr>
              <w:t>40 µg/m</w:t>
            </w:r>
            <w:r>
              <w:rPr>
                <w:rFonts w:asciiTheme="minorHAnsi" w:hAnsiTheme="minorHAnsi" w:cstheme="minorHAnsi"/>
                <w:sz w:val="20"/>
                <w:vertAlign w:val="superscript"/>
              </w:rPr>
              <w:t>3</w:t>
            </w:r>
          </w:p>
        </w:tc>
        <w:tc>
          <w:tcPr>
            <w:tcW w:w="1276" w:type="dxa"/>
            <w:vAlign w:val="center"/>
            <w:hideMark/>
          </w:tcPr>
          <w:p>
            <w:pPr>
              <w:jc w:val="right"/>
              <w:rPr>
                <w:rFonts w:asciiTheme="minorHAnsi" w:hAnsiTheme="minorHAnsi" w:cstheme="minorHAnsi"/>
                <w:sz w:val="20"/>
              </w:rPr>
            </w:pPr>
            <w:r>
              <w:rPr>
                <w:rFonts w:asciiTheme="minorHAnsi" w:hAnsiTheme="minorHAnsi" w:cstheme="minorHAnsi"/>
                <w:sz w:val="20"/>
              </w:rPr>
              <w:t>20 µg/m</w:t>
            </w:r>
            <w:r>
              <w:rPr>
                <w:rFonts w:asciiTheme="minorHAnsi" w:hAnsiTheme="minorHAnsi" w:cstheme="minorHAnsi"/>
                <w:sz w:val="20"/>
                <w:vertAlign w:val="superscript"/>
              </w:rPr>
              <w:t>3</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10 µg/m</w:t>
            </w:r>
            <w:r>
              <w:rPr>
                <w:rFonts w:asciiTheme="minorHAnsi" w:hAnsiTheme="minorHAnsi" w:cstheme="minorHAnsi"/>
                <w:sz w:val="20"/>
                <w:vertAlign w:val="superscript"/>
              </w:rPr>
              <w:t>3</w:t>
            </w:r>
          </w:p>
        </w:tc>
      </w:tr>
      <w:tr>
        <w:trPr>
          <w:trHeight w:hRule="atLeast" w:val="205"/>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PM 10</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13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40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c>
          <w:tcPr>
            <w:tcW w:w="1479" w:type="dxa"/>
            <w:noWrap/>
            <w:vAlign w:val="bottom"/>
            <w:hideMark/>
          </w:tcPr>
          <w:p>
            <w:pPr>
              <w:jc w:val="right"/>
              <w:rPr>
                <w:rFonts w:ascii="Arial" w:hAnsi="Arial" w:cs="Arial"/>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r>
      <w:tr>
        <w:trPr>
          <w:trHeight w:hRule="atLeast" w:val="32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Bensen</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0,9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5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 µg/m</w:t>
            </w:r>
            <w:r>
              <w:rPr>
                <w:rFonts w:asciiTheme="minorHAnsi" w:hAnsiTheme="minorHAnsi" w:cstheme="minorHAnsi"/>
                <w:sz w:val="20"/>
                <w:szCs w:val="20"/>
                <w:vertAlign w:val="superscript"/>
              </w:rPr>
              <w:t>3</w:t>
            </w:r>
          </w:p>
        </w:tc>
        <w:tc>
          <w:tcPr>
            <w:tcW w:w="1479" w:type="dxa"/>
            <w:noWrap/>
            <w:vAlign w:val="bottom"/>
            <w:hideMark/>
          </w:tcPr>
          <w:p>
            <w:pPr>
              <w:rPr>
                <w:rFonts w:ascii="Arial" w:hAnsi="Arial" w:cs="Arial"/>
                <w:sz w:val="20"/>
                <w:szCs w:val="20"/>
              </w:rPr>
            </w:pPr>
          </w:p>
        </w:tc>
      </w:tr>
    </w:tbl>
    <w:p>
      <w:pPr>
        <w:pStyle w:val="P23"/>
      </w:pPr>
      <w:r>
        <w:t xml:space="preserve">Planförslaget bedöms inte medföra en ökad trafikmängd på Torpsbruksvägen jämfört med vad platsen tidigare använts till (förskola). </w:t>
      </w:r>
    </w:p>
    <w:p>
      <w:pPr>
        <w:pStyle w:val="P4"/>
      </w:pPr>
      <w:r>
        <w:t>MKN för vatten</w:t>
      </w:r>
    </w:p>
    <w:p>
      <w:pPr>
        <w:pStyle w:val="P23"/>
      </w:pPr>
      <w:r>
        <w:t xml:space="preserve">För ytvatten finns MKN för kemisk och ekologisk status. Planområdet avvattnas till den klassade vattenförekomsten </w:t>
      </w:r>
      <w:r>
        <w:rPr>
          <w:i w:val="1"/>
          <w:iCs w:val="1"/>
        </w:rPr>
        <w:t>Lekarydsån: Danssjön – stråken</w:t>
      </w:r>
      <w:r>
        <w:t xml:space="preserve">. Enligt Länsstyrelsens vatteninformationssystem uppnår Lekarydsån ej god kemisk status utifrån bland annat påverkan från miljögifter (VISS, hämtat 2025-06-25). Den ekologiska statusen i vattenförekomsten bedöms som måttlig, med kvalitetskrav om att uppnå god status senast 2033. Påverkansfaktorer på den ekologiska statusen innefattar bland annat möjligheter för djur och växter att röra sig upp- och nedströms längs vattendraget. </w:t>
      </w:r>
    </w:p>
    <w:p>
      <w:pPr>
        <w:pStyle w:val="P23"/>
      </w:pPr>
      <w:r>
        <w:t xml:space="preserve">Öster om planområdet finns en grundvattenförekomst, Alvestaåsen, med god kvantitativ status men otillfredsställande kemisk status enligt VISS. Påverkanskällor är förorenade områden och urban markanvändning.  </w:t>
      </w:r>
    </w:p>
    <w:p>
      <w:pPr>
        <w:pStyle w:val="P23"/>
      </w:pPr>
      <w:r>
        <w:t xml:space="preserve">Planförslaget bedöms inte påverka status på vatten- och grundförekomster negativt avseende vattenavrinning och föroreningar. Området är idag bebyggt och dagvattensammansättningen förväntas inte ändras av planförslaget.  </w:t>
      </w:r>
    </w:p>
    <w:p>
      <w:pPr>
        <w:pStyle w:val="P3"/>
      </w:pPr>
      <w:bookmarkEnd w:id="141"/>
      <w:bookmarkEnd w:id="142"/>
      <w:bookmarkEnd w:id="143"/>
      <w:bookmarkStart w:id="144" w:name="_Toc280260041"/>
      <w:bookmarkStart w:id="145" w:name="_Toc280260487"/>
      <w:bookmarkStart w:id="146" w:name="ko_riksintresse01"/>
      <w:r>
        <w:t>Riksintressen</w:t>
      </w:r>
      <w:bookmarkEnd w:id="144"/>
      <w:bookmarkEnd w:id="145"/>
    </w:p>
    <w:p>
      <w:pPr>
        <w:pStyle w:val="P23"/>
      </w:pPr>
      <w:bookmarkStart w:id="147" w:name="_Toc280260042"/>
      <w:bookmarkStart w:id="148" w:name="_Toc280260488"/>
      <w:r>
        <w:t xml:space="preserve">Planområdet ligger inom avrinningsområdet för Mörrumsån som är ett vattendrag av riksintresse. Riksintresset bedöms inte beröras. </w:t>
      </w:r>
    </w:p>
    <w:p>
      <w:pPr>
        <w:pStyle w:val="P3"/>
      </w:pPr>
      <w:bookmarkEnd w:id="146"/>
      <w:bookmarkStart w:id="149" w:name="ko_natur01"/>
      <w:r>
        <w:t>Natur- och kulturmiljö</w:t>
      </w:r>
      <w:bookmarkEnd w:id="147"/>
      <w:bookmarkEnd w:id="148"/>
    </w:p>
    <w:p>
      <w:pPr>
        <w:pStyle w:val="P23"/>
      </w:pPr>
      <w:bookmarkStart w:id="150" w:name="_Toc280260043"/>
      <w:bookmarkStart w:id="151" w:name="_Toc280260489"/>
      <w:r>
        <w:t xml:space="preserve">Inom planområdet finns inga sådana miljöer som är betydelsefulla utifrån sina naturvärden. Aspen som finns inom planområdet bedöms kunna finnas kvar, då den står på en bred remsa prickmark. Dock har trädet i sig inte några sådana värden som gör att det kräver ytterligare skydd i detaljplan. </w:t>
      </w:r>
    </w:p>
    <w:p>
      <w:pPr>
        <w:pStyle w:val="P23"/>
      </w:pPr>
      <w:r>
        <w:t xml:space="preserve">Planen är avsedd att möjliggöra en flexibel markanvändning, vilket både innebär att den befintliga byggnaden ska kunna användas till annat än för förskola samt att skapa ändamålsenliga byggrätter. Förändringarna som detta kan innebära, användningsändring eller nybyggnation, bedöms inte nämnbart påverka hur närmiljön uppfattas. Detta då användningsändring i sig inte förändrar den fysiska miljön samt att nybyggnation begränsas med planens egenskapsbestämmelser så att nya byggnader inte avviker från närmiljön. Områdets kulturhistoriska värden bedöms inte påverkas av detaljplanens genomförande. </w:t>
      </w:r>
    </w:p>
    <w:p>
      <w:pPr>
        <w:pStyle w:val="P3"/>
      </w:pPr>
      <w:bookmarkEnd w:id="149"/>
      <w:bookmarkStart w:id="152" w:name="ko_miljö01"/>
      <w:r>
        <w:t>Visuell miljö</w:t>
      </w:r>
      <w:bookmarkEnd w:id="150"/>
      <w:bookmarkEnd w:id="151"/>
    </w:p>
    <w:p>
      <w:pPr>
        <w:pStyle w:val="P23"/>
      </w:pPr>
      <w:r>
        <w:t xml:space="preserve">Planförslaget bekräftar den bebyggelse som finns inom området idag, samt ger en möjlighet till något högre nockhöjd samt viss utbyggnad. Den visuella miljön förväntas inte påverkas. </w:t>
      </w:r>
    </w:p>
    <w:p>
      <w:pPr>
        <w:pStyle w:val="P3"/>
      </w:pPr>
      <w:bookmarkEnd w:id="152"/>
      <w:bookmarkStart w:id="153" w:name="_Toc280260044"/>
      <w:bookmarkStart w:id="154" w:name="_Toc280260490"/>
      <w:bookmarkStart w:id="155" w:name="ko_sociala01"/>
      <w:r>
        <w:t>Rekreation</w:t>
      </w:r>
      <w:bookmarkEnd w:id="153"/>
      <w:bookmarkEnd w:id="154"/>
    </w:p>
    <w:p>
      <w:pPr>
        <w:pStyle w:val="P23"/>
      </w:pPr>
      <w:bookmarkStart w:id="156" w:name="_Toc280260045"/>
      <w:bookmarkStart w:id="157" w:name="_Toc280260491"/>
      <w:r>
        <w:t xml:space="preserve">Inom planområdet finns miljöer knutna till den tidigare förskoleverksamheten. Dessa var tidigare möjliga för allmänheten att nyttja utanför verksamhetens öppettider. Övergår marken i privat ägo är det rimligt att anta att detta försvinner. Dock finns det goda möjligheter till rekreation i närområdet varför kommunen bedömer att tillgången till rekreativa miljöer inte påverkas nämnbart. </w:t>
      </w:r>
    </w:p>
    <w:p>
      <w:pPr>
        <w:pStyle w:val="P3"/>
      </w:pPr>
      <w:bookmarkEnd w:id="155"/>
      <w:bookmarkStart w:id="158" w:name="ko_hälsaochsäkerhet01"/>
      <w:r>
        <w:t>Hälsa och säkerhet</w:t>
      </w:r>
      <w:bookmarkEnd w:id="156"/>
      <w:bookmarkEnd w:id="157"/>
    </w:p>
    <w:p>
      <w:pPr>
        <w:pStyle w:val="P23"/>
      </w:pPr>
      <w:r>
        <w:t xml:space="preserve">Utifrån de beräkningar samt tillståndsbeslutet för verksamhet i öster som presenteras under </w:t>
      </w:r>
      <w:r>
        <w:rPr>
          <w:i w:val="1"/>
          <w:iCs w:val="1"/>
        </w:rPr>
        <w:t>platsens förutsättningar – buller</w:t>
      </w:r>
      <w:r>
        <w:t xml:space="preserve">, är bedömningen att ljudnivån inom planområdet är god och att gällande riktvärden för trafikbuller såväl som verksamhetsbuller inte överskrids för de delar av detaljplanen som berörs av riktvärdena. </w:t>
      </w:r>
    </w:p>
    <w:p>
      <w:pPr>
        <w:pStyle w:val="P3"/>
      </w:pPr>
      <w:bookmarkEnd w:id="158"/>
      <w:bookmarkStart w:id="159" w:name="_Toc280260046"/>
      <w:bookmarkStart w:id="160" w:name="_Toc280260492"/>
      <w:bookmarkStart w:id="161" w:name="ko_ekonomi01"/>
      <w:r>
        <w:t>Resurshushållning</w:t>
      </w:r>
      <w:bookmarkEnd w:id="159"/>
      <w:bookmarkEnd w:id="160"/>
    </w:p>
    <w:p>
      <w:pPr>
        <w:pStyle w:val="P23"/>
      </w:pPr>
      <w:bookmarkStart w:id="162" w:name="_Toc280260047"/>
      <w:bookmarkStart w:id="163" w:name="_Toc280260493"/>
      <w:r>
        <w:t xml:space="preserve">Detaljplanen leder till god resurshushållning. Mark som tidigare varit planlagd för allmänt ändamål tillåts för bredare användning. Området är redan utbyggt och anslutet till vatten, avlopp, fjärrvärme, el och fiber. </w:t>
      </w:r>
    </w:p>
    <w:p>
      <w:pPr>
        <w:pStyle w:val="P3"/>
      </w:pPr>
      <w:bookmarkEnd w:id="161"/>
      <w:bookmarkStart w:id="164" w:name="ko_sociala02"/>
      <w:r>
        <w:t>Socialt perspektiv</w:t>
      </w:r>
      <w:bookmarkEnd w:id="162"/>
      <w:bookmarkEnd w:id="163"/>
    </w:p>
    <w:p>
      <w:pPr>
        <w:pStyle w:val="P23"/>
      </w:pPr>
      <w:bookmarkStart w:id="165" w:name="_Toc280260048"/>
      <w:bookmarkStart w:id="166" w:name="_Toc280260494"/>
      <w:r>
        <w:t xml:space="preserve">Detaljplanen möjliggör att en befintlig byggnad kan användas av privat aktör till annat än förskola. I november 2023 stod ny förskola klar och sedan dess har byggnaden inom planområdet stått tom. En tom byggnad kan ge en bild av ett eftersatt område. Med en mer ändamålsenlig detaljplan bedöms möjligheterna till att byggnaden används som goda. En kommersiell verksamhet eller permanenta bostäder ökar mängden människor som rör sig i området, vilket kan främja den upplevda tryggheten.    </w:t>
      </w:r>
    </w:p>
    <w:p>
      <w:pPr>
        <w:pStyle w:val="P2"/>
      </w:pPr>
      <w:bookmarkEnd w:id="164"/>
      <w:bookmarkEnd w:id="165"/>
      <w:bookmarkEnd w:id="166"/>
      <w:bookmarkStart w:id="167" w:name="_Toc275242371"/>
      <w:bookmarkStart w:id="168" w:name="ko_miljöbedömning01"/>
      <w:r>
        <w:t>UNDERSÖKNING OM BETYDANDE MILJÖPÅVERKAN</w:t>
      </w:r>
    </w:p>
    <w:p>
      <w:pPr>
        <w:pStyle w:val="P23"/>
      </w:pPr>
      <w:bookmarkEnd w:id="167"/>
      <w:r>
        <w:t>Om genomförandet av en detaljplan kan antas medföra betydande miljöpåverkan ska en miljökonsekvensbeskrivning (MKB) upprättas enligt 4 kap. 34 § PBL och enligt 6 kap. 11 § miljöbalken. En undersökning görs för att utreda och bedöma om genomförandet av en detaljplan kan antas medföra betydande</w:t>
        <w:br w:type="textWrapping"/>
        <w:t xml:space="preserve">miljöpåverkan enligt förordningen om MKB (1998:905). </w:t>
      </w:r>
    </w:p>
    <w:p>
      <w:pPr>
        <w:pStyle w:val="P23"/>
      </w:pPr>
      <w:r>
        <w:t xml:space="preserve">Kommunen bedömer att detaljplanens tänkbara effekter inte kommer medföra någon påtaglig risk för miljön eller människors hälsa och säkerhet, på lång eller kort sikt. Detaljplanens effekter bedöms innebära lämplig hushållning med mark, vatten och andra resurser på lång och kort sikt. Den sammanvägda bedömningen är att genomförandet av detaljplanen inte medför risk för betydande miljöpåverkan. En strategisk miljöbedömning behöver inte genomföras och det finns inget behov av att upprätta en miljökonsekvensbeskrivning. </w:t>
      </w:r>
    </w:p>
    <w:p>
      <w:pPr>
        <w:pStyle w:val="P23"/>
        <w:rPr>
          <w:highlight w:val="yellow"/>
        </w:rPr>
      </w:pPr>
      <w:bookmarkEnd w:id="168"/>
      <w:r>
        <w:br w:type="page"/>
      </w:r>
    </w:p>
    <w:p>
      <w:pPr>
        <w:pStyle w:val="P1"/>
        <w:numPr>
          <w:ilvl w:val="0"/>
          <w:numId w:val="18"/>
        </w:numPr>
      </w:pPr>
      <w:bookmarkStart w:id="169" w:name="_Toc86648188"/>
      <w:r>
        <w:t>GENOMFÖRANDE</w:t>
      </w:r>
      <w:bookmarkEnd w:id="169"/>
    </w:p>
    <w:p>
      <w:pPr>
        <w:pStyle w:val="P3"/>
      </w:pPr>
      <w:r>
        <w:t>Organisatoriska frågor</w:t>
      </w:r>
    </w:p>
    <w:p>
      <w:pPr>
        <w:pStyle w:val="P4"/>
      </w:pPr>
      <w:bookmarkStart w:id="170" w:name="gf_tidplan01"/>
      <w:bookmarkStart w:id="171" w:name="_Toc280263791"/>
      <w:r>
        <w:t>Tidsplan</w:t>
      </w:r>
    </w:p>
    <w:p>
      <w:pPr>
        <w:pStyle w:val="P23"/>
      </w:pPr>
      <w:r>
        <w:t>Detaljplanen var på samråd 2025-07-14 till och med 2025-08-25 och ställdes ut för granskning 2025-09-29 till och med 2025-10-13. Detaljplanen antogs av Samhällsbyggnadsnämnden 2025-11-13. Om ingen överklagar antagandebeslutet vinner detaljplanen laga kraft tre veckor efter den tidpunkt då planen antagits. Berörda har haft möjlighet att lämna synpunkter i samrådsskedet och i granskningsskedet.</w:t>
      </w:r>
    </w:p>
    <w:p>
      <w:pPr>
        <w:pStyle w:val="P4"/>
      </w:pPr>
      <w:bookmarkEnd w:id="170"/>
      <w:bookmarkStart w:id="172" w:name="be_genomförandetid01"/>
      <w:r>
        <w:t>Genomförandetid</w:t>
      </w:r>
    </w:p>
    <w:p>
      <w:pPr>
        <w:pStyle w:val="P23"/>
      </w:pPr>
      <w:r>
        <w:t>Planens genomförandetid är satt till 5 år. Genomförandetiden räknas från det datum planen vinner laga kraft. Efter genomförandetidens utgång fortsätter planens bestämmelser att gälla fram till den tidpunkt då detaljplanen ändras eller upphävs.</w:t>
      </w:r>
    </w:p>
    <w:p>
      <w:pPr>
        <w:pStyle w:val="P4"/>
      </w:pPr>
      <w:bookmarkEnd w:id="172"/>
      <w:r>
        <w:t>Verkan på andra detaljplaner</w:t>
      </w:r>
    </w:p>
    <w:p>
      <w:pPr>
        <w:pStyle w:val="P23"/>
      </w:pPr>
      <w:r>
        <w:t xml:space="preserve">Vid lagakraftvunnen detaljplan ersätts delar av äldre detaljplaner </w:t>
      </w:r>
      <w:bookmarkStart w:id="173" w:name="_Toc263860083"/>
      <w:r>
        <w:t>av markregleringar enligt föreliggande planförslag.</w:t>
      </w:r>
    </w:p>
    <w:p>
      <w:pPr>
        <w:pStyle w:val="P4"/>
      </w:pPr>
      <w:bookmarkEnd w:id="173"/>
      <w:r>
        <w:t>Ansvarsfördelning</w:t>
      </w:r>
    </w:p>
    <w:tbl>
      <w:tblPr>
        <w:tblW w:w="8046"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rPr>
          <w:trHeight w:hRule="atLeast" w:val="884"/>
        </w:trPr>
        <w:tc>
          <w:tcPr>
            <w:tcW w:w="2837" w:type="dxa"/>
            <w:shd w:val="clear" w:color="auto" w:fill="DDD9C3"/>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Ansvarig</w:t>
            </w:r>
          </w:p>
        </w:tc>
        <w:tc>
          <w:tcPr>
            <w:tcW w:w="5209"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Åtgärder</w:t>
            </w:r>
          </w:p>
        </w:tc>
      </w:tr>
      <w:tr>
        <w:trPr>
          <w:trHeight w:hRule="atLeast" w:val="964"/>
        </w:trPr>
        <w:tc>
          <w:tcPr>
            <w:tcW w:w="2837" w:type="dxa"/>
            <w:shd w:val="clear" w:color="auto" w:fill="F2F2F2"/>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Alvesta kommun</w:t>
            </w:r>
          </w:p>
        </w:tc>
        <w:tc>
          <w:tcPr>
            <w:tcW w:w="5209" w:type="dxa"/>
            <w:shd w:val="clear" w:color="auto" w:fill="F2F2F2"/>
          </w:tcPr>
          <w:p>
            <w:pPr>
              <w:rPr>
                <w:rFonts w:ascii="Calibri Light" w:hAnsi="Calibri Light" w:cs="Calibri Light"/>
                <w:sz w:val="22"/>
                <w:szCs w:val="22"/>
              </w:rPr>
            </w:pPr>
          </w:p>
          <w:p>
            <w:pPr>
              <w:pStyle w:val="P26"/>
              <w:numPr>
                <w:ilvl w:val="0"/>
                <w:numId w:val="16"/>
              </w:numPr>
              <w:rPr>
                <w:rFonts w:ascii="Calibri Light" w:hAnsi="Calibri Light" w:cs="Calibri Light"/>
              </w:rPr>
            </w:pPr>
            <w:r>
              <w:rPr>
                <w:rFonts w:ascii="Calibri Light" w:hAnsi="Calibri Light" w:cs="Calibri Light"/>
              </w:rPr>
              <w:t>Upprättar detaljplan</w:t>
            </w:r>
          </w:p>
          <w:p>
            <w:pPr>
              <w:pStyle w:val="P26"/>
              <w:numPr>
                <w:ilvl w:val="0"/>
                <w:numId w:val="16"/>
              </w:numPr>
              <w:rPr>
                <w:rFonts w:ascii="Calibri Light" w:hAnsi="Calibri Light" w:cs="Calibri Light"/>
              </w:rPr>
            </w:pPr>
            <w:r>
              <w:rPr>
                <w:rFonts w:ascii="Calibri Light" w:hAnsi="Calibri Light" w:cs="Calibri Light"/>
              </w:rPr>
              <w:t>Ansöker om fastighetsbildning/reglering</w:t>
            </w:r>
          </w:p>
        </w:tc>
      </w:tr>
      <w:tr>
        <w:trPr>
          <w:trHeight w:hRule="atLeast" w:val="1001"/>
        </w:trPr>
        <w:tc>
          <w:tcPr>
            <w:tcW w:w="2837" w:type="dxa"/>
            <w:shd w:val="clear" w:color="auto" w:fill="F2F2F2"/>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Exploatören</w:t>
            </w:r>
          </w:p>
          <w:p>
            <w:pPr>
              <w:rPr>
                <w:rFonts w:ascii="Calibri Light" w:hAnsi="Calibri Light" w:cs="Calibri Light"/>
              </w:rPr>
            </w:pPr>
          </w:p>
        </w:tc>
        <w:tc>
          <w:tcPr>
            <w:tcW w:w="5209" w:type="dxa"/>
            <w:shd w:val="clear" w:color="auto" w:fill="F2F2F2"/>
          </w:tcPr>
          <w:p>
            <w:pPr>
              <w:pStyle w:val="P26"/>
              <w:rPr>
                <w:rFonts w:ascii="Calibri Light" w:hAnsi="Calibri Light" w:cs="Calibri Light"/>
              </w:rPr>
            </w:pPr>
          </w:p>
          <w:p>
            <w:pPr>
              <w:pStyle w:val="P26"/>
              <w:numPr>
                <w:ilvl w:val="0"/>
                <w:numId w:val="16"/>
              </w:numPr>
              <w:rPr>
                <w:rFonts w:ascii="Calibri Light" w:hAnsi="Calibri Light" w:cs="Calibri Light"/>
              </w:rPr>
            </w:pPr>
            <w:r>
              <w:rPr>
                <w:rFonts w:ascii="Calibri Light" w:hAnsi="Calibri Light" w:cs="Calibri Light"/>
              </w:rPr>
              <w:t>Bekostar fastighetsbildning/reglering</w:t>
            </w:r>
          </w:p>
          <w:p>
            <w:pPr>
              <w:pStyle w:val="P26"/>
              <w:numPr>
                <w:ilvl w:val="0"/>
                <w:numId w:val="16"/>
              </w:numPr>
              <w:rPr>
                <w:rFonts w:ascii="Calibri Light" w:hAnsi="Calibri Light" w:cs="Calibri Light"/>
              </w:rPr>
            </w:pPr>
            <w:r>
              <w:rPr>
                <w:rFonts w:ascii="Calibri Light" w:hAnsi="Calibri Light" w:cs="Calibri Light"/>
              </w:rPr>
              <w:t>Fastighetsägaren har inom kvartersmark ansvar för genomförandet av förslaget enligt planens bestämmelser samt den fortsatta skötseln inom området.</w:t>
            </w:r>
          </w:p>
        </w:tc>
      </w:tr>
    </w:tbl>
    <w:p>
      <w:pPr>
        <w:pStyle w:val="P4"/>
      </w:pPr>
      <w:r>
        <w:t xml:space="preserve">Planavtal </w:t>
      </w:r>
    </w:p>
    <w:p>
      <w:pPr>
        <w:pStyle w:val="P23"/>
      </w:pPr>
      <w:r>
        <w:t>Ett planavtal är tecknat mellan sökande och Alvesta kommun som reglerar kostnaderna för upprättande av detaljplanen.</w:t>
      </w:r>
    </w:p>
    <w:p>
      <w:pPr>
        <w:pStyle w:val="P3"/>
      </w:pPr>
      <w:bookmarkStart w:id="174" w:name="gf_fastighetsrättsligafrågor01"/>
      <w:r>
        <w:t>Fastighetsrättsliga frågor</w:t>
      </w:r>
    </w:p>
    <w:p>
      <w:pPr>
        <w:pStyle w:val="P4"/>
      </w:pPr>
    </w:p>
    <w:p>
      <w:pPr>
        <w:pStyle w:val="P4"/>
      </w:pPr>
      <w:r>
        <w:t>Konsekvenser på fastighetsnivå</w:t>
      </w:r>
    </w:p>
    <w:tbl>
      <w:tblPr>
        <w:tblW w:w="8001"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229"/>
        </w:trPr>
        <w:tc>
          <w:tcPr>
            <w:tcW w:w="3031"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Fastighet</w:t>
              <w:br w:type="textWrapping"/>
              <w:t>(inom planområdet)</w:t>
            </w:r>
          </w:p>
          <w:p>
            <w:pPr>
              <w:rPr>
                <w:rFonts w:ascii="Calibri Light" w:hAnsi="Calibri Light" w:cs="Calibri Light"/>
              </w:rPr>
            </w:pPr>
          </w:p>
        </w:tc>
        <w:tc>
          <w:tcPr>
            <w:tcW w:w="4970"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2276"/>
        </w:trPr>
        <w:tc>
          <w:tcPr>
            <w:tcW w:w="3031" w:type="dxa"/>
            <w:shd w:val="clear" w:color="auto" w:fill="F2F2F2"/>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Moheda-Ryd 1:56</w:t>
            </w:r>
          </w:p>
        </w:tc>
        <w:tc>
          <w:tcPr>
            <w:tcW w:w="4970" w:type="dxa"/>
            <w:shd w:val="clear" w:color="auto" w:fill="F2F2F2"/>
          </w:tcPr>
          <w:p>
            <w:pPr>
              <w:rPr>
                <w:rFonts w:ascii="Calibri Light" w:hAnsi="Calibri Light" w:cs="Calibri Light"/>
                <w:sz w:val="22"/>
                <w:szCs w:val="22"/>
                <w:highlight w:val="yellow"/>
              </w:rPr>
            </w:pPr>
          </w:p>
          <w:p>
            <w:pPr>
              <w:rPr>
                <w:rFonts w:ascii="Calibri Light" w:hAnsi="Calibri Light" w:cs="Calibri Light"/>
                <w:sz w:val="22"/>
                <w:szCs w:val="22"/>
                <w:highlight w:val="yellow"/>
              </w:rPr>
            </w:pPr>
            <w:r>
              <w:rPr>
                <w:rFonts w:ascii="Calibri Light" w:hAnsi="Calibri Light" w:cs="Calibri Light"/>
                <w:sz w:val="22"/>
                <w:szCs w:val="22"/>
              </w:rPr>
              <w:t>Kvartersmark inom fastigheten ändras från allmänt ändamål till centrumverksamhet och bostäder. Fastigheten styckas av enligt planområdets avgränsning.</w:t>
            </w:r>
          </w:p>
        </w:tc>
      </w:tr>
    </w:tbl>
    <w:p>
      <w:pPr>
        <w:pStyle w:val="P2"/>
      </w:pPr>
      <w:bookmarkEnd w:id="174"/>
      <w:r>
        <w:t>MEDVERKANDE</w:t>
      </w:r>
      <w:bookmarkEnd w:id="171"/>
      <w:r>
        <w:tab/>
      </w:r>
    </w:p>
    <w:p>
      <w:pPr>
        <w:pStyle w:val="P23"/>
      </w:pPr>
      <w:r>
        <w:t xml:space="preserve">I samband med upprättade av detaljplanen har tjänstepersoner från Planavdelningen, Teknikavdelningen samt flertalet kompetenser från kommunkoncernen medverkat. </w:t>
      </w:r>
    </w:p>
    <w:p>
      <w:pPr>
        <w:pStyle w:val="P23"/>
      </w:pPr>
      <w:r>
        <w:t>Alvesta 2025-10-15</w:t>
      </w:r>
    </w:p>
    <w:p>
      <w:pPr>
        <w:pStyle w:val="P5"/>
      </w:pPr>
    </w:p>
    <w:p>
      <w:pPr>
        <w:pStyle w:val="P5"/>
        <w:rPr>
          <w:rFonts w:ascii="Calibri Light" w:hAnsi="Calibri Light" w:cs="Calibri Light"/>
        </w:rPr>
      </w:pPr>
      <w:r>
        <w:rPr>
          <w:rFonts w:ascii="Calibri Light" w:hAnsi="Calibri Light" w:cs="Calibri Light"/>
        </w:rPr>
        <w:t>Johan Karlsson</w:t>
        <w:br w:type="textWrapping"/>
        <w:t>Planarkitekt</w:t>
      </w:r>
    </w:p>
    <w:p>
      <w:pPr>
        <w:pStyle w:val="P5"/>
        <w:rPr>
          <w:rFonts w:ascii="Calibri Light" w:hAnsi="Calibri Light" w:cs="Calibri Light"/>
        </w:rPr>
      </w:pPr>
    </w:p>
    <w:p>
      <w:pPr>
        <w:pStyle w:val="P23"/>
      </w:pPr>
      <w:r>
        <w:t xml:space="preserve">Planförslaget har antagits av Samhällsbyggnadsnämnden </w:t>
        <w:br w:type="textWrapping"/>
      </w:r>
      <w:r>
        <w:rPr>
          <w:b w:val="1"/>
          <w:i w:val="1"/>
          <w:bCs w:val="1"/>
          <w:iCs w:val="1"/>
        </w:rPr>
        <w:t>2025-11-13 § 91</w:t>
      </w:r>
    </w:p>
    <w:p>
      <w:pPr>
        <w:pStyle w:val="P23"/>
      </w:pPr>
    </w:p>
    <w:p>
      <w:pPr>
        <w:pStyle w:val="P23"/>
      </w:pPr>
      <w:r>
        <w:t>Rinora Ibraimi</w:t>
        <w:br w:type="textWrapping"/>
        <w:t>Nämndsekreterare</w:t>
      </w:r>
    </w:p>
    <w:p>
      <w:pPr>
        <w:pStyle w:val="P23"/>
        <w:rPr>
          <w:b w:val="1"/>
          <w:i w:val="1"/>
          <w:bCs w:val="1"/>
          <w:iCs w:val="1"/>
        </w:rPr>
      </w:pPr>
      <w:r>
        <w:rPr>
          <w:b w:val="1"/>
          <w:i w:val="1"/>
          <w:bCs w:val="1"/>
          <w:iCs w:val="1"/>
        </w:rPr>
        <w:t>Beslutet har vunnit laga kraft 2025-12-11</w:t>
      </w:r>
    </w:p>
    <w:p>
      <w:pPr>
        <w:pStyle w:val="P5"/>
      </w:pP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466" w:top="1701" w:bottom="1418" w:header="709" w:footer="70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rPr>
        <w:rFonts w:ascii="Arial" w:hAnsi="Arial" w:cs="Arial"/>
      </w:rPr>
    </w:pPr>
  </w:p>
  <w:tbl>
    <w:tblPr>
      <w:tblW w:w="0" w:type="auto"/>
      <w:tblLook w:val="01E0"/>
    </w:tblPr>
    <w:tblGrid/>
    <w:tr>
      <w:tc>
        <w:tcPr>
          <w:tcW w:w="3179" w:type="dxa"/>
        </w:tcPr>
        <w:p>
          <w:pPr>
            <w:pStyle w:val="P6"/>
            <w:rPr>
              <w:rFonts w:ascii="Arial" w:hAnsi="Arial" w:cs="Arial"/>
            </w:rPr>
          </w:pPr>
          <w:r>
            <w:rPr>
              <w:noProof w:val="1"/>
            </w:rPr>
            <w:drawing>
              <wp:anchor xmlns:wp="http://schemas.openxmlformats.org/drawingml/2006/wordprocessingDrawing" distT="0" distB="0" distL="114300" distR="114300" simplePos="0" relativeHeight="251658241" behindDoc="1" locked="0" layoutInCell="1" allowOverlap="1">
                <wp:simplePos x="0" y="0"/>
                <wp:positionH relativeFrom="margin">
                  <wp:posOffset>-19050</wp:posOffset>
                </wp:positionH>
                <wp:positionV relativeFrom="paragraph">
                  <wp:posOffset>86360</wp:posOffset>
                </wp:positionV>
                <wp:extent cx="1487170" cy="628650"/>
                <wp:effectExtent l="0" t="0" r="0" b="0"/>
                <wp:wrapTight wrapText="bothSides">
                  <wp:wrapPolygon edited="0">
                    <wp:start x="0" y="0"/>
                    <wp:lineTo x="0" y="20945"/>
                    <wp:lineTo x="21305" y="20945"/>
                    <wp:lineTo x="21305" y="0"/>
                    <wp:lineTo x="0" y="0"/>
                  </wp:wrapPolygon>
                </wp:wrapTight>
                <wp:docPr id="95"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5" cstate="print"/>
                        <a:srcRect/>
                        <a:stretch>
                          <a:fillRect/>
                        </a:stretch>
                      </pic:blipFill>
                      <pic:spPr bwMode="auto">
                        <a:xfrm>
                          <a:off x="0" y="0"/>
                          <a:ext cx="1487170" cy="628650"/>
                        </a:xfrm>
                        <a:prstGeom prst="rect"/>
                        <a:noFill/>
                        <a:ln>
                          <a:noFill/>
                        </a:ln>
                      </pic:spPr>
                    </pic:pic>
                  </a:graphicData>
                </a:graphic>
              </wp:anchor>
            </w:drawing>
          </w:r>
        </w:p>
      </w:tc>
      <w:tc>
        <w:tcPr>
          <w:tcW w:w="6315" w:type="dxa"/>
        </w:tcPr>
        <w:p>
          <w:pPr>
            <w:pStyle w:val="P6"/>
            <w:jc w:val="right"/>
            <w:rPr>
              <w:rFonts w:ascii="Arial" w:hAnsi="Arial" w:cs="Arial"/>
            </w:rPr>
          </w:pPr>
        </w:p>
        <w:p>
          <w:pPr>
            <w:pStyle w:val="P6"/>
            <w:jc w:val="right"/>
            <w:rPr>
              <w:rFonts w:ascii="Arial" w:hAnsi="Arial" w:cs="Arial"/>
            </w:rPr>
          </w:pPr>
        </w:p>
        <w:p>
          <w:pPr>
            <w:pStyle w:val="P6"/>
            <w:jc w:val="right"/>
            <w:rPr>
              <w:rFonts w:ascii="Arial" w:hAnsi="Arial" w:cs="Arial"/>
            </w:rPr>
          </w:pPr>
        </w:p>
        <w:p>
          <w:pPr>
            <w:pStyle w:val="P6"/>
            <w:jc w:val="center"/>
            <w:rPr>
              <w:rFonts w:ascii="Arial" w:hAnsi="Arial" w:cs="Arial"/>
              <w:sz w:val="32"/>
              <w:szCs w:val="32"/>
            </w:rPr>
          </w:pPr>
        </w:p>
      </w:tc>
    </w:tr>
  </w:tbl>
  <w:p>
    <w:pPr>
      <w:pStyle w:val="P6"/>
      <w:jc w:val="right"/>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Arial" w:hAnsi="Arial" w:cs="Arial"/>
      </w:rPr>
    </w:pPr>
    <w:r>
      <w:tab/>
    </w:r>
  </w:p>
  <w:tbl>
    <w:tblPr>
      <w:tblW w:w="9306" w:type="dxa"/>
      <w:tblLook w:val="01E0"/>
    </w:tblPr>
    <w:tblGrid/>
    <w:tr>
      <w:tc>
        <w:tcPr>
          <w:tcW w:w="3184" w:type="dxa"/>
        </w:tcPr>
        <w:p>
          <w:pPr>
            <w:pStyle w:val="P6"/>
            <w:rPr>
              <w:rFonts w:ascii="Arial" w:hAnsi="Arial" w:cs="Arial"/>
            </w:rPr>
          </w:pPr>
          <w:r>
            <w:rPr>
              <w:noProof w:val="1"/>
            </w:rPr>
            <w:drawing>
              <wp:anchor xmlns:wp="http://schemas.openxmlformats.org/drawingml/2006/wordprocessingDrawing" distT="0" distB="0" distL="114300" distR="114300" simplePos="0" relativeHeight="251658242"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13"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6" cstate="print"/>
                        <a:srcRect/>
                        <a:stretch>
                          <a:fillRect/>
                        </a:stretch>
                      </pic:blipFill>
                      <pic:spPr bwMode="auto">
                        <a:xfrm>
                          <a:off x="0" y="0"/>
                          <a:ext cx="1487170" cy="628650"/>
                        </a:xfrm>
                        <a:prstGeom prst="rect"/>
                        <a:noFill/>
                        <a:ln>
                          <a:noFill/>
                        </a:ln>
                      </pic:spPr>
                    </pic:pic>
                  </a:graphicData>
                </a:graphic>
              </wp:anchor>
            </w:drawing>
          </w:r>
        </w:p>
      </w:tc>
      <w:tc>
        <w:tcPr>
          <w:tcW w:w="6122" w:type="dxa"/>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Antagandehandling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Dnr: 2025–060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2025-10-15</w:t>
          </w:r>
        </w:p>
        <w:p>
          <w:pPr>
            <w:pStyle w:val="P6"/>
            <w:jc w:val="center"/>
            <w:rPr>
              <w:rFonts w:asciiTheme="minorHAnsi" w:hAnsiTheme="minorHAnsi" w:cstheme="minorHAnsi"/>
              <w:sz w:val="20"/>
              <w:szCs w:val="32"/>
            </w:rPr>
          </w:pPr>
        </w:p>
      </w:tc>
    </w:tr>
  </w:tbl>
  <w:p/>
</w:hdr>
</file>

<file path=word/numbering.xml><?xml version="1.0" encoding="utf-8"?>
<w:numbering xmlns:w="http://schemas.openxmlformats.org/wordprocessingml/2006/main">
  <w:abstractNum w:abstractNumId="0">
    <w:nsid w:val="E900FF74"/>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7C"/>
    <w:multiLevelType w:val="hybridMultilevel"/>
    <w:lvl w:ilvl="0">
      <w:start w:val="1"/>
      <w:numFmt w:val="decimal"/>
      <w:suff w:val="tab"/>
      <w:lvlText w:val="%1."/>
      <w:lvlJc w:val="left"/>
      <w:pPr>
        <w:ind w:hanging="360" w:left="1492"/>
        <w:tabs>
          <w:tab w:val="num" w:pos="1492" w:leader="none"/>
        </w:tabs>
      </w:pPr>
      <w:rPr/>
    </w:lvl>
    <w:lvl w:ilvl="1" w:tplc="67F4C62E">
      <w:start w:val="1"/>
      <w:numFmt w:val="decimal"/>
      <w:suff w:val="tab"/>
      <w:lvlText w:val="%1."/>
      <w:lvlJc w:val="left"/>
      <w:pPr/>
      <w:rPr/>
    </w:lvl>
    <w:lvl w:ilvl="2" w:tplc="391283BA">
      <w:start w:val="1"/>
      <w:numFmt w:val="decimal"/>
      <w:suff w:val="tab"/>
      <w:lvlText w:val="%1."/>
      <w:lvlJc w:val="left"/>
      <w:pPr/>
      <w:rPr/>
    </w:lvl>
    <w:lvl w:ilvl="3" w:tplc="4FB306FD">
      <w:start w:val="1"/>
      <w:numFmt w:val="decimal"/>
      <w:suff w:val="tab"/>
      <w:lvlText w:val="%1."/>
      <w:lvlJc w:val="left"/>
      <w:pPr/>
      <w:rPr/>
    </w:lvl>
    <w:lvl w:ilvl="4" w:tplc="45B23FCA">
      <w:start w:val="1"/>
      <w:numFmt w:val="decimal"/>
      <w:suff w:val="tab"/>
      <w:lvlText w:val="%1."/>
      <w:lvlJc w:val="left"/>
      <w:pPr/>
      <w:rPr/>
    </w:lvl>
    <w:lvl w:ilvl="5" w:tplc="160BE021">
      <w:start w:val="1"/>
      <w:numFmt w:val="decimal"/>
      <w:suff w:val="tab"/>
      <w:lvlText w:val="%1."/>
      <w:lvlJc w:val="left"/>
      <w:pPr/>
      <w:rPr/>
    </w:lvl>
    <w:lvl w:ilvl="6" w:tplc="14BA9415">
      <w:start w:val="1"/>
      <w:numFmt w:val="decimal"/>
      <w:suff w:val="tab"/>
      <w:lvlText w:val="%1."/>
      <w:lvlJc w:val="left"/>
      <w:pPr/>
      <w:rPr/>
    </w:lvl>
    <w:lvl w:ilvl="7" w:tplc="64D92FCC">
      <w:start w:val="1"/>
      <w:numFmt w:val="decimal"/>
      <w:suff w:val="tab"/>
      <w:lvlText w:val="%1."/>
      <w:lvlJc w:val="left"/>
      <w:pPr/>
      <w:rPr/>
    </w:lvl>
    <w:lvl w:ilvl="8" w:tplc="401FAE83">
      <w:start w:val="1"/>
      <w:numFmt w:val="decimal"/>
      <w:suff w:val="tab"/>
      <w:lvlText w:val="%1."/>
      <w:lvlJc w:val="left"/>
      <w:pPr/>
      <w:rPr/>
    </w:lvl>
  </w:abstractNum>
  <w:abstractNum w:abstractNumId="2">
    <w:nsid w:val="FFFFFF7D"/>
    <w:multiLevelType w:val="hybridMultilevel"/>
    <w:lvl w:ilvl="0">
      <w:start w:val="1"/>
      <w:numFmt w:val="decimal"/>
      <w:suff w:val="tab"/>
      <w:lvlText w:val="%1."/>
      <w:lvlJc w:val="left"/>
      <w:pPr>
        <w:ind w:hanging="360" w:left="1209"/>
        <w:tabs>
          <w:tab w:val="num" w:pos="1209" w:leader="none"/>
        </w:tabs>
      </w:pPr>
      <w:rPr/>
    </w:lvl>
    <w:lvl w:ilvl="1" w:tplc="2EC0CF4D">
      <w:start w:val="1"/>
      <w:numFmt w:val="decimal"/>
      <w:suff w:val="tab"/>
      <w:lvlText w:val="%1."/>
      <w:lvlJc w:val="left"/>
      <w:pPr/>
      <w:rPr/>
    </w:lvl>
    <w:lvl w:ilvl="2" w:tplc="32E104AA">
      <w:start w:val="1"/>
      <w:numFmt w:val="decimal"/>
      <w:suff w:val="tab"/>
      <w:lvlText w:val="%1."/>
      <w:lvlJc w:val="left"/>
      <w:pPr/>
      <w:rPr/>
    </w:lvl>
    <w:lvl w:ilvl="3" w:tplc="6EE471C7">
      <w:start w:val="1"/>
      <w:numFmt w:val="decimal"/>
      <w:suff w:val="tab"/>
      <w:lvlText w:val="%1."/>
      <w:lvlJc w:val="left"/>
      <w:pPr/>
      <w:rPr/>
    </w:lvl>
    <w:lvl w:ilvl="4" w:tplc="02DAC238">
      <w:start w:val="1"/>
      <w:numFmt w:val="decimal"/>
      <w:suff w:val="tab"/>
      <w:lvlText w:val="%1."/>
      <w:lvlJc w:val="left"/>
      <w:pPr/>
      <w:rPr/>
    </w:lvl>
    <w:lvl w:ilvl="5" w:tplc="06C0530C">
      <w:start w:val="1"/>
      <w:numFmt w:val="decimal"/>
      <w:suff w:val="tab"/>
      <w:lvlText w:val="%1."/>
      <w:lvlJc w:val="left"/>
      <w:pPr/>
      <w:rPr/>
    </w:lvl>
    <w:lvl w:ilvl="6" w:tplc="799DF7BF">
      <w:start w:val="1"/>
      <w:numFmt w:val="decimal"/>
      <w:suff w:val="tab"/>
      <w:lvlText w:val="%1."/>
      <w:lvlJc w:val="left"/>
      <w:pPr/>
      <w:rPr/>
    </w:lvl>
    <w:lvl w:ilvl="7" w:tplc="15B1A1EB">
      <w:start w:val="1"/>
      <w:numFmt w:val="decimal"/>
      <w:suff w:val="tab"/>
      <w:lvlText w:val="%1."/>
      <w:lvlJc w:val="left"/>
      <w:pPr/>
      <w:rPr/>
    </w:lvl>
    <w:lvl w:ilvl="8" w:tplc="479EE804">
      <w:start w:val="1"/>
      <w:numFmt w:val="decimal"/>
      <w:suff w:val="tab"/>
      <w:lvlText w:val="%1."/>
      <w:lvlJc w:val="left"/>
      <w:pPr/>
      <w:rPr/>
    </w:lvl>
  </w:abstractNum>
  <w:abstractNum w:abstractNumId="3">
    <w:nsid w:val="FFFFFF7E"/>
    <w:multiLevelType w:val="hybridMultilevel"/>
    <w:lvl w:ilvl="0">
      <w:start w:val="1"/>
      <w:numFmt w:val="decimal"/>
      <w:suff w:val="tab"/>
      <w:lvlText w:val="%1."/>
      <w:lvlJc w:val="left"/>
      <w:pPr>
        <w:ind w:hanging="360" w:left="926"/>
        <w:tabs>
          <w:tab w:val="num" w:pos="926" w:leader="none"/>
        </w:tabs>
      </w:pPr>
      <w:rPr/>
    </w:lvl>
    <w:lvl w:ilvl="1" w:tplc="54D329B9">
      <w:start w:val="1"/>
      <w:numFmt w:val="decimal"/>
      <w:suff w:val="tab"/>
      <w:lvlText w:val="%1."/>
      <w:lvlJc w:val="left"/>
      <w:pPr/>
      <w:rPr/>
    </w:lvl>
    <w:lvl w:ilvl="2" w:tplc="571BE56F">
      <w:start w:val="1"/>
      <w:numFmt w:val="decimal"/>
      <w:suff w:val="tab"/>
      <w:lvlText w:val="%1."/>
      <w:lvlJc w:val="left"/>
      <w:pPr/>
      <w:rPr/>
    </w:lvl>
    <w:lvl w:ilvl="3" w:tplc="6B93ECBC">
      <w:start w:val="1"/>
      <w:numFmt w:val="decimal"/>
      <w:suff w:val="tab"/>
      <w:lvlText w:val="%1."/>
      <w:lvlJc w:val="left"/>
      <w:pPr/>
      <w:rPr/>
    </w:lvl>
    <w:lvl w:ilvl="4" w:tplc="778412AB">
      <w:start w:val="1"/>
      <w:numFmt w:val="decimal"/>
      <w:suff w:val="tab"/>
      <w:lvlText w:val="%1."/>
      <w:lvlJc w:val="left"/>
      <w:pPr/>
      <w:rPr/>
    </w:lvl>
    <w:lvl w:ilvl="5" w:tplc="5CBD9A62">
      <w:start w:val="1"/>
      <w:numFmt w:val="decimal"/>
      <w:suff w:val="tab"/>
      <w:lvlText w:val="%1."/>
      <w:lvlJc w:val="left"/>
      <w:pPr/>
      <w:rPr/>
    </w:lvl>
    <w:lvl w:ilvl="6" w:tplc="15C3842D">
      <w:start w:val="1"/>
      <w:numFmt w:val="decimal"/>
      <w:suff w:val="tab"/>
      <w:lvlText w:val="%1."/>
      <w:lvlJc w:val="left"/>
      <w:pPr/>
      <w:rPr/>
    </w:lvl>
    <w:lvl w:ilvl="7" w:tplc="31D95CE1">
      <w:start w:val="1"/>
      <w:numFmt w:val="decimal"/>
      <w:suff w:val="tab"/>
      <w:lvlText w:val="%1."/>
      <w:lvlJc w:val="left"/>
      <w:pPr/>
      <w:rPr/>
    </w:lvl>
    <w:lvl w:ilvl="8" w:tplc="34491907">
      <w:start w:val="1"/>
      <w:numFmt w:val="decimal"/>
      <w:suff w:val="tab"/>
      <w:lvlText w:val="%1."/>
      <w:lvlJc w:val="left"/>
      <w:pPr/>
      <w:rPr/>
    </w:lvl>
  </w:abstractNum>
  <w:abstractNum w:abstractNumId="4">
    <w:nsid w:val="FFFFFF7F"/>
    <w:multiLevelType w:val="hybridMultilevel"/>
    <w:lvl w:ilvl="0">
      <w:start w:val="1"/>
      <w:numFmt w:val="decimal"/>
      <w:suff w:val="tab"/>
      <w:lvlText w:val="%1."/>
      <w:lvlJc w:val="left"/>
      <w:pPr>
        <w:ind w:hanging="360" w:left="643"/>
        <w:tabs>
          <w:tab w:val="num" w:pos="643" w:leader="none"/>
        </w:tabs>
      </w:pPr>
      <w:rPr/>
    </w:lvl>
    <w:lvl w:ilvl="1" w:tplc="1B47D9B3">
      <w:start w:val="1"/>
      <w:numFmt w:val="decimal"/>
      <w:suff w:val="tab"/>
      <w:lvlText w:val="%1."/>
      <w:lvlJc w:val="left"/>
      <w:pPr/>
      <w:rPr/>
    </w:lvl>
    <w:lvl w:ilvl="2" w:tplc="26E07B18">
      <w:start w:val="1"/>
      <w:numFmt w:val="decimal"/>
      <w:suff w:val="tab"/>
      <w:lvlText w:val="%1."/>
      <w:lvlJc w:val="left"/>
      <w:pPr/>
      <w:rPr/>
    </w:lvl>
    <w:lvl w:ilvl="3" w:tplc="439768B6">
      <w:start w:val="1"/>
      <w:numFmt w:val="decimal"/>
      <w:suff w:val="tab"/>
      <w:lvlText w:val="%1."/>
      <w:lvlJc w:val="left"/>
      <w:pPr/>
      <w:rPr/>
    </w:lvl>
    <w:lvl w:ilvl="4" w:tplc="3A879B96">
      <w:start w:val="1"/>
      <w:numFmt w:val="decimal"/>
      <w:suff w:val="tab"/>
      <w:lvlText w:val="%1."/>
      <w:lvlJc w:val="left"/>
      <w:pPr/>
      <w:rPr/>
    </w:lvl>
    <w:lvl w:ilvl="5" w:tplc="1666B05E">
      <w:start w:val="1"/>
      <w:numFmt w:val="decimal"/>
      <w:suff w:val="tab"/>
      <w:lvlText w:val="%1."/>
      <w:lvlJc w:val="left"/>
      <w:pPr/>
      <w:rPr/>
    </w:lvl>
    <w:lvl w:ilvl="6" w:tplc="56BE26F3">
      <w:start w:val="1"/>
      <w:numFmt w:val="decimal"/>
      <w:suff w:val="tab"/>
      <w:lvlText w:val="%1."/>
      <w:lvlJc w:val="left"/>
      <w:pPr/>
      <w:rPr/>
    </w:lvl>
    <w:lvl w:ilvl="7" w:tplc="55615E50">
      <w:start w:val="1"/>
      <w:numFmt w:val="decimal"/>
      <w:suff w:val="tab"/>
      <w:lvlText w:val="%1."/>
      <w:lvlJc w:val="left"/>
      <w:pPr/>
      <w:rPr/>
    </w:lvl>
    <w:lvl w:ilvl="8" w:tplc="5DA86350">
      <w:start w:val="1"/>
      <w:numFmt w:val="decimal"/>
      <w:suff w:val="tab"/>
      <w:lvlText w:val="%1."/>
      <w:lvlJc w:val="left"/>
      <w:pPr/>
      <w:rPr/>
    </w:lvl>
  </w:abstractNum>
  <w:abstractNum w:abstractNumId="5">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58B08786">
      <w:start w:val="1"/>
      <w:numFmt w:val="decimal"/>
      <w:suff w:val="tab"/>
      <w:lvlText w:val="%1."/>
      <w:lvlJc w:val="left"/>
      <w:pPr/>
      <w:rPr/>
    </w:lvl>
    <w:lvl w:ilvl="2" w:tplc="6AC6D28C">
      <w:start w:val="1"/>
      <w:numFmt w:val="decimal"/>
      <w:suff w:val="tab"/>
      <w:lvlText w:val="%1."/>
      <w:lvlJc w:val="left"/>
      <w:pPr/>
      <w:rPr/>
    </w:lvl>
    <w:lvl w:ilvl="3" w:tplc="07C51A3C">
      <w:start w:val="1"/>
      <w:numFmt w:val="decimal"/>
      <w:suff w:val="tab"/>
      <w:lvlText w:val="%1."/>
      <w:lvlJc w:val="left"/>
      <w:pPr/>
      <w:rPr/>
    </w:lvl>
    <w:lvl w:ilvl="4" w:tplc="2783AF30">
      <w:start w:val="1"/>
      <w:numFmt w:val="decimal"/>
      <w:suff w:val="tab"/>
      <w:lvlText w:val="%1."/>
      <w:lvlJc w:val="left"/>
      <w:pPr/>
      <w:rPr/>
    </w:lvl>
    <w:lvl w:ilvl="5" w:tplc="09256892">
      <w:start w:val="1"/>
      <w:numFmt w:val="decimal"/>
      <w:suff w:val="tab"/>
      <w:lvlText w:val="%1."/>
      <w:lvlJc w:val="left"/>
      <w:pPr/>
      <w:rPr/>
    </w:lvl>
    <w:lvl w:ilvl="6" w:tplc="4990B371">
      <w:start w:val="1"/>
      <w:numFmt w:val="decimal"/>
      <w:suff w:val="tab"/>
      <w:lvlText w:val="%1."/>
      <w:lvlJc w:val="left"/>
      <w:pPr/>
      <w:rPr/>
    </w:lvl>
    <w:lvl w:ilvl="7" w:tplc="7979D57B">
      <w:start w:val="1"/>
      <w:numFmt w:val="decimal"/>
      <w:suff w:val="tab"/>
      <w:lvlText w:val="%1."/>
      <w:lvlJc w:val="left"/>
      <w:pPr/>
      <w:rPr/>
    </w:lvl>
    <w:lvl w:ilvl="8" w:tplc="1A7FE9F7">
      <w:start w:val="1"/>
      <w:numFmt w:val="decimal"/>
      <w:suff w:val="tab"/>
      <w:lvlText w:val="%1."/>
      <w:lvlJc w:val="left"/>
      <w:pPr/>
      <w:rPr/>
    </w:lvl>
  </w:abstractNum>
  <w:abstractNum w:abstractNumId="6">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47AF6F20">
      <w:start w:val="1"/>
      <w:numFmt w:val="decimal"/>
      <w:suff w:val="tab"/>
      <w:lvlText w:val="%1."/>
      <w:lvlJc w:val="left"/>
      <w:pPr/>
      <w:rPr/>
    </w:lvl>
    <w:lvl w:ilvl="2" w:tplc="58538B7B">
      <w:start w:val="1"/>
      <w:numFmt w:val="decimal"/>
      <w:suff w:val="tab"/>
      <w:lvlText w:val="%1."/>
      <w:lvlJc w:val="left"/>
      <w:pPr/>
      <w:rPr/>
    </w:lvl>
    <w:lvl w:ilvl="3" w:tplc="57A4D3EF">
      <w:start w:val="1"/>
      <w:numFmt w:val="decimal"/>
      <w:suff w:val="tab"/>
      <w:lvlText w:val="%1."/>
      <w:lvlJc w:val="left"/>
      <w:pPr/>
      <w:rPr/>
    </w:lvl>
    <w:lvl w:ilvl="4" w:tplc="1793B1C8">
      <w:start w:val="1"/>
      <w:numFmt w:val="decimal"/>
      <w:suff w:val="tab"/>
      <w:lvlText w:val="%1."/>
      <w:lvlJc w:val="left"/>
      <w:pPr/>
      <w:rPr/>
    </w:lvl>
    <w:lvl w:ilvl="5" w:tplc="2EF5EE7D">
      <w:start w:val="1"/>
      <w:numFmt w:val="decimal"/>
      <w:suff w:val="tab"/>
      <w:lvlText w:val="%1."/>
      <w:lvlJc w:val="left"/>
      <w:pPr/>
      <w:rPr/>
    </w:lvl>
    <w:lvl w:ilvl="6" w:tplc="0463BDB0">
      <w:start w:val="1"/>
      <w:numFmt w:val="decimal"/>
      <w:suff w:val="tab"/>
      <w:lvlText w:val="%1."/>
      <w:lvlJc w:val="left"/>
      <w:pPr/>
      <w:rPr/>
    </w:lvl>
    <w:lvl w:ilvl="7" w:tplc="7EF2EF33">
      <w:start w:val="1"/>
      <w:numFmt w:val="decimal"/>
      <w:suff w:val="tab"/>
      <w:lvlText w:val="%1."/>
      <w:lvlJc w:val="left"/>
      <w:pPr/>
      <w:rPr/>
    </w:lvl>
    <w:lvl w:ilvl="8" w:tplc="1292A500">
      <w:start w:val="1"/>
      <w:numFmt w:val="decimal"/>
      <w:suff w:val="tab"/>
      <w:lvlText w:val="%1."/>
      <w:lvlJc w:val="left"/>
      <w:pPr/>
      <w:rPr/>
    </w:lvl>
  </w:abstractNum>
  <w:abstractNum w:abstractNumId="7">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078B6508">
      <w:start w:val="1"/>
      <w:numFmt w:val="decimal"/>
      <w:suff w:val="tab"/>
      <w:lvlText w:val="%1."/>
      <w:lvlJc w:val="left"/>
      <w:pPr/>
      <w:rPr/>
    </w:lvl>
    <w:lvl w:ilvl="2" w:tplc="7070B381">
      <w:start w:val="1"/>
      <w:numFmt w:val="decimal"/>
      <w:suff w:val="tab"/>
      <w:lvlText w:val="%1."/>
      <w:lvlJc w:val="left"/>
      <w:pPr/>
      <w:rPr/>
    </w:lvl>
    <w:lvl w:ilvl="3" w:tplc="5C54E957">
      <w:start w:val="1"/>
      <w:numFmt w:val="decimal"/>
      <w:suff w:val="tab"/>
      <w:lvlText w:val="%1."/>
      <w:lvlJc w:val="left"/>
      <w:pPr/>
      <w:rPr/>
    </w:lvl>
    <w:lvl w:ilvl="4" w:tplc="39EF83D0">
      <w:start w:val="1"/>
      <w:numFmt w:val="decimal"/>
      <w:suff w:val="tab"/>
      <w:lvlText w:val="%1."/>
      <w:lvlJc w:val="left"/>
      <w:pPr/>
      <w:rPr/>
    </w:lvl>
    <w:lvl w:ilvl="5" w:tplc="13D8E3E9">
      <w:start w:val="1"/>
      <w:numFmt w:val="decimal"/>
      <w:suff w:val="tab"/>
      <w:lvlText w:val="%1."/>
      <w:lvlJc w:val="left"/>
      <w:pPr/>
      <w:rPr/>
    </w:lvl>
    <w:lvl w:ilvl="6" w:tplc="61C2C719">
      <w:start w:val="1"/>
      <w:numFmt w:val="decimal"/>
      <w:suff w:val="tab"/>
      <w:lvlText w:val="%1."/>
      <w:lvlJc w:val="left"/>
      <w:pPr/>
      <w:rPr/>
    </w:lvl>
    <w:lvl w:ilvl="7" w:tplc="580DAF18">
      <w:start w:val="1"/>
      <w:numFmt w:val="decimal"/>
      <w:suff w:val="tab"/>
      <w:lvlText w:val="%1."/>
      <w:lvlJc w:val="left"/>
      <w:pPr/>
      <w:rPr/>
    </w:lvl>
    <w:lvl w:ilvl="8" w:tplc="49915718">
      <w:start w:val="1"/>
      <w:numFmt w:val="decimal"/>
      <w:suff w:val="tab"/>
      <w:lvlText w:val="%1."/>
      <w:lvlJc w:val="left"/>
      <w:pPr/>
      <w:rPr/>
    </w:lvl>
  </w:abstractNum>
  <w:abstractNum w:abstractNumId="8">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208A144E">
      <w:start w:val="1"/>
      <w:numFmt w:val="decimal"/>
      <w:suff w:val="tab"/>
      <w:lvlText w:val="%1."/>
      <w:lvlJc w:val="left"/>
      <w:pPr/>
      <w:rPr/>
    </w:lvl>
    <w:lvl w:ilvl="2" w:tplc="743933B5">
      <w:start w:val="1"/>
      <w:numFmt w:val="decimal"/>
      <w:suff w:val="tab"/>
      <w:lvlText w:val="%1."/>
      <w:lvlJc w:val="left"/>
      <w:pPr/>
      <w:rPr/>
    </w:lvl>
    <w:lvl w:ilvl="3" w:tplc="1C7A554C">
      <w:start w:val="1"/>
      <w:numFmt w:val="decimal"/>
      <w:suff w:val="tab"/>
      <w:lvlText w:val="%1."/>
      <w:lvlJc w:val="left"/>
      <w:pPr/>
      <w:rPr/>
    </w:lvl>
    <w:lvl w:ilvl="4" w:tplc="18264BD3">
      <w:start w:val="1"/>
      <w:numFmt w:val="decimal"/>
      <w:suff w:val="tab"/>
      <w:lvlText w:val="%1."/>
      <w:lvlJc w:val="left"/>
      <w:pPr/>
      <w:rPr/>
    </w:lvl>
    <w:lvl w:ilvl="5" w:tplc="2D7963E7">
      <w:start w:val="1"/>
      <w:numFmt w:val="decimal"/>
      <w:suff w:val="tab"/>
      <w:lvlText w:val="%1."/>
      <w:lvlJc w:val="left"/>
      <w:pPr/>
      <w:rPr/>
    </w:lvl>
    <w:lvl w:ilvl="6" w:tplc="2917EFBA">
      <w:start w:val="1"/>
      <w:numFmt w:val="decimal"/>
      <w:suff w:val="tab"/>
      <w:lvlText w:val="%1."/>
      <w:lvlJc w:val="left"/>
      <w:pPr/>
      <w:rPr/>
    </w:lvl>
    <w:lvl w:ilvl="7" w:tplc="5C93ABB0">
      <w:start w:val="1"/>
      <w:numFmt w:val="decimal"/>
      <w:suff w:val="tab"/>
      <w:lvlText w:val="%1."/>
      <w:lvlJc w:val="left"/>
      <w:pPr/>
      <w:rPr/>
    </w:lvl>
    <w:lvl w:ilvl="8" w:tplc="3D011A63">
      <w:start w:val="1"/>
      <w:numFmt w:val="decimal"/>
      <w:suff w:val="tab"/>
      <w:lvlText w:val="%1."/>
      <w:lvlJc w:val="left"/>
      <w:pPr/>
      <w:rPr/>
    </w:lvl>
  </w:abstractNum>
  <w:abstractNum w:abstractNumId="9">
    <w:nsid w:val="FFFFFF88"/>
    <w:multiLevelType w:val="hybridMultilevel"/>
    <w:lvl w:ilvl="0">
      <w:start w:val="1"/>
      <w:numFmt w:val="decimal"/>
      <w:suff w:val="tab"/>
      <w:lvlText w:val="%1."/>
      <w:lvlJc w:val="left"/>
      <w:pPr>
        <w:ind w:hanging="360" w:left="360"/>
        <w:tabs>
          <w:tab w:val="num" w:pos="360" w:leader="none"/>
        </w:tabs>
      </w:pPr>
      <w:rPr/>
    </w:lvl>
    <w:lvl w:ilvl="1" w:tplc="53BDA7D1">
      <w:start w:val="1"/>
      <w:numFmt w:val="decimal"/>
      <w:suff w:val="tab"/>
      <w:lvlText w:val="%1."/>
      <w:lvlJc w:val="left"/>
      <w:pPr/>
      <w:rPr/>
    </w:lvl>
    <w:lvl w:ilvl="2" w:tplc="2D4F7B88">
      <w:start w:val="1"/>
      <w:numFmt w:val="decimal"/>
      <w:suff w:val="tab"/>
      <w:lvlText w:val="%1."/>
      <w:lvlJc w:val="left"/>
      <w:pPr/>
      <w:rPr/>
    </w:lvl>
    <w:lvl w:ilvl="3" w:tplc="4DF67DDD">
      <w:start w:val="1"/>
      <w:numFmt w:val="decimal"/>
      <w:suff w:val="tab"/>
      <w:lvlText w:val="%1."/>
      <w:lvlJc w:val="left"/>
      <w:pPr/>
      <w:rPr/>
    </w:lvl>
    <w:lvl w:ilvl="4" w:tplc="22033A4A">
      <w:start w:val="1"/>
      <w:numFmt w:val="decimal"/>
      <w:suff w:val="tab"/>
      <w:lvlText w:val="%1."/>
      <w:lvlJc w:val="left"/>
      <w:pPr/>
      <w:rPr/>
    </w:lvl>
    <w:lvl w:ilvl="5" w:tplc="7E0A3D2F">
      <w:start w:val="1"/>
      <w:numFmt w:val="decimal"/>
      <w:suff w:val="tab"/>
      <w:lvlText w:val="%1."/>
      <w:lvlJc w:val="left"/>
      <w:pPr/>
      <w:rPr/>
    </w:lvl>
    <w:lvl w:ilvl="6" w:tplc="423DB16B">
      <w:start w:val="1"/>
      <w:numFmt w:val="decimal"/>
      <w:suff w:val="tab"/>
      <w:lvlText w:val="%1."/>
      <w:lvlJc w:val="left"/>
      <w:pPr/>
      <w:rPr/>
    </w:lvl>
    <w:lvl w:ilvl="7" w:tplc="4897C905">
      <w:start w:val="1"/>
      <w:numFmt w:val="decimal"/>
      <w:suff w:val="tab"/>
      <w:lvlText w:val="%1."/>
      <w:lvlJc w:val="left"/>
      <w:pPr/>
      <w:rPr/>
    </w:lvl>
    <w:lvl w:ilvl="8" w:tplc="6A29EDBF">
      <w:start w:val="1"/>
      <w:numFmt w:val="decimal"/>
      <w:suff w:val="tab"/>
      <w:lvlText w:val="%1."/>
      <w:lvlJc w:val="left"/>
      <w:pPr/>
      <w:rPr/>
    </w:lvl>
  </w:abstractNum>
  <w:abstractNum w:abstractNumId="10">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6508110A">
      <w:start w:val="1"/>
      <w:numFmt w:val="decimal"/>
      <w:suff w:val="tab"/>
      <w:lvlText w:val="%1."/>
      <w:lvlJc w:val="left"/>
      <w:pPr/>
      <w:rPr/>
    </w:lvl>
    <w:lvl w:ilvl="2" w:tplc="03B428EA">
      <w:start w:val="1"/>
      <w:numFmt w:val="decimal"/>
      <w:suff w:val="tab"/>
      <w:lvlText w:val="%1."/>
      <w:lvlJc w:val="left"/>
      <w:pPr/>
      <w:rPr/>
    </w:lvl>
    <w:lvl w:ilvl="3" w:tplc="77EA8C9A">
      <w:start w:val="1"/>
      <w:numFmt w:val="decimal"/>
      <w:suff w:val="tab"/>
      <w:lvlText w:val="%1."/>
      <w:lvlJc w:val="left"/>
      <w:pPr/>
      <w:rPr/>
    </w:lvl>
    <w:lvl w:ilvl="4" w:tplc="3F33AC06">
      <w:start w:val="1"/>
      <w:numFmt w:val="decimal"/>
      <w:suff w:val="tab"/>
      <w:lvlText w:val="%1."/>
      <w:lvlJc w:val="left"/>
      <w:pPr/>
      <w:rPr/>
    </w:lvl>
    <w:lvl w:ilvl="5" w:tplc="3B94AC62">
      <w:start w:val="1"/>
      <w:numFmt w:val="decimal"/>
      <w:suff w:val="tab"/>
      <w:lvlText w:val="%1."/>
      <w:lvlJc w:val="left"/>
      <w:pPr/>
      <w:rPr/>
    </w:lvl>
    <w:lvl w:ilvl="6" w:tplc="03D40C5D">
      <w:start w:val="1"/>
      <w:numFmt w:val="decimal"/>
      <w:suff w:val="tab"/>
      <w:lvlText w:val="%1."/>
      <w:lvlJc w:val="left"/>
      <w:pPr/>
      <w:rPr/>
    </w:lvl>
    <w:lvl w:ilvl="7" w:tplc="40605368">
      <w:start w:val="1"/>
      <w:numFmt w:val="decimal"/>
      <w:suff w:val="tab"/>
      <w:lvlText w:val="%1."/>
      <w:lvlJc w:val="left"/>
      <w:pPr/>
      <w:rPr/>
    </w:lvl>
    <w:lvl w:ilvl="8" w:tplc="4DD5FA47">
      <w:start w:val="1"/>
      <w:numFmt w:val="decimal"/>
      <w:suff w:val="tab"/>
      <w:lvlText w:val="%1."/>
      <w:lvlJc w:val="left"/>
      <w:pPr/>
      <w:rPr/>
    </w:lvl>
  </w:abstractNum>
  <w:abstractNum w:abstractNumId="11">
    <w:nsid w:val="0E0210DF"/>
    <w:multiLevelType w:val="hybridMultilevel"/>
    <w:lvl w:ilvl="0" w:tplc="9E84D27E">
      <w:start w:val="1"/>
      <w:numFmt w:val="decimal"/>
      <w:pStyle w:val="P1"/>
      <w:suff w:val="tab"/>
      <w:lvlText w:val="%1."/>
      <w:lvlJc w:val="left"/>
      <w:pPr>
        <w:ind w:hanging="360" w:left="1494"/>
      </w:pPr>
      <w:rPr>
        <w:rFonts w:hint="default"/>
      </w:rPr>
    </w:lvl>
    <w:lvl w:ilvl="1" w:tplc="041D0019">
      <w:start w:val="1"/>
      <w:numFmt w:val="lowerLetter"/>
      <w:suff w:val="tab"/>
      <w:lvlText w:val="%2."/>
      <w:lvlJc w:val="left"/>
      <w:pPr>
        <w:ind w:hanging="360" w:left="2214"/>
      </w:pPr>
      <w:rPr/>
    </w:lvl>
    <w:lvl w:ilvl="2" w:tplc="041D001B">
      <w:start w:val="1"/>
      <w:numFmt w:val="lowerRoman"/>
      <w:suff w:val="tab"/>
      <w:lvlText w:val="%3."/>
      <w:lvlJc w:val="right"/>
      <w:pPr>
        <w:ind w:hanging="180" w:left="2934"/>
      </w:pPr>
      <w:rPr/>
    </w:lvl>
    <w:lvl w:ilvl="3" w:tplc="041D000F">
      <w:start w:val="1"/>
      <w:numFmt w:val="decimal"/>
      <w:suff w:val="tab"/>
      <w:lvlText w:val="%4."/>
      <w:lvlJc w:val="left"/>
      <w:pPr>
        <w:ind w:hanging="360" w:left="3654"/>
      </w:pPr>
      <w:rPr/>
    </w:lvl>
    <w:lvl w:ilvl="4" w:tplc="041D0019">
      <w:start w:val="1"/>
      <w:numFmt w:val="lowerLetter"/>
      <w:suff w:val="tab"/>
      <w:lvlText w:val="%5."/>
      <w:lvlJc w:val="left"/>
      <w:pPr>
        <w:ind w:hanging="360" w:left="4374"/>
      </w:pPr>
      <w:rPr/>
    </w:lvl>
    <w:lvl w:ilvl="5" w:tplc="041D001B">
      <w:start w:val="1"/>
      <w:numFmt w:val="lowerRoman"/>
      <w:suff w:val="tab"/>
      <w:lvlText w:val="%6."/>
      <w:lvlJc w:val="right"/>
      <w:pPr>
        <w:ind w:hanging="180" w:left="5094"/>
      </w:pPr>
      <w:rPr/>
    </w:lvl>
    <w:lvl w:ilvl="6" w:tplc="041D000F">
      <w:start w:val="1"/>
      <w:numFmt w:val="decimal"/>
      <w:suff w:val="tab"/>
      <w:lvlText w:val="%7."/>
      <w:lvlJc w:val="left"/>
      <w:pPr>
        <w:ind w:hanging="360" w:left="5814"/>
      </w:pPr>
      <w:rPr/>
    </w:lvl>
    <w:lvl w:ilvl="7" w:tplc="041D0019">
      <w:start w:val="1"/>
      <w:numFmt w:val="lowerLetter"/>
      <w:suff w:val="tab"/>
      <w:lvlText w:val="%8."/>
      <w:lvlJc w:val="left"/>
      <w:pPr>
        <w:ind w:hanging="360" w:left="6534"/>
      </w:pPr>
      <w:rPr/>
    </w:lvl>
    <w:lvl w:ilvl="8" w:tplc="041D001B">
      <w:start w:val="1"/>
      <w:numFmt w:val="lowerRoman"/>
      <w:suff w:val="tab"/>
      <w:lvlText w:val="%9."/>
      <w:lvlJc w:val="right"/>
      <w:pPr>
        <w:ind w:hanging="180" w:left="7254"/>
      </w:pPr>
      <w:rPr/>
    </w:lvl>
  </w:abstractNum>
  <w:abstractNum w:abstractNumId="12">
    <w:nsid w:val="11226D86"/>
    <w:multiLevelType w:val="multilevel"/>
    <w:lvl w:ilvl="0">
      <w:start w:val="1"/>
      <w:numFmt w:val="bullet"/>
      <w:suff w:val="tab"/>
      <w:lvlText w:val=""/>
      <w:lvlJc w:val="left"/>
      <w:pPr>
        <w:ind w:hanging="360" w:left="3195"/>
        <w:tabs>
          <w:tab w:val="num" w:pos="3195" w:leader="none"/>
        </w:tabs>
      </w:pPr>
      <w:rPr>
        <w:rFonts w:ascii="Wingdings" w:hAnsi="Wingdings" w:hint="default"/>
      </w:rPr>
    </w:lvl>
    <w:lvl w:ilvl="1">
      <w:start w:val="1"/>
      <w:numFmt w:val="bullet"/>
      <w:suff w:val="tab"/>
      <w:lvlText w:val="o"/>
      <w:lvlJc w:val="left"/>
      <w:pPr>
        <w:ind w:hanging="360" w:left="2574"/>
        <w:tabs>
          <w:tab w:val="num" w:pos="2574" w:leader="none"/>
        </w:tabs>
      </w:pPr>
      <w:rPr>
        <w:rFonts w:ascii="Courier New" w:hAnsi="Courier New" w:cs="Courier New" w:hint="default"/>
      </w:rPr>
    </w:lvl>
    <w:lvl w:ilvl="2">
      <w:start w:val="1"/>
      <w:numFmt w:val="bullet"/>
      <w:suff w:val="tab"/>
      <w:lvlText w:val=""/>
      <w:lvlJc w:val="left"/>
      <w:pPr>
        <w:ind w:hanging="360" w:left="3294"/>
        <w:tabs>
          <w:tab w:val="num" w:pos="3294" w:leader="none"/>
        </w:tabs>
      </w:pPr>
      <w:rPr>
        <w:rFonts w:ascii="Wingdings" w:hAnsi="Wingdings" w:hint="default"/>
      </w:rPr>
    </w:lvl>
    <w:lvl w:ilvl="3">
      <w:start w:val="1"/>
      <w:numFmt w:val="bullet"/>
      <w:suff w:val="tab"/>
      <w:lvlText w:val=""/>
      <w:lvlJc w:val="left"/>
      <w:pPr>
        <w:ind w:hanging="360" w:left="4014"/>
        <w:tabs>
          <w:tab w:val="num" w:pos="4014" w:leader="none"/>
        </w:tabs>
      </w:pPr>
      <w:rPr>
        <w:rFonts w:ascii="Symbol" w:hAnsi="Symbol" w:hint="default"/>
      </w:rPr>
    </w:lvl>
    <w:lvl w:ilvl="4">
      <w:start w:val="1"/>
      <w:numFmt w:val="bullet"/>
      <w:suff w:val="tab"/>
      <w:lvlText w:val="o"/>
      <w:lvlJc w:val="left"/>
      <w:pPr>
        <w:ind w:hanging="360" w:left="4734"/>
        <w:tabs>
          <w:tab w:val="num" w:pos="4734" w:leader="none"/>
        </w:tabs>
      </w:pPr>
      <w:rPr>
        <w:rFonts w:ascii="Courier New" w:hAnsi="Courier New" w:cs="Courier New" w:hint="default"/>
      </w:rPr>
    </w:lvl>
    <w:lvl w:ilvl="5">
      <w:start w:val="1"/>
      <w:numFmt w:val="bullet"/>
      <w:suff w:val="tab"/>
      <w:lvlText w:val=""/>
      <w:lvlJc w:val="left"/>
      <w:pPr>
        <w:ind w:hanging="360" w:left="5454"/>
        <w:tabs>
          <w:tab w:val="num" w:pos="5454" w:leader="none"/>
        </w:tabs>
      </w:pPr>
      <w:rPr>
        <w:rFonts w:ascii="Wingdings" w:hAnsi="Wingdings" w:hint="default"/>
      </w:rPr>
    </w:lvl>
    <w:lvl w:ilvl="6">
      <w:start w:val="1"/>
      <w:numFmt w:val="bullet"/>
      <w:suff w:val="tab"/>
      <w:lvlText w:val=""/>
      <w:lvlJc w:val="left"/>
      <w:pPr>
        <w:ind w:hanging="360" w:left="6174"/>
        <w:tabs>
          <w:tab w:val="num" w:pos="6174" w:leader="none"/>
        </w:tabs>
      </w:pPr>
      <w:rPr>
        <w:rFonts w:ascii="Symbol" w:hAnsi="Symbol" w:hint="default"/>
      </w:rPr>
    </w:lvl>
    <w:lvl w:ilvl="7">
      <w:start w:val="1"/>
      <w:numFmt w:val="bullet"/>
      <w:suff w:val="tab"/>
      <w:lvlText w:val="o"/>
      <w:lvlJc w:val="left"/>
      <w:pPr>
        <w:ind w:hanging="360" w:left="6894"/>
        <w:tabs>
          <w:tab w:val="num" w:pos="6894" w:leader="none"/>
        </w:tabs>
      </w:pPr>
      <w:rPr>
        <w:rFonts w:ascii="Courier New" w:hAnsi="Courier New" w:cs="Courier New" w:hint="default"/>
      </w:rPr>
    </w:lvl>
    <w:lvl w:ilvl="8">
      <w:start w:val="1"/>
      <w:numFmt w:val="bullet"/>
      <w:suff w:val="tab"/>
      <w:lvlText w:val=""/>
      <w:lvlJc w:val="left"/>
      <w:pPr>
        <w:ind w:hanging="360" w:left="7614"/>
        <w:tabs>
          <w:tab w:val="num" w:pos="7614" w:leader="none"/>
        </w:tabs>
      </w:pPr>
      <w:rPr>
        <w:rFonts w:ascii="Wingdings" w:hAnsi="Wingdings" w:hint="default"/>
      </w:rPr>
    </w:lvl>
  </w:abstractNum>
  <w:abstractNum w:abstractNumId="13">
    <w:nsid w:val="11D60043"/>
    <w:multiLevelType w:val="hybridMultilevel"/>
    <w:lvl w:ilvl="0" w:tplc="041D0001">
      <w:start w:val="1"/>
      <w:numFmt w:val="bullet"/>
      <w:suff w:val="tab"/>
      <w:lvlText w:val=""/>
      <w:lvlJc w:val="left"/>
      <w:pPr>
        <w:ind w:hanging="360" w:left="1539"/>
      </w:pPr>
      <w:rPr>
        <w:rFonts w:ascii="Symbol" w:hAnsi="Symbol" w:hint="default"/>
      </w:rPr>
    </w:lvl>
    <w:lvl w:ilvl="1" w:tplc="FFFFFFFF">
      <w:start w:val="1"/>
      <w:numFmt w:val="bullet"/>
      <w:suff w:val="tab"/>
      <w:lvlText w:val="o"/>
      <w:lvlJc w:val="left"/>
      <w:pPr>
        <w:ind w:hanging="360" w:left="2259"/>
      </w:pPr>
      <w:rPr>
        <w:rFonts w:ascii="Courier New" w:hAnsi="Courier New" w:cs="Courier New" w:hint="default"/>
      </w:rPr>
    </w:lvl>
    <w:lvl w:ilvl="2" w:tplc="FFFFFFFF">
      <w:start w:val="1"/>
      <w:numFmt w:val="bullet"/>
      <w:suff w:val="tab"/>
      <w:lvlText w:val=""/>
      <w:lvlJc w:val="left"/>
      <w:pPr>
        <w:ind w:hanging="360" w:left="2979"/>
      </w:pPr>
      <w:rPr>
        <w:rFonts w:ascii="Wingdings" w:hAnsi="Wingdings" w:hint="default"/>
      </w:rPr>
    </w:lvl>
    <w:lvl w:ilvl="3" w:tplc="FFFFFFFF">
      <w:start w:val="1"/>
      <w:numFmt w:val="bullet"/>
      <w:suff w:val="tab"/>
      <w:lvlText w:val=""/>
      <w:lvlJc w:val="left"/>
      <w:pPr>
        <w:ind w:hanging="360" w:left="3699"/>
      </w:pPr>
      <w:rPr>
        <w:rFonts w:ascii="Symbol" w:hAnsi="Symbol" w:hint="default"/>
      </w:rPr>
    </w:lvl>
    <w:lvl w:ilvl="4" w:tplc="FFFFFFFF">
      <w:start w:val="1"/>
      <w:numFmt w:val="bullet"/>
      <w:suff w:val="tab"/>
      <w:lvlText w:val="o"/>
      <w:lvlJc w:val="left"/>
      <w:pPr>
        <w:ind w:hanging="360" w:left="4419"/>
      </w:pPr>
      <w:rPr>
        <w:rFonts w:ascii="Courier New" w:hAnsi="Courier New" w:cs="Courier New" w:hint="default"/>
      </w:rPr>
    </w:lvl>
    <w:lvl w:ilvl="5" w:tplc="FFFFFFFF">
      <w:start w:val="1"/>
      <w:numFmt w:val="bullet"/>
      <w:suff w:val="tab"/>
      <w:lvlText w:val=""/>
      <w:lvlJc w:val="left"/>
      <w:pPr>
        <w:ind w:hanging="360" w:left="5139"/>
      </w:pPr>
      <w:rPr>
        <w:rFonts w:ascii="Wingdings" w:hAnsi="Wingdings" w:hint="default"/>
      </w:rPr>
    </w:lvl>
    <w:lvl w:ilvl="6" w:tplc="FFFFFFFF">
      <w:start w:val="1"/>
      <w:numFmt w:val="bullet"/>
      <w:suff w:val="tab"/>
      <w:lvlText w:val=""/>
      <w:lvlJc w:val="left"/>
      <w:pPr>
        <w:ind w:hanging="360" w:left="5859"/>
      </w:pPr>
      <w:rPr>
        <w:rFonts w:ascii="Symbol" w:hAnsi="Symbol" w:hint="default"/>
      </w:rPr>
    </w:lvl>
    <w:lvl w:ilvl="7" w:tplc="FFFFFFFF">
      <w:start w:val="1"/>
      <w:numFmt w:val="bullet"/>
      <w:suff w:val="tab"/>
      <w:lvlText w:val="o"/>
      <w:lvlJc w:val="left"/>
      <w:pPr>
        <w:ind w:hanging="360" w:left="6579"/>
      </w:pPr>
      <w:rPr>
        <w:rFonts w:ascii="Courier New" w:hAnsi="Courier New" w:cs="Courier New" w:hint="default"/>
      </w:rPr>
    </w:lvl>
    <w:lvl w:ilvl="8" w:tplc="FFFFFFFF">
      <w:start w:val="1"/>
      <w:numFmt w:val="bullet"/>
      <w:suff w:val="tab"/>
      <w:lvlText w:val=""/>
      <w:lvlJc w:val="left"/>
      <w:pPr>
        <w:ind w:hanging="360" w:left="7299"/>
      </w:pPr>
      <w:rPr>
        <w:rFonts w:ascii="Wingdings" w:hAnsi="Wingdings" w:hint="default"/>
      </w:rPr>
    </w:lvl>
  </w:abstractNum>
  <w:abstractNum w:abstractNumId="14">
    <w:nsid w:val="1B16070C"/>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5">
    <w:nsid w:val="2CCC5093"/>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6">
    <w:nsid w:val="450D3C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4802416F"/>
    <w:multiLevelType w:val="hybridMultilevel"/>
    <w:lvl w:ilvl="0" w:tplc="67B62E12">
      <w:start w:val="1"/>
      <w:numFmt w:val="decimal"/>
      <w:suff w:val="tab"/>
      <w:lvlText w:val="%1."/>
      <w:lvlJc w:val="left"/>
      <w:pPr>
        <w:ind w:hanging="360" w:left="643"/>
      </w:pPr>
      <w:rPr>
        <w:rFonts w:hint="default"/>
        <w:b w:val="1"/>
      </w:rPr>
    </w:lvl>
    <w:lvl w:ilvl="1" w:tplc="041D0019">
      <w:start w:val="1"/>
      <w:numFmt w:val="lowerLetter"/>
      <w:suff w:val="tab"/>
      <w:lvlText w:val="%2."/>
      <w:lvlJc w:val="left"/>
      <w:pPr>
        <w:ind w:hanging="360" w:left="1363"/>
      </w:pPr>
      <w:rPr/>
    </w:lvl>
    <w:lvl w:ilvl="2" w:tplc="041D001B">
      <w:start w:val="1"/>
      <w:numFmt w:val="lowerRoman"/>
      <w:suff w:val="tab"/>
      <w:lvlText w:val="%3."/>
      <w:lvlJc w:val="right"/>
      <w:pPr>
        <w:ind w:hanging="180" w:left="2083"/>
      </w:pPr>
      <w:rPr/>
    </w:lvl>
    <w:lvl w:ilvl="3" w:tplc="041D000F">
      <w:start w:val="1"/>
      <w:numFmt w:val="decimal"/>
      <w:suff w:val="tab"/>
      <w:lvlText w:val="%4."/>
      <w:lvlJc w:val="left"/>
      <w:pPr>
        <w:ind w:hanging="360" w:left="2803"/>
      </w:pPr>
      <w:rPr/>
    </w:lvl>
    <w:lvl w:ilvl="4" w:tplc="041D0019">
      <w:start w:val="1"/>
      <w:numFmt w:val="lowerLetter"/>
      <w:suff w:val="tab"/>
      <w:lvlText w:val="%5."/>
      <w:lvlJc w:val="left"/>
      <w:pPr>
        <w:ind w:hanging="360" w:left="3523"/>
      </w:pPr>
      <w:rPr/>
    </w:lvl>
    <w:lvl w:ilvl="5" w:tplc="041D001B">
      <w:start w:val="1"/>
      <w:numFmt w:val="lowerRoman"/>
      <w:suff w:val="tab"/>
      <w:lvlText w:val="%6."/>
      <w:lvlJc w:val="right"/>
      <w:pPr>
        <w:ind w:hanging="180" w:left="4243"/>
      </w:pPr>
      <w:rPr/>
    </w:lvl>
    <w:lvl w:ilvl="6" w:tplc="041D000F">
      <w:start w:val="1"/>
      <w:numFmt w:val="decimal"/>
      <w:suff w:val="tab"/>
      <w:lvlText w:val="%7."/>
      <w:lvlJc w:val="left"/>
      <w:pPr>
        <w:ind w:hanging="360" w:left="4963"/>
      </w:pPr>
      <w:rPr/>
    </w:lvl>
    <w:lvl w:ilvl="7" w:tplc="041D0019">
      <w:start w:val="1"/>
      <w:numFmt w:val="lowerLetter"/>
      <w:suff w:val="tab"/>
      <w:lvlText w:val="%8."/>
      <w:lvlJc w:val="left"/>
      <w:pPr>
        <w:ind w:hanging="360" w:left="5683"/>
      </w:pPr>
      <w:rPr/>
    </w:lvl>
    <w:lvl w:ilvl="8" w:tplc="041D001B">
      <w:start w:val="1"/>
      <w:numFmt w:val="lowerRoman"/>
      <w:suff w:val="tab"/>
      <w:lvlText w:val="%9."/>
      <w:lvlJc w:val="right"/>
      <w:pPr>
        <w:ind w:hanging="180" w:left="6403"/>
      </w:pPr>
      <w:rPr/>
    </w:lvl>
  </w:abstractNum>
  <w:abstractNum w:abstractNumId="18">
    <w:nsid w:val="48F347D8"/>
    <w:multiLevelType w:val="hybridMultilevel"/>
    <w:lvl w:ilvl="0" w:tplc="E38C0892">
      <w:start w:val="1"/>
      <w:numFmt w:val="bullet"/>
      <w:pStyle w:val="P9"/>
      <w:suff w:val="tab"/>
      <w:lvlText w:val=""/>
      <w:lvlJc w:val="left"/>
      <w:pPr>
        <w:ind w:hanging="360" w:left="3195"/>
        <w:tabs>
          <w:tab w:val="num" w:pos="3195" w:leader="none"/>
        </w:tabs>
      </w:pPr>
      <w:rPr>
        <w:rFonts w:ascii="Wingdings" w:hAnsi="Wingdings" w:hint="default"/>
      </w:rPr>
    </w:lvl>
    <w:lvl w:ilvl="1" w:tplc="041D0003">
      <w:start w:val="1"/>
      <w:numFmt w:val="bullet"/>
      <w:suff w:val="tab"/>
      <w:lvlText w:val="o"/>
      <w:lvlJc w:val="left"/>
      <w:pPr>
        <w:ind w:hanging="360" w:left="2574"/>
        <w:tabs>
          <w:tab w:val="num" w:pos="2574" w:leader="none"/>
        </w:tabs>
      </w:pPr>
      <w:rPr>
        <w:rFonts w:ascii="Courier New" w:hAnsi="Courier New" w:cs="Courier New" w:hint="default"/>
      </w:rPr>
    </w:lvl>
    <w:lvl w:ilvl="2" w:tplc="041D0005">
      <w:start w:val="1"/>
      <w:numFmt w:val="bullet"/>
      <w:suff w:val="tab"/>
      <w:lvlText w:val=""/>
      <w:lvlJc w:val="left"/>
      <w:pPr>
        <w:ind w:hanging="360" w:left="3294"/>
        <w:tabs>
          <w:tab w:val="num" w:pos="3294" w:leader="none"/>
        </w:tabs>
      </w:pPr>
      <w:rPr>
        <w:rFonts w:ascii="Wingdings" w:hAnsi="Wingdings" w:hint="default"/>
      </w:rPr>
    </w:lvl>
    <w:lvl w:ilvl="3" w:tplc="041D0001">
      <w:start w:val="1"/>
      <w:numFmt w:val="bullet"/>
      <w:suff w:val="tab"/>
      <w:lvlText w:val=""/>
      <w:lvlJc w:val="left"/>
      <w:pPr>
        <w:ind w:hanging="360" w:left="4014"/>
        <w:tabs>
          <w:tab w:val="num" w:pos="4014" w:leader="none"/>
        </w:tabs>
      </w:pPr>
      <w:rPr>
        <w:rFonts w:ascii="Symbol" w:hAnsi="Symbol" w:hint="default"/>
      </w:rPr>
    </w:lvl>
    <w:lvl w:ilvl="4" w:tplc="041D0003">
      <w:start w:val="1"/>
      <w:numFmt w:val="bullet"/>
      <w:suff w:val="tab"/>
      <w:lvlText w:val="o"/>
      <w:lvlJc w:val="left"/>
      <w:pPr>
        <w:ind w:hanging="360" w:left="4734"/>
        <w:tabs>
          <w:tab w:val="num" w:pos="4734" w:leader="none"/>
        </w:tabs>
      </w:pPr>
      <w:rPr>
        <w:rFonts w:ascii="Courier New" w:hAnsi="Courier New" w:cs="Courier New" w:hint="default"/>
      </w:rPr>
    </w:lvl>
    <w:lvl w:ilvl="5" w:tplc="041D0005">
      <w:start w:val="1"/>
      <w:numFmt w:val="bullet"/>
      <w:suff w:val="tab"/>
      <w:lvlText w:val=""/>
      <w:lvlJc w:val="left"/>
      <w:pPr>
        <w:ind w:hanging="360" w:left="5454"/>
        <w:tabs>
          <w:tab w:val="num" w:pos="5454" w:leader="none"/>
        </w:tabs>
      </w:pPr>
      <w:rPr>
        <w:rFonts w:ascii="Wingdings" w:hAnsi="Wingdings" w:hint="default"/>
      </w:rPr>
    </w:lvl>
    <w:lvl w:ilvl="6" w:tplc="041D0001">
      <w:start w:val="1"/>
      <w:numFmt w:val="bullet"/>
      <w:suff w:val="tab"/>
      <w:lvlText w:val=""/>
      <w:lvlJc w:val="left"/>
      <w:pPr>
        <w:ind w:hanging="360" w:left="6174"/>
        <w:tabs>
          <w:tab w:val="num" w:pos="6174" w:leader="none"/>
        </w:tabs>
      </w:pPr>
      <w:rPr>
        <w:rFonts w:ascii="Symbol" w:hAnsi="Symbol" w:hint="default"/>
      </w:rPr>
    </w:lvl>
    <w:lvl w:ilvl="7" w:tplc="041D0003">
      <w:start w:val="1"/>
      <w:numFmt w:val="bullet"/>
      <w:suff w:val="tab"/>
      <w:lvlText w:val="o"/>
      <w:lvlJc w:val="left"/>
      <w:pPr>
        <w:ind w:hanging="360" w:left="6894"/>
        <w:tabs>
          <w:tab w:val="num" w:pos="6894" w:leader="none"/>
        </w:tabs>
      </w:pPr>
      <w:rPr>
        <w:rFonts w:ascii="Courier New" w:hAnsi="Courier New" w:cs="Courier New" w:hint="default"/>
      </w:rPr>
    </w:lvl>
    <w:lvl w:ilvl="8" w:tplc="041D0005">
      <w:start w:val="1"/>
      <w:numFmt w:val="bullet"/>
      <w:suff w:val="tab"/>
      <w:lvlText w:val=""/>
      <w:lvlJc w:val="left"/>
      <w:pPr>
        <w:ind w:hanging="360" w:left="7614"/>
        <w:tabs>
          <w:tab w:val="num" w:pos="7614" w:leader="none"/>
        </w:tabs>
      </w:pPr>
      <w:rPr>
        <w:rFonts w:ascii="Wingdings" w:hAnsi="Wingdings" w:hint="default"/>
      </w:rPr>
    </w:lvl>
  </w:abstractNum>
  <w:abstractNum w:abstractNumId="19">
    <w:nsid w:val="496D2BE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0">
    <w:nsid w:val="5840558F"/>
    <w:multiLevelType w:val="hybridMultilevel"/>
    <w:lvl w:ilvl="0" w:tplc="B142A0C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1">
    <w:nsid w:val="60E879C2"/>
    <w:multiLevelType w:val="hybridMultilevel"/>
    <w:lvl w:ilvl="0" w:tplc="3604C188">
      <w:start w:val="0"/>
      <w:numFmt w:val="bullet"/>
      <w:suff w:val="tab"/>
      <w:lvlText w:val="-"/>
      <w:lvlJc w:val="left"/>
      <w:pPr>
        <w:ind w:hanging="360" w:left="1539"/>
      </w:pPr>
      <w:rPr>
        <w:rFonts w:ascii="Calibri Light" w:hAnsi="Calibri Light" w:cs="Calibri Light" w:eastAsia="Times New Roman" w:hint="default"/>
      </w:rPr>
    </w:lvl>
    <w:lvl w:ilvl="1" w:tplc="041D0003">
      <w:start w:val="1"/>
      <w:numFmt w:val="bullet"/>
      <w:suff w:val="tab"/>
      <w:lvlText w:val="o"/>
      <w:lvlJc w:val="left"/>
      <w:pPr>
        <w:ind w:hanging="360" w:left="2259"/>
      </w:pPr>
      <w:rPr>
        <w:rFonts w:ascii="Courier New" w:hAnsi="Courier New" w:cs="Courier New" w:hint="default"/>
      </w:rPr>
    </w:lvl>
    <w:lvl w:ilvl="2" w:tplc="041D0005">
      <w:start w:val="1"/>
      <w:numFmt w:val="bullet"/>
      <w:suff w:val="tab"/>
      <w:lvlText w:val=""/>
      <w:lvlJc w:val="left"/>
      <w:pPr>
        <w:ind w:hanging="360" w:left="2979"/>
      </w:pPr>
      <w:rPr>
        <w:rFonts w:ascii="Wingdings" w:hAnsi="Wingdings" w:hint="default"/>
      </w:rPr>
    </w:lvl>
    <w:lvl w:ilvl="3" w:tplc="041D0001">
      <w:start w:val="1"/>
      <w:numFmt w:val="bullet"/>
      <w:suff w:val="tab"/>
      <w:lvlText w:val=""/>
      <w:lvlJc w:val="left"/>
      <w:pPr>
        <w:ind w:hanging="360" w:left="3699"/>
      </w:pPr>
      <w:rPr>
        <w:rFonts w:ascii="Symbol" w:hAnsi="Symbol" w:hint="default"/>
      </w:rPr>
    </w:lvl>
    <w:lvl w:ilvl="4" w:tplc="041D0003">
      <w:start w:val="1"/>
      <w:numFmt w:val="bullet"/>
      <w:suff w:val="tab"/>
      <w:lvlText w:val="o"/>
      <w:lvlJc w:val="left"/>
      <w:pPr>
        <w:ind w:hanging="360" w:left="4419"/>
      </w:pPr>
      <w:rPr>
        <w:rFonts w:ascii="Courier New" w:hAnsi="Courier New" w:cs="Courier New" w:hint="default"/>
      </w:rPr>
    </w:lvl>
    <w:lvl w:ilvl="5" w:tplc="041D0005">
      <w:start w:val="1"/>
      <w:numFmt w:val="bullet"/>
      <w:suff w:val="tab"/>
      <w:lvlText w:val=""/>
      <w:lvlJc w:val="left"/>
      <w:pPr>
        <w:ind w:hanging="360" w:left="5139"/>
      </w:pPr>
      <w:rPr>
        <w:rFonts w:ascii="Wingdings" w:hAnsi="Wingdings" w:hint="default"/>
      </w:rPr>
    </w:lvl>
    <w:lvl w:ilvl="6" w:tplc="041D0001">
      <w:start w:val="1"/>
      <w:numFmt w:val="bullet"/>
      <w:suff w:val="tab"/>
      <w:lvlText w:val=""/>
      <w:lvlJc w:val="left"/>
      <w:pPr>
        <w:ind w:hanging="360" w:left="5859"/>
      </w:pPr>
      <w:rPr>
        <w:rFonts w:ascii="Symbol" w:hAnsi="Symbol" w:hint="default"/>
      </w:rPr>
    </w:lvl>
    <w:lvl w:ilvl="7" w:tplc="041D0003">
      <w:start w:val="1"/>
      <w:numFmt w:val="bullet"/>
      <w:suff w:val="tab"/>
      <w:lvlText w:val="o"/>
      <w:lvlJc w:val="left"/>
      <w:pPr>
        <w:ind w:hanging="360" w:left="6579"/>
      </w:pPr>
      <w:rPr>
        <w:rFonts w:ascii="Courier New" w:hAnsi="Courier New" w:cs="Courier New" w:hint="default"/>
      </w:rPr>
    </w:lvl>
    <w:lvl w:ilvl="8" w:tplc="041D0005">
      <w:start w:val="1"/>
      <w:numFmt w:val="bullet"/>
      <w:suff w:val="tab"/>
      <w:lvlText w:val=""/>
      <w:lvlJc w:val="left"/>
      <w:pPr>
        <w:ind w:hanging="360" w:left="7299"/>
      </w:pPr>
      <w:rPr>
        <w:rFonts w:ascii="Wingdings" w:hAnsi="Wingdings" w:hint="default"/>
      </w:rPr>
    </w:lvl>
  </w:abstractNum>
  <w:abstractNum w:abstractNumId="22">
    <w:nsid w:val="6359240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3">
    <w:nsid w:val="679A5D29"/>
    <w:multiLevelType w:val="hybridMultilevel"/>
    <w:lvl w:ilvl="0" w:tplc="041D0001">
      <w:start w:val="1"/>
      <w:numFmt w:val="bullet"/>
      <w:suff w:val="tab"/>
      <w:lvlText w:val=""/>
      <w:lvlJc w:val="left"/>
      <w:pPr>
        <w:ind w:hanging="360" w:left="1899"/>
      </w:pPr>
      <w:rPr>
        <w:rFonts w:ascii="Symbol" w:hAnsi="Symbol" w:hint="default"/>
      </w:rPr>
    </w:lvl>
    <w:lvl w:ilvl="1" w:tplc="041D0003">
      <w:start w:val="1"/>
      <w:numFmt w:val="bullet"/>
      <w:suff w:val="tab"/>
      <w:lvlText w:val="o"/>
      <w:lvlJc w:val="left"/>
      <w:pPr>
        <w:ind w:hanging="360" w:left="2619"/>
      </w:pPr>
      <w:rPr>
        <w:rFonts w:ascii="Courier New" w:hAnsi="Courier New" w:cs="Courier New" w:hint="default"/>
      </w:rPr>
    </w:lvl>
    <w:lvl w:ilvl="2" w:tplc="041D0005">
      <w:start w:val="1"/>
      <w:numFmt w:val="bullet"/>
      <w:suff w:val="tab"/>
      <w:lvlText w:val=""/>
      <w:lvlJc w:val="left"/>
      <w:pPr>
        <w:ind w:hanging="360" w:left="3339"/>
      </w:pPr>
      <w:rPr>
        <w:rFonts w:ascii="Wingdings" w:hAnsi="Wingdings" w:hint="default"/>
      </w:rPr>
    </w:lvl>
    <w:lvl w:ilvl="3" w:tplc="041D0001">
      <w:start w:val="1"/>
      <w:numFmt w:val="bullet"/>
      <w:suff w:val="tab"/>
      <w:lvlText w:val=""/>
      <w:lvlJc w:val="left"/>
      <w:pPr>
        <w:ind w:hanging="360" w:left="4059"/>
      </w:pPr>
      <w:rPr>
        <w:rFonts w:ascii="Symbol" w:hAnsi="Symbol" w:hint="default"/>
      </w:rPr>
    </w:lvl>
    <w:lvl w:ilvl="4" w:tplc="041D0003">
      <w:start w:val="1"/>
      <w:numFmt w:val="bullet"/>
      <w:suff w:val="tab"/>
      <w:lvlText w:val="o"/>
      <w:lvlJc w:val="left"/>
      <w:pPr>
        <w:ind w:hanging="360" w:left="4779"/>
      </w:pPr>
      <w:rPr>
        <w:rFonts w:ascii="Courier New" w:hAnsi="Courier New" w:cs="Courier New" w:hint="default"/>
      </w:rPr>
    </w:lvl>
    <w:lvl w:ilvl="5" w:tplc="041D0005">
      <w:start w:val="1"/>
      <w:numFmt w:val="bullet"/>
      <w:suff w:val="tab"/>
      <w:lvlText w:val=""/>
      <w:lvlJc w:val="left"/>
      <w:pPr>
        <w:ind w:hanging="360" w:left="5499"/>
      </w:pPr>
      <w:rPr>
        <w:rFonts w:ascii="Wingdings" w:hAnsi="Wingdings" w:hint="default"/>
      </w:rPr>
    </w:lvl>
    <w:lvl w:ilvl="6" w:tplc="041D0001">
      <w:start w:val="1"/>
      <w:numFmt w:val="bullet"/>
      <w:suff w:val="tab"/>
      <w:lvlText w:val=""/>
      <w:lvlJc w:val="left"/>
      <w:pPr>
        <w:ind w:hanging="360" w:left="6219"/>
      </w:pPr>
      <w:rPr>
        <w:rFonts w:ascii="Symbol" w:hAnsi="Symbol" w:hint="default"/>
      </w:rPr>
    </w:lvl>
    <w:lvl w:ilvl="7" w:tplc="041D0003">
      <w:start w:val="1"/>
      <w:numFmt w:val="bullet"/>
      <w:suff w:val="tab"/>
      <w:lvlText w:val="o"/>
      <w:lvlJc w:val="left"/>
      <w:pPr>
        <w:ind w:hanging="360" w:left="6939"/>
      </w:pPr>
      <w:rPr>
        <w:rFonts w:ascii="Courier New" w:hAnsi="Courier New" w:cs="Courier New" w:hint="default"/>
      </w:rPr>
    </w:lvl>
    <w:lvl w:ilvl="8" w:tplc="041D0005">
      <w:start w:val="1"/>
      <w:numFmt w:val="bullet"/>
      <w:suff w:val="tab"/>
      <w:lvlText w:val=""/>
      <w:lvlJc w:val="left"/>
      <w:pPr>
        <w:ind w:hanging="360" w:left="7659"/>
      </w:pPr>
      <w:rPr>
        <w:rFonts w:ascii="Wingdings" w:hAnsi="Wingdings" w:hint="default"/>
      </w:rPr>
    </w:lvl>
  </w:abstractNum>
  <w:abstractNum w:abstractNumId="24">
    <w:nsid w:val="76557C99"/>
    <w:multiLevelType w:val="hybridMultilevel"/>
    <w:lvl w:ilvl="0" w:tplc="C122A9DC">
      <w:start w:val="0"/>
      <w:numFmt w:val="bullet"/>
      <w:suff w:val="tab"/>
      <w:lvlText w:val="-"/>
      <w:lvlJc w:val="left"/>
      <w:pPr>
        <w:ind w:hanging="360" w:left="1494"/>
        <w:tabs>
          <w:tab w:val="num" w:pos="1494" w:leader="none"/>
        </w:tabs>
      </w:pPr>
      <w:rPr>
        <w:rFonts w:ascii="Times New Roman" w:hAnsi="Times New Roman" w:cs="Times New Roman" w:eastAsia="Times New Roman" w:hint="default"/>
      </w:rPr>
    </w:lvl>
    <w:lvl w:ilvl="1" w:tplc="041D0003">
      <w:start w:val="1"/>
      <w:numFmt w:val="bullet"/>
      <w:suff w:val="tab"/>
      <w:lvlText w:val="o"/>
      <w:lvlJc w:val="left"/>
      <w:pPr>
        <w:ind w:hanging="360" w:left="2214"/>
        <w:tabs>
          <w:tab w:val="num" w:pos="2214" w:leader="none"/>
        </w:tabs>
      </w:pPr>
      <w:rPr>
        <w:rFonts w:ascii="Courier New" w:hAnsi="Courier New" w:cs="Courier New" w:hint="default"/>
      </w:rPr>
    </w:lvl>
    <w:lvl w:ilvl="2" w:tplc="041D0005">
      <w:start w:val="1"/>
      <w:numFmt w:val="bullet"/>
      <w:suff w:val="tab"/>
      <w:lvlText w:val=""/>
      <w:lvlJc w:val="left"/>
      <w:pPr>
        <w:ind w:hanging="360" w:left="2934"/>
        <w:tabs>
          <w:tab w:val="num" w:pos="2934" w:leader="none"/>
        </w:tabs>
      </w:pPr>
      <w:rPr>
        <w:rFonts w:ascii="Wingdings" w:hAnsi="Wingdings" w:hint="default"/>
      </w:rPr>
    </w:lvl>
    <w:lvl w:ilvl="3" w:tplc="041D0001">
      <w:start w:val="1"/>
      <w:numFmt w:val="bullet"/>
      <w:suff w:val="tab"/>
      <w:lvlText w:val=""/>
      <w:lvlJc w:val="left"/>
      <w:pPr>
        <w:ind w:hanging="360" w:left="3654"/>
        <w:tabs>
          <w:tab w:val="num" w:pos="3654" w:leader="none"/>
        </w:tabs>
      </w:pPr>
      <w:rPr>
        <w:rFonts w:ascii="Symbol" w:hAnsi="Symbol" w:hint="default"/>
      </w:rPr>
    </w:lvl>
    <w:lvl w:ilvl="4" w:tplc="041D0003">
      <w:start w:val="1"/>
      <w:numFmt w:val="bullet"/>
      <w:suff w:val="tab"/>
      <w:lvlText w:val="o"/>
      <w:lvlJc w:val="left"/>
      <w:pPr>
        <w:ind w:hanging="360" w:left="4374"/>
        <w:tabs>
          <w:tab w:val="num" w:pos="4374" w:leader="none"/>
        </w:tabs>
      </w:pPr>
      <w:rPr>
        <w:rFonts w:ascii="Courier New" w:hAnsi="Courier New" w:cs="Courier New" w:hint="default"/>
      </w:rPr>
    </w:lvl>
    <w:lvl w:ilvl="5" w:tplc="041D0005">
      <w:start w:val="1"/>
      <w:numFmt w:val="bullet"/>
      <w:suff w:val="tab"/>
      <w:lvlText w:val=""/>
      <w:lvlJc w:val="left"/>
      <w:pPr>
        <w:ind w:hanging="360" w:left="5094"/>
        <w:tabs>
          <w:tab w:val="num" w:pos="5094" w:leader="none"/>
        </w:tabs>
      </w:pPr>
      <w:rPr>
        <w:rFonts w:ascii="Wingdings" w:hAnsi="Wingdings" w:hint="default"/>
      </w:rPr>
    </w:lvl>
    <w:lvl w:ilvl="6" w:tplc="041D0001">
      <w:start w:val="1"/>
      <w:numFmt w:val="bullet"/>
      <w:suff w:val="tab"/>
      <w:lvlText w:val=""/>
      <w:lvlJc w:val="left"/>
      <w:pPr>
        <w:ind w:hanging="360" w:left="5814"/>
        <w:tabs>
          <w:tab w:val="num" w:pos="5814" w:leader="none"/>
        </w:tabs>
      </w:pPr>
      <w:rPr>
        <w:rFonts w:ascii="Symbol" w:hAnsi="Symbol" w:hint="default"/>
      </w:rPr>
    </w:lvl>
    <w:lvl w:ilvl="7" w:tplc="041D0003">
      <w:start w:val="1"/>
      <w:numFmt w:val="bullet"/>
      <w:suff w:val="tab"/>
      <w:lvlText w:val="o"/>
      <w:lvlJc w:val="left"/>
      <w:pPr>
        <w:ind w:hanging="360" w:left="6534"/>
        <w:tabs>
          <w:tab w:val="num" w:pos="6534" w:leader="none"/>
        </w:tabs>
      </w:pPr>
      <w:rPr>
        <w:rFonts w:ascii="Courier New" w:hAnsi="Courier New" w:cs="Courier New" w:hint="default"/>
      </w:rPr>
    </w:lvl>
    <w:lvl w:ilvl="8" w:tplc="041D0005">
      <w:start w:val="1"/>
      <w:numFmt w:val="bullet"/>
      <w:suff w:val="tab"/>
      <w:lvlText w:val=""/>
      <w:lvlJc w:val="left"/>
      <w:pPr>
        <w:ind w:hanging="360" w:left="7254"/>
        <w:tabs>
          <w:tab w:val="num" w:pos="7254" w:leader="none"/>
        </w:tabs>
      </w:pPr>
      <w:rPr>
        <w:rFonts w:ascii="Wingdings" w:hAnsi="Wingdings" w:hint="default"/>
      </w:rPr>
    </w:lvl>
  </w:abstractNum>
  <w:abstractNum w:abstractNumId="25">
    <w:nsid w:val="7F2F0C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num w:numId="1">
    <w:abstractNumId w:val="18"/>
  </w:num>
  <w:num w:numId="2">
    <w:abstractNumId w:val="12"/>
  </w:num>
  <w:num w:numId="3">
    <w:abstractNumId w:val="24"/>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17"/>
  </w:num>
  <w:num w:numId="15">
    <w:abstractNumId w:val="11"/>
  </w:num>
  <w:num w:numId="16">
    <w:abstractNumId w:val="16"/>
  </w:num>
  <w:num w:numId="17">
    <w:abstractNumId w:val="19"/>
  </w:num>
  <w:num w:numId="18">
    <w:abstractNumId w:val="11"/>
    <w:lvlOverride w:ilvl="0">
      <w:startOverride w:val="4"/>
    </w:lvlOverride>
  </w:num>
  <w:num w:numId="19">
    <w:abstractNumId w:val="20"/>
  </w:num>
  <w:num w:numId="20">
    <w:abstractNumId w:val="25"/>
  </w:num>
  <w:num w:numId="21">
    <w:abstractNumId w:val="0"/>
  </w:num>
  <w:num w:numId="22">
    <w:abstractNumId w:val="14"/>
  </w:num>
  <w:num w:numId="23">
    <w:abstractNumId w:val="22"/>
  </w:num>
  <w:num w:numId="24">
    <w:abstractNumId w:val="15"/>
  </w:num>
  <w:num w:numId="25">
    <w:abstractNumId w:val="11"/>
    <w:lvlOverride w:ilvl="0">
      <w:startOverride w:val="4"/>
    </w:lvlOverride>
  </w:num>
  <w:num w:numId="26">
    <w:abstractNumId w:val="21"/>
  </w:num>
  <w:num w:numId="27">
    <w:abstractNumId w:val="13"/>
  </w:num>
  <w:num w:numId="28">
    <w:abstractNumId w:val="23"/>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5"/>
    <w:qFormat/>
    <w:pPr>
      <w:keepNext w:val="1"/>
      <w:numPr>
        <w:numId w:val="15"/>
      </w:numPr>
      <w:spacing w:before="720" w:after="240" w:beforeAutospacing="0" w:afterAutospacing="0"/>
      <w:ind w:right="1134"/>
      <w:outlineLvl w:val="0"/>
    </w:pPr>
    <w:rPr>
      <w:rFonts w:ascii="Calibri Light" w:hAnsi="Calibri Light" w:cs="Calibri Light"/>
      <w:b w:val="1"/>
      <w:bCs w:val="1"/>
      <w:sz w:val="32"/>
      <w:szCs w:val="32"/>
      <w:kern w:val="32"/>
    </w:rPr>
  </w:style>
  <w:style w:type="paragraph" w:styleId="P2">
    <w:name w:val="Heading 2"/>
    <w:basedOn w:val="P0"/>
    <w:next w:val="P5"/>
    <w:qFormat/>
    <w:pPr>
      <w:keepNext w:val="1"/>
      <w:spacing w:before="480" w:after="120" w:beforeAutospacing="0" w:afterAutospacing="0"/>
      <w:ind w:left="1134" w:right="1134"/>
      <w:outlineLvl w:val="1"/>
    </w:pPr>
    <w:rPr>
      <w:rFonts w:asciiTheme="minorHAnsi" w:hAnsiTheme="minorHAnsi" w:cstheme="minorHAnsi"/>
      <w:b w:val="1"/>
      <w:bCs w:val="1"/>
      <w:iCs w:val="1"/>
      <w:caps w:val="1"/>
      <w:szCs w:val="28"/>
    </w:rPr>
  </w:style>
  <w:style w:type="paragraph" w:styleId="P3">
    <w:name w:val="Heading 3"/>
    <w:basedOn w:val="P0"/>
    <w:next w:val="P5"/>
    <w:link w:val="C3"/>
    <w:qFormat/>
    <w:pPr>
      <w:keepNext w:val="1"/>
      <w:spacing w:before="240" w:after="120" w:beforeAutospacing="0" w:afterAutospacing="0"/>
      <w:ind w:left="1134" w:right="1134"/>
      <w:outlineLvl w:val="2"/>
    </w:pPr>
    <w:rPr>
      <w:rFonts w:asciiTheme="minorHAnsi" w:hAnsiTheme="minorHAnsi" w:cstheme="minorHAnsi"/>
      <w:b w:val="1"/>
      <w:bCs w:val="1"/>
      <w:sz w:val="22"/>
      <w:szCs w:val="26"/>
    </w:rPr>
  </w:style>
  <w:style w:type="paragraph" w:styleId="P4">
    <w:name w:val="Heading 4"/>
    <w:basedOn w:val="P3"/>
    <w:next w:val="P0"/>
    <w:link w:val="C5"/>
    <w:qFormat/>
    <w:pPr>
      <w:spacing w:before="120" w:after="60" w:beforeAutospacing="0" w:afterAutospacing="0"/>
      <w:outlineLvl w:val="3"/>
    </w:pPr>
    <w:rPr>
      <w:rFonts w:ascii="Calibri Light" w:hAnsi="Calibri Light" w:cs="Calibri Light"/>
      <w:b w:val="0"/>
      <w:bCs w:val="0"/>
      <w:szCs w:val="28"/>
      <w:u w:val="single"/>
    </w:rPr>
  </w:style>
  <w:style w:type="paragraph" w:styleId="P5">
    <w:name w:val="Body Text"/>
    <w:basedOn w:val="P0"/>
    <w:pPr>
      <w:spacing w:before="240" w:after="240" w:beforeAutospacing="0" w:afterAutospacing="0"/>
      <w:ind w:left="1134" w:right="1134"/>
    </w:pPr>
    <w:rPr>
      <w:rFonts w:ascii="Arial" w:hAnsi="Arial"/>
      <w:sz w:val="22"/>
    </w:rPr>
  </w:style>
  <w:style w:type="paragraph" w:styleId="P6">
    <w:name w:val="Header"/>
    <w:basedOn w:val="P0"/>
    <w:pPr>
      <w:tabs>
        <w:tab w:val="center" w:pos="4536" w:leader="none"/>
        <w:tab w:val="right" w:pos="9072" w:leader="none"/>
      </w:tabs>
    </w:pPr>
    <w:rPr/>
  </w:style>
  <w:style w:type="paragraph" w:styleId="P7">
    <w:name w:val="Footer"/>
    <w:basedOn w:val="P0"/>
    <w:pPr>
      <w:tabs>
        <w:tab w:val="center" w:pos="4536" w:leader="none"/>
        <w:tab w:val="right" w:pos="9072" w:leader="none"/>
      </w:tabs>
    </w:pPr>
    <w:rPr/>
  </w:style>
  <w:style w:type="paragraph" w:styleId="P8">
    <w:name w:val="Document Map"/>
    <w:basedOn w:val="P0"/>
    <w:semiHidden/>
    <w:pPr>
      <w:shd w:val="clear" w:fill="000080"/>
    </w:pPr>
    <w:rPr>
      <w:rFonts w:ascii="Tahoma" w:hAnsi="Tahoma" w:cs="Tahoma"/>
      <w:sz w:val="20"/>
      <w:szCs w:val="20"/>
    </w:rPr>
  </w:style>
  <w:style w:type="paragraph" w:styleId="P9">
    <w:name w:val="Punktlista utan nivåer"/>
    <w:basedOn w:val="P0"/>
    <w:pPr>
      <w:numPr>
        <w:numId w:val="1"/>
      </w:numPr>
      <w:tabs>
        <w:tab w:val="num" w:pos="567" w:leader="none"/>
      </w:tabs>
      <w:ind w:firstLine="0" w:left="1134"/>
    </w:pPr>
    <w:rPr/>
  </w:style>
  <w:style w:type="paragraph" w:styleId="P10">
    <w:name w:val="Body Text 3"/>
    <w:basedOn w:val="P0"/>
    <w:pPr>
      <w:spacing w:after="120" w:beforeAutospacing="0" w:afterAutospacing="0"/>
    </w:pPr>
    <w:rPr>
      <w:sz w:val="16"/>
      <w:szCs w:val="16"/>
    </w:rPr>
  </w:style>
  <w:style w:type="paragraph" w:styleId="P11">
    <w:name w:val="Planrubrik"/>
    <w:basedOn w:val="P1"/>
    <w:next w:val="P1"/>
    <w:pPr>
      <w:spacing w:before="840" w:after="480" w:beforeAutospacing="0" w:afterAutospacing="0"/>
    </w:pPr>
    <w:rPr/>
  </w:style>
  <w:style w:type="paragraph" w:styleId="P12">
    <w:name w:val="TOC 1"/>
    <w:basedOn w:val="P0"/>
    <w:next w:val="P0"/>
    <w:pPr>
      <w:tabs>
        <w:tab w:val="right" w:pos="8100" w:leader="dot"/>
      </w:tabs>
      <w:spacing w:before="120" w:beforeAutospacing="0" w:afterAutospacing="0"/>
      <w:ind w:left="1134" w:right="1134"/>
    </w:pPr>
    <w:rPr>
      <w:rFonts w:ascii="Calibri Light" w:hAnsi="Calibri Light" w:cs="Arial"/>
      <w:bCs w:val="1"/>
      <w:caps w:val="1"/>
      <w:sz w:val="22"/>
    </w:rPr>
  </w:style>
  <w:style w:type="paragraph" w:styleId="P13">
    <w:name w:val="TOC 2"/>
    <w:basedOn w:val="P0"/>
    <w:next w:val="P0"/>
    <w:semiHidden/>
    <w:pPr>
      <w:tabs>
        <w:tab w:val="right" w:pos="8100" w:leader="dot"/>
      </w:tabs>
      <w:spacing w:before="60" w:beforeAutospacing="0" w:afterAutospacing="0"/>
      <w:ind w:left="1134" w:right="1134"/>
    </w:pPr>
    <w:rPr>
      <w:rFonts w:ascii="Arial" w:hAnsi="Arial"/>
      <w:bCs w:val="1"/>
      <w:caps w:val="1"/>
      <w:sz w:val="20"/>
      <w:szCs w:val="20"/>
    </w:rPr>
  </w:style>
  <w:style w:type="paragraph" w:styleId="P14">
    <w:name w:val="TOC 3"/>
    <w:basedOn w:val="P0"/>
    <w:next w:val="P0"/>
    <w:semiHidden/>
    <w:pPr>
      <w:spacing w:before="60" w:beforeAutospacing="0" w:afterAutospacing="0"/>
      <w:ind w:left="1134" w:right="1134"/>
    </w:pPr>
    <w:rPr>
      <w:rFonts w:ascii="Arial" w:hAnsi="Arial"/>
      <w:sz w:val="20"/>
      <w:szCs w:val="20"/>
    </w:rPr>
  </w:style>
  <w:style w:type="paragraph" w:styleId="P15">
    <w:name w:val="TOC 4"/>
    <w:basedOn w:val="P0"/>
    <w:next w:val="P0"/>
    <w:semiHidden/>
    <w:pPr>
      <w:ind w:left="480"/>
    </w:pPr>
    <w:rPr>
      <w:sz w:val="20"/>
      <w:szCs w:val="20"/>
    </w:rPr>
  </w:style>
  <w:style w:type="paragraph" w:styleId="P16">
    <w:name w:val="TOC 5"/>
    <w:basedOn w:val="P0"/>
    <w:next w:val="P0"/>
    <w:semiHidden/>
    <w:pPr>
      <w:ind w:left="720"/>
    </w:pPr>
    <w:rPr>
      <w:sz w:val="20"/>
      <w:szCs w:val="20"/>
    </w:rPr>
  </w:style>
  <w:style w:type="paragraph" w:styleId="P17">
    <w:name w:val="TOC 6"/>
    <w:basedOn w:val="P0"/>
    <w:next w:val="P0"/>
    <w:semiHidden/>
    <w:pPr>
      <w:ind w:left="960"/>
    </w:pPr>
    <w:rPr>
      <w:sz w:val="20"/>
      <w:szCs w:val="20"/>
    </w:rPr>
  </w:style>
  <w:style w:type="paragraph" w:styleId="P18">
    <w:name w:val="TOC 7"/>
    <w:basedOn w:val="P0"/>
    <w:next w:val="P0"/>
    <w:semiHidden/>
    <w:pPr>
      <w:ind w:left="1200"/>
    </w:pPr>
    <w:rPr>
      <w:sz w:val="20"/>
      <w:szCs w:val="20"/>
    </w:rPr>
  </w:style>
  <w:style w:type="paragraph" w:styleId="P19">
    <w:name w:val="TOC 8"/>
    <w:basedOn w:val="P0"/>
    <w:next w:val="P0"/>
    <w:semiHidden/>
    <w:pPr>
      <w:ind w:left="1440"/>
    </w:pPr>
    <w:rPr>
      <w:sz w:val="20"/>
      <w:szCs w:val="20"/>
    </w:rPr>
  </w:style>
  <w:style w:type="paragraph" w:styleId="P20">
    <w:name w:val="TOC 9"/>
    <w:basedOn w:val="P0"/>
    <w:next w:val="P0"/>
    <w:semiHidden/>
    <w:pPr>
      <w:ind w:left="1680"/>
    </w:pPr>
    <w:rPr>
      <w:sz w:val="20"/>
      <w:szCs w:val="20"/>
    </w:rPr>
  </w:style>
  <w:style w:type="paragraph" w:styleId="P21">
    <w:name w:val="Formatmall Innehåll 1 + Vänster:  2 cm"/>
    <w:basedOn w:val="P12"/>
    <w:pPr/>
    <w:rPr>
      <w:rFonts w:cs="Times New Roman"/>
      <w:sz w:val="20"/>
      <w:szCs w:val="20"/>
    </w:rPr>
  </w:style>
  <w:style w:type="paragraph" w:styleId="P22">
    <w:name w:val="Normal areal"/>
    <w:basedOn w:val="P5"/>
    <w:link w:val="C6"/>
    <w:qFormat/>
    <w:pPr/>
    <w:rPr>
      <w:bCs w:val="1"/>
      <w:noProof w:val="1"/>
      <w:szCs w:val="22"/>
    </w:rPr>
  </w:style>
  <w:style w:type="paragraph" w:styleId="P23">
    <w:name w:val="Normalt"/>
    <w:basedOn w:val="P5"/>
    <w:link w:val="C7"/>
    <w:qFormat/>
    <w:pPr/>
    <w:rPr>
      <w:rFonts w:ascii="Calibri Light" w:hAnsi="Calibri Light" w:cs="Calibri Light"/>
      <w:szCs w:val="22"/>
    </w:rPr>
  </w:style>
  <w:style w:type="paragraph" w:styleId="P24">
    <w:name w:val="Quote"/>
    <w:basedOn w:val="P0"/>
    <w:next w:val="P0"/>
    <w:link w:val="C9"/>
    <w:qFormat/>
    <w:pPr/>
    <w:rPr>
      <w:i w:val="1"/>
      <w:iCs w:val="1"/>
      <w:color w:val="000000"/>
    </w:rPr>
  </w:style>
  <w:style w:type="paragraph" w:styleId="P25">
    <w:name w:val="Normal (Web)"/>
    <w:basedOn w:val="P0"/>
    <w:pPr>
      <w:spacing w:before="100" w:after="100" w:beforeAutospacing="1" w:afterAutospacing="1"/>
    </w:pPr>
    <w:rPr/>
  </w:style>
  <w:style w:type="paragraph" w:styleId="P26">
    <w:name w:val="List Paragraph"/>
    <w:basedOn w:val="P0"/>
    <w:qFormat/>
    <w:pPr>
      <w:spacing w:lineRule="auto" w:line="259" w:after="160" w:beforeAutospacing="0" w:afterAutospacing="0"/>
      <w:ind w:left="720"/>
      <w:contextualSpacing w:val="1"/>
    </w:pPr>
    <w:rPr>
      <w:rFonts w:asciiTheme="minorHAnsi" w:hAnsiTheme="minorHAnsi" w:cstheme="minorBidi" w:eastAsiaTheme="minorHAnsi"/>
      <w:sz w:val="22"/>
      <w:szCs w:val="22"/>
      <w:lang w:eastAsia="en-US"/>
    </w:rPr>
  </w:style>
  <w:style w:type="paragraph" w:styleId="P27">
    <w:name w:val="Caption"/>
    <w:basedOn w:val="P0"/>
    <w:next w:val="P0"/>
    <w:qFormat/>
    <w:pPr>
      <w:spacing w:after="200" w:beforeAutospacing="0" w:afterAutospacing="0"/>
    </w:pPr>
    <w:rPr>
      <w:i w:val="1"/>
      <w:iCs w:val="1"/>
      <w:color w:val="1F497D" w:themeColor="text2"/>
      <w:sz w:val="18"/>
      <w:szCs w:val="18"/>
    </w:rPr>
  </w:style>
  <w:style w:type="paragraph" w:styleId="P28">
    <w:name w:val="annotation text"/>
    <w:basedOn w:val="P0"/>
    <w:link w:val="C12"/>
    <w:pPr/>
    <w:rPr>
      <w:sz w:val="20"/>
      <w:szCs w:val="20"/>
    </w:rPr>
  </w:style>
  <w:style w:type="paragraph" w:styleId="P29">
    <w:name w:val="annotation subject"/>
    <w:basedOn w:val="P28"/>
    <w:next w:val="P28"/>
    <w:link w:val="C13"/>
    <w:semiHidden/>
    <w:pPr/>
    <w:rPr>
      <w:b w:val="1"/>
      <w:bCs w:val="1"/>
    </w:rPr>
  </w:style>
  <w:style w:type="paragraph" w:styleId="P30">
    <w:name w:val="Balloon Text"/>
    <w:basedOn w:val="P0"/>
    <w:link w:val="C14"/>
    <w:semiHidden/>
    <w:pPr/>
    <w:rPr>
      <w:rFonts w:ascii="Segoe UI" w:hAnsi="Segoe UI" w:cs="Segoe UI"/>
      <w:sz w:val="18"/>
      <w:szCs w:val="18"/>
    </w:rPr>
  </w:style>
  <w:style w:type="paragraph" w:styleId="P31">
    <w:name w:val="Title"/>
    <w:basedOn w:val="P0"/>
    <w:next w:val="P0"/>
    <w:link w:val="C16"/>
    <w:qFormat/>
    <w:pPr>
      <w:ind w:left="1134"/>
    </w:pPr>
    <w:rPr>
      <w:rFonts w:asciiTheme="minorHAnsi" w:hAnsiTheme="minorHAnsi" w:cstheme="minorHAnsi"/>
      <w:b w:val="1"/>
      <w:sz w:val="36"/>
      <w:szCs w:val="36"/>
    </w:rPr>
  </w:style>
  <w:style w:type="paragraph" w:styleId="P32">
    <w:name w:val="Default"/>
    <w:pPr/>
    <w:rPr>
      <w:rFonts w:ascii="Garamond" w:hAnsi="Garamond" w:cs="Garamond"/>
      <w:color w:val="000000"/>
      <w:sz w:val="24"/>
      <w:szCs w:val="24"/>
    </w:rPr>
  </w:style>
  <w:style w:type="paragraph" w:styleId="P33">
    <w:name w:val="Footnote Text"/>
    <w:link w:val="C19"/>
    <w:semiHidden/>
    <w:pPr>
      <w:spacing w:lineRule="auto" w:line="240" w:after="0"/>
    </w:pPr>
    <w:rPr>
      <w:sz w:val="20"/>
      <w:szCs w:val="20"/>
    </w:rPr>
  </w:style>
  <w:style w:type="paragraph" w:styleId="P34">
    <w:name w:val="Endnote Text"/>
    <w:link w:val="C2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3 Char"/>
    <w:link w:val="P3"/>
    <w:rPr>
      <w:rFonts w:asciiTheme="minorHAnsi" w:hAnsiTheme="minorHAnsi" w:cstheme="minorHAnsi"/>
      <w:b w:val="1"/>
      <w:bCs w:val="1"/>
      <w:sz w:val="22"/>
      <w:szCs w:val="26"/>
    </w:rPr>
  </w:style>
  <w:style w:type="character" w:styleId="C4">
    <w:name w:val="Page Number"/>
    <w:basedOn w:val="C0"/>
    <w:rPr/>
  </w:style>
  <w:style w:type="character" w:styleId="C5">
    <w:name w:val="Rubrik 4 Char"/>
    <w:link w:val="P4"/>
    <w:rPr>
      <w:rFonts w:ascii="Calibri Light" w:hAnsi="Calibri Light" w:cs="Calibri Light"/>
      <w:sz w:val="22"/>
      <w:szCs w:val="28"/>
      <w:u w:val="single"/>
    </w:rPr>
  </w:style>
  <w:style w:type="character" w:styleId="C6">
    <w:name w:val="Normal areal Char"/>
    <w:link w:val="P22"/>
    <w:rPr>
      <w:rFonts w:ascii="Arial" w:hAnsi="Arial"/>
      <w:bCs w:val="1"/>
      <w:noProof w:val="1"/>
      <w:sz w:val="22"/>
      <w:szCs w:val="22"/>
    </w:rPr>
  </w:style>
  <w:style w:type="character" w:styleId="C7">
    <w:name w:val="Normalt Char"/>
    <w:basedOn w:val="C0"/>
    <w:link w:val="P23"/>
    <w:rPr>
      <w:rFonts w:ascii="Calibri Light" w:hAnsi="Calibri Light" w:cs="Calibri Light"/>
      <w:sz w:val="22"/>
      <w:szCs w:val="22"/>
    </w:rPr>
  </w:style>
  <w:style w:type="character" w:styleId="C8">
    <w:name w:val="Emphasis"/>
    <w:aliases w:val="Bildtext"/>
    <w:qFormat/>
    <w:rPr>
      <w:rFonts w:ascii="Calibri Light" w:hAnsi="Calibri Light" w:cs="Calibri Light"/>
      <w:i w:val="1"/>
      <w:color w:val="7F7F7F" w:themeColor="text1" w:themeTint="80"/>
      <w:sz w:val="20"/>
      <w:szCs w:val="20"/>
    </w:rPr>
  </w:style>
  <w:style w:type="character" w:styleId="C9">
    <w:name w:val="Citat Char"/>
    <w:basedOn w:val="C0"/>
    <w:link w:val="P24"/>
    <w:rPr>
      <w:i w:val="1"/>
      <w:iCs w:val="1"/>
      <w:color w:val="000000"/>
      <w:sz w:val="24"/>
      <w:szCs w:val="24"/>
    </w:rPr>
  </w:style>
  <w:style w:type="character" w:styleId="C10">
    <w:name w:val="HTML Cite"/>
    <w:basedOn w:val="C0"/>
    <w:semiHidden/>
    <w:rPr>
      <w:i w:val="1"/>
      <w:iCs w:val="1"/>
    </w:rPr>
  </w:style>
  <w:style w:type="character" w:styleId="C11">
    <w:name w:val="annotation reference"/>
    <w:basedOn w:val="C0"/>
    <w:semiHidden/>
    <w:rPr>
      <w:sz w:val="16"/>
      <w:szCs w:val="16"/>
    </w:rPr>
  </w:style>
  <w:style w:type="character" w:styleId="C12">
    <w:name w:val="Kommentarer Char"/>
    <w:basedOn w:val="C0"/>
    <w:link w:val="P28"/>
    <w:rPr/>
  </w:style>
  <w:style w:type="character" w:styleId="C13">
    <w:name w:val="Kommentarsämne Char"/>
    <w:basedOn w:val="C12"/>
    <w:link w:val="P29"/>
    <w:semiHidden/>
    <w:rPr>
      <w:b w:val="1"/>
      <w:bCs w:val="1"/>
    </w:rPr>
  </w:style>
  <w:style w:type="character" w:styleId="C14">
    <w:name w:val="Ballongtext Char"/>
    <w:basedOn w:val="C0"/>
    <w:link w:val="P30"/>
    <w:semiHidden/>
    <w:rPr>
      <w:rFonts w:ascii="Segoe UI" w:hAnsi="Segoe UI" w:cs="Segoe UI"/>
      <w:sz w:val="18"/>
      <w:szCs w:val="18"/>
    </w:rPr>
  </w:style>
  <w:style w:type="character" w:styleId="C15">
    <w:name w:val="FollowedHyperlink"/>
    <w:basedOn w:val="C0"/>
    <w:semiHidden/>
    <w:rPr>
      <w:color w:val="800080" w:themeColor="followedHyperlink"/>
      <w:u w:val="single"/>
    </w:rPr>
  </w:style>
  <w:style w:type="character" w:styleId="C16">
    <w:name w:val="Rubrik Char"/>
    <w:basedOn w:val="C0"/>
    <w:link w:val="P31"/>
    <w:rPr>
      <w:rFonts w:asciiTheme="minorHAnsi" w:hAnsiTheme="minorHAnsi" w:cstheme="minorHAnsi"/>
      <w:b w:val="1"/>
      <w:sz w:val="36"/>
      <w:szCs w:val="36"/>
    </w:rPr>
  </w:style>
  <w:style w:type="character" w:styleId="C17">
    <w:name w:val="Unresolved Mention1"/>
    <w:basedOn w:val="C0"/>
    <w:semiHidden/>
    <w:rPr>
      <w:color w:val="605E5C"/>
      <w:shd w:val="clear" w:color="auto" w:fill="E1DFDD"/>
    </w:rPr>
  </w:style>
  <w:style w:type="character" w:styleId="C18">
    <w:name w:val="Footnote Reference"/>
    <w:semiHidden/>
    <w:rPr>
      <w:vertAlign w:val="superscript"/>
    </w:rPr>
  </w:style>
  <w:style w:type="character" w:styleId="C19">
    <w:name w:val="Footnote Text Char"/>
    <w:link w:val="P33"/>
    <w:semiHidden/>
    <w:rPr>
      <w:sz w:val="20"/>
      <w:szCs w:val="20"/>
    </w:rPr>
  </w:style>
  <w:style w:type="character" w:styleId="C20">
    <w:name w:val="Endnote Reference"/>
    <w:semiHidden/>
    <w:rPr>
      <w:vertAlign w:val="superscript"/>
    </w:rPr>
  </w:style>
  <w:style w:type="character" w:styleId="C21">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Grid Table 4 Accent 6"/>
    <w:basedOn w:val="T0"/>
    <w:rPr>
      <w:rFonts w:asciiTheme="minorHAnsi" w:hAnsiTheme="minorHAnsi" w:cstheme="minorBidi" w:eastAsiaTheme="minorHAnsi"/>
      <w:sz w:val="24"/>
      <w:szCs w:val="24"/>
      <w:kern w:val="2"/>
      <w:lang w:eastAsia="en-US"/>
    </w:rPr>
    <w:tblPr>
      <w:tblStyleRowBandSize w:val="1"/>
      <w:tblStyleColBandSize w:val="1"/>
      <w:tblBorders>
        <w:top w:val="single" w:sz="4" w:space="0" w:shadow="0" w:frame="0" w:color="FAC090" w:themeColor="accent6" w:themeTint="99"/>
        <w:left w:val="single" w:sz="4" w:space="0" w:shadow="0" w:frame="0" w:color="FAC090" w:themeColor="accent6" w:themeTint="99"/>
        <w:bottom w:val="single" w:sz="4" w:space="0" w:shadow="0" w:frame="0" w:color="FAC090" w:themeColor="accent6" w:themeTint="99"/>
        <w:right w:val="single" w:sz="4" w:space="0" w:shadow="0" w:frame="0" w:color="FAC090" w:themeColor="accent6" w:themeTint="99"/>
        <w:insideH w:val="single" w:sz="4" w:space="0" w:shadow="0" w:frame="0" w:color="FAC090" w:themeColor="accent6" w:themeTint="99"/>
        <w:insideV w:val="single" w:sz="4" w:space="0" w:shadow="0" w:frame="0" w:color="FAC090" w:themeColor="accent6" w:themeTint="99"/>
      </w:tblBorders>
    </w:tblPr>
    <w:trPr/>
    <w:tcPr/>
    <w:tblStylePr w:type="band1Horz">
      <w:tblPr/>
      <w:trPr/>
      <w:tcPr>
        <w:shd w:val="clear" w:color="auto" w:fill="FDEADA" w:themeFill="accent6" w:themeFillTint="32"/>
      </w:tcPr>
    </w:tblStylePr>
    <w:tblStylePr w:type="band1Vert">
      <w:tblPr/>
      <w:trPr/>
      <w:tcPr>
        <w:shd w:val="clear" w:color="auto" w:fill="FDEADA" w:themeFill="accent6" w:themeFillTint="3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F79646" w:themeColor="accent6"/>
        </w:tcBorders>
      </w:tcPr>
    </w:tblStylePr>
    <w:tblStylePr w:type="firstRow">
      <w:rPr>
        <w:b w:val="1"/>
        <w:bCs w:val="1"/>
        <w:color w:val="FFFFFF" w:themeColor="background1"/>
      </w:rPr>
      <w:tblPr/>
      <w:trPr/>
      <w:tcPr>
        <w:tcBorders>
          <w:top w:val="single" w:sz="4" w:space="0" w:shadow="0" w:frame="0" w:color="F79646" w:themeColor="accent6"/>
          <w:left w:val="single" w:sz="4" w:space="0" w:shadow="0" w:frame="0" w:color="F79646" w:themeColor="accent6"/>
          <w:bottom w:val="single" w:sz="4" w:space="0" w:shadow="0" w:frame="0" w:color="F79646" w:themeColor="accent6"/>
          <w:right w:val="single" w:sz="4" w:space="0" w:shadow="0" w:frame="0" w:color="F79646" w:themeColor="accent6"/>
          <w:insideH w:val="nil"/>
          <w:insideV w:val="nil"/>
        </w:tcBorders>
        <w:shd w:val="clear" w:color="auto" w:fill="F79646" w:themeFill="accent6"/>
      </w:tcPr>
    </w:tblStylePr>
  </w:style>
  <w:style w:type="table" w:styleId="T4">
    <w:name w:val="Grid Table 5 Dark Accent 6"/>
    <w:basedOn w:val="T0"/>
    <w:tblPr>
      <w:tblStyleRowBandSize w:val="1"/>
      <w:tblStyleColBandSize w:val="1"/>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Pr>
    <w:trPr/>
    <w:tcPr>
      <w:shd w:val="clear" w:color="auto" w:fill="FDEADA" w:themeFill="accent6" w:themeFillTint="32"/>
    </w:tcPr>
    <w:tblStylePr w:type="band1Horz">
      <w:tblPr/>
      <w:trPr/>
      <w:tcPr>
        <w:shd w:val="clear" w:color="auto" w:fill="FCD5B5" w:themeFill="accent6" w:themeFillTint="66"/>
      </w:tcPr>
    </w:tblStylePr>
    <w:tblStylePr w:type="band1Vert">
      <w:tblPr/>
      <w:trPr/>
      <w:tcPr>
        <w:shd w:val="clear" w:color="auto" w:fill="FCD5B5" w:themeFill="accent6" w:themeFillTint="66"/>
      </w:tcPr>
    </w:tblStylePr>
    <w:tblStylePr w:type="lastCol">
      <w:rPr>
        <w:b w:val="1"/>
        <w:bCs w:val="1"/>
        <w:color w:val="FFFFFF" w:themeColor="background1"/>
      </w:rPr>
      <w:tblPr/>
      <w:trPr/>
      <w:tcPr>
        <w:tcBorders>
          <w:top w:val="single" w:sz="4" w:space="0" w:shadow="0" w:frame="0" w:color="FFFFFF" w:themeColor="background1"/>
          <w:bottom w:val="single" w:sz="4" w:space="0" w:shadow="0" w:frame="0" w:color="FFFFFF" w:themeColor="background1"/>
          <w:right w:val="single" w:sz="4" w:space="0" w:shadow="0" w:frame="0" w:color="FFFFFF" w:themeColor="background1"/>
          <w:insideV w:val="nil"/>
        </w:tcBorders>
        <w:shd w:val="clear" w:color="auto" w:fill="F79646" w:themeFill="accent6"/>
      </w:tcPr>
    </w:tblStylePr>
    <w:tblStylePr w:type="firstCol">
      <w:rPr>
        <w:b w:val="1"/>
        <w:bCs w:val="1"/>
        <w:color w:val="FFFFFF" w:themeColor="background1"/>
      </w:rPr>
      <w:tblPr/>
      <w:trPr/>
      <w:tcPr>
        <w:tcBorders>
          <w:top w:val="single" w:sz="4" w:space="0" w:shadow="0" w:frame="0" w:color="FFFFFF" w:themeColor="background1"/>
          <w:left w:val="single" w:sz="4" w:space="0" w:shadow="0" w:frame="0" w:color="FFFFFF" w:themeColor="background1"/>
          <w:bottom w:val="single" w:sz="4" w:space="0" w:shadow="0" w:frame="0" w:color="FFFFFF" w:themeColor="background1"/>
          <w:insideV w:val="nil"/>
        </w:tcBorders>
        <w:shd w:val="clear" w:color="auto" w:fill="F79646" w:themeFill="accent6"/>
      </w:tcPr>
    </w:tblStylePr>
    <w:tblStylePr w:type="lastRow">
      <w:rPr>
        <w:b w:val="1"/>
        <w:bCs w:val="1"/>
        <w:color w:val="FFFFFF" w:themeColor="background1"/>
      </w:rPr>
      <w:tblPr/>
      <w:trPr/>
      <w:tcPr>
        <w:tcBorders>
          <w:left w:val="single" w:sz="4" w:space="0" w:shadow="0" w:frame="0" w:color="FFFFFF" w:themeColor="background1"/>
          <w:bottom w:val="single" w:sz="4" w:space="0" w:shadow="0" w:frame="0" w:color="FFFFFF" w:themeColor="background1"/>
          <w:right w:val="single" w:sz="4" w:space="0" w:shadow="0" w:frame="0" w:color="FFFFFF" w:themeColor="background1"/>
          <w:insideH w:val="nil"/>
          <w:insideV w:val="nil"/>
        </w:tcBorders>
        <w:shd w:val="clear" w:color="auto" w:fill="F79646" w:themeFill="accent6"/>
      </w:tcPr>
    </w:tblStylePr>
    <w:tblStylePr w:type="firstRow">
      <w:rPr>
        <w:b w:val="1"/>
        <w:bCs w:val="1"/>
        <w:color w:val="FFFFFF" w:themeColor="background1"/>
      </w:rPr>
      <w:tblPr/>
      <w:trPr/>
      <w:tcPr>
        <w:tcBorders>
          <w:top w:val="single" w:sz="4" w:space="0" w:shadow="0" w:frame="0" w:color="FFFFFF" w:themeColor="background1"/>
          <w:left w:val="single" w:sz="4" w:space="0" w:shadow="0" w:frame="0" w:color="FFFFFF" w:themeColor="background1"/>
          <w:right w:val="single" w:sz="4" w:space="0" w:shadow="0" w:frame="0" w:color="FFFFFF" w:themeColor="background1"/>
          <w:insideH w:val="nil"/>
          <w:insideV w:val="nil"/>
        </w:tcBorders>
        <w:shd w:val="clear" w:color="auto" w:fill="F79646" w:themeFill="accent6"/>
      </w:tcPr>
    </w:tblStylePr>
  </w:style>
  <w:style w:type="table" w:styleId="T5">
    <w:name w:val="List Table 5 Dark Accent 3"/>
    <w:basedOn w:val="T0"/>
    <w:rPr>
      <w:color w:val="FFFFFF" w:themeColor="background1"/>
    </w:rPr>
    <w:tblPr>
      <w:tblStyleRowBandSize w:val="1"/>
      <w:tblStyleColBandSize w:val="1"/>
      <w:tblBorders>
        <w:top w:val="single" w:sz="24" w:space="0" w:shadow="0" w:frame="0" w:color="9BBB59" w:themeColor="accent3"/>
        <w:left w:val="single" w:sz="24" w:space="0" w:shadow="0" w:frame="0" w:color="9BBB59" w:themeColor="accent3"/>
        <w:bottom w:val="single" w:sz="24" w:space="0" w:shadow="0" w:frame="0" w:color="9BBB59" w:themeColor="accent3"/>
        <w:right w:val="single" w:sz="24" w:space="0" w:shadow="0" w:frame="0" w:color="9BBB59" w:themeColor="accent3"/>
      </w:tblBorders>
    </w:tblPr>
    <w:trPr/>
    <w:tcPr>
      <w:shd w:val="clear" w:color="auto" w:fill="9BBB59" w:themeFill="accent3"/>
    </w:tcPr>
    <w:tblStylePr w:type="swCell">
      <w:tblPr/>
      <w:trPr/>
      <w:tcPr>
        <w:tcBorders>
          <w:top w:val="nil"/>
          <w:right w:val="nil"/>
        </w:tcBorders>
      </w:tcPr>
    </w:tblStylePr>
    <w:tblStylePr w:type="seCell">
      <w:tblPr/>
      <w:trPr/>
      <w:tcPr>
        <w:tcBorders>
          <w:top w:val="nil"/>
          <w:left w:val="nil"/>
        </w:tcBorders>
      </w:tcPr>
    </w:tblStylePr>
    <w:tblStylePr w:type="nwCell">
      <w:tblPr/>
      <w:trPr/>
      <w:tcPr>
        <w:tcBorders>
          <w:right w:val="nil"/>
        </w:tcBorders>
      </w:tcPr>
    </w:tblStylePr>
    <w:tblStylePr w:type="neCell">
      <w:tblPr/>
      <w:trPr/>
      <w:tcPr>
        <w:tcBorders>
          <w:left w:val="nil"/>
        </w:tcBorders>
      </w:tcPr>
    </w:tblStylePr>
    <w:tblStylePr w:type="band1Horz">
      <w:tblPr/>
      <w:trPr/>
      <w:tcPr>
        <w:tcBorders>
          <w:top w:val="single" w:sz="4" w:space="0" w:shadow="0" w:frame="0" w:color="FFFFFF" w:themeColor="background1"/>
          <w:bottom w:val="single" w:sz="4" w:space="0" w:shadow="0" w:frame="0" w:color="FFFFFF" w:themeColor="background1"/>
        </w:tcBorders>
      </w:tcPr>
    </w:tblStylePr>
    <w:tblStylePr w:type="band2Vert">
      <w:tblPr/>
      <w:trPr/>
      <w:tcPr>
        <w:tcBorders>
          <w:left w:val="single" w:sz="4" w:space="0" w:shadow="0" w:frame="0" w:color="FFFFFF" w:themeColor="background1"/>
          <w:right w:val="single" w:sz="4" w:space="0" w:shadow="0" w:frame="0" w:color="FFFFFF" w:themeColor="background1"/>
        </w:tcBorders>
      </w:tcPr>
    </w:tblStylePr>
    <w:tblStylePr w:type="band1Vert">
      <w:tblPr/>
      <w:trPr/>
      <w:tcPr>
        <w:tcBorders>
          <w:left w:val="single" w:sz="4" w:space="0" w:shadow="0" w:frame="0" w:color="FFFFFF" w:themeColor="background1"/>
          <w:right w:val="single" w:sz="4" w:space="0" w:shadow="0" w:frame="0" w:color="FFFFFF" w:themeColor="background1"/>
        </w:tcBorders>
      </w:tcPr>
    </w:tblStylePr>
    <w:tblStylePr w:type="lastCol">
      <w:rPr>
        <w:b w:val="1"/>
        <w:bCs w:val="1"/>
      </w:rPr>
      <w:tblPr/>
      <w:trPr/>
      <w:tcPr>
        <w:tcBorders>
          <w:left w:val="single" w:sz="4" w:space="0" w:shadow="0" w:frame="0" w:color="FFFFFF" w:themeColor="background1"/>
        </w:tcBorders>
      </w:tcPr>
    </w:tblStylePr>
    <w:tblStylePr w:type="firstCol">
      <w:rPr>
        <w:b w:val="1"/>
        <w:bCs w:val="1"/>
      </w:rPr>
      <w:tblPr/>
      <w:trPr/>
      <w:tcPr>
        <w:tcBorders>
          <w:right w:val="single" w:sz="4" w:space="0" w:shadow="0" w:frame="0" w:color="FFFFFF" w:themeColor="background1"/>
        </w:tcBorders>
      </w:tcPr>
    </w:tblStylePr>
    <w:tblStylePr w:type="lastRow">
      <w:rPr>
        <w:b w:val="1"/>
        <w:bCs w:val="1"/>
      </w:rPr>
      <w:tblPr/>
      <w:trPr/>
      <w:tcPr>
        <w:tcBorders>
          <w:top w:val="single" w:sz="4" w:space="0" w:shadow="0" w:frame="0" w:color="FFFFFF" w:themeColor="background1"/>
        </w:tcBorders>
      </w:tcPr>
    </w:tblStylePr>
    <w:tblStylePr w:type="firstRow">
      <w:rPr>
        <w:b w:val="1"/>
        <w:bCs w:val="1"/>
      </w:rPr>
      <w:tblPr/>
      <w:trPr/>
      <w:tcPr>
        <w:tcBorders>
          <w:bottom w:val="single" w:sz="18" w:space="0" w:shadow="0" w:frame="0" w:color="FFFFFF" w:themeColor="background1"/>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5" Type="http://schemas.openxmlformats.org/officeDocument/2006/relationships/image" Target="/media/image5.jpg" /></Relationships>
</file>

<file path=word/_rels/header2.xml.rels>&#65279;<?xml version="1.0" encoding="utf-8"?><Relationships xmlns="http://schemas.openxmlformats.org/package/2006/relationships"><Relationship Id="Relimage6" Type="http://schemas.openxmlformats.org/officeDocument/2006/relationships/image" Target="/media/image6.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2026-01-14T11:45:12.1143746+01:00</versionGiltigFran>
  <detaljplansreferens>6989c5c0-81c4-4196-aa0b-43f96fa8c2b5</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gf_tidplan01</identitet>
    <Lage>
      <planomrade>true</planomrade>
    </Lage>
    <Indelning>
      <tema>Genomförandefrågor</tema>
      <grupp>Organisatoriska frågor</grupp>
      <undergrupp>Tidplan</undergrupp>
    </Indelning>
  </Omfattning>
  <Omfattning>
    <identitet>gf_fastighetsrättsligafrågor01</identitet>
    <Lage>
      <planomrade>true</planomrade>
    </Lage>
    <Indelning>
      <tema>Genomförandefrågor</tema>
      <grupp>Fastighetsrättsliga frågor</grupp>
    </Indelning>
  </Omfattning>
  <Omfattning>
    <identitet>ko_miljökvalitetsnormer01</identitet>
    <Lage>
      <planomrade>true</planomrade>
    </Lage>
    <Indelning>
      <tema>Konsekvenser</tema>
      <grupp>Miljökvalitetsnormer</grupp>
    </Indelning>
  </Omfattning>
  <Omfattning>
    <identitet>ko_riksintresse01</identitet>
    <Lage>
      <planomrade>true</planomrade>
    </Lage>
    <Indelning>
      <tema>Konsekvenser</tema>
      <grupp>Riksintresse</grupp>
    </Indelning>
  </Omfattning>
  <Omfattning>
    <identitet>ko_natur01</identitet>
    <Lage>
      <planomrade>true</planomrade>
    </Lage>
    <Indelning>
      <tema>Konsekvenser</tema>
      <grupp>Natur</grupp>
    </Indelning>
  </Omfattning>
  <Omfattning>
    <identitet>ko_miljö01</identitet>
    <Lage>
      <planomrade>true</planomrade>
    </Lage>
    <Indelning>
      <tema>Konsekvenser</tema>
      <grupp>Miljö</grupp>
    </Indelning>
  </Omfattning>
  <Omfattning>
    <identitet>ko_sociala01</identitet>
    <Lage>
      <planomrade>true</planomrade>
    </Lage>
    <Indelning>
      <tema>Konsekvenser</tema>
      <grupp>Sociala</grupp>
    </Indelning>
  </Omfattning>
  <Omfattning>
    <identitet>ko_hälsaochsäkerhet01</identitet>
    <Lage>
      <planomrade>true</planomrade>
    </Lage>
    <Indelning>
      <tema>Konsekvenser</tema>
      <grupp>Hälsa och säkerhet</grupp>
    </Indelning>
  </Omfattning>
  <Omfattning>
    <identitet>ko_sociala02</identitet>
    <Lage>
      <planomrade>true</planomrade>
    </Lage>
    <Indelning>
      <tema>Konsekvenser</tema>
      <grupp>Sociala</grupp>
    </Indelning>
  </Omfattning>
  <Omfattning>
    <identitet>ko_ekonomi01</identitet>
    <Lage>
      <planomrade>true</planomrade>
    </Lage>
    <Indelning>
      <tema>Konsekvenser</tema>
      <grupp>Annat</grupp>
      <undergrupp>Ekonomi</undergrupp>
    </Indelning>
  </Omfattning>
  <Omfattning>
    <identitet>ko_miljöbedömning01</identitet>
    <Lage>
      <planomrade>true</planomrade>
    </Lage>
    <Indelning>
      <tema>Konsekvenser</tema>
      <grupp>Miljö</grupp>
      <undergrupp>Miljöbedömning</undergrupp>
    </Indelning>
  </Omfattning>
  <Omfattning>
    <identitet>be_genomförandetid01</identitet>
    <Lage>
      <planomrade>true</planomrade>
    </Lage>
    <Indelning>
      <tema>Beskrivning av detaljplanen</tema>
      <grupp>Genomförandetid</grupp>
    </Indelning>
  </Omfattning>
  <Omfattning>
    <identitet>be_kvartersmark01</identitet>
    <Lage>
      <lmg:Yta>
        <lmg:absolutLagesosakerhetPlan>0</lmg:absolutLagesosakerhetPlan>
        <lmg:absolutLagesosakerhetHojd>0</lmg:absolutLagesosakerhetHojd>
        <lmg:hojdsystem>RH 2000</lmg:hojdsystem>
        <gml:Polygon gml:id="ID_906d5da9-7b01-4849-928c-37d311f0f298" srsName="EPSG:3009" srsDimension="2">
          <gml:exterior>
            <gml:LinearRing gml:id="ID_7b69f306-ea70-4e7d-9217-b6c5be78b791">
              <gml:posList>6321174.835 123952.028 6321161.101 123954.966 6321161.336 123956.275 6321161.506 123957.226 6321162.144 123960.785 6321163.429 123967.961 6321163.66 123969.247 6321163.851 123970.316 6321164.079 123971.588 6321166.107 123982.906 6321168.253 123994.885 6321171.199 124011.333 6321171.928 124015.403 6321172.065 124016.163 6321172.77 124020.103 6321174.025 124027.104 6321137.003 124036.391 6321136.985 124036.396 6321133.188 124037.348 6321130.992 124037.899 6321127.712 124038.722 6321124.599 124039.503 6321123.424 124035.013 6321122.076 124029.865 6321121.098 124026.128 6321120.795 124024.968 6321120.61 124024.262 6321104.687 123963.422 6321105.116 123963.358 6321105.193 123963.347 6321105.196 123963.346 6321110.352 123962.576 6321111.358 123962.425 6321128.345 123959.887 6321126.437 123943.241 6321126.314 123942.166 6321126.302 123942.064 6321126.298 123942.029 6321126.154 123940.77 6321125.979 123939.249 6321125.404 123934.23 6321125.323 123933.529 6321125.073 123931.348 6321124.948 123930.253 6321124.849 123929.393 6321124.366 123925.181 6321124.248 123924.148 6321123.387 123916.64 6321123.1 123914.134 6321122.196 123906.253 6321121.803 123902.827 6321120.465 123891.151 6321120.118 123888.127 6321142.012 123885.617 6321148.512 123884.872 6321165.96 123882.871 6321166.16 123884.433 6321166.208 123884.804 6321166.249 123885.125 6321166.597 123887.831 6321167.942 123898.316 6321167.945 123898.336 6321168.681 123904.072 6321171.715 123927.715 6321173.544 123941.969 6321174.396 123948.61 6321174.593 123950.144 6321174.618 123950.34 6321174.835 123952.028</gml:posList>
            </gml:LinearRing>
          </gml:exterior>
        </gml:Polygon>
      </lmg:Yta>
      <planbestammelsereferens>174631e9-36d3-414b-a169-2b7b5040a9fe</planbestammelsereferens>
    </Lage>
    <Lage>
      <lmg:Yta>
        <lmg:absolutLagesosakerhetPlan>0</lmg:absolutLagesosakerhetPlan>
        <lmg:absolutLagesosakerhetHojd>0</lmg:absolutLagesosakerhetHojd>
        <lmg:hojdsystem>RH 2000</lmg:hojdsystem>
        <gml:Polygon gml:id="ID_c5976227-8a8b-4827-baca-984f443993b8" srsName="EPSG:3009" srsDimension="2">
          <gml:exterior>
            <gml:LinearRing gml:id="ID_1aa601ea-cb9c-47d0-94c5-b882e50f7fad">
              <gml:posList>6321174.835 123952.028 6321161.101 123954.966 6321161.336 123956.275 6321161.506 123957.226 6321162.144 123960.785 6321163.429 123967.961 6321163.66 123969.247 6321163.851 123970.316 6321164.079 123971.588 6321166.107 123982.906 6321168.253 123994.885 6321171.199 124011.333 6321171.928 124015.403 6321172.065 124016.163 6321172.77 124020.103 6321174.025 124027.104 6321137.003 124036.391 6321136.985 124036.396 6321133.188 124037.348 6321130.992 124037.899 6321127.712 124038.722 6321124.599 124039.503 6321123.424 124035.013 6321122.076 124029.865 6321121.098 124026.128 6321120.795 124024.968 6321120.61 124024.262 6321104.687 123963.422 6321105.116 123963.358 6321105.193 123963.347 6321105.196 123963.346 6321110.352 123962.576 6321111.358 123962.425 6321128.345 123959.887 6321126.437 123943.241 6321126.314 123942.166 6321126.302 123942.064 6321126.298 123942.029 6321126.154 123940.77 6321125.979 123939.249 6321125.404 123934.23 6321125.323 123933.529 6321125.073 123931.348 6321124.948 123930.253 6321124.849 123929.393 6321124.366 123925.181 6321124.248 123924.148 6321123.387 123916.64 6321123.1 123914.134 6321122.196 123906.253 6321121.803 123902.827 6321120.465 123891.151 6321120.118 123888.127 6321142.012 123885.617 6321148.512 123884.872 6321165.96 123882.871 6321166.16 123884.433 6321166.208 123884.804 6321166.249 123885.125 6321166.597 123887.831 6321167.942 123898.316 6321167.945 123898.336 6321168.681 123904.072 6321171.715 123927.715 6321173.544 123941.969 6321174.396 123948.61 6321174.593 123950.144 6321174.618 123950.34 6321174.835 123952.028</gml:posList>
            </gml:LinearRing>
          </gml:exterior>
        </gml:Polygon>
      </lmg:Yta>
      <planbestammelsereferens>b95ee6f5-203e-459d-93c0-8e7e461f1d96</planbestammelsereferens>
    </Lage>
    <Indelning>
      <tema>Beskrivning av detaljplanen</tema>
      <grupp>Kvartersmark</grupp>
    </Indelning>
  </Omfattning>
  <Omfattning>
    <identitet>mo_motivtillreglering01</identitet>
    <Lage>
      <lmg:Yta>
        <lmg:absolutLagesosakerhetPlan>0</lmg:absolutLagesosakerhetPlan>
        <lmg:absolutLagesosakerhetHojd>0</lmg:absolutLagesosakerhetHojd>
        <lmg:hojdsystem>RH 2000</lmg:hojdsystem>
        <gml:Polygon gml:id="ID_902cf665-0d34-48d3-a703-328f73e0731a" srsName="EPSG:3009" srsDimension="2">
          <gml:exterior>
            <gml:LinearRing gml:id="ID_9750f49d-3fd6-4cf0-953a-444a63484bb9">
              <gml:posList>6321125.655 123892.525 6321161.629 123888.4 6321161.637 123888.467 6321162.983 123898.953 6321163.011 123899.168 6321163.752 123904.947 6321168.446 123941.527 6321154.749 123940.34 6321153.067 123940.238 6321153.771 123944.317 6321164.673 124008.447 6321130.249 124016.91 6321129.274 124017.15 6321112.019 123967.382 6321113.025 123967.232 6321119.891 123966.206 6321120.027 123966.129 6321120.371 123966.134 6321133.863 123964.117 6321131.458 123943.144 6321130.971 123938.893 6321127.81 123911.327 6321127.127 123905.368 6321125.655 123892.525</gml:posList>
            </gml:LinearRing>
          </gml:exterior>
        </gml:Polygon>
      </lmg:Yta>
      <planbestammelsereferens>f4c471e9-4f18-40b3-9eab-6fe30a84e54b</planbestammelsereferens>
    </Lage>
    <Lage>
      <lmg:Yta>
        <lmg:absolutLagesosakerhetPlan>0</lmg:absolutLagesosakerhetPlan>
        <lmg:absolutLagesosakerhetHojd>0</lmg:absolutLagesosakerhetHojd>
        <lmg:hojdsystem>RH 2000</lmg:hojdsystem>
        <gml:Polygon gml:id="ID_0d9d4fa7-cfd3-4130-a5a4-1da8829d3e80" srsName="EPSG:3009" srsDimension="2">
          <gml:exterior>
            <gml:LinearRing gml:id="ID_454ae3be-5bb5-43c9-999a-24fcd004b277">
              <gml:posList>6321125.655 123892.525 6321161.629 123888.4 6321161.637 123888.467 6321162.983 123898.953 6321163.011 123899.168 6321163.752 123904.947 6321168.446 123941.527 6321154.749 123940.34 6321153.067 123940.238 6321153.771 123944.317 6321164.673 124008.447 6321130.249 124016.91 6321129.274 124017.15 6321112.019 123967.382 6321113.025 123967.232 6321119.891 123966.206 6321120.027 123966.129 6321120.371 123966.134 6321133.863 123964.117 6321131.458 123943.144 6321130.971 123938.893 6321127.81 123911.327 6321127.127 123905.368 6321125.655 123892.525</gml:posList>
            </gml:LinearRing>
          </gml:exterior>
        </gml:Polygon>
      </lmg:Yta>
      <planbestammelsereferens>6584d386-98f1-420f-bb90-08311306bc72</planbestammelsereferens>
    </Lage>
    <Lage>
      <lmg:Yta>
        <lmg:absolutLagesosakerhetPlan>0</lmg:absolutLagesosakerhetPlan>
        <lmg:absolutLagesosakerhetHojd>0</lmg:absolutLagesosakerhetHojd>
        <lmg:hojdsystem>RH 2000</lmg:hojdsystem>
        <gml:Polygon gml:id="ID_8318d5a5-49b6-4623-bbda-a59b179c119a" srsName="EPSG:3009" srsDimension="2">
          <gml:exterior>
            <gml:LinearRing gml:id="ID_88ada92d-242f-4e88-8414-978c66e672be">
              <gml:posList>6321125.655 123892.525 6321161.629 123888.4 6321161.637 123888.467 6321162.983 123898.953 6321163.011 123899.168 6321163.752 123904.947 6321168.446 123941.527 6321154.749 123940.34 6321153.067 123940.238 6321153.771 123944.317 6321164.673 124008.447 6321130.249 124016.91 6321129.274 124017.15 6321112.019 123967.382 6321113.025 123967.232 6321119.891 123966.206 6321120.027 123966.129 6321120.371 123966.134 6321133.863 123964.117 6321131.458 123943.144 6321130.971 123938.893 6321127.81 123911.327 6321127.127 123905.368 6321125.655 123892.525</gml:posList>
            </gml:LinearRing>
          </gml:exterior>
        </gml:Polygon>
      </lmg:Yta>
      <planbestammelsereferens>d735239b-fa2d-44d7-8863-c15b4b80a315</planbestammelsereferens>
    </Lage>
    <Lage>
      <lmg:Yta>
        <lmg:absolutLagesosakerhetPlan>0</lmg:absolutLagesosakerhetPlan>
        <lmg:absolutLagesosakerhetHojd>0</lmg:absolutLagesosakerhetHojd>
        <lmg:hojdsystem>RH 2000</lmg:hojdsystem>
        <gml:Polygon gml:id="ID_f0e6af42-76cd-47c1-bea1-3e0ce422ef02" srsName="EPSG:3009" srsDimension="2">
          <gml:exterior>
            <gml:LinearRing gml:id="ID_9a0abcf5-cff7-4dce-bc0f-f804c9711888">
              <gml:posList>6321174.835 123952.028 6321161.101 123954.966 6321161.336 123956.275 6321161.506 123957.226 6321162.144 123960.785 6321163.429 123967.961 6321163.66 123969.247 6321163.851 123970.316 6321164.079 123971.588 6321166.107 123982.906 6321168.253 123994.885 6321171.199 124011.333 6321171.928 124015.403 6321172.065 124016.163 6321172.77 124020.103 6321174.025 124027.104 6321137.003 124036.391 6321136.985 124036.396 6321133.188 124037.348 6321130.992 124037.899 6321127.712 124038.722 6321124.599 124039.503 6321123.424 124035.013 6321122.076 124029.865 6321121.098 124026.128 6321120.795 124024.968 6321120.61 124024.262 6321104.687 123963.422 6321105.116 123963.358 6321105.193 123963.347 6321105.196 123963.346 6321110.352 123962.576 6321110.414 123962.753 6321112.019 123967.382 6321129.274 124017.15 6321130.249 124016.91 6321164.673 124008.447 6321153.771 123944.317 6321134.121 123943.092 6321131.458 123943.144 6321126.437 123943.241 6321126.314 123942.166 6321126.302 123942.064 6321126.298 123942.029 6321126.154 123940.77 6321125.979 123939.249 6321125.404 123934.23 6321125.323 123933.529 6321125.073 123931.348 6321124.948 123930.253 6321124.849 123929.393 6321124.366 123925.181 6321124.248 123924.148 6321123.387 123916.64 6321123.1 123914.134 6321122.196 123906.253 6321121.803 123902.827 6321120.465 123891.151 6321120.118 123888.127 6321142.012 123885.617 6321148.512 123884.872 6321165.96 123882.871 6321166.16 123884.433 6321166.208 123884.804 6321166.249 123885.125 6321166.597 123887.831 6321161.629 123888.4 6321125.655 123892.525 6321127.127 123905.368 6321163.011 123899.168 6321167.942 123898.316 6321167.945 123898.336 6321168.681 123904.072 6321163.752 123904.947 6321127.81 123911.327 6321130.971 123938.893 6321153.067 123940.238 6321154.749 123940.34 6321168.446 123941.527 6321173.544 123941.969 6321174.396 123948.61 6321174.593 123950.144 6321174.618 123950.34 6321174.835 123952.028</gml:posList>
            </gml:LinearRing>
          </gml:exterior>
        </gml:Polygon>
      </lmg:Yta>
      <planbestammelsereferens>86ecf456-ac70-4ce7-9c73-2ace3964c3f1</planbestammelsereferens>
    </Lage>
    <Lage>
      <lmg:Yta>
        <lmg:absolutLagesosakerhetPlan>0.1</lmg:absolutLagesosakerhetPlan>
        <lmg:absolutLagesosakerhetHojd>0</lmg:absolutLagesosakerhetHojd>
        <lmg:hojdsystem>RH 2000</lmg:hojdsystem>
        <gml:Polygon gml:id="ID_32191c49-7e92-4dbb-af55-bd811b9c4520" srsName="EPSG:3009" srsDimension="2">
          <gml:exterior>
            <gml:LinearRing gml:id="ID_64be5b98-6760-4d7c-8ba2-82ad7a3c0238">
              <gml:posList>6321125.655 123892.525 6321161.629 123888.4 6321161.637 123888.467 6321162.983 123898.953 6321163.011 123899.168 6321163.752 123904.947 6321168.446 123941.527 6321154.749 123940.34 6321153.067 123940.238 6321153.771 123944.317 6321164.673 124008.447 6321130.249 124016.91 6321129.274 124017.15 6321112.019 123967.382 6321113.025 123967.232 6321119.891 123966.206 6321120.027 123966.129 6321120.371 123966.134 6321133.863 123964.117 6321131.458 123943.144 6321130.971 123938.893 6321127.81 123911.327 6321127.127 123905.368 6321125.655 123892.525</gml:posList>
            </gml:LinearRing>
          </gml:exterior>
        </gml:Polygon>
      </lmg:Yta>
      <planbestammelsereferens>9dbcc977-57e0-4ea5-b037-79e8b1ac3f5d</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04538efd-9e51-4b7f-9e80-364bb25647d6}">
  <ds:schemaRefs>
    <ds:schemaRef ds:uri="http://schemas.microsoft.com/vsto/samples"/>
  </ds:schemaRefs>
</ds:datastoreItem>
</file>

<file path=customXml/itemProps2.xml><?xml version="1.0" encoding="utf-8"?>
<ds:datastoreItem xmlns:ds="http://schemas.openxmlformats.org/officeDocument/2006/customXml" ds:itemID="79ae97ac-2e0d-41d2-ad3c-e885a739c797">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Alvesta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Johan Karlsson</dc:creator>
  <dcterms:created xsi:type="dcterms:W3CDTF">2025-10-13T13:49:00Z</dcterms:created>
  <cp:keywords>Planbeskrivning</cp:keywords>
  <cp:lastModifiedBy>Johan Karlsson</cp:lastModifiedBy>
  <cp:lastPrinted>2025-12-11T07:49:00Z</cp:lastPrinted>
  <dcterms:modified xsi:type="dcterms:W3CDTF">2026-01-14T10:52:08Z</dcterms:modified>
  <cp:revision>5</cp:revision>
  <dc:title>Planbeskrivning för Moheda-Ryd 1:56</dc:title>
</cp:coreProperties>
</file>