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emf" ContentType="application/x-msmetafile"/>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spacing w:lineRule="auto" w:line="240" w:beforeAutospacing="0" w:afterAutospacing="0"/>
        <w:rPr>
          <w:rFonts w:ascii="Barlow Semi Condensed SemiBold" w:hAnsi="Barlow Semi Condensed SemiBold"/>
          <w:color w:val="007FA3"/>
          <w:sz w:val="68"/>
          <w:szCs w:val="68"/>
        </w:rPr>
      </w:pPr>
      <w:r>
        <w:rPr>
          <w:rFonts w:ascii="Barlow Semi Condensed SemiBold" w:hAnsi="Barlow Semi Condensed SemiBold"/>
          <w:color w:val="007FA3"/>
          <w:sz w:val="68"/>
          <w:szCs w:val="68"/>
        </w:rPr>
        <w:t>Planbeskrivning</w:t>
      </w:r>
    </w:p>
    <w:p>
      <w:pPr>
        <w:spacing w:lineRule="auto" w:line="240" w:beforeAutospacing="0" w:afterAutospacing="0"/>
        <w:rPr>
          <w:rFonts w:ascii="Barlow Semi Condensed" w:hAnsi="Barlow Semi Condensed"/>
          <w:sz w:val="32"/>
          <w:szCs w:val="32"/>
        </w:rPr>
      </w:pPr>
      <w:r>
        <w:rPr>
          <w:rFonts w:ascii="Barlow Semi Condensed" w:hAnsi="Barlow Semi Condensed"/>
          <w:sz w:val="32"/>
          <w:szCs w:val="32"/>
        </w:rPr>
        <w:t>Detaljplan för</w:t>
      </w:r>
    </w:p>
    <w:p>
      <w:pPr>
        <w:spacing w:lineRule="auto" w:line="240" w:beforeAutospacing="0" w:afterAutospacing="0"/>
        <w:rPr>
          <w:rFonts w:ascii="Barlow Semi Condensed" w:hAnsi="Barlow Semi Condensed"/>
          <w:sz w:val="32"/>
          <w:szCs w:val="32"/>
        </w:rPr>
      </w:pPr>
      <w:r>
        <w:rPr>
          <w:rFonts w:ascii="Barlow Semi Condensed" w:hAnsi="Barlow Semi Condensed"/>
          <w:sz w:val="32"/>
          <w:szCs w:val="32"/>
        </w:rPr>
        <w:t>Del av Bråstorp 1:8 (Bergmossen), Bergsätter</w:t>
      </w:r>
    </w:p>
    <w:p>
      <w:pPr>
        <w:spacing w:lineRule="auto" w:line="240" w:beforeAutospacing="0" w:afterAutospacing="0"/>
        <w:rPr>
          <w:rFonts w:ascii="Barlow Semi Condensed" w:hAnsi="Barlow Semi Condensed"/>
          <w:sz w:val="32"/>
          <w:szCs w:val="32"/>
        </w:rPr>
      </w:pPr>
      <w:r>
        <w:rPr>
          <w:rFonts w:ascii="Barlow Semi Condensed" w:hAnsi="Barlow Semi Condensed"/>
          <w:sz w:val="32"/>
          <w:szCs w:val="32"/>
        </w:rPr>
        <w:t>Motala kommun, Östergötlands län</w:t>
      </w:r>
    </w:p>
    <w:p>
      <w:pPr>
        <w:rPr>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b w:val="1"/>
          <w:sz w:val="22"/>
        </w:rPr>
      </w:pPr>
    </w:p>
    <w:p>
      <w:pPr>
        <w:rPr>
          <w:noProof w:val="1"/>
          <w:sz w:val="22"/>
          <w:lang w:eastAsia="sv-SE"/>
        </w:rPr>
      </w:pPr>
    </w:p>
    <w:p>
      <w:pPr>
        <w:rPr>
          <w:noProof w:val="1"/>
          <w:sz w:val="22"/>
          <w:lang w:eastAsia="sv-SE"/>
        </w:rPr>
      </w:pPr>
    </w:p>
    <w:p>
      <w:pPr>
        <w:spacing w:lineRule="auto" w:line="240" w:beforeAutospacing="0" w:afterAutospacing="0"/>
        <w:rPr>
          <w:rFonts w:ascii="Barlow Semi Condensed SemiBold" w:hAnsi="Barlow Semi Condensed SemiBold"/>
          <w:color w:val="007FA3"/>
          <w:sz w:val="56"/>
          <w:szCs w:val="68"/>
        </w:rPr>
      </w:pPr>
      <w:r>
        <w:rPr>
          <w:rFonts w:ascii="Barlow Semi Condensed SemiBold" w:hAnsi="Barlow Semi Condensed SemiBold"/>
          <w:color w:val="007FA3"/>
          <w:sz w:val="56"/>
          <w:szCs w:val="68"/>
        </w:rPr>
        <w:t>ANTAGANDEHANDLING</w:t>
      </w:r>
    </w:p>
    <w:tbl>
      <w:tblPr>
        <w:tblStyle w:val="T2"/>
        <w:tblpPr w:leftFromText="141" w:rightFromText="141" w:tblpX="1" w:tblpY="110" w:horzAnchor="margin" w:vertAnchor="text" w:tblpXSpec="left"/>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c>
          <w:tcPr>
            <w:tcW w:w="2268" w:type="dxa"/>
          </w:tcPr>
          <w:p>
            <w:pPr>
              <w:spacing w:lineRule="auto" w:line="240" w:beforeAutospacing="0" w:afterAutospacing="0"/>
              <w:rPr>
                <w:rFonts w:ascii="Barlow Semi Condensed" w:hAnsi="Barlow Semi Condensed"/>
                <w:b w:val="1"/>
                <w:sz w:val="16"/>
              </w:rPr>
            </w:pPr>
            <w:r>
              <w:rPr>
                <w:rFonts w:ascii="Barlow Semi Condensed" w:hAnsi="Barlow Semi Condensed"/>
                <w:b w:val="1"/>
                <w:sz w:val="16"/>
              </w:rPr>
              <w:t>Ärendenummer</w:t>
            </w:r>
          </w:p>
        </w:tc>
        <w:tc>
          <w:tcPr>
            <w:tcW w:w="3402" w:type="dxa"/>
          </w:tcPr>
          <w:p>
            <w:pPr>
              <w:spacing w:lineRule="auto" w:line="240" w:beforeAutospacing="0" w:afterAutospacing="0"/>
              <w:rPr>
                <w:rFonts w:asciiTheme="minorHAnsi" w:hAnsiTheme="minorHAnsi"/>
                <w:sz w:val="16"/>
              </w:rPr>
            </w:pPr>
            <w:r>
              <w:rPr>
                <w:rFonts w:asciiTheme="minorHAnsi" w:hAnsiTheme="minorHAnsi"/>
                <w:sz w:val="16"/>
              </w:rPr>
              <w:t>SB-2022-9</w:t>
            </w:r>
          </w:p>
        </w:tc>
      </w:tr>
      <w:tr>
        <w:tc>
          <w:tcPr>
            <w:tcW w:w="2268" w:type="dxa"/>
          </w:tcPr>
          <w:p>
            <w:pPr>
              <w:spacing w:lineRule="auto" w:line="240" w:beforeAutospacing="0" w:afterAutospacing="0"/>
              <w:rPr>
                <w:rFonts w:ascii="Barlow Semi Condensed" w:hAnsi="Barlow Semi Condensed"/>
                <w:b w:val="1"/>
                <w:sz w:val="16"/>
              </w:rPr>
            </w:pPr>
            <w:r>
              <w:rPr>
                <w:rFonts w:ascii="Barlow Semi Condensed" w:hAnsi="Barlow Semi Condensed"/>
                <w:b w:val="1"/>
                <w:sz w:val="16"/>
              </w:rPr>
              <w:t>Planens beteckning</w:t>
            </w:r>
          </w:p>
        </w:tc>
        <w:tc>
          <w:tcPr>
            <w:tcW w:w="3402" w:type="dxa"/>
          </w:tcPr>
          <w:p>
            <w:pPr>
              <w:spacing w:lineRule="auto" w:line="240" w:beforeAutospacing="0" w:afterAutospacing="0"/>
              <w:rPr>
                <w:rFonts w:asciiTheme="minorHAnsi" w:hAnsiTheme="minorHAnsi"/>
                <w:sz w:val="16"/>
              </w:rPr>
            </w:pPr>
            <w:r>
              <w:rPr>
                <w:rFonts w:asciiTheme="minorHAnsi" w:hAnsiTheme="minorHAnsi"/>
                <w:sz w:val="16"/>
              </w:rPr>
              <w:t>DP 694</w:t>
            </w:r>
          </w:p>
        </w:tc>
      </w:tr>
      <w:tr>
        <w:tc>
          <w:tcPr>
            <w:tcW w:w="2268" w:type="dxa"/>
          </w:tcPr>
          <w:p>
            <w:pPr>
              <w:spacing w:lineRule="auto" w:line="240" w:beforeAutospacing="0" w:afterAutospacing="0"/>
              <w:rPr>
                <w:rFonts w:ascii="Barlow Semi Condensed" w:hAnsi="Barlow Semi Condensed"/>
                <w:b w:val="1"/>
                <w:sz w:val="16"/>
              </w:rPr>
            </w:pPr>
            <w:r>
              <w:rPr>
                <w:rFonts w:ascii="Barlow Semi Condensed" w:hAnsi="Barlow Semi Condensed"/>
                <w:b w:val="1"/>
                <w:sz w:val="16"/>
              </w:rPr>
              <w:t>Planförfarande</w:t>
            </w:r>
          </w:p>
        </w:tc>
        <w:tc>
          <w:tcPr>
            <w:tcW w:w="3402" w:type="dxa"/>
          </w:tcPr>
          <w:p>
            <w:pPr>
              <w:spacing w:lineRule="auto" w:line="240" w:beforeAutospacing="0" w:afterAutospacing="0"/>
              <w:rPr>
                <w:rFonts w:asciiTheme="minorHAnsi" w:hAnsiTheme="minorHAnsi"/>
                <w:color w:val="FF0000"/>
                <w:sz w:val="16"/>
              </w:rPr>
            </w:pPr>
            <w:r>
              <w:rPr>
                <w:rFonts w:asciiTheme="minorHAnsi" w:hAnsiTheme="minorHAnsi"/>
                <w:sz w:val="16"/>
              </w:rPr>
              <w:t>Standardförfarande</w:t>
            </w:r>
          </w:p>
        </w:tc>
      </w:tr>
      <w:tr>
        <w:tc>
          <w:tcPr>
            <w:tcW w:w="2268" w:type="dxa"/>
          </w:tcPr>
          <w:p>
            <w:pPr>
              <w:spacing w:lineRule="auto" w:line="240" w:beforeAutospacing="0" w:afterAutospacing="0"/>
              <w:rPr>
                <w:rFonts w:ascii="Barlow Semi Condensed" w:hAnsi="Barlow Semi Condensed"/>
                <w:b w:val="1"/>
                <w:sz w:val="16"/>
              </w:rPr>
            </w:pPr>
            <w:r>
              <w:rPr>
                <w:rFonts w:ascii="Barlow Semi Condensed" w:hAnsi="Barlow Semi Condensed"/>
                <w:b w:val="1"/>
                <w:sz w:val="16"/>
              </w:rPr>
              <w:t>Lagstiftning</w:t>
            </w:r>
          </w:p>
        </w:tc>
        <w:tc>
          <w:tcPr>
            <w:tcW w:w="3402" w:type="dxa"/>
          </w:tcPr>
          <w:p>
            <w:pPr>
              <w:spacing w:lineRule="auto" w:line="240" w:beforeAutospacing="0" w:afterAutospacing="0"/>
              <w:rPr>
                <w:rFonts w:asciiTheme="minorHAnsi" w:hAnsiTheme="minorHAnsi"/>
                <w:sz w:val="16"/>
              </w:rPr>
            </w:pPr>
            <w:r>
              <w:rPr>
                <w:rFonts w:asciiTheme="minorHAnsi" w:hAnsiTheme="minorHAnsi"/>
                <w:sz w:val="16"/>
              </w:rPr>
              <w:t>Plan- och bygglagen (SFS 2010:900)</w:t>
            </w:r>
          </w:p>
        </w:tc>
      </w:tr>
      <w:tr>
        <w:tc>
          <w:tcPr>
            <w:tcW w:w="2268" w:type="dxa"/>
          </w:tcPr>
          <w:p>
            <w:pPr>
              <w:spacing w:lineRule="auto" w:line="240" w:beforeAutospacing="0" w:afterAutospacing="0"/>
              <w:rPr>
                <w:rFonts w:ascii="Barlow Semi Condensed" w:hAnsi="Barlow Semi Condensed"/>
                <w:b w:val="1"/>
                <w:sz w:val="16"/>
              </w:rPr>
            </w:pPr>
            <w:r>
              <w:rPr>
                <w:rFonts w:ascii="Barlow Semi Condensed" w:hAnsi="Barlow Semi Condensed"/>
                <w:b w:val="1"/>
                <w:sz w:val="16"/>
              </w:rPr>
              <w:t>Påbörjad</w:t>
            </w:r>
          </w:p>
          <w:p>
            <w:pPr>
              <w:spacing w:lineRule="auto" w:line="240" w:beforeAutospacing="0" w:afterAutospacing="0"/>
              <w:rPr>
                <w:rFonts w:ascii="Barlow Semi Condensed" w:hAnsi="Barlow Semi Condensed"/>
                <w:b w:val="1"/>
                <w:sz w:val="16"/>
              </w:rPr>
            </w:pPr>
            <w:r>
              <w:rPr>
                <w:rFonts w:ascii="Barlow Semi Condensed" w:hAnsi="Barlow Semi Condensed"/>
                <w:b w:val="1"/>
                <w:sz w:val="16"/>
              </w:rPr>
              <w:t>Antagen av KF</w:t>
            </w:r>
          </w:p>
          <w:p>
            <w:pPr>
              <w:spacing w:lineRule="auto" w:line="240" w:beforeAutospacing="0" w:afterAutospacing="0"/>
              <w:rPr>
                <w:rFonts w:ascii="Barlow Semi Condensed" w:hAnsi="Barlow Semi Condensed"/>
                <w:b w:val="1"/>
                <w:sz w:val="16"/>
              </w:rPr>
            </w:pPr>
            <w:r>
              <w:rPr>
                <w:rFonts w:ascii="Barlow Semi Condensed" w:hAnsi="Barlow Semi Condensed"/>
                <w:b w:val="1"/>
                <w:sz w:val="16"/>
              </w:rPr>
              <w:t>Laga kraft</w:t>
            </w:r>
          </w:p>
        </w:tc>
        <w:tc>
          <w:tcPr>
            <w:tcW w:w="3402" w:type="dxa"/>
          </w:tcPr>
          <w:p>
            <w:pPr>
              <w:spacing w:lineRule="auto" w:line="240" w:beforeAutospacing="0" w:afterAutospacing="0"/>
              <w:rPr>
                <w:rFonts w:asciiTheme="minorHAnsi" w:hAnsiTheme="minorHAnsi"/>
                <w:sz w:val="16"/>
              </w:rPr>
            </w:pPr>
            <w:r>
              <w:rPr>
                <w:rFonts w:asciiTheme="minorHAnsi" w:hAnsiTheme="minorHAnsi"/>
                <w:sz w:val="16"/>
              </w:rPr>
              <w:t>2022-04-20</w:t>
            </w:r>
          </w:p>
          <w:p>
            <w:pPr>
              <w:spacing w:lineRule="auto" w:line="240" w:beforeAutospacing="0" w:afterAutospacing="0"/>
              <w:rPr>
                <w:rFonts w:asciiTheme="minorHAnsi" w:hAnsiTheme="minorHAnsi"/>
                <w:sz w:val="16"/>
              </w:rPr>
            </w:pPr>
            <w:r>
              <w:rPr>
                <w:rFonts w:asciiTheme="minorHAnsi" w:hAnsiTheme="minorHAnsi"/>
                <w:sz w:val="16"/>
              </w:rPr>
              <w:t>2024-09-18</w:t>
            </w:r>
          </w:p>
          <w:p>
            <w:pPr>
              <w:spacing w:lineRule="auto" w:line="240" w:beforeAutospacing="0" w:afterAutospacing="0"/>
              <w:rPr>
                <w:rFonts w:asciiTheme="minorHAnsi" w:hAnsiTheme="minorHAnsi"/>
                <w:sz w:val="16"/>
              </w:rPr>
            </w:pPr>
            <w:r>
              <w:rPr>
                <w:rFonts w:asciiTheme="minorHAnsi" w:hAnsiTheme="minorHAnsi"/>
                <w:sz w:val="16"/>
              </w:rPr>
              <w:t>2024-10-12</w:t>
            </w:r>
          </w:p>
        </w:tc>
      </w:tr>
      <w:tr>
        <w:tc>
          <w:tcPr>
            <w:tcW w:w="2268" w:type="dxa"/>
          </w:tcPr>
          <w:p>
            <w:pPr>
              <w:spacing w:lineRule="auto" w:line="240" w:beforeAutospacing="0" w:afterAutospacing="0"/>
              <w:rPr>
                <w:rFonts w:ascii="Barlow Semi Condensed" w:hAnsi="Barlow Semi Condensed"/>
                <w:b w:val="1"/>
                <w:sz w:val="16"/>
              </w:rPr>
            </w:pPr>
            <w:r>
              <w:rPr>
                <w:rFonts w:ascii="Barlow Semi Condensed" w:hAnsi="Barlow Semi Condensed"/>
                <w:b w:val="1"/>
                <w:sz w:val="16"/>
              </w:rPr>
              <w:t>Genomförandetid</w:t>
            </w:r>
          </w:p>
        </w:tc>
        <w:tc>
          <w:tcPr>
            <w:tcW w:w="3402" w:type="dxa"/>
          </w:tcPr>
          <w:p>
            <w:pPr>
              <w:spacing w:lineRule="auto" w:line="240" w:beforeAutospacing="0" w:afterAutospacing="0"/>
              <w:rPr>
                <w:rFonts w:asciiTheme="minorHAnsi" w:hAnsiTheme="minorHAnsi"/>
                <w:color w:val="FF0000"/>
                <w:sz w:val="16"/>
              </w:rPr>
            </w:pPr>
            <w:r>
              <w:rPr>
                <w:rFonts w:asciiTheme="minorHAnsi" w:hAnsiTheme="minorHAnsi"/>
                <w:sz w:val="16"/>
              </w:rPr>
              <w:t>5 år</w:t>
            </w:r>
          </w:p>
        </w:tc>
      </w:tr>
      <w:tr>
        <w:tc>
          <w:tcPr>
            <w:tcW w:w="2268" w:type="dxa"/>
          </w:tcPr>
          <w:p>
            <w:pPr>
              <w:spacing w:lineRule="auto" w:line="240" w:beforeAutospacing="0" w:afterAutospacing="0"/>
              <w:rPr>
                <w:rFonts w:ascii="Barlow Semi Condensed" w:hAnsi="Barlow Semi Condensed"/>
                <w:b w:val="1"/>
                <w:sz w:val="16"/>
              </w:rPr>
            </w:pPr>
            <w:r>
              <w:rPr>
                <w:rFonts w:ascii="Barlow Semi Condensed" w:hAnsi="Barlow Semi Condensed"/>
                <w:b w:val="1"/>
                <w:sz w:val="16"/>
              </w:rPr>
              <w:t>Datum för upprättande</w:t>
            </w:r>
          </w:p>
        </w:tc>
        <w:tc>
          <w:tcPr>
            <w:tcW w:w="3402" w:type="dxa"/>
          </w:tcPr>
          <w:p>
            <w:pPr>
              <w:spacing w:lineRule="auto" w:line="240" w:beforeAutospacing="0" w:afterAutospacing="0"/>
              <w:rPr>
                <w:rFonts w:asciiTheme="minorHAnsi" w:hAnsiTheme="minorHAnsi"/>
                <w:color w:val="FF0000"/>
                <w:sz w:val="16"/>
              </w:rPr>
            </w:pPr>
            <w:r>
              <w:rPr>
                <w:rFonts w:asciiTheme="minorHAnsi" w:hAnsiTheme="minorHAnsi"/>
                <w:sz w:val="16"/>
              </w:rPr>
              <w:t>2023-02-09</w:t>
            </w:r>
          </w:p>
        </w:tc>
      </w:tr>
      <w:tr>
        <w:tc>
          <w:tcPr>
            <w:tcW w:w="2268" w:type="dxa"/>
          </w:tcPr>
          <w:p>
            <w:pPr>
              <w:spacing w:lineRule="auto" w:line="240" w:beforeAutospacing="0" w:afterAutospacing="0"/>
              <w:rPr>
                <w:rFonts w:ascii="Barlow Semi Condensed" w:hAnsi="Barlow Semi Condensed"/>
                <w:b w:val="1"/>
                <w:sz w:val="16"/>
              </w:rPr>
            </w:pPr>
            <w:r>
              <w:rPr>
                <w:rFonts w:ascii="Barlow Semi Condensed" w:hAnsi="Barlow Semi Condensed"/>
                <w:b w:val="1"/>
                <w:sz w:val="16"/>
              </w:rPr>
              <w:t>Datum för senaste revidering</w:t>
            </w:r>
          </w:p>
        </w:tc>
        <w:tc>
          <w:tcPr>
            <w:tcW w:w="3402" w:type="dxa"/>
          </w:tcPr>
          <w:p>
            <w:pPr>
              <w:spacing w:lineRule="auto" w:line="240" w:beforeAutospacing="0" w:afterAutospacing="0"/>
              <w:rPr>
                <w:rFonts w:asciiTheme="minorHAnsi" w:hAnsiTheme="minorHAnsi"/>
                <w:color w:val="FF0000"/>
                <w:sz w:val="16"/>
              </w:rPr>
            </w:pPr>
            <w:r>
              <w:rPr>
                <w:rFonts w:asciiTheme="minorHAnsi" w:hAnsiTheme="minorHAnsi"/>
                <w:sz w:val="16"/>
              </w:rPr>
              <w:t>2024-08-28</w:t>
            </w:r>
          </w:p>
        </w:tc>
      </w:tr>
    </w:tbl>
    <w:p/>
    <w:p/>
    <w:p/>
    <w:p/>
    <w:p/>
    <w:p/>
    <w:p/>
    <w:p/>
    <w:p>
      <w:pPr>
        <w:spacing w:lineRule="auto" w:line="240" w:beforeAutospacing="0" w:afterAutospacing="0"/>
        <w:rPr>
          <w:rFonts w:asciiTheme="minorHAnsi" w:hAnsiTheme="minorHAnsi"/>
          <w:sz w:val="22"/>
        </w:rPr>
      </w:pPr>
    </w:p>
    <w:p>
      <w:pPr>
        <w:spacing w:lineRule="auto" w:line="240" w:beforeAutospacing="0" w:afterAutospacing="0"/>
        <w:rPr>
          <w:rFonts w:asciiTheme="minorHAnsi" w:hAnsiTheme="minorHAnsi"/>
          <w:sz w:val="22"/>
        </w:rPr>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first" r:id="RelFtr1"/>
          <w:footerReference xmlns:r="http://schemas.openxmlformats.org/officeDocument/2006/relationships" w:type="default" r:id="RelFtr2"/>
          <w:footnotePr/>
          <w:endnotePr/>
          <w:type w:val="nextPage"/>
          <w:pgSz w:w="11906" w:h="16838" w:code="0"/>
          <w:pgMar w:left="1418" w:right="1418" w:top="2268" w:bottom="2268" w:header="1134" w:footer="907" w:gutter="0"/>
          <w:cols w:equalWidth="1" w:space="720"/>
          <w:noEndnote/>
        </w:sectPr>
      </w:pPr>
    </w:p>
    <w:p>
      <w:pPr>
        <w:pStyle w:val="P1"/>
        <w:numPr>
          <w:ilvl w:val="0"/>
          <w:numId w:val="0"/>
        </w:numPr>
        <w:ind w:firstLine="0" w:left="0"/>
      </w:pPr>
      <w:bookmarkStart w:id="0" w:name="_Toc175726260"/>
      <w:r>
        <w:t>Plankarta</w:t>
      </w:r>
      <w:bookmarkEnd w:id="0"/>
    </w:p>
    <w:p>
      <w:r>
        <w:t>(ej skalenlig)</w:t>
      </w:r>
    </w:p>
    <w:p>
      <w:pPr>
        <w:spacing w:lineRule="auto" w:line="240" w:beforeAutospacing="0" w:afterAutospacing="0"/>
        <w:rPr>
          <w:noProof w:val="1"/>
        </w:rPr>
      </w:pPr>
    </w:p>
    <w:p>
      <w:pPr>
        <w:spacing w:lineRule="auto" w:line="240" w:beforeAutospacing="0" w:afterAutospacing="0"/>
        <w:rPr>
          <w:noProof w:val="1"/>
        </w:rPr>
      </w:pPr>
      <w:r>
        <w:rPr>
          <w:noProof w:val="1"/>
        </w:rPr>
        <w:drawing>
          <wp:inline xmlns:wp="http://schemas.openxmlformats.org/drawingml/2006/wordprocessingDrawing" distT="0" distB="0" distL="0" distR="0">
            <wp:extent cx="4979035" cy="3476625"/>
            <wp:effectExtent l="0" t="0" r="0" b="0"/>
            <wp:docPr id="119420095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4" cstate="print"/>
                    <a:srcRect l="14205" t="9919" r="33712" b="38606"/>
                    <a:stretch>
                      <a:fillRect/>
                    </a:stretch>
                  </pic:blipFill>
                  <pic:spPr bwMode="auto">
                    <a:xfrm>
                      <a:off x="0" y="0"/>
                      <a:ext cx="4991838" cy="3485213"/>
                    </a:xfrm>
                    <a:prstGeom prst="rect"/>
                    <a:noFill/>
                    <a:ln>
                      <a:noFill/>
                    </a:ln>
                  </pic:spPr>
                </pic:pic>
              </a:graphicData>
            </a:graphic>
          </wp:inline>
        </w:drawing>
      </w:r>
    </w:p>
    <w:p>
      <w:pPr>
        <w:spacing w:lineRule="auto" w:line="240" w:beforeAutospacing="0" w:afterAutospacing="0"/>
      </w:pPr>
      <w:r>
        <w:br w:type="page"/>
      </w:r>
    </w:p>
    <w:p>
      <w:pPr>
        <w:pStyle w:val="P1"/>
        <w:numPr>
          <w:ilvl w:val="0"/>
          <w:numId w:val="0"/>
        </w:numPr>
        <w:ind w:firstLine="0" w:left="0"/>
      </w:pPr>
      <w:bookmarkStart w:id="1" w:name="_Toc175726261"/>
      <w:r>
        <w:t>Planbestämmelselista</w:t>
      </w:r>
      <w:bookmarkEnd w:id="1"/>
    </w:p>
    <w:p>
      <w:pPr>
        <w:spacing w:lineRule="auto" w:line="240" w:beforeAutospacing="0" w:afterAutospacing="0"/>
        <w:ind w:left="-142"/>
      </w:pPr>
      <w:r>
        <w:rPr>
          <w:noProof w:val="1"/>
        </w:rPr>
        <w:drawing>
          <wp:inline xmlns:wp="http://schemas.openxmlformats.org/drawingml/2006/wordprocessingDrawing" distT="0" distB="0" distL="0" distR="0">
            <wp:extent cx="3162300" cy="5901055"/>
            <wp:effectExtent l="0" t="0" r="0" b="0"/>
            <wp:docPr id="202422757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5" cstate="print"/>
                    <a:srcRect l="76136" t="5630" r="2651" b="38338"/>
                    <a:stretch>
                      <a:fillRect/>
                    </a:stretch>
                  </pic:blipFill>
                  <pic:spPr bwMode="auto">
                    <a:xfrm>
                      <a:off x="0" y="0"/>
                      <a:ext cx="3167625" cy="5911015"/>
                    </a:xfrm>
                    <a:prstGeom prst="rect"/>
                    <a:noFill/>
                    <a:ln>
                      <a:noFill/>
                    </a:ln>
                  </pic:spPr>
                </pic:pic>
              </a:graphicData>
            </a:graphic>
          </wp:inline>
        </w:drawing>
      </w:r>
      <w:r>
        <w:br w:type="page"/>
      </w:r>
    </w:p>
    <w:tbl>
      <w:tblPr>
        <w:tblStyle w:val="T2"/>
        <w:tblW w:w="4600" w:type="pct"/>
        <w:jc w:val="center"/>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CellMar>
          <w:left w:w="0" w:type="dxa"/>
          <w:right w:w="0" w:type="dxa"/>
        </w:tblCellMar>
        <w:tblLook w:val="04A0"/>
      </w:tblPr>
      <w:tblGrid/>
      <w:tr>
        <w:trPr>
          <w:trHeight w:hRule="atLeast" w:val="397"/>
          <w:jc w:val="center"/>
        </w:trPr>
        <w:tc>
          <w:tcPr>
            <w:tcW w:w="836" w:type="pct"/>
            <w:vAlign w:val="center"/>
          </w:tcPr>
          <w:p>
            <w:pPr>
              <w:pStyle w:val="P24"/>
              <w:spacing w:after="0" w:beforeAutospacing="0" w:afterAutospacing="0"/>
              <w:jc w:val="center"/>
              <w:rPr>
                <w:rFonts w:asciiTheme="minorHAnsi" w:hAnsiTheme="minorHAnsi"/>
                <w:b w:val="1"/>
                <w:sz w:val="18"/>
                <w:szCs w:val="24"/>
              </w:rPr>
            </w:pPr>
          </w:p>
        </w:tc>
        <w:tc>
          <w:tcPr>
            <w:tcW w:w="833" w:type="pct"/>
            <w:tcBorders>
              <w:bottom w:val="dashed" w:sz="4" w:space="0" w:shadow="0" w:frame="0" w:color="007FA3" w:themeColor="accent1"/>
            </w:tcBorders>
            <w:shd w:val="clear" w:color="auto" w:fill="FFFFFF" w:themeFill="background1"/>
            <w:vAlign w:val="center"/>
          </w:tcPr>
          <w:p>
            <w:pPr>
              <w:jc w:val="center"/>
              <w:rPr>
                <w:rFonts w:asciiTheme="minorHAnsi" w:hAnsiTheme="minorHAnsi"/>
                <w:sz w:val="18"/>
                <w:szCs w:val="24"/>
              </w:rPr>
            </w:pPr>
          </w:p>
        </w:tc>
        <w:tc>
          <w:tcPr>
            <w:tcW w:w="833" w:type="pct"/>
            <w:tcBorders>
              <w:bottom w:val="single" w:sz="4" w:space="0" w:shadow="0" w:frame="0" w:color="007FA3"/>
            </w:tcBorders>
            <w:shd w:val="clear" w:color="auto" w:fill="FFFFFF" w:themeFill="background1"/>
            <w:vAlign w:val="center"/>
          </w:tcPr>
          <w:p>
            <w:pPr>
              <w:jc w:val="center"/>
              <w:rPr>
                <w:rFonts w:asciiTheme="minorHAnsi" w:hAnsiTheme="minorHAnsi"/>
                <w:sz w:val="18"/>
                <w:szCs w:val="24"/>
              </w:rPr>
            </w:pPr>
          </w:p>
        </w:tc>
        <w:tc>
          <w:tcPr>
            <w:tcW w:w="833" w:type="pct"/>
            <w:tcBorders>
              <w:bottom w:val="single" w:sz="4" w:space="0" w:shadow="0" w:frame="0" w:color="007FA3"/>
            </w:tcBorders>
            <w:shd w:val="clear" w:color="auto" w:fill="FFFFFF" w:themeFill="background1"/>
            <w:vAlign w:val="center"/>
          </w:tcPr>
          <w:p>
            <w:pPr>
              <w:tabs>
                <w:tab w:val="left" w:pos="1635" w:leader="none"/>
              </w:tabs>
              <w:jc w:val="center"/>
              <w:rPr>
                <w:rFonts w:asciiTheme="minorHAnsi" w:hAnsiTheme="minorHAnsi"/>
                <w:sz w:val="18"/>
                <w:szCs w:val="24"/>
              </w:rPr>
            </w:pPr>
          </w:p>
        </w:tc>
        <w:tc>
          <w:tcPr>
            <w:tcW w:w="937" w:type="pct"/>
            <w:tcBorders>
              <w:bottom w:val="single" w:sz="4" w:space="0" w:shadow="0" w:frame="0" w:color="007FA3" w:themeColor="accent1"/>
            </w:tcBorders>
            <w:vAlign w:val="center"/>
          </w:tcPr>
          <w:p>
            <w:pPr>
              <w:jc w:val="center"/>
              <w:rPr>
                <w:rFonts w:asciiTheme="minorHAnsi" w:hAnsiTheme="minorHAnsi"/>
                <w:sz w:val="18"/>
                <w:szCs w:val="24"/>
              </w:rPr>
            </w:pPr>
          </w:p>
        </w:tc>
        <w:tc>
          <w:tcPr>
            <w:tcW w:w="729" w:type="pct"/>
            <w:tcBorders>
              <w:bottom w:val="single" w:sz="4" w:space="0" w:shadow="0" w:frame="0" w:color="007FA3" w:themeColor="accent1"/>
            </w:tcBorders>
            <w:vAlign w:val="center"/>
          </w:tcPr>
          <w:p>
            <w:pPr>
              <w:jc w:val="center"/>
              <w:rPr>
                <w:rFonts w:asciiTheme="minorHAnsi" w:hAnsiTheme="minorHAnsi"/>
                <w:sz w:val="18"/>
                <w:szCs w:val="24"/>
              </w:rPr>
            </w:pPr>
            <w:r>
              <w:rPr>
                <w:rFonts w:asciiTheme="minorHAnsi" w:hAnsiTheme="minorHAnsi"/>
                <w:sz w:val="18"/>
                <w:szCs w:val="24"/>
              </w:rPr>
              <w:t>Här är vi nu</w:t>
            </w:r>
          </w:p>
        </w:tc>
      </w:tr>
      <w:tr>
        <w:trPr>
          <w:trHeight w:hRule="atLeast" w:val="765"/>
          <w:jc w:val="center"/>
        </w:trPr>
        <w:tc>
          <w:tcPr>
            <w:tcW w:w="836" w:type="pct"/>
            <w:tcBorders>
              <w:right w:val="dashed" w:sz="4" w:space="0" w:shadow="0" w:frame="0" w:color="007FA3" w:themeColor="accent1"/>
            </w:tcBorders>
            <w:shd w:val="clear" w:color="auto" w:fill="auto"/>
            <w:vAlign w:val="center"/>
          </w:tcPr>
          <w:p>
            <w:pPr>
              <w:pStyle w:val="P24"/>
              <w:spacing w:after="0" w:beforeAutospacing="0" w:afterAutospacing="0"/>
              <w:jc w:val="center"/>
              <w:rPr>
                <w:rFonts w:ascii="Barlow Semi Condensed" w:hAnsi="Barlow Semi Condensed"/>
                <w:szCs w:val="24"/>
              </w:rPr>
            </w:pPr>
            <w:r>
              <w:rPr>
                <w:rFonts w:ascii="Barlow Semi Condensed" w:hAnsi="Barlow Semi Condensed"/>
                <w:szCs w:val="24"/>
              </w:rPr>
              <w:t>Uppdrag</w:t>
            </w:r>
          </w:p>
        </w:tc>
        <w:tc>
          <w:tcPr>
            <w:tcW w:w="833" w:type="pct"/>
            <w:tcBorders>
              <w:top w:val="dashed" w:sz="4" w:space="0" w:shadow="0" w:frame="0" w:color="007FA3" w:themeColor="accent1"/>
              <w:left w:val="dashed" w:sz="4" w:space="0" w:shadow="0" w:frame="0" w:color="007FA3" w:themeColor="accent1"/>
              <w:bottom w:val="dashed" w:sz="4" w:space="0" w:shadow="0" w:frame="0" w:color="007FA3" w:themeColor="accent1"/>
              <w:right w:val="single" w:sz="4" w:space="0" w:shadow="0" w:frame="0" w:color="007FA3"/>
            </w:tcBorders>
            <w:shd w:val="clear" w:color="auto" w:fill="F2F2F2" w:themeFill="background1" w:themeFillShade="F2"/>
            <w:vAlign w:val="center"/>
          </w:tcPr>
          <w:p>
            <w:pPr>
              <w:jc w:val="center"/>
              <w:rPr>
                <w:rFonts w:ascii="Barlow Semi Condensed" w:hAnsi="Barlow Semi Condensed"/>
                <w:color w:val="FFFFFF" w:themeColor="background1"/>
                <w:szCs w:val="24"/>
              </w:rPr>
            </w:pPr>
            <w:r>
              <w:rPr>
                <w:rFonts w:ascii="Barlow Semi Condensed" w:hAnsi="Barlow Semi Condensed"/>
                <w:szCs w:val="24"/>
              </w:rPr>
              <w:t>Program</w:t>
            </w:r>
          </w:p>
        </w:tc>
        <w:tc>
          <w:tcPr>
            <w:tcW w:w="833" w:type="pct"/>
            <w:tcBorders>
              <w:top w:val="single" w:sz="4" w:space="0" w:shadow="0" w:frame="0" w:color="007FA3"/>
              <w:left w:val="single" w:sz="4" w:space="0" w:shadow="0" w:frame="0" w:color="007FA3"/>
              <w:bottom w:val="single" w:sz="4" w:space="0" w:shadow="0" w:frame="0" w:color="007FA3"/>
              <w:right w:val="single" w:sz="4" w:space="0" w:shadow="0" w:frame="0" w:color="007FA3"/>
            </w:tcBorders>
            <w:shd w:val="clear" w:color="auto" w:fill="F2F2F2" w:themeFill="background1" w:themeFillShade="F2"/>
            <w:vAlign w:val="center"/>
          </w:tcPr>
          <w:p>
            <w:pPr>
              <w:jc w:val="center"/>
              <w:rPr>
                <w:rFonts w:ascii="Barlow Semi Condensed" w:hAnsi="Barlow Semi Condensed"/>
                <w:szCs w:val="24"/>
              </w:rPr>
            </w:pPr>
            <w:r>
              <w:rPr>
                <w:rFonts w:ascii="Barlow Semi Condensed" w:hAnsi="Barlow Semi Condensed"/>
                <w:szCs w:val="24"/>
              </w:rPr>
              <w:t>Samråd</w:t>
            </w:r>
          </w:p>
        </w:tc>
        <w:tc>
          <w:tcPr>
            <w:tcW w:w="833" w:type="pct"/>
            <w:tcBorders>
              <w:top w:val="single" w:sz="4" w:space="0" w:shadow="0" w:frame="0" w:color="007FA3"/>
              <w:left w:val="single" w:sz="4" w:space="0" w:shadow="0" w:frame="0" w:color="007FA3"/>
              <w:bottom w:val="single" w:sz="4" w:space="0" w:shadow="0" w:frame="0" w:color="007FA3"/>
              <w:right w:val="single" w:sz="4" w:space="0" w:shadow="0" w:frame="0" w:color="007FA3"/>
            </w:tcBorders>
            <w:shd w:val="clear" w:color="auto" w:fill="F2F2F2" w:themeFill="background2" w:themeFillShade="F2"/>
            <w:vAlign w:val="center"/>
          </w:tcPr>
          <w:p>
            <w:pPr>
              <w:tabs>
                <w:tab w:val="left" w:pos="1635" w:leader="none"/>
              </w:tabs>
              <w:jc w:val="center"/>
              <w:rPr>
                <w:rFonts w:ascii="Barlow Semi Condensed" w:hAnsi="Barlow Semi Condensed"/>
                <w:szCs w:val="24"/>
              </w:rPr>
            </w:pPr>
            <w:r>
              <w:rPr>
                <w:rFonts w:ascii="Barlow Semi Condensed" w:hAnsi="Barlow Semi Condensed"/>
                <w:szCs w:val="24"/>
              </w:rPr>
              <w:t>Granskning</w:t>
            </w:r>
          </w:p>
        </w:tc>
        <w:tc>
          <w:tcPr>
            <w:tcW w:w="937" w:type="pct"/>
            <w:tcBorders>
              <w:top w:val="single" w:sz="4" w:space="0" w:shadow="0" w:frame="0" w:color="007FA3" w:themeColor="accent1"/>
              <w:left w:val="single" w:sz="4" w:space="0" w:shadow="0" w:frame="0" w:color="007FA3"/>
              <w:bottom w:val="single" w:sz="4" w:space="0" w:shadow="0" w:frame="0" w:color="007FA3" w:themeColor="accent1"/>
              <w:right w:val="single" w:sz="4" w:space="0" w:shadow="0" w:frame="0" w:color="007FA3" w:themeColor="accent1"/>
            </w:tcBorders>
            <w:shd w:val="clear" w:color="auto" w:fill="auto"/>
            <w:vAlign w:val="center"/>
          </w:tcPr>
          <w:p>
            <w:pPr>
              <w:jc w:val="center"/>
              <w:rPr>
                <w:rFonts w:ascii="Barlow Semi Condensed" w:hAnsi="Barlow Semi Condensed"/>
                <w:color w:val="FFFFFF" w:themeColor="background1"/>
                <w:szCs w:val="24"/>
              </w:rPr>
            </w:pPr>
            <w:r>
              <w:rPr>
                <w:rFonts w:ascii="Barlow Semi Condensed" w:hAnsi="Barlow Semi Condensed"/>
                <w:szCs w:val="24"/>
              </w:rPr>
              <w:t>Antagande</w:t>
            </w:r>
          </w:p>
        </w:tc>
        <w:tc>
          <w:tcPr>
            <w:tcW w:w="729" w:type="pct"/>
            <w:tc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tcBorders>
            <w:shd w:val="clear" w:color="auto" w:fill="007FA3" w:themeFill="accent1"/>
            <w:vAlign w:val="center"/>
          </w:tcPr>
          <w:p>
            <w:pPr>
              <w:jc w:val="center"/>
              <w:rPr>
                <w:rFonts w:ascii="Barlow Semi Condensed" w:hAnsi="Barlow Semi Condensed"/>
                <w:szCs w:val="24"/>
              </w:rPr>
            </w:pPr>
            <w:r>
              <w:rPr>
                <w:rFonts w:ascii="Barlow Semi Condensed" w:hAnsi="Barlow Semi Condensed"/>
                <w:color w:val="FFFFFF" w:themeColor="background2"/>
                <w:szCs w:val="24"/>
              </w:rPr>
              <w:t>Laga kraft</w:t>
            </w:r>
          </w:p>
        </w:tc>
      </w:tr>
    </w:tbl>
    <w:p>
      <w:pPr>
        <w:rPr>
          <w:rFonts w:cs="Arial"/>
          <w:sz w:val="20"/>
          <w:szCs w:val="20"/>
        </w:rPr>
      </w:pPr>
      <w:r>
        <w:rPr>
          <w:noProof w:val="1"/>
        </w:rPr>
        <mc:AlternateContent>
          <mc:Choice Requires="wps">
            <w:drawing>
              <wp:anchor xmlns:wp="http://schemas.openxmlformats.org/drawingml/2006/wordprocessingDrawing" distT="0" distB="0" distL="114300" distR="114300" simplePos="0" relativeHeight="14" behindDoc="0" locked="0" layoutInCell="1" allowOverlap="1">
                <wp:simplePos x="0" y="0"/>
                <wp:positionH relativeFrom="margin">
                  <wp:posOffset>148590</wp:posOffset>
                </wp:positionH>
                <wp:positionV relativeFrom="paragraph">
                  <wp:posOffset>107315</wp:posOffset>
                </wp:positionV>
                <wp:extent cx="4676775" cy="0"/>
                <wp:effectExtent l="0" t="0" r="0" b="0"/>
                <wp:wrapNone/>
                <wp:docPr id="1683426592" name="Rak koppling 18"/>
                <wp:cNvGraphicFramePr/>
                <a:graphic xmlns:a="http://schemas.openxmlformats.org/drawingml/2006/main">
                  <a:graphicData uri="http://schemas.microsoft.com/office/word/2010/wordprocessingShape">
                    <wps:wsp>
                      <wps:cNvCnPr>
                        <a:stCxn id="0" idx="0"/>
                        <a:endCxn id="0" idx="0"/>
                      </wps:cNvCnPr>
                      <wps:spPr>
                        <a:xfrm>
                          <a:off x="0" y="0"/>
                          <a:ext cx="4676775" cy="0"/>
                        </a:xfrm>
                        <a:prstGeom prst="line"/>
                        <a:ln w="9525">
                          <a:solidFill>
                            <a:srgbClr val="007FA3"/>
                          </a:solidFill>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koppling 18" o:spid="_x0000_s1032" style="position:absolute;z-index:14;mso-wrap-distance-left:9pt;mso-wrap-distance-top:0pt;mso-wrap-distance-right:9pt;mso-wrap-distance-bottom:0pt;mso-position-horizontal:absolute;mso-position-horizontal-relative:margin;mso-position-vertical:absolute;mso-position-vertical-relative:text" strokecolor="#007FA3" strokeweight="0.75pt" stroked="t" o:allowincell="t" from="11.7pt,8.45pt" to="379.95pt,8.45pt"/>
            </w:pict>
          </mc:Fallback>
        </mc:AlternateContent>
      </w:r>
    </w:p>
    <w:p>
      <w:pPr>
        <w:rPr>
          <w:rFonts w:cs="Arial"/>
          <w:sz w:val="20"/>
          <w:szCs w:val="20"/>
        </w:rPr>
      </w:pPr>
    </w:p>
    <w:tbl>
      <w:tblPr>
        <w:tblStyle w:val="T2"/>
        <w:tblW w:w="8504"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c>
          <w:tcPr>
            <w:tcW w:w="2267" w:type="dxa"/>
          </w:tcPr>
          <w:p>
            <w:pPr>
              <w:pStyle w:val="P24"/>
              <w:spacing w:after="0" w:beforeAutospacing="0" w:afterAutospacing="0"/>
              <w:jc w:val="center"/>
              <w:rPr>
                <w:rFonts w:ascii="Barlow Semi Condensed" w:hAnsi="Barlow Semi Condensed"/>
                <w:b w:val="1"/>
                <w:szCs w:val="24"/>
              </w:rPr>
            </w:pPr>
            <w:r>
              <w:rPr>
                <w:rFonts w:ascii="Barlow Semi Condensed" w:hAnsi="Barlow Semi Condensed"/>
                <w:szCs w:val="24"/>
              </w:rPr>
              <w:t>Uppdrag</w:t>
            </w:r>
          </w:p>
        </w:tc>
        <w:tc>
          <w:tcPr>
            <w:tcW w:w="6237" w:type="dxa"/>
          </w:tcPr>
          <w:p>
            <w:pPr>
              <w:rPr>
                <w:rFonts w:cs="Arial"/>
                <w:bCs w:val="1"/>
                <w:sz w:val="20"/>
                <w:szCs w:val="18"/>
              </w:rPr>
            </w:pPr>
            <w:r>
              <w:rPr>
                <w:rFonts w:cs="Arial"/>
                <w:bCs w:val="1"/>
                <w:sz w:val="20"/>
                <w:szCs w:val="18"/>
              </w:rPr>
              <w:t>- Kommunstyrelsen eller samhällsbyggnadsnämnden ger planenheten i uppdrag att inleda ett planarbete.</w:t>
            </w:r>
          </w:p>
          <w:p>
            <w:pPr>
              <w:rPr>
                <w:b w:val="1"/>
                <w:szCs w:val="24"/>
              </w:rPr>
            </w:pPr>
          </w:p>
        </w:tc>
      </w:tr>
      <w:tr>
        <w:tc>
          <w:tcPr>
            <w:tcW w:w="2267" w:type="dxa"/>
          </w:tcPr>
          <w:p>
            <w:pPr>
              <w:pStyle w:val="P24"/>
              <w:spacing w:after="0" w:beforeAutospacing="0" w:afterAutospacing="0"/>
              <w:jc w:val="center"/>
              <w:rPr>
                <w:rFonts w:ascii="Barlow Semi Condensed" w:hAnsi="Barlow Semi Condensed"/>
                <w:szCs w:val="24"/>
              </w:rPr>
            </w:pPr>
            <w:r>
              <w:rPr>
                <w:rFonts w:ascii="Barlow Semi Condensed" w:hAnsi="Barlow Semi Condensed"/>
                <w:szCs w:val="24"/>
              </w:rPr>
              <w:t>Program</w:t>
            </w:r>
          </w:p>
        </w:tc>
        <w:tc>
          <w:tcPr>
            <w:tcW w:w="6237" w:type="dxa"/>
          </w:tcPr>
          <w:p>
            <w:pPr>
              <w:rPr>
                <w:rFonts w:cs="Arial"/>
                <w:bCs w:val="1"/>
                <w:sz w:val="20"/>
                <w:szCs w:val="18"/>
              </w:rPr>
            </w:pPr>
            <w:r>
              <w:rPr>
                <w:rFonts w:cs="Arial"/>
                <w:bCs w:val="1"/>
                <w:sz w:val="20"/>
                <w:szCs w:val="18"/>
              </w:rPr>
              <w:t>- Kommunstyrelsen eller samhällsbyggnadsnämnden ger planenheten i uppdrag att inleda ett planprogram.</w:t>
            </w:r>
            <w:r>
              <w:t xml:space="preserve"> </w:t>
            </w:r>
            <w:r>
              <w:rPr>
                <w:rFonts w:cs="Arial"/>
                <w:bCs w:val="1"/>
                <w:sz w:val="20"/>
                <w:szCs w:val="18"/>
              </w:rPr>
              <w:t>Programmet innehåller övergripande</w:t>
            </w:r>
            <w:r>
              <w:t xml:space="preserve"> </w:t>
            </w:r>
            <w:r>
              <w:rPr>
                <w:rFonts w:cs="Arial"/>
                <w:bCs w:val="1"/>
                <w:sz w:val="20"/>
                <w:szCs w:val="18"/>
              </w:rPr>
              <w:t>utgångspunkter och mål som utgör underlag för följande detaljplanearbeten inom programområdets avgränsning. Samråd kring programmet genomförs. Programmet godkänns av kommunstyrelsen.</w:t>
            </w:r>
          </w:p>
          <w:p>
            <w:pPr>
              <w:rPr>
                <w:rFonts w:cs="Arial"/>
                <w:bCs w:val="1"/>
                <w:sz w:val="20"/>
                <w:szCs w:val="18"/>
              </w:rPr>
            </w:pPr>
          </w:p>
        </w:tc>
      </w:tr>
      <w:tr>
        <w:tc>
          <w:tcPr>
            <w:tcW w:w="2267" w:type="dxa"/>
          </w:tcPr>
          <w:p>
            <w:pPr>
              <w:pStyle w:val="P24"/>
              <w:spacing w:after="0" w:beforeAutospacing="0" w:afterAutospacing="0"/>
              <w:jc w:val="center"/>
              <w:rPr>
                <w:szCs w:val="24"/>
              </w:rPr>
            </w:pPr>
            <w:r>
              <w:rPr>
                <w:rFonts w:ascii="Barlow Semi Condensed" w:hAnsi="Barlow Semi Condensed"/>
                <w:szCs w:val="24"/>
              </w:rPr>
              <w:t>Samråd</w:t>
            </w:r>
          </w:p>
        </w:tc>
        <w:tc>
          <w:tcPr>
            <w:tcW w:w="6237" w:type="dxa"/>
          </w:tcPr>
          <w:p>
            <w:pPr>
              <w:pStyle w:val="P24"/>
              <w:spacing w:after="0" w:beforeAutospacing="0" w:afterAutospacing="0"/>
              <w:rPr>
                <w:rFonts w:cs="Arial"/>
                <w:color w:val="000000" w:themeColor="text1"/>
                <w:sz w:val="20"/>
                <w:szCs w:val="18"/>
              </w:rPr>
            </w:pPr>
            <w:r>
              <w:rPr>
                <w:rFonts w:cs="Arial"/>
                <w:color w:val="000000" w:themeColor="text1"/>
                <w:sz w:val="20"/>
                <w:szCs w:val="18"/>
              </w:rPr>
              <w:t>- Förslag till detaljplan upprättas. Myndigheter, sakägare och andra berörda ges möjlighet att lämna synpunkter.</w:t>
            </w:r>
          </w:p>
          <w:p>
            <w:pPr>
              <w:pStyle w:val="P24"/>
              <w:spacing w:after="0" w:beforeAutospacing="0" w:afterAutospacing="0"/>
              <w:rPr>
                <w:color w:val="000000" w:themeColor="text1"/>
                <w:szCs w:val="24"/>
              </w:rPr>
            </w:pPr>
          </w:p>
        </w:tc>
      </w:tr>
      <w:tr>
        <w:tc>
          <w:tcPr>
            <w:tcW w:w="2267" w:type="dxa"/>
          </w:tcPr>
          <w:p>
            <w:pPr>
              <w:pStyle w:val="P24"/>
              <w:spacing w:after="0" w:beforeAutospacing="0" w:afterAutospacing="0"/>
              <w:jc w:val="center"/>
              <w:rPr>
                <w:rFonts w:ascii="Barlow Semi Condensed" w:hAnsi="Barlow Semi Condensed"/>
                <w:b w:val="1"/>
                <w:szCs w:val="24"/>
              </w:rPr>
            </w:pPr>
            <w:r>
              <w:rPr>
                <w:rFonts w:ascii="Barlow Semi Condensed" w:hAnsi="Barlow Semi Condensed"/>
                <w:szCs w:val="24"/>
              </w:rPr>
              <w:t>Mellan samråd och granskning</w:t>
            </w:r>
          </w:p>
        </w:tc>
        <w:tc>
          <w:tcPr>
            <w:tcW w:w="6237" w:type="dxa"/>
          </w:tcPr>
          <w:p>
            <w:pPr>
              <w:pStyle w:val="P24"/>
              <w:spacing w:after="0" w:beforeAutospacing="0" w:afterAutospacing="0"/>
              <w:rPr>
                <w:rFonts w:cs="Arial"/>
                <w:color w:val="000000" w:themeColor="text1"/>
                <w:sz w:val="20"/>
                <w:szCs w:val="18"/>
              </w:rPr>
            </w:pPr>
            <w:r>
              <w:rPr>
                <w:rFonts w:cs="Arial"/>
                <w:color w:val="000000" w:themeColor="text1"/>
                <w:sz w:val="20"/>
                <w:szCs w:val="18"/>
              </w:rPr>
              <w:t>- Inkomna synpunkter sammanställs</w:t>
            </w:r>
            <w:r>
              <w:rPr>
                <w:rFonts w:cs="Arial"/>
                <w:color w:val="FF0000"/>
                <w:sz w:val="20"/>
                <w:szCs w:val="18"/>
              </w:rPr>
              <w:t xml:space="preserve"> </w:t>
            </w:r>
            <w:r>
              <w:rPr>
                <w:rFonts w:cs="Arial"/>
                <w:sz w:val="20"/>
                <w:szCs w:val="18"/>
              </w:rPr>
              <w:t xml:space="preserve">i ett förslag till samrådsredogörelse. </w:t>
            </w:r>
            <w:r>
              <w:rPr>
                <w:rFonts w:cs="Arial"/>
                <w:color w:val="000000" w:themeColor="text1"/>
                <w:sz w:val="20"/>
                <w:szCs w:val="18"/>
              </w:rPr>
              <w:t>Detaljplanen bearbetas eventuellt med</w:t>
            </w:r>
            <w:r>
              <w:rPr>
                <w:rFonts w:cs="Arial"/>
                <w:b w:val="1"/>
                <w:color w:val="000000" w:themeColor="text1"/>
                <w:sz w:val="20"/>
                <w:szCs w:val="18"/>
              </w:rPr>
              <w:t xml:space="preserve"> </w:t>
            </w:r>
            <w:r>
              <w:rPr>
                <w:rFonts w:cs="Arial"/>
                <w:color w:val="000000" w:themeColor="text1"/>
                <w:sz w:val="20"/>
                <w:szCs w:val="18"/>
              </w:rPr>
              <w:t>hänsyn till inkomna synpunkter.</w:t>
            </w:r>
          </w:p>
          <w:p>
            <w:pPr>
              <w:pStyle w:val="P24"/>
              <w:spacing w:after="0" w:beforeAutospacing="0" w:afterAutospacing="0"/>
              <w:rPr>
                <w:b w:val="1"/>
                <w:color w:val="000000" w:themeColor="text1"/>
                <w:szCs w:val="24"/>
              </w:rPr>
            </w:pPr>
          </w:p>
        </w:tc>
      </w:tr>
      <w:tr>
        <w:tc>
          <w:tcPr>
            <w:tcW w:w="2267" w:type="dxa"/>
          </w:tcPr>
          <w:p>
            <w:pPr>
              <w:pStyle w:val="P24"/>
              <w:spacing w:after="0" w:beforeAutospacing="0" w:afterAutospacing="0"/>
              <w:jc w:val="center"/>
              <w:rPr>
                <w:szCs w:val="24"/>
              </w:rPr>
            </w:pPr>
            <w:r>
              <w:rPr>
                <w:rFonts w:ascii="Barlow Semi Condensed" w:hAnsi="Barlow Semi Condensed"/>
                <w:szCs w:val="24"/>
              </w:rPr>
              <w:t>Granskning</w:t>
            </w:r>
          </w:p>
        </w:tc>
        <w:tc>
          <w:tcPr>
            <w:tcW w:w="6237" w:type="dxa"/>
          </w:tcPr>
          <w:p>
            <w:pPr>
              <w:pStyle w:val="P24"/>
              <w:spacing w:after="0" w:beforeAutospacing="0" w:afterAutospacing="0"/>
              <w:rPr>
                <w:rFonts w:cs="Arial"/>
                <w:bCs w:val="1"/>
                <w:iCs w:val="1"/>
                <w:sz w:val="20"/>
                <w:szCs w:val="28"/>
              </w:rPr>
            </w:pPr>
            <w:r>
              <w:rPr>
                <w:rFonts w:cs="Arial"/>
                <w:sz w:val="20"/>
                <w:szCs w:val="18"/>
              </w:rPr>
              <w:t xml:space="preserve">- Det bearbetade förslaget till detaljplan ställs ut för granskning. Myndigheter, sakägare och andra berörda ges åter möjlighet att lämna synpunkter. </w:t>
            </w:r>
            <w:r>
              <w:rPr>
                <w:rFonts w:cs="Arial"/>
                <w:bCs w:val="1"/>
                <w:iCs w:val="1"/>
                <w:sz w:val="20"/>
                <w:szCs w:val="28"/>
              </w:rPr>
              <w:t>Därefter sammanställs ett granskningsutlåtande.</w:t>
            </w:r>
          </w:p>
          <w:p>
            <w:pPr>
              <w:pStyle w:val="P24"/>
              <w:spacing w:after="0" w:beforeAutospacing="0" w:afterAutospacing="0"/>
              <w:rPr>
                <w:szCs w:val="24"/>
              </w:rPr>
            </w:pPr>
          </w:p>
        </w:tc>
      </w:tr>
      <w:tr>
        <w:tc>
          <w:tcPr>
            <w:tcW w:w="2267" w:type="dxa"/>
          </w:tcPr>
          <w:p>
            <w:pPr>
              <w:pStyle w:val="P24"/>
              <w:spacing w:after="0" w:beforeAutospacing="0" w:afterAutospacing="0"/>
              <w:jc w:val="center"/>
              <w:rPr>
                <w:rFonts w:ascii="Barlow Semi Condensed" w:hAnsi="Barlow Semi Condensed"/>
                <w:b w:val="1"/>
                <w:szCs w:val="24"/>
              </w:rPr>
            </w:pPr>
            <w:r>
              <w:rPr>
                <w:rFonts w:ascii="Barlow Semi Condensed" w:hAnsi="Barlow Semi Condensed"/>
                <w:szCs w:val="24"/>
              </w:rPr>
              <w:t>Antagande</w:t>
            </w:r>
          </w:p>
        </w:tc>
        <w:tc>
          <w:tcPr>
            <w:tcW w:w="6237" w:type="dxa"/>
          </w:tcPr>
          <w:p>
            <w:pPr>
              <w:pStyle w:val="P24"/>
              <w:spacing w:after="0" w:beforeAutospacing="0" w:afterAutospacing="0"/>
              <w:rPr>
                <w:rFonts w:cs="Arial"/>
                <w:sz w:val="20"/>
                <w:szCs w:val="18"/>
              </w:rPr>
            </w:pPr>
            <w:r>
              <w:rPr>
                <w:rFonts w:cs="Arial"/>
                <w:sz w:val="20"/>
                <w:szCs w:val="18"/>
              </w:rPr>
              <w:t>- Kommunfullmäktige eller samhällsbyggnadsnämnden antar detaljplanen.</w:t>
            </w:r>
          </w:p>
          <w:p>
            <w:pPr>
              <w:pStyle w:val="P24"/>
              <w:spacing w:after="0" w:beforeAutospacing="0" w:afterAutospacing="0"/>
              <w:rPr>
                <w:b w:val="1"/>
                <w:szCs w:val="24"/>
              </w:rPr>
            </w:pPr>
          </w:p>
        </w:tc>
      </w:tr>
      <w:tr>
        <w:tc>
          <w:tcPr>
            <w:tcW w:w="2267" w:type="dxa"/>
          </w:tcPr>
          <w:p>
            <w:pPr>
              <w:pStyle w:val="P24"/>
              <w:spacing w:after="0" w:beforeAutospacing="0" w:afterAutospacing="0"/>
              <w:jc w:val="center"/>
              <w:rPr>
                <w:szCs w:val="24"/>
              </w:rPr>
            </w:pPr>
            <w:r>
              <w:rPr>
                <w:rFonts w:ascii="Barlow Semi Condensed" w:hAnsi="Barlow Semi Condensed"/>
                <w:szCs w:val="24"/>
              </w:rPr>
              <w:t>Laga kraft</w:t>
            </w:r>
          </w:p>
        </w:tc>
        <w:tc>
          <w:tcPr>
            <w:tcW w:w="6237" w:type="dxa"/>
          </w:tcPr>
          <w:p>
            <w:pPr>
              <w:rPr>
                <w:rFonts w:cs="Arial"/>
                <w:sz w:val="20"/>
                <w:szCs w:val="20"/>
              </w:rPr>
            </w:pPr>
            <w:r>
              <w:rPr>
                <w:rFonts w:cs="Arial"/>
                <w:sz w:val="20"/>
                <w:szCs w:val="20"/>
              </w:rPr>
              <w:t>- Om ingen överklagar förslaget till detaljplan så vinner detaljplanen laga kraft cirka fyra veckor efter antagandet. Endast skriftliga synpunkter som inte blivit tillgodosedda kan ligga till grund för ett överklagande.</w:t>
            </w:r>
          </w:p>
          <w:p>
            <w:pPr>
              <w:rPr>
                <w:rFonts w:cs="Arial"/>
                <w:sz w:val="20"/>
                <w:szCs w:val="20"/>
              </w:rPr>
            </w:pPr>
          </w:p>
        </w:tc>
      </w:tr>
    </w:tbl>
    <w:p>
      <w:pPr>
        <w:spacing w:lineRule="auto" w:line="240" w:beforeAutospacing="0" w:afterAutospacing="0"/>
      </w:pPr>
    </w:p>
    <w:p>
      <w:pPr>
        <w:spacing w:lineRule="auto" w:line="240" w:beforeAutospacing="0" w:afterAutospacing="0"/>
      </w:pPr>
      <w:r>
        <w:br w:type="page"/>
      </w:r>
    </w:p>
    <w:p>
      <w:pPr>
        <w:spacing w:lineRule="auto" w:line="240" w:beforeAutospacing="0" w:afterAutospacing="0"/>
      </w:pPr>
    </w:p>
    <w:p>
      <w:pPr>
        <w:pStyle w:val="P1"/>
        <w:numPr>
          <w:ilvl w:val="0"/>
          <w:numId w:val="0"/>
        </w:numPr>
        <w:ind w:firstLine="0" w:left="432"/>
      </w:pPr>
      <w:bookmarkStart w:id="2" w:name="_Toc175726262"/>
      <w:r>
        <w:t>Innehåll</w:t>
      </w:r>
      <w:bookmarkEnd w:id="2"/>
    </w:p>
    <w:p/>
    <w:p>
      <w:pPr>
        <w:pStyle w:val="P53"/>
        <w:tabs>
          <w:tab w:val="right" w:pos="7926" w:leader="dot"/>
        </w:tabs>
        <w:rPr>
          <w:rFonts w:asciiTheme="minorHAnsi" w:hAnsiTheme="minorHAnsi" w:eastAsiaTheme="minorEastAsia"/>
          <w:noProof w:val="1"/>
          <w:sz w:val="24"/>
          <w:szCs w:val="24"/>
          <w:kern w:val="2"/>
          <w:lang w:eastAsia="sv-SE"/>
        </w:rPr>
      </w:pPr>
      <w:r>
        <w:fldChar w:fldCharType="begin"/>
      </w:r>
      <w:r>
        <w:instrText xml:space="preserve"> TOC \o "1-3" \h \z \u </w:instrText>
      </w:r>
      <w:r>
        <w:fldChar w:fldCharType="separate"/>
      </w:r>
      <w:hyperlink w:anchor="_Toc175726260">
        <w:r>
          <w:rPr>
            <w:rStyle w:val="C2"/>
            <w:noProof w:val="1"/>
          </w:rPr>
          <w:t>Plankarta</w:t>
        </w:r>
        <w:r>
          <w:rPr>
            <w:noProof w:val="1"/>
          </w:rPr>
          <w:tab/>
        </w:r>
        <w:r>
          <w:rPr>
            <w:noProof w:val="1"/>
          </w:rPr>
          <w:fldChar w:fldCharType="begin"/>
        </w:r>
        <w:r>
          <w:rPr>
            <w:noProof w:val="1"/>
          </w:rPr>
          <w:instrText xml:space="preserve"> PAGEREF _Toc175726260 \h </w:instrText>
        </w:r>
        <w:r>
          <w:rPr>
            <w:noProof w:val="1"/>
          </w:rPr>
          <w:fldChar w:fldCharType="separate"/>
        </w:r>
        <w:r>
          <w:rPr>
            <w:noProof w:val="1"/>
          </w:rPr>
          <w:t>2</w:t>
        </w:r>
        <w:r>
          <w:rPr>
            <w:noProof w:val="1"/>
          </w:rPr>
          <w:fldChar w:fldCharType="end"/>
        </w:r>
      </w:hyperlink>
    </w:p>
    <w:p>
      <w:pPr>
        <w:pStyle w:val="P53"/>
        <w:tabs>
          <w:tab w:val="right" w:pos="7926" w:leader="dot"/>
        </w:tabs>
        <w:rPr>
          <w:rFonts w:asciiTheme="minorHAnsi" w:hAnsiTheme="minorHAnsi" w:eastAsiaTheme="minorEastAsia"/>
          <w:noProof w:val="1"/>
          <w:sz w:val="24"/>
          <w:szCs w:val="24"/>
          <w:kern w:val="2"/>
          <w:lang w:eastAsia="sv-SE"/>
        </w:rPr>
      </w:pPr>
      <w:hyperlink w:anchor="_Toc175726261">
        <w:r>
          <w:rPr>
            <w:rStyle w:val="C2"/>
            <w:noProof w:val="1"/>
          </w:rPr>
          <w:t>Planbestämmelselista</w:t>
        </w:r>
        <w:r>
          <w:rPr>
            <w:noProof w:val="1"/>
          </w:rPr>
          <w:tab/>
        </w:r>
        <w:r>
          <w:rPr>
            <w:noProof w:val="1"/>
          </w:rPr>
          <w:fldChar w:fldCharType="begin"/>
        </w:r>
        <w:r>
          <w:rPr>
            <w:noProof w:val="1"/>
          </w:rPr>
          <w:instrText xml:space="preserve"> PAGEREF _Toc175726261 \h </w:instrText>
        </w:r>
        <w:r>
          <w:rPr>
            <w:noProof w:val="1"/>
          </w:rPr>
          <w:fldChar w:fldCharType="separate"/>
        </w:r>
        <w:r>
          <w:rPr>
            <w:noProof w:val="1"/>
          </w:rPr>
          <w:t>3</w:t>
        </w:r>
        <w:r>
          <w:rPr>
            <w:noProof w:val="1"/>
          </w:rPr>
          <w:fldChar w:fldCharType="end"/>
        </w:r>
      </w:hyperlink>
    </w:p>
    <w:p>
      <w:pPr>
        <w:pStyle w:val="P53"/>
        <w:tabs>
          <w:tab w:val="right" w:pos="7926" w:leader="dot"/>
        </w:tabs>
        <w:rPr>
          <w:rFonts w:asciiTheme="minorHAnsi" w:hAnsiTheme="minorHAnsi" w:eastAsiaTheme="minorEastAsia"/>
          <w:noProof w:val="1"/>
          <w:sz w:val="24"/>
          <w:szCs w:val="24"/>
          <w:kern w:val="2"/>
          <w:lang w:eastAsia="sv-SE"/>
        </w:rPr>
      </w:pPr>
      <w:hyperlink w:anchor="_Toc175726262">
        <w:r>
          <w:rPr>
            <w:rStyle w:val="C2"/>
            <w:noProof w:val="1"/>
          </w:rPr>
          <w:t>Innehåll</w:t>
        </w:r>
        <w:r>
          <w:rPr>
            <w:noProof w:val="1"/>
          </w:rPr>
          <w:tab/>
        </w:r>
        <w:r>
          <w:rPr>
            <w:noProof w:val="1"/>
          </w:rPr>
          <w:fldChar w:fldCharType="begin"/>
        </w:r>
        <w:r>
          <w:rPr>
            <w:noProof w:val="1"/>
          </w:rPr>
          <w:instrText xml:space="preserve"> PAGEREF _Toc175726262 \h </w:instrText>
        </w:r>
        <w:r>
          <w:rPr>
            <w:noProof w:val="1"/>
          </w:rPr>
          <w:fldChar w:fldCharType="separate"/>
        </w:r>
        <w:r>
          <w:rPr>
            <w:noProof w:val="1"/>
          </w:rPr>
          <w:t>5</w:t>
        </w:r>
        <w:r>
          <w:rPr>
            <w:noProof w:val="1"/>
          </w:rPr>
          <w:fldChar w:fldCharType="end"/>
        </w:r>
      </w:hyperlink>
    </w:p>
    <w:p>
      <w:pPr>
        <w:pStyle w:val="P53"/>
        <w:tabs>
          <w:tab w:val="left" w:pos="500" w:leader="none"/>
          <w:tab w:val="right" w:pos="7926" w:leader="dot"/>
        </w:tabs>
        <w:rPr>
          <w:rFonts w:asciiTheme="minorHAnsi" w:hAnsiTheme="minorHAnsi" w:eastAsiaTheme="minorEastAsia"/>
          <w:noProof w:val="1"/>
          <w:sz w:val="24"/>
          <w:szCs w:val="24"/>
          <w:kern w:val="2"/>
          <w:lang w:eastAsia="sv-SE"/>
        </w:rPr>
      </w:pPr>
      <w:hyperlink w:anchor="_Toc175726263">
        <w:r>
          <w:rPr>
            <w:rStyle w:val="C2"/>
            <w:noProof w:val="1"/>
          </w:rPr>
          <w:t>1</w:t>
        </w:r>
        <w:r>
          <w:rPr>
            <w:rFonts w:asciiTheme="minorHAnsi" w:hAnsiTheme="minorHAnsi" w:eastAsiaTheme="minorEastAsia"/>
            <w:noProof w:val="1"/>
            <w:sz w:val="24"/>
            <w:szCs w:val="24"/>
            <w:kern w:val="2"/>
            <w:lang w:eastAsia="sv-SE"/>
          </w:rPr>
          <w:tab/>
        </w:r>
        <w:r>
          <w:rPr>
            <w:rStyle w:val="C2"/>
            <w:noProof w:val="1"/>
          </w:rPr>
          <w:t>Detaljplanens syfte</w:t>
        </w:r>
        <w:r>
          <w:rPr>
            <w:noProof w:val="1"/>
          </w:rPr>
          <w:tab/>
        </w:r>
        <w:r>
          <w:rPr>
            <w:noProof w:val="1"/>
          </w:rPr>
          <w:fldChar w:fldCharType="begin"/>
        </w:r>
        <w:r>
          <w:rPr>
            <w:noProof w:val="1"/>
          </w:rPr>
          <w:instrText xml:space="preserve"> PAGEREF _Toc175726263 \h </w:instrText>
        </w:r>
        <w:r>
          <w:rPr>
            <w:noProof w:val="1"/>
          </w:rPr>
          <w:fldChar w:fldCharType="separate"/>
        </w:r>
        <w:r>
          <w:rPr>
            <w:noProof w:val="1"/>
          </w:rPr>
          <w:t>8</w:t>
        </w:r>
        <w:r>
          <w:rPr>
            <w:noProof w:val="1"/>
          </w:rPr>
          <w:fldChar w:fldCharType="end"/>
        </w:r>
      </w:hyperlink>
    </w:p>
    <w:p>
      <w:pPr>
        <w:pStyle w:val="P54"/>
        <w:tabs>
          <w:tab w:val="left" w:pos="750" w:leader="none"/>
          <w:tab w:val="right" w:pos="7926" w:leader="dot"/>
        </w:tabs>
        <w:rPr>
          <w:rFonts w:asciiTheme="minorHAnsi" w:hAnsiTheme="minorHAnsi" w:eastAsiaTheme="minorEastAsia"/>
          <w:noProof w:val="1"/>
          <w:sz w:val="24"/>
          <w:szCs w:val="24"/>
          <w:kern w:val="2"/>
          <w:lang w:eastAsia="sv-SE"/>
        </w:rPr>
      </w:pPr>
      <w:hyperlink w:anchor="_Toc175726264">
        <w:r>
          <w:rPr>
            <w:rStyle w:val="C2"/>
            <w:noProof w:val="1"/>
          </w:rPr>
          <w:t>1.1</w:t>
        </w:r>
        <w:r>
          <w:rPr>
            <w:rFonts w:asciiTheme="minorHAnsi" w:hAnsiTheme="minorHAnsi" w:eastAsiaTheme="minorEastAsia"/>
            <w:noProof w:val="1"/>
            <w:sz w:val="24"/>
            <w:szCs w:val="24"/>
            <w:kern w:val="2"/>
            <w:lang w:eastAsia="sv-SE"/>
          </w:rPr>
          <w:tab/>
        </w:r>
        <w:r>
          <w:rPr>
            <w:rStyle w:val="C2"/>
            <w:noProof w:val="1"/>
          </w:rPr>
          <w:t>Syfte</w:t>
        </w:r>
        <w:r>
          <w:rPr>
            <w:noProof w:val="1"/>
          </w:rPr>
          <w:tab/>
        </w:r>
        <w:r>
          <w:rPr>
            <w:noProof w:val="1"/>
          </w:rPr>
          <w:fldChar w:fldCharType="begin"/>
        </w:r>
        <w:r>
          <w:rPr>
            <w:noProof w:val="1"/>
          </w:rPr>
          <w:instrText xml:space="preserve"> PAGEREF _Toc175726264 \h </w:instrText>
        </w:r>
        <w:r>
          <w:rPr>
            <w:noProof w:val="1"/>
          </w:rPr>
          <w:fldChar w:fldCharType="separate"/>
        </w:r>
        <w:r>
          <w:rPr>
            <w:noProof w:val="1"/>
          </w:rPr>
          <w:t>8</w:t>
        </w:r>
        <w:r>
          <w:rPr>
            <w:noProof w:val="1"/>
          </w:rPr>
          <w:fldChar w:fldCharType="end"/>
        </w:r>
      </w:hyperlink>
    </w:p>
    <w:p>
      <w:pPr>
        <w:pStyle w:val="P53"/>
        <w:tabs>
          <w:tab w:val="left" w:pos="500" w:leader="none"/>
          <w:tab w:val="right" w:pos="7926" w:leader="dot"/>
        </w:tabs>
        <w:rPr>
          <w:rFonts w:asciiTheme="minorHAnsi" w:hAnsiTheme="minorHAnsi" w:eastAsiaTheme="minorEastAsia"/>
          <w:noProof w:val="1"/>
          <w:sz w:val="24"/>
          <w:szCs w:val="24"/>
          <w:kern w:val="2"/>
          <w:lang w:eastAsia="sv-SE"/>
        </w:rPr>
      </w:pPr>
      <w:hyperlink w:anchor="_Toc175726265">
        <w:r>
          <w:rPr>
            <w:rStyle w:val="C2"/>
            <w:noProof w:val="1"/>
          </w:rPr>
          <w:t>2</w:t>
        </w:r>
        <w:r>
          <w:rPr>
            <w:rFonts w:asciiTheme="minorHAnsi" w:hAnsiTheme="minorHAnsi" w:eastAsiaTheme="minorEastAsia"/>
            <w:noProof w:val="1"/>
            <w:sz w:val="24"/>
            <w:szCs w:val="24"/>
            <w:kern w:val="2"/>
            <w:lang w:eastAsia="sv-SE"/>
          </w:rPr>
          <w:tab/>
        </w:r>
        <w:r>
          <w:rPr>
            <w:rStyle w:val="C2"/>
            <w:noProof w:val="1"/>
          </w:rPr>
          <w:t>Beskrivning av detaljplanen</w:t>
        </w:r>
        <w:r>
          <w:rPr>
            <w:noProof w:val="1"/>
          </w:rPr>
          <w:tab/>
        </w:r>
        <w:r>
          <w:rPr>
            <w:noProof w:val="1"/>
          </w:rPr>
          <w:fldChar w:fldCharType="begin"/>
        </w:r>
        <w:r>
          <w:rPr>
            <w:noProof w:val="1"/>
          </w:rPr>
          <w:instrText xml:space="preserve"> PAGEREF _Toc175726265 \h </w:instrText>
        </w:r>
        <w:r>
          <w:rPr>
            <w:noProof w:val="1"/>
          </w:rPr>
          <w:fldChar w:fldCharType="separate"/>
        </w:r>
        <w:r>
          <w:rPr>
            <w:noProof w:val="1"/>
          </w:rPr>
          <w:t>9</w:t>
        </w:r>
        <w:r>
          <w:rPr>
            <w:noProof w:val="1"/>
          </w:rPr>
          <w:fldChar w:fldCharType="end"/>
        </w:r>
      </w:hyperlink>
    </w:p>
    <w:p>
      <w:pPr>
        <w:pStyle w:val="P54"/>
        <w:tabs>
          <w:tab w:val="left" w:pos="750" w:leader="none"/>
          <w:tab w:val="right" w:pos="7926" w:leader="dot"/>
        </w:tabs>
        <w:rPr>
          <w:rFonts w:asciiTheme="minorHAnsi" w:hAnsiTheme="minorHAnsi" w:eastAsiaTheme="minorEastAsia"/>
          <w:noProof w:val="1"/>
          <w:sz w:val="24"/>
          <w:szCs w:val="24"/>
          <w:kern w:val="2"/>
          <w:lang w:eastAsia="sv-SE"/>
        </w:rPr>
      </w:pPr>
      <w:hyperlink w:anchor="_Toc175726266">
        <w:r>
          <w:rPr>
            <w:rStyle w:val="C2"/>
            <w:noProof w:val="1"/>
          </w:rPr>
          <w:t>2.1</w:t>
        </w:r>
        <w:r>
          <w:rPr>
            <w:rFonts w:asciiTheme="minorHAnsi" w:hAnsiTheme="minorHAnsi" w:eastAsiaTheme="minorEastAsia"/>
            <w:noProof w:val="1"/>
            <w:sz w:val="24"/>
            <w:szCs w:val="24"/>
            <w:kern w:val="2"/>
            <w:lang w:eastAsia="sv-SE"/>
          </w:rPr>
          <w:tab/>
        </w:r>
        <w:r>
          <w:rPr>
            <w:rStyle w:val="C2"/>
            <w:noProof w:val="1"/>
          </w:rPr>
          <w:t>Lägesbestämning</w:t>
        </w:r>
        <w:r>
          <w:rPr>
            <w:noProof w:val="1"/>
          </w:rPr>
          <w:tab/>
        </w:r>
        <w:r>
          <w:rPr>
            <w:noProof w:val="1"/>
          </w:rPr>
          <w:fldChar w:fldCharType="begin"/>
        </w:r>
        <w:r>
          <w:rPr>
            <w:noProof w:val="1"/>
          </w:rPr>
          <w:instrText xml:space="preserve"> PAGEREF _Toc175726266 \h </w:instrText>
        </w:r>
        <w:r>
          <w:rPr>
            <w:noProof w:val="1"/>
          </w:rPr>
          <w:fldChar w:fldCharType="separate"/>
        </w:r>
        <w:r>
          <w:rPr>
            <w:noProof w:val="1"/>
          </w:rPr>
          <w:t>9</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267">
        <w:r>
          <w:rPr>
            <w:rStyle w:val="C2"/>
            <w:noProof w:val="1"/>
          </w:rPr>
          <w:t>2.2</w:t>
        </w:r>
        <w:r>
          <w:rPr>
            <w:rFonts w:asciiTheme="minorHAnsi" w:hAnsiTheme="minorHAnsi" w:eastAsiaTheme="minorEastAsia"/>
            <w:noProof w:val="1"/>
            <w:sz w:val="24"/>
            <w:szCs w:val="24"/>
            <w:kern w:val="2"/>
            <w:lang w:eastAsia="sv-SE"/>
          </w:rPr>
          <w:tab/>
        </w:r>
        <w:r>
          <w:rPr>
            <w:rStyle w:val="C2"/>
            <w:noProof w:val="1"/>
          </w:rPr>
          <w:t>Hela detaljplanen</w:t>
        </w:r>
        <w:r>
          <w:rPr>
            <w:noProof w:val="1"/>
          </w:rPr>
          <w:tab/>
        </w:r>
        <w:r>
          <w:rPr>
            <w:noProof w:val="1"/>
          </w:rPr>
          <w:fldChar w:fldCharType="begin"/>
        </w:r>
        <w:r>
          <w:rPr>
            <w:noProof w:val="1"/>
          </w:rPr>
          <w:instrText xml:space="preserve"> PAGEREF _Toc175726267 \h </w:instrText>
        </w:r>
        <w:r>
          <w:rPr>
            <w:noProof w:val="1"/>
          </w:rPr>
          <w:fldChar w:fldCharType="separate"/>
        </w:r>
        <w:r>
          <w:rPr>
            <w:noProof w:val="1"/>
          </w:rPr>
          <w:t>10</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268">
        <w:r>
          <w:rPr>
            <w:rStyle w:val="C2"/>
            <w:noProof w:val="1"/>
          </w:rPr>
          <w:t>2.3</w:t>
        </w:r>
        <w:r>
          <w:rPr>
            <w:rFonts w:asciiTheme="minorHAnsi" w:hAnsiTheme="minorHAnsi" w:eastAsiaTheme="minorEastAsia"/>
            <w:noProof w:val="1"/>
            <w:sz w:val="24"/>
            <w:szCs w:val="24"/>
            <w:kern w:val="2"/>
            <w:lang w:eastAsia="sv-SE"/>
          </w:rPr>
          <w:tab/>
        </w:r>
        <w:r>
          <w:rPr>
            <w:rStyle w:val="C2"/>
            <w:noProof w:val="1"/>
          </w:rPr>
          <w:t>Allmän platsmark</w:t>
        </w:r>
        <w:r>
          <w:rPr>
            <w:noProof w:val="1"/>
          </w:rPr>
          <w:tab/>
        </w:r>
        <w:r>
          <w:rPr>
            <w:noProof w:val="1"/>
          </w:rPr>
          <w:fldChar w:fldCharType="begin"/>
        </w:r>
        <w:r>
          <w:rPr>
            <w:noProof w:val="1"/>
          </w:rPr>
          <w:instrText xml:space="preserve"> PAGEREF _Toc175726268 \h </w:instrText>
        </w:r>
        <w:r>
          <w:rPr>
            <w:noProof w:val="1"/>
          </w:rPr>
          <w:fldChar w:fldCharType="separate"/>
        </w:r>
        <w:r>
          <w:rPr>
            <w:noProof w:val="1"/>
          </w:rPr>
          <w:t>10</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269">
        <w:r>
          <w:rPr>
            <w:rStyle w:val="C2"/>
            <w:noProof w:val="1"/>
          </w:rPr>
          <w:t>2.3.1</w:t>
        </w:r>
        <w:r>
          <w:rPr>
            <w:rFonts w:asciiTheme="minorHAnsi" w:hAnsiTheme="minorHAnsi" w:eastAsiaTheme="minorEastAsia"/>
            <w:noProof w:val="1"/>
            <w:sz w:val="24"/>
            <w:szCs w:val="24"/>
            <w:kern w:val="2"/>
            <w:lang w:eastAsia="sv-SE"/>
          </w:rPr>
          <w:tab/>
        </w:r>
        <w:r>
          <w:rPr>
            <w:rStyle w:val="C2"/>
            <w:noProof w:val="1"/>
          </w:rPr>
          <w:t>Huvudmannaskap</w:t>
        </w:r>
        <w:r>
          <w:rPr>
            <w:noProof w:val="1"/>
          </w:rPr>
          <w:tab/>
        </w:r>
        <w:r>
          <w:rPr>
            <w:noProof w:val="1"/>
          </w:rPr>
          <w:fldChar w:fldCharType="begin"/>
        </w:r>
        <w:r>
          <w:rPr>
            <w:noProof w:val="1"/>
          </w:rPr>
          <w:instrText xml:space="preserve"> PAGEREF _Toc175726269 \h </w:instrText>
        </w:r>
        <w:r>
          <w:rPr>
            <w:noProof w:val="1"/>
          </w:rPr>
          <w:fldChar w:fldCharType="separate"/>
        </w:r>
        <w:r>
          <w:rPr>
            <w:noProof w:val="1"/>
          </w:rPr>
          <w:t>10</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270">
        <w:r>
          <w:rPr>
            <w:rStyle w:val="C2"/>
            <w:noProof w:val="1"/>
          </w:rPr>
          <w:t>2.4</w:t>
        </w:r>
        <w:r>
          <w:rPr>
            <w:rFonts w:asciiTheme="minorHAnsi" w:hAnsiTheme="minorHAnsi" w:eastAsiaTheme="minorEastAsia"/>
            <w:noProof w:val="1"/>
            <w:sz w:val="24"/>
            <w:szCs w:val="24"/>
            <w:kern w:val="2"/>
            <w:lang w:eastAsia="sv-SE"/>
          </w:rPr>
          <w:tab/>
        </w:r>
        <w:r>
          <w:rPr>
            <w:rStyle w:val="C2"/>
            <w:noProof w:val="1"/>
          </w:rPr>
          <w:t>Kvartersmark</w:t>
        </w:r>
        <w:r>
          <w:rPr>
            <w:noProof w:val="1"/>
          </w:rPr>
          <w:tab/>
        </w:r>
        <w:r>
          <w:rPr>
            <w:noProof w:val="1"/>
          </w:rPr>
          <w:fldChar w:fldCharType="begin"/>
        </w:r>
        <w:r>
          <w:rPr>
            <w:noProof w:val="1"/>
          </w:rPr>
          <w:instrText xml:space="preserve"> PAGEREF _Toc175726270 \h </w:instrText>
        </w:r>
        <w:r>
          <w:rPr>
            <w:noProof w:val="1"/>
          </w:rPr>
          <w:fldChar w:fldCharType="separate"/>
        </w:r>
        <w:r>
          <w:rPr>
            <w:noProof w:val="1"/>
          </w:rPr>
          <w:t>10</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271">
        <w:r>
          <w:rPr>
            <w:rStyle w:val="C2"/>
            <w:noProof w:val="1"/>
          </w:rPr>
          <w:t>2.5</w:t>
        </w:r>
        <w:r>
          <w:rPr>
            <w:rFonts w:asciiTheme="minorHAnsi" w:hAnsiTheme="minorHAnsi" w:eastAsiaTheme="minorEastAsia"/>
            <w:noProof w:val="1"/>
            <w:sz w:val="24"/>
            <w:szCs w:val="24"/>
            <w:kern w:val="2"/>
            <w:lang w:eastAsia="sv-SE"/>
          </w:rPr>
          <w:tab/>
        </w:r>
        <w:r>
          <w:rPr>
            <w:rStyle w:val="C2"/>
            <w:noProof w:val="1"/>
          </w:rPr>
          <w:t>Befintlig miljö</w:t>
        </w:r>
        <w:r>
          <w:rPr>
            <w:noProof w:val="1"/>
          </w:rPr>
          <w:tab/>
        </w:r>
        <w:r>
          <w:rPr>
            <w:noProof w:val="1"/>
          </w:rPr>
          <w:fldChar w:fldCharType="begin"/>
        </w:r>
        <w:r>
          <w:rPr>
            <w:noProof w:val="1"/>
          </w:rPr>
          <w:instrText xml:space="preserve"> PAGEREF _Toc175726271 \h </w:instrText>
        </w:r>
        <w:r>
          <w:rPr>
            <w:noProof w:val="1"/>
          </w:rPr>
          <w:fldChar w:fldCharType="separate"/>
        </w:r>
        <w:r>
          <w:rPr>
            <w:noProof w:val="1"/>
          </w:rPr>
          <w:t>10</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272">
        <w:r>
          <w:rPr>
            <w:rStyle w:val="C2"/>
            <w:noProof w:val="1"/>
          </w:rPr>
          <w:t>2.6</w:t>
        </w:r>
        <w:r>
          <w:rPr>
            <w:rFonts w:asciiTheme="minorHAnsi" w:hAnsiTheme="minorHAnsi" w:eastAsiaTheme="minorEastAsia"/>
            <w:noProof w:val="1"/>
            <w:sz w:val="24"/>
            <w:szCs w:val="24"/>
            <w:kern w:val="2"/>
            <w:lang w:eastAsia="sv-SE"/>
          </w:rPr>
          <w:tab/>
        </w:r>
        <w:r>
          <w:rPr>
            <w:rStyle w:val="C2"/>
            <w:noProof w:val="1"/>
          </w:rPr>
          <w:t>Genomförandetid</w:t>
        </w:r>
        <w:r>
          <w:rPr>
            <w:noProof w:val="1"/>
          </w:rPr>
          <w:tab/>
        </w:r>
        <w:r>
          <w:rPr>
            <w:noProof w:val="1"/>
          </w:rPr>
          <w:fldChar w:fldCharType="begin"/>
        </w:r>
        <w:r>
          <w:rPr>
            <w:noProof w:val="1"/>
          </w:rPr>
          <w:instrText xml:space="preserve"> PAGEREF _Toc175726272 \h </w:instrText>
        </w:r>
        <w:r>
          <w:rPr>
            <w:noProof w:val="1"/>
          </w:rPr>
          <w:fldChar w:fldCharType="separate"/>
        </w:r>
        <w:r>
          <w:rPr>
            <w:noProof w:val="1"/>
          </w:rPr>
          <w:t>10</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273">
        <w:r>
          <w:rPr>
            <w:rStyle w:val="C2"/>
            <w:noProof w:val="1"/>
          </w:rPr>
          <w:t>2.7</w:t>
        </w:r>
        <w:r>
          <w:rPr>
            <w:rFonts w:asciiTheme="minorHAnsi" w:hAnsiTheme="minorHAnsi" w:eastAsiaTheme="minorEastAsia"/>
            <w:noProof w:val="1"/>
            <w:sz w:val="24"/>
            <w:szCs w:val="24"/>
            <w:kern w:val="2"/>
            <w:lang w:eastAsia="sv-SE"/>
          </w:rPr>
          <w:tab/>
        </w:r>
        <w:r>
          <w:rPr>
            <w:rStyle w:val="C2"/>
            <w:noProof w:val="1"/>
          </w:rPr>
          <w:t>Ärendeinformation</w:t>
        </w:r>
        <w:r>
          <w:rPr>
            <w:noProof w:val="1"/>
          </w:rPr>
          <w:tab/>
        </w:r>
        <w:r>
          <w:rPr>
            <w:noProof w:val="1"/>
          </w:rPr>
          <w:fldChar w:fldCharType="begin"/>
        </w:r>
        <w:r>
          <w:rPr>
            <w:noProof w:val="1"/>
          </w:rPr>
          <w:instrText xml:space="preserve"> PAGEREF _Toc175726273 \h </w:instrText>
        </w:r>
        <w:r>
          <w:rPr>
            <w:noProof w:val="1"/>
          </w:rPr>
          <w:fldChar w:fldCharType="separate"/>
        </w:r>
        <w:r>
          <w:rPr>
            <w:noProof w:val="1"/>
          </w:rPr>
          <w:t>11</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274">
        <w:r>
          <w:rPr>
            <w:rStyle w:val="C2"/>
            <w:noProof w:val="1"/>
          </w:rPr>
          <w:t>2.8</w:t>
        </w:r>
        <w:r>
          <w:rPr>
            <w:rFonts w:asciiTheme="minorHAnsi" w:hAnsiTheme="minorHAnsi" w:eastAsiaTheme="minorEastAsia"/>
            <w:noProof w:val="1"/>
            <w:sz w:val="24"/>
            <w:szCs w:val="24"/>
            <w:kern w:val="2"/>
            <w:lang w:eastAsia="sv-SE"/>
          </w:rPr>
          <w:tab/>
        </w:r>
        <w:r>
          <w:rPr>
            <w:rStyle w:val="C2"/>
            <w:noProof w:val="1"/>
          </w:rPr>
          <w:t>Motiv till planförfarande</w:t>
        </w:r>
        <w:r>
          <w:rPr>
            <w:noProof w:val="1"/>
          </w:rPr>
          <w:tab/>
        </w:r>
        <w:r>
          <w:rPr>
            <w:noProof w:val="1"/>
          </w:rPr>
          <w:fldChar w:fldCharType="begin"/>
        </w:r>
        <w:r>
          <w:rPr>
            <w:noProof w:val="1"/>
          </w:rPr>
          <w:instrText xml:space="preserve"> PAGEREF _Toc175726274 \h </w:instrText>
        </w:r>
        <w:r>
          <w:rPr>
            <w:noProof w:val="1"/>
          </w:rPr>
          <w:fldChar w:fldCharType="separate"/>
        </w:r>
        <w:r>
          <w:rPr>
            <w:noProof w:val="1"/>
          </w:rPr>
          <w:t>11</w:t>
        </w:r>
        <w:r>
          <w:rPr>
            <w:noProof w:val="1"/>
          </w:rPr>
          <w:fldChar w:fldCharType="end"/>
        </w:r>
      </w:hyperlink>
    </w:p>
    <w:p>
      <w:pPr>
        <w:pStyle w:val="P53"/>
        <w:tabs>
          <w:tab w:val="left" w:pos="500" w:leader="none"/>
          <w:tab w:val="right" w:pos="7926" w:leader="dot"/>
        </w:tabs>
        <w:rPr>
          <w:rFonts w:asciiTheme="minorHAnsi" w:hAnsiTheme="minorHAnsi" w:eastAsiaTheme="minorEastAsia"/>
          <w:noProof w:val="1"/>
          <w:sz w:val="24"/>
          <w:szCs w:val="24"/>
          <w:kern w:val="2"/>
          <w:lang w:eastAsia="sv-SE"/>
        </w:rPr>
      </w:pPr>
      <w:hyperlink w:anchor="_Toc175726275">
        <w:r>
          <w:rPr>
            <w:rStyle w:val="C2"/>
            <w:noProof w:val="1"/>
          </w:rPr>
          <w:t>3</w:t>
        </w:r>
        <w:r>
          <w:rPr>
            <w:rFonts w:asciiTheme="minorHAnsi" w:hAnsiTheme="minorHAnsi" w:eastAsiaTheme="minorEastAsia"/>
            <w:noProof w:val="1"/>
            <w:sz w:val="24"/>
            <w:szCs w:val="24"/>
            <w:kern w:val="2"/>
            <w:lang w:eastAsia="sv-SE"/>
          </w:rPr>
          <w:tab/>
        </w:r>
        <w:r>
          <w:rPr>
            <w:rStyle w:val="C2"/>
            <w:noProof w:val="1"/>
          </w:rPr>
          <w:t>Motiv till detaljplanens regleringar</w:t>
        </w:r>
        <w:r>
          <w:rPr>
            <w:noProof w:val="1"/>
          </w:rPr>
          <w:tab/>
        </w:r>
        <w:r>
          <w:rPr>
            <w:noProof w:val="1"/>
          </w:rPr>
          <w:fldChar w:fldCharType="begin"/>
        </w:r>
        <w:r>
          <w:rPr>
            <w:noProof w:val="1"/>
          </w:rPr>
          <w:instrText xml:space="preserve"> PAGEREF _Toc175726275 \h </w:instrText>
        </w:r>
        <w:r>
          <w:rPr>
            <w:noProof w:val="1"/>
          </w:rPr>
          <w:fldChar w:fldCharType="separate"/>
        </w:r>
        <w:r>
          <w:rPr>
            <w:noProof w:val="1"/>
          </w:rPr>
          <w:t>12</w:t>
        </w:r>
        <w:r>
          <w:rPr>
            <w:noProof w:val="1"/>
          </w:rPr>
          <w:fldChar w:fldCharType="end"/>
        </w:r>
      </w:hyperlink>
    </w:p>
    <w:p>
      <w:pPr>
        <w:pStyle w:val="P54"/>
        <w:tabs>
          <w:tab w:val="left" w:pos="750" w:leader="none"/>
          <w:tab w:val="right" w:pos="7926" w:leader="dot"/>
        </w:tabs>
        <w:rPr>
          <w:rFonts w:asciiTheme="minorHAnsi" w:hAnsiTheme="minorHAnsi" w:eastAsiaTheme="minorEastAsia"/>
          <w:noProof w:val="1"/>
          <w:sz w:val="24"/>
          <w:szCs w:val="24"/>
          <w:kern w:val="2"/>
          <w:lang w:eastAsia="sv-SE"/>
        </w:rPr>
      </w:pPr>
      <w:hyperlink w:anchor="_Toc175726276">
        <w:r>
          <w:rPr>
            <w:rStyle w:val="C2"/>
            <w:noProof w:val="1"/>
          </w:rPr>
          <w:t>3.1</w:t>
        </w:r>
        <w:r>
          <w:rPr>
            <w:rFonts w:asciiTheme="minorHAnsi" w:hAnsiTheme="minorHAnsi" w:eastAsiaTheme="minorEastAsia"/>
            <w:noProof w:val="1"/>
            <w:sz w:val="24"/>
            <w:szCs w:val="24"/>
            <w:kern w:val="2"/>
            <w:lang w:eastAsia="sv-SE"/>
          </w:rPr>
          <w:tab/>
        </w:r>
        <w:r>
          <w:rPr>
            <w:rStyle w:val="C2"/>
            <w:noProof w:val="1"/>
          </w:rPr>
          <w:t>Motiv till regleringar</w:t>
        </w:r>
        <w:r>
          <w:rPr>
            <w:noProof w:val="1"/>
          </w:rPr>
          <w:tab/>
        </w:r>
        <w:r>
          <w:rPr>
            <w:noProof w:val="1"/>
          </w:rPr>
          <w:fldChar w:fldCharType="begin"/>
        </w:r>
        <w:r>
          <w:rPr>
            <w:noProof w:val="1"/>
          </w:rPr>
          <w:instrText xml:space="preserve"> PAGEREF _Toc175726276 \h </w:instrText>
        </w:r>
        <w:r>
          <w:rPr>
            <w:noProof w:val="1"/>
          </w:rPr>
          <w:fldChar w:fldCharType="separate"/>
        </w:r>
        <w:r>
          <w:rPr>
            <w:noProof w:val="1"/>
          </w:rPr>
          <w:t>12</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277">
        <w:r>
          <w:rPr>
            <w:rStyle w:val="C2"/>
            <w:noProof w:val="1"/>
          </w:rPr>
          <w:t>3.1.1</w:t>
        </w:r>
        <w:r>
          <w:rPr>
            <w:rFonts w:asciiTheme="minorHAnsi" w:hAnsiTheme="minorHAnsi" w:eastAsiaTheme="minorEastAsia"/>
            <w:noProof w:val="1"/>
            <w:sz w:val="24"/>
            <w:szCs w:val="24"/>
            <w:kern w:val="2"/>
            <w:lang w:eastAsia="sv-SE"/>
          </w:rPr>
          <w:tab/>
        </w:r>
        <w:r>
          <w:rPr>
            <w:rStyle w:val="C2"/>
            <w:noProof w:val="1"/>
          </w:rPr>
          <w:t>Användning av allmän platsmark</w:t>
        </w:r>
        <w:r>
          <w:rPr>
            <w:noProof w:val="1"/>
          </w:rPr>
          <w:tab/>
        </w:r>
        <w:r>
          <w:rPr>
            <w:noProof w:val="1"/>
          </w:rPr>
          <w:fldChar w:fldCharType="begin"/>
        </w:r>
        <w:r>
          <w:rPr>
            <w:noProof w:val="1"/>
          </w:rPr>
          <w:instrText xml:space="preserve"> PAGEREF _Toc175726277 \h </w:instrText>
        </w:r>
        <w:r>
          <w:rPr>
            <w:noProof w:val="1"/>
          </w:rPr>
          <w:fldChar w:fldCharType="separate"/>
        </w:r>
        <w:r>
          <w:rPr>
            <w:noProof w:val="1"/>
          </w:rPr>
          <w:t>12</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278">
        <w:r>
          <w:rPr>
            <w:rStyle w:val="C2"/>
            <w:noProof w:val="1"/>
          </w:rPr>
          <w:t>3.1.2</w:t>
        </w:r>
        <w:r>
          <w:rPr>
            <w:rFonts w:asciiTheme="minorHAnsi" w:hAnsiTheme="minorHAnsi" w:eastAsiaTheme="minorEastAsia"/>
            <w:noProof w:val="1"/>
            <w:sz w:val="24"/>
            <w:szCs w:val="24"/>
            <w:kern w:val="2"/>
            <w:lang w:eastAsia="sv-SE"/>
          </w:rPr>
          <w:tab/>
        </w:r>
        <w:r>
          <w:rPr>
            <w:rStyle w:val="C2"/>
            <w:noProof w:val="1"/>
          </w:rPr>
          <w:t>Användning av kvartersmark</w:t>
        </w:r>
        <w:r>
          <w:rPr>
            <w:noProof w:val="1"/>
          </w:rPr>
          <w:tab/>
        </w:r>
        <w:r>
          <w:rPr>
            <w:noProof w:val="1"/>
          </w:rPr>
          <w:fldChar w:fldCharType="begin"/>
        </w:r>
        <w:r>
          <w:rPr>
            <w:noProof w:val="1"/>
          </w:rPr>
          <w:instrText xml:space="preserve"> PAGEREF _Toc175726278 \h </w:instrText>
        </w:r>
        <w:r>
          <w:rPr>
            <w:noProof w:val="1"/>
          </w:rPr>
          <w:fldChar w:fldCharType="separate"/>
        </w:r>
        <w:r>
          <w:rPr>
            <w:noProof w:val="1"/>
          </w:rPr>
          <w:t>12</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279">
        <w:r>
          <w:rPr>
            <w:rStyle w:val="C2"/>
            <w:noProof w:val="1"/>
          </w:rPr>
          <w:t>3.1.3</w:t>
        </w:r>
        <w:r>
          <w:rPr>
            <w:rFonts w:asciiTheme="minorHAnsi" w:hAnsiTheme="minorHAnsi" w:eastAsiaTheme="minorEastAsia"/>
            <w:noProof w:val="1"/>
            <w:sz w:val="24"/>
            <w:szCs w:val="24"/>
            <w:kern w:val="2"/>
            <w:lang w:eastAsia="sv-SE"/>
          </w:rPr>
          <w:tab/>
        </w:r>
        <w:r>
          <w:rPr>
            <w:rStyle w:val="C2"/>
            <w:noProof w:val="1"/>
          </w:rPr>
          <w:t>Egenskapsbestämmelser för kvartersmark</w:t>
        </w:r>
        <w:r>
          <w:rPr>
            <w:noProof w:val="1"/>
          </w:rPr>
          <w:tab/>
        </w:r>
        <w:r>
          <w:rPr>
            <w:noProof w:val="1"/>
          </w:rPr>
          <w:fldChar w:fldCharType="begin"/>
        </w:r>
        <w:r>
          <w:rPr>
            <w:noProof w:val="1"/>
          </w:rPr>
          <w:instrText xml:space="preserve"> PAGEREF _Toc175726279 \h </w:instrText>
        </w:r>
        <w:r>
          <w:rPr>
            <w:noProof w:val="1"/>
          </w:rPr>
          <w:fldChar w:fldCharType="separate"/>
        </w:r>
        <w:r>
          <w:rPr>
            <w:noProof w:val="1"/>
          </w:rPr>
          <w:t>12</w:t>
        </w:r>
        <w:r>
          <w:rPr>
            <w:noProof w:val="1"/>
          </w:rPr>
          <w:fldChar w:fldCharType="end"/>
        </w:r>
      </w:hyperlink>
    </w:p>
    <w:p>
      <w:pPr>
        <w:pStyle w:val="P53"/>
        <w:tabs>
          <w:tab w:val="left" w:pos="500" w:leader="none"/>
          <w:tab w:val="right" w:pos="7926" w:leader="dot"/>
        </w:tabs>
        <w:rPr>
          <w:rFonts w:asciiTheme="minorHAnsi" w:hAnsiTheme="minorHAnsi" w:eastAsiaTheme="minorEastAsia"/>
          <w:noProof w:val="1"/>
          <w:sz w:val="24"/>
          <w:szCs w:val="24"/>
          <w:kern w:val="2"/>
          <w:lang w:eastAsia="sv-SE"/>
        </w:rPr>
      </w:pPr>
      <w:hyperlink w:anchor="_Toc175726280">
        <w:r>
          <w:rPr>
            <w:rStyle w:val="C2"/>
            <w:noProof w:val="1"/>
          </w:rPr>
          <w:t>4</w:t>
        </w:r>
        <w:r>
          <w:rPr>
            <w:rFonts w:asciiTheme="minorHAnsi" w:hAnsiTheme="minorHAnsi" w:eastAsiaTheme="minorEastAsia"/>
            <w:noProof w:val="1"/>
            <w:sz w:val="24"/>
            <w:szCs w:val="24"/>
            <w:kern w:val="2"/>
            <w:lang w:eastAsia="sv-SE"/>
          </w:rPr>
          <w:tab/>
        </w:r>
        <w:r>
          <w:rPr>
            <w:rStyle w:val="C2"/>
            <w:noProof w:val="1"/>
          </w:rPr>
          <w:t>Planeringsförutsättningar</w:t>
        </w:r>
        <w:r>
          <w:rPr>
            <w:noProof w:val="1"/>
          </w:rPr>
          <w:tab/>
        </w:r>
        <w:r>
          <w:rPr>
            <w:noProof w:val="1"/>
          </w:rPr>
          <w:fldChar w:fldCharType="begin"/>
        </w:r>
        <w:r>
          <w:rPr>
            <w:noProof w:val="1"/>
          </w:rPr>
          <w:instrText xml:space="preserve"> PAGEREF _Toc175726280 \h </w:instrText>
        </w:r>
        <w:r>
          <w:rPr>
            <w:noProof w:val="1"/>
          </w:rPr>
          <w:fldChar w:fldCharType="separate"/>
        </w:r>
        <w:r>
          <w:rPr>
            <w:noProof w:val="1"/>
          </w:rPr>
          <w:t>15</w:t>
        </w:r>
        <w:r>
          <w:rPr>
            <w:noProof w:val="1"/>
          </w:rPr>
          <w:fldChar w:fldCharType="end"/>
        </w:r>
      </w:hyperlink>
    </w:p>
    <w:p>
      <w:pPr>
        <w:pStyle w:val="P54"/>
        <w:tabs>
          <w:tab w:val="left" w:pos="750" w:leader="none"/>
          <w:tab w:val="right" w:pos="7926" w:leader="dot"/>
        </w:tabs>
        <w:rPr>
          <w:rFonts w:asciiTheme="minorHAnsi" w:hAnsiTheme="minorHAnsi" w:eastAsiaTheme="minorEastAsia"/>
          <w:noProof w:val="1"/>
          <w:sz w:val="24"/>
          <w:szCs w:val="24"/>
          <w:kern w:val="2"/>
          <w:lang w:eastAsia="sv-SE"/>
        </w:rPr>
      </w:pPr>
      <w:hyperlink w:anchor="_Toc175726281">
        <w:r>
          <w:rPr>
            <w:rStyle w:val="C2"/>
            <w:noProof w:val="1"/>
          </w:rPr>
          <w:t>4.1</w:t>
        </w:r>
        <w:r>
          <w:rPr>
            <w:rFonts w:asciiTheme="minorHAnsi" w:hAnsiTheme="minorHAnsi" w:eastAsiaTheme="minorEastAsia"/>
            <w:noProof w:val="1"/>
            <w:sz w:val="24"/>
            <w:szCs w:val="24"/>
            <w:kern w:val="2"/>
            <w:lang w:eastAsia="sv-SE"/>
          </w:rPr>
          <w:tab/>
        </w:r>
        <w:r>
          <w:rPr>
            <w:rStyle w:val="C2"/>
            <w:noProof w:val="1"/>
          </w:rPr>
          <w:t>Kommunala planeringsförutsättningar</w:t>
        </w:r>
        <w:r>
          <w:rPr>
            <w:noProof w:val="1"/>
          </w:rPr>
          <w:tab/>
        </w:r>
        <w:r>
          <w:rPr>
            <w:noProof w:val="1"/>
          </w:rPr>
          <w:fldChar w:fldCharType="begin"/>
        </w:r>
        <w:r>
          <w:rPr>
            <w:noProof w:val="1"/>
          </w:rPr>
          <w:instrText xml:space="preserve"> PAGEREF _Toc175726281 \h </w:instrText>
        </w:r>
        <w:r>
          <w:rPr>
            <w:noProof w:val="1"/>
          </w:rPr>
          <w:fldChar w:fldCharType="separate"/>
        </w:r>
        <w:r>
          <w:rPr>
            <w:noProof w:val="1"/>
          </w:rPr>
          <w:t>15</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282">
        <w:r>
          <w:rPr>
            <w:rStyle w:val="C2"/>
            <w:noProof w:val="1"/>
          </w:rPr>
          <w:t>4.1.1</w:t>
        </w:r>
        <w:r>
          <w:rPr>
            <w:rFonts w:asciiTheme="minorHAnsi" w:hAnsiTheme="minorHAnsi" w:eastAsiaTheme="minorEastAsia"/>
            <w:noProof w:val="1"/>
            <w:sz w:val="24"/>
            <w:szCs w:val="24"/>
            <w:kern w:val="2"/>
            <w:lang w:eastAsia="sv-SE"/>
          </w:rPr>
          <w:tab/>
        </w:r>
        <w:r>
          <w:rPr>
            <w:rStyle w:val="C2"/>
            <w:noProof w:val="1"/>
          </w:rPr>
          <w:t>Översiktsplan och fördjupad översiktsplan</w:t>
        </w:r>
        <w:r>
          <w:rPr>
            <w:noProof w:val="1"/>
          </w:rPr>
          <w:tab/>
        </w:r>
        <w:r>
          <w:rPr>
            <w:noProof w:val="1"/>
          </w:rPr>
          <w:fldChar w:fldCharType="begin"/>
        </w:r>
        <w:r>
          <w:rPr>
            <w:noProof w:val="1"/>
          </w:rPr>
          <w:instrText xml:space="preserve"> PAGEREF _Toc175726282 \h </w:instrText>
        </w:r>
        <w:r>
          <w:rPr>
            <w:noProof w:val="1"/>
          </w:rPr>
          <w:fldChar w:fldCharType="separate"/>
        </w:r>
        <w:r>
          <w:rPr>
            <w:noProof w:val="1"/>
          </w:rPr>
          <w:t>15</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283">
        <w:r>
          <w:rPr>
            <w:rStyle w:val="C2"/>
            <w:noProof w:val="1"/>
          </w:rPr>
          <w:t>4.1.2</w:t>
        </w:r>
        <w:r>
          <w:rPr>
            <w:rFonts w:asciiTheme="minorHAnsi" w:hAnsiTheme="minorHAnsi" w:eastAsiaTheme="minorEastAsia"/>
            <w:noProof w:val="1"/>
            <w:sz w:val="24"/>
            <w:szCs w:val="24"/>
            <w:kern w:val="2"/>
            <w:lang w:eastAsia="sv-SE"/>
          </w:rPr>
          <w:tab/>
        </w:r>
        <w:r>
          <w:rPr>
            <w:rStyle w:val="C2"/>
            <w:noProof w:val="1"/>
          </w:rPr>
          <w:t>Planprogram</w:t>
        </w:r>
        <w:r>
          <w:rPr>
            <w:noProof w:val="1"/>
          </w:rPr>
          <w:tab/>
        </w:r>
        <w:r>
          <w:rPr>
            <w:noProof w:val="1"/>
          </w:rPr>
          <w:fldChar w:fldCharType="begin"/>
        </w:r>
        <w:r>
          <w:rPr>
            <w:noProof w:val="1"/>
          </w:rPr>
          <w:instrText xml:space="preserve"> PAGEREF _Toc175726283 \h </w:instrText>
        </w:r>
        <w:r>
          <w:rPr>
            <w:noProof w:val="1"/>
          </w:rPr>
          <w:fldChar w:fldCharType="separate"/>
        </w:r>
        <w:r>
          <w:rPr>
            <w:noProof w:val="1"/>
          </w:rPr>
          <w:t>15</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284">
        <w:r>
          <w:rPr>
            <w:rStyle w:val="C2"/>
            <w:noProof w:val="1"/>
          </w:rPr>
          <w:t>4.1.3</w:t>
        </w:r>
        <w:r>
          <w:rPr>
            <w:rFonts w:asciiTheme="minorHAnsi" w:hAnsiTheme="minorHAnsi" w:eastAsiaTheme="minorEastAsia"/>
            <w:noProof w:val="1"/>
            <w:sz w:val="24"/>
            <w:szCs w:val="24"/>
            <w:kern w:val="2"/>
            <w:lang w:eastAsia="sv-SE"/>
          </w:rPr>
          <w:tab/>
        </w:r>
        <w:r>
          <w:rPr>
            <w:rStyle w:val="C2"/>
            <w:noProof w:val="1"/>
          </w:rPr>
          <w:t>kommunala styrdokument</w:t>
        </w:r>
        <w:r>
          <w:rPr>
            <w:noProof w:val="1"/>
          </w:rPr>
          <w:tab/>
        </w:r>
        <w:r>
          <w:rPr>
            <w:noProof w:val="1"/>
          </w:rPr>
          <w:fldChar w:fldCharType="begin"/>
        </w:r>
        <w:r>
          <w:rPr>
            <w:noProof w:val="1"/>
          </w:rPr>
          <w:instrText xml:space="preserve"> PAGEREF _Toc175726284 \h </w:instrText>
        </w:r>
        <w:r>
          <w:rPr>
            <w:noProof w:val="1"/>
          </w:rPr>
          <w:fldChar w:fldCharType="separate"/>
        </w:r>
        <w:r>
          <w:rPr>
            <w:noProof w:val="1"/>
          </w:rPr>
          <w:t>15</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285">
        <w:r>
          <w:rPr>
            <w:rStyle w:val="C2"/>
            <w:noProof w:val="1"/>
          </w:rPr>
          <w:t>4.1.4</w:t>
        </w:r>
        <w:r>
          <w:rPr>
            <w:rFonts w:asciiTheme="minorHAnsi" w:hAnsiTheme="minorHAnsi" w:eastAsiaTheme="minorEastAsia"/>
            <w:noProof w:val="1"/>
            <w:sz w:val="24"/>
            <w:szCs w:val="24"/>
            <w:kern w:val="2"/>
            <w:lang w:eastAsia="sv-SE"/>
          </w:rPr>
          <w:tab/>
        </w:r>
        <w:r>
          <w:rPr>
            <w:rStyle w:val="C2"/>
            <w:noProof w:val="1"/>
          </w:rPr>
          <w:t>Detaljplan</w:t>
        </w:r>
        <w:r>
          <w:rPr>
            <w:noProof w:val="1"/>
          </w:rPr>
          <w:tab/>
        </w:r>
        <w:r>
          <w:rPr>
            <w:noProof w:val="1"/>
          </w:rPr>
          <w:fldChar w:fldCharType="begin"/>
        </w:r>
        <w:r>
          <w:rPr>
            <w:noProof w:val="1"/>
          </w:rPr>
          <w:instrText xml:space="preserve"> PAGEREF _Toc175726285 \h </w:instrText>
        </w:r>
        <w:r>
          <w:rPr>
            <w:noProof w:val="1"/>
          </w:rPr>
          <w:fldChar w:fldCharType="separate"/>
        </w:r>
        <w:r>
          <w:rPr>
            <w:noProof w:val="1"/>
          </w:rPr>
          <w:t>16</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286">
        <w:r>
          <w:rPr>
            <w:rStyle w:val="C2"/>
            <w:noProof w:val="1"/>
          </w:rPr>
          <w:t>4.1.5</w:t>
        </w:r>
        <w:r>
          <w:rPr>
            <w:rFonts w:asciiTheme="minorHAnsi" w:hAnsiTheme="minorHAnsi" w:eastAsiaTheme="minorEastAsia"/>
            <w:noProof w:val="1"/>
            <w:sz w:val="24"/>
            <w:szCs w:val="24"/>
            <w:kern w:val="2"/>
            <w:lang w:eastAsia="sv-SE"/>
          </w:rPr>
          <w:tab/>
        </w:r>
        <w:r>
          <w:rPr>
            <w:rStyle w:val="C2"/>
            <w:noProof w:val="1"/>
          </w:rPr>
          <w:t>Planbesked</w:t>
        </w:r>
        <w:r>
          <w:rPr>
            <w:noProof w:val="1"/>
          </w:rPr>
          <w:tab/>
        </w:r>
        <w:r>
          <w:rPr>
            <w:noProof w:val="1"/>
          </w:rPr>
          <w:fldChar w:fldCharType="begin"/>
        </w:r>
        <w:r>
          <w:rPr>
            <w:noProof w:val="1"/>
          </w:rPr>
          <w:instrText xml:space="preserve"> PAGEREF _Toc175726286 \h </w:instrText>
        </w:r>
        <w:r>
          <w:rPr>
            <w:noProof w:val="1"/>
          </w:rPr>
          <w:fldChar w:fldCharType="separate"/>
        </w:r>
        <w:r>
          <w:rPr>
            <w:noProof w:val="1"/>
          </w:rPr>
          <w:t>17</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287">
        <w:r>
          <w:rPr>
            <w:rStyle w:val="C2"/>
            <w:noProof w:val="1"/>
          </w:rPr>
          <w:t>4.2</w:t>
        </w:r>
        <w:r>
          <w:rPr>
            <w:rFonts w:asciiTheme="minorHAnsi" w:hAnsiTheme="minorHAnsi" w:eastAsiaTheme="minorEastAsia"/>
            <w:noProof w:val="1"/>
            <w:sz w:val="24"/>
            <w:szCs w:val="24"/>
            <w:kern w:val="2"/>
            <w:lang w:eastAsia="sv-SE"/>
          </w:rPr>
          <w:tab/>
        </w:r>
        <w:r>
          <w:rPr>
            <w:rStyle w:val="C2"/>
            <w:noProof w:val="1"/>
          </w:rPr>
          <w:t>Riksintressen</w:t>
        </w:r>
        <w:r>
          <w:rPr>
            <w:noProof w:val="1"/>
          </w:rPr>
          <w:tab/>
        </w:r>
        <w:r>
          <w:rPr>
            <w:noProof w:val="1"/>
          </w:rPr>
          <w:fldChar w:fldCharType="begin"/>
        </w:r>
        <w:r>
          <w:rPr>
            <w:noProof w:val="1"/>
          </w:rPr>
          <w:instrText xml:space="preserve"> PAGEREF _Toc175726287 \h </w:instrText>
        </w:r>
        <w:r>
          <w:rPr>
            <w:noProof w:val="1"/>
          </w:rPr>
          <w:fldChar w:fldCharType="separate"/>
        </w:r>
        <w:r>
          <w:rPr>
            <w:noProof w:val="1"/>
          </w:rPr>
          <w:t>17</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288">
        <w:r>
          <w:rPr>
            <w:rStyle w:val="C2"/>
            <w:noProof w:val="1"/>
            <w:lang w:val="en-US"/>
          </w:rPr>
          <w:t>4.2.1</w:t>
        </w:r>
        <w:r>
          <w:rPr>
            <w:rFonts w:asciiTheme="minorHAnsi" w:hAnsiTheme="minorHAnsi" w:eastAsiaTheme="minorEastAsia"/>
            <w:noProof w:val="1"/>
            <w:sz w:val="24"/>
            <w:szCs w:val="24"/>
            <w:kern w:val="2"/>
            <w:lang w:eastAsia="sv-SE"/>
          </w:rPr>
          <w:tab/>
        </w:r>
        <w:r>
          <w:rPr>
            <w:rStyle w:val="C2"/>
            <w:noProof w:val="1"/>
            <w:lang w:val="en-US"/>
          </w:rPr>
          <w:t>totalförsvaret</w:t>
        </w:r>
        <w:r>
          <w:rPr>
            <w:noProof w:val="1"/>
          </w:rPr>
          <w:tab/>
        </w:r>
        <w:r>
          <w:rPr>
            <w:noProof w:val="1"/>
          </w:rPr>
          <w:fldChar w:fldCharType="begin"/>
        </w:r>
        <w:r>
          <w:rPr>
            <w:noProof w:val="1"/>
          </w:rPr>
          <w:instrText xml:space="preserve"> PAGEREF _Toc175726288 \h </w:instrText>
        </w:r>
        <w:r>
          <w:rPr>
            <w:noProof w:val="1"/>
          </w:rPr>
          <w:fldChar w:fldCharType="separate"/>
        </w:r>
        <w:r>
          <w:rPr>
            <w:noProof w:val="1"/>
          </w:rPr>
          <w:t>17</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289">
        <w:r>
          <w:rPr>
            <w:rStyle w:val="C2"/>
            <w:noProof w:val="1"/>
            <w:lang w:val="en-US"/>
          </w:rPr>
          <w:t>4.2.2</w:t>
        </w:r>
        <w:r>
          <w:rPr>
            <w:rFonts w:asciiTheme="minorHAnsi" w:hAnsiTheme="minorHAnsi" w:eastAsiaTheme="minorEastAsia"/>
            <w:noProof w:val="1"/>
            <w:sz w:val="24"/>
            <w:szCs w:val="24"/>
            <w:kern w:val="2"/>
            <w:lang w:eastAsia="sv-SE"/>
          </w:rPr>
          <w:tab/>
        </w:r>
        <w:r>
          <w:rPr>
            <w:rStyle w:val="C2"/>
            <w:noProof w:val="1"/>
          </w:rPr>
          <w:t>kommunikationer</w:t>
        </w:r>
        <w:r>
          <w:rPr>
            <w:noProof w:val="1"/>
          </w:rPr>
          <w:tab/>
        </w:r>
        <w:r>
          <w:rPr>
            <w:noProof w:val="1"/>
          </w:rPr>
          <w:fldChar w:fldCharType="begin"/>
        </w:r>
        <w:r>
          <w:rPr>
            <w:noProof w:val="1"/>
          </w:rPr>
          <w:instrText xml:space="preserve"> PAGEREF _Toc175726289 \h </w:instrText>
        </w:r>
        <w:r>
          <w:rPr>
            <w:noProof w:val="1"/>
          </w:rPr>
          <w:fldChar w:fldCharType="separate"/>
        </w:r>
        <w:r>
          <w:rPr>
            <w:noProof w:val="1"/>
          </w:rPr>
          <w:t>17</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290">
        <w:r>
          <w:rPr>
            <w:rStyle w:val="C2"/>
            <w:noProof w:val="1"/>
          </w:rPr>
          <w:t>4.3</w:t>
        </w:r>
        <w:r>
          <w:rPr>
            <w:rFonts w:asciiTheme="minorHAnsi" w:hAnsiTheme="minorHAnsi" w:eastAsiaTheme="minorEastAsia"/>
            <w:noProof w:val="1"/>
            <w:sz w:val="24"/>
            <w:szCs w:val="24"/>
            <w:kern w:val="2"/>
            <w:lang w:eastAsia="sv-SE"/>
          </w:rPr>
          <w:tab/>
        </w:r>
        <w:r>
          <w:rPr>
            <w:rStyle w:val="C2"/>
            <w:noProof w:val="1"/>
          </w:rPr>
          <w:t>Miljökvalitetsnormer</w:t>
        </w:r>
        <w:r>
          <w:rPr>
            <w:noProof w:val="1"/>
          </w:rPr>
          <w:tab/>
        </w:r>
        <w:r>
          <w:rPr>
            <w:noProof w:val="1"/>
          </w:rPr>
          <w:fldChar w:fldCharType="begin"/>
        </w:r>
        <w:r>
          <w:rPr>
            <w:noProof w:val="1"/>
          </w:rPr>
          <w:instrText xml:space="preserve"> PAGEREF _Toc175726290 \h </w:instrText>
        </w:r>
        <w:r>
          <w:rPr>
            <w:noProof w:val="1"/>
          </w:rPr>
          <w:fldChar w:fldCharType="separate"/>
        </w:r>
        <w:r>
          <w:rPr>
            <w:noProof w:val="1"/>
          </w:rPr>
          <w:t>18</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291">
        <w:r>
          <w:rPr>
            <w:rStyle w:val="C2"/>
            <w:noProof w:val="1"/>
            <w:lang w:val="en-US"/>
          </w:rPr>
          <w:t>4.3.1</w:t>
        </w:r>
        <w:r>
          <w:rPr>
            <w:rFonts w:asciiTheme="minorHAnsi" w:hAnsiTheme="minorHAnsi" w:eastAsiaTheme="minorEastAsia"/>
            <w:noProof w:val="1"/>
            <w:sz w:val="24"/>
            <w:szCs w:val="24"/>
            <w:kern w:val="2"/>
            <w:lang w:eastAsia="sv-SE"/>
          </w:rPr>
          <w:tab/>
        </w:r>
        <w:r>
          <w:rPr>
            <w:rStyle w:val="C2"/>
            <w:noProof w:val="1"/>
          </w:rPr>
          <w:t>Vatten</w:t>
        </w:r>
        <w:r>
          <w:rPr>
            <w:noProof w:val="1"/>
          </w:rPr>
          <w:tab/>
        </w:r>
        <w:r>
          <w:rPr>
            <w:noProof w:val="1"/>
          </w:rPr>
          <w:fldChar w:fldCharType="begin"/>
        </w:r>
        <w:r>
          <w:rPr>
            <w:noProof w:val="1"/>
          </w:rPr>
          <w:instrText xml:space="preserve"> PAGEREF _Toc175726291 \h </w:instrText>
        </w:r>
        <w:r>
          <w:rPr>
            <w:noProof w:val="1"/>
          </w:rPr>
          <w:fldChar w:fldCharType="separate"/>
        </w:r>
        <w:r>
          <w:rPr>
            <w:noProof w:val="1"/>
          </w:rPr>
          <w:t>18</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292">
        <w:r>
          <w:rPr>
            <w:rStyle w:val="C2"/>
            <w:noProof w:val="1"/>
          </w:rPr>
          <w:t>4.4</w:t>
        </w:r>
        <w:r>
          <w:rPr>
            <w:rFonts w:asciiTheme="minorHAnsi" w:hAnsiTheme="minorHAnsi" w:eastAsiaTheme="minorEastAsia"/>
            <w:noProof w:val="1"/>
            <w:sz w:val="24"/>
            <w:szCs w:val="24"/>
            <w:kern w:val="2"/>
            <w:lang w:eastAsia="sv-SE"/>
          </w:rPr>
          <w:tab/>
        </w:r>
        <w:r>
          <w:rPr>
            <w:rStyle w:val="C2"/>
            <w:noProof w:val="1"/>
          </w:rPr>
          <w:t>Risker för människors hälsa och säkerhet</w:t>
        </w:r>
        <w:r>
          <w:rPr>
            <w:noProof w:val="1"/>
          </w:rPr>
          <w:tab/>
        </w:r>
        <w:r>
          <w:rPr>
            <w:noProof w:val="1"/>
          </w:rPr>
          <w:fldChar w:fldCharType="begin"/>
        </w:r>
        <w:r>
          <w:rPr>
            <w:noProof w:val="1"/>
          </w:rPr>
          <w:instrText xml:space="preserve"> PAGEREF _Toc175726292 \h </w:instrText>
        </w:r>
        <w:r>
          <w:rPr>
            <w:noProof w:val="1"/>
          </w:rPr>
          <w:fldChar w:fldCharType="separate"/>
        </w:r>
        <w:r>
          <w:rPr>
            <w:noProof w:val="1"/>
          </w:rPr>
          <w:t>18</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293">
        <w:r>
          <w:rPr>
            <w:rStyle w:val="C2"/>
            <w:noProof w:val="1"/>
            <w:lang w:val="en-US"/>
          </w:rPr>
          <w:t>4.4.1</w:t>
        </w:r>
        <w:r>
          <w:rPr>
            <w:rFonts w:asciiTheme="minorHAnsi" w:hAnsiTheme="minorHAnsi" w:eastAsiaTheme="minorEastAsia"/>
            <w:noProof w:val="1"/>
            <w:sz w:val="24"/>
            <w:szCs w:val="24"/>
            <w:kern w:val="2"/>
            <w:lang w:eastAsia="sv-SE"/>
          </w:rPr>
          <w:tab/>
        </w:r>
        <w:r>
          <w:rPr>
            <w:rStyle w:val="C2"/>
            <w:noProof w:val="1"/>
          </w:rPr>
          <w:t>Trafikbuller</w:t>
        </w:r>
        <w:r>
          <w:rPr>
            <w:noProof w:val="1"/>
          </w:rPr>
          <w:tab/>
        </w:r>
        <w:r>
          <w:rPr>
            <w:noProof w:val="1"/>
          </w:rPr>
          <w:fldChar w:fldCharType="begin"/>
        </w:r>
        <w:r>
          <w:rPr>
            <w:noProof w:val="1"/>
          </w:rPr>
          <w:instrText xml:space="preserve"> PAGEREF _Toc175726293 \h </w:instrText>
        </w:r>
        <w:r>
          <w:rPr>
            <w:noProof w:val="1"/>
          </w:rPr>
          <w:fldChar w:fldCharType="separate"/>
        </w:r>
        <w:r>
          <w:rPr>
            <w:noProof w:val="1"/>
          </w:rPr>
          <w:t>18</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294">
        <w:r>
          <w:rPr>
            <w:rStyle w:val="C2"/>
            <w:noProof w:val="1"/>
            <w:lang w:val="en-US"/>
          </w:rPr>
          <w:t>4.4.2</w:t>
        </w:r>
        <w:r>
          <w:rPr>
            <w:rFonts w:asciiTheme="minorHAnsi" w:hAnsiTheme="minorHAnsi" w:eastAsiaTheme="minorEastAsia"/>
            <w:noProof w:val="1"/>
            <w:sz w:val="24"/>
            <w:szCs w:val="24"/>
            <w:kern w:val="2"/>
            <w:lang w:eastAsia="sv-SE"/>
          </w:rPr>
          <w:tab/>
        </w:r>
        <w:r>
          <w:rPr>
            <w:rStyle w:val="C2"/>
            <w:noProof w:val="1"/>
          </w:rPr>
          <w:t>Översvämning</w:t>
        </w:r>
        <w:r>
          <w:rPr>
            <w:noProof w:val="1"/>
          </w:rPr>
          <w:tab/>
        </w:r>
        <w:r>
          <w:rPr>
            <w:noProof w:val="1"/>
          </w:rPr>
          <w:fldChar w:fldCharType="begin"/>
        </w:r>
        <w:r>
          <w:rPr>
            <w:noProof w:val="1"/>
          </w:rPr>
          <w:instrText xml:space="preserve"> PAGEREF _Toc175726294 \h </w:instrText>
        </w:r>
        <w:r>
          <w:rPr>
            <w:noProof w:val="1"/>
          </w:rPr>
          <w:fldChar w:fldCharType="separate"/>
        </w:r>
        <w:r>
          <w:rPr>
            <w:noProof w:val="1"/>
          </w:rPr>
          <w:t>20</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295">
        <w:r>
          <w:rPr>
            <w:rStyle w:val="C2"/>
            <w:noProof w:val="1"/>
            <w:lang w:val="en-US"/>
          </w:rPr>
          <w:t>4.4.3</w:t>
        </w:r>
        <w:r>
          <w:rPr>
            <w:rFonts w:asciiTheme="minorHAnsi" w:hAnsiTheme="minorHAnsi" w:eastAsiaTheme="minorEastAsia"/>
            <w:noProof w:val="1"/>
            <w:sz w:val="24"/>
            <w:szCs w:val="24"/>
            <w:kern w:val="2"/>
            <w:lang w:eastAsia="sv-SE"/>
          </w:rPr>
          <w:tab/>
        </w:r>
        <w:r>
          <w:rPr>
            <w:rStyle w:val="C2"/>
            <w:noProof w:val="1"/>
          </w:rPr>
          <w:t>ras, skred och Erosion</w:t>
        </w:r>
        <w:r>
          <w:rPr>
            <w:noProof w:val="1"/>
          </w:rPr>
          <w:tab/>
        </w:r>
        <w:r>
          <w:rPr>
            <w:noProof w:val="1"/>
          </w:rPr>
          <w:fldChar w:fldCharType="begin"/>
        </w:r>
        <w:r>
          <w:rPr>
            <w:noProof w:val="1"/>
          </w:rPr>
          <w:instrText xml:space="preserve"> PAGEREF _Toc175726295 \h </w:instrText>
        </w:r>
        <w:r>
          <w:rPr>
            <w:noProof w:val="1"/>
          </w:rPr>
          <w:fldChar w:fldCharType="separate"/>
        </w:r>
        <w:r>
          <w:rPr>
            <w:noProof w:val="1"/>
          </w:rPr>
          <w:t>21</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296">
        <w:r>
          <w:rPr>
            <w:rStyle w:val="C2"/>
            <w:noProof w:val="1"/>
          </w:rPr>
          <w:t>4.5</w:t>
        </w:r>
        <w:r>
          <w:rPr>
            <w:rFonts w:asciiTheme="minorHAnsi" w:hAnsiTheme="minorHAnsi" w:eastAsiaTheme="minorEastAsia"/>
            <w:noProof w:val="1"/>
            <w:sz w:val="24"/>
            <w:szCs w:val="24"/>
            <w:kern w:val="2"/>
            <w:lang w:eastAsia="sv-SE"/>
          </w:rPr>
          <w:tab/>
        </w:r>
        <w:r>
          <w:rPr>
            <w:rStyle w:val="C2"/>
            <w:noProof w:val="1"/>
          </w:rPr>
          <w:t>Natur och miljö</w:t>
        </w:r>
        <w:r>
          <w:rPr>
            <w:noProof w:val="1"/>
          </w:rPr>
          <w:tab/>
        </w:r>
        <w:r>
          <w:rPr>
            <w:noProof w:val="1"/>
          </w:rPr>
          <w:fldChar w:fldCharType="begin"/>
        </w:r>
        <w:r>
          <w:rPr>
            <w:noProof w:val="1"/>
          </w:rPr>
          <w:instrText xml:space="preserve"> PAGEREF _Toc175726296 \h </w:instrText>
        </w:r>
        <w:r>
          <w:rPr>
            <w:noProof w:val="1"/>
          </w:rPr>
          <w:fldChar w:fldCharType="separate"/>
        </w:r>
        <w:r>
          <w:rPr>
            <w:noProof w:val="1"/>
          </w:rPr>
          <w:t>21</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297">
        <w:r>
          <w:rPr>
            <w:rStyle w:val="C2"/>
            <w:noProof w:val="1"/>
            <w:lang w:val="en-US"/>
          </w:rPr>
          <w:t>4.5.1</w:t>
        </w:r>
        <w:r>
          <w:rPr>
            <w:rFonts w:asciiTheme="minorHAnsi" w:hAnsiTheme="minorHAnsi" w:eastAsiaTheme="minorEastAsia"/>
            <w:noProof w:val="1"/>
            <w:sz w:val="24"/>
            <w:szCs w:val="24"/>
            <w:kern w:val="2"/>
            <w:lang w:eastAsia="sv-SE"/>
          </w:rPr>
          <w:tab/>
        </w:r>
        <w:r>
          <w:rPr>
            <w:rStyle w:val="C2"/>
            <w:noProof w:val="1"/>
          </w:rPr>
          <w:t>Natur och vegetation</w:t>
        </w:r>
        <w:r>
          <w:rPr>
            <w:noProof w:val="1"/>
          </w:rPr>
          <w:tab/>
        </w:r>
        <w:r>
          <w:rPr>
            <w:noProof w:val="1"/>
          </w:rPr>
          <w:fldChar w:fldCharType="begin"/>
        </w:r>
        <w:r>
          <w:rPr>
            <w:noProof w:val="1"/>
          </w:rPr>
          <w:instrText xml:space="preserve"> PAGEREF _Toc175726297 \h </w:instrText>
        </w:r>
        <w:r>
          <w:rPr>
            <w:noProof w:val="1"/>
          </w:rPr>
          <w:fldChar w:fldCharType="separate"/>
        </w:r>
        <w:r>
          <w:rPr>
            <w:noProof w:val="1"/>
          </w:rPr>
          <w:t>21</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298">
        <w:r>
          <w:rPr>
            <w:rStyle w:val="C2"/>
            <w:noProof w:val="1"/>
          </w:rPr>
          <w:t>4.5.2</w:t>
        </w:r>
        <w:r>
          <w:rPr>
            <w:rFonts w:asciiTheme="minorHAnsi" w:hAnsiTheme="minorHAnsi" w:eastAsiaTheme="minorEastAsia"/>
            <w:noProof w:val="1"/>
            <w:sz w:val="24"/>
            <w:szCs w:val="24"/>
            <w:kern w:val="2"/>
            <w:lang w:eastAsia="sv-SE"/>
          </w:rPr>
          <w:tab/>
        </w:r>
        <w:r>
          <w:rPr>
            <w:rStyle w:val="C2"/>
            <w:noProof w:val="1"/>
          </w:rPr>
          <w:t>Strandskydd</w:t>
        </w:r>
        <w:r>
          <w:rPr>
            <w:noProof w:val="1"/>
          </w:rPr>
          <w:tab/>
        </w:r>
        <w:r>
          <w:rPr>
            <w:noProof w:val="1"/>
          </w:rPr>
          <w:fldChar w:fldCharType="begin"/>
        </w:r>
        <w:r>
          <w:rPr>
            <w:noProof w:val="1"/>
          </w:rPr>
          <w:instrText xml:space="preserve"> PAGEREF _Toc175726298 \h </w:instrText>
        </w:r>
        <w:r>
          <w:rPr>
            <w:noProof w:val="1"/>
          </w:rPr>
          <w:fldChar w:fldCharType="separate"/>
        </w:r>
        <w:r>
          <w:rPr>
            <w:noProof w:val="1"/>
          </w:rPr>
          <w:t>26</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299">
        <w:r>
          <w:rPr>
            <w:rStyle w:val="C2"/>
            <w:noProof w:val="1"/>
            <w:lang w:val="en-US"/>
          </w:rPr>
          <w:t>4.5.3</w:t>
        </w:r>
        <w:r>
          <w:rPr>
            <w:rFonts w:asciiTheme="minorHAnsi" w:hAnsiTheme="minorHAnsi" w:eastAsiaTheme="minorEastAsia"/>
            <w:noProof w:val="1"/>
            <w:sz w:val="24"/>
            <w:szCs w:val="24"/>
            <w:kern w:val="2"/>
            <w:lang w:eastAsia="sv-SE"/>
          </w:rPr>
          <w:tab/>
        </w:r>
        <w:r>
          <w:rPr>
            <w:rStyle w:val="C2"/>
            <w:noProof w:val="1"/>
          </w:rPr>
          <w:t>Geoteknik</w:t>
        </w:r>
        <w:r>
          <w:rPr>
            <w:noProof w:val="1"/>
          </w:rPr>
          <w:tab/>
        </w:r>
        <w:r>
          <w:rPr>
            <w:noProof w:val="1"/>
          </w:rPr>
          <w:fldChar w:fldCharType="begin"/>
        </w:r>
        <w:r>
          <w:rPr>
            <w:noProof w:val="1"/>
          </w:rPr>
          <w:instrText xml:space="preserve"> PAGEREF _Toc175726299 \h </w:instrText>
        </w:r>
        <w:r>
          <w:rPr>
            <w:noProof w:val="1"/>
          </w:rPr>
          <w:fldChar w:fldCharType="separate"/>
        </w:r>
        <w:r>
          <w:rPr>
            <w:noProof w:val="1"/>
          </w:rPr>
          <w:t>26</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00">
        <w:r>
          <w:rPr>
            <w:rStyle w:val="C2"/>
            <w:noProof w:val="1"/>
            <w:lang w:val="en-US"/>
          </w:rPr>
          <w:t>4.5.4</w:t>
        </w:r>
        <w:r>
          <w:rPr>
            <w:rFonts w:asciiTheme="minorHAnsi" w:hAnsiTheme="minorHAnsi" w:eastAsiaTheme="minorEastAsia"/>
            <w:noProof w:val="1"/>
            <w:sz w:val="24"/>
            <w:szCs w:val="24"/>
            <w:kern w:val="2"/>
            <w:lang w:eastAsia="sv-SE"/>
          </w:rPr>
          <w:tab/>
        </w:r>
        <w:r>
          <w:rPr>
            <w:rStyle w:val="C2"/>
            <w:noProof w:val="1"/>
          </w:rPr>
          <w:t>Hydrologiska förhållanden</w:t>
        </w:r>
        <w:r>
          <w:rPr>
            <w:noProof w:val="1"/>
          </w:rPr>
          <w:tab/>
        </w:r>
        <w:r>
          <w:rPr>
            <w:noProof w:val="1"/>
          </w:rPr>
          <w:fldChar w:fldCharType="begin"/>
        </w:r>
        <w:r>
          <w:rPr>
            <w:noProof w:val="1"/>
          </w:rPr>
          <w:instrText xml:space="preserve"> PAGEREF _Toc175726300 \h </w:instrText>
        </w:r>
        <w:r>
          <w:rPr>
            <w:noProof w:val="1"/>
          </w:rPr>
          <w:fldChar w:fldCharType="separate"/>
        </w:r>
        <w:r>
          <w:rPr>
            <w:noProof w:val="1"/>
          </w:rPr>
          <w:t>27</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01">
        <w:r>
          <w:rPr>
            <w:rStyle w:val="C2"/>
            <w:noProof w:val="1"/>
            <w:lang w:val="en-US"/>
          </w:rPr>
          <w:t>4.5.5</w:t>
        </w:r>
        <w:r>
          <w:rPr>
            <w:rFonts w:asciiTheme="minorHAnsi" w:hAnsiTheme="minorHAnsi" w:eastAsiaTheme="minorEastAsia"/>
            <w:noProof w:val="1"/>
            <w:sz w:val="24"/>
            <w:szCs w:val="24"/>
            <w:kern w:val="2"/>
            <w:lang w:eastAsia="sv-SE"/>
          </w:rPr>
          <w:tab/>
        </w:r>
        <w:r>
          <w:rPr>
            <w:rStyle w:val="C2"/>
            <w:noProof w:val="1"/>
          </w:rPr>
          <w:t>Radon</w:t>
        </w:r>
        <w:r>
          <w:rPr>
            <w:noProof w:val="1"/>
          </w:rPr>
          <w:tab/>
        </w:r>
        <w:r>
          <w:rPr>
            <w:noProof w:val="1"/>
          </w:rPr>
          <w:fldChar w:fldCharType="begin"/>
        </w:r>
        <w:r>
          <w:rPr>
            <w:noProof w:val="1"/>
          </w:rPr>
          <w:instrText xml:space="preserve"> PAGEREF _Toc175726301 \h </w:instrText>
        </w:r>
        <w:r>
          <w:rPr>
            <w:noProof w:val="1"/>
          </w:rPr>
          <w:fldChar w:fldCharType="separate"/>
        </w:r>
        <w:r>
          <w:rPr>
            <w:noProof w:val="1"/>
          </w:rPr>
          <w:t>27</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302">
        <w:r>
          <w:rPr>
            <w:rStyle w:val="C2"/>
            <w:noProof w:val="1"/>
          </w:rPr>
          <w:t>4.6</w:t>
        </w:r>
        <w:r>
          <w:rPr>
            <w:rFonts w:asciiTheme="minorHAnsi" w:hAnsiTheme="minorHAnsi" w:eastAsiaTheme="minorEastAsia"/>
            <w:noProof w:val="1"/>
            <w:sz w:val="24"/>
            <w:szCs w:val="24"/>
            <w:kern w:val="2"/>
            <w:lang w:eastAsia="sv-SE"/>
          </w:rPr>
          <w:tab/>
        </w:r>
        <w:r>
          <w:rPr>
            <w:rStyle w:val="C2"/>
            <w:noProof w:val="1"/>
          </w:rPr>
          <w:t>Kulturmiljö</w:t>
        </w:r>
        <w:r>
          <w:rPr>
            <w:noProof w:val="1"/>
          </w:rPr>
          <w:tab/>
        </w:r>
        <w:r>
          <w:rPr>
            <w:noProof w:val="1"/>
          </w:rPr>
          <w:fldChar w:fldCharType="begin"/>
        </w:r>
        <w:r>
          <w:rPr>
            <w:noProof w:val="1"/>
          </w:rPr>
          <w:instrText xml:space="preserve"> PAGEREF _Toc175726302 \h </w:instrText>
        </w:r>
        <w:r>
          <w:rPr>
            <w:noProof w:val="1"/>
          </w:rPr>
          <w:fldChar w:fldCharType="separate"/>
        </w:r>
        <w:r>
          <w:rPr>
            <w:noProof w:val="1"/>
          </w:rPr>
          <w:t>27</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03">
        <w:r>
          <w:rPr>
            <w:rStyle w:val="C2"/>
            <w:noProof w:val="1"/>
            <w:lang w:val="en-US"/>
          </w:rPr>
          <w:t>4.6.1</w:t>
        </w:r>
        <w:r>
          <w:rPr>
            <w:rFonts w:asciiTheme="minorHAnsi" w:hAnsiTheme="minorHAnsi" w:eastAsiaTheme="minorEastAsia"/>
            <w:noProof w:val="1"/>
            <w:sz w:val="24"/>
            <w:szCs w:val="24"/>
            <w:kern w:val="2"/>
            <w:lang w:eastAsia="sv-SE"/>
          </w:rPr>
          <w:tab/>
        </w:r>
        <w:r>
          <w:rPr>
            <w:rStyle w:val="C2"/>
            <w:noProof w:val="1"/>
          </w:rPr>
          <w:t>Fornlämning</w:t>
        </w:r>
        <w:r>
          <w:rPr>
            <w:noProof w:val="1"/>
          </w:rPr>
          <w:tab/>
        </w:r>
        <w:r>
          <w:rPr>
            <w:noProof w:val="1"/>
          </w:rPr>
          <w:fldChar w:fldCharType="begin"/>
        </w:r>
        <w:r>
          <w:rPr>
            <w:noProof w:val="1"/>
          </w:rPr>
          <w:instrText xml:space="preserve"> PAGEREF _Toc175726303 \h </w:instrText>
        </w:r>
        <w:r>
          <w:rPr>
            <w:noProof w:val="1"/>
          </w:rPr>
          <w:fldChar w:fldCharType="separate"/>
        </w:r>
        <w:r>
          <w:rPr>
            <w:noProof w:val="1"/>
          </w:rPr>
          <w:t>27</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304">
        <w:r>
          <w:rPr>
            <w:rStyle w:val="C2"/>
            <w:noProof w:val="1"/>
          </w:rPr>
          <w:t>4.7</w:t>
        </w:r>
        <w:r>
          <w:rPr>
            <w:rFonts w:asciiTheme="minorHAnsi" w:hAnsiTheme="minorHAnsi" w:eastAsiaTheme="minorEastAsia"/>
            <w:noProof w:val="1"/>
            <w:sz w:val="24"/>
            <w:szCs w:val="24"/>
            <w:kern w:val="2"/>
            <w:lang w:eastAsia="sv-SE"/>
          </w:rPr>
          <w:tab/>
        </w:r>
        <w:r>
          <w:rPr>
            <w:rStyle w:val="C2"/>
            <w:noProof w:val="1"/>
          </w:rPr>
          <w:t>Fysisk miljö</w:t>
        </w:r>
        <w:r>
          <w:rPr>
            <w:noProof w:val="1"/>
          </w:rPr>
          <w:tab/>
        </w:r>
        <w:r>
          <w:rPr>
            <w:noProof w:val="1"/>
          </w:rPr>
          <w:fldChar w:fldCharType="begin"/>
        </w:r>
        <w:r>
          <w:rPr>
            <w:noProof w:val="1"/>
          </w:rPr>
          <w:instrText xml:space="preserve"> PAGEREF _Toc175726304 \h </w:instrText>
        </w:r>
        <w:r>
          <w:rPr>
            <w:noProof w:val="1"/>
          </w:rPr>
          <w:fldChar w:fldCharType="separate"/>
        </w:r>
        <w:r>
          <w:rPr>
            <w:noProof w:val="1"/>
          </w:rPr>
          <w:t>28</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05">
        <w:r>
          <w:rPr>
            <w:rStyle w:val="C2"/>
            <w:noProof w:val="1"/>
          </w:rPr>
          <w:t>4.7.1</w:t>
        </w:r>
        <w:r>
          <w:rPr>
            <w:rFonts w:asciiTheme="minorHAnsi" w:hAnsiTheme="minorHAnsi" w:eastAsiaTheme="minorEastAsia"/>
            <w:noProof w:val="1"/>
            <w:sz w:val="24"/>
            <w:szCs w:val="24"/>
            <w:kern w:val="2"/>
            <w:lang w:eastAsia="sv-SE"/>
          </w:rPr>
          <w:tab/>
        </w:r>
        <w:r>
          <w:rPr>
            <w:rStyle w:val="C2"/>
            <w:noProof w:val="1"/>
          </w:rPr>
          <w:t>Gestaltning</w:t>
        </w:r>
        <w:r>
          <w:rPr>
            <w:noProof w:val="1"/>
          </w:rPr>
          <w:tab/>
        </w:r>
        <w:r>
          <w:rPr>
            <w:noProof w:val="1"/>
          </w:rPr>
          <w:fldChar w:fldCharType="begin"/>
        </w:r>
        <w:r>
          <w:rPr>
            <w:noProof w:val="1"/>
          </w:rPr>
          <w:instrText xml:space="preserve"> PAGEREF _Toc175726305 \h </w:instrText>
        </w:r>
        <w:r>
          <w:rPr>
            <w:noProof w:val="1"/>
          </w:rPr>
          <w:fldChar w:fldCharType="separate"/>
        </w:r>
        <w:r>
          <w:rPr>
            <w:noProof w:val="1"/>
          </w:rPr>
          <w:t>28</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06">
        <w:r>
          <w:rPr>
            <w:rStyle w:val="C2"/>
            <w:noProof w:val="1"/>
            <w:lang w:val="en-US"/>
          </w:rPr>
          <w:t>4.7.2</w:t>
        </w:r>
        <w:r>
          <w:rPr>
            <w:rFonts w:asciiTheme="minorHAnsi" w:hAnsiTheme="minorHAnsi" w:eastAsiaTheme="minorEastAsia"/>
            <w:noProof w:val="1"/>
            <w:sz w:val="24"/>
            <w:szCs w:val="24"/>
            <w:kern w:val="2"/>
            <w:lang w:eastAsia="sv-SE"/>
          </w:rPr>
          <w:tab/>
        </w:r>
        <w:r>
          <w:rPr>
            <w:rStyle w:val="C2"/>
            <w:noProof w:val="1"/>
          </w:rPr>
          <w:t>Stads- och landskapsbild</w:t>
        </w:r>
        <w:r>
          <w:rPr>
            <w:noProof w:val="1"/>
          </w:rPr>
          <w:tab/>
        </w:r>
        <w:r>
          <w:rPr>
            <w:noProof w:val="1"/>
          </w:rPr>
          <w:fldChar w:fldCharType="begin"/>
        </w:r>
        <w:r>
          <w:rPr>
            <w:noProof w:val="1"/>
          </w:rPr>
          <w:instrText xml:space="preserve"> PAGEREF _Toc175726306 \h </w:instrText>
        </w:r>
        <w:r>
          <w:rPr>
            <w:noProof w:val="1"/>
          </w:rPr>
          <w:fldChar w:fldCharType="separate"/>
        </w:r>
        <w:r>
          <w:rPr>
            <w:noProof w:val="1"/>
          </w:rPr>
          <w:t>30</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307">
        <w:r>
          <w:rPr>
            <w:rStyle w:val="C2"/>
            <w:noProof w:val="1"/>
          </w:rPr>
          <w:t>4.8</w:t>
        </w:r>
        <w:r>
          <w:rPr>
            <w:rFonts w:asciiTheme="minorHAnsi" w:hAnsiTheme="minorHAnsi" w:eastAsiaTheme="minorEastAsia"/>
            <w:noProof w:val="1"/>
            <w:sz w:val="24"/>
            <w:szCs w:val="24"/>
            <w:kern w:val="2"/>
            <w:lang w:eastAsia="sv-SE"/>
          </w:rPr>
          <w:tab/>
        </w:r>
        <w:r>
          <w:rPr>
            <w:rStyle w:val="C2"/>
            <w:noProof w:val="1"/>
          </w:rPr>
          <w:t>Service</w:t>
        </w:r>
        <w:r>
          <w:rPr>
            <w:noProof w:val="1"/>
          </w:rPr>
          <w:tab/>
        </w:r>
        <w:r>
          <w:rPr>
            <w:noProof w:val="1"/>
          </w:rPr>
          <w:fldChar w:fldCharType="begin"/>
        </w:r>
        <w:r>
          <w:rPr>
            <w:noProof w:val="1"/>
          </w:rPr>
          <w:instrText xml:space="preserve"> PAGEREF _Toc175726307 \h </w:instrText>
        </w:r>
        <w:r>
          <w:rPr>
            <w:noProof w:val="1"/>
          </w:rPr>
          <w:fldChar w:fldCharType="separate"/>
        </w:r>
        <w:r>
          <w:rPr>
            <w:noProof w:val="1"/>
          </w:rPr>
          <w:t>30</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08">
        <w:r>
          <w:rPr>
            <w:rStyle w:val="C2"/>
            <w:noProof w:val="1"/>
            <w:lang w:val="en-US"/>
          </w:rPr>
          <w:t>4.8.1</w:t>
        </w:r>
        <w:r>
          <w:rPr>
            <w:rFonts w:asciiTheme="minorHAnsi" w:hAnsiTheme="minorHAnsi" w:eastAsiaTheme="minorEastAsia"/>
            <w:noProof w:val="1"/>
            <w:sz w:val="24"/>
            <w:szCs w:val="24"/>
            <w:kern w:val="2"/>
            <w:lang w:eastAsia="sv-SE"/>
          </w:rPr>
          <w:tab/>
        </w:r>
        <w:r>
          <w:rPr>
            <w:rStyle w:val="C2"/>
            <w:noProof w:val="1"/>
          </w:rPr>
          <w:t>Skola</w:t>
        </w:r>
        <w:r>
          <w:rPr>
            <w:noProof w:val="1"/>
          </w:rPr>
          <w:tab/>
        </w:r>
        <w:r>
          <w:rPr>
            <w:noProof w:val="1"/>
          </w:rPr>
          <w:fldChar w:fldCharType="begin"/>
        </w:r>
        <w:r>
          <w:rPr>
            <w:noProof w:val="1"/>
          </w:rPr>
          <w:instrText xml:space="preserve"> PAGEREF _Toc175726308 \h </w:instrText>
        </w:r>
        <w:r>
          <w:rPr>
            <w:noProof w:val="1"/>
          </w:rPr>
          <w:fldChar w:fldCharType="separate"/>
        </w:r>
        <w:r>
          <w:rPr>
            <w:noProof w:val="1"/>
          </w:rPr>
          <w:t>30</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09">
        <w:r>
          <w:rPr>
            <w:rStyle w:val="C2"/>
            <w:noProof w:val="1"/>
            <w:lang w:val="en-US"/>
          </w:rPr>
          <w:t>4.8.2</w:t>
        </w:r>
        <w:r>
          <w:rPr>
            <w:rFonts w:asciiTheme="minorHAnsi" w:hAnsiTheme="minorHAnsi" w:eastAsiaTheme="minorEastAsia"/>
            <w:noProof w:val="1"/>
            <w:sz w:val="24"/>
            <w:szCs w:val="24"/>
            <w:kern w:val="2"/>
            <w:lang w:eastAsia="sv-SE"/>
          </w:rPr>
          <w:tab/>
        </w:r>
        <w:r>
          <w:rPr>
            <w:rStyle w:val="C2"/>
            <w:noProof w:val="1"/>
          </w:rPr>
          <w:t>Vård</w:t>
        </w:r>
        <w:r>
          <w:rPr>
            <w:noProof w:val="1"/>
          </w:rPr>
          <w:tab/>
        </w:r>
        <w:r>
          <w:rPr>
            <w:noProof w:val="1"/>
          </w:rPr>
          <w:fldChar w:fldCharType="begin"/>
        </w:r>
        <w:r>
          <w:rPr>
            <w:noProof w:val="1"/>
          </w:rPr>
          <w:instrText xml:space="preserve"> PAGEREF _Toc175726309 \h </w:instrText>
        </w:r>
        <w:r>
          <w:rPr>
            <w:noProof w:val="1"/>
          </w:rPr>
          <w:fldChar w:fldCharType="separate"/>
        </w:r>
        <w:r>
          <w:rPr>
            <w:noProof w:val="1"/>
          </w:rPr>
          <w:t>30</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10">
        <w:r>
          <w:rPr>
            <w:rStyle w:val="C2"/>
            <w:noProof w:val="1"/>
            <w:lang w:val="en-US"/>
          </w:rPr>
          <w:t>4.8.3</w:t>
        </w:r>
        <w:r>
          <w:rPr>
            <w:rFonts w:asciiTheme="minorHAnsi" w:hAnsiTheme="minorHAnsi" w:eastAsiaTheme="minorEastAsia"/>
            <w:noProof w:val="1"/>
            <w:sz w:val="24"/>
            <w:szCs w:val="24"/>
            <w:kern w:val="2"/>
            <w:lang w:eastAsia="sv-SE"/>
          </w:rPr>
          <w:tab/>
        </w:r>
        <w:r>
          <w:rPr>
            <w:rStyle w:val="C2"/>
            <w:noProof w:val="1"/>
          </w:rPr>
          <w:t>Kommersiell service</w:t>
        </w:r>
        <w:r>
          <w:rPr>
            <w:noProof w:val="1"/>
          </w:rPr>
          <w:tab/>
        </w:r>
        <w:r>
          <w:rPr>
            <w:noProof w:val="1"/>
          </w:rPr>
          <w:fldChar w:fldCharType="begin"/>
        </w:r>
        <w:r>
          <w:rPr>
            <w:noProof w:val="1"/>
          </w:rPr>
          <w:instrText xml:space="preserve"> PAGEREF _Toc175726310 \h </w:instrText>
        </w:r>
        <w:r>
          <w:rPr>
            <w:noProof w:val="1"/>
          </w:rPr>
          <w:fldChar w:fldCharType="separate"/>
        </w:r>
        <w:r>
          <w:rPr>
            <w:noProof w:val="1"/>
          </w:rPr>
          <w:t>30</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311">
        <w:r>
          <w:rPr>
            <w:rStyle w:val="C2"/>
            <w:noProof w:val="1"/>
            <w:lang w:val="en-US"/>
          </w:rPr>
          <w:t>4.9</w:t>
        </w:r>
        <w:r>
          <w:rPr>
            <w:rFonts w:asciiTheme="minorHAnsi" w:hAnsiTheme="minorHAnsi" w:eastAsiaTheme="minorEastAsia"/>
            <w:noProof w:val="1"/>
            <w:sz w:val="24"/>
            <w:szCs w:val="24"/>
            <w:kern w:val="2"/>
            <w:lang w:eastAsia="sv-SE"/>
          </w:rPr>
          <w:tab/>
        </w:r>
        <w:r>
          <w:rPr>
            <w:rStyle w:val="C2"/>
            <w:noProof w:val="1"/>
          </w:rPr>
          <w:t>Trafik</w:t>
        </w:r>
        <w:r>
          <w:rPr>
            <w:noProof w:val="1"/>
          </w:rPr>
          <w:tab/>
        </w:r>
        <w:r>
          <w:rPr>
            <w:noProof w:val="1"/>
          </w:rPr>
          <w:fldChar w:fldCharType="begin"/>
        </w:r>
        <w:r>
          <w:rPr>
            <w:noProof w:val="1"/>
          </w:rPr>
          <w:instrText xml:space="preserve"> PAGEREF _Toc175726311 \h </w:instrText>
        </w:r>
        <w:r>
          <w:rPr>
            <w:noProof w:val="1"/>
          </w:rPr>
          <w:fldChar w:fldCharType="separate"/>
        </w:r>
        <w:r>
          <w:rPr>
            <w:noProof w:val="1"/>
          </w:rPr>
          <w:t>30</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12">
        <w:r>
          <w:rPr>
            <w:rStyle w:val="C2"/>
            <w:noProof w:val="1"/>
            <w:lang w:val="en-US"/>
          </w:rPr>
          <w:t>4.9.1</w:t>
        </w:r>
        <w:r>
          <w:rPr>
            <w:rFonts w:asciiTheme="minorHAnsi" w:hAnsiTheme="minorHAnsi" w:eastAsiaTheme="minorEastAsia"/>
            <w:noProof w:val="1"/>
            <w:sz w:val="24"/>
            <w:szCs w:val="24"/>
            <w:kern w:val="2"/>
            <w:lang w:eastAsia="sv-SE"/>
          </w:rPr>
          <w:tab/>
        </w:r>
        <w:r>
          <w:rPr>
            <w:rStyle w:val="C2"/>
            <w:noProof w:val="1"/>
          </w:rPr>
          <w:t>Motortrafik</w:t>
        </w:r>
        <w:r>
          <w:rPr>
            <w:noProof w:val="1"/>
          </w:rPr>
          <w:tab/>
        </w:r>
        <w:r>
          <w:rPr>
            <w:noProof w:val="1"/>
          </w:rPr>
          <w:fldChar w:fldCharType="begin"/>
        </w:r>
        <w:r>
          <w:rPr>
            <w:noProof w:val="1"/>
          </w:rPr>
          <w:instrText xml:space="preserve"> PAGEREF _Toc175726312 \h </w:instrText>
        </w:r>
        <w:r>
          <w:rPr>
            <w:noProof w:val="1"/>
          </w:rPr>
          <w:fldChar w:fldCharType="separate"/>
        </w:r>
        <w:r>
          <w:rPr>
            <w:noProof w:val="1"/>
          </w:rPr>
          <w:t>30</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13">
        <w:r>
          <w:rPr>
            <w:rStyle w:val="C2"/>
            <w:noProof w:val="1"/>
            <w:lang w:val="en-US"/>
          </w:rPr>
          <w:t>4.9.2</w:t>
        </w:r>
        <w:r>
          <w:rPr>
            <w:rFonts w:asciiTheme="minorHAnsi" w:hAnsiTheme="minorHAnsi" w:eastAsiaTheme="minorEastAsia"/>
            <w:noProof w:val="1"/>
            <w:sz w:val="24"/>
            <w:szCs w:val="24"/>
            <w:kern w:val="2"/>
            <w:lang w:eastAsia="sv-SE"/>
          </w:rPr>
          <w:tab/>
        </w:r>
        <w:r>
          <w:rPr>
            <w:rStyle w:val="C2"/>
            <w:noProof w:val="1"/>
          </w:rPr>
          <w:t>Gång- och cykeltrafik</w:t>
        </w:r>
        <w:r>
          <w:rPr>
            <w:noProof w:val="1"/>
          </w:rPr>
          <w:tab/>
        </w:r>
        <w:r>
          <w:rPr>
            <w:noProof w:val="1"/>
          </w:rPr>
          <w:fldChar w:fldCharType="begin"/>
        </w:r>
        <w:r>
          <w:rPr>
            <w:noProof w:val="1"/>
          </w:rPr>
          <w:instrText xml:space="preserve"> PAGEREF _Toc175726313 \h </w:instrText>
        </w:r>
        <w:r>
          <w:rPr>
            <w:noProof w:val="1"/>
          </w:rPr>
          <w:fldChar w:fldCharType="separate"/>
        </w:r>
        <w:r>
          <w:rPr>
            <w:noProof w:val="1"/>
          </w:rPr>
          <w:t>31</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14">
        <w:r>
          <w:rPr>
            <w:rStyle w:val="C2"/>
            <w:noProof w:val="1"/>
            <w:lang w:val="en-US"/>
          </w:rPr>
          <w:t>4.9.3</w:t>
        </w:r>
        <w:r>
          <w:rPr>
            <w:rFonts w:asciiTheme="minorHAnsi" w:hAnsiTheme="minorHAnsi" w:eastAsiaTheme="minorEastAsia"/>
            <w:noProof w:val="1"/>
            <w:sz w:val="24"/>
            <w:szCs w:val="24"/>
            <w:kern w:val="2"/>
            <w:lang w:eastAsia="sv-SE"/>
          </w:rPr>
          <w:tab/>
        </w:r>
        <w:r>
          <w:rPr>
            <w:rStyle w:val="C2"/>
            <w:noProof w:val="1"/>
          </w:rPr>
          <w:t>Kollektivtrafik</w:t>
        </w:r>
        <w:r>
          <w:rPr>
            <w:noProof w:val="1"/>
          </w:rPr>
          <w:tab/>
        </w:r>
        <w:r>
          <w:rPr>
            <w:noProof w:val="1"/>
          </w:rPr>
          <w:fldChar w:fldCharType="begin"/>
        </w:r>
        <w:r>
          <w:rPr>
            <w:noProof w:val="1"/>
          </w:rPr>
          <w:instrText xml:space="preserve"> PAGEREF _Toc175726314 \h </w:instrText>
        </w:r>
        <w:r>
          <w:rPr>
            <w:noProof w:val="1"/>
          </w:rPr>
          <w:fldChar w:fldCharType="separate"/>
        </w:r>
        <w:r>
          <w:rPr>
            <w:noProof w:val="1"/>
          </w:rPr>
          <w:t>31</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15">
        <w:r>
          <w:rPr>
            <w:rStyle w:val="C2"/>
            <w:noProof w:val="1"/>
            <w:lang w:val="en-US"/>
          </w:rPr>
          <w:t>4.9.4</w:t>
        </w:r>
        <w:r>
          <w:rPr>
            <w:rFonts w:asciiTheme="minorHAnsi" w:hAnsiTheme="minorHAnsi" w:eastAsiaTheme="minorEastAsia"/>
            <w:noProof w:val="1"/>
            <w:sz w:val="24"/>
            <w:szCs w:val="24"/>
            <w:kern w:val="2"/>
            <w:lang w:eastAsia="sv-SE"/>
          </w:rPr>
          <w:tab/>
        </w:r>
        <w:r>
          <w:rPr>
            <w:rStyle w:val="C2"/>
            <w:noProof w:val="1"/>
          </w:rPr>
          <w:t>Parkering</w:t>
        </w:r>
        <w:r>
          <w:rPr>
            <w:noProof w:val="1"/>
          </w:rPr>
          <w:tab/>
        </w:r>
        <w:r>
          <w:rPr>
            <w:noProof w:val="1"/>
          </w:rPr>
          <w:fldChar w:fldCharType="begin"/>
        </w:r>
        <w:r>
          <w:rPr>
            <w:noProof w:val="1"/>
          </w:rPr>
          <w:instrText xml:space="preserve"> PAGEREF _Toc175726315 \h </w:instrText>
        </w:r>
        <w:r>
          <w:rPr>
            <w:noProof w:val="1"/>
          </w:rPr>
          <w:fldChar w:fldCharType="separate"/>
        </w:r>
        <w:r>
          <w:rPr>
            <w:noProof w:val="1"/>
          </w:rPr>
          <w:t>31</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16">
        <w:r>
          <w:rPr>
            <w:rStyle w:val="C2"/>
            <w:noProof w:val="1"/>
            <w:lang w:val="en-US"/>
          </w:rPr>
          <w:t>4.9.5</w:t>
        </w:r>
        <w:r>
          <w:rPr>
            <w:rFonts w:asciiTheme="minorHAnsi" w:hAnsiTheme="minorHAnsi" w:eastAsiaTheme="minorEastAsia"/>
            <w:noProof w:val="1"/>
            <w:sz w:val="24"/>
            <w:szCs w:val="24"/>
            <w:kern w:val="2"/>
            <w:lang w:eastAsia="sv-SE"/>
          </w:rPr>
          <w:tab/>
        </w:r>
        <w:r>
          <w:rPr>
            <w:rStyle w:val="C2"/>
            <w:noProof w:val="1"/>
          </w:rPr>
          <w:t>Utfarter</w:t>
        </w:r>
        <w:r>
          <w:rPr>
            <w:noProof w:val="1"/>
          </w:rPr>
          <w:tab/>
        </w:r>
        <w:r>
          <w:rPr>
            <w:noProof w:val="1"/>
          </w:rPr>
          <w:fldChar w:fldCharType="begin"/>
        </w:r>
        <w:r>
          <w:rPr>
            <w:noProof w:val="1"/>
          </w:rPr>
          <w:instrText xml:space="preserve"> PAGEREF _Toc175726316 \h </w:instrText>
        </w:r>
        <w:r>
          <w:rPr>
            <w:noProof w:val="1"/>
          </w:rPr>
          <w:fldChar w:fldCharType="separate"/>
        </w:r>
        <w:r>
          <w:rPr>
            <w:noProof w:val="1"/>
          </w:rPr>
          <w:t>31</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317">
        <w:r>
          <w:rPr>
            <w:rStyle w:val="C2"/>
            <w:noProof w:val="1"/>
            <w:lang w:val="en-US"/>
          </w:rPr>
          <w:t>4.10</w:t>
        </w:r>
        <w:r>
          <w:rPr>
            <w:rFonts w:asciiTheme="minorHAnsi" w:hAnsiTheme="minorHAnsi" w:eastAsiaTheme="minorEastAsia"/>
            <w:noProof w:val="1"/>
            <w:sz w:val="24"/>
            <w:szCs w:val="24"/>
            <w:kern w:val="2"/>
            <w:lang w:eastAsia="sv-SE"/>
          </w:rPr>
          <w:tab/>
        </w:r>
        <w:r>
          <w:rPr>
            <w:rStyle w:val="C2"/>
            <w:noProof w:val="1"/>
          </w:rPr>
          <w:t>Teknisk försörjning</w:t>
        </w:r>
        <w:r>
          <w:rPr>
            <w:noProof w:val="1"/>
          </w:rPr>
          <w:tab/>
        </w:r>
        <w:r>
          <w:rPr>
            <w:noProof w:val="1"/>
          </w:rPr>
          <w:fldChar w:fldCharType="begin"/>
        </w:r>
        <w:r>
          <w:rPr>
            <w:noProof w:val="1"/>
          </w:rPr>
          <w:instrText xml:space="preserve"> PAGEREF _Toc175726317 \h </w:instrText>
        </w:r>
        <w:r>
          <w:rPr>
            <w:noProof w:val="1"/>
          </w:rPr>
          <w:fldChar w:fldCharType="separate"/>
        </w:r>
        <w:r>
          <w:rPr>
            <w:noProof w:val="1"/>
          </w:rPr>
          <w:t>31</w:t>
        </w:r>
        <w:r>
          <w:rPr>
            <w:noProof w:val="1"/>
          </w:rPr>
          <w:fldChar w:fldCharType="end"/>
        </w:r>
      </w:hyperlink>
    </w:p>
    <w:p>
      <w:pPr>
        <w:pStyle w:val="P55"/>
        <w:tabs>
          <w:tab w:val="left" w:pos="1500" w:leader="none"/>
          <w:tab w:val="right" w:pos="7926" w:leader="dot"/>
        </w:tabs>
        <w:rPr>
          <w:rFonts w:asciiTheme="minorHAnsi" w:hAnsiTheme="minorHAnsi" w:eastAsiaTheme="minorEastAsia"/>
          <w:noProof w:val="1"/>
          <w:sz w:val="24"/>
          <w:szCs w:val="24"/>
          <w:kern w:val="2"/>
          <w:lang w:eastAsia="sv-SE"/>
        </w:rPr>
      </w:pPr>
      <w:hyperlink w:anchor="_Toc175726318">
        <w:r>
          <w:rPr>
            <w:rStyle w:val="C2"/>
            <w:noProof w:val="1"/>
            <w:lang w:val="en-US"/>
          </w:rPr>
          <w:t>4.10.1</w:t>
        </w:r>
        <w:r>
          <w:rPr>
            <w:rFonts w:asciiTheme="minorHAnsi" w:hAnsiTheme="minorHAnsi" w:eastAsiaTheme="minorEastAsia"/>
            <w:noProof w:val="1"/>
            <w:sz w:val="24"/>
            <w:szCs w:val="24"/>
            <w:kern w:val="2"/>
            <w:lang w:eastAsia="sv-SE"/>
          </w:rPr>
          <w:tab/>
        </w:r>
        <w:r>
          <w:rPr>
            <w:rStyle w:val="C2"/>
            <w:noProof w:val="1"/>
          </w:rPr>
          <w:t>Vatten och spillvatten</w:t>
        </w:r>
        <w:r>
          <w:rPr>
            <w:noProof w:val="1"/>
          </w:rPr>
          <w:tab/>
        </w:r>
        <w:r>
          <w:rPr>
            <w:noProof w:val="1"/>
          </w:rPr>
          <w:fldChar w:fldCharType="begin"/>
        </w:r>
        <w:r>
          <w:rPr>
            <w:noProof w:val="1"/>
          </w:rPr>
          <w:instrText xml:space="preserve"> PAGEREF _Toc175726318 \h </w:instrText>
        </w:r>
        <w:r>
          <w:rPr>
            <w:noProof w:val="1"/>
          </w:rPr>
          <w:fldChar w:fldCharType="separate"/>
        </w:r>
        <w:r>
          <w:rPr>
            <w:noProof w:val="1"/>
          </w:rPr>
          <w:t>31</w:t>
        </w:r>
        <w:r>
          <w:rPr>
            <w:noProof w:val="1"/>
          </w:rPr>
          <w:fldChar w:fldCharType="end"/>
        </w:r>
      </w:hyperlink>
    </w:p>
    <w:p>
      <w:pPr>
        <w:pStyle w:val="P55"/>
        <w:tabs>
          <w:tab w:val="left" w:pos="1500" w:leader="none"/>
          <w:tab w:val="right" w:pos="7926" w:leader="dot"/>
        </w:tabs>
        <w:rPr>
          <w:rFonts w:asciiTheme="minorHAnsi" w:hAnsiTheme="minorHAnsi" w:eastAsiaTheme="minorEastAsia"/>
          <w:noProof w:val="1"/>
          <w:sz w:val="24"/>
          <w:szCs w:val="24"/>
          <w:kern w:val="2"/>
          <w:lang w:eastAsia="sv-SE"/>
        </w:rPr>
      </w:pPr>
      <w:hyperlink w:anchor="_Toc175726319">
        <w:r>
          <w:rPr>
            <w:rStyle w:val="C2"/>
            <w:noProof w:val="1"/>
            <w:lang w:val="en-US"/>
          </w:rPr>
          <w:t>4.10.2</w:t>
        </w:r>
        <w:r>
          <w:rPr>
            <w:rFonts w:asciiTheme="minorHAnsi" w:hAnsiTheme="minorHAnsi" w:eastAsiaTheme="minorEastAsia"/>
            <w:noProof w:val="1"/>
            <w:sz w:val="24"/>
            <w:szCs w:val="24"/>
            <w:kern w:val="2"/>
            <w:lang w:eastAsia="sv-SE"/>
          </w:rPr>
          <w:tab/>
        </w:r>
        <w:r>
          <w:rPr>
            <w:rStyle w:val="C2"/>
            <w:noProof w:val="1"/>
          </w:rPr>
          <w:t>Dagvatten</w:t>
        </w:r>
        <w:r>
          <w:rPr>
            <w:noProof w:val="1"/>
          </w:rPr>
          <w:tab/>
        </w:r>
        <w:r>
          <w:rPr>
            <w:noProof w:val="1"/>
          </w:rPr>
          <w:fldChar w:fldCharType="begin"/>
        </w:r>
        <w:r>
          <w:rPr>
            <w:noProof w:val="1"/>
          </w:rPr>
          <w:instrText xml:space="preserve"> PAGEREF _Toc175726319 \h </w:instrText>
        </w:r>
        <w:r>
          <w:rPr>
            <w:noProof w:val="1"/>
          </w:rPr>
          <w:fldChar w:fldCharType="separate"/>
        </w:r>
        <w:r>
          <w:rPr>
            <w:noProof w:val="1"/>
          </w:rPr>
          <w:t>31</w:t>
        </w:r>
        <w:r>
          <w:rPr>
            <w:noProof w:val="1"/>
          </w:rPr>
          <w:fldChar w:fldCharType="end"/>
        </w:r>
      </w:hyperlink>
    </w:p>
    <w:p>
      <w:pPr>
        <w:pStyle w:val="P55"/>
        <w:tabs>
          <w:tab w:val="left" w:pos="1500" w:leader="none"/>
          <w:tab w:val="right" w:pos="7926" w:leader="dot"/>
        </w:tabs>
        <w:rPr>
          <w:rFonts w:asciiTheme="minorHAnsi" w:hAnsiTheme="minorHAnsi" w:eastAsiaTheme="minorEastAsia"/>
          <w:noProof w:val="1"/>
          <w:sz w:val="24"/>
          <w:szCs w:val="24"/>
          <w:kern w:val="2"/>
          <w:lang w:eastAsia="sv-SE"/>
        </w:rPr>
      </w:pPr>
      <w:hyperlink w:anchor="_Toc175726320">
        <w:r>
          <w:rPr>
            <w:rStyle w:val="C2"/>
            <w:noProof w:val="1"/>
            <w:lang w:val="en-US"/>
          </w:rPr>
          <w:t>4.10.3</w:t>
        </w:r>
        <w:r>
          <w:rPr>
            <w:rFonts w:asciiTheme="minorHAnsi" w:hAnsiTheme="minorHAnsi" w:eastAsiaTheme="minorEastAsia"/>
            <w:noProof w:val="1"/>
            <w:sz w:val="24"/>
            <w:szCs w:val="24"/>
            <w:kern w:val="2"/>
            <w:lang w:eastAsia="sv-SE"/>
          </w:rPr>
          <w:tab/>
        </w:r>
        <w:r>
          <w:rPr>
            <w:rStyle w:val="C2"/>
            <w:noProof w:val="1"/>
          </w:rPr>
          <w:t>Fjärrvärme</w:t>
        </w:r>
        <w:r>
          <w:rPr>
            <w:noProof w:val="1"/>
          </w:rPr>
          <w:tab/>
        </w:r>
        <w:r>
          <w:rPr>
            <w:noProof w:val="1"/>
          </w:rPr>
          <w:fldChar w:fldCharType="begin"/>
        </w:r>
        <w:r>
          <w:rPr>
            <w:noProof w:val="1"/>
          </w:rPr>
          <w:instrText xml:space="preserve"> PAGEREF _Toc175726320 \h </w:instrText>
        </w:r>
        <w:r>
          <w:rPr>
            <w:noProof w:val="1"/>
          </w:rPr>
          <w:fldChar w:fldCharType="separate"/>
        </w:r>
        <w:r>
          <w:rPr>
            <w:noProof w:val="1"/>
          </w:rPr>
          <w:t>35</w:t>
        </w:r>
        <w:r>
          <w:rPr>
            <w:noProof w:val="1"/>
          </w:rPr>
          <w:fldChar w:fldCharType="end"/>
        </w:r>
      </w:hyperlink>
    </w:p>
    <w:p>
      <w:pPr>
        <w:pStyle w:val="P55"/>
        <w:tabs>
          <w:tab w:val="left" w:pos="1500" w:leader="none"/>
          <w:tab w:val="right" w:pos="7926" w:leader="dot"/>
        </w:tabs>
        <w:rPr>
          <w:rFonts w:asciiTheme="minorHAnsi" w:hAnsiTheme="minorHAnsi" w:eastAsiaTheme="minorEastAsia"/>
          <w:noProof w:val="1"/>
          <w:sz w:val="24"/>
          <w:szCs w:val="24"/>
          <w:kern w:val="2"/>
          <w:lang w:eastAsia="sv-SE"/>
        </w:rPr>
      </w:pPr>
      <w:hyperlink w:anchor="_Toc175726321">
        <w:r>
          <w:rPr>
            <w:rStyle w:val="C2"/>
            <w:noProof w:val="1"/>
            <w:lang w:val="en-US"/>
          </w:rPr>
          <w:t>4.10.4</w:t>
        </w:r>
        <w:r>
          <w:rPr>
            <w:rFonts w:asciiTheme="minorHAnsi" w:hAnsiTheme="minorHAnsi" w:eastAsiaTheme="minorEastAsia"/>
            <w:noProof w:val="1"/>
            <w:sz w:val="24"/>
            <w:szCs w:val="24"/>
            <w:kern w:val="2"/>
            <w:lang w:eastAsia="sv-SE"/>
          </w:rPr>
          <w:tab/>
        </w:r>
        <w:r>
          <w:rPr>
            <w:rStyle w:val="C2"/>
            <w:noProof w:val="1"/>
          </w:rPr>
          <w:t>El</w:t>
        </w:r>
        <w:r>
          <w:rPr>
            <w:noProof w:val="1"/>
          </w:rPr>
          <w:tab/>
        </w:r>
        <w:r>
          <w:rPr>
            <w:noProof w:val="1"/>
          </w:rPr>
          <w:fldChar w:fldCharType="begin"/>
        </w:r>
        <w:r>
          <w:rPr>
            <w:noProof w:val="1"/>
          </w:rPr>
          <w:instrText xml:space="preserve"> PAGEREF _Toc175726321 \h </w:instrText>
        </w:r>
        <w:r>
          <w:rPr>
            <w:noProof w:val="1"/>
          </w:rPr>
          <w:fldChar w:fldCharType="separate"/>
        </w:r>
        <w:r>
          <w:rPr>
            <w:noProof w:val="1"/>
          </w:rPr>
          <w:t>35</w:t>
        </w:r>
        <w:r>
          <w:rPr>
            <w:noProof w:val="1"/>
          </w:rPr>
          <w:fldChar w:fldCharType="end"/>
        </w:r>
      </w:hyperlink>
    </w:p>
    <w:p>
      <w:pPr>
        <w:pStyle w:val="P55"/>
        <w:tabs>
          <w:tab w:val="left" w:pos="1500" w:leader="none"/>
          <w:tab w:val="right" w:pos="7926" w:leader="dot"/>
        </w:tabs>
        <w:rPr>
          <w:rFonts w:asciiTheme="minorHAnsi" w:hAnsiTheme="minorHAnsi" w:eastAsiaTheme="minorEastAsia"/>
          <w:noProof w:val="1"/>
          <w:sz w:val="24"/>
          <w:szCs w:val="24"/>
          <w:kern w:val="2"/>
          <w:lang w:eastAsia="sv-SE"/>
        </w:rPr>
      </w:pPr>
      <w:hyperlink w:anchor="_Toc175726322">
        <w:r>
          <w:rPr>
            <w:rStyle w:val="C2"/>
            <w:noProof w:val="1"/>
            <w:lang w:val="en-US"/>
          </w:rPr>
          <w:t>4.10.5</w:t>
        </w:r>
        <w:r>
          <w:rPr>
            <w:rFonts w:asciiTheme="minorHAnsi" w:hAnsiTheme="minorHAnsi" w:eastAsiaTheme="minorEastAsia"/>
            <w:noProof w:val="1"/>
            <w:sz w:val="24"/>
            <w:szCs w:val="24"/>
            <w:kern w:val="2"/>
            <w:lang w:eastAsia="sv-SE"/>
          </w:rPr>
          <w:tab/>
        </w:r>
        <w:r>
          <w:rPr>
            <w:rStyle w:val="C2"/>
            <w:noProof w:val="1"/>
          </w:rPr>
          <w:t>Fiber och tele</w:t>
        </w:r>
        <w:r>
          <w:rPr>
            <w:noProof w:val="1"/>
          </w:rPr>
          <w:tab/>
        </w:r>
        <w:r>
          <w:rPr>
            <w:noProof w:val="1"/>
          </w:rPr>
          <w:fldChar w:fldCharType="begin"/>
        </w:r>
        <w:r>
          <w:rPr>
            <w:noProof w:val="1"/>
          </w:rPr>
          <w:instrText xml:space="preserve"> PAGEREF _Toc175726322 \h </w:instrText>
        </w:r>
        <w:r>
          <w:rPr>
            <w:noProof w:val="1"/>
          </w:rPr>
          <w:fldChar w:fldCharType="separate"/>
        </w:r>
        <w:r>
          <w:rPr>
            <w:noProof w:val="1"/>
          </w:rPr>
          <w:t>35</w:t>
        </w:r>
        <w:r>
          <w:rPr>
            <w:noProof w:val="1"/>
          </w:rPr>
          <w:fldChar w:fldCharType="end"/>
        </w:r>
      </w:hyperlink>
    </w:p>
    <w:p>
      <w:pPr>
        <w:pStyle w:val="P55"/>
        <w:tabs>
          <w:tab w:val="left" w:pos="1500" w:leader="none"/>
          <w:tab w:val="right" w:pos="7926" w:leader="dot"/>
        </w:tabs>
        <w:rPr>
          <w:rFonts w:asciiTheme="minorHAnsi" w:hAnsiTheme="minorHAnsi" w:eastAsiaTheme="minorEastAsia"/>
          <w:noProof w:val="1"/>
          <w:sz w:val="24"/>
          <w:szCs w:val="24"/>
          <w:kern w:val="2"/>
          <w:lang w:eastAsia="sv-SE"/>
        </w:rPr>
      </w:pPr>
      <w:hyperlink w:anchor="_Toc175726323">
        <w:r>
          <w:rPr>
            <w:rStyle w:val="C2"/>
            <w:noProof w:val="1"/>
            <w:lang w:val="en-US"/>
          </w:rPr>
          <w:t>4.10.6</w:t>
        </w:r>
        <w:r>
          <w:rPr>
            <w:rFonts w:asciiTheme="minorHAnsi" w:hAnsiTheme="minorHAnsi" w:eastAsiaTheme="minorEastAsia"/>
            <w:noProof w:val="1"/>
            <w:sz w:val="24"/>
            <w:szCs w:val="24"/>
            <w:kern w:val="2"/>
            <w:lang w:eastAsia="sv-SE"/>
          </w:rPr>
          <w:tab/>
        </w:r>
        <w:r>
          <w:rPr>
            <w:rStyle w:val="C2"/>
            <w:noProof w:val="1"/>
          </w:rPr>
          <w:t>Avfall</w:t>
        </w:r>
        <w:r>
          <w:rPr>
            <w:noProof w:val="1"/>
          </w:rPr>
          <w:tab/>
        </w:r>
        <w:r>
          <w:rPr>
            <w:noProof w:val="1"/>
          </w:rPr>
          <w:fldChar w:fldCharType="begin"/>
        </w:r>
        <w:r>
          <w:rPr>
            <w:noProof w:val="1"/>
          </w:rPr>
          <w:instrText xml:space="preserve"> PAGEREF _Toc175726323 \h </w:instrText>
        </w:r>
        <w:r>
          <w:rPr>
            <w:noProof w:val="1"/>
          </w:rPr>
          <w:fldChar w:fldCharType="separate"/>
        </w:r>
        <w:r>
          <w:rPr>
            <w:noProof w:val="1"/>
          </w:rPr>
          <w:t>35</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324">
        <w:r>
          <w:rPr>
            <w:rStyle w:val="C2"/>
            <w:noProof w:val="1"/>
            <w:lang w:val="en-US"/>
          </w:rPr>
          <w:t>4.11</w:t>
        </w:r>
        <w:r>
          <w:rPr>
            <w:rFonts w:asciiTheme="minorHAnsi" w:hAnsiTheme="minorHAnsi" w:eastAsiaTheme="minorEastAsia"/>
            <w:noProof w:val="1"/>
            <w:sz w:val="24"/>
            <w:szCs w:val="24"/>
            <w:kern w:val="2"/>
            <w:lang w:eastAsia="sv-SE"/>
          </w:rPr>
          <w:tab/>
        </w:r>
        <w:r>
          <w:rPr>
            <w:rStyle w:val="C2"/>
            <w:noProof w:val="1"/>
          </w:rPr>
          <w:t>Sociala förutsättningar</w:t>
        </w:r>
        <w:r>
          <w:rPr>
            <w:noProof w:val="1"/>
          </w:rPr>
          <w:tab/>
        </w:r>
        <w:r>
          <w:rPr>
            <w:noProof w:val="1"/>
          </w:rPr>
          <w:fldChar w:fldCharType="begin"/>
        </w:r>
        <w:r>
          <w:rPr>
            <w:noProof w:val="1"/>
          </w:rPr>
          <w:instrText xml:space="preserve"> PAGEREF _Toc175726324 \h </w:instrText>
        </w:r>
        <w:r>
          <w:rPr>
            <w:noProof w:val="1"/>
          </w:rPr>
          <w:fldChar w:fldCharType="separate"/>
        </w:r>
        <w:r>
          <w:rPr>
            <w:noProof w:val="1"/>
          </w:rPr>
          <w:t>37</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25">
        <w:r>
          <w:rPr>
            <w:rStyle w:val="C2"/>
            <w:noProof w:val="1"/>
            <w:lang w:val="en-US"/>
          </w:rPr>
          <w:t>4.11.1</w:t>
        </w:r>
        <w:r>
          <w:rPr>
            <w:rFonts w:asciiTheme="minorHAnsi" w:hAnsiTheme="minorHAnsi" w:eastAsiaTheme="minorEastAsia"/>
            <w:noProof w:val="1"/>
            <w:sz w:val="24"/>
            <w:szCs w:val="24"/>
            <w:kern w:val="2"/>
            <w:lang w:eastAsia="sv-SE"/>
          </w:rPr>
          <w:tab/>
        </w:r>
        <w:r>
          <w:rPr>
            <w:rStyle w:val="C2"/>
            <w:noProof w:val="1"/>
          </w:rPr>
          <w:t>Barnperspektiv</w:t>
        </w:r>
        <w:r>
          <w:rPr>
            <w:noProof w:val="1"/>
          </w:rPr>
          <w:tab/>
        </w:r>
        <w:r>
          <w:rPr>
            <w:noProof w:val="1"/>
          </w:rPr>
          <w:fldChar w:fldCharType="begin"/>
        </w:r>
        <w:r>
          <w:rPr>
            <w:noProof w:val="1"/>
          </w:rPr>
          <w:instrText xml:space="preserve"> PAGEREF _Toc175726325 \h </w:instrText>
        </w:r>
        <w:r>
          <w:rPr>
            <w:noProof w:val="1"/>
          </w:rPr>
          <w:fldChar w:fldCharType="separate"/>
        </w:r>
        <w:r>
          <w:rPr>
            <w:noProof w:val="1"/>
          </w:rPr>
          <w:t>37</w:t>
        </w:r>
        <w:r>
          <w:rPr>
            <w:noProof w:val="1"/>
          </w:rPr>
          <w:fldChar w:fldCharType="end"/>
        </w:r>
      </w:hyperlink>
    </w:p>
    <w:p>
      <w:pPr>
        <w:pStyle w:val="P53"/>
        <w:tabs>
          <w:tab w:val="left" w:pos="500" w:leader="none"/>
          <w:tab w:val="right" w:pos="7926" w:leader="dot"/>
        </w:tabs>
        <w:rPr>
          <w:rFonts w:asciiTheme="minorHAnsi" w:hAnsiTheme="minorHAnsi" w:eastAsiaTheme="minorEastAsia"/>
          <w:noProof w:val="1"/>
          <w:sz w:val="24"/>
          <w:szCs w:val="24"/>
          <w:kern w:val="2"/>
          <w:lang w:eastAsia="sv-SE"/>
        </w:rPr>
      </w:pPr>
      <w:hyperlink w:anchor="_Toc175726326">
        <w:r>
          <w:rPr>
            <w:rStyle w:val="C2"/>
            <w:noProof w:val="1"/>
          </w:rPr>
          <w:t>5</w:t>
        </w:r>
        <w:r>
          <w:rPr>
            <w:rFonts w:asciiTheme="minorHAnsi" w:hAnsiTheme="minorHAnsi" w:eastAsiaTheme="minorEastAsia"/>
            <w:noProof w:val="1"/>
            <w:sz w:val="24"/>
            <w:szCs w:val="24"/>
            <w:kern w:val="2"/>
            <w:lang w:eastAsia="sv-SE"/>
          </w:rPr>
          <w:tab/>
        </w:r>
        <w:r>
          <w:rPr>
            <w:rStyle w:val="C2"/>
            <w:noProof w:val="1"/>
          </w:rPr>
          <w:t>Konsekvenser</w:t>
        </w:r>
        <w:r>
          <w:rPr>
            <w:noProof w:val="1"/>
          </w:rPr>
          <w:tab/>
        </w:r>
        <w:r>
          <w:rPr>
            <w:noProof w:val="1"/>
          </w:rPr>
          <w:fldChar w:fldCharType="begin"/>
        </w:r>
        <w:r>
          <w:rPr>
            <w:noProof w:val="1"/>
          </w:rPr>
          <w:instrText xml:space="preserve"> PAGEREF _Toc175726326 \h </w:instrText>
        </w:r>
        <w:r>
          <w:rPr>
            <w:noProof w:val="1"/>
          </w:rPr>
          <w:fldChar w:fldCharType="separate"/>
        </w:r>
        <w:r>
          <w:rPr>
            <w:noProof w:val="1"/>
          </w:rPr>
          <w:t>38</w:t>
        </w:r>
        <w:r>
          <w:rPr>
            <w:noProof w:val="1"/>
          </w:rPr>
          <w:fldChar w:fldCharType="end"/>
        </w:r>
      </w:hyperlink>
    </w:p>
    <w:p>
      <w:pPr>
        <w:pStyle w:val="P54"/>
        <w:tabs>
          <w:tab w:val="left" w:pos="750" w:leader="none"/>
          <w:tab w:val="right" w:pos="7926" w:leader="dot"/>
        </w:tabs>
        <w:rPr>
          <w:rFonts w:asciiTheme="minorHAnsi" w:hAnsiTheme="minorHAnsi" w:eastAsiaTheme="minorEastAsia"/>
          <w:noProof w:val="1"/>
          <w:sz w:val="24"/>
          <w:szCs w:val="24"/>
          <w:kern w:val="2"/>
          <w:lang w:eastAsia="sv-SE"/>
        </w:rPr>
      </w:pPr>
      <w:hyperlink w:anchor="_Toc175726327">
        <w:r>
          <w:rPr>
            <w:rStyle w:val="C2"/>
            <w:noProof w:val="1"/>
          </w:rPr>
          <w:t>5.1</w:t>
        </w:r>
        <w:r>
          <w:rPr>
            <w:rFonts w:asciiTheme="minorHAnsi" w:hAnsiTheme="minorHAnsi" w:eastAsiaTheme="minorEastAsia"/>
            <w:noProof w:val="1"/>
            <w:sz w:val="24"/>
            <w:szCs w:val="24"/>
            <w:kern w:val="2"/>
            <w:lang w:eastAsia="sv-SE"/>
          </w:rPr>
          <w:tab/>
        </w:r>
        <w:r>
          <w:rPr>
            <w:rStyle w:val="C2"/>
            <w:noProof w:val="1"/>
          </w:rPr>
          <w:t>Kommunala planeringsunderlag</w:t>
        </w:r>
        <w:r>
          <w:rPr>
            <w:noProof w:val="1"/>
          </w:rPr>
          <w:tab/>
        </w:r>
        <w:r>
          <w:rPr>
            <w:noProof w:val="1"/>
          </w:rPr>
          <w:fldChar w:fldCharType="begin"/>
        </w:r>
        <w:r>
          <w:rPr>
            <w:noProof w:val="1"/>
          </w:rPr>
          <w:instrText xml:space="preserve"> PAGEREF _Toc175726327 \h </w:instrText>
        </w:r>
        <w:r>
          <w:rPr>
            <w:noProof w:val="1"/>
          </w:rPr>
          <w:fldChar w:fldCharType="separate"/>
        </w:r>
        <w:r>
          <w:rPr>
            <w:noProof w:val="1"/>
          </w:rPr>
          <w:t>38</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28">
        <w:r>
          <w:rPr>
            <w:rStyle w:val="C2"/>
            <w:noProof w:val="1"/>
          </w:rPr>
          <w:t>5.1.1</w:t>
        </w:r>
        <w:r>
          <w:rPr>
            <w:rFonts w:asciiTheme="minorHAnsi" w:hAnsiTheme="minorHAnsi" w:eastAsiaTheme="minorEastAsia"/>
            <w:noProof w:val="1"/>
            <w:sz w:val="24"/>
            <w:szCs w:val="24"/>
            <w:kern w:val="2"/>
            <w:lang w:eastAsia="sv-SE"/>
          </w:rPr>
          <w:tab/>
        </w:r>
        <w:r>
          <w:rPr>
            <w:rStyle w:val="C2"/>
            <w:noProof w:val="1"/>
          </w:rPr>
          <w:t>Ställningstagande om betydande miljöpåverkan</w:t>
        </w:r>
        <w:r>
          <w:rPr>
            <w:noProof w:val="1"/>
          </w:rPr>
          <w:tab/>
        </w:r>
        <w:r>
          <w:rPr>
            <w:noProof w:val="1"/>
          </w:rPr>
          <w:fldChar w:fldCharType="begin"/>
        </w:r>
        <w:r>
          <w:rPr>
            <w:noProof w:val="1"/>
          </w:rPr>
          <w:instrText xml:space="preserve"> PAGEREF _Toc175726328 \h </w:instrText>
        </w:r>
        <w:r>
          <w:rPr>
            <w:noProof w:val="1"/>
          </w:rPr>
          <w:fldChar w:fldCharType="separate"/>
        </w:r>
        <w:r>
          <w:rPr>
            <w:noProof w:val="1"/>
          </w:rPr>
          <w:t>38</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29">
        <w:r>
          <w:rPr>
            <w:rStyle w:val="C2"/>
            <w:noProof w:val="1"/>
            <w:lang w:val="en-US"/>
          </w:rPr>
          <w:t>5.1.2</w:t>
        </w:r>
        <w:r>
          <w:rPr>
            <w:rFonts w:asciiTheme="minorHAnsi" w:hAnsiTheme="minorHAnsi" w:eastAsiaTheme="minorEastAsia"/>
            <w:noProof w:val="1"/>
            <w:sz w:val="24"/>
            <w:szCs w:val="24"/>
            <w:kern w:val="2"/>
            <w:lang w:eastAsia="sv-SE"/>
          </w:rPr>
          <w:tab/>
        </w:r>
        <w:r>
          <w:rPr>
            <w:rStyle w:val="C2"/>
            <w:noProof w:val="1"/>
          </w:rPr>
          <w:t>Undersökning om betydande miljöpåverkan</w:t>
        </w:r>
        <w:r>
          <w:rPr>
            <w:noProof w:val="1"/>
          </w:rPr>
          <w:tab/>
        </w:r>
        <w:r>
          <w:rPr>
            <w:noProof w:val="1"/>
          </w:rPr>
          <w:fldChar w:fldCharType="begin"/>
        </w:r>
        <w:r>
          <w:rPr>
            <w:noProof w:val="1"/>
          </w:rPr>
          <w:instrText xml:space="preserve"> PAGEREF _Toc175726329 \h </w:instrText>
        </w:r>
        <w:r>
          <w:rPr>
            <w:noProof w:val="1"/>
          </w:rPr>
          <w:fldChar w:fldCharType="separate"/>
        </w:r>
        <w:r>
          <w:rPr>
            <w:noProof w:val="1"/>
          </w:rPr>
          <w:t>39</w:t>
        </w:r>
        <w:r>
          <w:rPr>
            <w:noProof w:val="1"/>
          </w:rPr>
          <w:fldChar w:fldCharType="end"/>
        </w:r>
      </w:hyperlink>
    </w:p>
    <w:p>
      <w:pPr>
        <w:pStyle w:val="P53"/>
        <w:tabs>
          <w:tab w:val="left" w:pos="500" w:leader="none"/>
          <w:tab w:val="right" w:pos="7926" w:leader="dot"/>
        </w:tabs>
        <w:rPr>
          <w:rFonts w:asciiTheme="minorHAnsi" w:hAnsiTheme="minorHAnsi" w:eastAsiaTheme="minorEastAsia"/>
          <w:noProof w:val="1"/>
          <w:sz w:val="24"/>
          <w:szCs w:val="24"/>
          <w:kern w:val="2"/>
          <w:lang w:eastAsia="sv-SE"/>
        </w:rPr>
      </w:pPr>
      <w:hyperlink w:anchor="_Toc175726330">
        <w:r>
          <w:rPr>
            <w:rStyle w:val="C2"/>
            <w:noProof w:val="1"/>
          </w:rPr>
          <w:t>6</w:t>
        </w:r>
        <w:r>
          <w:rPr>
            <w:rFonts w:asciiTheme="minorHAnsi" w:hAnsiTheme="minorHAnsi" w:eastAsiaTheme="minorEastAsia"/>
            <w:noProof w:val="1"/>
            <w:sz w:val="24"/>
            <w:szCs w:val="24"/>
            <w:kern w:val="2"/>
            <w:lang w:eastAsia="sv-SE"/>
          </w:rPr>
          <w:tab/>
        </w:r>
        <w:r>
          <w:rPr>
            <w:rStyle w:val="C2"/>
            <w:noProof w:val="1"/>
          </w:rPr>
          <w:t>Genomförandefrågor</w:t>
        </w:r>
        <w:r>
          <w:rPr>
            <w:noProof w:val="1"/>
          </w:rPr>
          <w:tab/>
        </w:r>
        <w:r>
          <w:rPr>
            <w:noProof w:val="1"/>
          </w:rPr>
          <w:fldChar w:fldCharType="begin"/>
        </w:r>
        <w:r>
          <w:rPr>
            <w:noProof w:val="1"/>
          </w:rPr>
          <w:instrText xml:space="preserve"> PAGEREF _Toc175726330 \h </w:instrText>
        </w:r>
        <w:r>
          <w:rPr>
            <w:noProof w:val="1"/>
          </w:rPr>
          <w:fldChar w:fldCharType="separate"/>
        </w:r>
        <w:r>
          <w:rPr>
            <w:noProof w:val="1"/>
          </w:rPr>
          <w:t>40</w:t>
        </w:r>
        <w:r>
          <w:rPr>
            <w:noProof w:val="1"/>
          </w:rPr>
          <w:fldChar w:fldCharType="end"/>
        </w:r>
      </w:hyperlink>
    </w:p>
    <w:p>
      <w:pPr>
        <w:pStyle w:val="P54"/>
        <w:tabs>
          <w:tab w:val="left" w:pos="750" w:leader="none"/>
          <w:tab w:val="right" w:pos="7926" w:leader="dot"/>
        </w:tabs>
        <w:rPr>
          <w:rFonts w:asciiTheme="minorHAnsi" w:hAnsiTheme="minorHAnsi" w:eastAsiaTheme="minorEastAsia"/>
          <w:noProof w:val="1"/>
          <w:sz w:val="24"/>
          <w:szCs w:val="24"/>
          <w:kern w:val="2"/>
          <w:lang w:eastAsia="sv-SE"/>
        </w:rPr>
      </w:pPr>
      <w:hyperlink w:anchor="_Toc175726331">
        <w:r>
          <w:rPr>
            <w:rStyle w:val="C2"/>
            <w:noProof w:val="1"/>
          </w:rPr>
          <w:t>6.1</w:t>
        </w:r>
        <w:r>
          <w:rPr>
            <w:rFonts w:asciiTheme="minorHAnsi" w:hAnsiTheme="minorHAnsi" w:eastAsiaTheme="minorEastAsia"/>
            <w:noProof w:val="1"/>
            <w:sz w:val="24"/>
            <w:szCs w:val="24"/>
            <w:kern w:val="2"/>
            <w:lang w:eastAsia="sv-SE"/>
          </w:rPr>
          <w:tab/>
        </w:r>
        <w:r>
          <w:rPr>
            <w:rStyle w:val="C2"/>
            <w:noProof w:val="1"/>
          </w:rPr>
          <w:t>Organisatoriska frågor</w:t>
        </w:r>
        <w:r>
          <w:rPr>
            <w:noProof w:val="1"/>
          </w:rPr>
          <w:tab/>
        </w:r>
        <w:r>
          <w:rPr>
            <w:noProof w:val="1"/>
          </w:rPr>
          <w:fldChar w:fldCharType="begin"/>
        </w:r>
        <w:r>
          <w:rPr>
            <w:noProof w:val="1"/>
          </w:rPr>
          <w:instrText xml:space="preserve"> PAGEREF _Toc175726331 \h </w:instrText>
        </w:r>
        <w:r>
          <w:rPr>
            <w:noProof w:val="1"/>
          </w:rPr>
          <w:fldChar w:fldCharType="separate"/>
        </w:r>
        <w:r>
          <w:rPr>
            <w:noProof w:val="1"/>
          </w:rPr>
          <w:t>40</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32">
        <w:r>
          <w:rPr>
            <w:rStyle w:val="C2"/>
            <w:noProof w:val="1"/>
          </w:rPr>
          <w:t>6.1.1</w:t>
        </w:r>
        <w:r>
          <w:rPr>
            <w:rFonts w:asciiTheme="minorHAnsi" w:hAnsiTheme="minorHAnsi" w:eastAsiaTheme="minorEastAsia"/>
            <w:noProof w:val="1"/>
            <w:sz w:val="24"/>
            <w:szCs w:val="24"/>
            <w:kern w:val="2"/>
            <w:lang w:eastAsia="sv-SE"/>
          </w:rPr>
          <w:tab/>
        </w:r>
        <w:r>
          <w:rPr>
            <w:rStyle w:val="C2"/>
            <w:noProof w:val="1"/>
          </w:rPr>
          <w:t>Ansvarsfördelning och huvudmannaskap</w:t>
        </w:r>
        <w:r>
          <w:rPr>
            <w:noProof w:val="1"/>
          </w:rPr>
          <w:tab/>
        </w:r>
        <w:r>
          <w:rPr>
            <w:noProof w:val="1"/>
          </w:rPr>
          <w:fldChar w:fldCharType="begin"/>
        </w:r>
        <w:r>
          <w:rPr>
            <w:noProof w:val="1"/>
          </w:rPr>
          <w:instrText xml:space="preserve"> PAGEREF _Toc175726332 \h </w:instrText>
        </w:r>
        <w:r>
          <w:rPr>
            <w:noProof w:val="1"/>
          </w:rPr>
          <w:fldChar w:fldCharType="separate"/>
        </w:r>
        <w:r>
          <w:rPr>
            <w:noProof w:val="1"/>
          </w:rPr>
          <w:t>40</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33">
        <w:r>
          <w:rPr>
            <w:rStyle w:val="C2"/>
            <w:noProof w:val="1"/>
            <w:lang w:val="en-US"/>
          </w:rPr>
          <w:t>6.1.2</w:t>
        </w:r>
        <w:r>
          <w:rPr>
            <w:rFonts w:asciiTheme="minorHAnsi" w:hAnsiTheme="minorHAnsi" w:eastAsiaTheme="minorEastAsia"/>
            <w:noProof w:val="1"/>
            <w:sz w:val="24"/>
            <w:szCs w:val="24"/>
            <w:kern w:val="2"/>
            <w:lang w:eastAsia="sv-SE"/>
          </w:rPr>
          <w:tab/>
        </w:r>
        <w:r>
          <w:rPr>
            <w:rStyle w:val="C2"/>
            <w:noProof w:val="1"/>
          </w:rPr>
          <w:t>Exploateringsavtal</w:t>
        </w:r>
        <w:r>
          <w:rPr>
            <w:noProof w:val="1"/>
          </w:rPr>
          <w:tab/>
        </w:r>
        <w:r>
          <w:rPr>
            <w:noProof w:val="1"/>
          </w:rPr>
          <w:fldChar w:fldCharType="begin"/>
        </w:r>
        <w:r>
          <w:rPr>
            <w:noProof w:val="1"/>
          </w:rPr>
          <w:instrText xml:space="preserve"> PAGEREF _Toc175726333 \h </w:instrText>
        </w:r>
        <w:r>
          <w:rPr>
            <w:noProof w:val="1"/>
          </w:rPr>
          <w:fldChar w:fldCharType="separate"/>
        </w:r>
        <w:r>
          <w:rPr>
            <w:noProof w:val="1"/>
          </w:rPr>
          <w:t>41</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34">
        <w:r>
          <w:rPr>
            <w:rStyle w:val="C2"/>
            <w:noProof w:val="1"/>
            <w:lang w:val="en-US"/>
          </w:rPr>
          <w:t>6.1.3</w:t>
        </w:r>
        <w:r>
          <w:rPr>
            <w:rFonts w:asciiTheme="minorHAnsi" w:hAnsiTheme="minorHAnsi" w:eastAsiaTheme="minorEastAsia"/>
            <w:noProof w:val="1"/>
            <w:sz w:val="24"/>
            <w:szCs w:val="24"/>
            <w:kern w:val="2"/>
            <w:lang w:eastAsia="sv-SE"/>
          </w:rPr>
          <w:tab/>
        </w:r>
        <w:r>
          <w:rPr>
            <w:rStyle w:val="C2"/>
            <w:noProof w:val="1"/>
          </w:rPr>
          <w:t>Markanvisningsavtal</w:t>
        </w:r>
        <w:r>
          <w:rPr>
            <w:noProof w:val="1"/>
          </w:rPr>
          <w:tab/>
        </w:r>
        <w:r>
          <w:rPr>
            <w:noProof w:val="1"/>
          </w:rPr>
          <w:fldChar w:fldCharType="begin"/>
        </w:r>
        <w:r>
          <w:rPr>
            <w:noProof w:val="1"/>
          </w:rPr>
          <w:instrText xml:space="preserve"> PAGEREF _Toc175726334 \h </w:instrText>
        </w:r>
        <w:r>
          <w:rPr>
            <w:noProof w:val="1"/>
          </w:rPr>
          <w:fldChar w:fldCharType="separate"/>
        </w:r>
        <w:r>
          <w:rPr>
            <w:noProof w:val="1"/>
          </w:rPr>
          <w:t>41</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35">
        <w:r>
          <w:rPr>
            <w:rStyle w:val="C2"/>
            <w:noProof w:val="1"/>
          </w:rPr>
          <w:t>6.1.4</w:t>
        </w:r>
        <w:r>
          <w:rPr>
            <w:rFonts w:asciiTheme="minorHAnsi" w:hAnsiTheme="minorHAnsi" w:eastAsiaTheme="minorEastAsia"/>
            <w:noProof w:val="1"/>
            <w:sz w:val="24"/>
            <w:szCs w:val="24"/>
            <w:kern w:val="2"/>
            <w:lang w:eastAsia="sv-SE"/>
          </w:rPr>
          <w:tab/>
        </w:r>
        <w:r>
          <w:rPr>
            <w:rStyle w:val="C2"/>
            <w:noProof w:val="1"/>
          </w:rPr>
          <w:t>Köpeavtal</w:t>
        </w:r>
        <w:r>
          <w:rPr>
            <w:noProof w:val="1"/>
          </w:rPr>
          <w:tab/>
        </w:r>
        <w:r>
          <w:rPr>
            <w:noProof w:val="1"/>
          </w:rPr>
          <w:fldChar w:fldCharType="begin"/>
        </w:r>
        <w:r>
          <w:rPr>
            <w:noProof w:val="1"/>
          </w:rPr>
          <w:instrText xml:space="preserve"> PAGEREF _Toc175726335 \h </w:instrText>
        </w:r>
        <w:r>
          <w:rPr>
            <w:noProof w:val="1"/>
          </w:rPr>
          <w:fldChar w:fldCharType="separate"/>
        </w:r>
        <w:r>
          <w:rPr>
            <w:noProof w:val="1"/>
          </w:rPr>
          <w:t>41</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36">
        <w:r>
          <w:rPr>
            <w:rStyle w:val="C2"/>
            <w:noProof w:val="1"/>
          </w:rPr>
          <w:t>6.1.5</w:t>
        </w:r>
        <w:r>
          <w:rPr>
            <w:rFonts w:asciiTheme="minorHAnsi" w:hAnsiTheme="minorHAnsi" w:eastAsiaTheme="minorEastAsia"/>
            <w:noProof w:val="1"/>
            <w:sz w:val="24"/>
            <w:szCs w:val="24"/>
            <w:kern w:val="2"/>
            <w:lang w:eastAsia="sv-SE"/>
          </w:rPr>
          <w:tab/>
        </w:r>
        <w:r>
          <w:rPr>
            <w:rStyle w:val="C2"/>
            <w:noProof w:val="1"/>
          </w:rPr>
          <w:t>Planavtal</w:t>
        </w:r>
        <w:r>
          <w:rPr>
            <w:noProof w:val="1"/>
          </w:rPr>
          <w:tab/>
        </w:r>
        <w:r>
          <w:rPr>
            <w:noProof w:val="1"/>
          </w:rPr>
          <w:fldChar w:fldCharType="begin"/>
        </w:r>
        <w:r>
          <w:rPr>
            <w:noProof w:val="1"/>
          </w:rPr>
          <w:instrText xml:space="preserve"> PAGEREF _Toc175726336 \h </w:instrText>
        </w:r>
        <w:r>
          <w:rPr>
            <w:noProof w:val="1"/>
          </w:rPr>
          <w:fldChar w:fldCharType="separate"/>
        </w:r>
        <w:r>
          <w:rPr>
            <w:noProof w:val="1"/>
          </w:rPr>
          <w:t>41</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37">
        <w:r>
          <w:rPr>
            <w:rStyle w:val="C2"/>
            <w:noProof w:val="1"/>
            <w:lang w:val="en-US"/>
          </w:rPr>
          <w:t>6.1.6</w:t>
        </w:r>
        <w:r>
          <w:rPr>
            <w:rFonts w:asciiTheme="minorHAnsi" w:hAnsiTheme="minorHAnsi" w:eastAsiaTheme="minorEastAsia"/>
            <w:noProof w:val="1"/>
            <w:sz w:val="24"/>
            <w:szCs w:val="24"/>
            <w:kern w:val="2"/>
            <w:lang w:eastAsia="sv-SE"/>
          </w:rPr>
          <w:tab/>
        </w:r>
        <w:r>
          <w:rPr>
            <w:rStyle w:val="C2"/>
            <w:noProof w:val="1"/>
          </w:rPr>
          <w:t>Tidplan</w:t>
        </w:r>
        <w:r>
          <w:rPr>
            <w:noProof w:val="1"/>
          </w:rPr>
          <w:tab/>
        </w:r>
        <w:r>
          <w:rPr>
            <w:noProof w:val="1"/>
          </w:rPr>
          <w:fldChar w:fldCharType="begin"/>
        </w:r>
        <w:r>
          <w:rPr>
            <w:noProof w:val="1"/>
          </w:rPr>
          <w:instrText xml:space="preserve"> PAGEREF _Toc175726337 \h </w:instrText>
        </w:r>
        <w:r>
          <w:rPr>
            <w:noProof w:val="1"/>
          </w:rPr>
          <w:fldChar w:fldCharType="separate"/>
        </w:r>
        <w:r>
          <w:rPr>
            <w:noProof w:val="1"/>
          </w:rPr>
          <w:t>41</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338">
        <w:r>
          <w:rPr>
            <w:rStyle w:val="C2"/>
            <w:noProof w:val="1"/>
          </w:rPr>
          <w:t>6.2</w:t>
        </w:r>
        <w:r>
          <w:rPr>
            <w:rFonts w:asciiTheme="minorHAnsi" w:hAnsiTheme="minorHAnsi" w:eastAsiaTheme="minorEastAsia"/>
            <w:noProof w:val="1"/>
            <w:sz w:val="24"/>
            <w:szCs w:val="24"/>
            <w:kern w:val="2"/>
            <w:lang w:eastAsia="sv-SE"/>
          </w:rPr>
          <w:tab/>
        </w:r>
        <w:r>
          <w:rPr>
            <w:rStyle w:val="C2"/>
            <w:noProof w:val="1"/>
          </w:rPr>
          <w:t>Fastighetsrättsliga frågor</w:t>
        </w:r>
        <w:r>
          <w:rPr>
            <w:noProof w:val="1"/>
          </w:rPr>
          <w:tab/>
        </w:r>
        <w:r>
          <w:rPr>
            <w:noProof w:val="1"/>
          </w:rPr>
          <w:fldChar w:fldCharType="begin"/>
        </w:r>
        <w:r>
          <w:rPr>
            <w:noProof w:val="1"/>
          </w:rPr>
          <w:instrText xml:space="preserve"> PAGEREF _Toc175726338 \h </w:instrText>
        </w:r>
        <w:r>
          <w:rPr>
            <w:noProof w:val="1"/>
          </w:rPr>
          <w:fldChar w:fldCharType="separate"/>
        </w:r>
        <w:r>
          <w:rPr>
            <w:noProof w:val="1"/>
          </w:rPr>
          <w:t>42</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39">
        <w:r>
          <w:rPr>
            <w:rStyle w:val="C2"/>
            <w:noProof w:val="1"/>
          </w:rPr>
          <w:t>6.2.1</w:t>
        </w:r>
        <w:r>
          <w:rPr>
            <w:rFonts w:asciiTheme="minorHAnsi" w:hAnsiTheme="minorHAnsi" w:eastAsiaTheme="minorEastAsia"/>
            <w:noProof w:val="1"/>
            <w:sz w:val="24"/>
            <w:szCs w:val="24"/>
            <w:kern w:val="2"/>
            <w:lang w:eastAsia="sv-SE"/>
          </w:rPr>
          <w:tab/>
        </w:r>
        <w:r>
          <w:rPr>
            <w:rStyle w:val="C2"/>
            <w:noProof w:val="1"/>
          </w:rPr>
          <w:t>Fastighetsägare</w:t>
        </w:r>
        <w:r>
          <w:rPr>
            <w:noProof w:val="1"/>
          </w:rPr>
          <w:tab/>
        </w:r>
        <w:r>
          <w:rPr>
            <w:noProof w:val="1"/>
          </w:rPr>
          <w:fldChar w:fldCharType="begin"/>
        </w:r>
        <w:r>
          <w:rPr>
            <w:noProof w:val="1"/>
          </w:rPr>
          <w:instrText xml:space="preserve"> PAGEREF _Toc175726339 \h </w:instrText>
        </w:r>
        <w:r>
          <w:rPr>
            <w:noProof w:val="1"/>
          </w:rPr>
          <w:fldChar w:fldCharType="separate"/>
        </w:r>
        <w:r>
          <w:rPr>
            <w:noProof w:val="1"/>
          </w:rPr>
          <w:t>42</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40">
        <w:r>
          <w:rPr>
            <w:rStyle w:val="C2"/>
            <w:noProof w:val="1"/>
          </w:rPr>
          <w:t>6.2.2</w:t>
        </w:r>
        <w:r>
          <w:rPr>
            <w:rFonts w:asciiTheme="minorHAnsi" w:hAnsiTheme="minorHAnsi" w:eastAsiaTheme="minorEastAsia"/>
            <w:noProof w:val="1"/>
            <w:sz w:val="24"/>
            <w:szCs w:val="24"/>
            <w:kern w:val="2"/>
            <w:lang w:eastAsia="sv-SE"/>
          </w:rPr>
          <w:tab/>
        </w:r>
        <w:r>
          <w:rPr>
            <w:rStyle w:val="C2"/>
            <w:noProof w:val="1"/>
          </w:rPr>
          <w:t>Fastighetsbildning</w:t>
        </w:r>
        <w:r>
          <w:rPr>
            <w:noProof w:val="1"/>
          </w:rPr>
          <w:tab/>
        </w:r>
        <w:r>
          <w:rPr>
            <w:noProof w:val="1"/>
          </w:rPr>
          <w:fldChar w:fldCharType="begin"/>
        </w:r>
        <w:r>
          <w:rPr>
            <w:noProof w:val="1"/>
          </w:rPr>
          <w:instrText xml:space="preserve"> PAGEREF _Toc175726340 \h </w:instrText>
        </w:r>
        <w:r>
          <w:rPr>
            <w:noProof w:val="1"/>
          </w:rPr>
          <w:fldChar w:fldCharType="separate"/>
        </w:r>
        <w:r>
          <w:rPr>
            <w:noProof w:val="1"/>
          </w:rPr>
          <w:t>42</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41">
        <w:r>
          <w:rPr>
            <w:rStyle w:val="C2"/>
            <w:noProof w:val="1"/>
          </w:rPr>
          <w:t>6.2.3</w:t>
        </w:r>
        <w:r>
          <w:rPr>
            <w:rFonts w:asciiTheme="minorHAnsi" w:hAnsiTheme="minorHAnsi" w:eastAsiaTheme="minorEastAsia"/>
            <w:noProof w:val="1"/>
            <w:sz w:val="24"/>
            <w:szCs w:val="24"/>
            <w:kern w:val="2"/>
            <w:lang w:eastAsia="sv-SE"/>
          </w:rPr>
          <w:tab/>
        </w:r>
        <w:r>
          <w:rPr>
            <w:rStyle w:val="C2"/>
            <w:noProof w:val="1"/>
          </w:rPr>
          <w:t>Fastighetsrättsliga konsekvenser</w:t>
        </w:r>
        <w:r>
          <w:rPr>
            <w:noProof w:val="1"/>
          </w:rPr>
          <w:tab/>
        </w:r>
        <w:r>
          <w:rPr>
            <w:noProof w:val="1"/>
          </w:rPr>
          <w:fldChar w:fldCharType="begin"/>
        </w:r>
        <w:r>
          <w:rPr>
            <w:noProof w:val="1"/>
          </w:rPr>
          <w:instrText xml:space="preserve"> PAGEREF _Toc175726341 \h </w:instrText>
        </w:r>
        <w:r>
          <w:rPr>
            <w:noProof w:val="1"/>
          </w:rPr>
          <w:fldChar w:fldCharType="separate"/>
        </w:r>
        <w:r>
          <w:rPr>
            <w:noProof w:val="1"/>
          </w:rPr>
          <w:t>42</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342">
        <w:r>
          <w:rPr>
            <w:rStyle w:val="C2"/>
            <w:noProof w:val="1"/>
          </w:rPr>
          <w:t>6.3</w:t>
        </w:r>
        <w:r>
          <w:rPr>
            <w:rFonts w:asciiTheme="minorHAnsi" w:hAnsiTheme="minorHAnsi" w:eastAsiaTheme="minorEastAsia"/>
            <w:noProof w:val="1"/>
            <w:sz w:val="24"/>
            <w:szCs w:val="24"/>
            <w:kern w:val="2"/>
            <w:lang w:eastAsia="sv-SE"/>
          </w:rPr>
          <w:tab/>
        </w:r>
        <w:r>
          <w:rPr>
            <w:rStyle w:val="C2"/>
            <w:noProof w:val="1"/>
          </w:rPr>
          <w:t>Ekonomiska frågor</w:t>
        </w:r>
        <w:r>
          <w:rPr>
            <w:noProof w:val="1"/>
          </w:rPr>
          <w:tab/>
        </w:r>
        <w:r>
          <w:rPr>
            <w:noProof w:val="1"/>
          </w:rPr>
          <w:fldChar w:fldCharType="begin"/>
        </w:r>
        <w:r>
          <w:rPr>
            <w:noProof w:val="1"/>
          </w:rPr>
          <w:instrText xml:space="preserve"> PAGEREF _Toc175726342 \h </w:instrText>
        </w:r>
        <w:r>
          <w:rPr>
            <w:noProof w:val="1"/>
          </w:rPr>
          <w:fldChar w:fldCharType="separate"/>
        </w:r>
        <w:r>
          <w:rPr>
            <w:noProof w:val="1"/>
          </w:rPr>
          <w:t>42</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43">
        <w:r>
          <w:rPr>
            <w:rStyle w:val="C2"/>
            <w:noProof w:val="1"/>
            <w:lang w:val="en-US"/>
          </w:rPr>
          <w:t>6.3.1</w:t>
        </w:r>
        <w:r>
          <w:rPr>
            <w:rFonts w:asciiTheme="minorHAnsi" w:hAnsiTheme="minorHAnsi" w:eastAsiaTheme="minorEastAsia"/>
            <w:noProof w:val="1"/>
            <w:sz w:val="24"/>
            <w:szCs w:val="24"/>
            <w:kern w:val="2"/>
            <w:lang w:eastAsia="sv-SE"/>
          </w:rPr>
          <w:tab/>
        </w:r>
        <w:r>
          <w:rPr>
            <w:rStyle w:val="C2"/>
            <w:noProof w:val="1"/>
          </w:rPr>
          <w:t>Planekonomisk bedömning</w:t>
        </w:r>
        <w:r>
          <w:rPr>
            <w:noProof w:val="1"/>
          </w:rPr>
          <w:tab/>
        </w:r>
        <w:r>
          <w:rPr>
            <w:noProof w:val="1"/>
          </w:rPr>
          <w:fldChar w:fldCharType="begin"/>
        </w:r>
        <w:r>
          <w:rPr>
            <w:noProof w:val="1"/>
          </w:rPr>
          <w:instrText xml:space="preserve"> PAGEREF _Toc175726343 \h </w:instrText>
        </w:r>
        <w:r>
          <w:rPr>
            <w:noProof w:val="1"/>
          </w:rPr>
          <w:fldChar w:fldCharType="separate"/>
        </w:r>
        <w:r>
          <w:rPr>
            <w:noProof w:val="1"/>
          </w:rPr>
          <w:t>42</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344">
        <w:r>
          <w:rPr>
            <w:rStyle w:val="C2"/>
            <w:noProof w:val="1"/>
          </w:rPr>
          <w:t>6.4</w:t>
        </w:r>
        <w:r>
          <w:rPr>
            <w:rFonts w:asciiTheme="minorHAnsi" w:hAnsiTheme="minorHAnsi" w:eastAsiaTheme="minorEastAsia"/>
            <w:noProof w:val="1"/>
            <w:sz w:val="24"/>
            <w:szCs w:val="24"/>
            <w:kern w:val="2"/>
            <w:lang w:eastAsia="sv-SE"/>
          </w:rPr>
          <w:tab/>
        </w:r>
        <w:r>
          <w:rPr>
            <w:rStyle w:val="C2"/>
            <w:noProof w:val="1"/>
          </w:rPr>
          <w:t>Tekniska frågor</w:t>
        </w:r>
        <w:r>
          <w:rPr>
            <w:noProof w:val="1"/>
          </w:rPr>
          <w:tab/>
        </w:r>
        <w:r>
          <w:rPr>
            <w:noProof w:val="1"/>
          </w:rPr>
          <w:fldChar w:fldCharType="begin"/>
        </w:r>
        <w:r>
          <w:rPr>
            <w:noProof w:val="1"/>
          </w:rPr>
          <w:instrText xml:space="preserve"> PAGEREF _Toc175726344 \h </w:instrText>
        </w:r>
        <w:r>
          <w:rPr>
            <w:noProof w:val="1"/>
          </w:rPr>
          <w:fldChar w:fldCharType="separate"/>
        </w:r>
        <w:r>
          <w:rPr>
            <w:noProof w:val="1"/>
          </w:rPr>
          <w:t>43</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45">
        <w:r>
          <w:rPr>
            <w:rStyle w:val="C2"/>
            <w:noProof w:val="1"/>
            <w:lang w:val="en-US"/>
          </w:rPr>
          <w:t>6.4.1</w:t>
        </w:r>
        <w:r>
          <w:rPr>
            <w:rFonts w:asciiTheme="minorHAnsi" w:hAnsiTheme="minorHAnsi" w:eastAsiaTheme="minorEastAsia"/>
            <w:noProof w:val="1"/>
            <w:sz w:val="24"/>
            <w:szCs w:val="24"/>
            <w:kern w:val="2"/>
            <w:lang w:eastAsia="sv-SE"/>
          </w:rPr>
          <w:tab/>
        </w:r>
        <w:r>
          <w:rPr>
            <w:rStyle w:val="C2"/>
            <w:noProof w:val="1"/>
          </w:rPr>
          <w:t>vatten och avlopp</w:t>
        </w:r>
        <w:r>
          <w:rPr>
            <w:noProof w:val="1"/>
          </w:rPr>
          <w:tab/>
        </w:r>
        <w:r>
          <w:rPr>
            <w:noProof w:val="1"/>
          </w:rPr>
          <w:fldChar w:fldCharType="begin"/>
        </w:r>
        <w:r>
          <w:rPr>
            <w:noProof w:val="1"/>
          </w:rPr>
          <w:instrText xml:space="preserve"> PAGEREF _Toc175726345 \h </w:instrText>
        </w:r>
        <w:r>
          <w:rPr>
            <w:noProof w:val="1"/>
          </w:rPr>
          <w:fldChar w:fldCharType="separate"/>
        </w:r>
        <w:r>
          <w:rPr>
            <w:noProof w:val="1"/>
          </w:rPr>
          <w:t>43</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46">
        <w:r>
          <w:rPr>
            <w:rStyle w:val="C2"/>
            <w:noProof w:val="1"/>
          </w:rPr>
          <w:t>6.4.2</w:t>
        </w:r>
        <w:r>
          <w:rPr>
            <w:rFonts w:asciiTheme="minorHAnsi" w:hAnsiTheme="minorHAnsi" w:eastAsiaTheme="minorEastAsia"/>
            <w:noProof w:val="1"/>
            <w:sz w:val="24"/>
            <w:szCs w:val="24"/>
            <w:kern w:val="2"/>
            <w:lang w:eastAsia="sv-SE"/>
          </w:rPr>
          <w:tab/>
        </w:r>
        <w:r>
          <w:rPr>
            <w:rStyle w:val="C2"/>
            <w:noProof w:val="1"/>
          </w:rPr>
          <w:t>Värme</w:t>
        </w:r>
        <w:r>
          <w:rPr>
            <w:noProof w:val="1"/>
          </w:rPr>
          <w:tab/>
        </w:r>
        <w:r>
          <w:rPr>
            <w:noProof w:val="1"/>
          </w:rPr>
          <w:fldChar w:fldCharType="begin"/>
        </w:r>
        <w:r>
          <w:rPr>
            <w:noProof w:val="1"/>
          </w:rPr>
          <w:instrText xml:space="preserve"> PAGEREF _Toc175726346 \h </w:instrText>
        </w:r>
        <w:r>
          <w:rPr>
            <w:noProof w:val="1"/>
          </w:rPr>
          <w:fldChar w:fldCharType="separate"/>
        </w:r>
        <w:r>
          <w:rPr>
            <w:noProof w:val="1"/>
          </w:rPr>
          <w:t>43</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47">
        <w:r>
          <w:rPr>
            <w:rStyle w:val="C2"/>
            <w:noProof w:val="1"/>
          </w:rPr>
          <w:t>6.4.3</w:t>
        </w:r>
        <w:r>
          <w:rPr>
            <w:rFonts w:asciiTheme="minorHAnsi" w:hAnsiTheme="minorHAnsi" w:eastAsiaTheme="minorEastAsia"/>
            <w:noProof w:val="1"/>
            <w:sz w:val="24"/>
            <w:szCs w:val="24"/>
            <w:kern w:val="2"/>
            <w:lang w:eastAsia="sv-SE"/>
          </w:rPr>
          <w:tab/>
        </w:r>
        <w:r>
          <w:rPr>
            <w:rStyle w:val="C2"/>
            <w:noProof w:val="1"/>
          </w:rPr>
          <w:t>El</w:t>
        </w:r>
        <w:r>
          <w:rPr>
            <w:noProof w:val="1"/>
          </w:rPr>
          <w:tab/>
        </w:r>
        <w:r>
          <w:rPr>
            <w:noProof w:val="1"/>
          </w:rPr>
          <w:fldChar w:fldCharType="begin"/>
        </w:r>
        <w:r>
          <w:rPr>
            <w:noProof w:val="1"/>
          </w:rPr>
          <w:instrText xml:space="preserve"> PAGEREF _Toc175726347 \h </w:instrText>
        </w:r>
        <w:r>
          <w:rPr>
            <w:noProof w:val="1"/>
          </w:rPr>
          <w:fldChar w:fldCharType="separate"/>
        </w:r>
        <w:r>
          <w:rPr>
            <w:noProof w:val="1"/>
          </w:rPr>
          <w:t>43</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48">
        <w:r>
          <w:rPr>
            <w:rStyle w:val="C2"/>
            <w:noProof w:val="1"/>
          </w:rPr>
          <w:t>6.4.4</w:t>
        </w:r>
        <w:r>
          <w:rPr>
            <w:rFonts w:asciiTheme="minorHAnsi" w:hAnsiTheme="minorHAnsi" w:eastAsiaTheme="minorEastAsia"/>
            <w:noProof w:val="1"/>
            <w:sz w:val="24"/>
            <w:szCs w:val="24"/>
            <w:kern w:val="2"/>
            <w:lang w:eastAsia="sv-SE"/>
          </w:rPr>
          <w:tab/>
        </w:r>
        <w:r>
          <w:rPr>
            <w:rStyle w:val="C2"/>
            <w:noProof w:val="1"/>
          </w:rPr>
          <w:t>Tele och fiber</w:t>
        </w:r>
        <w:r>
          <w:rPr>
            <w:noProof w:val="1"/>
          </w:rPr>
          <w:tab/>
        </w:r>
        <w:r>
          <w:rPr>
            <w:noProof w:val="1"/>
          </w:rPr>
          <w:fldChar w:fldCharType="begin"/>
        </w:r>
        <w:r>
          <w:rPr>
            <w:noProof w:val="1"/>
          </w:rPr>
          <w:instrText xml:space="preserve"> PAGEREF _Toc175726348 \h </w:instrText>
        </w:r>
        <w:r>
          <w:rPr>
            <w:noProof w:val="1"/>
          </w:rPr>
          <w:fldChar w:fldCharType="separate"/>
        </w:r>
        <w:r>
          <w:rPr>
            <w:noProof w:val="1"/>
          </w:rPr>
          <w:t>43</w:t>
        </w:r>
        <w:r>
          <w:rPr>
            <w:noProof w:val="1"/>
          </w:rPr>
          <w:fldChar w:fldCharType="end"/>
        </w:r>
      </w:hyperlink>
    </w:p>
    <w:p>
      <w:pPr>
        <w:pStyle w:val="P55"/>
        <w:tabs>
          <w:tab w:val="left" w:pos="1250" w:leader="none"/>
          <w:tab w:val="right" w:pos="7926" w:leader="dot"/>
        </w:tabs>
        <w:rPr>
          <w:rFonts w:asciiTheme="minorHAnsi" w:hAnsiTheme="minorHAnsi" w:eastAsiaTheme="minorEastAsia"/>
          <w:noProof w:val="1"/>
          <w:sz w:val="24"/>
          <w:szCs w:val="24"/>
          <w:kern w:val="2"/>
          <w:lang w:eastAsia="sv-SE"/>
        </w:rPr>
      </w:pPr>
      <w:hyperlink w:anchor="_Toc175726349">
        <w:r>
          <w:rPr>
            <w:rStyle w:val="C2"/>
            <w:noProof w:val="1"/>
          </w:rPr>
          <w:t>6.4.5</w:t>
        </w:r>
        <w:r>
          <w:rPr>
            <w:rFonts w:asciiTheme="minorHAnsi" w:hAnsiTheme="minorHAnsi" w:eastAsiaTheme="minorEastAsia"/>
            <w:noProof w:val="1"/>
            <w:sz w:val="24"/>
            <w:szCs w:val="24"/>
            <w:kern w:val="2"/>
            <w:lang w:eastAsia="sv-SE"/>
          </w:rPr>
          <w:tab/>
        </w:r>
        <w:r>
          <w:rPr>
            <w:rStyle w:val="C2"/>
            <w:noProof w:val="1"/>
          </w:rPr>
          <w:t>Avfall</w:t>
        </w:r>
        <w:r>
          <w:rPr>
            <w:noProof w:val="1"/>
          </w:rPr>
          <w:tab/>
        </w:r>
        <w:r>
          <w:rPr>
            <w:noProof w:val="1"/>
          </w:rPr>
          <w:fldChar w:fldCharType="begin"/>
        </w:r>
        <w:r>
          <w:rPr>
            <w:noProof w:val="1"/>
          </w:rPr>
          <w:instrText xml:space="preserve"> PAGEREF _Toc175726349 \h </w:instrText>
        </w:r>
        <w:r>
          <w:rPr>
            <w:noProof w:val="1"/>
          </w:rPr>
          <w:fldChar w:fldCharType="separate"/>
        </w:r>
        <w:r>
          <w:rPr>
            <w:noProof w:val="1"/>
          </w:rPr>
          <w:t>43</w:t>
        </w:r>
        <w:r>
          <w:rPr>
            <w:noProof w:val="1"/>
          </w:rPr>
          <w:fldChar w:fldCharType="end"/>
        </w:r>
      </w:hyperlink>
    </w:p>
    <w:p>
      <w:pPr>
        <w:pStyle w:val="P53"/>
        <w:tabs>
          <w:tab w:val="left" w:pos="500" w:leader="none"/>
          <w:tab w:val="right" w:pos="7926" w:leader="dot"/>
        </w:tabs>
        <w:rPr>
          <w:rFonts w:asciiTheme="minorHAnsi" w:hAnsiTheme="minorHAnsi" w:eastAsiaTheme="minorEastAsia"/>
          <w:noProof w:val="1"/>
          <w:sz w:val="24"/>
          <w:szCs w:val="24"/>
          <w:kern w:val="2"/>
          <w:lang w:eastAsia="sv-SE"/>
        </w:rPr>
      </w:pPr>
      <w:hyperlink w:anchor="_Toc175726350">
        <w:r>
          <w:rPr>
            <w:rStyle w:val="C2"/>
            <w:noProof w:val="1"/>
          </w:rPr>
          <w:t>7</w:t>
        </w:r>
        <w:r>
          <w:rPr>
            <w:rFonts w:asciiTheme="minorHAnsi" w:hAnsiTheme="minorHAnsi" w:eastAsiaTheme="minorEastAsia"/>
            <w:noProof w:val="1"/>
            <w:sz w:val="24"/>
            <w:szCs w:val="24"/>
            <w:kern w:val="2"/>
            <w:lang w:eastAsia="sv-SE"/>
          </w:rPr>
          <w:tab/>
        </w:r>
        <w:r>
          <w:rPr>
            <w:rStyle w:val="C2"/>
            <w:noProof w:val="1"/>
          </w:rPr>
          <w:t>Planeringsunderlag</w:t>
        </w:r>
        <w:r>
          <w:rPr>
            <w:noProof w:val="1"/>
          </w:rPr>
          <w:tab/>
        </w:r>
        <w:r>
          <w:rPr>
            <w:noProof w:val="1"/>
          </w:rPr>
          <w:fldChar w:fldCharType="begin"/>
        </w:r>
        <w:r>
          <w:rPr>
            <w:noProof w:val="1"/>
          </w:rPr>
          <w:instrText xml:space="preserve"> PAGEREF _Toc175726350 \h </w:instrText>
        </w:r>
        <w:r>
          <w:rPr>
            <w:noProof w:val="1"/>
          </w:rPr>
          <w:fldChar w:fldCharType="separate"/>
        </w:r>
        <w:r>
          <w:rPr>
            <w:noProof w:val="1"/>
          </w:rPr>
          <w:t>44</w:t>
        </w:r>
        <w:r>
          <w:rPr>
            <w:noProof w:val="1"/>
          </w:rPr>
          <w:fldChar w:fldCharType="end"/>
        </w:r>
      </w:hyperlink>
    </w:p>
    <w:p>
      <w:pPr>
        <w:pStyle w:val="P54"/>
        <w:tabs>
          <w:tab w:val="left" w:pos="750" w:leader="none"/>
          <w:tab w:val="right" w:pos="7926" w:leader="dot"/>
        </w:tabs>
        <w:rPr>
          <w:rFonts w:asciiTheme="minorHAnsi" w:hAnsiTheme="minorHAnsi" w:eastAsiaTheme="minorEastAsia"/>
          <w:noProof w:val="1"/>
          <w:sz w:val="24"/>
          <w:szCs w:val="24"/>
          <w:kern w:val="2"/>
          <w:lang w:eastAsia="sv-SE"/>
        </w:rPr>
      </w:pPr>
      <w:hyperlink w:anchor="_Toc175726351">
        <w:r>
          <w:rPr>
            <w:rStyle w:val="C2"/>
            <w:noProof w:val="1"/>
          </w:rPr>
          <w:t>7.1</w:t>
        </w:r>
        <w:r>
          <w:rPr>
            <w:rFonts w:asciiTheme="minorHAnsi" w:hAnsiTheme="minorHAnsi" w:eastAsiaTheme="minorEastAsia"/>
            <w:noProof w:val="1"/>
            <w:sz w:val="24"/>
            <w:szCs w:val="24"/>
            <w:kern w:val="2"/>
            <w:lang w:eastAsia="sv-SE"/>
          </w:rPr>
          <w:tab/>
        </w:r>
        <w:r>
          <w:rPr>
            <w:rStyle w:val="C2"/>
            <w:noProof w:val="1"/>
          </w:rPr>
          <w:t>Kommunala planeringsunderlag</w:t>
        </w:r>
        <w:r>
          <w:rPr>
            <w:noProof w:val="1"/>
          </w:rPr>
          <w:tab/>
        </w:r>
        <w:r>
          <w:rPr>
            <w:noProof w:val="1"/>
          </w:rPr>
          <w:fldChar w:fldCharType="begin"/>
        </w:r>
        <w:r>
          <w:rPr>
            <w:noProof w:val="1"/>
          </w:rPr>
          <w:instrText xml:space="preserve"> PAGEREF _Toc175726351 \h </w:instrText>
        </w:r>
        <w:r>
          <w:rPr>
            <w:noProof w:val="1"/>
          </w:rPr>
          <w:fldChar w:fldCharType="separate"/>
        </w:r>
        <w:r>
          <w:rPr>
            <w:noProof w:val="1"/>
          </w:rPr>
          <w:t>44</w:t>
        </w:r>
        <w:r>
          <w:rPr>
            <w:noProof w:val="1"/>
          </w:rPr>
          <w:fldChar w:fldCharType="end"/>
        </w:r>
      </w:hyperlink>
    </w:p>
    <w:p>
      <w:pPr>
        <w:pStyle w:val="P54"/>
        <w:tabs>
          <w:tab w:val="left" w:pos="1000" w:leader="none"/>
          <w:tab w:val="right" w:pos="7926" w:leader="dot"/>
        </w:tabs>
        <w:rPr>
          <w:rFonts w:asciiTheme="minorHAnsi" w:hAnsiTheme="minorHAnsi" w:eastAsiaTheme="minorEastAsia"/>
          <w:noProof w:val="1"/>
          <w:sz w:val="24"/>
          <w:szCs w:val="24"/>
          <w:kern w:val="2"/>
          <w:lang w:eastAsia="sv-SE"/>
        </w:rPr>
      </w:pPr>
      <w:hyperlink w:anchor="_Toc175726352">
        <w:r>
          <w:rPr>
            <w:rStyle w:val="C2"/>
            <w:noProof w:val="1"/>
          </w:rPr>
          <w:t>7.2</w:t>
        </w:r>
        <w:r>
          <w:rPr>
            <w:rFonts w:asciiTheme="minorHAnsi" w:hAnsiTheme="minorHAnsi" w:eastAsiaTheme="minorEastAsia"/>
            <w:noProof w:val="1"/>
            <w:sz w:val="24"/>
            <w:szCs w:val="24"/>
            <w:kern w:val="2"/>
            <w:lang w:eastAsia="sv-SE"/>
          </w:rPr>
          <w:tab/>
        </w:r>
        <w:r>
          <w:rPr>
            <w:rStyle w:val="C2"/>
            <w:noProof w:val="1"/>
          </w:rPr>
          <w:t>Utredningar</w:t>
        </w:r>
        <w:r>
          <w:rPr>
            <w:noProof w:val="1"/>
          </w:rPr>
          <w:tab/>
        </w:r>
        <w:r>
          <w:rPr>
            <w:noProof w:val="1"/>
          </w:rPr>
          <w:fldChar w:fldCharType="begin"/>
        </w:r>
        <w:r>
          <w:rPr>
            <w:noProof w:val="1"/>
          </w:rPr>
          <w:instrText xml:space="preserve"> PAGEREF _Toc175726352 \h </w:instrText>
        </w:r>
        <w:r>
          <w:rPr>
            <w:noProof w:val="1"/>
          </w:rPr>
          <w:fldChar w:fldCharType="separate"/>
        </w:r>
        <w:r>
          <w:rPr>
            <w:noProof w:val="1"/>
          </w:rPr>
          <w:t>44</w:t>
        </w:r>
        <w:r>
          <w:rPr>
            <w:noProof w:val="1"/>
          </w:rPr>
          <w:fldChar w:fldCharType="end"/>
        </w:r>
      </w:hyperlink>
    </w:p>
    <w:p>
      <w:pPr>
        <w:pStyle w:val="P55"/>
        <w:tabs>
          <w:tab w:val="right" w:pos="7360" w:leader="dot"/>
        </w:tabs>
        <w:ind w:left="0"/>
        <w:rPr>
          <w:b w:val="1"/>
          <w:bCs w:val="1"/>
        </w:rPr>
      </w:pPr>
      <w:r>
        <w:fldChar w:fldCharType="end"/>
      </w:r>
    </w:p>
    <w:p>
      <w:pPr>
        <w:pStyle w:val="P1"/>
      </w:pPr>
      <w:bookmarkStart w:id="3" w:name="_Toc89445972"/>
      <w:bookmarkStart w:id="4" w:name="_Toc101363474"/>
      <w:bookmarkStart w:id="5" w:name="_Toc175726263"/>
      <w:r>
        <w:t xml:space="preserve">Detaljplanens </w:t>
      </w:r>
      <w:bookmarkEnd w:id="3"/>
      <w:bookmarkEnd w:id="4"/>
      <w:r>
        <w:t>syfte</w:t>
      </w:r>
      <w:bookmarkEnd w:id="5"/>
      <w:r>
        <w:t xml:space="preserve"> </w:t>
      </w:r>
    </w:p>
    <w:tbl>
      <w:tblPr>
        <w:tblStyle w:val="T2"/>
        <w:tblW w:w="0" w:type="auto"/>
        <w:tblLook w:val="04A0"/>
      </w:tblPr>
      <w:tblGrid/>
      <w:tr>
        <w:tc>
          <w:tcPr>
            <w:tcW w:w="8494" w:type="dxa"/>
            <w:tc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tcBorders>
            <w:shd w:val="clear" w:color="auto" w:fill="F2F2F2" w:themeFill="background1" w:themeFillShade="F2"/>
          </w:tcPr>
          <w:p>
            <w:pPr>
              <w:spacing w:before="80" w:after="120" w:beforeAutospacing="0" w:afterAutospacing="0"/>
              <w:rPr>
                <w:noProof w:val="1"/>
                <w:lang w:eastAsia="sv-SE"/>
              </w:rPr>
            </w:pPr>
            <w:bookmarkStart w:id="6" w:name="_Hlk127517112" w:colFirst="0" w:colLast="0"/>
            <w:r>
              <w:rPr>
                <w:noProof w:val="1"/>
                <w:lang w:eastAsia="sv-SE"/>
              </w:rPr>
              <w:t xml:space="preserve">I planbeskrivningen ska kommunen redovisa planens syfte. Planens syfte ska kortfattat uttrycka </w:t>
            </w:r>
            <w:r>
              <w:rPr>
                <w:noProof w:val="1"/>
                <w:shd w:val="clear" w:color="auto" w:fill="F2F2F2" w:themeFill="background1" w:themeFillShade="F2"/>
                <w:lang w:eastAsia="sv-SE"/>
              </w:rPr>
              <w:t xml:space="preserve">vad </w:t>
            </w:r>
            <w:r>
              <w:rPr>
                <w:noProof w:val="1"/>
                <w:lang w:eastAsia="sv-SE"/>
              </w:rPr>
              <w:t xml:space="preserve">planen </w:t>
            </w:r>
            <w:r>
              <w:rPr>
                <w:noProof w:val="1"/>
                <w:shd w:val="clear" w:color="auto" w:fill="F2F2F2" w:themeFill="background1" w:themeFillShade="F2"/>
                <w:lang w:eastAsia="sv-SE"/>
              </w:rPr>
              <w:t xml:space="preserve">möjliggör för samt vilka värden på platsen eller i omgivningen som </w:t>
            </w:r>
            <w:bookmarkStart w:id="7" w:name="_Hlk127890906"/>
            <w:r>
              <w:rPr>
                <w:noProof w:val="1"/>
                <w:lang w:eastAsia="sv-SE"/>
              </w:rPr>
              <w:t xml:space="preserve">planen </w:t>
            </w:r>
            <w:bookmarkEnd w:id="7"/>
            <w:r>
              <w:rPr>
                <w:noProof w:val="1"/>
                <w:shd w:val="clear" w:color="auto" w:fill="F2F2F2" w:themeFill="background1" w:themeFillShade="F2"/>
                <w:lang w:eastAsia="sv-SE"/>
              </w:rPr>
              <w:t>ska förhålla sig till.</w:t>
            </w:r>
          </w:p>
        </w:tc>
      </w:tr>
    </w:tbl>
    <w:p>
      <w:pPr>
        <w:rPr>
          <w:noProof w:val="1"/>
        </w:rPr>
      </w:pPr>
      <w:bookmarkEnd w:id="6"/>
    </w:p>
    <w:p>
      <w:pPr>
        <w:pStyle w:val="P2"/>
      </w:pPr>
      <w:bookmarkStart w:id="8" w:name="_Toc89445973"/>
      <w:bookmarkStart w:id="9" w:name="_Toc101363475"/>
      <w:bookmarkStart w:id="10" w:name="_Toc175726264"/>
      <w:bookmarkStart w:id="11" w:name="sy_syfte01"/>
      <w:r>
        <w:t>S</w:t>
      </w:r>
      <w:bookmarkEnd w:id="8"/>
      <w:bookmarkEnd w:id="9"/>
      <w:r>
        <w:t>yfte</w:t>
      </w:r>
      <w:bookmarkEnd w:id="10"/>
    </w:p>
    <w:p>
      <w:pPr>
        <w:spacing w:lineRule="auto" w:line="240" w:beforeAutospacing="0" w:afterAutospacing="0"/>
        <w:ind w:right="-1"/>
        <w:rPr>
          <w:szCs w:val="24"/>
        </w:rPr>
      </w:pPr>
      <w:r>
        <w:t xml:space="preserve">Syftet med detaljplanen är att möjliggöra för </w:t>
      </w:r>
      <w:r>
        <w:rPr>
          <w:szCs w:val="24"/>
        </w:rPr>
        <w:t xml:space="preserve">exploatering av bostäder i form av flerbostadshus, radhus, parhus och kedjehus. Detaljplanens syfte är också att bevara ett befintligt grönstråk i västra delen av planområdet. </w:t>
      </w:r>
    </w:p>
    <w:p>
      <w:bookmarkEnd w:id="11"/>
    </w:p>
    <w:p>
      <w:pPr>
        <w:rPr>
          <w:noProof w:val="1"/>
          <w:lang w:eastAsia="sv-SE"/>
        </w:rPr>
      </w:pPr>
    </w:p>
    <w:p>
      <w:pPr>
        <w:rPr>
          <w:noProof w:val="1"/>
          <w:lang w:eastAsia="sv-SE"/>
        </w:rPr>
      </w:pPr>
      <w:r>
        <w:rPr>
          <w:noProof w:val="1"/>
          <w:lang w:eastAsia="sv-SE"/>
        </w:rPr>
        <w:br w:type="page"/>
      </w:r>
    </w:p>
    <w:p>
      <w:pPr>
        <w:pStyle w:val="P1"/>
      </w:pPr>
      <w:bookmarkStart w:id="12" w:name="_Toc89445974"/>
      <w:bookmarkStart w:id="13" w:name="_Toc101363476"/>
      <w:bookmarkStart w:id="14" w:name="_Toc175726265"/>
      <w:r>
        <w:t xml:space="preserve">Beskrivning av </w:t>
      </w:r>
      <w:bookmarkEnd w:id="12"/>
      <w:bookmarkEnd w:id="13"/>
      <w:r>
        <w:t>detaljplanen</w:t>
      </w:r>
      <w:bookmarkEnd w:id="14"/>
      <w:r>
        <w:t xml:space="preserve"> </w:t>
      </w:r>
    </w:p>
    <w:tbl>
      <w:tblPr>
        <w:tblStyle w:val="T2"/>
        <w:tblW w:w="0" w:type="auto"/>
        <w:tblLook w:val="04A0"/>
      </w:tblPr>
      <w:tblGrid/>
      <w:tr>
        <w:tc>
          <w:tcPr>
            <w:tcW w:w="8494" w:type="dxa"/>
            <w:tc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tcBorders>
            <w:shd w:val="clear" w:color="auto" w:fill="F2F2F2" w:themeFill="background1" w:themeFillShade="F2"/>
          </w:tcPr>
          <w:p>
            <w:pPr>
              <w:spacing w:before="80" w:after="120" w:beforeAutospacing="0" w:afterAutospacing="0"/>
              <w:rPr>
                <w:noProof w:val="1"/>
                <w:lang w:bidi="en-US"/>
              </w:rPr>
            </w:pPr>
            <w:r>
              <w:rPr>
                <w:noProof w:val="1"/>
                <w:lang w:eastAsia="sv-SE"/>
              </w:rPr>
              <w:t xml:space="preserve">I planbeskrivningen ska kommunen redovisa planens huvuddrag samt de överväganden som legat till grund för planens utformning för att skapa bättre förståelse för planen. </w:t>
            </w:r>
          </w:p>
        </w:tc>
      </w:tr>
    </w:tbl>
    <w:p>
      <w:pPr>
        <w:rPr>
          <w:noProof w:val="1"/>
          <w:lang w:eastAsia="sv-SE"/>
        </w:rPr>
      </w:pPr>
    </w:p>
    <w:p>
      <w:pPr>
        <w:pStyle w:val="P2"/>
      </w:pPr>
      <w:bookmarkStart w:id="15" w:name="_Toc175726266"/>
      <w:bookmarkStart w:id="16" w:name="be_annat02"/>
      <w:r>
        <w:t>Lägesbestämning</w:t>
      </w:r>
      <w:bookmarkEnd w:id="15"/>
    </w:p>
    <w:p>
      <w:pPr>
        <w:rPr>
          <w:noProof w:val="1"/>
          <w:lang w:eastAsia="sv-SE"/>
        </w:rPr>
      </w:pPr>
      <w:r>
        <w:rPr>
          <w:noProof w:val="1"/>
          <w:lang w:eastAsia="sv-SE"/>
        </w:rPr>
        <w:drawing>
          <wp:anchor xmlns:wp="http://schemas.openxmlformats.org/drawingml/2006/wordprocessingDrawing" distT="0" distB="0" distL="114300" distR="114300" simplePos="0" relativeHeight="7" behindDoc="0" locked="0" layoutInCell="1" allowOverlap="1">
            <wp:simplePos x="0" y="0"/>
            <wp:positionH relativeFrom="column">
              <wp:posOffset>24765</wp:posOffset>
            </wp:positionH>
            <wp:positionV relativeFrom="paragraph">
              <wp:posOffset>1066800</wp:posOffset>
            </wp:positionV>
            <wp:extent cx="4604385" cy="4382135"/>
            <wp:effectExtent l="0" t="0" r="5715" b="0"/>
            <wp:wrapTopAndBottom/>
            <wp:docPr id="6" name="Bildobjekt 6" descr="En bild som visar Flygfotografi, Fågelperspektiv, karta,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descr="En bild som visar Flygfotografi, Fågelperspektiv, karta, text&#10;&#10;Automatiskt genererad beskrivning"/>
                    <pic:cNvPicPr>
                      <a:picLocks noChangeAspect="1" noChangeArrowheads="1"/>
                    </pic:cNvPicPr>
                  </pic:nvPicPr>
                  <pic:blipFill dpi="0">
                    <a:blip xmlns:r="http://schemas.openxmlformats.org/officeDocument/2006/relationships" r:embed="Relimage6" cstate="print"/>
                    <a:srcRect l="24255" r="24255" b="16953"/>
                    <a:stretch>
                      <a:fillRect/>
                    </a:stretch>
                  </pic:blipFill>
                  <pic:spPr bwMode="auto">
                    <a:xfrm>
                      <a:off x="0" y="0"/>
                      <a:ext cx="4604385" cy="4382135"/>
                    </a:xfrm>
                    <a:prstGeom prst="rect"/>
                    <a:noFill/>
                    <a:ln>
                      <a:noFill/>
                    </a:ln>
                  </pic:spPr>
                </pic:pic>
              </a:graphicData>
            </a:graphic>
          </wp:anchor>
        </w:drawing>
      </w:r>
      <w:r>
        <w:rPr>
          <w:noProof w:val="1"/>
          <w:lang w:eastAsia="sv-SE"/>
        </w:rPr>
        <w:t xml:space="preserve">Planområdet ligger i Motala cirka 1,5 kilometer norr om Motala centrum. Planområdet omfattar </w:t>
      </w:r>
      <w:r>
        <w:t xml:space="preserve">del av fastigheten Bråstorp 1:8 </w:t>
      </w:r>
      <w:r>
        <w:rPr>
          <w:noProof w:val="1"/>
          <w:lang w:eastAsia="sv-SE"/>
        </w:rPr>
        <w:t xml:space="preserve">och avgränsas av </w:t>
      </w:r>
      <w:r>
        <w:t>Bergsättersvägen i söder och befintligt villaområde i norr och befintligt bostadsområde Torvmossen med flerbostadshus i väster, samt förskolan Bergsätter i öster.</w:t>
      </w:r>
    </w:p>
    <w:p>
      <w:pPr>
        <w:rPr>
          <w:rFonts w:asciiTheme="minorHAnsi" w:hAnsiTheme="minorHAnsi"/>
          <w:i w:val="1"/>
          <w:iCs w:val="1"/>
          <w:sz w:val="20"/>
          <w:szCs w:val="20"/>
        </w:rPr>
      </w:pPr>
      <w:r>
        <w:rPr>
          <w:rFonts w:asciiTheme="minorHAnsi" w:hAnsiTheme="minorHAnsi"/>
          <w:i w:val="1"/>
          <w:iCs w:val="1"/>
          <w:sz w:val="20"/>
          <w:szCs w:val="20"/>
        </w:rPr>
        <w:t>Figur 1. Orienteringskarta över planområdet (röd markering). Källa Arkitekterna Krook &amp; Tjäder.</w:t>
      </w:r>
    </w:p>
    <w:p>
      <w:pPr>
        <w:rPr>
          <w:noProof w:val="1"/>
          <w:lang w:eastAsia="sv-SE"/>
        </w:rPr>
      </w:pPr>
    </w:p>
    <w:p>
      <w:pPr>
        <w:rPr>
          <w:szCs w:val="24"/>
        </w:rPr>
      </w:pPr>
      <w:r>
        <w:rPr>
          <w:noProof w:val="1"/>
          <w:lang w:eastAsia="sv-SE"/>
        </w:rPr>
        <w:t xml:space="preserve">Planområdet omfattar sammanlagt ungefär </w:t>
      </w:r>
      <w:r>
        <w:rPr>
          <w:szCs w:val="24"/>
        </w:rPr>
        <w:t>6,4 hektar. Detaljplaneområdet består till cirka 2,6 hektar av användningen bostäder (B), och till cirka 3,4 hektar av användningen natur (NATUR).</w:t>
      </w:r>
    </w:p>
    <w:p>
      <w:pPr>
        <w:rPr>
          <w:noProof w:val="1"/>
          <w:lang w:eastAsia="sv-SE"/>
        </w:rPr>
      </w:pPr>
    </w:p>
    <w:p>
      <w:pPr>
        <w:spacing w:lineRule="auto" w:line="240" w:beforeAutospacing="0" w:afterAutospacing="0"/>
      </w:pPr>
      <w:r>
        <w:t>Fastigheten Bråstorp 1:8 ägs av Motala kommun.</w:t>
      </w:r>
    </w:p>
    <w:p>
      <w:pPr>
        <w:pStyle w:val="P2"/>
      </w:pPr>
      <w:bookmarkEnd w:id="16"/>
      <w:bookmarkStart w:id="17" w:name="_Toc89445975"/>
      <w:bookmarkStart w:id="18" w:name="_Toc101363477"/>
      <w:bookmarkStart w:id="19" w:name="_Toc175726267"/>
      <w:bookmarkStart w:id="20" w:name="be_heladetaljplan02"/>
      <w:r>
        <w:t xml:space="preserve">Hela </w:t>
      </w:r>
      <w:bookmarkEnd w:id="17"/>
      <w:bookmarkEnd w:id="18"/>
      <w:bookmarkStart w:id="21" w:name="_Toc89445976"/>
      <w:r>
        <w:t>detaljplanen</w:t>
      </w:r>
      <w:bookmarkEnd w:id="19"/>
      <w:bookmarkStart w:id="22" w:name="be_heladetaljplan01"/>
    </w:p>
    <w:p>
      <w:r>
        <w:t>Planförslaget möjliggör för bostäder inom ett obebyggt och igenvuxet område i norra Motala. Området har markanvisats åt en enskild exploatör för att uppföra flerbostadshus, radhus, parhus och kedjehus. Planen föreslår naturmark i väster för att bevara och stärka det befintliga grönstråket som knyter ihop Motala stads grönstråk söderut och norrut. Även söder om den befintliga förskolan i östra delen av planområdet bevaras naturmark, som används av förskolebarnen som en lekskog. Planområdet ansluts med en ny in- och utfart från Bergsättersvägen.</w:t>
      </w:r>
    </w:p>
    <w:p>
      <w:pPr>
        <w:rPr>
          <w:noProof w:val="1"/>
          <w:lang w:eastAsia="sv-SE"/>
        </w:rPr>
      </w:pPr>
      <w:bookmarkEnd w:id="20"/>
    </w:p>
    <w:p>
      <w:pPr>
        <w:pStyle w:val="P2"/>
      </w:pPr>
      <w:bookmarkEnd w:id="21"/>
      <w:bookmarkEnd w:id="22"/>
      <w:bookmarkStart w:id="23" w:name="_Toc89445977"/>
      <w:bookmarkStart w:id="24" w:name="_Toc101363479"/>
      <w:bookmarkStart w:id="25" w:name="_Toc175726268"/>
      <w:bookmarkStart w:id="26" w:name="be_allmänplats02"/>
      <w:r>
        <w:t>A</w:t>
      </w:r>
      <w:bookmarkEnd w:id="23"/>
      <w:bookmarkEnd w:id="24"/>
      <w:r>
        <w:t>llmän platsmark</w:t>
      </w:r>
      <w:bookmarkEnd w:id="25"/>
    </w:p>
    <w:p>
      <w:bookmarkStart w:id="27" w:name="be_allmänplats01"/>
      <w:r>
        <w:t>Allmän platsmark föreslås för grönområden som är viktiga att bevara för området och omkringliggande grönstruktur samt för infarten till området.</w:t>
      </w:r>
    </w:p>
    <w:p>
      <w:pPr>
        <w:rPr>
          <w:noProof w:val="1"/>
          <w:lang w:eastAsia="sv-SE"/>
        </w:rPr>
      </w:pPr>
      <w:bookmarkEnd w:id="26"/>
    </w:p>
    <w:p>
      <w:pPr>
        <w:pStyle w:val="P3"/>
      </w:pPr>
      <w:bookmarkEnd w:id="27"/>
      <w:bookmarkStart w:id="28" w:name="_Toc89445978"/>
      <w:bookmarkStart w:id="29" w:name="_Toc101363480"/>
      <w:bookmarkStart w:id="30" w:name="_Toc175726269"/>
      <w:bookmarkStart w:id="31" w:name="be_huvudmannaskap02"/>
      <w:r>
        <w:t>H</w:t>
      </w:r>
      <w:bookmarkEnd w:id="28"/>
      <w:bookmarkEnd w:id="29"/>
      <w:r>
        <w:t>uvudmannaskap</w:t>
      </w:r>
      <w:bookmarkEnd w:id="30"/>
    </w:p>
    <w:p>
      <w:bookmarkStart w:id="32" w:name="be_huvudmannaskap01"/>
      <w:r>
        <w:t xml:space="preserve">Natur inom planområdet kommer utgöras av allmän plats. Det kommunala huvudmannaskapet innebär bland annat att kommunen ska äga allmän platsmark och ansvara för utbyggnad och framtida drift och underhåll av den allmänna platsmarken. </w:t>
      </w:r>
    </w:p>
    <w:p>
      <w:pPr>
        <w:rPr>
          <w:noProof w:val="1"/>
          <w:lang w:eastAsia="sv-SE"/>
        </w:rPr>
      </w:pPr>
      <w:bookmarkEnd w:id="31"/>
    </w:p>
    <w:p>
      <w:pPr>
        <w:pStyle w:val="P2"/>
      </w:pPr>
      <w:bookmarkEnd w:id="32"/>
      <w:bookmarkStart w:id="33" w:name="_Toc89445979"/>
      <w:bookmarkStart w:id="34" w:name="_Toc101363481"/>
      <w:bookmarkStart w:id="35" w:name="_Toc175726270"/>
      <w:bookmarkStart w:id="36" w:name="be_kvartersmark02"/>
      <w:r>
        <w:t>K</w:t>
      </w:r>
      <w:bookmarkEnd w:id="33"/>
      <w:bookmarkEnd w:id="34"/>
      <w:r>
        <w:t>vartersmark</w:t>
      </w:r>
      <w:bookmarkEnd w:id="35"/>
    </w:p>
    <w:p>
      <w:bookmarkStart w:id="37" w:name="be_kvartersmark01"/>
      <w:r>
        <w:t xml:space="preserve">Inom planområdet föreslås kvartersmark för bostäder. Den maximala nockhöjden inom kvarteret föreslås till 9 meter, vilket möjliggör för bland annat bebyggelse om två våningar med sockel och ett sluttande tak. Det finns då även utrymme för att uppföra husen med trästomme. </w:t>
      </w:r>
    </w:p>
    <w:p>
      <w:pPr>
        <w:rPr>
          <w:noProof w:val="1"/>
          <w:lang w:eastAsia="sv-SE"/>
        </w:rPr>
      </w:pPr>
      <w:bookmarkEnd w:id="36"/>
    </w:p>
    <w:p>
      <w:pPr>
        <w:pStyle w:val="P2"/>
      </w:pPr>
      <w:bookmarkStart w:id="38" w:name="_Toc89445981"/>
      <w:bookmarkStart w:id="39" w:name="_Toc101363483"/>
      <w:bookmarkStart w:id="40" w:name="_Toc175726271"/>
      <w:bookmarkStart w:id="41" w:name="be_befintligt02"/>
      <w:bookmarkStart w:id="42" w:name="be_vattenområde01"/>
      <w:r>
        <w:t>B</w:t>
      </w:r>
      <w:bookmarkEnd w:id="38"/>
      <w:bookmarkEnd w:id="39"/>
      <w:r>
        <w:t>efintlig miljö</w:t>
      </w:r>
      <w:bookmarkEnd w:id="40"/>
    </w:p>
    <w:p>
      <w:r>
        <w:t xml:space="preserve">Planområdet ligger i Motala, cirka 1,5 kilometer norr om Motala centrum. Området angränsar till villaområden i norr och öster, ett radhusområde i väster och ett naturområde i söder. I nordväst ligger naturområdet Torvmossen och en förskola ligger i direkt anslutning till planområdet. </w:t>
      </w:r>
    </w:p>
    <w:p>
      <w:pPr>
        <w:rPr>
          <w:i w:val="1"/>
          <w:noProof w:val="1"/>
          <w:lang w:eastAsia="sv-SE"/>
        </w:rPr>
      </w:pPr>
      <w:bookmarkEnd w:id="41"/>
      <w:bookmarkStart w:id="43" w:name="be_befintligt01"/>
    </w:p>
    <w:p>
      <w:pPr>
        <w:pStyle w:val="P2"/>
      </w:pPr>
      <w:bookmarkEnd w:id="37"/>
      <w:bookmarkEnd w:id="42"/>
      <w:bookmarkEnd w:id="43"/>
      <w:bookmarkStart w:id="44" w:name="_Toc101363478"/>
      <w:bookmarkStart w:id="45" w:name="_Toc175726272"/>
      <w:bookmarkStart w:id="46" w:name="be_genomförandetid02"/>
      <w:bookmarkStart w:id="47" w:name="_Toc89445980"/>
      <w:bookmarkStart w:id="48" w:name="_Toc101363482"/>
      <w:r>
        <w:t>G</w:t>
      </w:r>
      <w:bookmarkEnd w:id="44"/>
      <w:r>
        <w:t>enomförandetid</w:t>
      </w:r>
      <w:bookmarkEnd w:id="45"/>
      <w:bookmarkStart w:id="49" w:name="be_genomförandetid01"/>
    </w:p>
    <w:p>
      <w:pPr>
        <w:rPr>
          <w:noProof w:val="1"/>
          <w:lang w:eastAsia="sv-SE"/>
        </w:rPr>
      </w:pPr>
      <w:r>
        <w:rPr>
          <w:noProof w:val="1"/>
          <w:lang w:eastAsia="sv-SE"/>
        </w:rPr>
        <w:t>Genomförandetiden är 5 år från det att detaljplanen har vunnit laga kraft.</w:t>
      </w:r>
    </w:p>
    <w:p>
      <w:pPr>
        <w:rPr>
          <w:noProof w:val="1"/>
          <w:lang w:eastAsia="sv-SE"/>
        </w:rPr>
      </w:pPr>
      <w:bookmarkEnd w:id="46"/>
    </w:p>
    <w:p>
      <w:pPr>
        <w:rPr>
          <w:noProof w:val="1"/>
          <w:lang w:eastAsia="sv-SE"/>
        </w:rPr>
      </w:pPr>
    </w:p>
    <w:p>
      <w:pPr>
        <w:rPr>
          <w:noProof w:val="1"/>
          <w:lang w:eastAsia="sv-SE"/>
        </w:rPr>
      </w:pPr>
    </w:p>
    <w:p>
      <w:pPr>
        <w:rPr>
          <w:noProof w:val="1"/>
          <w:lang w:eastAsia="sv-SE"/>
        </w:rPr>
      </w:pPr>
    </w:p>
    <w:p>
      <w:pPr>
        <w:rPr>
          <w:noProof w:val="1"/>
          <w:lang w:eastAsia="sv-SE"/>
        </w:rPr>
      </w:pPr>
    </w:p>
    <w:p>
      <w:pPr>
        <w:pStyle w:val="P2"/>
      </w:pPr>
      <w:bookmarkEnd w:id="47"/>
      <w:bookmarkEnd w:id="48"/>
      <w:bookmarkEnd w:id="49"/>
      <w:bookmarkStart w:id="50" w:name="_Toc89445983"/>
      <w:bookmarkStart w:id="51" w:name="_Toc101363485"/>
      <w:bookmarkStart w:id="52" w:name="_Toc175726273"/>
      <w:bookmarkStart w:id="53" w:name="be_ärendeinformation02"/>
      <w:r>
        <w:t>Ä</w:t>
      </w:r>
      <w:bookmarkEnd w:id="50"/>
      <w:bookmarkEnd w:id="51"/>
      <w:r>
        <w:t>rendeinformation</w:t>
      </w:r>
      <w:bookmarkEnd w:id="52"/>
      <w:bookmarkStart w:id="54" w:name="be_ärendeinformation01"/>
    </w:p>
    <w:p>
      <w:pPr>
        <w:pStyle w:val="P98"/>
        <w:spacing w:after="0" w:beforeAutospacing="0" w:afterAutospacing="0"/>
      </w:pPr>
      <w:r>
        <w:t xml:space="preserve">Planarbetet bedrivs enligt reglerna för standardförfarande. Planarbetet beräknas i huvudsak kunna följa nedanstående tidplan. </w:t>
      </w:r>
    </w:p>
    <w:p>
      <w:pPr>
        <w:rPr>
          <w:noProof w:val="1"/>
          <w:lang w:eastAsia="sv-SE"/>
        </w:rPr>
      </w:pPr>
    </w:p>
    <w:tbl>
      <w:tblPr>
        <w:tblStyle w:val="T2"/>
        <w:tblW w:w="0" w:type="auto"/>
        <w:jc w:val="center"/>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rPr>
          <w:jc w:val="center"/>
        </w:trPr>
        <w:tc>
          <w:tcPr>
            <w:tcW w:w="2098" w:type="dxa"/>
          </w:tcPr>
          <w:p>
            <w:pPr>
              <w:tabs>
                <w:tab w:val="left" w:pos="2574" w:leader="none"/>
                <w:tab w:val="left" w:pos="4395" w:leader="none"/>
              </w:tabs>
              <w:rPr>
                <w:rFonts w:ascii="Barlow Semi Condensed SemiBold" w:hAnsi="Barlow Semi Condensed SemiBold"/>
                <w:sz w:val="20"/>
              </w:rPr>
            </w:pPr>
            <w:r>
              <w:rPr>
                <w:rFonts w:ascii="Barlow Semi Condensed SemiBold" w:hAnsi="Barlow Semi Condensed SemiBold"/>
                <w:sz w:val="20"/>
              </w:rPr>
              <w:t>Moment</w:t>
            </w:r>
          </w:p>
        </w:tc>
        <w:tc>
          <w:tcPr>
            <w:tcW w:w="2551" w:type="dxa"/>
          </w:tcPr>
          <w:p>
            <w:pPr>
              <w:tabs>
                <w:tab w:val="left" w:pos="2574" w:leader="none"/>
                <w:tab w:val="left" w:pos="4395" w:leader="none"/>
              </w:tabs>
              <w:rPr>
                <w:rFonts w:ascii="Barlow Semi Condensed SemiBold" w:hAnsi="Barlow Semi Condensed SemiBold"/>
                <w:sz w:val="20"/>
              </w:rPr>
            </w:pPr>
            <w:r>
              <w:rPr>
                <w:rFonts w:ascii="Barlow Semi Condensed SemiBold" w:hAnsi="Barlow Semi Condensed SemiBold"/>
                <w:sz w:val="20"/>
              </w:rPr>
              <w:t>Instans</w:t>
            </w:r>
          </w:p>
        </w:tc>
        <w:tc>
          <w:tcPr>
            <w:tcW w:w="2835" w:type="dxa"/>
          </w:tcPr>
          <w:p>
            <w:pPr>
              <w:tabs>
                <w:tab w:val="left" w:pos="2574" w:leader="none"/>
                <w:tab w:val="left" w:pos="4395" w:leader="none"/>
              </w:tabs>
              <w:rPr>
                <w:rFonts w:ascii="Barlow Semi Condensed SemiBold" w:hAnsi="Barlow Semi Condensed SemiBold"/>
                <w:sz w:val="20"/>
              </w:rPr>
            </w:pPr>
            <w:r>
              <w:rPr>
                <w:rFonts w:ascii="Barlow Semi Condensed SemiBold" w:hAnsi="Barlow Semi Condensed SemiBold"/>
                <w:sz w:val="20"/>
              </w:rPr>
              <w:t>Datum</w:t>
            </w:r>
          </w:p>
        </w:tc>
      </w:tr>
      <w:tr>
        <w:trPr>
          <w:jc w:val="center"/>
        </w:trPr>
        <w:tc>
          <w:tcPr>
            <w:tcW w:w="2098"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Information om start</w:t>
            </w:r>
          </w:p>
        </w:tc>
        <w:tc>
          <w:tcPr>
            <w:tcW w:w="2551"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Samhällsbyggnadsnämnden</w:t>
            </w:r>
          </w:p>
        </w:tc>
        <w:tc>
          <w:tcPr>
            <w:tcW w:w="2835"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2022-04-20</w:t>
            </w:r>
          </w:p>
        </w:tc>
      </w:tr>
      <w:tr>
        <w:trPr>
          <w:jc w:val="center"/>
        </w:trPr>
        <w:tc>
          <w:tcPr>
            <w:tcW w:w="2098"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Beslut om samråd</w:t>
            </w:r>
          </w:p>
        </w:tc>
        <w:tc>
          <w:tcPr>
            <w:tcW w:w="2551"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Samhällsbyggnadsnämnden</w:t>
            </w:r>
          </w:p>
        </w:tc>
        <w:tc>
          <w:tcPr>
            <w:tcW w:w="2835"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2023-02-22</w:t>
            </w:r>
          </w:p>
        </w:tc>
      </w:tr>
      <w:tr>
        <w:trPr>
          <w:jc w:val="center"/>
        </w:trPr>
        <w:tc>
          <w:tcPr>
            <w:tcW w:w="2098"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Samrådstid</w:t>
            </w:r>
          </w:p>
        </w:tc>
        <w:tc>
          <w:tcPr>
            <w:tcW w:w="2551" w:type="dxa"/>
          </w:tcPr>
          <w:p>
            <w:pPr>
              <w:tabs>
                <w:tab w:val="left" w:pos="2574" w:leader="none"/>
                <w:tab w:val="left" w:pos="4395" w:leader="none"/>
              </w:tabs>
              <w:rPr>
                <w:rFonts w:ascii="Barlow Semi Condensed" w:hAnsi="Barlow Semi Condensed"/>
                <w:sz w:val="20"/>
              </w:rPr>
            </w:pPr>
          </w:p>
        </w:tc>
        <w:tc>
          <w:tcPr>
            <w:tcW w:w="2835"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 xml:space="preserve">13 mars -  11 april 2023</w:t>
            </w:r>
          </w:p>
        </w:tc>
      </w:tr>
      <w:tr>
        <w:trPr>
          <w:jc w:val="center"/>
        </w:trPr>
        <w:tc>
          <w:tcPr>
            <w:tcW w:w="2098"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Granskningstid</w:t>
            </w:r>
          </w:p>
        </w:tc>
        <w:tc>
          <w:tcPr>
            <w:tcW w:w="2551" w:type="dxa"/>
          </w:tcPr>
          <w:p>
            <w:pPr>
              <w:tabs>
                <w:tab w:val="left" w:pos="2574" w:leader="none"/>
                <w:tab w:val="left" w:pos="4395" w:leader="none"/>
              </w:tabs>
              <w:rPr>
                <w:rFonts w:ascii="Barlow Semi Condensed" w:hAnsi="Barlow Semi Condensed"/>
                <w:sz w:val="20"/>
              </w:rPr>
            </w:pPr>
          </w:p>
        </w:tc>
        <w:tc>
          <w:tcPr>
            <w:tcW w:w="2835" w:type="dxa"/>
          </w:tcPr>
          <w:p>
            <w:pPr>
              <w:tabs>
                <w:tab w:val="left" w:pos="2574" w:leader="none"/>
                <w:tab w:val="left" w:pos="4395" w:leader="none"/>
              </w:tabs>
              <w:rPr>
                <w:rFonts w:ascii="Barlow Semi Condensed" w:hAnsi="Barlow Semi Condensed"/>
                <w:color w:val="FF0000"/>
                <w:sz w:val="20"/>
              </w:rPr>
            </w:pPr>
            <w:r>
              <w:rPr>
                <w:rFonts w:ascii="Barlow Semi Condensed" w:hAnsi="Barlow Semi Condensed"/>
                <w:sz w:val="20"/>
              </w:rPr>
              <w:t xml:space="preserve">11 mars -  8 april 2024</w:t>
            </w:r>
          </w:p>
        </w:tc>
      </w:tr>
      <w:tr>
        <w:trPr>
          <w:jc w:val="center"/>
        </w:trPr>
        <w:tc>
          <w:tcPr>
            <w:tcW w:w="2098"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Beslut om antagande</w:t>
            </w:r>
          </w:p>
        </w:tc>
        <w:tc>
          <w:tcPr>
            <w:tcW w:w="2551"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Samhällsbyggnadsnämnden</w:t>
            </w:r>
          </w:p>
        </w:tc>
        <w:tc>
          <w:tcPr>
            <w:tcW w:w="2835"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2024-09-18</w:t>
            </w:r>
          </w:p>
        </w:tc>
      </w:tr>
      <w:tr>
        <w:trPr>
          <w:jc w:val="center"/>
        </w:trPr>
        <w:tc>
          <w:tcPr>
            <w:tcW w:w="2098"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Laga kraft</w:t>
            </w:r>
          </w:p>
        </w:tc>
        <w:tc>
          <w:tcPr>
            <w:tcW w:w="2551" w:type="dxa"/>
          </w:tcPr>
          <w:p>
            <w:pPr>
              <w:tabs>
                <w:tab w:val="left" w:pos="2574" w:leader="none"/>
                <w:tab w:val="left" w:pos="4395" w:leader="none"/>
              </w:tabs>
              <w:rPr>
                <w:rFonts w:ascii="Barlow Semi Condensed" w:hAnsi="Barlow Semi Condensed"/>
                <w:sz w:val="20"/>
              </w:rPr>
            </w:pPr>
          </w:p>
        </w:tc>
        <w:tc>
          <w:tcPr>
            <w:tcW w:w="2835" w:type="dxa"/>
          </w:tcPr>
          <w:p>
            <w:pPr>
              <w:tabs>
                <w:tab w:val="left" w:pos="2574" w:leader="none"/>
                <w:tab w:val="left" w:pos="4395" w:leader="none"/>
              </w:tabs>
              <w:rPr>
                <w:rFonts w:ascii="Barlow Semi Condensed" w:hAnsi="Barlow Semi Condensed"/>
                <w:sz w:val="20"/>
              </w:rPr>
            </w:pPr>
            <w:r>
              <w:rPr>
                <w:rFonts w:ascii="Barlow Semi Condensed" w:hAnsi="Barlow Semi Condensed"/>
                <w:sz w:val="20"/>
              </w:rPr>
              <w:t>Kvartal 4 2024</w:t>
            </w:r>
          </w:p>
        </w:tc>
      </w:tr>
    </w:tbl>
    <w:p>
      <w:pPr>
        <w:tabs>
          <w:tab w:val="left" w:pos="2574" w:leader="none"/>
          <w:tab w:val="left" w:pos="4395" w:leader="none"/>
        </w:tabs>
        <w:rPr>
          <w:rFonts w:ascii="Barlow Semi Condensed" w:hAnsi="Barlow Semi Condensed"/>
          <w:sz w:val="20"/>
        </w:rPr>
      </w:pPr>
    </w:p>
    <w:p>
      <w:r>
        <w:t>Eventuella synpunkter har kunnat skickas till planenheten under samråd och granskning via post eller e-post. Den som inte framför skriftliga synpunkter under samråd- eller granskningsskedet kan förlora rätten att senare överklaga beslutet att anta detaljplanen.</w:t>
      </w:r>
    </w:p>
    <w:p/>
    <w:p>
      <w:r>
        <w:t xml:space="preserve">Postadress: </w:t>
        <w:tab/>
        <w:t>Motala kommun</w:t>
      </w:r>
    </w:p>
    <w:p>
      <w:r>
        <w:tab/>
        <w:t>Gemensam ledningsförvaltning/Planenheten</w:t>
      </w:r>
    </w:p>
    <w:p>
      <w:r>
        <w:tab/>
        <w:t xml:space="preserve">591 86 Motala </w:t>
      </w:r>
    </w:p>
    <w:p/>
    <w:p>
      <w:r>
        <w:t>E-post: samhallsbyggnad@motala.se</w:t>
      </w:r>
    </w:p>
    <w:p/>
    <w:p>
      <w:r>
        <w:t xml:space="preserve">Under samråd och granskning fanns planförslaget, miljöbedömningen samt utredningar att ta del av i kommunhusets foajé, Drottninggatan 2, Motala under kontorstid samt på huvudbiblioteket i Folkets Hus, Repslagaregatan 1, Motala under bibliotekets öppettider. </w:t>
      </w:r>
    </w:p>
    <w:p/>
    <w:p>
      <w:r>
        <w:t>Planförslaget, miljöbedömningen samt utredningar finns att ta del av på kommunens hemsida under hela planarbetet.</w:t>
      </w:r>
    </w:p>
    <w:p/>
    <w:p>
      <w:bookmarkStart w:id="55" w:name="_Hlk95914390"/>
      <w:r>
        <w:rPr>
          <w:rFonts w:cs="Arial"/>
          <w:szCs w:val="24"/>
        </w:rPr>
        <w:t xml:space="preserve">Protokoll från Samhällsbyggnadsnämndens beslut gällande planförslaget finns digitalt </w:t>
      </w:r>
      <w:r>
        <w:t xml:space="preserve">tillgängligt på kommunens anslagstavla, </w:t>
      </w:r>
      <w:bookmarkStart w:id="56" w:name="_Hlk94711994"/>
      <w:r>
        <w:t xml:space="preserve">under </w:t>
      </w:r>
      <w:bookmarkEnd w:id="56"/>
      <w:r>
        <w:t>anslagstavlan.motala.se, och i kommunens diarium, under diariet.motala.se.</w:t>
      </w:r>
    </w:p>
    <w:p>
      <w:pPr>
        <w:jc w:val="both"/>
      </w:pPr>
      <w:bookmarkEnd w:id="53"/>
    </w:p>
    <w:p>
      <w:pPr>
        <w:rPr>
          <w:noProof w:val="1"/>
          <w:lang w:eastAsia="sv-SE"/>
        </w:rPr>
      </w:pPr>
      <w:bookmarkEnd w:id="55"/>
      <w:bookmarkStart w:id="57" w:name="be_varförändringavdetaljplanvalts01"/>
    </w:p>
    <w:p>
      <w:pPr>
        <w:pStyle w:val="P2"/>
      </w:pPr>
      <w:bookmarkStart w:id="58" w:name="_Toc175726274"/>
      <w:bookmarkStart w:id="59" w:name="be_annat03"/>
      <w:r>
        <w:t>Motiv till planförfarande</w:t>
      </w:r>
      <w:bookmarkEnd w:id="58"/>
    </w:p>
    <w:p>
      <w:bookmarkStart w:id="60" w:name="_Hlk132627893"/>
      <w:r>
        <w:t>Standardförfarande tillämpas eftersom detaljplanen bedöms vara förenlig med översiktsplanen och bedöms inte medföra betydande miljöpåverkan eller vara av betydande intresse för allmänheten eller av stor betydelse i övrigt.</w:t>
      </w:r>
    </w:p>
    <w:p>
      <w:pPr>
        <w:rPr>
          <w:noProof w:val="1"/>
          <w:lang w:eastAsia="sv-SE"/>
        </w:rPr>
      </w:pPr>
      <w:bookmarkEnd w:id="54"/>
      <w:bookmarkEnd w:id="57"/>
      <w:bookmarkEnd w:id="59"/>
      <w:bookmarkEnd w:id="60"/>
      <w:bookmarkStart w:id="61" w:name="_Hlk90559247"/>
      <w:bookmarkStart w:id="62" w:name="be_annat01"/>
    </w:p>
    <w:p>
      <w:pPr>
        <w:spacing w:lineRule="auto" w:line="259" w:after="160" w:beforeAutospacing="0" w:afterAutospacing="0"/>
        <w:rPr>
          <w:rFonts w:ascii="Arial" w:hAnsi="Arial" w:cs="Arial" w:eastAsia="Arial"/>
          <w:noProof w:val="1"/>
          <w:color w:val="000000"/>
          <w:shd w:val="clear" w:color="auto" w:fill="FFFFFF"/>
          <w:lang w:eastAsia="sv-SE"/>
        </w:rPr>
      </w:pPr>
      <w:bookmarkEnd w:id="61"/>
      <w:bookmarkEnd w:id="62"/>
      <w:r>
        <w:rPr>
          <w:rFonts w:ascii="Arial" w:hAnsi="Arial" w:cs="Arial" w:eastAsia="Arial"/>
          <w:noProof w:val="1"/>
          <w:color w:val="000000"/>
          <w:shd w:val="clear" w:color="auto" w:fill="FFFFFF"/>
          <w:lang w:eastAsia="sv-SE"/>
        </w:rPr>
        <w:br w:type="page"/>
      </w:r>
    </w:p>
    <w:p>
      <w:pPr>
        <w:pStyle w:val="P1"/>
      </w:pPr>
      <w:bookmarkStart w:id="63" w:name="_Toc89445985"/>
      <w:bookmarkStart w:id="64" w:name="_Toc101363487"/>
      <w:bookmarkStart w:id="65" w:name="_Toc175726275"/>
      <w:r>
        <w:t xml:space="preserve">Motiv till </w:t>
      </w:r>
      <w:bookmarkEnd w:id="63"/>
      <w:bookmarkEnd w:id="64"/>
      <w:r>
        <w:t>detaljplanens regleringar</w:t>
      </w:r>
      <w:bookmarkEnd w:id="65"/>
      <w:bookmarkStart w:id="66" w:name="_Toc89445986"/>
      <w:bookmarkStart w:id="67" w:name="_Toc101363488"/>
      <w:r>
        <w:t xml:space="preserve"> </w:t>
      </w:r>
    </w:p>
    <w:tbl>
      <w:tblPr>
        <w:tblStyle w:val="T2"/>
        <w:tblW w:w="0" w:type="auto"/>
        <w:tblLook w:val="04A0"/>
      </w:tblPr>
      <w:tblGrid/>
      <w:tr>
        <w:tc>
          <w:tcPr>
            <w:tcW w:w="8494" w:type="dxa"/>
            <w:tc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tcBorders>
            <w:shd w:val="clear" w:color="auto" w:fill="F2F2F2" w:themeFill="background1" w:themeFillShade="F2"/>
          </w:tcPr>
          <w:p>
            <w:pPr>
              <w:spacing w:before="80" w:after="120" w:beforeAutospacing="0" w:afterAutospacing="0"/>
              <w:rPr>
                <w:lang w:eastAsia="sv-SE"/>
              </w:rPr>
            </w:pPr>
            <w:r>
              <w:rPr>
                <w:lang w:eastAsia="sv-SE"/>
              </w:rPr>
              <w:t xml:space="preserve">I planbeskrivningen ska kommunen redovisa motiven till de enskilda regleringarna i </w:t>
            </w:r>
            <w:r>
              <w:rPr>
                <w:noProof w:val="1"/>
                <w:lang w:eastAsia="sv-SE"/>
              </w:rPr>
              <w:t>planen</w:t>
            </w:r>
            <w:r>
              <w:rPr>
                <w:lang w:eastAsia="sv-SE"/>
              </w:rPr>
              <w:t xml:space="preserve">. Redovisningen ska göras utifrån </w:t>
            </w:r>
            <w:r>
              <w:rPr>
                <w:noProof w:val="1"/>
                <w:lang w:eastAsia="sv-SE"/>
              </w:rPr>
              <w:t xml:space="preserve">planens </w:t>
            </w:r>
            <w:r>
              <w:rPr>
                <w:lang w:eastAsia="sv-SE"/>
              </w:rPr>
              <w:t>syfte och andra kapitlet i plan- och bygglagen (PBL).</w:t>
            </w:r>
          </w:p>
        </w:tc>
      </w:tr>
    </w:tbl>
    <w:p>
      <w:pPr>
        <w:rPr>
          <w:lang w:eastAsia="sv-SE"/>
        </w:rPr>
      </w:pPr>
    </w:p>
    <w:p>
      <w:pPr>
        <w:pStyle w:val="P2"/>
      </w:pPr>
      <w:bookmarkStart w:id="68" w:name="_Toc175726276"/>
      <w:r>
        <w:t>M</w:t>
      </w:r>
      <w:bookmarkEnd w:id="66"/>
      <w:bookmarkEnd w:id="67"/>
      <w:r>
        <w:t>otiv till regleringar</w:t>
      </w:r>
      <w:bookmarkEnd w:id="68"/>
    </w:p>
    <w:p>
      <w:pPr>
        <w:pStyle w:val="P3"/>
      </w:pPr>
      <w:bookmarkStart w:id="69" w:name="_Toc89445987"/>
      <w:bookmarkStart w:id="70" w:name="_Toc101363489"/>
      <w:bookmarkStart w:id="71" w:name="_Toc132627671"/>
      <w:bookmarkStart w:id="72" w:name="_Toc175726277"/>
      <w:r>
        <w:t xml:space="preserve">Användning av </w:t>
      </w:r>
      <w:bookmarkEnd w:id="69"/>
      <w:bookmarkEnd w:id="70"/>
      <w:r>
        <w:t>allmän platsmark</w:t>
      </w:r>
      <w:bookmarkEnd w:id="71"/>
      <w:bookmarkEnd w:id="72"/>
    </w:p>
    <w:p>
      <w:bookmarkStart w:id="73" w:name="mo_motivtillreglering01"/>
      <w:r>
        <w:rPr>
          <w:b w:val="1"/>
          <w:noProof w:val="1"/>
          <w:lang w:eastAsia="sv-SE"/>
        </w:rPr>
        <w:t>NATUR</w:t>
      </w:r>
      <w:r>
        <w:rPr>
          <w:noProof w:val="1"/>
          <w:lang w:eastAsia="sv-SE"/>
        </w:rPr>
        <w:t xml:space="preserve">: </w:t>
      </w:r>
      <w:r>
        <w:t xml:space="preserve">Motivet att planlägga för NATUR i den västra och den östra delen av detaljplanen utgår ifrån PBL (2010:900) 2 kap. 3 § att planläggning ska från social synpunkt främja en god livsmiljö som är tillgänglig och användbar för alla samhällsgrupper, 2 kap. 6 § att bebyggelse ska placeras inom planområdet på ett sätt som är lämpligt med hänsyn till natur- och kulturvärdena samt 2 kap. 7 § att ta hänsyn till behovet av att det, inom eller i nära anslutning till områden med sammanhållen bebyggelse, finns parker och andra grönområden. Genom användningen kan naturvärden och områden utvecklas och bidra till grönområden i den bebyggda miljön. </w:t>
      </w:r>
    </w:p>
    <w:p>
      <w:bookmarkEnd w:id="73"/>
    </w:p>
    <w:p>
      <w:pPr>
        <w:rPr>
          <w:color w:val="FB784C" w:themeColor="accent4" w:themeTint="99"/>
        </w:rPr>
      </w:pPr>
      <w:bookmarkStart w:id="74" w:name="mo_motivtillreglering02"/>
      <w:r>
        <w:rPr>
          <w:b w:val="1"/>
          <w:bCs w:val="1"/>
        </w:rPr>
        <w:t>GATA</w:t>
      </w:r>
      <w:r>
        <w:t>: Motivet att planlägga för GATA utgår ifrån PBL (2010:900) 2 kap. 3 § att främja en ändamålsenlig struktur och utformning av kommunikationsleder, 2 kap. 6 § att ta hänsyn till trafikförsörjning och behovet av en god trafikmiljö samt 2 kap. 7 § att ta hänsyn till behovet av att det, inom eller i nära anslutning till områden med sammanhållen bebyggelse, finns gator och vägar</w:t>
      </w:r>
      <w:bookmarkEnd w:id="74"/>
      <w:r>
        <w:t>.</w:t>
      </w:r>
    </w:p>
    <w:p>
      <w:pPr>
        <w:rPr>
          <w:noProof w:val="1"/>
          <w:lang w:eastAsia="sv-SE"/>
        </w:rPr>
      </w:pPr>
    </w:p>
    <w:p>
      <w:pPr>
        <w:pStyle w:val="P3"/>
      </w:pPr>
      <w:bookmarkStart w:id="75" w:name="_Toc89445988"/>
      <w:bookmarkStart w:id="76" w:name="_Toc101363490"/>
      <w:bookmarkStart w:id="77" w:name="_Toc132627672"/>
      <w:bookmarkStart w:id="78" w:name="_Toc175726278"/>
      <w:r>
        <w:t xml:space="preserve">Användning av </w:t>
      </w:r>
      <w:bookmarkEnd w:id="75"/>
      <w:bookmarkEnd w:id="76"/>
      <w:r>
        <w:t>kvartersmark</w:t>
      </w:r>
      <w:bookmarkEnd w:id="77"/>
      <w:bookmarkEnd w:id="78"/>
    </w:p>
    <w:p>
      <w:bookmarkStart w:id="79" w:name="mo_motivtillreglering03"/>
      <w:bookmarkStart w:id="80" w:name="_Toc89445989"/>
      <w:r>
        <w:rPr>
          <w:b w:val="1"/>
          <w:noProof w:val="1"/>
          <w:lang w:eastAsia="sv-SE"/>
        </w:rPr>
        <w:t>B</w:t>
      </w:r>
      <w:r>
        <w:rPr>
          <w:noProof w:val="1"/>
          <w:lang w:eastAsia="sv-SE"/>
        </w:rPr>
        <w:t xml:space="preserve"> - </w:t>
      </w:r>
      <w:r>
        <w:rPr>
          <w:b w:val="1"/>
          <w:noProof w:val="1"/>
          <w:lang w:eastAsia="sv-SE"/>
        </w:rPr>
        <w:t>Bostäder</w:t>
      </w:r>
      <w:r>
        <w:rPr>
          <w:noProof w:val="1"/>
          <w:lang w:eastAsia="sv-SE"/>
        </w:rPr>
        <w:t xml:space="preserve">: </w:t>
      </w:r>
      <w:r>
        <w:t>Motivet att planlägga för B utgår ifrån PBL (2010:900) 2 kap. 3 § att främja bostadsbyggande och utveckling av bostadsbeståndet samt 2 kap. 5 § mark som är lämplig med hänsyn till möjligheterna att ordna trafik, vattenförsörjning, avlopp och avfallshantering. Användningen införs för att möjliggöra för bostäder.</w:t>
      </w:r>
    </w:p>
    <w:p>
      <w:bookmarkEnd w:id="79"/>
    </w:p>
    <w:p>
      <w:bookmarkStart w:id="81" w:name="mo_motivtillreglering04"/>
      <w:r>
        <w:rPr>
          <w:b w:val="1"/>
          <w:noProof w:val="1"/>
          <w:lang w:eastAsia="sv-SE"/>
        </w:rPr>
        <w:t>E</w:t>
      </w:r>
      <w:r>
        <w:rPr>
          <w:b w:val="1"/>
          <w:noProof w:val="1"/>
          <w:vertAlign w:val="subscript"/>
          <w:lang w:eastAsia="sv-SE"/>
        </w:rPr>
        <w:t>1</w:t>
      </w:r>
      <w:r>
        <w:rPr>
          <w:noProof w:val="1"/>
          <w:lang w:eastAsia="sv-SE"/>
        </w:rPr>
        <w:t xml:space="preserve"> - </w:t>
      </w:r>
      <w:r>
        <w:rPr>
          <w:b w:val="1"/>
          <w:noProof w:val="1"/>
          <w:lang w:eastAsia="sv-SE"/>
        </w:rPr>
        <w:t>Transformatorstation</w:t>
      </w:r>
      <w:r>
        <w:rPr>
          <w:noProof w:val="1"/>
          <w:lang w:eastAsia="sv-SE"/>
        </w:rPr>
        <w:t xml:space="preserve">: </w:t>
      </w:r>
      <w:r>
        <w:t>Motivet att planlägga för E</w:t>
      </w:r>
      <w:r>
        <w:rPr>
          <w:vertAlign w:val="subscript"/>
        </w:rPr>
        <w:t>1</w:t>
      </w:r>
      <w:r>
        <w:t xml:space="preserve"> utgår ifrån PBL (2010:900) 2 kap. 6 § att bebyggelse ska utformas och placeras inom planområdet på ett sätt som är lämpligt med hänsyn till behovet av hushållning med energi. Användningen införs inom planområdet för att säkerställa att det finns tillräcklig kapacitet i elnätet för att försörja kommande exploatering.</w:t>
      </w:r>
    </w:p>
    <w:p>
      <w:pPr>
        <w:rPr>
          <w:noProof w:val="1"/>
          <w:lang w:eastAsia="sv-SE"/>
        </w:rPr>
      </w:pPr>
      <w:bookmarkEnd w:id="80"/>
      <w:bookmarkEnd w:id="81"/>
      <w:bookmarkStart w:id="82" w:name="_Toc89445990"/>
    </w:p>
    <w:p>
      <w:pPr>
        <w:pStyle w:val="P3"/>
      </w:pPr>
      <w:bookmarkStart w:id="83" w:name="_Toc101363493"/>
      <w:bookmarkStart w:id="84" w:name="_Toc132627675"/>
      <w:bookmarkStart w:id="85" w:name="_Toc175726279"/>
      <w:r>
        <w:t xml:space="preserve">Egenskapsbestämmelser för </w:t>
      </w:r>
      <w:bookmarkEnd w:id="82"/>
      <w:bookmarkEnd w:id="83"/>
      <w:r>
        <w:t>kvartersmark</w:t>
      </w:r>
      <w:bookmarkEnd w:id="84"/>
      <w:bookmarkEnd w:id="85"/>
    </w:p>
    <w:p>
      <w:bookmarkStart w:id="86" w:name="mo_motivtillreglering05"/>
      <w:r>
        <w:rPr>
          <w:b w:val="1"/>
          <w:noProof w:val="1"/>
          <w:lang w:eastAsia="sv-SE"/>
        </w:rPr>
        <w:t xml:space="preserve">Marken får inte förses med byggnad: </w:t>
      </w:r>
      <w:r>
        <w:t xml:space="preserve">Motivet att planlägga för prickmark utgår ifrån PBL (2010:900) 2 kap. 6 § att bebyggelse ska utformas och placeras på marken på ett sätt som är lämpligt med hänsyn till stads- och landskapsbilden, natur- och kulturvärdena på platsen och intresset av en god helhetsverkan, samt behovet av framtida förändringar och kompletteringar. </w:t>
      </w:r>
    </w:p>
    <w:p/>
    <w:p>
      <w:r>
        <w:t xml:space="preserve">Prickmarken på kvartersmark som gränsar till allmän platsmark natur (NATUR) är 2 meter bred och syftar till att säkerställa att ingen bebyggelse uppförs i direkt anslutning till naturmarken. </w:t>
      </w:r>
    </w:p>
    <w:p/>
    <w:p>
      <w:pPr>
        <w:rPr>
          <w:sz w:val="21"/>
          <w:szCs w:val="21"/>
        </w:rPr>
      </w:pPr>
      <w:r>
        <w:t xml:space="preserve">Prickmarken på kvartersmark mot användningen transformatorstation (E1) är 5 meter bred och syftar till att styra var en byggnad kan tillåtas. </w:t>
      </w:r>
    </w:p>
    <w:p>
      <w:pPr>
        <w:rPr>
          <w:sz w:val="21"/>
          <w:szCs w:val="21"/>
        </w:rPr>
      </w:pPr>
      <w:bookmarkEnd w:id="86"/>
    </w:p>
    <w:p>
      <w:bookmarkStart w:id="87" w:name="mo_motivtillreglering06"/>
      <w:r>
        <w:rPr>
          <w:b w:val="1"/>
          <w:noProof w:val="1"/>
          <w:lang w:eastAsia="sv-SE"/>
        </w:rPr>
        <w:t>h</w:t>
      </w:r>
      <w:r>
        <w:rPr>
          <w:b w:val="1"/>
          <w:noProof w:val="1"/>
          <w:vertAlign w:val="subscript"/>
          <w:lang w:eastAsia="sv-SE"/>
        </w:rPr>
        <w:t>1</w:t>
      </w:r>
      <w:r>
        <w:rPr>
          <w:b w:val="1"/>
          <w:noProof w:val="1"/>
          <w:lang w:eastAsia="sv-SE"/>
        </w:rPr>
        <w:t xml:space="preserve"> – Högsta nockhöjd är 9 meter: </w:t>
      </w:r>
      <w:r>
        <w:t>Motivet utgår ifrån PBL (2010:900) 2 kap. 3 § att främja en ändamålsenlig struktur och en estetiskt tilltalande utformning av bebyggelse och bostadsbyggande.</w:t>
      </w:r>
    </w:p>
    <w:p/>
    <w:p>
      <w:pPr>
        <w:rPr>
          <w:sz w:val="21"/>
          <w:szCs w:val="21"/>
        </w:rPr>
      </w:pPr>
      <w:r>
        <w:t xml:space="preserve">utveckling av bostadsbeståndet samt 2 kap. 6 § att bebyggelse ska utformas och placeras på ett sätt som är lämpligt med hänsyn till stads- och landskapsbilden, intresset av en god helhetsverkan samt behovet av framtida förändringar och kompletteringar. </w:t>
      </w:r>
    </w:p>
    <w:p>
      <w:pPr>
        <w:rPr>
          <w:color w:val="FB784C" w:themeColor="accent4" w:themeTint="99"/>
        </w:rPr>
      </w:pPr>
    </w:p>
    <w:p>
      <w:pPr>
        <w:rPr>
          <w:color w:val="FB784C" w:themeColor="accent4" w:themeTint="99"/>
        </w:rPr>
      </w:pPr>
      <w:r>
        <w:rPr>
          <w:b w:val="1"/>
          <w:noProof w:val="1"/>
          <w:lang w:eastAsia="sv-SE"/>
        </w:rPr>
        <w:t>f</w:t>
      </w:r>
      <w:r>
        <w:rPr>
          <w:b w:val="1"/>
          <w:noProof w:val="1"/>
          <w:vertAlign w:val="subscript"/>
          <w:lang w:eastAsia="sv-SE"/>
        </w:rPr>
        <w:t>1</w:t>
      </w:r>
      <w:r>
        <w:rPr>
          <w:b w:val="1"/>
          <w:noProof w:val="1"/>
          <w:lang w:eastAsia="sv-SE"/>
        </w:rPr>
        <w:t xml:space="preserve"> – Endast flerbostadshus, radhus, parhus och kedjehus: </w:t>
      </w:r>
      <w:r>
        <w:t>Motivet utgår ifrån PBL (2010:900) 2 kap. 3 § att främja en ändamålsenlig struktur och en estetiskt tilltalande utformning av bebyggelse, bostadsbyggande och utveckling av bostadsbeståndet samt 2 kap. 6 § att bebyggelse ska utformas och placeras på ett sätt som är lämpligt med hänsyn till stads- och landskapsbilden, intresset av en god helhetsverkan, samt behovet av framtida förändringar och kompletteringar.</w:t>
      </w:r>
    </w:p>
    <w:p>
      <w:pPr>
        <w:rPr>
          <w:b w:val="1"/>
          <w:noProof w:val="1"/>
          <w:lang w:eastAsia="sv-SE"/>
        </w:rPr>
      </w:pPr>
    </w:p>
    <w:p>
      <w:r>
        <w:rPr>
          <w:b w:val="1"/>
          <w:noProof w:val="1"/>
          <w:lang w:eastAsia="sv-SE"/>
        </w:rPr>
        <w:t>b</w:t>
      </w:r>
      <w:r>
        <w:rPr>
          <w:b w:val="1"/>
          <w:noProof w:val="1"/>
          <w:vertAlign w:val="subscript"/>
          <w:lang w:eastAsia="sv-SE"/>
        </w:rPr>
        <w:t>1</w:t>
      </w:r>
      <w:r>
        <w:rPr>
          <w:noProof w:val="1"/>
          <w:lang w:eastAsia="sv-SE"/>
        </w:rPr>
        <w:t xml:space="preserve"> – </w:t>
      </w:r>
      <w:r>
        <w:rPr>
          <w:b w:val="1"/>
          <w:noProof w:val="1"/>
          <w:lang w:eastAsia="sv-SE"/>
        </w:rPr>
        <w:t>Minst 50 % av marken ska vara genomsläpplig</w:t>
      </w:r>
      <w:r>
        <w:rPr>
          <w:noProof w:val="1"/>
          <w:lang w:eastAsia="sv-SE"/>
        </w:rPr>
        <w:t xml:space="preserve">: </w:t>
      </w:r>
      <w:r>
        <w:t xml:space="preserve">Motivet att planlägga för b1 utgår ifrån PBL (2010:900) 2 kap. 5 § att bebyggelse ska ta hänsyn till möjligheterna att förebygga vattenföroreningar samt risken för översvämning. Hur stor andel av marken som ska vara genomsläpplig regleras i syfte att möjliggöra för fördröjning och infiltration av dagvatten lokalt innan dagvattnet når det kommunala ledningsnätet samt för att minimera dagvattnets avrinningshastighet på markytan. </w:t>
      </w:r>
    </w:p>
    <w:p/>
    <w:p>
      <w:pPr>
        <w:rPr>
          <w:sz w:val="21"/>
          <w:szCs w:val="21"/>
        </w:rPr>
      </w:pPr>
      <w:r>
        <w:t xml:space="preserve">Bestämmelsen införs på kvartersmark i enlighet med resultatet av dagvattenutredningen. </w:t>
      </w:r>
    </w:p>
    <w:p>
      <w:pPr>
        <w:rPr>
          <w:noProof w:val="1"/>
          <w:lang w:eastAsia="sv-SE"/>
        </w:rPr>
      </w:pPr>
    </w:p>
    <w:p>
      <w:r>
        <w:rPr>
          <w:b w:val="1"/>
          <w:noProof w:val="1"/>
          <w:lang w:eastAsia="sv-SE"/>
        </w:rPr>
        <w:t>e</w:t>
      </w:r>
      <w:r>
        <w:rPr>
          <w:b w:val="1"/>
          <w:noProof w:val="1"/>
          <w:vertAlign w:val="subscript"/>
          <w:lang w:eastAsia="sv-SE"/>
        </w:rPr>
        <w:t>1</w:t>
      </w:r>
      <w:r>
        <w:rPr>
          <w:noProof w:val="1"/>
          <w:lang w:eastAsia="sv-SE"/>
        </w:rPr>
        <w:t xml:space="preserve"> – </w:t>
      </w:r>
      <w:r>
        <w:rPr>
          <w:b w:val="1"/>
          <w:noProof w:val="1"/>
          <w:lang w:eastAsia="sv-SE"/>
        </w:rPr>
        <w:t>Största bruttoarea är 9000 m</w:t>
      </w:r>
      <w:r>
        <w:rPr>
          <w:b w:val="1"/>
          <w:noProof w:val="1"/>
          <w:vertAlign w:val="superscript"/>
          <w:lang w:eastAsia="sv-SE"/>
        </w:rPr>
        <w:t>2</w:t>
      </w:r>
      <w:r>
        <w:rPr>
          <w:noProof w:val="1"/>
          <w:lang w:eastAsia="sv-SE"/>
        </w:rPr>
        <w:t xml:space="preserve">: </w:t>
      </w:r>
      <w:r>
        <w:t>Motivet utgår ifrån PBL (2010:900) 2 kap. 6 § bebyggelse ska utformas och placeras på ett sätt som är lämpligt med hänsyn till stads- och landskapsbilden, intresset av en god helhetsverkan, samt behovet av framtida förändringar och kompletteringar. Bestämmelse införs i syfte att inte skapa för stora byggnadsvolymer i förhållande till fastigheten.</w:t>
      </w:r>
    </w:p>
    <w:p/>
    <w:p>
      <w:r>
        <w:rPr>
          <w:b w:val="1"/>
          <w:noProof w:val="1"/>
          <w:lang w:eastAsia="sv-SE"/>
        </w:rPr>
        <w:t>a</w:t>
      </w:r>
      <w:r>
        <w:rPr>
          <w:b w:val="1"/>
          <w:noProof w:val="1"/>
          <w:vertAlign w:val="subscript"/>
          <w:lang w:eastAsia="sv-SE"/>
        </w:rPr>
        <w:t>1</w:t>
      </w:r>
      <w:r>
        <w:rPr>
          <w:b w:val="1"/>
          <w:noProof w:val="1"/>
          <w:lang w:eastAsia="sv-SE"/>
        </w:rPr>
        <w:t xml:space="preserve"> – Marklov krävs även för åtgärder som kan försämra markens genomsläpplighet: </w:t>
      </w:r>
      <w:r>
        <w:t>Bestämmelsen införs för att säkerställa att dagvatten kan tas om hand om inom fastighet. Bestämmelsen tar hänsyn till att bebyggelse ska lokaliseras till mark som är lämpad för ändamålet med hänsyn till möjligheterna att förebygga vattenföroreningar samt risken för översvämning enligt PBL (2010:900) 2 kap. 5 §</w:t>
      </w:r>
    </w:p>
    <w:p/>
    <w:p>
      <w:r>
        <w:rPr>
          <w:b w:val="1"/>
          <w:noProof w:val="1"/>
          <w:lang w:eastAsia="sv-SE"/>
        </w:rPr>
        <w:t>m</w:t>
      </w:r>
      <w:r>
        <w:rPr>
          <w:b w:val="1"/>
          <w:noProof w:val="1"/>
          <w:vertAlign w:val="subscript"/>
          <w:lang w:eastAsia="sv-SE"/>
        </w:rPr>
        <w:t>1</w:t>
      </w:r>
      <w:r>
        <w:rPr>
          <w:b w:val="1"/>
          <w:noProof w:val="1"/>
          <w:lang w:eastAsia="sv-SE"/>
        </w:rPr>
        <w:t xml:space="preserve"> – Minst en gemensam bullerskyddad uteplats ska anordnas: </w:t>
      </w:r>
      <w:r>
        <w:t>Bestämmelsen införs för att säkerställa en bra ute miljö för människan avseende bullernivåer. Motivet att planlägga för m</w:t>
      </w:r>
      <w:r>
        <w:rPr>
          <w:vertAlign w:val="subscript"/>
        </w:rPr>
        <w:t>1</w:t>
      </w:r>
      <w:r>
        <w:rPr>
          <w:sz w:val="16"/>
          <w:szCs w:val="16"/>
        </w:rPr>
        <w:t xml:space="preserve"> </w:t>
      </w:r>
      <w:r>
        <w:t>utgår ifrån att säkerställa att föreslagen markanvändning är lämplig sett till människors hälsa utifrån ljudnivåer från Bergsättersvägen. Bestämmelsen tar hänsyn till både människors hälsa och säkerhet enligt PBL (2010:900) 2 kap 5 §.</w:t>
      </w:r>
    </w:p>
    <w:p>
      <w:pPr>
        <w:rPr>
          <w:color w:val="FB784C" w:themeColor="accent4" w:themeTint="99"/>
        </w:rPr>
      </w:pPr>
      <w:bookmarkEnd w:id="87"/>
    </w:p>
    <w:p>
      <w:pPr>
        <w:rPr>
          <w:color w:val="FB784C" w:themeColor="accent4" w:themeTint="99"/>
        </w:rPr>
      </w:pPr>
    </w:p>
    <w:p>
      <w:pPr>
        <w:rPr>
          <w:noProof w:val="1"/>
          <w:lang w:eastAsia="sv-SE"/>
        </w:rPr>
      </w:pPr>
    </w:p>
    <w:p>
      <w:pPr>
        <w:rPr>
          <w:noProof w:val="1"/>
          <w:lang w:eastAsia="sv-SE"/>
        </w:rPr>
      </w:pPr>
    </w:p>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pStyle w:val="P1"/>
      </w:pPr>
      <w:bookmarkStart w:id="88" w:name="_Toc89445991"/>
      <w:bookmarkStart w:id="89" w:name="_Toc101363495"/>
      <w:bookmarkStart w:id="90" w:name="_Toc175726280"/>
      <w:r>
        <w:t>Planerings</w:t>
      </w:r>
      <w:bookmarkEnd w:id="88"/>
      <w:bookmarkEnd w:id="89"/>
      <w:r>
        <w:t>förutsättningar</w:t>
      </w:r>
      <w:bookmarkEnd w:id="90"/>
      <w:bookmarkStart w:id="91" w:name="_Toc89445992"/>
      <w:bookmarkStart w:id="92" w:name="_Toc101363496"/>
      <w:r>
        <w:t xml:space="preserve"> </w:t>
      </w:r>
    </w:p>
    <w:tbl>
      <w:tblPr>
        <w:tblStyle w:val="T2"/>
        <w:tblW w:w="0" w:type="auto"/>
        <w:tblLook w:val="04A0"/>
      </w:tblPr>
      <w:tblGrid/>
      <w:tr>
        <w:tc>
          <w:tcPr>
            <w:tcW w:w="8494" w:type="dxa"/>
            <w:tc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tcBorders>
            <w:shd w:val="clear" w:color="auto" w:fill="F2F2F2" w:themeFill="background1" w:themeFillShade="F2"/>
          </w:tcPr>
          <w:p>
            <w:pPr>
              <w:spacing w:before="80" w:after="120" w:beforeAutospacing="0" w:afterAutospacing="0"/>
              <w:rPr>
                <w:lang w:eastAsia="sv-SE"/>
              </w:rPr>
            </w:pPr>
            <w:r>
              <w:rPr>
                <w:lang w:eastAsia="sv-SE"/>
              </w:rPr>
              <w:t xml:space="preserve">I planbeskrivningen ska kommunen redovisa planeringsförutsättningarna, det vill säga de förutsättningar på platsen och i omgivningarna som har haft betydelse för </w:t>
            </w:r>
            <w:r>
              <w:rPr>
                <w:noProof w:val="1"/>
                <w:lang w:eastAsia="sv-SE"/>
              </w:rPr>
              <w:t xml:space="preserve">planens </w:t>
            </w:r>
            <w:r>
              <w:rPr>
                <w:lang w:eastAsia="sv-SE"/>
              </w:rPr>
              <w:t xml:space="preserve">utformning och omfattning. Kommunen ska alltså beskriva vilka värden och karaktärsdrag som kan ha betydelse för </w:t>
            </w:r>
            <w:r>
              <w:rPr>
                <w:noProof w:val="1"/>
                <w:lang w:eastAsia="sv-SE"/>
              </w:rPr>
              <w:t xml:space="preserve">planen </w:t>
            </w:r>
            <w:r>
              <w:rPr>
                <w:lang w:eastAsia="sv-SE"/>
              </w:rPr>
              <w:t xml:space="preserve">men också vilka risker och utmaningar som behöver hanteras i planarbetet. Redovisningen ska också innehålla en sammanfattning av innehållet i de planeringsunderlag som använts och vilka slutsatser som varit relevanta för </w:t>
            </w:r>
            <w:r>
              <w:rPr>
                <w:noProof w:val="1"/>
                <w:lang w:eastAsia="sv-SE"/>
              </w:rPr>
              <w:t xml:space="preserve">planens </w:t>
            </w:r>
            <w:r>
              <w:rPr>
                <w:lang w:eastAsia="sv-SE"/>
              </w:rPr>
              <w:t>utformning och omfattning.</w:t>
            </w:r>
          </w:p>
        </w:tc>
      </w:tr>
    </w:tbl>
    <w:p>
      <w:pPr>
        <w:rPr>
          <w:lang w:eastAsia="sv-SE"/>
        </w:rPr>
      </w:pPr>
    </w:p>
    <w:p>
      <w:pPr>
        <w:pStyle w:val="P2"/>
      </w:pPr>
      <w:bookmarkStart w:id="93" w:name="_Toc175726281"/>
      <w:r>
        <w:t>K</w:t>
      </w:r>
      <w:bookmarkEnd w:id="91"/>
      <w:bookmarkEnd w:id="92"/>
      <w:r>
        <w:t>ommunala planeringsförutsättningar</w:t>
      </w:r>
      <w:bookmarkEnd w:id="93"/>
    </w:p>
    <w:p>
      <w:pPr>
        <w:rPr>
          <w:lang w:eastAsia="sv-SE"/>
        </w:rPr>
      </w:pPr>
      <w:bookmarkStart w:id="94" w:name="pf_kommunala01"/>
    </w:p>
    <w:p>
      <w:pPr>
        <w:pStyle w:val="P3"/>
      </w:pPr>
      <w:bookmarkEnd w:id="94"/>
      <w:bookmarkStart w:id="95" w:name="_Toc89445999"/>
      <w:bookmarkStart w:id="96" w:name="_Toc101363503"/>
      <w:bookmarkStart w:id="97" w:name="_Toc175726282"/>
      <w:bookmarkStart w:id="98" w:name="pf_översiktsplan02"/>
      <w:bookmarkStart w:id="99" w:name="_Toc89445993"/>
      <w:bookmarkStart w:id="100" w:name="_Toc101363497"/>
      <w:r>
        <w:t>Ö</w:t>
      </w:r>
      <w:bookmarkEnd w:id="95"/>
      <w:bookmarkEnd w:id="96"/>
      <w:r>
        <w:t>versiktsplan och fördjupad översiktsplan</w:t>
      </w:r>
      <w:bookmarkEnd w:id="97"/>
    </w:p>
    <w:p>
      <w:bookmarkStart w:id="101" w:name="_Hlk90559718"/>
      <w:bookmarkStart w:id="102" w:name="pf_översiktsplan01"/>
      <w:r>
        <w:t>Gällande översiktsplan, ÖP 2040, antagen 2022-06-07,</w:t>
      </w:r>
      <w:r>
        <w:rPr>
          <w:i w:val="1"/>
        </w:rPr>
        <w:t xml:space="preserve"> </w:t>
      </w:r>
      <w:r>
        <w:t xml:space="preserve">pekar ut planområdet som lämplig för bebyggelse i form av stadsbygd med syfte att förtäta och ta hänsyn till grönstråk. </w:t>
      </w:r>
    </w:p>
    <w:p/>
    <w:p>
      <w:r>
        <w:t>Planområdet är i översiktsplanen även utpekat som ett område där grönytor och grönstråk är viktiga att bevara och stärka. Översiktsplanen beskriver grönstrukturen som värdefull i hela kommunen men att planering och förvaltning av den blir särskilt viktig i tätbebyggda miljöer. Motala stad är uppskattat för sin närhet till natur, grönområden och vatten, vilket är viktigt att ta tillvara när staden utvecklas. Närheten främjar en aktiv livsstil där många rör sig till fots och med cykel, vilket är positivt för klimat och framkomlighet men också en viktig grund för hälsa och välbefinnande. Genom en ökad urbanisering och högre anspråk på utvecklingsbar mark för stadsomvandling och exploatering, ökar trycket på stadens grönytor. Dels växer staden utåt genom stadsutbredning på ny mark, dels växer staden inåt genom förtätning av innerstaden och ibland genom att ta obebyggda (gröna) ytor i anspråk. Det blir då särskilt viktigt att bevara och utveckla kvaliteten i centralt belägna grönområden och att bevara en genomtänkt grönstruktur i både staden och ut på landsbygden som spridningsstråk för växter och djur och för rekreation, friluftsliv och naturvistelse och att knyta ihop land och stad med cykelstråk.</w:t>
      </w:r>
    </w:p>
    <w:p>
      <w:pPr>
        <w:rPr>
          <w:lang w:eastAsia="sv-SE"/>
        </w:rPr>
      </w:pPr>
      <w:bookmarkEnd w:id="98"/>
    </w:p>
    <w:p>
      <w:pPr>
        <w:pStyle w:val="P3"/>
      </w:pPr>
      <w:bookmarkStart w:id="103" w:name="_Toc89445998"/>
      <w:bookmarkStart w:id="104" w:name="_Toc101363502"/>
      <w:bookmarkStart w:id="105" w:name="_Toc175726283"/>
      <w:bookmarkStart w:id="106" w:name="pf_planprogram01"/>
      <w:r>
        <w:t>P</w:t>
      </w:r>
      <w:bookmarkEnd w:id="103"/>
      <w:bookmarkEnd w:id="104"/>
      <w:r>
        <w:t>lanprogram</w:t>
      </w:r>
      <w:bookmarkEnd w:id="105"/>
    </w:p>
    <w:p>
      <w:r>
        <w:t>Detaljplanen har inte förgåtts av ett planprogram.</w:t>
      </w:r>
    </w:p>
    <w:p>
      <w:bookmarkEnd w:id="106"/>
    </w:p>
    <w:p>
      <w:pPr>
        <w:pStyle w:val="P3"/>
      </w:pPr>
      <w:bookmarkStart w:id="107" w:name="_Toc175726284"/>
      <w:bookmarkStart w:id="108" w:name="pf_kommunalabeslut01"/>
      <w:r>
        <w:t>kommunala styrdokument</w:t>
      </w:r>
      <w:bookmarkEnd w:id="107"/>
    </w:p>
    <w:p>
      <w:pPr>
        <w:rPr>
          <w:i w:val="1"/>
          <w:iCs w:val="1"/>
        </w:rPr>
      </w:pPr>
      <w:r>
        <w:rPr>
          <w:i w:val="1"/>
          <w:iCs w:val="1"/>
        </w:rPr>
        <w:t>Riktlinjer för parkering i Motala kommun</w:t>
      </w:r>
    </w:p>
    <w:p>
      <w:r>
        <w:t xml:space="preserve">Syftet med riktlinjen är att den ska verka för att skapa ett effektivt och ändamålsenligt utbud av parkeringar i Motala med hänsyn till efterfrågan, klimat, miljö, hälsa, kostnader och ansvar. Riktlinjen ska konkretisera parkeringspolicyns intentioner och beskriva metoder och verktyg för att uppnå dem. Detaljplanen påverkas av parkeringstalet från parkeringsriktlinjerna för parkeringsbehovet i området för både radhus och flerbostadshus. </w:t>
      </w:r>
    </w:p>
    <w:p>
      <w:pPr>
        <w:rPr>
          <w:noProof w:val="1"/>
          <w:lang w:eastAsia="sv-SE"/>
        </w:rPr>
      </w:pPr>
      <w:bookmarkEnd w:id="108"/>
    </w:p>
    <w:p>
      <w:pPr>
        <w:pStyle w:val="P3"/>
      </w:pPr>
      <w:bookmarkEnd w:id="101"/>
      <w:bookmarkEnd w:id="102"/>
      <w:bookmarkStart w:id="109" w:name="_Toc175726285"/>
      <w:bookmarkStart w:id="110" w:name="pf_detaljplan02"/>
      <w:r>
        <w:t>D</w:t>
      </w:r>
      <w:bookmarkEnd w:id="99"/>
      <w:bookmarkEnd w:id="100"/>
      <w:r>
        <w:t>etaljplan</w:t>
      </w:r>
      <w:bookmarkEnd w:id="109"/>
    </w:p>
    <w:p>
      <w:bookmarkStart w:id="111" w:name="pf_detaljplan01"/>
      <w:bookmarkStart w:id="112" w:name="_Toc89445994"/>
      <w:r>
        <w:t xml:space="preserve">Planområdet är i de mellersta delarna inte planlagt. Planområdet omfattas i öster och i söder av </w:t>
      </w:r>
      <w:r>
        <w:rPr>
          <w:i w:val="1"/>
          <w:iCs w:val="1"/>
        </w:rPr>
        <w:t>Stadsplan 255 för område vid Sandkullen, Motala (SP255, aktnr: 0583K-4547)</w:t>
      </w:r>
      <w:r>
        <w:t xml:space="preserve"> som vann laga kraft 1978. Angiven markanvändning för del inom planområdet är Park eller Plantering. </w:t>
      </w:r>
    </w:p>
    <w:p>
      <w:r>
        <w:rPr>
          <w:noProof w:val="1"/>
        </w:rPr>
        <w:drawing>
          <wp:anchor xmlns:wp="http://schemas.openxmlformats.org/drawingml/2006/wordprocessingDrawing" distT="0" distB="0" distL="114300" distR="114300" simplePos="0" relativeHeight="8" behindDoc="0" locked="0" layoutInCell="1" allowOverlap="1">
            <wp:simplePos x="0" y="0"/>
            <wp:positionH relativeFrom="margin">
              <wp:align>left</wp:align>
            </wp:positionH>
            <wp:positionV relativeFrom="paragraph">
              <wp:posOffset>191135</wp:posOffset>
            </wp:positionV>
            <wp:extent cx="2730500" cy="2047875"/>
            <wp:effectExtent l="0" t="0" r="0" b="0"/>
            <wp:wrapTopAndBottom/>
            <wp:docPr id="1" name="Bildobjekt 1"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karta&#10;&#10;Automatiskt genererad beskrivning"/>
                    <pic:cNvPicPr/>
                  </pic:nvPicPr>
                  <pic:blipFill dpi="0">
                    <a:blip xmlns:r="http://schemas.openxmlformats.org/officeDocument/2006/relationships" r:embed="Relimage7" cstate="print"/>
                    <a:srcRect/>
                    <a:stretch>
                      <a:fillRect/>
                    </a:stretch>
                  </pic:blipFill>
                  <pic:spPr>
                    <a:xfrm>
                      <a:off x="0" y="0"/>
                      <a:ext cx="2730500" cy="2047875"/>
                    </a:xfrm>
                    <a:prstGeom prst="rect"/>
                  </pic:spPr>
                </pic:pic>
              </a:graphicData>
            </a:graphic>
          </wp:anchor>
        </w:drawing>
      </w:r>
    </w:p>
    <w:p>
      <w:pPr>
        <w:rPr>
          <w:rFonts w:ascii="Barlow" w:hAnsi="Barlow"/>
          <w:i w:val="1"/>
          <w:sz w:val="20"/>
          <w:szCs w:val="20"/>
        </w:rPr>
      </w:pPr>
      <w:r>
        <w:rPr>
          <w:rFonts w:ascii="Barlow" w:hAnsi="Barlow"/>
          <w:i w:val="1"/>
          <w:sz w:val="20"/>
          <w:szCs w:val="20"/>
        </w:rPr>
        <w:t>Figur 2. Stadsplan för område vid Sandkullen. Källa: Motala kommun.</w:t>
      </w:r>
    </w:p>
    <w:p>
      <w:pPr>
        <w:rPr>
          <w:rFonts w:ascii="Barlow" w:hAnsi="Barlow"/>
          <w:i w:val="1"/>
          <w:sz w:val="20"/>
          <w:szCs w:val="20"/>
        </w:rPr>
      </w:pPr>
    </w:p>
    <w:p>
      <w:r>
        <w:rPr>
          <w:noProof w:val="1"/>
        </w:rPr>
        <w:drawing>
          <wp:anchor xmlns:wp="http://schemas.openxmlformats.org/drawingml/2006/wordprocessingDrawing" distT="0" distB="0" distL="114300" distR="114300" simplePos="0" relativeHeight="9" behindDoc="0" locked="0" layoutInCell="1" allowOverlap="1">
            <wp:simplePos x="0" y="0"/>
            <wp:positionH relativeFrom="margin">
              <wp:align>left</wp:align>
            </wp:positionH>
            <wp:positionV relativeFrom="paragraph">
              <wp:posOffset>757555</wp:posOffset>
            </wp:positionV>
            <wp:extent cx="2730500" cy="2047875"/>
            <wp:effectExtent l="0" t="0" r="0" b="0"/>
            <wp:wrapTopAndBottom/>
            <wp:docPr id="1626390318" name="Bildobjekt 1626390318"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objekt 15" descr="En bild som visar karta&#10;&#10;Automatiskt genererad beskrivning"/>
                    <pic:cNvPicPr/>
                  </pic:nvPicPr>
                  <pic:blipFill dpi="0">
                    <a:blip xmlns:r="http://schemas.openxmlformats.org/officeDocument/2006/relationships" r:embed="Relimage8" cstate="print"/>
                    <a:srcRect/>
                    <a:stretch>
                      <a:fillRect/>
                    </a:stretch>
                  </pic:blipFill>
                  <pic:spPr>
                    <a:xfrm>
                      <a:off x="0" y="0"/>
                      <a:ext cx="2732922" cy="2049390"/>
                    </a:xfrm>
                    <a:prstGeom prst="rect"/>
                  </pic:spPr>
                </pic:pic>
              </a:graphicData>
            </a:graphic>
          </wp:anchor>
        </w:drawing>
      </w:r>
      <w:r>
        <w:t xml:space="preserve">Planområdet omfattas i väster även av </w:t>
      </w:r>
      <w:r>
        <w:rPr>
          <w:i w:val="1"/>
          <w:iCs w:val="1"/>
        </w:rPr>
        <w:t xml:space="preserve">Stadsplan 247 för område vid Torvmossen, Motala (SP247, aktnr: 0583K-4486) </w:t>
      </w:r>
      <w:r>
        <w:t xml:space="preserve">som vann laga kraft 1977. Angiven markanvändning för del inom planområdet är Park eller Plantering. </w:t>
      </w:r>
    </w:p>
    <w:p>
      <w:pPr>
        <w:rPr>
          <w:rFonts w:ascii="Barlow" w:hAnsi="Barlow"/>
          <w:i w:val="1"/>
          <w:sz w:val="20"/>
          <w:szCs w:val="20"/>
        </w:rPr>
      </w:pPr>
    </w:p>
    <w:p>
      <w:pPr>
        <w:rPr>
          <w:rFonts w:ascii="Barlow" w:hAnsi="Barlow"/>
          <w:i w:val="1"/>
          <w:sz w:val="20"/>
          <w:szCs w:val="20"/>
        </w:rPr>
      </w:pPr>
      <w:r>
        <w:rPr>
          <w:rFonts w:ascii="Barlow" w:hAnsi="Barlow"/>
          <w:i w:val="1"/>
          <w:sz w:val="20"/>
          <w:szCs w:val="20"/>
        </w:rPr>
        <w:t>Figur 3. Stadsplan för område vid Torvmossen. Källa: Motala kommun.</w:t>
      </w:r>
    </w:p>
    <w:p>
      <w:pPr>
        <w:rPr>
          <w:noProof w:val="1"/>
          <w:lang w:eastAsia="sv-SE"/>
        </w:rPr>
      </w:pPr>
      <w:bookmarkEnd w:id="111"/>
      <w:bookmarkEnd w:id="112"/>
      <w:bookmarkStart w:id="113" w:name="pf_områdesbestämmelser01"/>
    </w:p>
    <w:p>
      <w:pPr>
        <w:rPr>
          <w:noProof w:val="1"/>
          <w:lang w:eastAsia="sv-SE"/>
        </w:rPr>
      </w:pPr>
      <w:r>
        <w:rPr>
          <w:noProof w:val="1"/>
          <w:lang w:eastAsia="sv-SE"/>
        </w:rPr>
        <w:t xml:space="preserve">Om föreslagen detaljplan antas och vinner laga kraft upphör tidigare gällande detaljplan att gälla inom planområdet, men fortsätter att gälla som tidigare utanför det nu akktuella planområdet. </w:t>
      </w:r>
    </w:p>
    <w:p>
      <w:pPr>
        <w:rPr>
          <w:noProof w:val="1"/>
          <w:lang w:eastAsia="sv-SE"/>
        </w:rPr>
      </w:pPr>
      <w:bookmarkEnd w:id="110"/>
    </w:p>
    <w:p>
      <w:pPr>
        <w:pStyle w:val="P3"/>
      </w:pPr>
      <w:bookmarkEnd w:id="113"/>
      <w:bookmarkStart w:id="114" w:name="_Toc89445997"/>
      <w:bookmarkStart w:id="115" w:name="_Toc101363501"/>
      <w:bookmarkStart w:id="116" w:name="_Toc175726286"/>
      <w:bookmarkStart w:id="117" w:name="_Toc89445995"/>
      <w:bookmarkStart w:id="118" w:name="_Toc101363499"/>
      <w:bookmarkStart w:id="119" w:name="pf_planbesked02"/>
      <w:r>
        <w:rPr>
          <w:rStyle w:val="C5"/>
          <w:caps w:val="1"/>
        </w:rPr>
        <w:t>P</w:t>
      </w:r>
      <w:bookmarkEnd w:id="114"/>
      <w:bookmarkEnd w:id="115"/>
      <w:r>
        <w:rPr>
          <w:rStyle w:val="C5"/>
          <w:caps w:val="1"/>
        </w:rPr>
        <w:t>lanbesked</w:t>
      </w:r>
      <w:bookmarkEnd w:id="116"/>
    </w:p>
    <w:p>
      <w:pPr>
        <w:pStyle w:val="P99"/>
        <w:rPr>
          <w:rFonts w:cstheme="minorBidi" w:eastAsiaTheme="minorHAnsi"/>
          <w:color w:val="auto"/>
          <w:szCs w:val="22"/>
        </w:rPr>
      </w:pPr>
      <w:bookmarkStart w:id="120" w:name="pf_planbesked01"/>
      <w:r>
        <w:rPr>
          <w:rFonts w:cstheme="minorBidi" w:eastAsiaTheme="minorHAnsi"/>
          <w:color w:val="auto"/>
          <w:szCs w:val="22"/>
        </w:rPr>
        <w:t xml:space="preserve">Samhällsbyggnadsnämnden beslutade 2021-09-21 att ge ett positivt planbesked om att en ny detaljplan ska upprättas för att pröva förutsättningarna för att bebygga området med bostäder i två våningar för del av Bråstorp 1:8, Bergmossen. </w:t>
      </w:r>
      <w:r>
        <w:t>Området har markanvisats åt en enskild exploatör för att uppföra par-/ radhus samt mindre flerbostadshus.</w:t>
      </w:r>
    </w:p>
    <w:p>
      <w:pPr>
        <w:rPr>
          <w:noProof w:val="1"/>
          <w:lang w:eastAsia="sv-SE"/>
        </w:rPr>
      </w:pPr>
      <w:bookmarkEnd w:id="117"/>
      <w:bookmarkEnd w:id="118"/>
      <w:bookmarkEnd w:id="119"/>
      <w:bookmarkEnd w:id="120"/>
      <w:bookmarkStart w:id="121" w:name="pf_regionala01"/>
    </w:p>
    <w:p>
      <w:pPr>
        <w:pStyle w:val="P2"/>
      </w:pPr>
      <w:bookmarkEnd w:id="121"/>
      <w:bookmarkStart w:id="122" w:name="_Toc89446002"/>
      <w:bookmarkStart w:id="123" w:name="_Toc101363506"/>
      <w:bookmarkStart w:id="124" w:name="_Toc175726287"/>
      <w:bookmarkStart w:id="125" w:name="pf_riksintressen01"/>
      <w:r>
        <w:t>R</w:t>
      </w:r>
      <w:bookmarkEnd w:id="122"/>
      <w:bookmarkEnd w:id="123"/>
      <w:r>
        <w:t>iksintressen</w:t>
      </w:r>
      <w:bookmarkEnd w:id="124"/>
    </w:p>
    <w:p>
      <w:bookmarkStart w:id="126" w:name="pf_friluftsliv01"/>
      <w:r>
        <w:t>Riksintressen syftar till att värna vissa egenskaper eller värden hos ett mark- eller vattenområde. Områden av riksintresse ska skyddas mot åtgärder som påtagligt kan skada intressena. De värden som varit grund för utpekandet är utgångspunkten vid bedömningen av om en åtgärd kan anses medföra en påtaglig skada.</w:t>
      </w:r>
    </w:p>
    <w:p>
      <w:pPr>
        <w:rPr>
          <w:i w:val="1"/>
          <w:noProof w:val="1"/>
          <w:shd w:val="clear" w:color="auto" w:fill="FFFFFF"/>
          <w:lang w:eastAsia="sv-SE"/>
        </w:rPr>
      </w:pPr>
      <w:bookmarkEnd w:id="125"/>
    </w:p>
    <w:p>
      <w:pPr>
        <w:pStyle w:val="P3"/>
        <w:rPr>
          <w:lang w:val="en-US"/>
        </w:rPr>
      </w:pPr>
      <w:bookmarkStart w:id="127" w:name="_Toc175726288"/>
      <w:bookmarkStart w:id="128" w:name="pf_totalförsvar01"/>
      <w:r>
        <w:rPr>
          <w:lang w:val="en-US"/>
        </w:rPr>
        <w:t>totalförsvaret</w:t>
      </w:r>
      <w:bookmarkEnd w:id="127"/>
    </w:p>
    <w:p>
      <w:bookmarkStart w:id="129" w:name="pf_yrkesfiske01"/>
      <w:r>
        <w:t>Området omfattas av riksintressen för totalförsvaret.</w:t>
      </w:r>
    </w:p>
    <w:p>
      <w:pPr>
        <w:pStyle w:val="P16"/>
        <w:numPr>
          <w:ilvl w:val="0"/>
          <w:numId w:val="14"/>
        </w:numPr>
      </w:pPr>
      <w:r>
        <w:t>Riksintresse för totalförsvaret – stoppområde för höga objekt, Malmens flygflottiljflygplats (MB 3 kap. 9 §)</w:t>
      </w:r>
    </w:p>
    <w:p>
      <w:pPr>
        <w:pStyle w:val="P16"/>
        <w:numPr>
          <w:ilvl w:val="0"/>
          <w:numId w:val="14"/>
        </w:numPr>
      </w:pPr>
      <w:r>
        <w:t>Riksintresse för totalförsvaret – MSA-område, Malmens flygflottiljflygplats (MB 3 kap. 9 §)</w:t>
      </w:r>
    </w:p>
    <w:p>
      <w:pPr>
        <w:pStyle w:val="P16"/>
        <w:numPr>
          <w:ilvl w:val="0"/>
          <w:numId w:val="14"/>
        </w:numPr>
      </w:pPr>
      <w:r>
        <w:t>Riksintresse för totalförsvaret – MSA-område, Karlsborgs övningsflygplats (MB 3 kap. 9 §)</w:t>
      </w:r>
    </w:p>
    <w:p/>
    <w:p>
      <w:r>
        <w:t>Den föreslagna exploateringen av planområdet enligt planförslaget bedöms inte påtagligt skada eller påverka nämnda riksintressen för totalförsvaret.</w:t>
      </w:r>
    </w:p>
    <w:p>
      <w:bookmarkEnd w:id="128"/>
    </w:p>
    <w:p>
      <w:pPr>
        <w:pStyle w:val="P3"/>
        <w:rPr>
          <w:lang w:val="en-US"/>
        </w:rPr>
      </w:pPr>
      <w:bookmarkEnd w:id="129"/>
      <w:bookmarkStart w:id="130" w:name="_Toc175726289"/>
      <w:bookmarkStart w:id="131" w:name="pf_trafikkommunikation01"/>
      <w:r>
        <w:t>kommunikationer</w:t>
      </w:r>
      <w:bookmarkEnd w:id="130"/>
    </w:p>
    <w:p>
      <w:bookmarkStart w:id="132" w:name="pf_naturvård01"/>
      <w:r>
        <w:t>Området omfattas av riksintresse för kommunikation.</w:t>
      </w:r>
    </w:p>
    <w:p>
      <w:r>
        <w:t>Riksintresse för kommunikation – MSA-område, Linköping flygplats (MB 3 kap. 8 §)</w:t>
      </w:r>
    </w:p>
    <w:p/>
    <w:p>
      <w:r>
        <w:t>Den föreslagna exploateringen av planområdet enligt planförslaget bedöms inte påtagligt skada eller påverka nämnda riksintressen för kommunikation.</w:t>
      </w:r>
    </w:p>
    <w:p/>
    <w:p>
      <w:r>
        <w:t>Planområdet berörs inte av några övriga riksintressen som bedöms få påtaglig skada till följd av en exploatering enligt planförslaget.</w:t>
      </w:r>
      <w:bookmarkEnd w:id="126"/>
      <w:bookmarkEnd w:id="132"/>
      <w:bookmarkStart w:id="133" w:name="pf_natura200001"/>
    </w:p>
    <w:p>
      <w:bookmarkEnd w:id="131"/>
    </w:p>
    <w:p/>
    <w:p>
      <w:pPr>
        <w:pStyle w:val="P2"/>
      </w:pPr>
      <w:bookmarkEnd w:id="133"/>
      <w:bookmarkStart w:id="134" w:name="_Toc89446030"/>
      <w:bookmarkStart w:id="135" w:name="_Toc101363534"/>
      <w:bookmarkStart w:id="136" w:name="_Toc175726290"/>
      <w:r>
        <w:t>M</w:t>
      </w:r>
      <w:bookmarkEnd w:id="134"/>
      <w:bookmarkEnd w:id="135"/>
      <w:r>
        <w:t>iljökvalitetsnormer</w:t>
      </w:r>
      <w:bookmarkEnd w:id="136"/>
    </w:p>
    <w:p>
      <w:pPr>
        <w:rPr>
          <w:noProof w:val="1"/>
          <w:lang w:eastAsia="sv-SE"/>
        </w:rPr>
      </w:pPr>
      <w:bookmarkStart w:id="137" w:name="pf_luft01"/>
    </w:p>
    <w:p>
      <w:pPr>
        <w:pStyle w:val="P3"/>
        <w:rPr>
          <w:lang w:val="en-US"/>
        </w:rPr>
      </w:pPr>
      <w:bookmarkEnd w:id="137"/>
      <w:bookmarkStart w:id="138" w:name="_Toc89446032"/>
      <w:bookmarkStart w:id="139" w:name="_Toc101363536"/>
      <w:bookmarkStart w:id="140" w:name="_Toc175726291"/>
      <w:bookmarkStart w:id="141" w:name="pf_vatten02"/>
      <w:r>
        <w:t>V</w:t>
      </w:r>
      <w:bookmarkEnd w:id="138"/>
      <w:bookmarkEnd w:id="139"/>
      <w:r>
        <w:t>atten</w:t>
      </w:r>
      <w:bookmarkEnd w:id="140"/>
    </w:p>
    <w:p>
      <w:bookmarkStart w:id="142" w:name="pf_vatten01"/>
      <w:r>
        <w:t xml:space="preserve">År 2000 trädde EUs gemensamma vattendirektiv i kraft vilket syftar till att säkerställa god vattenkvalitet i Europas yt- och grundvatten. Samtliga av Sveriges naturliga ytvattenförekomster har klassats utifrån ekologisk och kemisk status. Konstgjorda ytvattenförekomster klassas utifrån ekologisk potential och kemisk status. Grundvattenförekomsterna klassas utifrån kemisk status och kvantitativ status. Vattenförekomsterna har även fastställda miljökvalitetsnormer (MKN) vilka anger vilken status vattenförekomsten ska uppnå samt till vilket år statusen ska vara uppnådd. </w:t>
      </w:r>
    </w:p>
    <w:p/>
    <w:p>
      <w:r>
        <w:t xml:space="preserve">Huvudsaklig recipient för planområdets dagvatten är Motala ström (WA57602430). Vatten som avrinner ytligt (utan hänsyn till underjordiska ledningar) från planområdet avrinner till Göta kanal. Det innebär att Göta kanal (WA10695555) delvis utgör recipient för dagvatten när ledningsnäten är överbelastade (vid skyfall). Motala ström har god ekologisk status och uppnår ej god kemisk status. </w:t>
      </w:r>
    </w:p>
    <w:p>
      <w:r>
        <w:t>Planområdet ligger inom grundvattenförekomst Motala-Klockrike (WA31160323) med god kemisk och kvantitativ status</w:t>
      </w:r>
    </w:p>
    <w:p>
      <w:pPr>
        <w:rPr>
          <w:color w:val="FB784C" w:themeColor="accent4" w:themeTint="99"/>
          <w:szCs w:val="24"/>
        </w:rPr>
      </w:pPr>
    </w:p>
    <w:p>
      <w:r>
        <w:rPr>
          <w:szCs w:val="24"/>
        </w:rPr>
        <w:t xml:space="preserve">Föroreningsberäkningar som gjorts i samband med dagvattenutredningen (Tyréns, 2022-12-16) visar att planerad förändring av markanvändningen skulle ge upphov till ökade föroreningsmängder i dagvatten från utredningsområdet. </w:t>
      </w:r>
      <w:r>
        <w:t>Föreslagna lösningar inom planområdet tillsammans med avledning av vatten till Herrefallsmossen (Torvmossen) kan effektivt rena aktuella föroreningar innan vattnet når recipienten, Motala ström. Planerad förändring av markanvändning bedöms inte påverka recipientens status eller möjlighet att nå miljökvalitetsnormer.</w:t>
      </w:r>
    </w:p>
    <w:p>
      <w:pPr>
        <w:rPr>
          <w:noProof w:val="1"/>
          <w:lang w:eastAsia="sv-SE"/>
        </w:rPr>
      </w:pPr>
      <w:bookmarkEnd w:id="141"/>
      <w:bookmarkEnd w:id="142"/>
      <w:bookmarkStart w:id="143" w:name="pf_buller01"/>
    </w:p>
    <w:p>
      <w:pPr>
        <w:pStyle w:val="P2"/>
      </w:pPr>
      <w:bookmarkEnd w:id="143"/>
      <w:bookmarkStart w:id="144" w:name="_Toc89446038"/>
      <w:bookmarkStart w:id="145" w:name="_Toc101363542"/>
      <w:bookmarkStart w:id="146" w:name="_Toc175726292"/>
      <w:bookmarkStart w:id="147" w:name="_Toc89446034"/>
      <w:bookmarkStart w:id="148" w:name="_Toc101363538"/>
      <w:r>
        <w:t>Risker för människors hälsa och säkerhet</w:t>
      </w:r>
      <w:bookmarkEnd w:id="144"/>
      <w:bookmarkEnd w:id="145"/>
      <w:bookmarkEnd w:id="146"/>
    </w:p>
    <w:p>
      <w:pPr>
        <w:rPr>
          <w:noProof w:val="1"/>
          <w:lang w:eastAsia="sv-SE"/>
        </w:rPr>
      </w:pPr>
      <w:bookmarkStart w:id="149" w:name="_Toc89446039"/>
      <w:bookmarkStart w:id="150" w:name="_Toc101363543"/>
    </w:p>
    <w:p>
      <w:pPr>
        <w:pStyle w:val="P3"/>
        <w:rPr>
          <w:lang w:val="en-US"/>
        </w:rPr>
      </w:pPr>
      <w:bookmarkStart w:id="151" w:name="_Toc175726293"/>
      <w:bookmarkStart w:id="152" w:name="pf_trafikbuller01"/>
      <w:r>
        <w:t>Trafikbuller</w:t>
      </w:r>
      <w:bookmarkEnd w:id="151"/>
      <w:r>
        <w:t xml:space="preserve"> </w:t>
      </w:r>
    </w:p>
    <w:p>
      <w:pPr>
        <w:rPr>
          <w:noProof w:val="1"/>
          <w:lang w:eastAsia="sv-SE"/>
        </w:rPr>
      </w:pPr>
      <w:r>
        <w:rPr>
          <w:noProof w:val="1"/>
          <w:lang w:eastAsia="sv-SE"/>
        </w:rPr>
        <w:t xml:space="preserve">Enligt </w:t>
      </w:r>
      <w:r>
        <w:rPr>
          <w:i w:val="1"/>
          <w:noProof w:val="1"/>
          <w:lang w:eastAsia="sv-SE"/>
        </w:rPr>
        <w:t>förordning om trafikbuller vid bostadsbyggnader (2015:216)</w:t>
      </w:r>
      <w:r>
        <w:rPr>
          <w:noProof w:val="1"/>
          <w:lang w:eastAsia="sv-SE"/>
        </w:rPr>
        <w:t xml:space="preserve"> 3 § bör buller från spårtrafik och vägar inte överskrida 60 dBA ekvivalent ljudnivå vid en bostadsbyggnads fasad och 50 dBA ekvivalent ljudnivå samt 70 dBA maximal ljudnivå vid en uteplats om en sådan ska anordnas i anslutning till byggnaden. För en bostad om högst 35 kvadratmeter gäller i stället att bullret inte bör överskrida 65 dBA ekvivalent ljudnivå vid bostadsbyggnadens fasad.</w:t>
      </w:r>
    </w:p>
    <w:p>
      <w:pPr>
        <w:rPr>
          <w:noProof w:val="1"/>
          <w:lang w:eastAsia="sv-SE"/>
        </w:rPr>
      </w:pPr>
    </w:p>
    <w:p>
      <w:pPr>
        <w:rPr>
          <w:noProof w:val="1"/>
          <w:lang w:eastAsia="sv-SE"/>
        </w:rPr>
      </w:pPr>
      <w:r>
        <w:rPr>
          <w:noProof w:val="1"/>
          <w:lang w:eastAsia="sv-SE"/>
        </w:rPr>
        <w:t xml:space="preserve">Enligt </w:t>
      </w:r>
      <w:r>
        <w:rPr>
          <w:i w:val="1"/>
          <w:noProof w:val="1"/>
          <w:lang w:eastAsia="sv-SE"/>
        </w:rPr>
        <w:t xml:space="preserve">förordning om trafikbuller vid bostadsbyggnader </w:t>
      </w:r>
      <w:r>
        <w:rPr>
          <w:noProof w:val="1"/>
          <w:lang w:eastAsia="sv-SE"/>
        </w:rPr>
        <w:t>4 § gäller också att om trafikbuller överskrider 60 dBA ekvivalent ljudnivå vid en bostadsbyggnads fasad, så bör minst hälften av bostadsrummen i bostaden vara vända mot en sida där 55 dBA ekvivalent ljudnivå inte överskrids vid fasaden. Vidare bör även minst hälften av bostadsrummen vara vända mot en sida där 70 dBA maximal ljudnivå inte överskrids mellan kl. 22.00 och 06.00 vid fasaden.</w:t>
      </w:r>
    </w:p>
    <w:p>
      <w:pPr>
        <w:rPr>
          <w:noProof w:val="1"/>
          <w:lang w:eastAsia="sv-SE"/>
        </w:rPr>
      </w:pPr>
    </w:p>
    <w:p>
      <w:pPr>
        <w:rPr>
          <w:noProof w:val="1"/>
          <w:lang w:eastAsia="sv-SE"/>
        </w:rPr>
      </w:pPr>
      <w:r>
        <w:rPr>
          <w:noProof w:val="1"/>
          <w:lang w:eastAsia="sv-SE"/>
        </w:rPr>
        <w:t xml:space="preserve">Enligt </w:t>
      </w:r>
      <w:r>
        <w:rPr>
          <w:i w:val="1"/>
          <w:noProof w:val="1"/>
          <w:lang w:eastAsia="sv-SE"/>
        </w:rPr>
        <w:t xml:space="preserve">förordning om trafikbuller vid bostadsbyggnader </w:t>
      </w:r>
      <w:r>
        <w:rPr>
          <w:noProof w:val="1"/>
          <w:lang w:eastAsia="sv-SE"/>
        </w:rPr>
        <w:t xml:space="preserve">5 § gäller att ifall den maximala ljudnivån vid en bostadsbyggnads fasad överskrider 70 dBA, bör den maximala ljudnivån inte överskrida med mer än 10 dBA fler än fem gånger per timme mellan kl. 06.00 och 22.00. </w:t>
      </w:r>
    </w:p>
    <w:tbl>
      <w:tblPr>
        <w:tblStyle w:val="T2"/>
        <w:tblW w:w="8281" w:type="dxa"/>
        <w:tbl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insideH w:val="single" w:sz="4" w:space="0" w:shadow="0" w:frame="0" w:color="007FA3" w:themeColor="accent1"/>
          <w:insideV w:val="single" w:sz="4" w:space="0" w:shadow="0" w:frame="0" w:color="007FA3" w:themeColor="accent1"/>
        </w:tblBorders>
        <w:tblLook w:val="04A0"/>
      </w:tblPr>
      <w:tblGrid/>
      <w:tr>
        <w:trPr>
          <w:trHeight w:hRule="atLeast" w:val="301"/>
        </w:trPr>
        <w:tc>
          <w:tcPr>
            <w:tcW w:w="4283" w:type="dxa"/>
            <w:tcBorders>
              <w:top w:val="single" w:sz="4" w:space="0" w:shadow="0" w:frame="0" w:color="007FA3" w:themeColor="accent1"/>
              <w:left w:val="single" w:sz="4" w:space="0" w:shadow="0" w:frame="0" w:color="007FA3" w:themeColor="accent1"/>
              <w:bottom w:val="nil"/>
              <w:right w:val="nil"/>
            </w:tcBorders>
            <w:shd w:val="clear" w:color="auto" w:fill="007FA3" w:themeFill="accent1"/>
          </w:tcPr>
          <w:p>
            <w:pPr>
              <w:rPr>
                <w:rFonts w:ascii="Barlow Semi Condensed" w:hAnsi="Barlow Semi Condensed"/>
                <w:b w:val="1"/>
                <w:noProof w:val="1"/>
                <w:color w:val="FFFFFF" w:themeColor="background1"/>
                <w:lang w:eastAsia="sv-SE"/>
              </w:rPr>
            </w:pPr>
            <w:r>
              <w:rPr>
                <w:rFonts w:ascii="Barlow Semi Condensed" w:hAnsi="Barlow Semi Condensed"/>
                <w:b w:val="1"/>
                <w:noProof w:val="1"/>
                <w:color w:val="FFFFFF" w:themeColor="background1"/>
                <w:lang w:eastAsia="sv-SE"/>
              </w:rPr>
              <w:t xml:space="preserve">Buller från spårtrafik och vägar </w:t>
            </w:r>
          </w:p>
        </w:tc>
        <w:tc>
          <w:tcPr>
            <w:tcW w:w="3997" w:type="dxa"/>
            <w:gridSpan w:val="2"/>
            <w:tcBorders>
              <w:top w:val="single" w:sz="4" w:space="0" w:shadow="0" w:frame="0" w:color="007FA3" w:themeColor="accent1"/>
              <w:left w:val="nil"/>
              <w:bottom w:val="nil"/>
              <w:right w:val="single" w:sz="4" w:space="0" w:shadow="0" w:frame="0" w:color="007FA3" w:themeColor="accent1"/>
            </w:tcBorders>
            <w:shd w:val="clear" w:color="auto" w:fill="007FA3" w:themeFill="accent1"/>
          </w:tcPr>
          <w:p>
            <w:pPr>
              <w:rPr>
                <w:rFonts w:ascii="Barlow Semi Condensed" w:hAnsi="Barlow Semi Condensed"/>
                <w:b w:val="1"/>
                <w:noProof w:val="1"/>
                <w:color w:val="FFFFFF" w:themeColor="background1"/>
                <w:lang w:eastAsia="sv-SE"/>
              </w:rPr>
            </w:pPr>
            <w:r>
              <w:rPr>
                <w:rFonts w:ascii="Barlow Semi Condensed" w:hAnsi="Barlow Semi Condensed"/>
                <w:b w:val="1"/>
                <w:noProof w:val="1"/>
                <w:color w:val="FFFFFF" w:themeColor="background1"/>
                <w:lang w:eastAsia="sv-SE"/>
              </w:rPr>
              <w:t>Högsta trafikbullernivå i dBA</w:t>
            </w:r>
          </w:p>
        </w:tc>
      </w:tr>
      <w:tr>
        <w:trPr>
          <w:trHeight w:hRule="atLeast" w:val="602"/>
        </w:trPr>
        <w:tc>
          <w:tcPr>
            <w:tcW w:w="4283" w:type="dxa"/>
            <w:tcBorders>
              <w:top w:val="nil"/>
              <w:left w:val="single" w:sz="4" w:space="0" w:shadow="0" w:frame="0" w:color="007FA3" w:themeColor="accent1"/>
              <w:bottom w:val="single" w:sz="4" w:space="0" w:shadow="0" w:frame="0" w:color="007FA3" w:themeColor="accent1"/>
              <w:right w:val="nil"/>
            </w:tcBorders>
            <w:shd w:val="clear" w:color="auto" w:fill="007FA3" w:themeFill="accent1"/>
          </w:tcPr>
          <w:p>
            <w:pPr>
              <w:rPr>
                <w:rFonts w:ascii="Barlow Semi Condensed" w:hAnsi="Barlow Semi Condensed"/>
                <w:b w:val="1"/>
                <w:noProof w:val="1"/>
                <w:color w:val="FFFFFF" w:themeColor="background1"/>
                <w:lang w:eastAsia="sv-SE"/>
              </w:rPr>
            </w:pPr>
            <w:r>
              <w:rPr>
                <w:rFonts w:ascii="Barlow Semi Condensed" w:hAnsi="Barlow Semi Condensed"/>
                <w:b w:val="1"/>
                <w:noProof w:val="1"/>
                <w:color w:val="FFFFFF" w:themeColor="background1"/>
                <w:lang w:eastAsia="sv-SE"/>
              </w:rPr>
              <w:t>Utomhus</w:t>
            </w:r>
          </w:p>
        </w:tc>
        <w:tc>
          <w:tcPr>
            <w:tcW w:w="1998" w:type="dxa"/>
            <w:tcBorders>
              <w:top w:val="nil"/>
              <w:left w:val="nil"/>
              <w:bottom w:val="single" w:sz="4" w:space="0" w:shadow="0" w:frame="0" w:color="007FA3" w:themeColor="accent1"/>
              <w:right w:val="nil"/>
            </w:tcBorders>
            <w:shd w:val="clear" w:color="auto" w:fill="007FA3" w:themeFill="accent1"/>
          </w:tcPr>
          <w:p>
            <w:pPr>
              <w:rPr>
                <w:rFonts w:ascii="Barlow Semi Condensed" w:hAnsi="Barlow Semi Condensed"/>
                <w:b w:val="1"/>
                <w:noProof w:val="1"/>
                <w:color w:val="FFFFFF" w:themeColor="background1"/>
                <w:lang w:eastAsia="sv-SE"/>
              </w:rPr>
            </w:pPr>
            <w:r>
              <w:rPr>
                <w:rFonts w:ascii="Barlow Semi Condensed" w:hAnsi="Barlow Semi Condensed"/>
                <w:b w:val="1"/>
                <w:noProof w:val="1"/>
                <w:color w:val="FFFFFF" w:themeColor="background1"/>
                <w:lang w:eastAsia="sv-SE"/>
              </w:rPr>
              <w:t>Ekvivalent ljudnivå</w:t>
            </w:r>
          </w:p>
        </w:tc>
        <w:tc>
          <w:tcPr>
            <w:tcW w:w="1999" w:type="dxa"/>
            <w:tcBorders>
              <w:top w:val="nil"/>
              <w:left w:val="nil"/>
              <w:bottom w:val="single" w:sz="4" w:space="0" w:shadow="0" w:frame="0" w:color="007FA3" w:themeColor="accent1"/>
              <w:right w:val="single" w:sz="4" w:space="0" w:shadow="0" w:frame="0" w:color="007FA3" w:themeColor="accent1"/>
            </w:tcBorders>
            <w:shd w:val="clear" w:color="auto" w:fill="007FA3" w:themeFill="accent1"/>
          </w:tcPr>
          <w:p>
            <w:pPr>
              <w:rPr>
                <w:rFonts w:ascii="Barlow Semi Condensed" w:hAnsi="Barlow Semi Condensed"/>
                <w:b w:val="1"/>
                <w:noProof w:val="1"/>
                <w:color w:val="FFFFFF" w:themeColor="background1"/>
                <w:lang w:eastAsia="sv-SE"/>
              </w:rPr>
            </w:pPr>
            <w:r>
              <w:rPr>
                <w:rFonts w:ascii="Barlow Semi Condensed" w:hAnsi="Barlow Semi Condensed"/>
                <w:b w:val="1"/>
                <w:noProof w:val="1"/>
                <w:color w:val="FFFFFF" w:themeColor="background1"/>
                <w:lang w:eastAsia="sv-SE"/>
              </w:rPr>
              <w:t>Maximal ljudnivå</w:t>
            </w:r>
          </w:p>
        </w:tc>
      </w:tr>
      <w:tr>
        <w:trPr>
          <w:trHeight w:hRule="atLeast" w:val="286"/>
        </w:trPr>
        <w:tc>
          <w:tcPr>
            <w:tcW w:w="4283" w:type="dxa"/>
            <w:tcBorders>
              <w:top w:val="single" w:sz="4" w:space="0" w:shadow="0" w:frame="0" w:color="007FA3" w:themeColor="accent1"/>
            </w:tcBorders>
          </w:tcPr>
          <w:p>
            <w:pPr>
              <w:rPr>
                <w:rFonts w:ascii="Barlow Semi Condensed" w:hAnsi="Barlow Semi Condensed"/>
                <w:noProof w:val="1"/>
                <w:sz w:val="21"/>
                <w:szCs w:val="21"/>
                <w:lang w:eastAsia="sv-SE"/>
              </w:rPr>
            </w:pPr>
            <w:r>
              <w:rPr>
                <w:rFonts w:ascii="Barlow Semi Condensed" w:hAnsi="Barlow Semi Condensed"/>
                <w:noProof w:val="1"/>
                <w:sz w:val="21"/>
                <w:szCs w:val="21"/>
                <w:lang w:eastAsia="sv-SE"/>
              </w:rPr>
              <w:t>Vid en bostadsbyggnads fasad</w:t>
            </w:r>
          </w:p>
        </w:tc>
        <w:tc>
          <w:tcPr>
            <w:tcW w:w="1998" w:type="dxa"/>
            <w:tcBorders>
              <w:top w:val="single" w:sz="4" w:space="0" w:shadow="0" w:frame="0" w:color="007FA3" w:themeColor="accent1"/>
            </w:tcBorders>
          </w:tcPr>
          <w:p>
            <w:pPr>
              <w:rPr>
                <w:rFonts w:ascii="Barlow Semi Condensed" w:hAnsi="Barlow Semi Condensed"/>
                <w:noProof w:val="1"/>
                <w:sz w:val="21"/>
                <w:szCs w:val="21"/>
                <w:lang w:eastAsia="sv-SE"/>
              </w:rPr>
            </w:pPr>
            <w:r>
              <w:rPr>
                <w:rFonts w:ascii="Barlow Semi Condensed" w:hAnsi="Barlow Semi Condensed"/>
                <w:noProof w:val="1"/>
                <w:sz w:val="21"/>
                <w:szCs w:val="21"/>
                <w:lang w:eastAsia="sv-SE"/>
              </w:rPr>
              <w:t>60</w:t>
            </w:r>
            <w:r>
              <w:rPr>
                <w:rFonts w:ascii="Barlow Semi Condensed" w:hAnsi="Barlow Semi Condensed"/>
                <w:noProof w:val="1"/>
                <w:sz w:val="21"/>
                <w:szCs w:val="21"/>
                <w:vertAlign w:val="superscript"/>
                <w:lang w:eastAsia="sv-SE"/>
              </w:rPr>
              <w:t>a)</w:t>
            </w:r>
          </w:p>
        </w:tc>
        <w:tc>
          <w:tcPr>
            <w:tcW w:w="1999" w:type="dxa"/>
            <w:tcBorders>
              <w:top w:val="single" w:sz="4" w:space="0" w:shadow="0" w:frame="0" w:color="007FA3" w:themeColor="accent1"/>
            </w:tcBorders>
          </w:tcPr>
          <w:p>
            <w:pPr>
              <w:rPr>
                <w:rFonts w:ascii="Barlow Semi Condensed" w:hAnsi="Barlow Semi Condensed"/>
                <w:noProof w:val="1"/>
                <w:sz w:val="21"/>
                <w:szCs w:val="21"/>
                <w:lang w:eastAsia="sv-SE"/>
              </w:rPr>
            </w:pPr>
          </w:p>
        </w:tc>
      </w:tr>
      <w:tr>
        <w:trPr>
          <w:trHeight w:hRule="atLeast" w:val="301"/>
        </w:trPr>
        <w:tc>
          <w:tcPr>
            <w:tcW w:w="4283" w:type="dxa"/>
          </w:tcPr>
          <w:p>
            <w:pPr>
              <w:rPr>
                <w:rFonts w:ascii="Barlow Semi Condensed" w:hAnsi="Barlow Semi Condensed"/>
                <w:noProof w:val="1"/>
                <w:sz w:val="21"/>
                <w:szCs w:val="21"/>
                <w:lang w:eastAsia="sv-SE"/>
              </w:rPr>
            </w:pPr>
            <w:r>
              <w:rPr>
                <w:rFonts w:ascii="Barlow Semi Condensed" w:hAnsi="Barlow Semi Condensed"/>
                <w:noProof w:val="1"/>
                <w:sz w:val="21"/>
                <w:szCs w:val="21"/>
                <w:lang w:eastAsia="sv-SE"/>
              </w:rPr>
              <w:t>Vid en bostadsbyggnads fasad, om högst 35 m</w:t>
            </w:r>
            <w:r>
              <w:rPr>
                <w:rFonts w:ascii="Barlow Semi Condensed" w:hAnsi="Barlow Semi Condensed"/>
                <w:noProof w:val="1"/>
                <w:sz w:val="21"/>
                <w:szCs w:val="21"/>
                <w:vertAlign w:val="superscript"/>
                <w:lang w:eastAsia="sv-SE"/>
              </w:rPr>
              <w:t>2</w:t>
            </w:r>
            <w:r>
              <w:rPr>
                <w:rFonts w:ascii="Barlow Semi Condensed" w:hAnsi="Barlow Semi Condensed"/>
                <w:noProof w:val="1"/>
                <w:sz w:val="21"/>
                <w:szCs w:val="21"/>
                <w:lang w:eastAsia="sv-SE"/>
              </w:rPr>
              <w:t xml:space="preserve"> </w:t>
            </w:r>
          </w:p>
        </w:tc>
        <w:tc>
          <w:tcPr>
            <w:tcW w:w="1998" w:type="dxa"/>
          </w:tcPr>
          <w:p>
            <w:pPr>
              <w:rPr>
                <w:rFonts w:ascii="Barlow Semi Condensed" w:hAnsi="Barlow Semi Condensed"/>
                <w:noProof w:val="1"/>
                <w:sz w:val="21"/>
                <w:szCs w:val="21"/>
                <w:lang w:eastAsia="sv-SE"/>
              </w:rPr>
            </w:pPr>
            <w:r>
              <w:rPr>
                <w:rFonts w:ascii="Barlow Semi Condensed" w:hAnsi="Barlow Semi Condensed"/>
                <w:noProof w:val="1"/>
                <w:sz w:val="21"/>
                <w:szCs w:val="21"/>
                <w:lang w:eastAsia="sv-SE"/>
              </w:rPr>
              <w:t>65</w:t>
            </w:r>
          </w:p>
        </w:tc>
        <w:tc>
          <w:tcPr>
            <w:tcW w:w="1999" w:type="dxa"/>
          </w:tcPr>
          <w:p>
            <w:pPr>
              <w:rPr>
                <w:rFonts w:ascii="Barlow Semi Condensed" w:hAnsi="Barlow Semi Condensed"/>
                <w:noProof w:val="1"/>
                <w:sz w:val="21"/>
                <w:szCs w:val="21"/>
                <w:lang w:eastAsia="sv-SE"/>
              </w:rPr>
            </w:pPr>
          </w:p>
        </w:tc>
      </w:tr>
      <w:tr>
        <w:trPr>
          <w:trHeight w:hRule="atLeast" w:val="301"/>
        </w:trPr>
        <w:tc>
          <w:tcPr>
            <w:tcW w:w="4283" w:type="dxa"/>
          </w:tcPr>
          <w:p>
            <w:pPr>
              <w:rPr>
                <w:rFonts w:ascii="Barlow Semi Condensed" w:hAnsi="Barlow Semi Condensed"/>
                <w:noProof w:val="1"/>
                <w:sz w:val="21"/>
                <w:szCs w:val="21"/>
                <w:lang w:eastAsia="sv-SE"/>
              </w:rPr>
            </w:pPr>
            <w:r>
              <w:rPr>
                <w:rFonts w:ascii="Barlow Semi Condensed" w:hAnsi="Barlow Semi Condensed"/>
                <w:noProof w:val="1"/>
                <w:sz w:val="21"/>
                <w:szCs w:val="21"/>
                <w:lang w:eastAsia="sv-SE"/>
              </w:rPr>
              <w:t>Vid en eventuell uteplats</w:t>
            </w:r>
          </w:p>
        </w:tc>
        <w:tc>
          <w:tcPr>
            <w:tcW w:w="1998" w:type="dxa"/>
          </w:tcPr>
          <w:p>
            <w:pPr>
              <w:rPr>
                <w:rFonts w:ascii="Barlow Semi Condensed" w:hAnsi="Barlow Semi Condensed"/>
                <w:noProof w:val="1"/>
                <w:sz w:val="21"/>
                <w:szCs w:val="21"/>
                <w:lang w:eastAsia="sv-SE"/>
              </w:rPr>
            </w:pPr>
            <w:r>
              <w:rPr>
                <w:rFonts w:ascii="Barlow Semi Condensed" w:hAnsi="Barlow Semi Condensed"/>
                <w:noProof w:val="1"/>
                <w:sz w:val="21"/>
                <w:szCs w:val="21"/>
                <w:lang w:eastAsia="sv-SE"/>
              </w:rPr>
              <w:t>50</w:t>
            </w:r>
          </w:p>
        </w:tc>
        <w:tc>
          <w:tcPr>
            <w:tcW w:w="1999" w:type="dxa"/>
          </w:tcPr>
          <w:p>
            <w:pPr>
              <w:rPr>
                <w:rFonts w:ascii="Barlow Semi Condensed" w:hAnsi="Barlow Semi Condensed"/>
                <w:noProof w:val="1"/>
                <w:sz w:val="21"/>
                <w:szCs w:val="21"/>
                <w:lang w:eastAsia="sv-SE"/>
              </w:rPr>
            </w:pPr>
            <w:r>
              <w:rPr>
                <w:rFonts w:ascii="Barlow Semi Condensed" w:hAnsi="Barlow Semi Condensed"/>
                <w:noProof w:val="1"/>
                <w:sz w:val="21"/>
                <w:szCs w:val="21"/>
                <w:lang w:eastAsia="sv-SE"/>
              </w:rPr>
              <w:t>60</w:t>
            </w:r>
            <w:r>
              <w:rPr>
                <w:rFonts w:ascii="Barlow Semi Condensed" w:hAnsi="Barlow Semi Condensed"/>
                <w:noProof w:val="1"/>
                <w:sz w:val="21"/>
                <w:szCs w:val="21"/>
                <w:vertAlign w:val="superscript"/>
                <w:lang w:eastAsia="sv-SE"/>
              </w:rPr>
              <w:t>b)</w:t>
            </w:r>
          </w:p>
        </w:tc>
      </w:tr>
      <w:tr>
        <w:trPr>
          <w:trHeight w:hRule="atLeast" w:val="2092"/>
        </w:trPr>
        <w:tc>
          <w:tcPr>
            <w:tcW w:w="8281" w:type="dxa"/>
            <w:gridSpan w:val="3"/>
          </w:tcPr>
          <w:p>
            <w:pPr>
              <w:pStyle w:val="P16"/>
              <w:numPr>
                <w:ilvl w:val="0"/>
                <w:numId w:val="38"/>
              </w:numPr>
              <w:ind w:hanging="273" w:left="447"/>
              <w:rPr>
                <w:rFonts w:ascii="Barlow Semi Condensed" w:hAnsi="Barlow Semi Condensed"/>
                <w:noProof w:val="1"/>
                <w:sz w:val="21"/>
                <w:szCs w:val="21"/>
                <w:lang w:eastAsia="sv-SE"/>
              </w:rPr>
            </w:pPr>
            <w:r>
              <w:rPr>
                <w:rFonts w:ascii="Barlow Semi Condensed" w:hAnsi="Barlow Semi Condensed"/>
                <w:noProof w:val="1"/>
                <w:sz w:val="21"/>
                <w:szCs w:val="21"/>
                <w:lang w:eastAsia="sv-SE"/>
              </w:rPr>
              <w:t>Om den angivna ljudnivån ändå överskrids bör:</w:t>
            </w:r>
          </w:p>
          <w:p>
            <w:pPr>
              <w:pStyle w:val="P16"/>
              <w:numPr>
                <w:ilvl w:val="0"/>
                <w:numId w:val="39"/>
              </w:numPr>
              <w:ind w:hanging="273" w:left="731"/>
              <w:rPr>
                <w:rFonts w:ascii="Barlow Semi Condensed" w:hAnsi="Barlow Semi Condensed"/>
                <w:noProof w:val="1"/>
                <w:sz w:val="21"/>
                <w:szCs w:val="21"/>
                <w:lang w:eastAsia="sv-SE"/>
              </w:rPr>
            </w:pPr>
            <w:r>
              <w:rPr>
                <w:rFonts w:ascii="Barlow Semi Condensed" w:hAnsi="Barlow Semi Condensed"/>
                <w:noProof w:val="1"/>
                <w:sz w:val="21"/>
                <w:szCs w:val="21"/>
                <w:lang w:eastAsia="sv-SE"/>
              </w:rPr>
              <w:t>minst hälften av bostadsrummen i en bostad vara vända mot en sida där 55 dBA ekvivalent ljudnivå inte överskrids vid fasaden, och</w:t>
            </w:r>
          </w:p>
          <w:p>
            <w:pPr>
              <w:numPr>
                <w:ilvl w:val="0"/>
                <w:numId w:val="39"/>
              </w:numPr>
              <w:ind w:hanging="273" w:left="731"/>
              <w:rPr>
                <w:rFonts w:ascii="Barlow Semi Condensed" w:hAnsi="Barlow Semi Condensed"/>
                <w:noProof w:val="1"/>
                <w:sz w:val="21"/>
                <w:szCs w:val="21"/>
                <w:lang w:eastAsia="sv-SE"/>
              </w:rPr>
            </w:pPr>
            <w:r>
              <w:rPr>
                <w:rFonts w:ascii="Barlow Semi Condensed" w:hAnsi="Barlow Semi Condensed"/>
                <w:noProof w:val="1"/>
                <w:sz w:val="21"/>
                <w:szCs w:val="21"/>
                <w:lang w:eastAsia="sv-SE"/>
              </w:rPr>
              <w:t xml:space="preserve">   minst hälften av bostadsrummen vara vända mot en sida där 70 dBA maximal ljudnivå inte överskrids mellan kl. 22.00 och 06.00 vid fasaden. </w:t>
            </w:r>
          </w:p>
          <w:p>
            <w:pPr>
              <w:pStyle w:val="P16"/>
              <w:numPr>
                <w:ilvl w:val="0"/>
                <w:numId w:val="38"/>
              </w:numPr>
              <w:ind w:hanging="273" w:left="447"/>
              <w:rPr>
                <w:rFonts w:ascii="Barlow Semi Condensed" w:hAnsi="Barlow Semi Condensed"/>
                <w:noProof w:val="1"/>
                <w:sz w:val="21"/>
                <w:szCs w:val="21"/>
                <w:lang w:eastAsia="sv-SE"/>
              </w:rPr>
            </w:pPr>
            <w:r>
              <w:rPr>
                <w:rFonts w:ascii="Barlow Semi Condensed" w:hAnsi="Barlow Semi Condensed"/>
                <w:noProof w:val="1"/>
                <w:sz w:val="21"/>
                <w:szCs w:val="21"/>
                <w:lang w:eastAsia="sv-SE"/>
              </w:rPr>
              <w:t>Om den angivna ljudnivån ändå överskrids bör nivån dock inte överskridas med mer än 10 dBA maximal ljudnivå fem gånger per timme mellan kl. 06.00 och 22.00</w:t>
            </w:r>
          </w:p>
        </w:tc>
      </w:tr>
    </w:tbl>
    <w:p>
      <w:pPr>
        <w:pStyle w:val="P3"/>
        <w:numPr>
          <w:ilvl w:val="0"/>
          <w:numId w:val="0"/>
        </w:numPr>
        <w:ind w:firstLine="0" w:left="0"/>
      </w:pPr>
      <w:bookmarkEnd w:id="149"/>
      <w:bookmarkEnd w:id="150"/>
    </w:p>
    <w:p>
      <w:bookmarkStart w:id="153" w:name="pf_omgivningsbuller01"/>
      <w:r>
        <w:t>Tyréns Sveige AB har tagit fram en trafikbullerutredning för planområdet. Utredningen visar att trafikbullerförordningens grundriktvärde för bostäder (Leq ≤ 60 dBA) uppfylls vid samtliga fasader. Därmed kan bostäder planeras fritt ur bulleraspekt. Med rätt typ av fönster och fasader är det också möjligt att uppfylla BBR’s krav på ljudnivå inomhus.</w:t>
      </w:r>
    </w:p>
    <w:p/>
    <w:p>
      <w:r>
        <w:t>Riktvärdena för uteplats (Leq ≤ 50 dBA, Lmax ≤ 70 dBA) uppfylls vid samtliga</w:t>
      </w:r>
    </w:p>
    <w:p>
      <w:r>
        <w:t>bostadshus utöver de som är närmast belägna Bergsättersvägen. Vid dessa uppfylls</w:t>
      </w:r>
    </w:p>
    <w:p>
      <w:r>
        <w:t>riktvärdena vid markplan förutom för byggnaden närmast vägen. Om en gemensam</w:t>
      </w:r>
    </w:p>
    <w:p>
      <w:r>
        <w:t>uteplats anläggs där riktvärdet uppfylls vid ett flerbostadshus kan övriga uteplatser,</w:t>
      </w:r>
    </w:p>
    <w:p>
      <w:r>
        <w:t>till exempel balkonger, anses kompletterande och därmed byggas utan hänsyn till gällande bullerriktvärden.</w:t>
      </w:r>
    </w:p>
    <w:p/>
    <w:p>
      <w:r>
        <w:t>Uteplats på markplan kan anläggas vid samtliga bostadshus förutom vid det hus som</w:t>
      </w:r>
    </w:p>
    <w:p>
      <w:pPr>
        <w:rPr>
          <w:color w:val="FB784C" w:themeColor="accent4" w:themeTint="99"/>
        </w:rPr>
      </w:pPr>
      <w:r>
        <w:t>placerats närmast Bergsättersvägen i den sydöstra delen av planområdet. För bebyggelse som placeras i den södra delen av planområdet, närmast Bergsättersvägen, bör riktvärden för bullernivåer beaktas vid anläggande av uteplats. Detta kommer även prövas i bygglovsskedet. För att säkerställa tillgång till bullerskyddad uteplats för samtliga boende i området regleras detaljplanen med planbestämmelsen ”Minst en gemensam bullerskyddad uteplats ska anordnas”.</w:t>
      </w:r>
      <w:bookmarkEnd w:id="153"/>
      <w:bookmarkStart w:id="154" w:name="pf_riskförolyckor01"/>
    </w:p>
    <w:p>
      <w:pPr>
        <w:pStyle w:val="P3"/>
        <w:rPr>
          <w:lang w:val="en-US"/>
        </w:rPr>
      </w:pPr>
      <w:bookmarkEnd w:id="152"/>
      <w:bookmarkEnd w:id="154"/>
      <w:bookmarkStart w:id="155" w:name="_Toc175726294"/>
      <w:bookmarkStart w:id="156" w:name="pf_riskföröversvämning02"/>
      <w:r>
        <w:t>Översvämning</w:t>
      </w:r>
      <w:bookmarkEnd w:id="155"/>
    </w:p>
    <w:p>
      <w:bookmarkStart w:id="157" w:name="pf_riskföröversvämning01"/>
      <w:r>
        <w:t>Tyréns Sverige AB har utfört en skyfallsanalys för befintliga förhållanden som visas i Figur 4 nedan. Analysen visar inga översvämningar inom föreslaget bostadsområde. Det finns dock risk för översvämning på några platser inom och nära utredningsområdet. Inom området framgår att det finns risk för översvämning i anslutning till gångtunnel under Bergsättersvägen samt i grönområden i både västra och östra delarna av området. Torvmossen nordväst om utredningsområdet utgör ett område som enligt analysen kan översvämmas kraftigt vid skyfall.</w:t>
      </w:r>
    </w:p>
    <w:p>
      <w:pPr>
        <w:rPr>
          <w:noProof w:val="1"/>
          <w:lang w:eastAsia="sv-SE"/>
        </w:rPr>
      </w:pPr>
      <w:r>
        <w:rPr>
          <w:noProof w:val="1"/>
        </w:rPr>
        <w:drawing>
          <wp:anchor xmlns:wp="http://schemas.openxmlformats.org/drawingml/2006/wordprocessingDrawing" distT="0" distB="0" distL="114300" distR="114300" simplePos="0" relativeHeight="1" behindDoc="0" locked="0" layoutInCell="1" allowOverlap="1">
            <wp:simplePos x="0" y="0"/>
            <wp:positionH relativeFrom="margin">
              <wp:posOffset>0</wp:posOffset>
            </wp:positionH>
            <wp:positionV relativeFrom="paragraph">
              <wp:posOffset>189865</wp:posOffset>
            </wp:positionV>
            <wp:extent cx="2719705" cy="2200275"/>
            <wp:effectExtent l="0" t="0" r="4445" b="0"/>
            <wp:wrapTopAndBottom/>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9" cstate="print"/>
                    <a:srcRect/>
                    <a:stretch>
                      <a:fillRect/>
                    </a:stretch>
                  </pic:blipFill>
                  <pic:spPr bwMode="auto">
                    <a:xfrm>
                      <a:off x="0" y="0"/>
                      <a:ext cx="2720016" cy="2200275"/>
                    </a:xfrm>
                    <a:prstGeom prst="rect"/>
                    <a:noFill/>
                    <a:ln>
                      <a:noFill/>
                    </a:ln>
                  </pic:spPr>
                </pic:pic>
              </a:graphicData>
            </a:graphic>
          </wp:anchor>
        </w:drawing>
      </w:r>
    </w:p>
    <w:p>
      <w:pPr>
        <w:rPr>
          <w:rFonts w:ascii="Barlow" w:hAnsi="Barlow"/>
          <w:i w:val="1"/>
          <w:sz w:val="20"/>
          <w:szCs w:val="20"/>
        </w:rPr>
      </w:pPr>
      <w:r>
        <w:rPr>
          <w:rFonts w:ascii="Barlow" w:hAnsi="Barlow"/>
          <w:i w:val="1"/>
          <w:sz w:val="20"/>
          <w:szCs w:val="20"/>
        </w:rPr>
        <w:t>Figur 4. Skyfallsanalys under befintliga förhållanden (Scalgo ApS, 2022). Blå pilar visar riktning för några större rinnvägar. Gråmarkerat område visar utbredningen av planerat bostadsområde. Källa: Tyréns.</w:t>
      </w:r>
    </w:p>
    <w:p>
      <w:pPr>
        <w:rPr>
          <w:noProof w:val="1"/>
          <w:lang w:eastAsia="sv-SE"/>
        </w:rPr>
      </w:pPr>
    </w:p>
    <w:p>
      <w:r>
        <w:t>Som framgår av Figur 4 är ytliga rinnvägar genom utredningsområdet i huvudsak med riktning från sydöst till nordväst. I norra delen syns ett par ytliga rinnvägar mot befintlig bebyggelse norr om utredningsområdet. I södra delen av området framgår att vatten potentiellt kan rinna från områden söder om Bergsättersvägen till befintligt grönområde i västra delen av utredningsområdet.</w:t>
      </w:r>
    </w:p>
    <w:p/>
    <w:p>
      <w:r>
        <w:t>För att simulera planerade förhållanden, har marknivån på föreslagen kvartersmark höjts. Stående vatten och rinnvägar i direkt anslutning till föreslagen kvartersmark indikerar eventuellt behov av öppen avledning genom exempelvis diken.</w:t>
      </w:r>
    </w:p>
    <w:p>
      <w:r>
        <w:t>Analysen för planerade förhållanden visas i Figur 5 nedan. Som framgår av figuren påverkas några ytliga rinnvägar av föreslagen bebyggelse. På dessa platser är det lämpligt att kontrollerade skyfallsvägar ordnas genom exempelvis diken eller höjdsättning. Generellt bör bostäderna höjdsättas så att färdigt golv är högre än mark och gator kring planerade bostadsfastigheter. I östra delen av området visar analysen stående vatten intill planerad bostadsfastighet. Från denna plats bör ett dike anordnas för avledning av vatten norrut.</w:t>
      </w:r>
    </w:p>
    <w:p>
      <w:pPr>
        <w:rPr>
          <w:noProof w:val="1"/>
          <w:lang w:eastAsia="sv-SE"/>
        </w:rPr>
      </w:pPr>
      <w:r>
        <w:rPr>
          <w:noProof w:val="1"/>
        </w:rPr>
        <w:drawing>
          <wp:anchor xmlns:wp="http://schemas.openxmlformats.org/drawingml/2006/wordprocessingDrawing" distT="0" distB="0" distL="114300" distR="114300" simplePos="0" relativeHeight="251645952" behindDoc="1" locked="0" layoutInCell="1" allowOverlap="1">
            <wp:simplePos x="0" y="0"/>
            <wp:positionH relativeFrom="margin">
              <wp:posOffset>-3175</wp:posOffset>
            </wp:positionH>
            <wp:positionV relativeFrom="paragraph">
              <wp:posOffset>187325</wp:posOffset>
            </wp:positionV>
            <wp:extent cx="2847975" cy="2282825"/>
            <wp:effectExtent l="0" t="0" r="9525" b="3175"/>
            <wp:wrapTopAndBottom/>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xmlns:r="http://schemas.openxmlformats.org/officeDocument/2006/relationships" r:embed="Relimage10" cstate="print"/>
                    <a:srcRect/>
                    <a:stretch>
                      <a:fillRect/>
                    </a:stretch>
                  </pic:blipFill>
                  <pic:spPr bwMode="auto">
                    <a:xfrm>
                      <a:off x="0" y="0"/>
                      <a:ext cx="2847975" cy="2282825"/>
                    </a:xfrm>
                    <a:prstGeom prst="rect"/>
                    <a:noFill/>
                    <a:ln>
                      <a:noFill/>
                    </a:ln>
                  </pic:spPr>
                </pic:pic>
              </a:graphicData>
            </a:graphic>
          </wp:anchor>
        </w:drawing>
      </w:r>
    </w:p>
    <w:p>
      <w:pPr>
        <w:rPr>
          <w:i w:val="1"/>
          <w:iCs w:val="1"/>
          <w:sz w:val="22"/>
        </w:rPr>
      </w:pPr>
      <w:r>
        <w:rPr>
          <w:rFonts w:ascii="Barlow" w:hAnsi="Barlow"/>
          <w:i w:val="1"/>
          <w:sz w:val="20"/>
          <w:szCs w:val="20"/>
        </w:rPr>
        <w:t>Figur 5. Skyfallsanalys under planerade förhållanden. Mörkblå pilar visar rinnvägar som styrs av föreslagen bebyggelsestruktur. Ringen i östra delen av utredningsområdet visar en plats där analysen visar risk för stående vatten intill ny kvartersmark. Källa: Tyréns.</w:t>
      </w:r>
    </w:p>
    <w:p>
      <w:pPr>
        <w:rPr>
          <w:noProof w:val="1"/>
          <w:lang w:eastAsia="sv-SE"/>
        </w:rPr>
      </w:pPr>
      <w:bookmarkEnd w:id="156"/>
    </w:p>
    <w:p>
      <w:pPr>
        <w:pStyle w:val="P3"/>
        <w:rPr>
          <w:lang w:val="en-US"/>
        </w:rPr>
      </w:pPr>
      <w:bookmarkEnd w:id="157"/>
      <w:bookmarkStart w:id="158" w:name="_Toc175726295"/>
      <w:bookmarkStart w:id="159" w:name="pf_riskförras01"/>
      <w:bookmarkStart w:id="160" w:name="pf_riskförerosion02"/>
      <w:bookmarkStart w:id="161" w:name="pf_riskförskred02"/>
      <w:r>
        <w:t>ras, skred och Erosion</w:t>
      </w:r>
      <w:bookmarkEnd w:id="158"/>
    </w:p>
    <w:p>
      <w:bookmarkStart w:id="162" w:name="pf_riskförerosion01"/>
      <w:r>
        <w:t>I den geotekniska utredningen har Tyréns gjort en översiktlig analys av höjdkurvor från grundkartan som visar att terrängen inom planerad kvartersmark ligger generellt något lutande upp mot söder och sydöst med en släntlutning på runt 1:25 eller flackare. I södra delen finns ett mindre höjdparti som har en släntlutning på ungefär 1:2. Det bedöms därför inte föreligga några stabilitetsproblem inom undersökningsområdet. Detta med hänsyn till planerad byggnation, markgeometri samt rådande jordlagerförhållanden. Permanenta jordslänter bör preliminärt ej räknas med att kunna ställa med en brantare lutning än 1:2 i närheten av planerad byggnation för att säkerställa att stabilitetsproblem ej föreligger. Inga vattendrag som bidrar till skadlig erosion eller känsliga slänter med erosionsskador bedöms finnas inom området.</w:t>
      </w:r>
      <w:bookmarkEnd w:id="162"/>
      <w:bookmarkStart w:id="163" w:name="pf_riskförskred01"/>
    </w:p>
    <w:p>
      <w:pPr>
        <w:rPr>
          <w:noProof w:val="1"/>
          <w:lang w:eastAsia="sv-SE"/>
        </w:rPr>
      </w:pPr>
      <w:bookmarkEnd w:id="159"/>
      <w:bookmarkEnd w:id="160"/>
      <w:bookmarkEnd w:id="161"/>
    </w:p>
    <w:p>
      <w:pPr>
        <w:pStyle w:val="P2"/>
      </w:pPr>
      <w:bookmarkEnd w:id="147"/>
      <w:bookmarkEnd w:id="148"/>
      <w:bookmarkEnd w:id="163"/>
      <w:bookmarkStart w:id="164" w:name="_Toc89446035"/>
      <w:bookmarkStart w:id="165" w:name="_Toc101363539"/>
      <w:bookmarkStart w:id="166" w:name="_Toc175726296"/>
      <w:r>
        <w:t>Natur och miljö</w:t>
      </w:r>
      <w:bookmarkEnd w:id="164"/>
      <w:bookmarkEnd w:id="165"/>
      <w:bookmarkEnd w:id="166"/>
    </w:p>
    <w:p>
      <w:pPr>
        <w:rPr>
          <w:noProof w:val="1"/>
          <w:lang w:val="en-US" w:eastAsia="sv-SE"/>
        </w:rPr>
      </w:pPr>
      <w:bookmarkStart w:id="167" w:name="pf_miljö01"/>
    </w:p>
    <w:p>
      <w:pPr>
        <w:pStyle w:val="P3"/>
        <w:rPr>
          <w:lang w:val="en-US"/>
        </w:rPr>
      </w:pPr>
      <w:bookmarkEnd w:id="167"/>
      <w:bookmarkStart w:id="168" w:name="_Toc175726297"/>
      <w:bookmarkStart w:id="169" w:name="pf_naturochvegetation01"/>
      <w:bookmarkStart w:id="170" w:name="_Toc89446036"/>
      <w:bookmarkStart w:id="171" w:name="_Toc101363540"/>
      <w:r>
        <w:t>Natur och vegetation</w:t>
      </w:r>
      <w:bookmarkEnd w:id="168"/>
      <w:r>
        <w:t xml:space="preserve"> </w:t>
      </w:r>
    </w:p>
    <w:p>
      <w:r>
        <w:t>Planområdet omfattar idag ett natur/skogsområde. Inom planområdet finns idag två ekmiljöer med kulturhistoriska och estetiska värden. I västra delen finns ett naturområde med plats för pulkaåkning och bollspel och i östra delen en lekmiljö som används flitigt av förskolor i närområdet. Däremellan domineras området av en relativt ung och tät björkskog. Det finns även flera grova träd, stenrösen och stenmurar inom området. Området ligger inom värdenätverk för Ädellöv. Idag omfattar hela området en del i ett sammanhängande spridningsstråk från Bondebacka vidare till Torvmossen och ut mot Bråstorp. I samband med att området exploateras begränsas detta spridningsstråk till en spridningskorridor i väster. För att förstärka denna spridningskorridor för växter och djur kommer området behöva ses över och planeras om från relativt öppet rekreationsstråk till ett mer mångfacetterat stråk där rekreation med bland annat pulkabacke och bollspel får samspela med vegetation av skogskaraktär i form av inhemska träd och buskar.</w:t>
      </w:r>
    </w:p>
    <w:p>
      <w:pPr>
        <w:rPr>
          <w:noProof w:val="1"/>
          <w:lang w:eastAsia="sv-SE"/>
        </w:rPr>
      </w:pPr>
      <w:bookmarkEnd w:id="169"/>
    </w:p>
    <w:p>
      <w:pPr>
        <w:pStyle w:val="P4"/>
      </w:pPr>
      <w:bookmarkStart w:id="172" w:name="pf_naturochvegetation02"/>
      <w:r>
        <w:t>Naturvärden</w:t>
      </w:r>
    </w:p>
    <w:p>
      <w:r>
        <w:t>Nardus – Ekologisk konsult har utfört en naturvärdesinventering (NVI) vars syfte är att ingå som ett underlag i arbetet med detaljplan Bergmossen i Motala kommun. Inventeringen följer svensk standard för naturvärdesinventering och har detaljeringsgraden fält detalj med tilläggen klass 4, generellt biotopskydd, värdeelement och detaljerad redovisning av artförekomst. Målet är att kartlägga eventuella delområden med specifika naturvärden. Fältbesök i området gjordes den 11:e respektive 17:e oktober 2022.</w:t>
      </w:r>
    </w:p>
    <w:p/>
    <w:p>
      <w:r>
        <w:t>Det inventerade områdets utgörs idag av lövskog, men har sitt ursprung i ett öppet</w:t>
      </w:r>
    </w:p>
    <w:p>
      <w:r>
        <w:t>odlingslandskap. Omgivningen utgörs av sentida vägar och bebyggelse, men inventeringsområdet har i stort sett lämnats att växa igen, varför det äldre landskapet</w:t>
      </w:r>
    </w:p>
    <w:p>
      <w:r>
        <w:t xml:space="preserve">fortfarande går att skönja. </w:t>
      </w:r>
    </w:p>
    <w:p/>
    <w:p>
      <w:r>
        <w:rPr>
          <w:noProof w:val="1"/>
        </w:rPr>
        <w:drawing>
          <wp:anchor xmlns:wp="http://schemas.openxmlformats.org/drawingml/2006/wordprocessingDrawing" distT="0" distB="0" distL="114300" distR="114300" simplePos="0" relativeHeight="251645953" behindDoc="1" locked="0" layoutInCell="1" allowOverlap="1">
            <wp:simplePos x="0" y="0"/>
            <wp:positionH relativeFrom="margin">
              <wp:posOffset>586105</wp:posOffset>
            </wp:positionH>
            <wp:positionV relativeFrom="paragraph">
              <wp:posOffset>520700</wp:posOffset>
            </wp:positionV>
            <wp:extent cx="2473325" cy="3643630"/>
            <wp:effectExtent l="590550" t="0" r="574675" b="0"/>
            <wp:wrapTight wrapText="bothSides">
              <wp:wrapPolygon edited="0">
                <wp:start x="47" y="21632"/>
                <wp:lineTo x="21509" y="21632"/>
                <wp:lineTo x="21509" y="62"/>
                <wp:lineTo x="47" y="62"/>
                <wp:lineTo x="47" y="21632"/>
              </wp:wrapPolygon>
            </wp:wrapTight>
            <wp:docPr id="20" name="Bildobjekt 20"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objekt 20" descr="En bild som visar karta&#10;&#10;Automatiskt genererad beskrivning"/>
                    <pic:cNvPicPr/>
                  </pic:nvPicPr>
                  <pic:blipFill dpi="0">
                    <a:blip xmlns:r="http://schemas.openxmlformats.org/officeDocument/2006/relationships" r:embed="Relimage11"/>
                    <a:srcRect l="2285"/>
                    <a:stretch>
                      <a:fillRect/>
                    </a:stretch>
                  </pic:blipFill>
                  <pic:spPr bwMode="auto">
                    <a:xfrm rot="5400000">
                      <a:off x="0" y="0"/>
                      <a:ext cx="2473325" cy="3643630"/>
                    </a:xfrm>
                    <a:prstGeom prst="rect"/>
                    <a:ln>
                      <a:noFill/>
                    </a:ln>
                  </pic:spPr>
                </pic:pic>
              </a:graphicData>
            </a:graphic>
          </wp:anchor>
        </w:drawing>
      </w:r>
      <w:r>
        <w:t>En stor del av inventeringsområdet utgörs av åkermark som vuxit igen, eller planterats, med framför allt björk under 1980-talet. Den förhållandevis unga björkskogen har under den korta tiden inte hunnit utveckla höga naturvärden. De högsta naturvärdena är därför knutna till områden som inte varit uppodlade på grund av stening mark. Inga objekt i de två högsta klasserna hittades.</w:t>
      </w:r>
    </w:p>
    <w:p/>
    <w:p/>
    <w:p/>
    <w:p/>
    <w:p/>
    <w:p/>
    <w:p/>
    <w:p/>
    <w:p/>
    <w:p/>
    <w:p/>
    <w:p/>
    <w:p/>
    <w:p/>
    <w:p>
      <w:r>
        <w:rPr>
          <w:rFonts w:ascii="Barlow" w:hAnsi="Barlow"/>
          <w:i w:val="1"/>
          <w:sz w:val="20"/>
          <w:szCs w:val="20"/>
        </w:rPr>
        <w:t xml:space="preserve">Figur 6. Kartan visar naturvärdesobjekt som identifierades inom planområdet, </w:t>
      </w:r>
      <w:r>
        <w:rPr>
          <w:rFonts w:ascii="Barlow" w:hAnsi="Barlow"/>
          <w:i w:val="1"/>
          <w:iCs w:val="1"/>
          <w:sz w:val="20"/>
          <w:szCs w:val="20"/>
        </w:rPr>
        <w:t>två i klass 3 och sex i klass 4</w:t>
      </w:r>
      <w:r>
        <w:rPr>
          <w:rFonts w:ascii="Barlow" w:hAnsi="Barlow"/>
          <w:i w:val="1"/>
          <w:sz w:val="20"/>
          <w:szCs w:val="20"/>
        </w:rPr>
        <w:t>. Källa: Nardus.</w:t>
      </w:r>
    </w:p>
    <w:p/>
    <w:p>
      <w:r>
        <w:t>Längst i öster ligger en ekdominerad lövskog som under lång tid bedömts ha varit betesmark med lövträd (N8). Hagmarksfloran har försvunnit och ersatts med skogsarter, men skogens värde ligger i variationen i ålder, den flerskiktade strukturen och inslag av död ved och hålträd. De flesta ekarna är förhållandevis klena, men spridda träd är något äldre. Riktigt gamla träd saknas dock. Till detta kommer också småbiotoper i form av en stenmur och flera odlingsrösen i den gamla åkerkanten. Området bedöms ha ett påtagligt naturvärde, klass 3.</w:t>
      </w:r>
    </w:p>
    <w:p/>
    <w:p>
      <w:pPr>
        <w:rPr>
          <w:color w:val="FB784C" w:themeColor="accent4" w:themeTint="99"/>
        </w:rPr>
      </w:pPr>
      <w:r>
        <w:t>Område N8 kommer till allra största del föreslås att planläggas som NATUR, endast en mindre del av området som ligger väster om den nord-syd-gående gång- och cykelvägen (odlingsrösen i den gamla åkerkanten) kommer att tas i anspråk av kvartersmark för bostäder. Stenrösen och murar bevaras i största möjliga mån, men kommer påverkas av exploateringen vid tre ställen. Det kommer finnas möjlighet att rekonstruera stenmurarna på kvartersmark, både i planens nordöstra del samt längre söder ut.</w:t>
      </w:r>
    </w:p>
    <w:p/>
    <w:p>
      <w:r>
        <w:t xml:space="preserve">Det andra naturvärdesobjektet i klass 3 utgörs av en ännu inte helt igenvuxen hagmarksrest i söder (N6) med äldre vidkroniga björkar och någon ek. Område N6 föreslås i sin helhet planläggas som NATUR. </w:t>
      </w:r>
    </w:p>
    <w:p/>
    <w:p>
      <w:r>
        <w:t>I övrigt finns sex områden som bedömts ha ett visst naturvärde, klass 4. Det rör sig framför allt om igenvuxen mark i söder med ett varierat trädskikt av lövträd, ofta på stenig mark med odlingsrösen i gamla åkerkanter. Till klass 4 förs också ett par planterade buskage som erbjuder lämpliga fågelmiljöer och blommor med nektar och pollen som gynnar en rik insektsfauna. Ett mindre vägkantsområde med en förhållandevis artrik flora har getts samma naturvärdesklassning.</w:t>
      </w:r>
    </w:p>
    <w:p/>
    <w:p>
      <w:r>
        <w:t>Två av områdena N4 och N5 omfattas av den föreslagna kvartersmarken för bostäder. Den äldre ägogräns som utgör naturvärdet i område 4 finns möjlighet att delvis bevara, och framhäva, inom kvartersmark då odlingsrösena bildar en naturlig gräns mellan bebyggelsens gårdsbildning och yttre tomtmark enligt illustrationsförslaget. Område N5 kommer däremot att till större del tas i anspråk av bebyggelse och anlagd mark där omkring.</w:t>
      </w:r>
    </w:p>
    <w:p/>
    <w:p>
      <w:r>
        <w:t>I ett landskapsekologiskt perspektiv hör naturen i det inventerade området ihop med ekmiljöerna vid Bondebacka – Ekön i söder.</w:t>
      </w:r>
    </w:p>
    <w:p>
      <w:bookmarkEnd w:id="172"/>
    </w:p>
    <w:p>
      <w:pPr>
        <w:pStyle w:val="P4"/>
      </w:pPr>
      <w:bookmarkStart w:id="173" w:name="pf_artskydd01"/>
      <w:r>
        <w:t>Fridlysta arter</w:t>
      </w:r>
    </w:p>
    <w:p>
      <w:pPr>
        <w:pStyle w:val="P5"/>
        <w:rPr>
          <w:color w:val="auto"/>
        </w:rPr>
      </w:pPr>
      <w:r>
        <w:rPr>
          <w:color w:val="auto"/>
        </w:rPr>
        <w:t>Större vattensalamander</w:t>
      </w:r>
    </w:p>
    <w:p>
      <w:r>
        <w:t>I planområdet Bergmossen finns gott om miljöer där den större vattensalamandern skulle kunna leva under sin landlevande tid. Den trivs i lövskog med mycket skrymslen bland stenar och rötter. Eftersom arten är helt beroende av småvatten behöver det dock finnas något småvatten i närheten för att området ska användas under landvistelsen.</w:t>
      </w:r>
    </w:p>
    <w:p/>
    <w:p>
      <w:r>
        <w:t>Den närmaste kända fyndplatsen för större vattensalamander ligger cirka en kilometer bort i Bråstorp. Det är uteslutet att dessa salamandrar skulle söka sig till planområdet Bergmossen efter leken på våren. Det småvatten som ligger närmast planområdet Bergmossen ligger cirka 250 meter bort i Herrefallsmossen. Där finns ingen känd förekomst av större vattensalamander. Om arten ändå skulle finnas där eller lyckas sprida sig dit är det troligt att den största delen av populationen skulle uppehålla sig i naturområdet närmast lekvattnet, även om enstaka individer kanske skulle ge sig iväg längre.</w:t>
      </w:r>
    </w:p>
    <w:p/>
    <w:p>
      <w:r>
        <w:t>Slutsatsen blir att planområdet Bergmossen inte är en livsmiljö för större vattensalamander.</w:t>
      </w:r>
    </w:p>
    <w:p>
      <w:pPr>
        <w:rPr>
          <w:color w:val="FB784C" w:themeColor="accent4" w:themeTint="99"/>
        </w:rPr>
      </w:pPr>
    </w:p>
    <w:p>
      <w:pPr>
        <w:pStyle w:val="P5"/>
        <w:rPr>
          <w:color w:val="auto"/>
        </w:rPr>
      </w:pPr>
      <w:r>
        <w:rPr>
          <w:color w:val="auto"/>
        </w:rPr>
        <w:t>Mindre vattensalamander och vanlig groda</w:t>
      </w:r>
    </w:p>
    <w:p>
      <w:r>
        <w:t>Mindre vattensalamander och vanlig groda har påträffats i damm i torvmossen samt damm på kyrkogården. För arterna är det viktigt att hänsyn tas till stenrösen och stenmurar inom planområdet.</w:t>
      </w:r>
    </w:p>
    <w:p>
      <w:pPr>
        <w:rPr>
          <w:color w:val="FB784C" w:themeColor="accent4" w:themeTint="99"/>
        </w:rPr>
      </w:pPr>
    </w:p>
    <w:p>
      <w:pPr>
        <w:pStyle w:val="P5"/>
        <w:rPr>
          <w:color w:val="auto"/>
        </w:rPr>
      </w:pPr>
      <w:r>
        <w:rPr>
          <w:color w:val="auto"/>
        </w:rPr>
        <w:t>Hasselsnok</w:t>
      </w:r>
    </w:p>
    <w:p>
      <w:r>
        <w:t>Det finns inga kända sentida fynd av hasselsnok i Motala. Även om arten lever undanskymt så borde det finnas fynd om arten är spridd i kommunen. Det kan inte uteslutas att den finns i mindre antal på enstaka platser, men då kan det förväntas vara i miljöer som är påtagligt gynnsamma för arten.</w:t>
      </w:r>
    </w:p>
    <w:p/>
    <w:p>
      <w:r>
        <w:t>Miljön i planområdet innehåller gott om stenrösen som erbjuder mängder med skrymslen viket passar hasselsnok. Däremot är området slutet och har få öppna solexponerade miljöer som passar arten.</w:t>
      </w:r>
    </w:p>
    <w:p/>
    <w:p>
      <w:r>
        <w:t>Slutsatsen blir att det är mycket låg sannolikhet för att hasselsnok skulle finnas i planområdet.</w:t>
      </w:r>
    </w:p>
    <w:p/>
    <w:p/>
    <w:p/>
    <w:p/>
    <w:p/>
    <w:p/>
    <w:p/>
    <w:p/>
    <w:p>
      <w:pPr>
        <w:pStyle w:val="P4"/>
      </w:pPr>
      <w:r>
        <w:t>Invasiva arter</w:t>
      </w:r>
    </w:p>
    <w:p>
      <w:r>
        <w:rPr>
          <w:noProof w:val="1"/>
        </w:rPr>
        <w:drawing>
          <wp:anchor xmlns:wp="http://schemas.openxmlformats.org/drawingml/2006/wordprocessingDrawing" distT="0" distB="0" distL="114300" distR="114300" simplePos="0" relativeHeight="12" behindDoc="0" locked="0" layoutInCell="1" allowOverlap="1">
            <wp:simplePos x="0" y="0"/>
            <wp:positionH relativeFrom="margin">
              <wp:align>left</wp:align>
            </wp:positionH>
            <wp:positionV relativeFrom="paragraph">
              <wp:posOffset>819785</wp:posOffset>
            </wp:positionV>
            <wp:extent cx="5039360" cy="2711450"/>
            <wp:effectExtent l="0" t="0" r="8890" b="0"/>
            <wp:wrapTopAndBottom/>
            <wp:docPr id="733651728" name="Bildobjekt 733651728" descr="En bild som visar Flygfotografi, Fågelperspektiv, flygbaserad,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651728" name="Bildobjekt 733651728" descr="En bild som visar Flygfotografi, Fågelperspektiv, flygbaserad, karta&#10;&#10;Automatiskt genererad beskrivning"/>
                    <pic:cNvPicPr>
                      <a:picLocks noChangeAspect="1"/>
                    </pic:cNvPicPr>
                  </pic:nvPicPr>
                  <pic:blipFill dpi="0">
                    <a:blip xmlns:r="http://schemas.openxmlformats.org/officeDocument/2006/relationships" r:embed="Relimage12" cstate="print"/>
                    <a:srcRect/>
                    <a:stretch>
                      <a:fillRect/>
                    </a:stretch>
                  </pic:blipFill>
                  <pic:spPr bwMode="auto">
                    <a:xfrm>
                      <a:off x="0" y="0"/>
                      <a:ext cx="5039360" cy="2711450"/>
                    </a:xfrm>
                    <a:prstGeom prst="rect"/>
                    <a:noFill/>
                    <a:ln>
                      <a:noFill/>
                    </a:ln>
                  </pic:spPr>
                </pic:pic>
              </a:graphicData>
            </a:graphic>
          </wp:anchor>
        </w:drawing>
      </w:r>
      <w:r>
        <w:t xml:space="preserve">En inventering av planområdet har utförts av Motala kommun med avseende på invasiva arter. Inom planområdet har den invasiva arten parkslide återfunnits i en liten del av fastigheten, enligt karta nedan. Den invasiva arten kanadensiskt gullris har hittats spridd i området, främst i den västra och södra delen, enligt karta nedan. </w:t>
      </w:r>
    </w:p>
    <w:p>
      <w:pPr>
        <w:rPr>
          <w:rFonts w:asciiTheme="minorHAnsi" w:hAnsiTheme="minorHAnsi"/>
          <w:i w:val="1"/>
          <w:iCs w:val="1"/>
          <w:sz w:val="20"/>
          <w:szCs w:val="20"/>
        </w:rPr>
      </w:pPr>
      <w:r>
        <w:rPr>
          <w:rFonts w:asciiTheme="minorHAnsi" w:hAnsiTheme="minorHAnsi"/>
          <w:i w:val="1"/>
          <w:iCs w:val="1"/>
          <w:sz w:val="20"/>
          <w:szCs w:val="20"/>
        </w:rPr>
        <w:t>Figur 7. Karta över invasiva arter i planområdets närhet. Gröna ytor är parkslide. Gula ytor är kanadensiskt gullris. Karta: Motala kommun.</w:t>
      </w:r>
    </w:p>
    <w:p>
      <w:pPr>
        <w:rPr>
          <w:rFonts w:asciiTheme="minorHAnsi" w:hAnsiTheme="minorHAnsi"/>
          <w:i w:val="1"/>
          <w:iCs w:val="1"/>
          <w:color w:val="FB784C" w:themeColor="accent4" w:themeTint="99"/>
          <w:sz w:val="20"/>
          <w:szCs w:val="20"/>
        </w:rPr>
      </w:pPr>
    </w:p>
    <w:p>
      <w:pPr>
        <w:pStyle w:val="P5"/>
        <w:rPr>
          <w:rFonts w:asciiTheme="minorHAnsi" w:hAnsiTheme="minorHAnsi"/>
          <w:color w:val="auto"/>
        </w:rPr>
      </w:pPr>
      <w:r>
        <w:rPr>
          <w:color w:val="auto"/>
        </w:rPr>
        <w:t xml:space="preserve">Parkslide </w:t>
      </w:r>
    </w:p>
    <w:p>
      <w:r>
        <w:t xml:space="preserve">Parkslide, </w:t>
      </w:r>
      <w:r>
        <w:rPr>
          <w:i w:val="1"/>
        </w:rPr>
        <w:t>Reynoutria japonica</w:t>
      </w:r>
      <w:r>
        <w:t xml:space="preserve">, är en storväxt och flerårig ört med ett bambuliknande växtsätt. </w:t>
      </w:r>
    </w:p>
    <w:p/>
    <w:p>
      <w:r>
        <w:t xml:space="preserve">Vid hantering av parkslide rekommenderar kommunen att grävning och rotkapning undviks i eller vid parkslide eftersom det finns stor risk att växten sprider sig och skickar utlöpare som kan vara upp till 30 meter långa. </w:t>
      </w:r>
    </w:p>
    <w:p/>
    <w:p>
      <w:r>
        <w:t xml:space="preserve">Det är viktigt att inte sprida parkslide vidare. Om växtavfall eller jord där parksliden växer behöver tas bort ska Naturvårdsverkets rekommendationer följas. Kommunen rekommenderar även att vara mycket noggrann med rengöring av maskiner, däck, redskap, skor med mera efter grävning i eller vid parkslide. </w:t>
      </w:r>
    </w:p>
    <w:p/>
    <w:p>
      <w:r>
        <w:t>Parkslide är svårt och dyrt att bekämpa och i dagsläget finns ingen metod som visat sig vara helt effektiv. För mer information kring hur parkslide ske bekämpas se Naturvårdsverkets hemsida.</w:t>
      </w:r>
    </w:p>
    <w:p/>
    <w:p>
      <w:pPr>
        <w:pStyle w:val="P5"/>
        <w:rPr>
          <w:color w:val="auto"/>
        </w:rPr>
      </w:pPr>
      <w:r>
        <w:rPr>
          <w:color w:val="auto"/>
        </w:rPr>
        <w:t>Kanadensiskt gullris</w:t>
      </w:r>
    </w:p>
    <w:p>
      <w:r>
        <w:t xml:space="preserve">Kanadensiskt gullris, </w:t>
      </w:r>
      <w:r>
        <w:rPr>
          <w:i w:val="1"/>
        </w:rPr>
        <w:t>Solidago canadensis</w:t>
      </w:r>
      <w:r>
        <w:t>, är en högväxt, flerårig ört som blir över en meter hög och ofta bildar stora bestånd.</w:t>
      </w:r>
    </w:p>
    <w:p/>
    <w:p>
      <w:r>
        <w:t>Flytt av massor där kanadensiskt gullris växer ökar spridning av arten. Därför måste man vara försiktig med massorna och inte flytta dem utanför området, samt vara beredd med bekämpning av kanadensiskt gullris efter anläggning.</w:t>
      </w:r>
    </w:p>
    <w:p/>
    <w:p>
      <w:r>
        <w:t>För att bekämpa kanadensiskt gullris se rekommendationer på Naturvårdsverkets hemsida.</w:t>
      </w:r>
    </w:p>
    <w:p>
      <w:bookmarkEnd w:id="173"/>
    </w:p>
    <w:p>
      <w:pPr>
        <w:pStyle w:val="P3"/>
      </w:pPr>
      <w:bookmarkStart w:id="174" w:name="_Toc175726298"/>
      <w:bookmarkStart w:id="175" w:name="pf_strandskydd02"/>
      <w:r>
        <w:t>S</w:t>
      </w:r>
      <w:bookmarkEnd w:id="170"/>
      <w:bookmarkEnd w:id="171"/>
      <w:r>
        <w:t>trandskydd</w:t>
      </w:r>
      <w:bookmarkEnd w:id="174"/>
    </w:p>
    <w:p>
      <w:bookmarkStart w:id="176" w:name="pf_strandskydd01"/>
      <w:r>
        <w:t>Planområdet berörs ej av strandskydd.</w:t>
      </w:r>
      <w:bookmarkEnd w:id="175"/>
      <w:r>
        <w:rPr>
          <w:noProof w:val="1"/>
        </w:rPr>
        <w:t xml:space="preserve"> </w:t>
      </w:r>
    </w:p>
    <w:p>
      <w:pPr>
        <w:rPr>
          <w:noProof w:val="1"/>
          <w:lang w:eastAsia="sv-SE"/>
        </w:rPr>
      </w:pPr>
    </w:p>
    <w:p>
      <w:pPr>
        <w:pStyle w:val="P3"/>
        <w:rPr>
          <w:lang w:val="en-US"/>
        </w:rPr>
      </w:pPr>
      <w:bookmarkStart w:id="177" w:name="_Toc89446045"/>
      <w:bookmarkStart w:id="178" w:name="_Toc101363549"/>
      <w:bookmarkStart w:id="179" w:name="_Toc175726299"/>
      <w:bookmarkStart w:id="180" w:name="pf_geotekniskaförhållanden02"/>
      <w:r>
        <w:t>G</w:t>
      </w:r>
      <w:bookmarkEnd w:id="177"/>
      <w:bookmarkEnd w:id="178"/>
      <w:r>
        <w:t>eoteknik</w:t>
      </w:r>
      <w:bookmarkEnd w:id="179"/>
    </w:p>
    <w:p>
      <w:bookmarkStart w:id="181" w:name="pf_geotekniskaförhållanden01"/>
      <w:r>
        <w:t xml:space="preserve">Tyréns Sverige AB har tagit fram en geoteknisk utredning för planområdet. Utförda undersökningar i området visar att jordlagren översiktligt består av ett ytligt skikt av organisk ytjord ovan friktionsjord och silt. </w:t>
      </w:r>
    </w:p>
    <w:p/>
    <w:p>
      <w:r>
        <w:t xml:space="preserve">Den organiska ytjorden består i huvudsak av humusjord eller sandig humusjord och har en mäktighet på mellan 0,2 – 0,4 meter. I mitten av området (punkt 22T07) består ytjorden av humushaltig sand och har en mäktighet på 0,7 meter. </w:t>
      </w:r>
    </w:p>
    <w:p/>
    <w:p>
      <w:r>
        <w:t xml:space="preserve">Friktionsjorden består i huvudsak av sand och siltig sand. I de flesta undersökningspunkter förekommer även silt bestående av silt och sandig silt. Påträffade siltlager har ofta en mäktighet på ungefär en till två meter. Dessa lager förekommer generellt mer i norra delen av området och påträffades direkt under den organiska ytjorden. Skruvprovtagningarna har som djupast utförts ner till 5,0 meter under markytan och ner till detta djup har sand och silt påträffats. </w:t>
      </w:r>
    </w:p>
    <w:p/>
    <w:p>
      <w:r>
        <w:t xml:space="preserve">Enligt AMA Anläggning 20 klassas sanden till materialtyp 2/3B och tjälfarlighetsklass 1/2 och silten till materialtyp 5A och tjälfarlighetsklass 4. </w:t>
      </w:r>
    </w:p>
    <w:p/>
    <w:p>
      <w:r>
        <w:t xml:space="preserve">Berg har inte påträffats i någon provtagningspunkt. Enligt SGU:s jorddjupskarta uppgår djup till berg inom området till mellan 30-50 meter. </w:t>
      </w:r>
    </w:p>
    <w:p/>
    <w:p>
      <w:r>
        <w:t>Utgående från hejarsonderingarna är lagringstätheten i jord generellt låg till medelfast och i lokala skikt mycket fast enligt ovan. Mot djupet ökar lagringstätheten ofta till fast och mycket fast. Det ska dock nämnas att det finns en viss diskrepans mellan Hfa-sonderingarna och de övriga sonderingsmetoderna. I utförd CPT-sondering stoppar sonderingen ytligt mot mycket hård jord och även trycksonderingarna visar mycket höga sonderingsmotstånd, vilket indikerar att jorden har högre lagringstäthet än vad Hfa-sonderingarna redovisar. Utvärdering av jorden har dock valts att främst utföras mot bakgrund av Hfa-sonderingarna då det endast finns en grund CPT samt svårigheten att utvärdera jordparametrar ur Tr-sonderingar.</w:t>
      </w:r>
    </w:p>
    <w:p>
      <w:bookmarkEnd w:id="180"/>
    </w:p>
    <w:p>
      <w:pPr>
        <w:pStyle w:val="P3"/>
        <w:rPr>
          <w:lang w:val="en-US"/>
        </w:rPr>
      </w:pPr>
      <w:bookmarkStart w:id="182" w:name="_Toc175726300"/>
      <w:bookmarkStart w:id="183" w:name="pf_hydrologiskaförhållanden01"/>
      <w:r>
        <w:t>Hydrologiska förhållanden</w:t>
      </w:r>
      <w:bookmarkEnd w:id="182"/>
    </w:p>
    <w:p>
      <w:r>
        <w:t>En geoteknisk utredning har tagits fram av Tyréns Sverige AB. Grundvattennivåer har lästs av i grundvattenrör tillhörande denna undersökning, se tabell 7 i MUR Geoteknik. Grundvattenavläsningar utfördes i mitten av september år 2022.</w:t>
      </w:r>
    </w:p>
    <w:p/>
    <w:p>
      <w:r>
        <w:t>I punkt 22T01 har grundvattenytan ej påträffats i installerat grundvattenrör, vilket innebär att grundvattenytan vid avläsningen låg djupare än cirka 3,6 meter under markytan, motsvarande nivån +100,6 meter.</w:t>
      </w:r>
    </w:p>
    <w:p/>
    <w:p>
      <w:r>
        <w:t>I punkt 22T05 var grundvattenytan vid avläsningstillfällena belägen på cirka 3,8-3,9 meter under markytan, motsvarande nivåerna +104,4 meter respektive +104,3 meter.</w:t>
      </w:r>
    </w:p>
    <w:p>
      <w:r>
        <w:t>I punkt 22T06 har grundvattenytan ej påträffats i installerat grundvattenrör, vilket innebär att grundvattenytan vid avläsningen låg djupare än cirka 6,2 meter under markytan, motsvarande nivån +101,3 meter.</w:t>
      </w:r>
    </w:p>
    <w:p>
      <w:pPr>
        <w:rPr>
          <w:rStyle w:val="C49"/>
          <w:rFonts w:asciiTheme="minorHAnsi" w:hAnsiTheme="minorHAnsi"/>
          <w:sz w:val="20"/>
          <w:szCs w:val="20"/>
        </w:rPr>
      </w:pPr>
    </w:p>
    <w:tbl>
      <w:tblPr>
        <w:tblW w:w="8521" w:type="dxa"/>
        <w:tblInd w:w="105" w:type="dxa"/>
        <w:tblLayout w:type="fixed"/>
        <w:tblCellMar>
          <w:left w:w="0" w:type="dxa"/>
          <w:right w:w="0" w:type="dxa"/>
        </w:tblCellMar>
        <w:tblLook w:val="0000"/>
      </w:tblPr>
      <w:tblGrid/>
      <w:tr>
        <w:trPr>
          <w:trHeight w:hRule="atLeast" w:val="503"/>
        </w:trPr>
        <w:tc>
          <w:tcPr>
            <w:tcW w:w="2139" w:type="dxa"/>
            <w:tcBorders>
              <w:top w:val="single" w:sz="4" w:space="0" w:shadow="0" w:frame="0" w:color="000000"/>
              <w:left w:val="nil"/>
              <w:bottom w:val="single" w:sz="6" w:space="0" w:shadow="0" w:frame="0" w:color="000000"/>
              <w:right w:val="single" w:sz="6" w:space="0" w:shadow="0" w:frame="0" w:color="000000"/>
            </w:tcBorders>
          </w:tcPr>
          <w:p>
            <w:pPr>
              <w:pStyle w:val="P103"/>
              <w:ind w:left="124"/>
              <w:rPr>
                <w:i w:val="1"/>
                <w:iCs w:val="1"/>
                <w:sz w:val="18"/>
                <w:szCs w:val="18"/>
                <w:spacing w:val="-2"/>
              </w:rPr>
            </w:pPr>
            <w:r>
              <w:rPr>
                <w:i w:val="1"/>
                <w:iCs w:val="1"/>
                <w:sz w:val="18"/>
                <w:szCs w:val="18"/>
                <w:spacing w:val="-2"/>
              </w:rPr>
              <w:t>Undersökningspunkt</w:t>
            </w:r>
          </w:p>
        </w:tc>
        <w:tc>
          <w:tcPr>
            <w:tcW w:w="1985" w:type="dxa"/>
            <w:tcBorders>
              <w:top w:val="single" w:sz="4" w:space="0" w:shadow="0" w:frame="0" w:color="000000"/>
              <w:left w:val="single" w:sz="6" w:space="0" w:shadow="0" w:frame="0" w:color="000000"/>
              <w:bottom w:val="single" w:sz="6" w:space="0" w:shadow="0" w:frame="0" w:color="000000"/>
              <w:right w:val="single" w:sz="4" w:space="0" w:shadow="0" w:frame="0" w:color="000000"/>
            </w:tcBorders>
          </w:tcPr>
          <w:p>
            <w:pPr>
              <w:pStyle w:val="P103"/>
              <w:rPr>
                <w:i w:val="1"/>
                <w:iCs w:val="1"/>
                <w:sz w:val="18"/>
                <w:szCs w:val="18"/>
              </w:rPr>
            </w:pPr>
            <w:r>
              <w:rPr>
                <w:i w:val="1"/>
                <w:iCs w:val="1"/>
                <w:sz w:val="18"/>
                <w:szCs w:val="18"/>
              </w:rPr>
              <w:t>Datum för mätning</w:t>
            </w:r>
          </w:p>
        </w:tc>
        <w:tc>
          <w:tcPr>
            <w:tcW w:w="2554" w:type="dxa"/>
            <w:tcBorders>
              <w:top w:val="single" w:sz="4" w:space="0" w:shadow="0" w:frame="0" w:color="000000"/>
              <w:left w:val="single" w:sz="4" w:space="0" w:shadow="0" w:frame="0" w:color="000000"/>
              <w:bottom w:val="single" w:sz="6" w:space="0" w:shadow="0" w:frame="0" w:color="000000"/>
              <w:right w:val="single" w:sz="4" w:space="0" w:shadow="0" w:frame="0" w:color="000000"/>
            </w:tcBorders>
          </w:tcPr>
          <w:p>
            <w:pPr>
              <w:pStyle w:val="P103"/>
              <w:spacing w:lineRule="auto" w:line="244" w:before="37" w:beforeAutospacing="0" w:afterAutospacing="0"/>
              <w:ind w:left="106" w:right="202"/>
              <w:rPr>
                <w:i w:val="1"/>
                <w:iCs w:val="1"/>
                <w:sz w:val="18"/>
                <w:szCs w:val="18"/>
              </w:rPr>
            </w:pPr>
            <w:r>
              <w:rPr>
                <w:i w:val="1"/>
                <w:iCs w:val="1"/>
                <w:sz w:val="18"/>
                <w:szCs w:val="18"/>
              </w:rPr>
              <w:t>Uppmätt</w:t>
            </w:r>
            <w:r>
              <w:rPr>
                <w:i w:val="1"/>
                <w:iCs w:val="1"/>
                <w:sz w:val="18"/>
                <w:szCs w:val="18"/>
                <w:spacing w:val="-15"/>
              </w:rPr>
              <w:t xml:space="preserve"> </w:t>
            </w:r>
            <w:r>
              <w:rPr>
                <w:i w:val="1"/>
                <w:iCs w:val="1"/>
                <w:sz w:val="18"/>
                <w:szCs w:val="18"/>
              </w:rPr>
              <w:t>grundvattenyta, m under markytan</w:t>
            </w:r>
          </w:p>
        </w:tc>
        <w:tc>
          <w:tcPr>
            <w:tcW w:w="1843" w:type="dxa"/>
            <w:tcBorders>
              <w:top w:val="single" w:sz="4" w:space="0" w:shadow="0" w:frame="0" w:color="000000"/>
              <w:left w:val="single" w:sz="4" w:space="0" w:shadow="0" w:frame="0" w:color="000000"/>
              <w:bottom w:val="single" w:sz="6" w:space="0" w:shadow="0" w:frame="0" w:color="000000"/>
              <w:right w:val="nil"/>
            </w:tcBorders>
          </w:tcPr>
          <w:p>
            <w:pPr>
              <w:pStyle w:val="P103"/>
              <w:spacing w:lineRule="auto" w:line="244" w:before="37" w:beforeAutospacing="0" w:afterAutospacing="0"/>
              <w:ind w:left="107"/>
              <w:rPr>
                <w:i w:val="1"/>
                <w:iCs w:val="1"/>
                <w:sz w:val="18"/>
                <w:szCs w:val="18"/>
                <w:spacing w:val="-2"/>
              </w:rPr>
            </w:pPr>
            <w:r>
              <w:rPr>
                <w:i w:val="1"/>
                <w:iCs w:val="1"/>
                <w:sz w:val="18"/>
                <w:szCs w:val="18"/>
                <w:spacing w:val="-2"/>
              </w:rPr>
              <w:t>Uppmätt grundvattennivå</w:t>
            </w:r>
          </w:p>
        </w:tc>
      </w:tr>
      <w:tr>
        <w:trPr>
          <w:trHeight w:hRule="atLeast" w:val="546"/>
        </w:trPr>
        <w:tc>
          <w:tcPr>
            <w:tcW w:w="2139" w:type="dxa"/>
            <w:tcBorders>
              <w:top w:val="single" w:sz="6" w:space="0" w:shadow="0" w:frame="0" w:color="000000"/>
              <w:left w:val="nil"/>
              <w:bottom w:val="single" w:sz="6" w:space="0" w:shadow="0" w:frame="0" w:color="000000"/>
              <w:right w:val="single" w:sz="6" w:space="0" w:shadow="0" w:frame="0" w:color="000000"/>
            </w:tcBorders>
          </w:tcPr>
          <w:p>
            <w:pPr>
              <w:pStyle w:val="P103"/>
              <w:ind w:left="124"/>
              <w:rPr>
                <w:sz w:val="18"/>
                <w:szCs w:val="18"/>
                <w:spacing w:val="-2"/>
              </w:rPr>
            </w:pPr>
            <w:r>
              <w:rPr>
                <w:sz w:val="18"/>
                <w:szCs w:val="18"/>
                <w:spacing w:val="-2"/>
              </w:rPr>
              <w:t>GV22T01</w:t>
            </w:r>
          </w:p>
        </w:tc>
        <w:tc>
          <w:tcPr>
            <w:tcW w:w="1985" w:type="dxa"/>
            <w:tcBorders>
              <w:top w:val="single" w:sz="6" w:space="0" w:shadow="0" w:frame="0" w:color="000000"/>
              <w:left w:val="single" w:sz="6" w:space="0" w:shadow="0" w:frame="0" w:color="000000"/>
              <w:bottom w:val="single" w:sz="6" w:space="0" w:shadow="0" w:frame="0" w:color="000000"/>
              <w:right w:val="single" w:sz="4" w:space="0" w:shadow="0" w:frame="0" w:color="000000"/>
            </w:tcBorders>
          </w:tcPr>
          <w:p>
            <w:pPr>
              <w:pStyle w:val="P103"/>
              <w:rPr>
                <w:sz w:val="18"/>
                <w:szCs w:val="18"/>
                <w:spacing w:val="-2"/>
              </w:rPr>
            </w:pPr>
            <w:r>
              <w:rPr>
                <w:sz w:val="18"/>
                <w:szCs w:val="18"/>
                <w:spacing w:val="-2"/>
              </w:rPr>
              <w:t>2022-09-15</w:t>
            </w:r>
          </w:p>
          <w:p>
            <w:pPr>
              <w:pStyle w:val="P103"/>
              <w:spacing w:before="38" w:beforeAutospacing="0" w:afterAutospacing="0"/>
              <w:rPr>
                <w:sz w:val="18"/>
                <w:szCs w:val="18"/>
                <w:spacing w:val="-2"/>
              </w:rPr>
            </w:pPr>
            <w:r>
              <w:rPr>
                <w:sz w:val="18"/>
                <w:szCs w:val="18"/>
                <w:spacing w:val="-2"/>
              </w:rPr>
              <w:t>2022-09-20</w:t>
            </w:r>
          </w:p>
        </w:tc>
        <w:tc>
          <w:tcPr>
            <w:tcW w:w="2554" w:type="dxa"/>
            <w:tcBorders>
              <w:top w:val="single" w:sz="6" w:space="0" w:shadow="0" w:frame="0" w:color="000000"/>
              <w:left w:val="single" w:sz="4" w:space="0" w:shadow="0" w:frame="0" w:color="000000"/>
              <w:bottom w:val="single" w:sz="6" w:space="0" w:shadow="0" w:frame="0" w:color="000000"/>
              <w:right w:val="single" w:sz="4" w:space="0" w:shadow="0" w:frame="0" w:color="000000"/>
            </w:tcBorders>
          </w:tcPr>
          <w:p>
            <w:pPr>
              <w:pStyle w:val="P103"/>
              <w:ind w:left="106"/>
              <w:rPr>
                <w:sz w:val="18"/>
                <w:szCs w:val="18"/>
              </w:rPr>
            </w:pPr>
            <w:r>
              <w:rPr>
                <w:sz w:val="18"/>
                <w:szCs w:val="18"/>
              </w:rPr>
              <w:t>&gt;3,6 m (Torrt)</w:t>
            </w:r>
          </w:p>
          <w:p>
            <w:pPr>
              <w:pStyle w:val="P103"/>
              <w:spacing w:before="38" w:beforeAutospacing="0" w:afterAutospacing="0"/>
              <w:ind w:left="106"/>
              <w:rPr>
                <w:sz w:val="18"/>
                <w:szCs w:val="18"/>
              </w:rPr>
            </w:pPr>
            <w:r>
              <w:rPr>
                <w:sz w:val="18"/>
                <w:szCs w:val="18"/>
              </w:rPr>
              <w:t>&gt;3,6 m (Torrt)</w:t>
            </w:r>
          </w:p>
        </w:tc>
        <w:tc>
          <w:tcPr>
            <w:tcW w:w="1843" w:type="dxa"/>
            <w:tcBorders>
              <w:top w:val="single" w:sz="6" w:space="0" w:shadow="0" w:frame="0" w:color="000000"/>
              <w:left w:val="single" w:sz="4" w:space="0" w:shadow="0" w:frame="0" w:color="000000"/>
              <w:bottom w:val="single" w:sz="6" w:space="0" w:shadow="0" w:frame="0" w:color="000000"/>
              <w:right w:val="nil"/>
            </w:tcBorders>
          </w:tcPr>
          <w:p>
            <w:pPr>
              <w:pStyle w:val="P103"/>
              <w:ind w:left="107"/>
              <w:rPr>
                <w:sz w:val="18"/>
                <w:szCs w:val="18"/>
              </w:rPr>
            </w:pPr>
            <w:r>
              <w:rPr>
                <w:sz w:val="18"/>
                <w:szCs w:val="18"/>
              </w:rPr>
              <w:t>&lt;+100,6 m (Torrt)</w:t>
            </w:r>
          </w:p>
          <w:p>
            <w:pPr>
              <w:pStyle w:val="P103"/>
              <w:spacing w:before="38" w:beforeAutospacing="0" w:afterAutospacing="0"/>
              <w:ind w:left="107"/>
              <w:rPr>
                <w:sz w:val="18"/>
                <w:szCs w:val="18"/>
              </w:rPr>
            </w:pPr>
            <w:r>
              <w:rPr>
                <w:sz w:val="18"/>
                <w:szCs w:val="18"/>
              </w:rPr>
              <w:t>&lt;+100,6 m (Torrt)</w:t>
            </w:r>
          </w:p>
        </w:tc>
      </w:tr>
      <w:tr>
        <w:trPr>
          <w:trHeight w:hRule="atLeast" w:val="542"/>
        </w:trPr>
        <w:tc>
          <w:tcPr>
            <w:tcW w:w="2139" w:type="dxa"/>
            <w:tcBorders>
              <w:top w:val="single" w:sz="6" w:space="0" w:shadow="0" w:frame="0" w:color="000000"/>
              <w:left w:val="nil"/>
              <w:bottom w:val="single" w:sz="4" w:space="0" w:shadow="0" w:frame="0" w:color="000000"/>
              <w:right w:val="single" w:sz="6" w:space="0" w:shadow="0" w:frame="0" w:color="000000"/>
            </w:tcBorders>
          </w:tcPr>
          <w:p>
            <w:pPr>
              <w:pStyle w:val="P103"/>
              <w:ind w:left="124"/>
              <w:rPr>
                <w:sz w:val="18"/>
                <w:szCs w:val="18"/>
                <w:spacing w:val="-2"/>
              </w:rPr>
            </w:pPr>
            <w:r>
              <w:rPr>
                <w:sz w:val="18"/>
                <w:szCs w:val="18"/>
                <w:spacing w:val="-2"/>
              </w:rPr>
              <w:t>GV22T05</w:t>
            </w:r>
          </w:p>
        </w:tc>
        <w:tc>
          <w:tcPr>
            <w:tcW w:w="1985" w:type="dxa"/>
            <w:tcBorders>
              <w:top w:val="single" w:sz="6" w:space="0" w:shadow="0" w:frame="0" w:color="000000"/>
              <w:left w:val="single" w:sz="6" w:space="0" w:shadow="0" w:frame="0" w:color="000000"/>
              <w:bottom w:val="single" w:sz="4" w:space="0" w:shadow="0" w:frame="0" w:color="000000"/>
              <w:right w:val="single" w:sz="4" w:space="0" w:shadow="0" w:frame="0" w:color="000000"/>
            </w:tcBorders>
          </w:tcPr>
          <w:p>
            <w:pPr>
              <w:pStyle w:val="P103"/>
              <w:rPr>
                <w:sz w:val="18"/>
                <w:szCs w:val="18"/>
                <w:spacing w:val="-2"/>
              </w:rPr>
            </w:pPr>
            <w:r>
              <w:rPr>
                <w:sz w:val="18"/>
                <w:szCs w:val="18"/>
                <w:spacing w:val="-2"/>
              </w:rPr>
              <w:t>2022-09-16</w:t>
            </w:r>
          </w:p>
          <w:p>
            <w:pPr>
              <w:pStyle w:val="P103"/>
              <w:spacing w:before="38" w:beforeAutospacing="0" w:afterAutospacing="0"/>
              <w:rPr>
                <w:sz w:val="18"/>
                <w:szCs w:val="18"/>
                <w:spacing w:val="-2"/>
              </w:rPr>
            </w:pPr>
            <w:r>
              <w:rPr>
                <w:sz w:val="18"/>
                <w:szCs w:val="18"/>
                <w:spacing w:val="-2"/>
              </w:rPr>
              <w:t>2022-09-20</w:t>
            </w:r>
          </w:p>
        </w:tc>
        <w:tc>
          <w:tcPr>
            <w:tcW w:w="2554" w:type="dxa"/>
            <w:tcBorders>
              <w:top w:val="single" w:sz="6" w:space="0" w:shadow="0" w:frame="0" w:color="000000"/>
              <w:left w:val="single" w:sz="4" w:space="0" w:shadow="0" w:frame="0" w:color="000000"/>
              <w:bottom w:val="single" w:sz="4" w:space="0" w:shadow="0" w:frame="0" w:color="000000"/>
              <w:right w:val="single" w:sz="4" w:space="0" w:shadow="0" w:frame="0" w:color="000000"/>
            </w:tcBorders>
          </w:tcPr>
          <w:p>
            <w:pPr>
              <w:pStyle w:val="P103"/>
              <w:ind w:left="106"/>
              <w:rPr>
                <w:sz w:val="18"/>
                <w:szCs w:val="18"/>
              </w:rPr>
            </w:pPr>
            <w:r>
              <w:rPr>
                <w:sz w:val="18"/>
                <w:szCs w:val="18"/>
              </w:rPr>
              <w:t>3,7 m</w:t>
            </w:r>
          </w:p>
          <w:p>
            <w:pPr>
              <w:pStyle w:val="P103"/>
              <w:spacing w:before="38" w:beforeAutospacing="0" w:afterAutospacing="0"/>
              <w:ind w:left="106"/>
              <w:rPr>
                <w:sz w:val="18"/>
                <w:szCs w:val="18"/>
              </w:rPr>
            </w:pPr>
            <w:r>
              <w:rPr>
                <w:sz w:val="18"/>
                <w:szCs w:val="18"/>
              </w:rPr>
              <w:t>3,8 m</w:t>
            </w:r>
          </w:p>
        </w:tc>
        <w:tc>
          <w:tcPr>
            <w:tcW w:w="1843" w:type="dxa"/>
            <w:tcBorders>
              <w:top w:val="single" w:sz="6" w:space="0" w:shadow="0" w:frame="0" w:color="000000"/>
              <w:left w:val="single" w:sz="4" w:space="0" w:shadow="0" w:frame="0" w:color="000000"/>
              <w:bottom w:val="single" w:sz="4" w:space="0" w:shadow="0" w:frame="0" w:color="000000"/>
              <w:right w:val="nil"/>
            </w:tcBorders>
          </w:tcPr>
          <w:p>
            <w:pPr>
              <w:pStyle w:val="P103"/>
              <w:ind w:left="107"/>
              <w:rPr>
                <w:sz w:val="18"/>
                <w:szCs w:val="18"/>
              </w:rPr>
            </w:pPr>
            <w:r>
              <w:rPr>
                <w:sz w:val="18"/>
                <w:szCs w:val="18"/>
              </w:rPr>
              <w:t>+104,4 m</w:t>
            </w:r>
          </w:p>
          <w:p>
            <w:pPr>
              <w:pStyle w:val="P103"/>
              <w:spacing w:before="38" w:beforeAutospacing="0" w:afterAutospacing="0"/>
              <w:ind w:left="107"/>
              <w:rPr>
                <w:sz w:val="18"/>
                <w:szCs w:val="18"/>
              </w:rPr>
            </w:pPr>
            <w:r>
              <w:rPr>
                <w:sz w:val="18"/>
                <w:szCs w:val="18"/>
              </w:rPr>
              <w:t>+104,3 m</w:t>
            </w:r>
          </w:p>
        </w:tc>
      </w:tr>
      <w:tr>
        <w:trPr>
          <w:trHeight w:hRule="atLeast" w:val="546"/>
        </w:trPr>
        <w:tc>
          <w:tcPr>
            <w:tcW w:w="2139" w:type="dxa"/>
            <w:tcBorders>
              <w:top w:val="single" w:sz="4" w:space="0" w:shadow="0" w:frame="0" w:color="000000"/>
              <w:left w:val="nil"/>
              <w:bottom w:val="single" w:sz="4" w:space="0" w:shadow="0" w:frame="0" w:color="000000"/>
              <w:right w:val="single" w:sz="6" w:space="0" w:shadow="0" w:frame="0" w:color="000000"/>
            </w:tcBorders>
          </w:tcPr>
          <w:p>
            <w:pPr>
              <w:pStyle w:val="P103"/>
              <w:ind w:left="124"/>
              <w:rPr>
                <w:sz w:val="18"/>
                <w:szCs w:val="18"/>
                <w:spacing w:val="-2"/>
              </w:rPr>
            </w:pPr>
            <w:r>
              <w:rPr>
                <w:sz w:val="18"/>
                <w:szCs w:val="18"/>
                <w:spacing w:val="-2"/>
              </w:rPr>
              <w:t>GV22T06</w:t>
            </w:r>
          </w:p>
        </w:tc>
        <w:tc>
          <w:tcPr>
            <w:tcW w:w="1985" w:type="dxa"/>
            <w:tcBorders>
              <w:top w:val="single" w:sz="4" w:space="0" w:shadow="0" w:frame="0" w:color="000000"/>
              <w:left w:val="single" w:sz="6" w:space="0" w:shadow="0" w:frame="0" w:color="000000"/>
              <w:bottom w:val="single" w:sz="4" w:space="0" w:shadow="0" w:frame="0" w:color="000000"/>
              <w:right w:val="single" w:sz="4" w:space="0" w:shadow="0" w:frame="0" w:color="000000"/>
            </w:tcBorders>
          </w:tcPr>
          <w:p>
            <w:pPr>
              <w:pStyle w:val="P103"/>
              <w:rPr>
                <w:sz w:val="18"/>
                <w:szCs w:val="18"/>
                <w:spacing w:val="-2"/>
              </w:rPr>
            </w:pPr>
            <w:r>
              <w:rPr>
                <w:sz w:val="18"/>
                <w:szCs w:val="18"/>
                <w:spacing w:val="-2"/>
              </w:rPr>
              <w:t>2022-09-16</w:t>
            </w:r>
          </w:p>
          <w:p>
            <w:pPr>
              <w:pStyle w:val="P103"/>
              <w:spacing w:before="38" w:beforeAutospacing="0" w:afterAutospacing="0"/>
              <w:rPr>
                <w:sz w:val="18"/>
                <w:szCs w:val="18"/>
                <w:spacing w:val="-2"/>
              </w:rPr>
            </w:pPr>
            <w:r>
              <w:rPr>
                <w:sz w:val="18"/>
                <w:szCs w:val="18"/>
                <w:spacing w:val="-2"/>
              </w:rPr>
              <w:t>2022-09-20</w:t>
            </w:r>
          </w:p>
        </w:tc>
        <w:tc>
          <w:tcPr>
            <w:tcW w:w="2554"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pStyle w:val="P103"/>
              <w:ind w:left="106"/>
              <w:rPr>
                <w:sz w:val="18"/>
                <w:szCs w:val="18"/>
              </w:rPr>
            </w:pPr>
            <w:r>
              <w:rPr>
                <w:sz w:val="18"/>
                <w:szCs w:val="18"/>
              </w:rPr>
              <w:t>&gt;6,2 m (Torrt)</w:t>
            </w:r>
          </w:p>
          <w:p>
            <w:pPr>
              <w:pStyle w:val="P103"/>
              <w:spacing w:before="38" w:beforeAutospacing="0" w:afterAutospacing="0"/>
              <w:ind w:left="106"/>
              <w:rPr>
                <w:sz w:val="18"/>
                <w:szCs w:val="18"/>
              </w:rPr>
            </w:pPr>
            <w:r>
              <w:rPr>
                <w:sz w:val="18"/>
                <w:szCs w:val="18"/>
              </w:rPr>
              <w:t>&gt;6,2 m (Torrt)</w:t>
            </w:r>
          </w:p>
        </w:tc>
        <w:tc>
          <w:tcPr>
            <w:tcW w:w="1843" w:type="dxa"/>
            <w:tcBorders>
              <w:top w:val="single" w:sz="4" w:space="0" w:shadow="0" w:frame="0" w:color="000000"/>
              <w:left w:val="single" w:sz="4" w:space="0" w:shadow="0" w:frame="0" w:color="000000"/>
              <w:bottom w:val="single" w:sz="4" w:space="0" w:shadow="0" w:frame="0" w:color="000000"/>
              <w:right w:val="nil"/>
            </w:tcBorders>
          </w:tcPr>
          <w:p>
            <w:pPr>
              <w:pStyle w:val="P103"/>
              <w:ind w:left="107"/>
              <w:rPr>
                <w:sz w:val="18"/>
                <w:szCs w:val="18"/>
              </w:rPr>
            </w:pPr>
            <w:r>
              <w:rPr>
                <w:sz w:val="18"/>
                <w:szCs w:val="18"/>
              </w:rPr>
              <w:t>&lt;+101,3 m (Torrt)</w:t>
            </w:r>
          </w:p>
          <w:p>
            <w:pPr>
              <w:pStyle w:val="P103"/>
              <w:spacing w:before="38" w:beforeAutospacing="0" w:afterAutospacing="0"/>
              <w:ind w:left="107"/>
              <w:rPr>
                <w:sz w:val="18"/>
                <w:szCs w:val="18"/>
              </w:rPr>
            </w:pPr>
            <w:r>
              <w:rPr>
                <w:sz w:val="18"/>
                <w:szCs w:val="18"/>
              </w:rPr>
              <w:t>&lt;+101,3 m (Torrt)</w:t>
            </w:r>
          </w:p>
        </w:tc>
      </w:tr>
    </w:tbl>
    <w:p>
      <w:pPr>
        <w:rPr>
          <w:color w:val="FF0000"/>
        </w:rPr>
      </w:pPr>
      <w:r>
        <w:rPr>
          <w:rStyle w:val="C49"/>
          <w:rFonts w:asciiTheme="minorHAnsi" w:hAnsiTheme="minorHAnsi"/>
          <w:sz w:val="20"/>
          <w:szCs w:val="20"/>
        </w:rPr>
        <w:t>Tabell 1. Grundvattenavläsningar. Källa: Tyréns.</w:t>
      </w:r>
    </w:p>
    <w:p>
      <w:pPr>
        <w:rPr>
          <w:noProof w:val="1"/>
          <w:lang w:eastAsia="sv-SE"/>
        </w:rPr>
      </w:pPr>
      <w:bookmarkEnd w:id="183"/>
    </w:p>
    <w:p>
      <w:pPr>
        <w:pStyle w:val="P3"/>
        <w:rPr>
          <w:lang w:val="en-US"/>
        </w:rPr>
      </w:pPr>
      <w:bookmarkStart w:id="184" w:name="_Toc175726301"/>
      <w:bookmarkStart w:id="185" w:name="pf_radon01"/>
      <w:r>
        <w:t>Radon</w:t>
      </w:r>
      <w:bookmarkEnd w:id="184"/>
    </w:p>
    <w:p>
      <w:pPr>
        <w:rPr>
          <w:szCs w:val="24"/>
        </w:rPr>
      </w:pPr>
      <w:r>
        <w:rPr>
          <w:szCs w:val="24"/>
        </w:rPr>
        <w:t xml:space="preserve">Enligt </w:t>
      </w:r>
      <w:r>
        <w:rPr>
          <w:i w:val="1"/>
          <w:szCs w:val="24"/>
        </w:rPr>
        <w:t>Boverkets byggregler – föreskrifter och allmänna råd (2011:6)</w:t>
      </w:r>
      <w:r>
        <w:rPr>
          <w:szCs w:val="24"/>
        </w:rPr>
        <w:t xml:space="preserve"> 6:923 ska byggnader utformas så att halten av radongas inte medför olägenheter för människors hälsa. Bedömning om byggnader ska uppföras radonsäkert sker således i bygglovsskedet.</w:t>
      </w:r>
    </w:p>
    <w:p>
      <w:pPr>
        <w:rPr>
          <w:szCs w:val="24"/>
        </w:rPr>
      </w:pPr>
    </w:p>
    <w:p>
      <w:pPr>
        <w:rPr>
          <w:szCs w:val="24"/>
        </w:rPr>
      </w:pPr>
      <w:r>
        <w:rPr>
          <w:szCs w:val="24"/>
        </w:rPr>
        <w:t>Planområdet ligger inom eventuellt högriskområde 2, alunskiffer i jordarterna.</w:t>
      </w:r>
    </w:p>
    <w:p>
      <w:pPr>
        <w:rPr>
          <w:noProof w:val="1"/>
          <w:lang w:eastAsia="sv-SE"/>
        </w:rPr>
      </w:pPr>
      <w:bookmarkEnd w:id="176"/>
      <w:bookmarkEnd w:id="181"/>
      <w:bookmarkEnd w:id="185"/>
      <w:bookmarkStart w:id="186" w:name="pf_dagvatten01"/>
    </w:p>
    <w:p>
      <w:pPr>
        <w:pStyle w:val="P2"/>
      </w:pPr>
      <w:bookmarkEnd w:id="186"/>
      <w:bookmarkStart w:id="187" w:name="_Toc89446047"/>
      <w:bookmarkStart w:id="188" w:name="_Toc101363551"/>
      <w:bookmarkStart w:id="189" w:name="_Toc175726302"/>
      <w:r>
        <w:t>K</w:t>
      </w:r>
      <w:bookmarkEnd w:id="187"/>
      <w:bookmarkEnd w:id="188"/>
      <w:r>
        <w:t>ulturmiljö</w:t>
      </w:r>
      <w:bookmarkEnd w:id="189"/>
    </w:p>
    <w:p>
      <w:pPr>
        <w:rPr>
          <w:i w:val="1"/>
          <w:noProof w:val="1"/>
          <w:lang w:eastAsia="sv-SE"/>
        </w:rPr>
      </w:pPr>
      <w:bookmarkStart w:id="190" w:name="_Hlk104907367"/>
    </w:p>
    <w:p>
      <w:pPr>
        <w:pStyle w:val="P3"/>
        <w:rPr>
          <w:lang w:val="en-US"/>
        </w:rPr>
      </w:pPr>
      <w:bookmarkStart w:id="191" w:name="_Toc175726303"/>
      <w:bookmarkStart w:id="192" w:name="pf_fornlämningar02"/>
      <w:r>
        <w:t>Fornlämning</w:t>
      </w:r>
      <w:bookmarkEnd w:id="191"/>
    </w:p>
    <w:p>
      <w:bookmarkEnd w:id="190"/>
      <w:bookmarkStart w:id="193" w:name="pf_fornlämningar01"/>
      <w:r>
        <w:t>En inventering har gjorts där objekt hittats. Objekten är inte identifierade som fornlämningar enligt Riksantikvarieämbetet (RAÄ). Inga övriga fornlämningar finns registrerade inom planområdet eller i dess närhet. Skulle fornlämningar påträffas i samband med markarbeten inom planområdet ska arbetet, i enlighet med 2 kap 10 § kulturmiljölagen, omedelbart avbrytas och länsstyrelsen underrättas.</w:t>
      </w:r>
    </w:p>
    <w:p/>
    <w:p>
      <w:pPr>
        <w:rPr>
          <w:color w:val="FF0000"/>
        </w:rPr>
      </w:pPr>
      <w:r>
        <w:t xml:space="preserve">Varken inom planområdet eller i omgivningen finns några utpekade objekt som är intressanta ur kulturmiljösynpunkt (till exempel riksintresse för kulturmiljön, objekt som är angivna i kulturmiljöprogrammet, byggnadsminnen, Q-märkta objekt i detaljplan). Detaljplanens genomförande bedöms därmed inte ha någon påverkan på </w:t>
      </w:r>
      <w:bookmarkEnd w:id="192"/>
      <w:r>
        <w:t xml:space="preserve">kulturmiljövärden. </w:t>
      </w:r>
      <w:bookmarkEnd w:id="193"/>
      <w:bookmarkStart w:id="194" w:name="_Toc89446051"/>
      <w:bookmarkStart w:id="195" w:name="_Toc101363555"/>
    </w:p>
    <w:p>
      <w:pPr>
        <w:rPr>
          <w:lang w:eastAsia="sv-SE"/>
        </w:rPr>
      </w:pPr>
    </w:p>
    <w:p>
      <w:pPr>
        <w:pStyle w:val="P2"/>
      </w:pPr>
      <w:bookmarkStart w:id="196" w:name="_Toc175726304"/>
      <w:r>
        <w:t>F</w:t>
      </w:r>
      <w:bookmarkEnd w:id="194"/>
      <w:bookmarkEnd w:id="195"/>
      <w:r>
        <w:t>ysisk miljö</w:t>
      </w:r>
      <w:bookmarkEnd w:id="196"/>
      <w:bookmarkStart w:id="197" w:name="pf_fysiskmiljö01"/>
    </w:p>
    <w:p>
      <w:pPr>
        <w:pStyle w:val="P3"/>
      </w:pPr>
      <w:bookmarkStart w:id="198" w:name="_Toc175726305"/>
      <w:r>
        <w:rPr>
          <w:rFonts w:ascii="Barlow" w:hAnsi="Barlow"/>
          <w:i w:val="1"/>
          <w:sz w:val="20"/>
          <w:szCs w:val="20"/>
        </w:rPr>
        <w:drawing>
          <wp:anchor xmlns:wp="http://schemas.openxmlformats.org/drawingml/2006/wordprocessingDrawing" distT="0" distB="0" distL="114300" distR="114300" simplePos="0" relativeHeight="6" behindDoc="0" locked="0" layoutInCell="1" allowOverlap="1">
            <wp:simplePos x="0" y="0"/>
            <wp:positionH relativeFrom="margin">
              <wp:align>left</wp:align>
            </wp:positionH>
            <wp:positionV relativeFrom="paragraph">
              <wp:posOffset>243205</wp:posOffset>
            </wp:positionV>
            <wp:extent cx="5003165" cy="3413760"/>
            <wp:effectExtent l="0" t="0" r="6985" b="0"/>
            <wp:wrapTopAndBottom/>
            <wp:docPr id="1762984961" name="Bildobjekt 6" descr="En bild som visar text, diagram, skiss,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984961" name="Bildobjekt 6" descr="En bild som visar text, diagram, skiss, karta&#10;&#10;Automatiskt genererad beskrivning"/>
                    <pic:cNvPicPr/>
                  </pic:nvPicPr>
                  <pic:blipFill dpi="0">
                    <a:blip xmlns:r="http://schemas.openxmlformats.org/officeDocument/2006/relationships" r:embed="Relimage13" cstate="print"/>
                    <a:srcRect l="13695" t="15014" r="36148" b="36548"/>
                    <a:stretch>
                      <a:fillRect/>
                    </a:stretch>
                  </pic:blipFill>
                  <pic:spPr bwMode="auto">
                    <a:xfrm>
                      <a:off x="0" y="0"/>
                      <a:ext cx="5003165" cy="3413760"/>
                    </a:xfrm>
                    <a:prstGeom prst="rect"/>
                    <a:ln>
                      <a:noFill/>
                    </a:ln>
                  </pic:spPr>
                </pic:pic>
              </a:graphicData>
            </a:graphic>
          </wp:anchor>
        </w:drawing>
      </w:r>
      <w:bookmarkStart w:id="199" w:name="pf_gestaltning01"/>
      <w:r>
        <w:t>Gestaltning</w:t>
      </w:r>
      <w:bookmarkEnd w:id="198"/>
      <w:r>
        <w:t xml:space="preserve"> </w:t>
      </w:r>
    </w:p>
    <w:p>
      <w:pPr>
        <w:rPr>
          <w:rFonts w:ascii="Barlow" w:hAnsi="Barlow"/>
          <w:i w:val="1"/>
          <w:sz w:val="20"/>
          <w:szCs w:val="20"/>
        </w:rPr>
      </w:pPr>
    </w:p>
    <w:p>
      <w:pPr>
        <w:rPr>
          <w:rFonts w:ascii="Barlow" w:hAnsi="Barlow"/>
          <w:i w:val="1"/>
          <w:sz w:val="20"/>
          <w:szCs w:val="20"/>
        </w:rPr>
      </w:pPr>
      <w:r>
        <w:rPr>
          <w:rFonts w:ascii="Barlow" w:hAnsi="Barlow"/>
          <w:i w:val="1"/>
          <w:sz w:val="20"/>
          <w:szCs w:val="20"/>
        </w:rPr>
        <w:t>Figur 8. Illustration av möjlig utformning av planområdet. Flera olika utformningar är möjliga inom detaljplanen. Källa: Arkitekterna Krook &amp; Tjäder.</w:t>
      </w:r>
    </w:p>
    <w:p>
      <w:pPr>
        <w:rPr>
          <w:i w:val="1"/>
          <w:iCs w:val="1"/>
          <w:color w:val="FF0000"/>
          <w:sz w:val="22"/>
        </w:rPr>
      </w:pPr>
    </w:p>
    <w:p>
      <w:r>
        <w:t>Planförslaget möjliggör ny bebyggelse i mitten av planområdet mellan Bergsätters förskola och grönstråket i västra delen av planområdet. Det nya området föreslås bestå av en blandning av radhus och flerbostadshus, uppförda i två våningar med sluttande tak. Radhusbebyggelsen föreslås anordnas i grupper om fyra till fem sammanlänkande huskroppar vardera innehållande en bostadslägenhet i två plan. Parkering föreslås anordnas framför entrén och en mindre komplementbyggnad kan uppföras till varje radhus på trädgårdssidan.</w:t>
      </w:r>
    </w:p>
    <w:p>
      <w:pPr>
        <w:spacing w:lineRule="auto" w:line="240" w:beforeAutospacing="0" w:afterAutospacing="0"/>
      </w:pPr>
    </w:p>
    <w:p>
      <w:r>
        <w:t>Flerbostadshusen föreslås bestå av två respektive fyra bostadslägenheter per våningsplan, totalt fyra respektive åtta bostadslägenheter per byggnadskropp, där alla lägenheter har separata entréer antingen via markplan eller en gemensam trappa. Lägenheterna på markplan har uteplats medan lägenheterna på våningsplan 2 får en terrass. Parkering för flerbostadshusen kan anordnas i grupp i nära anslutning till byggnaderna.</w:t>
      </w:r>
      <w:r>
        <w:rPr>
          <w:noProof w:val="1"/>
          <w:lang w:eastAsia="sv-SE"/>
        </w:rPr>
        <w:t xml:space="preserve"> </w:t>
      </w:r>
    </w:p>
    <w:p>
      <w:pPr>
        <w:rPr>
          <w:noProof w:val="1"/>
          <w:color w:val="000000"/>
          <w:lang w:eastAsia="sv-SE"/>
        </w:rPr>
      </w:pPr>
      <w:r>
        <w:rPr>
          <w:noProof w:val="1"/>
        </w:rPr>
        <w:drawing>
          <wp:anchor xmlns:wp="http://schemas.openxmlformats.org/drawingml/2006/wordprocessingDrawing" distT="0" distB="0" distL="114300" distR="114300" simplePos="0" relativeHeight="2" behindDoc="0" locked="0" layoutInCell="1" allowOverlap="1">
            <wp:simplePos x="0" y="0"/>
            <wp:positionH relativeFrom="margin">
              <wp:align>right</wp:align>
            </wp:positionH>
            <wp:positionV relativeFrom="paragraph">
              <wp:posOffset>24765</wp:posOffset>
            </wp:positionV>
            <wp:extent cx="5039360" cy="2647950"/>
            <wp:effectExtent l="0" t="0" r="8890" b="0"/>
            <wp:wrapTopAndBottom/>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14"/>
                    <a:srcRect/>
                    <a:stretch>
                      <a:fillRect/>
                    </a:stretch>
                  </pic:blipFill>
                  <pic:spPr bwMode="auto">
                    <a:xfrm>
                      <a:off x="0" y="0"/>
                      <a:ext cx="5039360" cy="2647950"/>
                    </a:xfrm>
                    <a:prstGeom prst="rect"/>
                    <a:noFill/>
                    <a:ln>
                      <a:noFill/>
                    </a:ln>
                  </pic:spPr>
                </pic:pic>
              </a:graphicData>
            </a:graphic>
          </wp:anchor>
        </w:drawing>
      </w:r>
    </w:p>
    <w:p>
      <w:pPr>
        <w:rPr>
          <w:rFonts w:ascii="Barlow" w:hAnsi="Barlow"/>
          <w:i w:val="1"/>
          <w:sz w:val="20"/>
          <w:szCs w:val="20"/>
        </w:rPr>
      </w:pPr>
      <w:r>
        <w:rPr>
          <w:rFonts w:ascii="Barlow" w:hAnsi="Barlow"/>
          <w:i w:val="1"/>
          <w:sz w:val="20"/>
          <w:szCs w:val="20"/>
        </w:rPr>
        <w:t>Figur 9. Inspirationsbild över föreslagen radhusbebyggelse. Flera olika utformningar är möjliga inom detaljplanen. Källa: FB Bostad.</w:t>
      </w:r>
    </w:p>
    <w:p>
      <w:pPr>
        <w:rPr>
          <w:rFonts w:ascii="Barlow" w:hAnsi="Barlow"/>
          <w:i w:val="1"/>
          <w:sz w:val="20"/>
          <w:szCs w:val="20"/>
        </w:rPr>
      </w:pPr>
    </w:p>
    <w:p>
      <w:pPr>
        <w:rPr>
          <w:rFonts w:ascii="Barlow" w:hAnsi="Barlow"/>
          <w:i w:val="1"/>
          <w:sz w:val="20"/>
          <w:szCs w:val="20"/>
        </w:rPr>
      </w:pPr>
    </w:p>
    <w:p>
      <w:pPr>
        <w:rPr>
          <w:rFonts w:ascii="Barlow" w:hAnsi="Barlow"/>
          <w:i w:val="1"/>
          <w:sz w:val="20"/>
          <w:szCs w:val="20"/>
        </w:rPr>
      </w:pPr>
      <w:r>
        <w:rPr>
          <w:noProof w:val="1"/>
          <w:color w:val="FF0000"/>
        </w:rPr>
        <w:drawing>
          <wp:anchor xmlns:wp="http://schemas.openxmlformats.org/drawingml/2006/wordprocessingDrawing" distT="0" distB="0" distL="114300" distR="114300" simplePos="0" relativeHeight="3" behindDoc="0" locked="0" layoutInCell="1" allowOverlap="1">
            <wp:simplePos x="0" y="0"/>
            <wp:positionH relativeFrom="margin">
              <wp:align>right</wp:align>
            </wp:positionH>
            <wp:positionV relativeFrom="paragraph">
              <wp:posOffset>0</wp:posOffset>
            </wp:positionV>
            <wp:extent cx="5039360" cy="2852420"/>
            <wp:effectExtent l="0" t="0" r="8890" b="5080"/>
            <wp:wrapTopAndBottom/>
            <wp:docPr id="275955907" name="Bildobjekt 275955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15"/>
                    <a:srcRect/>
                    <a:stretch>
                      <a:fillRect/>
                    </a:stretch>
                  </pic:blipFill>
                  <pic:spPr bwMode="auto">
                    <a:xfrm>
                      <a:off x="0" y="0"/>
                      <a:ext cx="5039360" cy="2852420"/>
                    </a:xfrm>
                    <a:prstGeom prst="rect"/>
                    <a:noFill/>
                    <a:ln>
                      <a:noFill/>
                    </a:ln>
                  </pic:spPr>
                </pic:pic>
              </a:graphicData>
            </a:graphic>
          </wp:anchor>
        </w:drawing>
      </w:r>
      <w:r>
        <w:rPr>
          <w:rFonts w:ascii="Barlow" w:hAnsi="Barlow"/>
          <w:i w:val="1"/>
          <w:sz w:val="20"/>
          <w:szCs w:val="20"/>
        </w:rPr>
        <w:t>Figur 10. Inspirationsbild över föreslagen flerbostadshusbebyggelse. Flera olika utformningar är möjliga inom detaljplanen. Källa: FB Bostad.</w:t>
      </w:r>
    </w:p>
    <w:p>
      <w:pPr>
        <w:pStyle w:val="P3"/>
        <w:rPr>
          <w:lang w:val="en-US"/>
        </w:rPr>
      </w:pPr>
      <w:bookmarkEnd w:id="199"/>
      <w:bookmarkStart w:id="200" w:name="_Toc175726306"/>
      <w:bookmarkStart w:id="201" w:name="pf_stadsochlandskapsbild01"/>
      <w:r>
        <w:t>Stads- och landskapsbild</w:t>
      </w:r>
      <w:bookmarkEnd w:id="200"/>
      <w:r>
        <w:t xml:space="preserve"> </w:t>
      </w:r>
    </w:p>
    <w:p>
      <w:r>
        <w:t xml:space="preserve">Byggnadsstrukturen kring planområdet består av villor och flerbostadshus. Områden i anslutning till planområdet består av låg bebyggelse i en till två våningar. Mestadels omfattar det friliggande villor och mindre inslag av flerbostadshus i två våningar. Området ligger intill större grönområden som Torvmossen i nordväst och ett stort grönområde söder om planområdet. </w:t>
      </w:r>
    </w:p>
    <w:p>
      <w:pPr>
        <w:rPr>
          <w:noProof w:val="1"/>
          <w:color w:val="000000"/>
          <w:lang w:eastAsia="sv-SE"/>
        </w:rPr>
      </w:pPr>
    </w:p>
    <w:p>
      <w:r>
        <w:t xml:space="preserve">Planområdet utgörs idag av lövskog, men har sitt ursprung i ett varierat </w:t>
      </w:r>
    </w:p>
    <w:p>
      <w:r>
        <w:t>odlingslandskap. Omgivningen utgörs av sentida vägar och bebyggelse, men</w:t>
      </w:r>
    </w:p>
    <w:p>
      <w:r>
        <w:t>inventeringsområdet har i stort sett lämnats att växa igen, varför det äldre landskapet</w:t>
      </w:r>
    </w:p>
    <w:p>
      <w:r>
        <w:t>fortfarande går att skönja.</w:t>
      </w:r>
    </w:p>
    <w:p/>
    <w:p>
      <w:r>
        <w:t>Med planförslaget förändras landskapsbilden då stora delar av björkskogen tas ner och området exploateras med bostäder. Västra och östra delen av planområdet bevaras med bestämmelsen NATUR och på så sätt bevaras lekskogen i öster och grönstråket i väster. Mellan bostadsbebyggelsen kommer nya grönytor skapas. I mittenområdet sparas en större grönyta ut tillsammans med den befintliga stenmuren/stenrösen för ett fint inslag i landskapsbilden och rekreativa kvaliteter för de boende. Stenmuren i öster kommer flyttas och rekonstrueras i nordöst och i sysöst.</w:t>
      </w:r>
    </w:p>
    <w:p>
      <w:pPr>
        <w:rPr>
          <w:noProof w:val="1"/>
          <w:color w:val="000000"/>
          <w:lang w:eastAsia="sv-SE"/>
        </w:rPr>
      </w:pPr>
      <w:bookmarkEnd w:id="201"/>
    </w:p>
    <w:p>
      <w:pPr>
        <w:pStyle w:val="P2"/>
      </w:pPr>
      <w:bookmarkEnd w:id="197"/>
      <w:bookmarkStart w:id="202" w:name="_Toc89446054"/>
      <w:bookmarkStart w:id="203" w:name="_Toc101363558"/>
      <w:bookmarkStart w:id="204" w:name="_Toc175726307"/>
      <w:bookmarkStart w:id="205" w:name="_Toc89446053"/>
      <w:bookmarkStart w:id="206" w:name="_Toc101363557"/>
      <w:r>
        <w:t>S</w:t>
      </w:r>
      <w:bookmarkEnd w:id="202"/>
      <w:bookmarkEnd w:id="203"/>
      <w:r>
        <w:t>ervice</w:t>
      </w:r>
      <w:bookmarkEnd w:id="204"/>
      <w:bookmarkStart w:id="207" w:name="pf_service01"/>
    </w:p>
    <w:p>
      <w:pPr>
        <w:pStyle w:val="P3"/>
        <w:numPr>
          <w:ilvl w:val="0"/>
          <w:numId w:val="0"/>
        </w:numPr>
        <w:ind w:firstLine="0" w:left="720"/>
      </w:pPr>
      <w:bookmarkStart w:id="208" w:name="pf_skola01"/>
    </w:p>
    <w:p>
      <w:pPr>
        <w:pStyle w:val="P3"/>
        <w:rPr>
          <w:lang w:val="en-US"/>
        </w:rPr>
      </w:pPr>
      <w:bookmarkStart w:id="209" w:name="_Toc175726308"/>
      <w:r>
        <w:t>Skola</w:t>
      </w:r>
      <w:bookmarkEnd w:id="209"/>
    </w:p>
    <w:p>
      <w:r>
        <w:t xml:space="preserve">Närmaste skola finns cirka 1 kilometer sydväst om planområdet, Vätternskolan. </w:t>
      </w:r>
    </w:p>
    <w:p>
      <w:pPr>
        <w:rPr>
          <w:noProof w:val="1"/>
          <w:shd w:val="clear" w:color="auto" w:fill="FFFFFF"/>
          <w:lang w:eastAsia="sv-SE"/>
        </w:rPr>
      </w:pPr>
      <w:bookmarkEnd w:id="208"/>
    </w:p>
    <w:p>
      <w:pPr>
        <w:pStyle w:val="P3"/>
        <w:rPr>
          <w:lang w:val="en-US"/>
        </w:rPr>
      </w:pPr>
      <w:bookmarkStart w:id="210" w:name="_Toc175726309"/>
      <w:bookmarkStart w:id="211" w:name="pf_vård01"/>
      <w:r>
        <w:t>Vård</w:t>
      </w:r>
      <w:bookmarkEnd w:id="210"/>
    </w:p>
    <w:p>
      <w:pPr>
        <w:rPr>
          <w:i w:val="1"/>
          <w:noProof w:val="1"/>
          <w:color w:val="000000"/>
          <w:lang w:eastAsia="sv-SE"/>
        </w:rPr>
      </w:pPr>
      <w:r>
        <w:t>Lasarett, vårdcentral och tandvård ligger cirka 1,5 kilometer sydväst om planområdet</w:t>
      </w:r>
      <w:bookmarkEnd w:id="211"/>
      <w:r>
        <w:t>.</w:t>
      </w:r>
    </w:p>
    <w:p>
      <w:pPr>
        <w:rPr>
          <w:noProof w:val="1"/>
          <w:lang w:eastAsia="sv-SE"/>
        </w:rPr>
      </w:pPr>
    </w:p>
    <w:p>
      <w:pPr>
        <w:pStyle w:val="P3"/>
        <w:rPr>
          <w:lang w:val="en-US"/>
        </w:rPr>
      </w:pPr>
      <w:bookmarkStart w:id="212" w:name="_Toc175726310"/>
      <w:bookmarkStart w:id="213" w:name="pf_kommersiellservice01"/>
      <w:r>
        <w:t>Kommersiell service</w:t>
      </w:r>
      <w:bookmarkEnd w:id="212"/>
    </w:p>
    <w:p>
      <w:r>
        <w:t>Närmaste livsmedelsbutik finns cirka 700 meter sydöst om planområdet. Övrig handel finns i Motala centrum samt i Bråstorp, cirka 1 kilometer nordväst om planområdet, där både dagligvaruhandel och volym- och sällanköpshandel finns.</w:t>
      </w:r>
      <w:bookmarkEnd w:id="213"/>
      <w:r>
        <w:t xml:space="preserve"> </w:t>
      </w:r>
    </w:p>
    <w:p>
      <w:pPr>
        <w:rPr>
          <w:noProof w:val="1"/>
          <w:shd w:val="clear" w:color="auto" w:fill="FFFFFF"/>
          <w:lang w:eastAsia="sv-SE"/>
        </w:rPr>
      </w:pPr>
    </w:p>
    <w:p>
      <w:pPr>
        <w:pStyle w:val="P2"/>
        <w:rPr>
          <w:lang w:val="en-US"/>
        </w:rPr>
      </w:pPr>
      <w:bookmarkEnd w:id="207"/>
      <w:bookmarkStart w:id="214" w:name="_Toc89446055"/>
      <w:bookmarkStart w:id="215" w:name="_Toc101363559"/>
      <w:bookmarkStart w:id="216" w:name="_Toc175726311"/>
      <w:r>
        <w:t>T</w:t>
      </w:r>
      <w:bookmarkEnd w:id="214"/>
      <w:bookmarkEnd w:id="215"/>
      <w:r>
        <w:t>rafik</w:t>
      </w:r>
      <w:bookmarkEnd w:id="216"/>
    </w:p>
    <w:p>
      <w:pPr>
        <w:rPr>
          <w:noProof w:val="1"/>
          <w:shd w:val="clear" w:color="auto" w:fill="FFFFFF"/>
          <w:lang w:eastAsia="sv-SE"/>
        </w:rPr>
      </w:pPr>
      <w:bookmarkStart w:id="217" w:name="pf_trafik01"/>
    </w:p>
    <w:p>
      <w:pPr>
        <w:pStyle w:val="P3"/>
        <w:rPr>
          <w:lang w:val="en-US"/>
        </w:rPr>
      </w:pPr>
      <w:bookmarkStart w:id="218" w:name="_Toc175726312"/>
      <w:bookmarkStart w:id="219" w:name="pf_motortrafik01"/>
      <w:r>
        <w:t>Motortrafik</w:t>
      </w:r>
      <w:bookmarkEnd w:id="218"/>
      <w:r>
        <w:t xml:space="preserve"> </w:t>
      </w:r>
    </w:p>
    <w:p>
      <w:r>
        <w:t>Området nås via en ny infart från Bergsättersvägen. En ny gata för de boende byggs i området. Gatan planeras gå runt genom området och ger tillgång för avfallsfordon att hämta fastighetsnära avfall i anslutning till hushållen och undvika backning.</w:t>
      </w:r>
    </w:p>
    <w:p>
      <w:pPr>
        <w:pStyle w:val="P3"/>
        <w:rPr>
          <w:lang w:val="en-US"/>
        </w:rPr>
      </w:pPr>
      <w:bookmarkEnd w:id="219"/>
      <w:bookmarkStart w:id="220" w:name="_Toc175726313"/>
      <w:bookmarkStart w:id="221" w:name="pf_gångochcykeltrafik01"/>
      <w:r>
        <w:t>Gång- och cykeltrafik</w:t>
      </w:r>
      <w:bookmarkEnd w:id="220"/>
      <w:r>
        <w:t xml:space="preserve"> </w:t>
      </w:r>
    </w:p>
    <w:p>
      <w:r>
        <w:t>Runtom området finns gång- och cykelvägar som leder vidare till både åt norr, söder, väst och öster. Möjlighet finns att kopplas samman det nya bostadsområdet inom planområdet med det stora gång- och cykelnätet med nya gång- och cykelvägar från området.</w:t>
      </w:r>
    </w:p>
    <w:p>
      <w:pPr>
        <w:rPr>
          <w:noProof w:val="1"/>
          <w:lang w:eastAsia="sv-SE"/>
        </w:rPr>
      </w:pPr>
      <w:bookmarkEnd w:id="221"/>
    </w:p>
    <w:p>
      <w:pPr>
        <w:pStyle w:val="P3"/>
        <w:rPr>
          <w:lang w:val="en-US"/>
        </w:rPr>
      </w:pPr>
      <w:bookmarkStart w:id="222" w:name="_Toc175726314"/>
      <w:bookmarkStart w:id="223" w:name="pf_kollektivtrafik01"/>
      <w:r>
        <w:t>Kollektivtrafik</w:t>
      </w:r>
      <w:bookmarkEnd w:id="222"/>
      <w:r>
        <w:t xml:space="preserve"> </w:t>
      </w:r>
    </w:p>
    <w:p>
      <w:r>
        <w:t>Närmaste busshållplatsen är Torvmossen, belägen på Bergsättersvägen i närheten av planområdet. Från hållplatsen Torvmossen går busslinje 304. Området trafikeras även av servicelinjen 312 med tillhörande mötespunkter.</w:t>
      </w:r>
    </w:p>
    <w:p>
      <w:pPr>
        <w:rPr>
          <w:noProof w:val="1"/>
          <w:lang w:eastAsia="sv-SE"/>
        </w:rPr>
      </w:pPr>
      <w:bookmarkEnd w:id="223"/>
    </w:p>
    <w:p>
      <w:pPr>
        <w:pStyle w:val="P3"/>
        <w:rPr>
          <w:lang w:val="en-US"/>
        </w:rPr>
      </w:pPr>
      <w:bookmarkStart w:id="224" w:name="_Toc175726315"/>
      <w:bookmarkStart w:id="225" w:name="pf_parkering01"/>
      <w:r>
        <w:t>Parkering</w:t>
      </w:r>
      <w:bookmarkEnd w:id="224"/>
      <w:r>
        <w:t xml:space="preserve"> </w:t>
      </w:r>
    </w:p>
    <w:p>
      <w:r>
        <w:t>Parkering ska lösas inom kvartersmark.</w:t>
      </w:r>
      <w:r>
        <w:rPr>
          <w:rFonts w:ascii="Arial Narrow" w:hAnsi="Arial Narrow"/>
        </w:rPr>
        <w:t xml:space="preserve"> </w:t>
      </w:r>
      <w:r>
        <w:t>Parkeringslösningen ska utformas i enlighet med Motala kommuns parkeringsriktlinjer och angivna parkeringstal.</w:t>
      </w:r>
    </w:p>
    <w:p>
      <w:r>
        <w:t>I bebyggelseförslaget beräknas 96 parkeringsplatser behövas, inklusive besöksparkeringar. All parkering, både boendeparkering och besöksparkering anordnas inom egen fastighet på kvartersmark.</w:t>
      </w:r>
    </w:p>
    <w:p>
      <w:pPr>
        <w:rPr>
          <w:noProof w:val="1"/>
          <w:lang w:eastAsia="sv-SE"/>
        </w:rPr>
      </w:pPr>
      <w:bookmarkEnd w:id="225"/>
    </w:p>
    <w:p>
      <w:pPr>
        <w:pStyle w:val="P3"/>
        <w:rPr>
          <w:lang w:val="en-US"/>
        </w:rPr>
      </w:pPr>
      <w:bookmarkStart w:id="226" w:name="_Toc175726316"/>
      <w:bookmarkStart w:id="227" w:name="pf_utfarter01"/>
      <w:r>
        <w:t>Utfarter</w:t>
      </w:r>
      <w:bookmarkEnd w:id="226"/>
      <w:r>
        <w:t xml:space="preserve"> </w:t>
      </w:r>
    </w:p>
    <w:p>
      <w:pPr>
        <w:rPr>
          <w:iCs w:val="1"/>
          <w:noProof w:val="1"/>
          <w:lang w:eastAsia="sv-SE"/>
        </w:rPr>
      </w:pPr>
      <w:r>
        <w:rPr>
          <w:iCs w:val="1"/>
          <w:noProof w:val="1"/>
          <w:lang w:eastAsia="sv-SE"/>
        </w:rPr>
        <w:t>Planområdet angörs via Bergsättersvägen.</w:t>
      </w:r>
    </w:p>
    <w:p>
      <w:pPr>
        <w:rPr>
          <w:noProof w:val="1"/>
          <w:color w:val="000000"/>
          <w:lang w:eastAsia="sv-SE"/>
        </w:rPr>
      </w:pPr>
      <w:bookmarkEnd w:id="227"/>
    </w:p>
    <w:p>
      <w:pPr>
        <w:pStyle w:val="P2"/>
        <w:rPr>
          <w:lang w:val="en-US"/>
        </w:rPr>
      </w:pPr>
      <w:bookmarkEnd w:id="217"/>
      <w:bookmarkStart w:id="228" w:name="_Toc175726317"/>
      <w:r>
        <w:t>T</w:t>
      </w:r>
      <w:bookmarkEnd w:id="205"/>
      <w:bookmarkEnd w:id="206"/>
      <w:r>
        <w:t>eknisk försörjning</w:t>
      </w:r>
      <w:bookmarkEnd w:id="228"/>
    </w:p>
    <w:p>
      <w:pPr>
        <w:rPr>
          <w:noProof w:val="1"/>
          <w:shd w:val="clear" w:color="auto" w:fill="FFFFFF"/>
          <w:lang w:eastAsia="sv-SE"/>
        </w:rPr>
      </w:pPr>
      <w:bookmarkStart w:id="229" w:name="pf_teknik01"/>
    </w:p>
    <w:p>
      <w:pPr>
        <w:pStyle w:val="P3"/>
        <w:rPr>
          <w:lang w:val="en-US"/>
        </w:rPr>
      </w:pPr>
      <w:bookmarkEnd w:id="229"/>
      <w:bookmarkStart w:id="230" w:name="_Toc175726318"/>
      <w:bookmarkStart w:id="231" w:name="pf_vattenochspillvattennät01"/>
      <w:bookmarkStart w:id="232" w:name="_Toc89446052"/>
      <w:bookmarkStart w:id="233" w:name="_Toc101363556"/>
      <w:bookmarkStart w:id="234" w:name="_Toc89446056"/>
      <w:bookmarkStart w:id="235" w:name="_Toc101363560"/>
      <w:r>
        <w:t>Vatten och spillvatten</w:t>
      </w:r>
      <w:bookmarkEnd w:id="230"/>
      <w:r>
        <w:t xml:space="preserve"> </w:t>
      </w:r>
    </w:p>
    <w:p>
      <w:r>
        <w:t>Planområdet ingår i kommunala verksamhetsområdet för vatten och spillvatten, men området är idag obebyggt. Anslutning till befintligt ledningsnät, som finns i anslutning till planområdet, avses ske i nordvästra delen av planområdet. VA-huvudmannen ansvarar för ledningsnät fram till förbindelsepunkt vid fastighetsgräns för kvartersmarken.</w:t>
      </w:r>
    </w:p>
    <w:p/>
    <w:p>
      <w:r>
        <w:t>Inom kvartersmarken ansvarar kommande fastighetsägare för att upprätta egen anläggning för vatten och spillvatten samt vid behov upprätta en gemensamhetsanläggning för va-anläggningen.</w:t>
      </w:r>
    </w:p>
    <w:p>
      <w:pPr>
        <w:rPr>
          <w:noProof w:val="1"/>
          <w:lang w:eastAsia="sv-SE"/>
        </w:rPr>
      </w:pPr>
      <w:bookmarkEnd w:id="231"/>
    </w:p>
    <w:p>
      <w:pPr>
        <w:pStyle w:val="P3"/>
        <w:rPr>
          <w:lang w:val="en-US"/>
        </w:rPr>
      </w:pPr>
      <w:bookmarkStart w:id="236" w:name="_Toc175726319"/>
      <w:bookmarkStart w:id="237" w:name="pf_dagvattennät01"/>
      <w:r>
        <w:t>Dagvatten</w:t>
      </w:r>
      <w:bookmarkEnd w:id="236"/>
      <w:r>
        <w:t xml:space="preserve"> </w:t>
      </w:r>
    </w:p>
    <w:p>
      <w:r>
        <w:t>Planområdet ingår i kommunala verksamhetsområdet för dagvatten, men området är idag obebyggt. Anslutning till befintligt ledningsnät, som finns i anslutning till planområdet, avses ske i nordvästra delen av planområdet. Inom kvartersmarken ansvarar kommande fastighetsägare för att upprätta egen anläggning för dagvatten samt vid behov upprätta en gemensamhetsanläggning för va-anläggningen.</w:t>
      </w:r>
    </w:p>
    <w:p/>
    <w:p>
      <w:r>
        <w:t>Tyréns har utfört en översiktlig dagvatten- och skyfallsutredning för planområdet. Flödesberäkningar visar att fördröjning av dagvatten krävs, för att inte öka flöden när skogsmark ersätts med bostadsbebyggelse. Beräknad fördröjningsvolym uppgår till cirka 600 kvadratmeter vid dimensionering för 20 års statistisk återkomsttid.</w:t>
      </w:r>
    </w:p>
    <w:p/>
    <w:p>
      <w:r>
        <w:t>Genomförd skyfallsanalys visar att det inom utredningsområdet finns delar som riskerar att översvämmas vid skyfall. Berörda platser utgörs dock av mark där ingen förändring av markanvändningen planeras. Föreslagen bostadsbebyggelse påverkar några naturliga rinnvägar. På dessa platser kan finnas behov av exempelvis diken för att styra undan vatten från hus och bostadsgårdar. Vägar inom kvartersmarken bör höjdsättas lägre än bebyggelsen i området för att kunna utgöra skyfallsväg vid extrema regn.</w:t>
      </w:r>
    </w:p>
    <w:p/>
    <w:p>
      <w:pPr>
        <w:pStyle w:val="P4"/>
      </w:pPr>
      <w:r>
        <w:t>Föreslagen dagvattenhantering</w:t>
      </w:r>
    </w:p>
    <w:p>
      <w:r>
        <w:t xml:space="preserve">Det finns goda förutsättningar att hantera dagvatten inom föreslaget planområde. </w:t>
      </w:r>
    </w:p>
    <w:p>
      <w:r>
        <w:t>Inom planområdet föreslås dagvatten i största möjliga utsträckning ledas till lokala anläggningar på kvartersmark innan avledning i täta ledningar till en samlad fördröjnings- och reningsanläggning som utgörs av svackdike som leder till en torr damm med kringliggande översvämningsyta inom kvartersmark. Avledning inom kvartersmark bör till största del ske via öppna lösningar såsom diken i grönytor för trög avledning och rening innan vatten rinner till allmän ledning.</w:t>
      </w:r>
    </w:p>
    <w:p/>
    <w:p>
      <w:r>
        <w:rPr>
          <w:noProof w:val="1"/>
          <w:color w:val="FF0000"/>
        </w:rPr>
        <w:drawing>
          <wp:anchor xmlns:wp="http://schemas.openxmlformats.org/drawingml/2006/wordprocessingDrawing" distT="0" distB="0" distL="114300" distR="114300" simplePos="0" relativeHeight="5" behindDoc="0" locked="0" layoutInCell="1" allowOverlap="1">
            <wp:simplePos x="0" y="0"/>
            <wp:positionH relativeFrom="margin">
              <wp:posOffset>1270</wp:posOffset>
            </wp:positionH>
            <wp:positionV relativeFrom="paragraph">
              <wp:posOffset>68580</wp:posOffset>
            </wp:positionV>
            <wp:extent cx="3848100" cy="4504055"/>
            <wp:effectExtent l="0" t="0" r="0" b="0"/>
            <wp:wrapTopAndBottom/>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dpi="0">
                    <a:blip xmlns:r="http://schemas.openxmlformats.org/officeDocument/2006/relationships" r:embed="Relimage16"/>
                    <a:srcRect b="16453"/>
                    <a:stretch>
                      <a:fillRect/>
                    </a:stretch>
                  </pic:blipFill>
                  <pic:spPr bwMode="auto">
                    <a:xfrm>
                      <a:off x="0" y="0"/>
                      <a:ext cx="3848100" cy="4504055"/>
                    </a:xfrm>
                    <a:prstGeom prst="rect"/>
                    <a:noFill/>
                    <a:ln>
                      <a:noFill/>
                    </a:ln>
                  </pic:spPr>
                </pic:pic>
              </a:graphicData>
            </a:graphic>
          </wp:anchor>
        </w:drawing>
      </w:r>
      <w:r>
        <w:rPr>
          <w:noProof w:val="1"/>
        </w:rPr>
        <mc:AlternateContent>
          <mc:Choice Requires="wps">
            <w:drawing>
              <wp:anchor xmlns:wp="http://schemas.openxmlformats.org/drawingml/2006/wordprocessingDrawing" distT="45720" distB="45720" distL="114300" distR="114300" simplePos="0" relativeHeight="23" behindDoc="0" locked="0" layoutInCell="1" allowOverlap="1">
                <wp:simplePos x="0" y="0"/>
                <wp:positionH relativeFrom="margin">
                  <wp:posOffset>483870</wp:posOffset>
                </wp:positionH>
                <wp:positionV relativeFrom="paragraph">
                  <wp:posOffset>4607560</wp:posOffset>
                </wp:positionV>
                <wp:extent cx="2226945" cy="1020445"/>
                <wp:effectExtent l="0" t="0" r="0" b="0"/>
                <wp:wrapSquare wrapText="bothSides"/>
                <wp:docPr id="614708556" name="Textruta 16"/>
                <wp:cNvGraphicFramePr/>
                <a:graphic xmlns:a="http://schemas.openxmlformats.org/drawingml/2006/main">
                  <a:graphicData uri="http://schemas.microsoft.com/office/word/2010/wordprocessingShape">
                    <wps:wsp>
                      <wps:cNvSpPr txBox="1">
                        <a:spLocks noChangeArrowheads="1"/>
                      </wps:cNvSpPr>
                      <wps:spPr bwMode="auto">
                        <a:xfrm>
                          <a:off x="0" y="0"/>
                          <a:ext cx="2226945" cy="1020445"/>
                        </a:xfrm>
                        <a:prstGeom prst="rect"/>
                        <a:solidFill>
                          <a:srgbClr val="FFFFFF"/>
                        </a:solid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sz w:val="16"/>
                                <w:szCs w:val="16"/>
                              </w:rPr>
                            </w:pPr>
                            <w:r>
                              <w:rPr>
                                <w:sz w:val="16"/>
                                <w:szCs w:val="16"/>
                              </w:rPr>
                              <w:t>Dagvattendike</w:t>
                            </w:r>
                          </w:p>
                          <w:p>
                            <w:pPr>
                              <w:rPr>
                                <w:sz w:val="16"/>
                                <w:szCs w:val="16"/>
                              </w:rPr>
                            </w:pPr>
                            <w:r>
                              <w:rPr>
                                <w:sz w:val="16"/>
                                <w:szCs w:val="16"/>
                              </w:rPr>
                              <w:t>Dagvattenledningar</w:t>
                            </w:r>
                          </w:p>
                          <w:p>
                            <w:pPr>
                              <w:rPr>
                                <w:sz w:val="16"/>
                                <w:szCs w:val="16"/>
                              </w:rPr>
                            </w:pPr>
                            <w:r>
                              <w:rPr>
                                <w:sz w:val="16"/>
                                <w:szCs w:val="16"/>
                              </w:rPr>
                              <w:t>Inlopp från dagvattendike till dagvattenledning</w:t>
                            </w:r>
                          </w:p>
                          <w:p>
                            <w:pPr>
                              <w:rPr>
                                <w:sz w:val="16"/>
                                <w:szCs w:val="16"/>
                              </w:rPr>
                            </w:pPr>
                            <w:r>
                              <w:rPr>
                                <w:sz w:val="16"/>
                                <w:szCs w:val="16"/>
                              </w:rPr>
                              <w:t>Översvämningsyta</w:t>
                            </w:r>
                          </w:p>
                          <w:p>
                            <w:pPr>
                              <w:rPr>
                                <w:sz w:val="16"/>
                                <w:szCs w:val="16"/>
                              </w:rPr>
                            </w:pPr>
                            <w:r>
                              <w:rPr>
                                <w:sz w:val="16"/>
                                <w:szCs w:val="16"/>
                              </w:rPr>
                              <w:t>Torr damm</w:t>
                            </w: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16" o:spid="_x0000_s1033" style="position:absolute;width:175.35pt;height:80.35pt;z-index:23;mso-wrap-distance-left:9pt;mso-wrap-distance-top:3.6pt;mso-wrap-distance-right:9pt;mso-wrap-distance-bottom:3.6pt;margin-left:38.1pt;margin-top:362.8pt;mso-position-horizontal:absolute;mso-position-horizontal-relative:margin;mso-position-vertical:absolute;mso-position-vertical-relative:text" o:allowincell="t" fillcolor="#FFFFFF" strokeweight="0.75pt" stroked="f">
                <v:textbox inset="3mm,1mm,3mm,1mm">
                  <w:txbxContent>
                    <w:p>
                      <w:pPr>
                        <w:rPr>
                          <w:sz w:val="16"/>
                          <w:szCs w:val="16"/>
                        </w:rPr>
                      </w:pPr>
                      <w:r>
                        <w:rPr>
                          <w:sz w:val="16"/>
                          <w:szCs w:val="16"/>
                        </w:rPr>
                        <w:t>Dagvattendike</w:t>
                      </w:r>
                    </w:p>
                    <w:p>
                      <w:pPr>
                        <w:rPr>
                          <w:sz w:val="16"/>
                          <w:szCs w:val="16"/>
                        </w:rPr>
                      </w:pPr>
                      <w:r>
                        <w:rPr>
                          <w:sz w:val="16"/>
                          <w:szCs w:val="16"/>
                        </w:rPr>
                        <w:t>Dagvattenledningar</w:t>
                      </w:r>
                    </w:p>
                    <w:p>
                      <w:pPr>
                        <w:rPr>
                          <w:sz w:val="16"/>
                          <w:szCs w:val="16"/>
                        </w:rPr>
                      </w:pPr>
                      <w:r>
                        <w:rPr>
                          <w:sz w:val="16"/>
                          <w:szCs w:val="16"/>
                        </w:rPr>
                        <w:t>Inlopp från dagvattendike till dagvattenledning</w:t>
                      </w:r>
                    </w:p>
                    <w:p>
                      <w:pPr>
                        <w:rPr>
                          <w:sz w:val="16"/>
                          <w:szCs w:val="16"/>
                        </w:rPr>
                      </w:pPr>
                      <w:r>
                        <w:rPr>
                          <w:sz w:val="16"/>
                          <w:szCs w:val="16"/>
                        </w:rPr>
                        <w:t>Översvämningsyta</w:t>
                      </w:r>
                    </w:p>
                    <w:p>
                      <w:pPr>
                        <w:rPr>
                          <w:sz w:val="16"/>
                          <w:szCs w:val="16"/>
                        </w:rPr>
                      </w:pPr>
                      <w:r>
                        <w:rPr>
                          <w:sz w:val="16"/>
                          <w:szCs w:val="16"/>
                        </w:rPr>
                        <w:t>Torr damm</w:t>
                      </w:r>
                    </w:p>
                  </w:txbxContent>
                </v:textbox>
                <w10:wrap type="square"/>
              </v:shape>
            </w:pict>
          </mc:Fallback>
        </mc:AlternateContent>
      </w:r>
      <w:r>
        <w:rPr>
          <w:noProof w:val="1"/>
          <w:color w:val="FF0000"/>
        </w:rPr>
        <w:drawing>
          <wp:anchor xmlns:wp="http://schemas.openxmlformats.org/drawingml/2006/wordprocessingDrawing" distT="0" distB="0" distL="114300" distR="114300" simplePos="0" relativeHeight="4" behindDoc="0" locked="0" layoutInCell="1" allowOverlap="1">
            <wp:simplePos x="0" y="0"/>
            <wp:positionH relativeFrom="margin">
              <wp:posOffset>118110</wp:posOffset>
            </wp:positionH>
            <wp:positionV relativeFrom="paragraph">
              <wp:posOffset>4714240</wp:posOffset>
            </wp:positionV>
            <wp:extent cx="342900" cy="857885"/>
            <wp:effectExtent l="0" t="0" r="0" b="0"/>
            <wp:wrapTopAndBottom/>
            <wp:docPr id="1613801112" name="Bildobjekt 161380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dpi="0">
                    <a:blip xmlns:r="http://schemas.openxmlformats.org/officeDocument/2006/relationships" r:embed="Relimage16"/>
                    <a:srcRect t="84089" r="91089"/>
                    <a:stretch>
                      <a:fillRect/>
                    </a:stretch>
                  </pic:blipFill>
                  <pic:spPr bwMode="auto">
                    <a:xfrm>
                      <a:off x="0" y="0"/>
                      <a:ext cx="342900" cy="857885"/>
                    </a:xfrm>
                    <a:prstGeom prst="rect"/>
                    <a:noFill/>
                    <a:ln>
                      <a:noFill/>
                    </a:ln>
                  </pic:spPr>
                </pic:pic>
              </a:graphicData>
            </a:graphic>
          </wp:anchor>
        </w:drawing>
      </w:r>
      <w:r>
        <w:rPr>
          <w:rFonts w:ascii="Barlow" w:hAnsi="Barlow"/>
          <w:i w:val="1"/>
          <w:sz w:val="20"/>
          <w:szCs w:val="20"/>
        </w:rPr>
        <w:t xml:space="preserve">Figur 11. Illustration av föreslagen dagvattenhantering. Källa: Tyréns. </w:t>
      </w:r>
    </w:p>
    <w:p/>
    <w:p>
      <w:r>
        <w:rPr>
          <w:noProof w:val="1"/>
        </w:rPr>
        <w:drawing>
          <wp:anchor xmlns:wp="http://schemas.openxmlformats.org/drawingml/2006/wordprocessingDrawing" distT="0" distB="0" distL="114300" distR="114300" simplePos="0" relativeHeight="10" behindDoc="0" locked="0" layoutInCell="1" allowOverlap="1">
            <wp:simplePos x="0" y="0"/>
            <wp:positionH relativeFrom="margin">
              <wp:align>left</wp:align>
            </wp:positionH>
            <wp:positionV relativeFrom="paragraph">
              <wp:posOffset>1356995</wp:posOffset>
            </wp:positionV>
            <wp:extent cx="5039360" cy="2141855"/>
            <wp:effectExtent l="0" t="0" r="8890" b="0"/>
            <wp:wrapTopAndBottom/>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dpi="0">
                    <a:blip xmlns:r="http://schemas.openxmlformats.org/officeDocument/2006/relationships" r:embed="Relimage17"/>
                    <a:srcRect/>
                    <a:stretch>
                      <a:fillRect/>
                    </a:stretch>
                  </pic:blipFill>
                  <pic:spPr bwMode="auto">
                    <a:xfrm>
                      <a:off x="0" y="0"/>
                      <a:ext cx="5039360" cy="2141855"/>
                    </a:xfrm>
                    <a:prstGeom prst="rect"/>
                    <a:noFill/>
                    <a:ln>
                      <a:noFill/>
                    </a:ln>
                  </pic:spPr>
                </pic:pic>
              </a:graphicData>
            </a:graphic>
          </wp:anchor>
        </w:drawing>
      </w:r>
      <w:r>
        <w:t>För radhus föreslås att dagvatten från takytor som lutar mot lokalgatan leds till en regnbädd, så att vatten fördröjs innan utsläpp till allmän ledning. Från takytor som lutar mot bakgården, föreslås att vatten leds till regntunnor eller annan form av magasinering för att användas för bevattning inom fastigheten. Att använda regnvatten istället för dricksvatten för bevattning innebär att dricksvattenförbrukningen kan minska något samtidigt som flöden till dagvattennätet minskar.</w:t>
      </w:r>
    </w:p>
    <w:p>
      <w:pPr>
        <w:rPr>
          <w:i w:val="1"/>
          <w:iCs w:val="1"/>
          <w:color w:val="FF0000"/>
          <w:sz w:val="22"/>
        </w:rPr>
      </w:pPr>
      <w:r>
        <w:rPr>
          <w:rFonts w:ascii="Barlow" w:hAnsi="Barlow"/>
          <w:i w:val="1"/>
          <w:sz w:val="20"/>
          <w:szCs w:val="20"/>
        </w:rPr>
        <w:t xml:space="preserve">Figur 12. Illustration av dagvattenhantering på radhustomt. Källa: Tyréns. </w:t>
      </w:r>
    </w:p>
    <w:p/>
    <w:p>
      <w:r>
        <w:rPr>
          <w:noProof w:val="1"/>
        </w:rPr>
        <w:drawing>
          <wp:anchor xmlns:wp="http://schemas.openxmlformats.org/drawingml/2006/wordprocessingDrawing" distT="0" distB="0" distL="114300" distR="114300" simplePos="0" relativeHeight="11" behindDoc="0" locked="0" layoutInCell="1" allowOverlap="1">
            <wp:simplePos x="0" y="0"/>
            <wp:positionH relativeFrom="margin">
              <wp:align>left</wp:align>
            </wp:positionH>
            <wp:positionV relativeFrom="paragraph">
              <wp:posOffset>852805</wp:posOffset>
            </wp:positionV>
            <wp:extent cx="5039360" cy="2521585"/>
            <wp:effectExtent l="0" t="0" r="8890" b="0"/>
            <wp:wrapTopAndBottom/>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dpi="0">
                    <a:blip xmlns:r="http://schemas.openxmlformats.org/officeDocument/2006/relationships" r:embed="Relimage18" cstate="print"/>
                    <a:srcRect/>
                    <a:stretch>
                      <a:fillRect/>
                    </a:stretch>
                  </pic:blipFill>
                  <pic:spPr bwMode="auto">
                    <a:xfrm>
                      <a:off x="0" y="0"/>
                      <a:ext cx="5039360" cy="2521585"/>
                    </a:xfrm>
                    <a:prstGeom prst="rect"/>
                    <a:noFill/>
                    <a:ln>
                      <a:noFill/>
                    </a:ln>
                  </pic:spPr>
                </pic:pic>
              </a:graphicData>
            </a:graphic>
          </wp:anchor>
        </w:drawing>
      </w:r>
      <w:r>
        <w:t>För flerbostadshus föreslås att dagvatten från takytor och andra hårdgjorda ytor i huvudsak avledas öppet via rännor och diken till regnbäddar. I synnerhet vid samlade parkeringsytor bör vatten avledas till regnbäddar innan avledning till kommunalt nät.</w:t>
      </w:r>
    </w:p>
    <w:p>
      <w:pPr>
        <w:rPr>
          <w:rFonts w:ascii="Barlow" w:hAnsi="Barlow"/>
          <w:i w:val="1"/>
          <w:sz w:val="20"/>
          <w:szCs w:val="20"/>
        </w:rPr>
      </w:pPr>
    </w:p>
    <w:p>
      <w:pPr>
        <w:rPr>
          <w:i w:val="1"/>
          <w:iCs w:val="1"/>
          <w:color w:val="FF0000"/>
          <w:sz w:val="22"/>
        </w:rPr>
      </w:pPr>
      <w:r>
        <w:rPr>
          <w:rFonts w:ascii="Barlow" w:hAnsi="Barlow"/>
          <w:i w:val="1"/>
          <w:sz w:val="20"/>
          <w:szCs w:val="20"/>
        </w:rPr>
        <w:t xml:space="preserve">Figur 13. Illustration av dagvattenhantering på flerbostadshustomt. Källa: Tyréns. </w:t>
      </w:r>
    </w:p>
    <w:p/>
    <w:p/>
    <w:p/>
    <w:p>
      <w:r>
        <w:t xml:space="preserve">Från fastigheter leds dagvatten till täta ledningar, som i sin tur leder dagvattnet till svackdike och torr damm inom kvartersmark i planområdets norra del. Delar av kvartersmarken bör utformas för att vara multifunktionellt och kunna översvämmas vid extrema regn. </w:t>
      </w:r>
      <w:r>
        <w:rPr>
          <w:szCs w:val="24"/>
        </w:rPr>
        <w:t xml:space="preserve">För att ordna en kostnadseffektiv dagvattenhantering, kan det vara fördel att anlägga en torrdamm för samlad fördröjning som är tillräcklig för regn med kortare återkomsttid (minst 1 år) samt att vissa ytor, som i normalfallet används för något annat, tillåts översvämmas vid regn som är större än de som är dimensionerande för dammen. Dessa översvämningsytor bör ha flacka slänter, gärna 1:6 eller flackare, samt gräs eller annan vegetation som kan tillåtas stå under vatten tillfälligt. Översvämningsytorna kan ha en annan användning när de inte är översvämmade. Sammanlagt ska ytorna kunna ta hand om en volym på 600 kubikmeter. </w:t>
      </w:r>
    </w:p>
    <w:p/>
    <w:p>
      <w:pPr>
        <w:rPr>
          <w:color w:val="FF0000"/>
        </w:rPr>
      </w:pPr>
      <w:r>
        <w:t>Föreslagna lösningar inom planområdet tillsammans med avledning av vatten till Herrefallsmossen (Torvmossen) kan effektivt rena aktuella föroreningar innan vattnet når recipienten, Motala ström. Planerad förändring av markanvändning bedöms inte påverka recipientens status eller möjlighet att nå miljökvalitetsnormer.</w:t>
      </w:r>
    </w:p>
    <w:p>
      <w:pPr>
        <w:rPr>
          <w:noProof w:val="1"/>
          <w:lang w:eastAsia="sv-SE"/>
        </w:rPr>
      </w:pPr>
      <w:bookmarkEnd w:id="237"/>
    </w:p>
    <w:p>
      <w:pPr>
        <w:pStyle w:val="P3"/>
        <w:rPr>
          <w:lang w:val="en-US"/>
        </w:rPr>
      </w:pPr>
      <w:bookmarkStart w:id="238" w:name="_Toc175726320"/>
      <w:bookmarkStart w:id="239" w:name="pf_fjärrvärmenät01"/>
      <w:r>
        <w:t>Fjärrvärme</w:t>
      </w:r>
      <w:bookmarkEnd w:id="238"/>
      <w:r>
        <w:t xml:space="preserve"> </w:t>
      </w:r>
    </w:p>
    <w:p>
      <w:r>
        <w:t>Väster om detaljplaneområdet finns ledning för fjärrvärme. Eventuella fjärrvärmeledningar kan förläggas i kvartersmark under förutsättning att det samordnas med andra ledningsägare och kommunens tekniska förvaltning.</w:t>
      </w:r>
    </w:p>
    <w:p>
      <w:pPr>
        <w:rPr>
          <w:noProof w:val="1"/>
          <w:lang w:eastAsia="sv-SE"/>
        </w:rPr>
      </w:pPr>
      <w:bookmarkEnd w:id="239"/>
    </w:p>
    <w:p>
      <w:pPr>
        <w:pStyle w:val="P3"/>
        <w:rPr>
          <w:lang w:val="en-US"/>
        </w:rPr>
      </w:pPr>
      <w:bookmarkStart w:id="240" w:name="_Toc175726321"/>
      <w:bookmarkStart w:id="241" w:name="pf_elnät01"/>
      <w:r>
        <w:t>El</w:t>
      </w:r>
      <w:bookmarkEnd w:id="240"/>
      <w:r>
        <w:t xml:space="preserve"> </w:t>
      </w:r>
    </w:p>
    <w:p>
      <w:r>
        <w:t>Området ansluts till Vattenfall Eldistribution AB:s elnät. Detaljplanen reglerar ett användningsområde avsett för transformatorstation med bestämmelsen E</w:t>
      </w:r>
      <w:r>
        <w:rPr>
          <w:vertAlign w:val="subscript"/>
        </w:rPr>
        <w:t>1</w:t>
      </w:r>
      <w:r>
        <w:t xml:space="preserve"> – Transformatorstation. Inom detta användningsområde finns en befintlig transformatorstation. Det finns möjlighet att byta ut den befintliga transformatorstationen till en större. I det fall att ett behov uppstår i framtiden, finns dock möjlighet att upprätta ett markupplåtelseavtal (avtalsservitut) för eventuella erforderliga transformatorstationer med exploatören inom planområdets kvartersmark eller med kommunen inom planområdets allmänna platsmark.</w:t>
      </w:r>
    </w:p>
    <w:p>
      <w:pPr>
        <w:rPr>
          <w:noProof w:val="1"/>
          <w:lang w:eastAsia="sv-SE"/>
        </w:rPr>
      </w:pPr>
      <w:bookmarkEnd w:id="241"/>
    </w:p>
    <w:p>
      <w:pPr>
        <w:pStyle w:val="P3"/>
        <w:rPr>
          <w:lang w:val="en-US"/>
        </w:rPr>
      </w:pPr>
      <w:bookmarkStart w:id="242" w:name="_Toc175726322"/>
      <w:bookmarkStart w:id="243" w:name="pf_fibernät01"/>
      <w:bookmarkStart w:id="244" w:name="pf_telenät01"/>
      <w:r>
        <w:t>Fiber och tele</w:t>
      </w:r>
      <w:bookmarkEnd w:id="242"/>
      <w:r>
        <w:t xml:space="preserve"> </w:t>
      </w:r>
    </w:p>
    <w:p>
      <w:bookmarkStart w:id="245" w:name="_Hlk104911032"/>
      <w:r>
        <w:t>Skanova är huvudman för telenätet inom detaljplaneområdet. Möjlighet finns att ansluta nya fastigheter till befintligt tele- och fibernät.</w:t>
      </w:r>
    </w:p>
    <w:p>
      <w:pPr>
        <w:rPr>
          <w:noProof w:val="1"/>
          <w:lang w:eastAsia="sv-SE"/>
        </w:rPr>
      </w:pPr>
      <w:bookmarkEnd w:id="243"/>
      <w:bookmarkEnd w:id="244"/>
    </w:p>
    <w:p>
      <w:pPr>
        <w:pStyle w:val="P3"/>
        <w:rPr>
          <w:lang w:val="en-US"/>
        </w:rPr>
      </w:pPr>
      <w:bookmarkEnd w:id="245"/>
      <w:bookmarkStart w:id="246" w:name="_Toc175726323"/>
      <w:bookmarkStart w:id="247" w:name="pf_avfall01"/>
      <w:r>
        <w:t>Avfall</w:t>
      </w:r>
      <w:bookmarkEnd w:id="246"/>
      <w:r>
        <w:t xml:space="preserve"> </w:t>
      </w:r>
    </w:p>
    <w:p>
      <w:r>
        <w:t>Motala kommun ansvarar för att hantera kommunalt avfall från hushåll och sådant avfall från verksamheter som till sin art och sammansättning liknar avfall från hushåll i enlighet med 15 kap. 3 § miljöbalken. I begreppet kommunalt avfall ingår returpapper enligt 1 kap. 10 § avfallsförordningen (2020:614). Med avfall som kommuner ansvarar för avses kommunalt avfall och annat avfall som kommunen ansvarar för enligt 6 kap. 2 och 6 §§ förordningen (2022:1274) om producentansvar för förpackningar. Borttransport av detta avfall sker av avfallsorganisationen eller dess utförare.</w:t>
      </w:r>
    </w:p>
    <w:p>
      <w:r>
        <w:t xml:space="preserve"> </w:t>
      </w:r>
    </w:p>
    <w:p>
      <w:r>
        <w:t xml:space="preserve">För vissa avfall (tex livsmedels- eller köksavfall, restavfall, samt förpackningsavfall) ska insamling och borttransport ske i anslutning till bostaden, så kallad fastighetsnära insamling. För detaljer kring avfallshantering hänvisas till gällande lokala avfallsföreskrifter Motala kommun. </w:t>
      </w:r>
    </w:p>
    <w:p/>
    <w:p>
      <w:r>
        <w:t xml:space="preserve">För avfall från verksamheter som inte faller under kommunalt ansvar (till exempel verksamhetsavfall och förpackningsavfall) ombesörjer verksamheten borttransport av detta avfall genom avfallsentreprenör på marknaden i enlighet med gällande lagstiftning. </w:t>
      </w:r>
    </w:p>
    <w:p/>
    <w:p>
      <w:r>
        <w:t xml:space="preserve">Borttransport och behandling av avfall under kommunens ansvar sker i enlighet Motala kommuns avfallstaxa. </w:t>
      </w:r>
    </w:p>
    <w:p/>
    <w:p>
      <w:r>
        <w:t>Detaljplanen möjliggör för olika typer av avfallsutrymmen och tillgänglighet till dessa enligt gällande lagstiftning, lokala avfallsföreskrifter och Handbok för avfallsutrymmen (Avfall Sverige). Därför är det av största vikt att kommunens avfallsorganisation kontaktas i bygglovsskedet för att de ska kunna ge synpunkter på val av insamlingssystem, placering, utformning, dimensionering av avfallsutrymmen samt framkomligheten för hämtningsfordon. Kommunen får meddela föreskrifter om hur utrymmen, behållare och andra avfallsanordningar ska vara utformade och skötas, se gällande lokala avfallsföreskrifter Motala kommun.</w:t>
      </w:r>
    </w:p>
    <w:p/>
    <w:p>
      <w:r>
        <w:t>Gatan planeras gå runt genom området och ger tillgång för avfallsfordon att hämta fastighetsnära avfall i anslutning till hushållen och undvika backning. För flerbostadshus upprättas gemensamt miljöhus som föreslås ligga i anslutning till gatan som går runt i området.</w:t>
      </w:r>
    </w:p>
    <w:p/>
    <w:p>
      <w:r>
        <w:t xml:space="preserve">Närmaste återvinningsstation finns på Industrigatan cirka 1 kilometer söder om planområdet samt i Bråstorp cirka 1 kilometer norr om planområdet. Närmaste återvinningscentral är Tuddarps avfallsanläggning (ÅVC). </w:t>
      </w:r>
    </w:p>
    <w:p>
      <w:bookmarkEnd w:id="247"/>
    </w:p>
    <w:p/>
    <w:p/>
    <w:p>
      <w:pPr>
        <w:rPr>
          <w:noProof w:val="1"/>
          <w:lang w:eastAsia="sv-SE"/>
        </w:rPr>
      </w:pPr>
    </w:p>
    <w:p>
      <w:pPr>
        <w:pStyle w:val="P2"/>
        <w:rPr>
          <w:lang w:val="en-US"/>
        </w:rPr>
      </w:pPr>
      <w:bookmarkStart w:id="248" w:name="_Toc175726324"/>
      <w:r>
        <w:t>S</w:t>
      </w:r>
      <w:bookmarkEnd w:id="232"/>
      <w:bookmarkEnd w:id="233"/>
      <w:r>
        <w:t>ociala förutsättningar</w:t>
      </w:r>
      <w:bookmarkEnd w:id="248"/>
    </w:p>
    <w:p>
      <w:pPr>
        <w:rPr>
          <w:noProof w:val="1"/>
          <w:shd w:val="clear" w:color="auto" w:fill="FFFFFF"/>
          <w:lang w:eastAsia="sv-SE"/>
        </w:rPr>
      </w:pPr>
      <w:bookmarkStart w:id="249" w:name="pf_sociala01"/>
    </w:p>
    <w:p>
      <w:pPr>
        <w:pStyle w:val="P3"/>
        <w:rPr>
          <w:lang w:val="en-US"/>
        </w:rPr>
      </w:pPr>
      <w:bookmarkStart w:id="250" w:name="_Toc175726325"/>
      <w:bookmarkStart w:id="251" w:name="pf_barn01"/>
      <w:r>
        <w:t>Barnperspektiv</w:t>
      </w:r>
      <w:bookmarkEnd w:id="250"/>
    </w:p>
    <w:p>
      <w:r>
        <w:t>Sedan 1 januari 2020 är Barnkonventionen en del av svensk lagstiftning genom Barnrättslagen (SFS 2018:1197). Detta innebär att barns bästa ska tas i beaktande i all planering för att säkerställa att barns rättigheter tillgodoses. Då detaljplaneförslaget medger blandad bostadsbebyggelse kan det också förväntas medföra att barn i olika åldrar kommer att bo och vistas i området. Med anledning av detta ska en barnkonsekvensanalys tas fram för att utveckla barnperspektivet i samhällsbyggnadsprocessen och därmed förbättra beslutsunderlaget i planeringen.</w:t>
      </w:r>
    </w:p>
    <w:p/>
    <w:p>
      <w:r>
        <w:t>Barnkonsekvensanalysens syfte har varit att titta på vilka konsekvenser som genomförandet av detaljplanen Bergmossen får för barnen gällande hälsa och säkerhet, identitet, vardagsliv, samspel, lek och lärande samt sammanhållen stad. Vilka rörelsemönster kan ses till andra målpunkter som kan påverka hur detaljplaneområdet fungerar.</w:t>
      </w:r>
    </w:p>
    <w:p/>
    <w:p>
      <w:r>
        <w:t>Barnets bästa bedöms vara att detaljplanens syfte genomförs så att platsen kan verka som en mötesplats mellan olika åldrar och intressen. I dagsläget ses en otydlighet kring vilka ytor som kommer att finnas för aktiviteter och lekplatser som kan bidrar till möjlighet för barn att utöva spontan fysisk aktivitet.</w:t>
      </w:r>
    </w:p>
    <w:p>
      <w:pPr>
        <w:rPr>
          <w:noProof w:val="1"/>
          <w:lang w:eastAsia="sv-SE"/>
        </w:rPr>
      </w:pPr>
      <w:bookmarkEnd w:id="251"/>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pStyle w:val="P1"/>
      </w:pPr>
      <w:bookmarkEnd w:id="234"/>
      <w:bookmarkEnd w:id="235"/>
      <w:bookmarkEnd w:id="249"/>
      <w:bookmarkStart w:id="252" w:name="_Toc89446079"/>
      <w:bookmarkStart w:id="253" w:name="_Toc101363586"/>
      <w:bookmarkStart w:id="254" w:name="_Toc175726326"/>
      <w:r>
        <w:t>K</w:t>
      </w:r>
      <w:bookmarkEnd w:id="252"/>
      <w:bookmarkEnd w:id="253"/>
      <w:r>
        <w:t>onsekvenser</w:t>
      </w:r>
      <w:bookmarkEnd w:id="254"/>
      <w:r>
        <w:t xml:space="preserve"> </w:t>
      </w:r>
    </w:p>
    <w:tbl>
      <w:tblPr>
        <w:tblStyle w:val="T2"/>
        <w:tblW w:w="0" w:type="auto"/>
        <w:tblLook w:val="04A0"/>
      </w:tblPr>
      <w:tblGrid/>
      <w:tr>
        <w:tc>
          <w:tcPr>
            <w:tcW w:w="8494" w:type="dxa"/>
            <w:tc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tcBorders>
            <w:shd w:val="clear" w:color="auto" w:fill="F2F2F2" w:themeFill="background1" w:themeFillShade="F2"/>
          </w:tcPr>
          <w:p>
            <w:pPr>
              <w:spacing w:before="80" w:after="120" w:beforeAutospacing="0" w:afterAutospacing="0"/>
              <w:rPr>
                <w:lang w:eastAsia="sv-SE"/>
              </w:rPr>
            </w:pPr>
            <w:r>
              <w:rPr>
                <w:lang w:eastAsia="sv-SE"/>
              </w:rPr>
              <w:t xml:space="preserve">I </w:t>
            </w:r>
            <w:r>
              <w:rPr>
                <w:noProof w:val="1"/>
                <w:lang w:eastAsia="sv-SE"/>
              </w:rPr>
              <w:t xml:space="preserve">planen </w:t>
            </w:r>
            <w:r>
              <w:rPr>
                <w:lang w:eastAsia="sv-SE"/>
              </w:rPr>
              <w:t xml:space="preserve">ska kommunen redovisa de konsekvenser som </w:t>
            </w:r>
            <w:r>
              <w:rPr>
                <w:noProof w:val="1"/>
                <w:lang w:eastAsia="sv-SE"/>
              </w:rPr>
              <w:t xml:space="preserve">planens </w:t>
            </w:r>
            <w:r>
              <w:rPr>
                <w:lang w:eastAsia="sv-SE"/>
              </w:rPr>
              <w:t>genomförande kan medföra. P</w:t>
            </w:r>
            <w:r>
              <w:rPr>
                <w:noProof w:val="1"/>
                <w:lang w:eastAsia="sv-SE"/>
              </w:rPr>
              <w:t xml:space="preserve">lanens </w:t>
            </w:r>
            <w:r>
              <w:rPr>
                <w:lang w:eastAsia="sv-SE"/>
              </w:rPr>
              <w:t xml:space="preserve">konsekvenser redovisas i sin helhet i planhandlingen </w:t>
            </w:r>
            <w:r>
              <w:rPr>
                <w:i w:val="1"/>
                <w:lang w:eastAsia="sv-SE"/>
              </w:rPr>
              <w:t>Undersökning om betydande miljöpåverkan</w:t>
            </w:r>
            <w:r>
              <w:rPr>
                <w:lang w:eastAsia="sv-SE"/>
              </w:rPr>
              <w:t>. I planbeskrivningen redovisar kommunen sitt ställningstagande och sin bedömning om huruvida planen kan antas medföra betydande samt planens totala påverkanseffekt. I undantagsfall kan även vissa frågor redovisas i egna avsnitt nedan.</w:t>
            </w:r>
          </w:p>
        </w:tc>
      </w:tr>
    </w:tbl>
    <w:p>
      <w:pPr>
        <w:rPr>
          <w:lang w:eastAsia="sv-SE"/>
        </w:rPr>
      </w:pPr>
    </w:p>
    <w:p>
      <w:pPr>
        <w:pStyle w:val="P2"/>
      </w:pPr>
      <w:bookmarkStart w:id="255" w:name="_Toc175726327"/>
      <w:r>
        <w:t>Kommunala planeringsunderlag</w:t>
      </w:r>
      <w:bookmarkEnd w:id="255"/>
    </w:p>
    <w:p>
      <w:pPr>
        <w:rPr>
          <w:noProof w:val="1"/>
          <w:lang w:eastAsia="sv-SE"/>
        </w:rPr>
      </w:pPr>
    </w:p>
    <w:p>
      <w:pPr>
        <w:pStyle w:val="P3"/>
      </w:pPr>
      <w:bookmarkStart w:id="256" w:name="_Toc89446088"/>
      <w:bookmarkStart w:id="257" w:name="_Toc101363595"/>
      <w:bookmarkStart w:id="258" w:name="_Toc175726328"/>
      <w:bookmarkStart w:id="259" w:name="ko_ställningstagande4kap33b_pbl01"/>
      <w:bookmarkStart w:id="260" w:name="_Toc89446086"/>
      <w:bookmarkStart w:id="261" w:name="_Toc101363593"/>
      <w:r>
        <w:t>Ställningstagande om betydande miljöpåverkan</w:t>
      </w:r>
      <w:bookmarkEnd w:id="256"/>
      <w:bookmarkEnd w:id="257"/>
      <w:bookmarkEnd w:id="258"/>
    </w:p>
    <w:p>
      <w:r>
        <w:t xml:space="preserve">En undersökning om betydande miljöpåverkan har genomförts i enlighet med Miljöbalken (1998:808) 6 kap. 5 §, underökningen i sin helhet kan tas del av i planhandlingen </w:t>
      </w:r>
      <w:r>
        <w:rPr>
          <w:i w:val="1"/>
        </w:rPr>
        <w:t>Undersökning om betydande miljöpåverkan</w:t>
      </w:r>
      <w:r>
        <w:t>. Den sammanvägda bedömningen utifrån undersökningen är att detaljplanen inte antas medföra betydande miljöpåverkan som föranleder en strategisk miljöbedömning enligt Miljöbalken (1998:808) 6 kap. 3 §.</w:t>
      </w:r>
    </w:p>
    <w:p/>
    <w:p>
      <w:pPr>
        <w:rPr>
          <w:szCs w:val="24"/>
        </w:rPr>
      </w:pPr>
      <w:r>
        <w:rPr>
          <w:szCs w:val="24"/>
        </w:rPr>
        <w:t>Detaljplanen har en viss påverkan på naturvärden. Den förslagna bebyggelsen ligger centralt i planområdet där det förekommer låga naturvärden enligt naturvärdesinventeringen. Det förekommer naturvärden klass 4 i en liten del av det södra planområdet där det planeras för bostäder. Dessa naturvärden beaktas i planens utformning.</w:t>
      </w:r>
    </w:p>
    <w:p>
      <w:pPr>
        <w:rPr>
          <w:szCs w:val="24"/>
        </w:rPr>
      </w:pPr>
    </w:p>
    <w:p>
      <w:pPr>
        <w:rPr>
          <w:szCs w:val="24"/>
        </w:rPr>
      </w:pPr>
      <w:r>
        <w:rPr>
          <w:szCs w:val="24"/>
        </w:rPr>
        <w:t>De flesta naturvärden klass 3 och klass 4 kommer inte att på</w:t>
      </w:r>
      <w:r>
        <w:t>verkas. Gällande spridningsstråket så kommer naturområdet i väster förstärkas för att uppfylla syftet som spridningskorridor.</w:t>
      </w:r>
    </w:p>
    <w:p>
      <w:pPr>
        <w:rPr>
          <w:szCs w:val="24"/>
        </w:rPr>
      </w:pPr>
    </w:p>
    <w:p>
      <w:pPr>
        <w:rPr>
          <w:szCs w:val="24"/>
        </w:rPr>
      </w:pPr>
      <w:r>
        <w:rPr>
          <w:szCs w:val="24"/>
        </w:rPr>
        <w:t>Planområdet kommer att förändras från oexploaterat till ett tätbebyggt område i form av rad, par- och kedjehus samt flerbostadshus i två våningar i de centrala delarna av området. Lekmiljöer som finns i östra och västra delarna av planområdet kommer att bevaras.</w:t>
      </w:r>
    </w:p>
    <w:p>
      <w:pPr>
        <w:rPr>
          <w:szCs w:val="24"/>
        </w:rPr>
      </w:pPr>
    </w:p>
    <w:p>
      <w:pPr>
        <w:rPr>
          <w:szCs w:val="24"/>
        </w:rPr>
      </w:pPr>
      <w:r>
        <w:rPr>
          <w:szCs w:val="24"/>
        </w:rPr>
        <w:t>Mot bakgrund av ovan redovisade konsekvenser bedöms den nya detaljplanen varken medföra negativ påverkan på det berörda områdets miljövärden eller dess omgivningar eller på människors hälsa och säkerhet. Detaljplanen bedöms därmed inte medföra betydande miljöpåverkan som föranleder en miljöbedömning enligt miljöbalkens bestämmelser.</w:t>
      </w:r>
    </w:p>
    <w:p>
      <w:pPr>
        <w:rPr>
          <w:sz w:val="22"/>
        </w:rPr>
      </w:pPr>
    </w:p>
    <w:p>
      <w:r>
        <w:t xml:space="preserve">Detaljplanen bedöms inte medföra betydande miljöpåverkan med avseende på de grundläggande och särskilda bestämmelserna för hushållning av mark- och vattenområden och miljökvalitetsnormerna och anses därmed vara förenlig med Miljöbalken (1998:808) 3-5 kap. </w:t>
      </w:r>
    </w:p>
    <w:p>
      <w:pPr>
        <w:rPr>
          <w:lang w:eastAsia="sv-SE"/>
        </w:rPr>
      </w:pPr>
      <w:bookmarkEnd w:id="259"/>
    </w:p>
    <w:p>
      <w:pPr>
        <w:pStyle w:val="P3"/>
        <w:rPr>
          <w:lang w:val="en-US"/>
        </w:rPr>
      </w:pPr>
      <w:bookmarkStart w:id="262" w:name="_Toc89446087"/>
      <w:bookmarkStart w:id="263" w:name="_Toc101363594"/>
      <w:bookmarkStart w:id="264" w:name="_Toc175726329"/>
      <w:bookmarkStart w:id="265" w:name="ko_miljöbedömning01"/>
      <w:r>
        <w:t>Undersökning om betydande miljöpåverkan</w:t>
      </w:r>
      <w:bookmarkEnd w:id="262"/>
      <w:bookmarkEnd w:id="263"/>
      <w:bookmarkEnd w:id="264"/>
    </w:p>
    <w:p>
      <w:r>
        <w:t xml:space="preserve">Konsekvenserna av detaljplanens genomförande beskrivs i planhandlingen </w:t>
      </w:r>
      <w:r>
        <w:rPr>
          <w:i w:val="1"/>
        </w:rPr>
        <w:t>Undersökning om betydande miljöpåverkan</w:t>
      </w:r>
      <w:r>
        <w:t xml:space="preserve"> samt kort under rubriken </w:t>
      </w:r>
      <w:r>
        <w:rPr>
          <w:i w:val="1"/>
        </w:rPr>
        <w:t>Konsekvenserna av detaljplanens genomförande</w:t>
      </w:r>
      <w:r>
        <w:t xml:space="preserve"> i denna planhandling.</w:t>
      </w:r>
    </w:p>
    <w:p>
      <w:pPr>
        <w:rPr>
          <w:lang w:eastAsia="sv-SE"/>
        </w:rPr>
      </w:pPr>
      <w:bookmarkEnd w:id="260"/>
      <w:bookmarkEnd w:id="261"/>
      <w:bookmarkEnd w:id="265"/>
    </w:p>
    <w:p>
      <w:pPr>
        <w:rPr>
          <w:noProof w:val="1"/>
          <w:lang w:eastAsia="sv-SE"/>
        </w:rPr>
      </w:pPr>
      <w:bookmarkStart w:id="266" w:name="ko_annat01"/>
    </w:p>
    <w:p>
      <w:pPr>
        <w:spacing w:lineRule="auto" w:line="259" w:after="257" w:beforeAutospacing="0" w:afterAutospacing="0"/>
        <w:ind w:left="425"/>
        <w:rPr>
          <w:rFonts w:ascii="Arial" w:hAnsi="Arial" w:cs="Arial" w:eastAsia="Arial"/>
          <w:noProof w:val="1"/>
          <w:color w:val="000000"/>
          <w:sz w:val="40"/>
          <w:u w:val="single"/>
          <w:lang w:eastAsia="sv-SE"/>
        </w:rPr>
      </w:pPr>
      <w:bookmarkEnd w:id="266"/>
      <w:r>
        <w:rPr>
          <w:rFonts w:ascii="Arial" w:hAnsi="Arial" w:cs="Arial" w:eastAsia="Arial"/>
          <w:noProof w:val="1"/>
          <w:color w:val="000000"/>
          <w:lang w:eastAsia="sv-SE"/>
        </w:rPr>
        <w:br w:type="page"/>
      </w:r>
    </w:p>
    <w:p>
      <w:pPr>
        <w:pStyle w:val="P1"/>
      </w:pPr>
      <w:bookmarkStart w:id="267" w:name="_Toc89446138"/>
      <w:bookmarkStart w:id="268" w:name="_Toc101363645"/>
      <w:bookmarkStart w:id="269" w:name="_Toc175726330"/>
      <w:r>
        <w:t>Genomförandefrågor</w:t>
      </w:r>
      <w:bookmarkEnd w:id="267"/>
      <w:bookmarkEnd w:id="268"/>
      <w:bookmarkEnd w:id="269"/>
      <w:bookmarkStart w:id="270" w:name="_Toc89446161"/>
      <w:bookmarkStart w:id="271" w:name="_Toc101363668"/>
      <w:bookmarkStart w:id="272" w:name="_Toc89446139"/>
      <w:bookmarkStart w:id="273" w:name="_Toc101363646"/>
      <w:r>
        <w:t xml:space="preserve"> </w:t>
      </w:r>
    </w:p>
    <w:tbl>
      <w:tblPr>
        <w:tblStyle w:val="T2"/>
        <w:tblW w:w="0" w:type="auto"/>
        <w:tblLook w:val="04A0"/>
      </w:tblPr>
      <w:tblGrid/>
      <w:tr>
        <w:tc>
          <w:tcPr>
            <w:tcW w:w="8494" w:type="dxa"/>
            <w:tc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tcBorders>
            <w:shd w:val="clear" w:color="auto" w:fill="F2F2F2" w:themeFill="background1" w:themeFillShade="F2"/>
          </w:tcPr>
          <w:p>
            <w:pPr>
              <w:spacing w:before="80" w:after="120" w:beforeAutospacing="0" w:afterAutospacing="0"/>
              <w:rPr>
                <w:lang w:eastAsia="sv-SE"/>
              </w:rPr>
            </w:pPr>
            <w:r>
              <w:rPr>
                <w:lang w:eastAsia="sv-SE"/>
              </w:rPr>
              <w:t xml:space="preserve">I planbeskrivningen ska kommunen redovisa de organisatoriska, tekniska, ekonomiska och fastighetsrättsliga åtgärder som behövs för att </w:t>
            </w:r>
            <w:r>
              <w:rPr>
                <w:noProof w:val="1"/>
                <w:lang w:eastAsia="sv-SE"/>
              </w:rPr>
              <w:t xml:space="preserve">planen </w:t>
            </w:r>
            <w:r>
              <w:rPr>
                <w:lang w:eastAsia="sv-SE"/>
              </w:rPr>
              <w:t xml:space="preserve">ska kunna genomföras på ett samordnat och ändamålsenligt sätt. Det ska framgå vilka konsekvenser som </w:t>
            </w:r>
            <w:r>
              <w:rPr>
                <w:noProof w:val="1"/>
                <w:lang w:eastAsia="sv-SE"/>
              </w:rPr>
              <w:t xml:space="preserve">planens </w:t>
            </w:r>
            <w:r>
              <w:rPr>
                <w:lang w:eastAsia="sv-SE"/>
              </w:rPr>
              <w:t>genomförande medför för de berörda fastighetsägarna och andra som berörs av planen.</w:t>
            </w:r>
            <w:r>
              <w:rPr>
                <w:noProof w:val="1"/>
                <w:lang w:eastAsia="sv-SE"/>
              </w:rPr>
              <w:t xml:space="preserve"> Även prövningar enligt annan lagstiftning som genomförts under planprocessen ska redovisas.</w:t>
            </w:r>
          </w:p>
        </w:tc>
      </w:tr>
    </w:tbl>
    <w:p>
      <w:pPr>
        <w:rPr>
          <w:lang w:eastAsia="sv-SE"/>
        </w:rPr>
      </w:pPr>
    </w:p>
    <w:p>
      <w:pPr>
        <w:pStyle w:val="P2"/>
      </w:pPr>
      <w:bookmarkStart w:id="274" w:name="_Toc175726331"/>
      <w:r>
        <w:t>Organisatoriska frågor</w:t>
      </w:r>
      <w:bookmarkEnd w:id="270"/>
      <w:bookmarkEnd w:id="271"/>
      <w:bookmarkEnd w:id="274"/>
    </w:p>
    <w:p>
      <w:pPr>
        <w:rPr>
          <w:i w:val="1"/>
          <w:noProof w:val="1"/>
          <w:shd w:val="clear" w:color="auto" w:fill="FFFFFF"/>
          <w:lang w:eastAsia="sv-SE"/>
        </w:rPr>
      </w:pPr>
      <w:bookmarkStart w:id="275" w:name="gf_organisatoriskafrågor01"/>
    </w:p>
    <w:p>
      <w:pPr>
        <w:pStyle w:val="P3"/>
      </w:pPr>
      <w:bookmarkStart w:id="276" w:name="_Toc175726332"/>
      <w:bookmarkStart w:id="277" w:name="gf_ansvarsfördelning01"/>
      <w:r>
        <w:t>Ansvarsfördelning och huvudmannaskap</w:t>
      </w:r>
      <w:bookmarkEnd w:id="276"/>
    </w:p>
    <w:p>
      <w:pPr>
        <w:pStyle w:val="P96"/>
        <w:rPr>
          <w:i w:val="0"/>
          <w:iCs w:val="1"/>
          <w:color w:val="auto"/>
          <w:sz w:val="24"/>
        </w:rPr>
      </w:pPr>
      <w:r>
        <w:rPr>
          <w:i w:val="0"/>
          <w:iCs w:val="1"/>
          <w:color w:val="auto"/>
          <w:sz w:val="24"/>
        </w:rPr>
        <w:t>Vattenfall Eldistribution AB är huvudman för det allmänna elnätet och svarar för utbyggnad och drift fram till anvisad anslutningspunkt. Detaljplanen redovisar ett område avsett för transformatorstation. Det området får beteckning E - tekniska anläggning. Anslutningsavgift förutsätts inte påverkas av avstånd mellan den enskilda fastigheten och anslutningspunkt/ transformatorstation utan blir samma för likvärdiga fastigheter inom planområdet.</w:t>
      </w:r>
    </w:p>
    <w:p>
      <w:pPr>
        <w:pStyle w:val="P96"/>
        <w:rPr>
          <w:i w:val="0"/>
          <w:iCs w:val="1"/>
          <w:color w:val="auto"/>
          <w:sz w:val="24"/>
        </w:rPr>
      </w:pPr>
      <w:r>
        <w:rPr>
          <w:i w:val="0"/>
          <w:iCs w:val="1"/>
          <w:color w:val="auto"/>
          <w:sz w:val="24"/>
        </w:rPr>
        <w:t>Kommunens VA-huvudman ansvarar för det allmänna vatten- och avloppsledningsnätet enligt Lagen om allmänna vattentjänster (LAV, 2006:412) och är därmed ansvarig för utbyggnad, drift och underhåll av ledningsnät fram till anvisad förbindelsepunkt. Kommunens skattekollektiv ansvarar för de delar av dagvattenanläggningar inom planområdet som är på allmän platsmark men som är utanför det kommunala verksamhetsområdet för dagvatten. I vissa fall kan en anläggning utformas med ett delat ansvar med VA-huvudman, som då förtydligas i detaljprojektering och tillhörande dokumentation för anläggningen. Fastighetsägare ansvarar för avvattningen av dagvatten inom fastigheten samt anläggning och drift av privata vatten - och spillvattenledningar inom kvartersmarken för avledning till kommunalt ledningsnät. Inom kvartersmarken ansvarar kommande fastighetsägare för att upprätta egen anläggning för vatten, spill och dagvatten samt vid behov upprätta en gemensamhetsanläggning för va-anläggningen.</w:t>
      </w:r>
    </w:p>
    <w:p>
      <w:pPr>
        <w:pStyle w:val="P96"/>
        <w:rPr>
          <w:i w:val="0"/>
          <w:iCs w:val="1"/>
          <w:color w:val="auto"/>
          <w:sz w:val="24"/>
        </w:rPr>
      </w:pPr>
      <w:r>
        <w:rPr>
          <w:i w:val="0"/>
          <w:iCs w:val="1"/>
          <w:color w:val="auto"/>
          <w:sz w:val="24"/>
        </w:rPr>
        <w:t>Huvudmannaskapet för allmän plats innebär en rättighet och skyldighet att iordningsställa samt underhålla de allmänna platserna i enlighet med detaljplanen.</w:t>
      </w:r>
    </w:p>
    <w:p>
      <w:pPr>
        <w:pStyle w:val="P4"/>
      </w:pPr>
      <w:r>
        <w:t>Allmän plats</w:t>
      </w:r>
    </w:p>
    <w:p>
      <w:pPr>
        <w:pStyle w:val="P96"/>
        <w:rPr>
          <w:i w:val="0"/>
          <w:iCs w:val="1"/>
          <w:color w:val="auto"/>
          <w:sz w:val="24"/>
        </w:rPr>
      </w:pPr>
      <w:r>
        <w:rPr>
          <w:i w:val="0"/>
          <w:iCs w:val="1"/>
          <w:color w:val="auto"/>
          <w:sz w:val="24"/>
        </w:rPr>
        <w:t xml:space="preserve">Motala kommun är huvudman för de allmänna platserna i detaljplanen. Det innebär att Motala kommun ansvarar för iordningställande samt drift och underhåll av nämnda platser </w:t>
      </w:r>
      <w:bookmarkStart w:id="278" w:name="_Hlk124518295"/>
      <w:r>
        <w:rPr>
          <w:i w:val="0"/>
          <w:iCs w:val="1"/>
          <w:color w:val="auto"/>
          <w:sz w:val="24"/>
        </w:rPr>
        <w:t>i enlighet med detaljplan och tillhörande beskrivning.</w:t>
      </w:r>
      <w:bookmarkEnd w:id="278"/>
    </w:p>
    <w:p>
      <w:pPr>
        <w:pStyle w:val="P4"/>
      </w:pPr>
      <w:r>
        <w:t>Kvartersmark</w:t>
      </w:r>
    </w:p>
    <w:p>
      <w:r>
        <w:t>Exploatören ansvarar för att bereda och anlägga kvartersmarken i enlighet med detaljplan och tillhörande beskrivning.</w:t>
      </w:r>
    </w:p>
    <w:p>
      <w:pPr>
        <w:pStyle w:val="P3"/>
        <w:rPr>
          <w:lang w:val="en-US"/>
        </w:rPr>
      </w:pPr>
      <w:bookmarkEnd w:id="275"/>
      <w:bookmarkEnd w:id="277"/>
      <w:bookmarkStart w:id="279" w:name="_Toc89446162"/>
      <w:bookmarkStart w:id="280" w:name="_Toc101363669"/>
      <w:bookmarkStart w:id="281" w:name="_Toc175726333"/>
      <w:bookmarkStart w:id="282" w:name="gf_exploateringsavtal02"/>
      <w:r>
        <w:t>Exploateringsavtal</w:t>
      </w:r>
      <w:bookmarkEnd w:id="279"/>
      <w:bookmarkEnd w:id="280"/>
      <w:bookmarkEnd w:id="281"/>
    </w:p>
    <w:p>
      <w:bookmarkStart w:id="283" w:name="gf_exploateringsavtal01"/>
      <w:r>
        <w:t>Exploateringsavtal kommer inte att upprättas eftersom området är markanvisat och ägs av kommunen.</w:t>
      </w:r>
    </w:p>
    <w:p>
      <w:pPr>
        <w:rPr>
          <w:i w:val="1"/>
          <w:noProof w:val="1"/>
          <w:lang w:eastAsia="sv-SE"/>
        </w:rPr>
      </w:pPr>
      <w:bookmarkEnd w:id="282"/>
    </w:p>
    <w:p>
      <w:pPr>
        <w:pStyle w:val="P3"/>
        <w:rPr>
          <w:lang w:val="en-US"/>
        </w:rPr>
      </w:pPr>
      <w:bookmarkStart w:id="284" w:name="_Toc89446163"/>
      <w:bookmarkStart w:id="285" w:name="_Toc101363670"/>
      <w:bookmarkStart w:id="286" w:name="_Toc132627827"/>
      <w:bookmarkStart w:id="287" w:name="_Toc175726334"/>
      <w:bookmarkStart w:id="288" w:name="gf_markanvisning02"/>
      <w:r>
        <w:t>Markanvisning</w:t>
      </w:r>
      <w:bookmarkEnd w:id="284"/>
      <w:bookmarkEnd w:id="285"/>
      <w:bookmarkEnd w:id="286"/>
      <w:r>
        <w:t>savtal</w:t>
      </w:r>
      <w:bookmarkEnd w:id="287"/>
    </w:p>
    <w:p>
      <w:r>
        <w:t xml:space="preserve">Ett markanvisningsavtal har upprättats mellan Motala kommun och FB Bostad Utveckling AB (exploatören) med anledning av exploatörens ansökan om prövning för upprättande av detaljplan med syfte att kunna bebygga ett obebyggt område på del av Bråstorp 1:8 med flerbostadshus och radhus. Kommunen äger fastigheten i fråga. </w:t>
      </w:r>
    </w:p>
    <w:p/>
    <w:p>
      <w:r>
        <w:t>Kommunen direktanvisar till exploatören ett markområde som utgör en del av fastigheten Bråstorp 1:8 för en tid till och med 12 månader efter lagakraftvunnen detaljplan (anvisningstiden). Markanvisningen innebär att exploatören under anvisningtiden har ensamrätt att förbereda exploatering av angivet område samt förhandla med kommunen om förvärv av marken.</w:t>
      </w:r>
    </w:p>
    <w:p/>
    <w:p>
      <w:r>
        <w:t>Avtalet syftar också till att Motala kommun och exploatören tillsammans ska verka för att området ska planläggas för ny bebyggelse med flerbostadshus och radhus.</w:t>
      </w:r>
    </w:p>
    <w:p>
      <w:pPr>
        <w:rPr>
          <w:noProof w:val="1"/>
          <w:lang w:eastAsia="sv-SE"/>
        </w:rPr>
      </w:pPr>
      <w:bookmarkEnd w:id="288"/>
    </w:p>
    <w:p>
      <w:pPr>
        <w:pStyle w:val="P3"/>
      </w:pPr>
      <w:bookmarkEnd w:id="283"/>
      <w:bookmarkStart w:id="289" w:name="_Toc175726335"/>
      <w:bookmarkStart w:id="290" w:name="gf_köpeavtal01"/>
      <w:bookmarkStart w:id="291" w:name="gf_markanvisning01"/>
      <w:r>
        <w:t>Köpeavtal</w:t>
      </w:r>
      <w:bookmarkEnd w:id="289"/>
    </w:p>
    <w:p>
      <w:pPr>
        <w:rPr>
          <w:rStyle w:val="C55"/>
          <w:rFonts w:ascii="Garamond" w:hAnsi="Garamond"/>
          <w:sz w:val="24"/>
          <w:szCs w:val="24"/>
        </w:rPr>
      </w:pPr>
      <w:r>
        <w:rPr>
          <w:rStyle w:val="C55"/>
          <w:rFonts w:ascii="Garamond" w:hAnsi="Garamond"/>
          <w:sz w:val="24"/>
          <w:szCs w:val="24"/>
        </w:rPr>
        <w:t>Markanvisningen mynnar ut i ett köpeavtal mellan parterna. Köpeavtalet reglerar marköverlåtelse, köpeskilling samt övriga villkor för köpet.</w:t>
      </w:r>
    </w:p>
    <w:p>
      <w:pPr>
        <w:rPr>
          <w:noProof w:val="1"/>
          <w:szCs w:val="24"/>
        </w:rPr>
      </w:pPr>
      <w:bookmarkEnd w:id="290"/>
    </w:p>
    <w:p>
      <w:pPr>
        <w:pStyle w:val="P3"/>
      </w:pPr>
      <w:bookmarkStart w:id="292" w:name="_Toc175726336"/>
      <w:bookmarkStart w:id="293" w:name="gf_övrigaavtal01"/>
      <w:r>
        <w:t>Planavtal</w:t>
      </w:r>
      <w:bookmarkEnd w:id="292"/>
    </w:p>
    <w:p>
      <w:r>
        <w:t>Ett plankostnadsavtal har upprättats mellan Motala kommun och FB Bostad Utveckling AB (exploatören) med anledning av exploatörens ansökan om prövning för upprättande av detaljplan för att möjliggöra för nya bostäder. Avtalet reglerar fördelning av kostnader mellan parterna i samband med upprättande av detaljplanen samt kostnader förknippade med den samma. Avtalet reglerar också vilka åtaganden i processen som respektive part är ansvarig för.</w:t>
      </w:r>
    </w:p>
    <w:p>
      <w:pPr>
        <w:rPr>
          <w:noProof w:val="1"/>
          <w:lang w:eastAsia="sv-SE"/>
        </w:rPr>
      </w:pPr>
      <w:bookmarkEnd w:id="293"/>
    </w:p>
    <w:p>
      <w:pPr>
        <w:pStyle w:val="P3"/>
        <w:rPr>
          <w:lang w:val="en-US"/>
        </w:rPr>
      </w:pPr>
      <w:bookmarkEnd w:id="291"/>
      <w:bookmarkStart w:id="294" w:name="_Toc89446164"/>
      <w:bookmarkStart w:id="295" w:name="_Toc101363671"/>
      <w:bookmarkStart w:id="296" w:name="_Toc175726337"/>
      <w:bookmarkStart w:id="297" w:name="gf_tidplan02"/>
      <w:r>
        <w:t>Tidplan</w:t>
      </w:r>
      <w:bookmarkEnd w:id="294"/>
      <w:bookmarkEnd w:id="295"/>
      <w:bookmarkEnd w:id="296"/>
    </w:p>
    <w:p>
      <w:pPr>
        <w:rPr>
          <w:rFonts w:cs="Times New Roman" w:eastAsia="Times New Roman"/>
          <w:szCs w:val="24"/>
          <w:lang w:eastAsia="sv-SE"/>
        </w:rPr>
      </w:pPr>
      <w:bookmarkEnd w:id="272"/>
      <w:bookmarkEnd w:id="273"/>
      <w:bookmarkStart w:id="298" w:name="gf_rätttillinlösenavrättighetkommun01"/>
      <w:r>
        <w:rPr>
          <w:rFonts w:cs="Times New Roman" w:eastAsia="Times New Roman"/>
          <w:szCs w:val="24"/>
          <w:lang w:eastAsia="sv-SE"/>
        </w:rPr>
        <w:t>Genomförandet avses påbörjas efter detaljplanen vunnit laga kraft</w:t>
      </w:r>
    </w:p>
    <w:p>
      <w:pPr>
        <w:rPr>
          <w:rFonts w:cs="Times New Roman" w:eastAsia="Times New Roman"/>
          <w:szCs w:val="24"/>
          <w:lang w:eastAsia="sv-SE"/>
        </w:rPr>
      </w:pPr>
      <w:bookmarkEnd w:id="297"/>
    </w:p>
    <w:p>
      <w:pPr>
        <w:rPr>
          <w:rFonts w:cs="Times New Roman" w:eastAsia="Times New Roman"/>
          <w:szCs w:val="24"/>
          <w:lang w:eastAsia="sv-SE"/>
        </w:rPr>
      </w:pPr>
    </w:p>
    <w:p>
      <w:pPr>
        <w:rPr>
          <w:rFonts w:cs="Times New Roman" w:eastAsia="Times New Roman"/>
          <w:szCs w:val="24"/>
          <w:lang w:eastAsia="sv-SE"/>
        </w:rPr>
      </w:pPr>
    </w:p>
    <w:p>
      <w:pPr>
        <w:rPr>
          <w:rFonts w:cs="Times New Roman" w:eastAsia="Times New Roman"/>
          <w:szCs w:val="24"/>
          <w:lang w:eastAsia="sv-SE"/>
        </w:rPr>
      </w:pPr>
    </w:p>
    <w:p>
      <w:pPr>
        <w:rPr>
          <w:noProof w:val="1"/>
          <w:lang w:eastAsia="sv-SE"/>
        </w:rPr>
      </w:pPr>
    </w:p>
    <w:p>
      <w:pPr>
        <w:pStyle w:val="P2"/>
      </w:pPr>
      <w:bookmarkEnd w:id="298"/>
      <w:bookmarkStart w:id="299" w:name="_Toc89446144"/>
      <w:bookmarkStart w:id="300" w:name="_Toc101363651"/>
      <w:bookmarkStart w:id="301" w:name="_Toc175726338"/>
      <w:r>
        <w:t>Fastighetsrättsliga frågor</w:t>
      </w:r>
      <w:bookmarkEnd w:id="299"/>
      <w:bookmarkEnd w:id="300"/>
      <w:bookmarkEnd w:id="301"/>
    </w:p>
    <w:p>
      <w:pPr>
        <w:rPr>
          <w:i w:val="1"/>
          <w:noProof w:val="1"/>
          <w:lang w:eastAsia="sv-SE"/>
        </w:rPr>
      </w:pPr>
      <w:bookmarkStart w:id="302" w:name="gf_fastighetsrättsligafrågor01"/>
    </w:p>
    <w:p>
      <w:pPr>
        <w:pStyle w:val="P3"/>
      </w:pPr>
      <w:bookmarkEnd w:id="302"/>
      <w:bookmarkStart w:id="303" w:name="_Toc175726339"/>
      <w:bookmarkStart w:id="304" w:name="gf_fastighetsägare01"/>
      <w:bookmarkStart w:id="305" w:name="_Toc89446145"/>
      <w:bookmarkStart w:id="306" w:name="_Toc101363652"/>
      <w:r>
        <w:t>Fastighetsägare</w:t>
      </w:r>
      <w:bookmarkEnd w:id="303"/>
    </w:p>
    <w:p>
      <w:r>
        <w:t>Planområdet omfattar del av fastigheten Bråstorp 1:8 – Motala kommun. Fastigheten Bråstorp 1:8 ägs av Motala kommun.</w:t>
      </w:r>
    </w:p>
    <w:p>
      <w:bookmarkEnd w:id="304"/>
    </w:p>
    <w:p>
      <w:pPr>
        <w:pStyle w:val="P3"/>
      </w:pPr>
      <w:bookmarkEnd w:id="305"/>
      <w:bookmarkEnd w:id="306"/>
      <w:bookmarkStart w:id="307" w:name="_Toc175726340"/>
      <w:r>
        <w:t>Fastighetsbildning</w:t>
      </w:r>
      <w:bookmarkEnd w:id="307"/>
    </w:p>
    <w:p>
      <w:pPr>
        <w:pStyle w:val="P4"/>
        <w:numPr>
          <w:ilvl w:val="0"/>
          <w:numId w:val="0"/>
        </w:numPr>
        <w:ind w:firstLine="0" w:left="864"/>
        <w:rPr>
          <w:lang w:eastAsia="sv-SE"/>
        </w:rPr>
      </w:pPr>
    </w:p>
    <w:p>
      <w:pPr>
        <w:pStyle w:val="P4"/>
        <w:rPr>
          <w:lang w:val="en-US"/>
        </w:rPr>
      </w:pPr>
      <w:bookmarkStart w:id="308" w:name="gf_förändradfastighetsindelning02"/>
      <w:bookmarkStart w:id="309" w:name="gf_förändradfastighetsindelning01"/>
      <w:r>
        <w:t>Förändrad fastighetsindelning</w:t>
      </w:r>
    </w:p>
    <w:p>
      <w:r>
        <w:t>Motala kommun ansöker om och bekostar fastighetsbildning för att skilja kvartersmarken från den allmänna platsmarken. Exploatören kan välja att avstycka mer än en fastighet och står i så fall för ansvar och kostnader.</w:t>
      </w:r>
    </w:p>
    <w:p>
      <w:pPr>
        <w:rPr>
          <w:noProof w:val="1"/>
          <w:lang w:eastAsia="sv-SE"/>
        </w:rPr>
      </w:pPr>
      <w:bookmarkEnd w:id="308"/>
    </w:p>
    <w:p>
      <w:pPr>
        <w:pStyle w:val="P4"/>
        <w:rPr>
          <w:lang w:val="en-US"/>
        </w:rPr>
      </w:pPr>
      <w:bookmarkEnd w:id="309"/>
      <w:bookmarkStart w:id="310" w:name="_Toc89446147"/>
      <w:bookmarkStart w:id="311" w:name="_Toc101363654"/>
      <w:bookmarkStart w:id="312" w:name="gf_rättigheter02"/>
      <w:r>
        <w:t>Rättigheter</w:t>
      </w:r>
      <w:bookmarkEnd w:id="310"/>
      <w:bookmarkEnd w:id="311"/>
    </w:p>
    <w:p>
      <w:bookmarkStart w:id="313" w:name="gf_rättigheter01"/>
      <w:r>
        <w:t>Eventuella nya rättigheter som kan behövas ifall kvartersmarken styckas upp ansöks om och bekostas av fastighetsägaren respektive ledningshavaren om behov av sådan finns i samband med exploateringen.</w:t>
      </w:r>
    </w:p>
    <w:p>
      <w:bookmarkEnd w:id="312"/>
    </w:p>
    <w:p>
      <w:pPr>
        <w:pStyle w:val="P4"/>
        <w:rPr>
          <w:lang w:val="en-US"/>
        </w:rPr>
      </w:pPr>
      <w:bookmarkStart w:id="314" w:name="gf_gemensamhetsanläggningar01"/>
      <w:r>
        <w:t>Gemensamhetsanläggningar</w:t>
      </w:r>
    </w:p>
    <w:p>
      <w:pPr>
        <w:spacing w:lineRule="auto" w:line="240" w:beforeAutospacing="0" w:afterAutospacing="0"/>
        <w:rPr>
          <w:rFonts w:ascii="Segoe UI" w:hAnsi="Segoe UI" w:cs="Segoe UI"/>
          <w:sz w:val="20"/>
          <w:szCs w:val="20"/>
        </w:rPr>
      </w:pPr>
      <w:r>
        <w:t>Eventuella gemensamhetsanläggningar ansöks om och bekostas av fastighetsägaren om behov av sådan finns i samband med exploateringen. Enligt plankartan avses bebyggelsen ingå i ett gemensamt privat ledningsnät för vatten och avlopp (gemensamhetsanläggning) inom kvartersmarken, med en gemensam förbindelsepunkt för varje vattentjänst för området. Eventuellt kan området vara i behov av flera dagvattenanslutningar beroende på utformning inom kvartersmarken. Även eventuell väg eller gemensamma områden för exempelvis sophämtning kan bli aktuellt för gemensamhetsanläggning.</w:t>
      </w:r>
    </w:p>
    <w:p>
      <w:pPr>
        <w:rPr>
          <w:noProof w:val="1"/>
          <w:lang w:eastAsia="sv-SE"/>
        </w:rPr>
      </w:pPr>
      <w:bookmarkEnd w:id="314"/>
    </w:p>
    <w:p>
      <w:pPr>
        <w:pStyle w:val="P3"/>
      </w:pPr>
      <w:bookmarkStart w:id="315" w:name="_Toc175726341"/>
      <w:bookmarkStart w:id="316" w:name="ko_fastigheterochrättigheter01"/>
      <w:r>
        <w:t>Fastighetsrättsliga konsekvenser</w:t>
      </w:r>
      <w:bookmarkEnd w:id="315"/>
    </w:p>
    <w:p>
      <w:r>
        <w:t>Detaljplanen föranleder förändrad markanvändning och därav uppkomna förändringar av fastighetsvärden. Kostnaderna för detaljplanens genomförande regleras inte enligt plankostnadsavtalet utan enligt köpeavtalet.</w:t>
      </w:r>
    </w:p>
    <w:p>
      <w:pPr>
        <w:rPr>
          <w:noProof w:val="1"/>
          <w:lang w:eastAsia="sv-SE"/>
        </w:rPr>
      </w:pPr>
      <w:bookmarkEnd w:id="316"/>
    </w:p>
    <w:p>
      <w:pPr>
        <w:pStyle w:val="P2"/>
      </w:pPr>
      <w:bookmarkEnd w:id="313"/>
      <w:bookmarkStart w:id="317" w:name="_Toc89446152"/>
      <w:bookmarkStart w:id="318" w:name="_Toc101363659"/>
      <w:bookmarkStart w:id="319" w:name="_Toc175726342"/>
      <w:r>
        <w:t>Ekonomiska frågor</w:t>
      </w:r>
      <w:bookmarkEnd w:id="317"/>
      <w:bookmarkEnd w:id="318"/>
      <w:bookmarkEnd w:id="319"/>
    </w:p>
    <w:p>
      <w:pPr>
        <w:rPr>
          <w:noProof w:val="1"/>
          <w:lang w:eastAsia="sv-SE"/>
        </w:rPr>
      </w:pPr>
      <w:bookmarkStart w:id="320" w:name="gf_ekonomiskafrågor01"/>
    </w:p>
    <w:p>
      <w:pPr>
        <w:pStyle w:val="P3"/>
        <w:rPr>
          <w:lang w:val="en-US"/>
        </w:rPr>
      </w:pPr>
      <w:bookmarkEnd w:id="320"/>
      <w:bookmarkStart w:id="321" w:name="_Toc89446153"/>
      <w:bookmarkStart w:id="322" w:name="_Toc101363660"/>
      <w:bookmarkStart w:id="323" w:name="_Toc175726343"/>
      <w:bookmarkStart w:id="324" w:name="gf_planekonomiskbedömning02"/>
      <w:r>
        <w:t>Planekonomisk bedömning</w:t>
      </w:r>
      <w:bookmarkEnd w:id="321"/>
      <w:bookmarkEnd w:id="322"/>
      <w:bookmarkEnd w:id="323"/>
    </w:p>
    <w:p>
      <w:bookmarkStart w:id="325" w:name="gf_planekonomiskbedömning01"/>
      <w:r>
        <w:t>Kostnader för detaljplanens genomförande regleras inte enligt plankostnadsavtalet utan enligt köpeavtalet.</w:t>
      </w:r>
      <w:r>
        <w:rPr>
          <w:rFonts w:ascii="Segoe UI" w:hAnsi="Segoe UI" w:cs="Segoe UI"/>
          <w:sz w:val="20"/>
          <w:szCs w:val="20"/>
        </w:rPr>
        <w:t xml:space="preserve"> </w:t>
      </w:r>
      <w:r>
        <w:t xml:space="preserve">Fastighetsägaren bekostar allt ledningsarbete avseende vatten, spillvatten och dagvatten inom fastigheten från upprättad förbindelsepunkt vid fastighetsgräns, samt betalar anslutningsavgift enligt vatten- och avfallsnämndens antagna taxa. </w:t>
      </w:r>
    </w:p>
    <w:p>
      <w:pPr>
        <w:rPr>
          <w:noProof w:val="1"/>
          <w:lang w:eastAsia="sv-SE"/>
        </w:rPr>
      </w:pPr>
      <w:bookmarkEnd w:id="324"/>
      <w:bookmarkEnd w:id="325"/>
      <w:bookmarkStart w:id="326" w:name="gf_tidplan01"/>
    </w:p>
    <w:p>
      <w:pPr>
        <w:pStyle w:val="P2"/>
      </w:pPr>
      <w:bookmarkEnd w:id="326"/>
      <w:bookmarkStart w:id="327" w:name="_Toc89446148"/>
      <w:bookmarkStart w:id="328" w:name="_Toc101363655"/>
      <w:bookmarkStart w:id="329" w:name="_Toc175726344"/>
      <w:bookmarkStart w:id="330" w:name="_Toc89446169"/>
      <w:bookmarkStart w:id="331" w:name="_Toc101363676"/>
      <w:r>
        <w:t>Tekniska frågor</w:t>
      </w:r>
      <w:bookmarkEnd w:id="327"/>
      <w:bookmarkEnd w:id="328"/>
      <w:bookmarkEnd w:id="329"/>
      <w:bookmarkStart w:id="332" w:name="gf_inlösen01"/>
      <w:bookmarkStart w:id="333" w:name="gf_tekniskaåtgärder01"/>
    </w:p>
    <w:p>
      <w:pPr>
        <w:pStyle w:val="P3"/>
        <w:rPr>
          <w:lang w:val="en-US"/>
        </w:rPr>
      </w:pPr>
      <w:bookmarkEnd w:id="332"/>
      <w:bookmarkStart w:id="334" w:name="_Toc89446159"/>
      <w:bookmarkStart w:id="335" w:name="_Toc101363666"/>
      <w:bookmarkStart w:id="336" w:name="_Toc175726345"/>
      <w:bookmarkStart w:id="337" w:name="gf_utbyggnadvattenochavlopp01"/>
      <w:r>
        <w:t>vatten och avlopp</w:t>
      </w:r>
      <w:bookmarkEnd w:id="334"/>
      <w:bookmarkEnd w:id="335"/>
      <w:bookmarkEnd w:id="336"/>
    </w:p>
    <w:p>
      <w:r>
        <w:t xml:space="preserve">Motala kommun är huvudman för det allmänna vatten-, avlopps- och dagvattennätet både inom detaljplanen och i omgivande områden. Motala kommun ansvarar därmed för utbyggnad, drift och underhåll fram till anvisad anslutningspunkt. Fastigheter i området ska anslutas till kommunalt vatten och avlopp. Anläggning och drift av ledningarna är en väsentlighet för samhällsfunktionen i området ska därför lösas inom planområdet. </w:t>
      </w:r>
    </w:p>
    <w:p/>
    <w:p>
      <w:r>
        <w:t>Ledningarnas utformning och placering ska detaljprojekteras. Anslutningsavgift för VA för kommande fastigheter upprättas enligt aktuell taxa vid genomförande.</w:t>
      </w:r>
    </w:p>
    <w:p/>
    <w:p>
      <w:r>
        <w:t xml:space="preserve">Motala kommun ansvarar för omhändertagande av dagvatten på allmän plats. Dagvattendammar anläggs på kvartersmark för att säkerställa dagvattenhanteringen. Dagvattendammarnas exakta utformning och placering ska detaljprojekteras där bland annat funktion, gestaltning och skötsel är viktiga aspekter. </w:t>
      </w:r>
      <w:r>
        <w:rPr>
          <w:szCs w:val="24"/>
        </w:rPr>
        <w:t>Sammanlagt ska ytorna kunna ta hand om en volym på 600 kubikmeter.</w:t>
      </w:r>
    </w:p>
    <w:p>
      <w:bookmarkEnd w:id="337"/>
    </w:p>
    <w:p>
      <w:pPr>
        <w:pStyle w:val="P3"/>
      </w:pPr>
      <w:bookmarkStart w:id="338" w:name="_Toc175726346"/>
      <w:bookmarkStart w:id="339" w:name="gf_tekniskaåtgärder02"/>
      <w:r>
        <w:t>Värme</w:t>
      </w:r>
      <w:bookmarkEnd w:id="338"/>
    </w:p>
    <w:p>
      <w:r>
        <w:t>Vattenfall AB Värme ansvarar för fjärrvärme i Motala stad och ansvarar för eventuell utbyggnad och drift inom området. Eventuella fjärrvärmeledningar kan förläggas i kvartersmark under förutsättning att det samordnas med andra ledningsägare och kommunens tekniska förvaltning.</w:t>
      </w:r>
    </w:p>
    <w:p/>
    <w:p>
      <w:pPr>
        <w:pStyle w:val="P3"/>
      </w:pPr>
      <w:bookmarkStart w:id="340" w:name="_Toc175726347"/>
      <w:r>
        <w:t>El</w:t>
      </w:r>
      <w:bookmarkEnd w:id="340"/>
    </w:p>
    <w:p>
      <w:r>
        <w:t>Fastigheter i området kan anslutas till Vattenfall Eldistribution AB. I detaljplanen finns en plats för befintlig transformatorstation samt möjlighet att byta ut denna mot en större.</w:t>
      </w:r>
    </w:p>
    <w:p/>
    <w:p>
      <w:pPr>
        <w:pStyle w:val="P3"/>
      </w:pPr>
      <w:bookmarkStart w:id="341" w:name="_Toc175726348"/>
      <w:r>
        <w:t>Tele och fiber</w:t>
      </w:r>
      <w:bookmarkEnd w:id="341"/>
    </w:p>
    <w:p>
      <w:r>
        <w:t>Skanova har opto/tele-ledningar i anslutning till planområdet.</w:t>
      </w:r>
    </w:p>
    <w:p/>
    <w:p>
      <w:pPr>
        <w:pStyle w:val="P3"/>
      </w:pPr>
      <w:bookmarkStart w:id="342" w:name="_Toc175726349"/>
      <w:r>
        <w:t>Avfall</w:t>
      </w:r>
      <w:bookmarkEnd w:id="342"/>
    </w:p>
    <w:p>
      <w:r>
        <w:t>Motala kommun ansvarar för avfallshantering för hushållsavfall inom planområdet. Omhändertagandet av hushållsavfall sker enligt Motala kommuns avfallstaxa</w:t>
      </w:r>
    </w:p>
    <w:p>
      <w:pPr>
        <w:spacing w:lineRule="auto" w:line="240" w:beforeAutospacing="0" w:afterAutospacing="0"/>
        <w:rPr>
          <w:rFonts w:ascii="Arial" w:hAnsi="Arial" w:cs="Arial" w:eastAsia="Arial"/>
          <w:noProof w:val="1"/>
          <w:color w:val="000000"/>
          <w:lang w:eastAsia="sv-SE"/>
        </w:rPr>
      </w:pPr>
      <w:bookmarkEnd w:id="330"/>
      <w:bookmarkEnd w:id="331"/>
      <w:bookmarkEnd w:id="333"/>
      <w:bookmarkEnd w:id="339"/>
      <w:bookmarkStart w:id="343" w:name="gf_annat01"/>
      <w:r>
        <w:rPr>
          <w:rFonts w:ascii="Arial" w:hAnsi="Arial" w:cs="Arial" w:eastAsia="Arial"/>
          <w:noProof w:val="1"/>
          <w:color w:val="000000"/>
          <w:lang w:eastAsia="sv-SE"/>
        </w:rPr>
        <w:br w:type="page"/>
      </w:r>
    </w:p>
    <w:p>
      <w:pPr>
        <w:pStyle w:val="P1"/>
      </w:pPr>
      <w:bookmarkStart w:id="344" w:name="_Toc89446057"/>
      <w:bookmarkStart w:id="345" w:name="_Toc101363561"/>
      <w:bookmarkStart w:id="346" w:name="_Toc175726350"/>
      <w:r>
        <w:t>P</w:t>
      </w:r>
      <w:bookmarkEnd w:id="344"/>
      <w:bookmarkEnd w:id="345"/>
      <w:r>
        <w:t>laneringsunderlag</w:t>
      </w:r>
      <w:bookmarkEnd w:id="346"/>
      <w:bookmarkStart w:id="347" w:name="_Toc89446058"/>
      <w:bookmarkStart w:id="348" w:name="_Toc101363562"/>
    </w:p>
    <w:tbl>
      <w:tblPr>
        <w:tblStyle w:val="T2"/>
        <w:tblW w:w="0" w:type="auto"/>
        <w:tblLook w:val="04A0"/>
      </w:tblPr>
      <w:tblGrid/>
      <w:tr>
        <w:tc>
          <w:tcPr>
            <w:tcW w:w="8494" w:type="dxa"/>
            <w:tc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tcBorders>
            <w:shd w:val="clear" w:color="auto" w:fill="F2F2F2" w:themeFill="background1" w:themeFillShade="F2"/>
          </w:tcPr>
          <w:p>
            <w:pPr>
              <w:spacing w:before="80" w:after="120" w:beforeAutospacing="0" w:afterAutospacing="0"/>
              <w:rPr>
                <w:lang w:eastAsia="sv-SE"/>
              </w:rPr>
            </w:pPr>
            <w:r>
              <w:rPr>
                <w:lang w:eastAsia="sv-SE"/>
              </w:rPr>
              <w:t xml:space="preserve">I planbeskrivningen ska kommunen redovisa en sammanställning av de planeringsunderlag som legat till grund för planen. </w:t>
            </w:r>
          </w:p>
        </w:tc>
      </w:tr>
    </w:tbl>
    <w:p/>
    <w:p>
      <w:pPr>
        <w:pStyle w:val="P2"/>
      </w:pPr>
      <w:bookmarkStart w:id="349" w:name="_Toc175726351"/>
      <w:r>
        <w:t>K</w:t>
      </w:r>
      <w:bookmarkEnd w:id="347"/>
      <w:bookmarkEnd w:id="348"/>
      <w:r>
        <w:t>ommunala planeringsunderlag</w:t>
      </w:r>
      <w:bookmarkEnd w:id="349"/>
    </w:p>
    <w:p>
      <w:pPr>
        <w:rPr>
          <w:lang w:eastAsia="sv-SE"/>
        </w:rPr>
      </w:pPr>
      <w:bookmarkStart w:id="350" w:name="pu_kommunala01"/>
    </w:p>
    <w:p>
      <w:bookmarkStart w:id="351" w:name="pu_detaljplan01"/>
      <w:r>
        <w:t>Till detaljplanen hör följande handlingar:</w:t>
      </w:r>
    </w:p>
    <w:p>
      <w:pPr>
        <w:pStyle w:val="P16"/>
        <w:numPr>
          <w:ilvl w:val="0"/>
          <w:numId w:val="44"/>
        </w:numPr>
      </w:pPr>
      <w:r>
        <w:t>Plankarta, Motala kommun, 2024-08-28</w:t>
      </w:r>
    </w:p>
    <w:p>
      <w:pPr>
        <w:pStyle w:val="P16"/>
        <w:numPr>
          <w:ilvl w:val="0"/>
          <w:numId w:val="44"/>
        </w:numPr>
      </w:pPr>
      <w:r>
        <w:t>Planbeskrivning, Motala kommun, 2024-08-28</w:t>
      </w:r>
    </w:p>
    <w:p>
      <w:pPr>
        <w:pStyle w:val="P16"/>
        <w:numPr>
          <w:ilvl w:val="0"/>
          <w:numId w:val="44"/>
        </w:numPr>
      </w:pPr>
      <w:r>
        <w:t>Granskningsutlåtande, Motala kommun, 2024-08-29</w:t>
      </w:r>
    </w:p>
    <w:p>
      <w:pPr>
        <w:pStyle w:val="P16"/>
        <w:numPr>
          <w:ilvl w:val="0"/>
          <w:numId w:val="44"/>
        </w:numPr>
      </w:pPr>
      <w:r>
        <w:t>Illustrationsplan, Motala kommun, 2024-08-2</w:t>
      </w:r>
      <w:bookmarkEnd w:id="351"/>
      <w:r>
        <w:t>8</w:t>
      </w:r>
    </w:p>
    <w:p>
      <w:pPr>
        <w:pStyle w:val="P16"/>
        <w:numPr>
          <w:ilvl w:val="0"/>
          <w:numId w:val="44"/>
        </w:numPr>
      </w:pPr>
      <w:bookmarkStart w:id="352" w:name="pu_undersökningenl6kap6_mb01"/>
      <w:r>
        <w:t>Undersökning om betydande miljöpåverkan, Motala kommun, 2024-02-28</w:t>
      </w:r>
    </w:p>
    <w:p>
      <w:pPr>
        <w:pStyle w:val="P16"/>
        <w:numPr>
          <w:ilvl w:val="0"/>
          <w:numId w:val="44"/>
        </w:numPr>
      </w:pPr>
      <w:bookmarkEnd w:id="352"/>
      <w:bookmarkStart w:id="353" w:name="pu_grundkarta01"/>
      <w:r>
        <w:t>Grundkarta, Motala kommun, 2024-02-15</w:t>
      </w:r>
    </w:p>
    <w:p>
      <w:pPr>
        <w:pStyle w:val="P16"/>
        <w:numPr>
          <w:ilvl w:val="0"/>
          <w:numId w:val="44"/>
        </w:numPr>
      </w:pPr>
      <w:bookmarkEnd w:id="353"/>
      <w:bookmarkStart w:id="354" w:name="pu_fastighetsförteckning01"/>
      <w:r>
        <w:t>Fastighetsförteckning, Motala kommun, 2024-02-15</w:t>
      </w:r>
    </w:p>
    <w:p>
      <w:bookmarkEnd w:id="354"/>
    </w:p>
    <w:p>
      <w:pPr>
        <w:spacing w:lineRule="auto" w:line="240" w:beforeAutospacing="0" w:afterAutospacing="0"/>
      </w:pPr>
      <w:bookmarkStart w:id="355" w:name="pu_översiktsplan01"/>
      <w:r>
        <w:t>I detaljplanen har följande kommunala planeringsunderlag refererats till i planhandlingarna:</w:t>
      </w:r>
    </w:p>
    <w:p>
      <w:pPr>
        <w:numPr>
          <w:ilvl w:val="0"/>
          <w:numId w:val="14"/>
        </w:numPr>
        <w:spacing w:lineRule="auto" w:line="240" w:beforeAutospacing="0" w:afterAutospacing="0"/>
        <w:ind w:hanging="284" w:left="426"/>
      </w:pPr>
      <w:r>
        <w:t>Översiktsplan 2040, Motala kommun, 2022-06-07</w:t>
      </w:r>
    </w:p>
    <w:p>
      <w:pPr>
        <w:numPr>
          <w:ilvl w:val="0"/>
          <w:numId w:val="14"/>
        </w:numPr>
        <w:spacing w:lineRule="auto" w:line="240" w:beforeAutospacing="0" w:afterAutospacing="0"/>
        <w:ind w:hanging="284" w:left="426"/>
      </w:pPr>
      <w:bookmarkEnd w:id="355"/>
      <w:bookmarkStart w:id="356" w:name="_Hlk167279395"/>
      <w:bookmarkStart w:id="357" w:name="pu_detaljplan02"/>
      <w:r>
        <w:t>Stadsplan 255 för Sandkullen, Motala kommun, 1978-10-03</w:t>
      </w:r>
      <w:bookmarkEnd w:id="350"/>
      <w:bookmarkEnd w:id="356"/>
      <w:bookmarkStart w:id="358" w:name="pu_särskiltbeslutombetydandemiljöpåver01"/>
    </w:p>
    <w:p>
      <w:pPr>
        <w:numPr>
          <w:ilvl w:val="0"/>
          <w:numId w:val="14"/>
        </w:numPr>
        <w:spacing w:lineRule="auto" w:line="240" w:beforeAutospacing="0" w:afterAutospacing="0"/>
        <w:ind w:hanging="284" w:left="426"/>
      </w:pPr>
      <w:r>
        <w:t>Stadsplan 247 för Torvmossen, Motala kommun, 1977-12-20</w:t>
      </w:r>
    </w:p>
    <w:p>
      <w:pPr>
        <w:spacing w:lineRule="auto" w:line="240" w:beforeAutospacing="0" w:afterAutospacing="0"/>
        <w:ind w:left="426"/>
        <w:rPr>
          <w:color w:val="FB784C" w:themeColor="accent4" w:themeTint="99"/>
        </w:rPr>
      </w:pPr>
      <w:bookmarkEnd w:id="357"/>
    </w:p>
    <w:p>
      <w:pPr>
        <w:pStyle w:val="P2"/>
      </w:pPr>
      <w:bookmarkEnd w:id="358"/>
      <w:bookmarkStart w:id="359" w:name="_Toc89446066"/>
      <w:bookmarkStart w:id="360" w:name="_Toc101363570"/>
      <w:bookmarkStart w:id="361" w:name="_Toc175726352"/>
      <w:r>
        <w:t>U</w:t>
      </w:r>
      <w:bookmarkEnd w:id="359"/>
      <w:bookmarkEnd w:id="360"/>
      <w:r>
        <w:t>tredningar</w:t>
      </w:r>
      <w:bookmarkEnd w:id="361"/>
    </w:p>
    <w:p>
      <w:pPr>
        <w:rPr>
          <w:noProof w:val="1"/>
          <w:lang w:eastAsia="sv-SE"/>
        </w:rPr>
      </w:pPr>
      <w:bookmarkStart w:id="362" w:name="pu_utredningar01"/>
    </w:p>
    <w:p>
      <w:bookmarkStart w:id="363" w:name="pu_barnkonsekvensanalys01"/>
      <w:r>
        <w:t>Till detaljplanen hör följande utredningar:</w:t>
      </w:r>
    </w:p>
    <w:p>
      <w:pPr>
        <w:numPr>
          <w:ilvl w:val="0"/>
          <w:numId w:val="14"/>
        </w:numPr>
        <w:spacing w:lineRule="auto" w:line="240" w:beforeAutospacing="0" w:afterAutospacing="0"/>
        <w:ind w:hanging="284" w:left="426"/>
      </w:pPr>
      <w:bookmarkEnd w:id="362"/>
      <w:bookmarkStart w:id="364" w:name="pu_kulturmiljöutredning01"/>
      <w:r>
        <w:t>Barnkonsekvensanalys, 2023-01-16</w:t>
      </w:r>
    </w:p>
    <w:p>
      <w:pPr>
        <w:numPr>
          <w:ilvl w:val="0"/>
          <w:numId w:val="14"/>
        </w:numPr>
        <w:spacing w:lineRule="auto" w:line="240" w:beforeAutospacing="0" w:afterAutospacing="0"/>
        <w:ind w:hanging="284" w:left="426"/>
      </w:pPr>
      <w:bookmarkEnd w:id="363"/>
      <w:bookmarkStart w:id="365" w:name="pu_dagvattenutredning01"/>
      <w:r>
        <w:t>Dagvattenutredning, Tyréns, 2022-12-16</w:t>
      </w:r>
    </w:p>
    <w:p>
      <w:pPr>
        <w:numPr>
          <w:ilvl w:val="0"/>
          <w:numId w:val="14"/>
        </w:numPr>
        <w:spacing w:lineRule="auto" w:line="240" w:beforeAutospacing="0" w:afterAutospacing="0"/>
        <w:ind w:hanging="284" w:left="426"/>
      </w:pPr>
      <w:bookmarkEnd w:id="365"/>
      <w:bookmarkStart w:id="366" w:name="pu_bullerutredning01"/>
      <w:r>
        <w:t>Trafikbullerutredning, Tyréns, 2022-12-16</w:t>
      </w:r>
    </w:p>
    <w:p>
      <w:pPr>
        <w:numPr>
          <w:ilvl w:val="0"/>
          <w:numId w:val="14"/>
        </w:numPr>
        <w:spacing w:lineRule="auto" w:line="240" w:beforeAutospacing="0" w:afterAutospacing="0"/>
        <w:ind w:hanging="284" w:left="426"/>
      </w:pPr>
      <w:bookmarkEnd w:id="366"/>
      <w:bookmarkStart w:id="367" w:name="pu_geotekniskutredning01"/>
      <w:r>
        <w:t>Geoteknisk utredning, Tyréns, 2022-12-16</w:t>
      </w:r>
    </w:p>
    <w:p>
      <w:pPr>
        <w:numPr>
          <w:ilvl w:val="0"/>
          <w:numId w:val="14"/>
        </w:numPr>
        <w:spacing w:lineRule="auto" w:line="240" w:beforeAutospacing="0" w:afterAutospacing="0"/>
        <w:ind w:hanging="284" w:left="426"/>
      </w:pPr>
      <w:bookmarkEnd w:id="367"/>
      <w:bookmarkStart w:id="368" w:name="pu_artinventering01"/>
      <w:r>
        <w:t>Naturvärdesinventering, Nardus, 2023-01-31</w:t>
      </w:r>
    </w:p>
    <w:p>
      <w:pPr>
        <w:numPr>
          <w:ilvl w:val="0"/>
          <w:numId w:val="14"/>
        </w:numPr>
        <w:spacing w:lineRule="auto" w:line="240" w:beforeAutospacing="0" w:afterAutospacing="0"/>
        <w:ind w:hanging="284" w:left="426"/>
      </w:pPr>
      <w:r>
        <w:t xml:space="preserve">PM Grod- och kräldjur, Nardus, 2023-12-18 </w:t>
      </w:r>
    </w:p>
    <w:p>
      <w:pPr>
        <w:rPr>
          <w:noProof w:val="1"/>
          <w:lang w:eastAsia="sv-SE"/>
        </w:rPr>
      </w:pPr>
      <w:bookmarkEnd w:id="368"/>
    </w:p>
    <w:p>
      <w:pPr>
        <w:spacing w:lineRule="auto" w:line="240" w:beforeAutospacing="0" w:afterAutospacing="0"/>
        <w:rPr>
          <w:rFonts w:asciiTheme="majorHAnsi" w:hAnsiTheme="majorHAnsi"/>
          <w:sz w:val="28"/>
        </w:rPr>
      </w:pPr>
      <w:bookmarkEnd w:id="364"/>
    </w:p>
    <w:p>
      <w:pPr>
        <w:spacing w:lineRule="auto" w:line="240" w:beforeAutospacing="0" w:afterAutospacing="0"/>
        <w:rPr>
          <w:rFonts w:asciiTheme="majorHAnsi" w:hAnsiTheme="majorHAnsi"/>
          <w:sz w:val="28"/>
        </w:rPr>
      </w:pPr>
    </w:p>
    <w:p>
      <w:pPr>
        <w:spacing w:lineRule="auto" w:line="240" w:beforeAutospacing="0" w:afterAutospacing="0"/>
        <w:rPr>
          <w:rFonts w:asciiTheme="majorHAnsi" w:hAnsiTheme="majorHAnsi"/>
          <w:sz w:val="28"/>
        </w:rPr>
      </w:pPr>
    </w:p>
    <w:p>
      <w:pPr>
        <w:spacing w:lineRule="auto" w:line="240" w:beforeAutospacing="0" w:afterAutospacing="0"/>
        <w:rPr>
          <w:rFonts w:asciiTheme="majorHAnsi" w:hAnsiTheme="majorHAnsi"/>
          <w:sz w:val="28"/>
        </w:rPr>
      </w:pPr>
    </w:p>
    <w:p>
      <w:pPr>
        <w:rPr>
          <w:rFonts w:asciiTheme="majorHAnsi" w:hAnsiTheme="majorHAnsi"/>
          <w:sz w:val="28"/>
        </w:rPr>
      </w:pPr>
    </w:p>
    <w:p>
      <w:pPr>
        <w:rPr>
          <w:rFonts w:asciiTheme="majorHAnsi" w:hAnsiTheme="majorHAnsi"/>
          <w:sz w:val="28"/>
        </w:rPr>
      </w:pPr>
    </w:p>
    <w:p>
      <w:pPr>
        <w:rPr>
          <w:rFonts w:asciiTheme="majorHAnsi" w:hAnsiTheme="majorHAnsi"/>
          <w:sz w:val="28"/>
        </w:rPr>
      </w:pPr>
    </w:p>
    <w:p>
      <w:pPr>
        <w:rPr>
          <w:rFonts w:asciiTheme="majorHAnsi" w:hAnsiTheme="majorHAnsi"/>
          <w:sz w:val="28"/>
        </w:rPr>
      </w:pPr>
    </w:p>
    <w:p>
      <w:pPr>
        <w:rPr>
          <w:rFonts w:asciiTheme="majorHAnsi" w:hAnsiTheme="majorHAnsi"/>
          <w:sz w:val="28"/>
        </w:rPr>
      </w:pPr>
    </w:p>
    <w:p>
      <w:pPr>
        <w:rPr>
          <w:rFonts w:asciiTheme="majorHAnsi" w:hAnsiTheme="majorHAnsi"/>
          <w:sz w:val="28"/>
        </w:rPr>
      </w:pPr>
    </w:p>
    <w:p>
      <w:pPr>
        <w:rPr>
          <w:rFonts w:asciiTheme="majorHAnsi" w:hAnsiTheme="majorHAnsi"/>
          <w:sz w:val="28"/>
        </w:rPr>
      </w:pPr>
    </w:p>
    <w:p>
      <w:pPr>
        <w:rPr>
          <w:rFonts w:asciiTheme="majorHAnsi" w:hAnsiTheme="majorHAnsi"/>
        </w:rPr>
      </w:pPr>
      <w:r>
        <w:rPr>
          <w:rFonts w:asciiTheme="majorHAnsi" w:hAnsiTheme="majorHAnsi"/>
          <w:sz w:val="28"/>
        </w:rPr>
        <w:t>Medverkande tjänstemän</w:t>
      </w:r>
    </w:p>
    <w:p>
      <w:r>
        <w:t xml:space="preserve">Planbeskrivningen har upprättats av Arkitekterna Krook &amp; Tjäder genom </w:t>
      </w:r>
      <w:r>
        <w:rPr>
          <w:szCs w:val="24"/>
        </w:rPr>
        <w:t xml:space="preserve">Emil Berger, plankonsult, Isabelle Winter, plankonsult och Nora Seipel, plankonsult i samråd med Alaa Al Farhan, planarkitekt och Daniella Ström, mark- och exploateringsingenjör på Gemensam ledningsförvaltning, Motala kommun </w:t>
      </w:r>
      <w:r>
        <w:t>samt övriga berörda tjänstemän inom kommunen.</w:t>
      </w:r>
    </w:p>
    <w:p/>
    <w:p/>
    <w:p/>
    <w:p/>
    <w:p/>
    <w:tbl>
      <w:tblPr>
        <w:tblStyle w:val="T2"/>
        <w:tblW w:w="4999" w:type="pct"/>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rPr>
          <w:trHeight w:hRule="atLeast" w:val="321"/>
        </w:trPr>
        <w:tc>
          <w:tcPr>
            <w:tcW w:w="2501" w:type="pct"/>
          </w:tcPr>
          <w:p>
            <w:pPr>
              <w:rPr>
                <w:rFonts w:asciiTheme="minorHAnsi" w:hAnsiTheme="minorHAnsi"/>
              </w:rPr>
            </w:pPr>
            <w:r>
              <w:rPr>
                <w:rFonts w:asciiTheme="minorHAnsi" w:hAnsiTheme="minorHAnsi"/>
                <w:sz w:val="22"/>
              </w:rPr>
              <w:t>Alaa Al Farhan</w:t>
            </w:r>
          </w:p>
        </w:tc>
        <w:tc>
          <w:tcPr>
            <w:tcW w:w="2499" w:type="pct"/>
          </w:tcPr>
          <w:p>
            <w:pPr>
              <w:pStyle w:val="P24"/>
              <w:spacing w:after="0" w:beforeAutospacing="0" w:afterAutospacing="0"/>
              <w:rPr>
                <w:szCs w:val="24"/>
              </w:rPr>
            </w:pPr>
          </w:p>
        </w:tc>
      </w:tr>
      <w:tr>
        <w:tc>
          <w:tcPr>
            <w:tcW w:w="2501" w:type="pct"/>
          </w:tcPr>
          <w:p>
            <w:pPr>
              <w:rPr>
                <w:rFonts w:asciiTheme="minorHAnsi" w:hAnsiTheme="minorHAnsi"/>
              </w:rPr>
            </w:pPr>
            <w:r>
              <w:rPr>
                <w:rFonts w:asciiTheme="minorHAnsi" w:hAnsiTheme="minorHAnsi"/>
                <w:sz w:val="22"/>
              </w:rPr>
              <w:t>Planarkitekt</w:t>
            </w:r>
          </w:p>
        </w:tc>
        <w:tc>
          <w:tcPr>
            <w:tcW w:w="2499" w:type="pct"/>
          </w:tcPr>
          <w:p>
            <w:pPr>
              <w:pStyle w:val="P24"/>
              <w:spacing w:after="0" w:beforeAutospacing="0" w:afterAutospacing="0"/>
              <w:rPr>
                <w:szCs w:val="24"/>
              </w:rPr>
            </w:pPr>
          </w:p>
        </w:tc>
      </w:tr>
    </w:tbl>
    <w:p>
      <w:pPr>
        <w:spacing w:lineRule="auto" w:line="240" w:beforeAutospacing="0" w:afterAutospacing="0"/>
        <w:rPr>
          <w:rFonts w:ascii="Arial" w:hAnsi="Arial" w:cs="Arial" w:eastAsia="Arial"/>
          <w:noProof w:val="1"/>
          <w:color w:val="000000"/>
          <w:sz w:val="40"/>
          <w:lang w:eastAsia="sv-SE"/>
        </w:rPr>
      </w:pPr>
      <w:bookmarkEnd w:id="343"/>
    </w:p>
    <w:p>
      <w:pPr>
        <w:spacing w:lineRule="auto" w:line="240" w:beforeAutospacing="0" w:afterAutospacing="0"/>
        <w:rPr>
          <w:rFonts w:ascii="Arial" w:hAnsi="Arial" w:cs="Arial" w:eastAsia="Arial"/>
          <w:noProof w:val="1"/>
          <w:color w:val="000000"/>
          <w:sz w:val="40"/>
          <w:lang w:eastAsia="sv-SE"/>
        </w:rPr>
      </w:pPr>
      <w:r>
        <w:rPr>
          <w:rFonts w:ascii="Arial" w:hAnsi="Arial" w:cs="Arial" w:eastAsia="Arial"/>
          <w:noProof w:val="1"/>
          <w:color w:val="000000"/>
          <w:sz w:val="40"/>
          <w:lang w:eastAsia="sv-SE"/>
        </w:rPr>
        <w:br w:type="page"/>
      </w: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r>
        <w:rPr>
          <w:noProof w:val="1"/>
          <w:lang w:eastAsia="sv-SE"/>
        </w:rPr>
        <w:drawing>
          <wp:anchor xmlns:wp="http://schemas.openxmlformats.org/drawingml/2006/wordprocessingDrawing" distT="0" distB="0" distL="114300" distR="114300" simplePos="0" relativeHeight="13" behindDoc="0" locked="0" layoutInCell="1" allowOverlap="1">
            <wp:simplePos x="0" y="0"/>
            <wp:positionH relativeFrom="column">
              <wp:posOffset>1492885</wp:posOffset>
            </wp:positionH>
            <wp:positionV relativeFrom="paragraph">
              <wp:posOffset>93980</wp:posOffset>
            </wp:positionV>
            <wp:extent cx="2232660" cy="1219835"/>
            <wp:effectExtent l="0" t="0" r="0" b="0"/>
            <wp:wrapNone/>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otala_kommun_logo_blacd9c9e2f.png"/>
                    <pic:cNvPicPr/>
                  </pic:nvPicPr>
                  <pic:blipFill dpi="0">
                    <a:blip xmlns:r="http://schemas.openxmlformats.org/officeDocument/2006/relationships" r:embed="Relimage19" cstate="print"/>
                    <a:srcRect/>
                    <a:stretch>
                      <a:fillRect/>
                    </a:stretch>
                  </pic:blipFill>
                  <pic:spPr>
                    <a:xfrm>
                      <a:off x="0" y="0"/>
                      <a:ext cx="2232838" cy="1220241"/>
                    </a:xfrm>
                    <a:prstGeom prst="rect"/>
                  </pic:spPr>
                </pic:pic>
              </a:graphicData>
            </a:graphic>
          </wp:anchor>
        </w:drawing>
      </w: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rPr>
          <w:noProof w:val="1"/>
          <w:lang w:eastAsia="sv-SE"/>
        </w:rPr>
      </w:pPr>
    </w:p>
    <w:p>
      <w:pPr>
        <w:spacing w:lineRule="auto" w:line="259" w:after="55" w:beforeAutospacing="0" w:afterAutospacing="0"/>
        <w:ind w:right="7"/>
        <w:jc w:val="center"/>
        <w:rPr>
          <w:rFonts w:asciiTheme="majorHAnsi" w:hAnsiTheme="majorHAnsi" w:cs="Arial" w:eastAsia="Arial"/>
          <w:noProof w:val="1"/>
          <w:color w:val="000000"/>
          <w:lang w:eastAsia="sv-SE"/>
        </w:rPr>
      </w:pPr>
      <w:r>
        <w:rPr>
          <w:rFonts w:asciiTheme="majorHAnsi" w:hAnsiTheme="majorHAnsi" w:cs="Arial" w:eastAsia="Arial"/>
          <w:noProof w:val="1"/>
          <w:color w:val="000000"/>
          <w:lang w:eastAsia="sv-SE"/>
        </w:rPr>
        <w:t>PLANENHETEN, GEMENSAM LEDNINGSFÖRVALTNING</w:t>
      </w:r>
    </w:p>
    <w:p>
      <w:pPr>
        <w:spacing w:lineRule="auto" w:line="264" w:after="3" w:beforeAutospacing="0" w:afterAutospacing="0"/>
        <w:jc w:val="center"/>
        <w:rPr>
          <w:rFonts w:asciiTheme="minorHAnsi" w:hAnsiTheme="minorHAnsi" w:cs="Arial" w:eastAsia="Arial"/>
          <w:noProof w:val="1"/>
          <w:color w:val="000000"/>
          <w:lang w:eastAsia="sv-SE"/>
        </w:rPr>
      </w:pPr>
      <w:r>
        <w:rPr>
          <w:rFonts w:asciiTheme="minorHAnsi" w:hAnsiTheme="minorHAnsi" w:cs="Arial" w:eastAsia="Arial"/>
          <w:noProof w:val="1"/>
          <w:color w:val="7B7B7A"/>
          <w:sz w:val="18"/>
          <w:lang w:eastAsia="sv-SE"/>
        </w:rPr>
        <w:t>POSTADRESS</w:t>
      </w:r>
      <w:r>
        <w:rPr>
          <w:rFonts w:ascii="Arial" w:hAnsi="Arial" w:cs="Arial" w:eastAsia="Arial"/>
          <w:noProof w:val="1"/>
          <w:color w:val="000000"/>
          <w:sz w:val="18"/>
          <w:lang w:eastAsia="sv-SE"/>
        </w:rPr>
        <w:t xml:space="preserve"> </w:t>
      </w:r>
      <w:r>
        <w:rPr>
          <w:rFonts w:asciiTheme="minorHAnsi" w:hAnsiTheme="minorHAnsi" w:cs="Arial" w:eastAsia="Arial"/>
          <w:noProof w:val="1"/>
          <w:color w:val="000000"/>
          <w:sz w:val="20"/>
          <w:lang w:eastAsia="sv-SE"/>
        </w:rPr>
        <w:t>Planenheten, Motala kommun,591 86 Motala</w:t>
      </w:r>
    </w:p>
    <w:p>
      <w:pPr>
        <w:spacing w:lineRule="auto" w:line="264" w:after="3" w:beforeAutospacing="0" w:afterAutospacing="0"/>
        <w:jc w:val="center"/>
        <w:rPr>
          <w:rFonts w:ascii="Arial" w:hAnsi="Arial" w:cs="Arial" w:eastAsia="Arial"/>
          <w:noProof w:val="1"/>
          <w:color w:val="000000"/>
          <w:lang w:eastAsia="sv-SE"/>
        </w:rPr>
      </w:pPr>
      <w:r>
        <w:rPr>
          <w:rFonts w:asciiTheme="minorHAnsi" w:hAnsiTheme="minorHAnsi" w:cs="Arial" w:eastAsia="Arial"/>
          <w:noProof w:val="1"/>
          <w:color w:val="7B7B7A"/>
          <w:sz w:val="18"/>
          <w:lang w:eastAsia="sv-SE"/>
        </w:rPr>
        <w:t>BESÖKSADRESS</w:t>
      </w:r>
      <w:r>
        <w:rPr>
          <w:rFonts w:ascii="Arial" w:hAnsi="Arial" w:cs="Arial" w:eastAsia="Arial"/>
          <w:noProof w:val="1"/>
          <w:color w:val="7B7B7A"/>
          <w:sz w:val="18"/>
          <w:lang w:eastAsia="sv-SE"/>
        </w:rPr>
        <w:t xml:space="preserve"> </w:t>
      </w:r>
      <w:r>
        <w:rPr>
          <w:rFonts w:asciiTheme="minorHAnsi" w:hAnsiTheme="minorHAnsi" w:cs="Arial" w:eastAsia="Arial"/>
          <w:noProof w:val="1"/>
          <w:color w:val="000000"/>
          <w:sz w:val="20"/>
          <w:lang w:eastAsia="sv-SE"/>
        </w:rPr>
        <w:t>Drottninggatan 2, Motala</w:t>
      </w:r>
      <w:r>
        <w:rPr>
          <w:rFonts w:ascii="Arial" w:hAnsi="Arial" w:cs="Arial" w:eastAsia="Arial"/>
          <w:noProof w:val="1"/>
          <w:color w:val="000000"/>
          <w:sz w:val="20"/>
          <w:lang w:eastAsia="sv-SE"/>
        </w:rPr>
        <w:t xml:space="preserve"> </w:t>
      </w:r>
      <w:r>
        <w:rPr>
          <w:rFonts w:asciiTheme="minorHAnsi" w:hAnsiTheme="minorHAnsi" w:cs="Arial" w:eastAsia="Arial"/>
          <w:noProof w:val="1"/>
          <w:color w:val="7B7B7A"/>
          <w:sz w:val="18"/>
          <w:lang w:eastAsia="sv-SE"/>
        </w:rPr>
        <w:t>TELEFON</w:t>
      </w:r>
      <w:r>
        <w:rPr>
          <w:rFonts w:ascii="Arial" w:hAnsi="Arial" w:cs="Arial" w:eastAsia="Arial"/>
          <w:noProof w:val="1"/>
          <w:color w:val="7B7B7A"/>
          <w:sz w:val="20"/>
          <w:lang w:eastAsia="sv-SE"/>
        </w:rPr>
        <w:t xml:space="preserve"> </w:t>
      </w:r>
      <w:r>
        <w:rPr>
          <w:rFonts w:asciiTheme="minorHAnsi" w:hAnsiTheme="minorHAnsi" w:cs="Arial" w:eastAsia="Arial"/>
          <w:noProof w:val="1"/>
          <w:color w:val="000000"/>
          <w:sz w:val="20"/>
          <w:lang w:eastAsia="sv-SE"/>
        </w:rPr>
        <w:t>0141-22 50 00</w:t>
      </w:r>
    </w:p>
    <w:p>
      <w:pPr>
        <w:spacing w:lineRule="auto" w:line="264" w:after="3" w:beforeAutospacing="0" w:afterAutospacing="0"/>
        <w:jc w:val="center"/>
        <w:rPr>
          <w:rFonts w:ascii="Arial" w:hAnsi="Arial" w:cs="Arial" w:eastAsia="Arial"/>
          <w:noProof w:val="1"/>
          <w:color w:val="000000"/>
          <w:sz w:val="20"/>
          <w:lang w:eastAsia="sv-SE"/>
        </w:rPr>
      </w:pPr>
      <w:r>
        <w:rPr>
          <w:rFonts w:asciiTheme="minorHAnsi" w:hAnsiTheme="minorHAnsi" w:cs="Arial" w:eastAsia="Arial"/>
          <w:noProof w:val="1"/>
          <w:color w:val="7B7B7A"/>
          <w:sz w:val="18"/>
          <w:lang w:eastAsia="sv-SE"/>
        </w:rPr>
        <w:t>E-POST</w:t>
      </w:r>
      <w:r>
        <w:rPr>
          <w:rFonts w:ascii="Arial" w:hAnsi="Arial" w:cs="Arial" w:eastAsia="Arial"/>
          <w:noProof w:val="1"/>
          <w:color w:val="7B7B7A"/>
          <w:sz w:val="20"/>
          <w:lang w:eastAsia="sv-SE"/>
        </w:rPr>
        <w:t xml:space="preserve"> </w:t>
      </w:r>
      <w:r>
        <w:rPr>
          <w:rFonts w:asciiTheme="minorHAnsi" w:hAnsiTheme="minorHAnsi" w:cs="Arial" w:eastAsia="Arial"/>
          <w:noProof w:val="1"/>
          <w:color w:val="000000"/>
          <w:sz w:val="20"/>
          <w:lang w:eastAsia="sv-SE"/>
        </w:rPr>
        <w:t>samhallsbyggnad@motala.se</w:t>
      </w:r>
    </w:p>
    <w:p>
      <w:pPr>
        <w:spacing w:lineRule="auto" w:line="264" w:after="3" w:beforeAutospacing="0" w:afterAutospacing="0"/>
        <w:jc w:val="center"/>
      </w:pPr>
      <w:r>
        <w:rPr>
          <w:rFonts w:asciiTheme="minorHAnsi" w:hAnsiTheme="minorHAnsi" w:cs="Arial" w:eastAsia="Arial"/>
          <w:noProof w:val="1"/>
          <w:color w:val="7B7B7A"/>
          <w:sz w:val="18"/>
          <w:lang w:eastAsia="sv-SE"/>
        </w:rPr>
        <w:t>WEBBPLATS</w:t>
      </w:r>
      <w:r>
        <w:rPr>
          <w:rFonts w:ascii="Arial" w:hAnsi="Arial" w:cs="Arial" w:eastAsia="Arial"/>
          <w:noProof w:val="1"/>
          <w:color w:val="000000"/>
          <w:sz w:val="20"/>
          <w:lang w:eastAsia="sv-SE"/>
        </w:rPr>
        <w:t xml:space="preserve"> </w:t>
      </w:r>
      <w:r>
        <w:rPr>
          <w:rFonts w:asciiTheme="minorHAnsi" w:hAnsiTheme="minorHAnsi" w:cs="Arial" w:eastAsia="Arial"/>
          <w:noProof w:val="1"/>
          <w:color w:val="000000"/>
          <w:sz w:val="20"/>
          <w:lang w:eastAsia="sv-SE"/>
        </w:rPr>
        <w:t>motala.se/kommun</w:t>
      </w:r>
    </w:p>
    <w:sectPr>
      <w:headerReference xmlns:r="http://schemas.openxmlformats.org/officeDocument/2006/relationships" w:type="first" r:id="RelHdr3"/>
      <w:headerReference xmlns:r="http://schemas.openxmlformats.org/officeDocument/2006/relationships" w:type="default" r:id="RelHdr4"/>
      <w:footerReference xmlns:r="http://schemas.openxmlformats.org/officeDocument/2006/relationships" w:type="default" r:id="RelFtr3"/>
      <w:footnotePr/>
      <w:endnotePr/>
      <w:type w:val="nextPage"/>
      <w:pgSz w:w="11906" w:h="16838" w:code="0"/>
      <w:pgMar w:left="1985" w:right="1985" w:top="1985" w:bottom="1985" w:header="737" w:footer="227" w:gutter="0"/>
      <w:cols w:equalWidth="1" w:space="720"/>
      <w:noEndnote/>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4"/>
    </w:pPr>
    <w:r>
      <w:rPr>
        <w:noProof w:val="1"/>
      </w:rPr>
      <mc:AlternateContent>
        <mc:Choice Requires="wps">
          <w:drawing>
            <wp:anchor xmlns:wp="http://schemas.openxmlformats.org/drawingml/2006/wordprocessingDrawing" distT="0" distB="0" distL="114300" distR="114300" simplePos="0" relativeHeight="16" behindDoc="0" locked="0" layoutInCell="1" allowOverlap="1">
              <wp:simplePos x="0" y="0"/>
              <wp:positionH relativeFrom="margin">
                <wp:posOffset>-557530</wp:posOffset>
              </wp:positionH>
              <wp:positionV relativeFrom="paragraph">
                <wp:posOffset>5715</wp:posOffset>
              </wp:positionV>
              <wp:extent cx="6524625" cy="0"/>
              <wp:effectExtent l="0" t="0" r="0" b="0"/>
              <wp:wrapNone/>
              <wp:docPr id="1375203668" name="Rak koppling 11"/>
              <wp:cNvGraphicFramePr/>
              <a:graphic xmlns:a="http://schemas.openxmlformats.org/drawingml/2006/main">
                <a:graphicData uri="http://schemas.microsoft.com/office/word/2010/wordprocessingShape">
                  <wps:wsp>
                    <wps:cNvCnPr>
                      <a:stCxn id="0" idx="0"/>
                      <a:endCxn id="0" idx="0"/>
                    </wps:cNvCnPr>
                    <wps:spPr>
                      <a:xfrm>
                        <a:off x="0" y="0"/>
                        <a:ext cx="6524625" cy="0"/>
                      </a:xfrm>
                      <a:prstGeom prst="line"/>
                      <a:ln w="6350">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koppling 11" o:spid="_x0000_s1029" style="position:absolute;z-index:16;mso-wrap-distance-left:9pt;mso-wrap-distance-top:0pt;mso-wrap-distance-right:9pt;mso-wrap-distance-bottom:0pt;mso-position-horizontal:absolute;mso-position-horizontal-relative:margin;mso-position-vertical:absolute;mso-position-vertical-relative:text" strokecolor="#000000" strokeweight="0.5pt" stroked="t" o:allowincell="t" from="-43.9pt,0.45pt" to="469.85pt,0.45pt"/>
          </w:pict>
        </mc:Fallback>
      </mc:AlternateContent>
    </w:r>
    <w:r>
      <w:rPr>
        <w:noProof w:val="1"/>
      </w:rPr>
      <mc:AlternateContent>
        <mc:Choice Requires="wps">
          <w:drawing>
            <wp:anchor xmlns:wp="http://schemas.openxmlformats.org/drawingml/2006/wordprocessingDrawing" distT="45720" distB="45720" distL="114300" distR="114300" simplePos="0" relativeHeight="18" behindDoc="0" locked="0" layoutInCell="1" allowOverlap="1">
              <wp:simplePos x="0" y="0"/>
              <wp:positionH relativeFrom="margin">
                <wp:posOffset>-238760</wp:posOffset>
              </wp:positionH>
              <wp:positionV relativeFrom="paragraph">
                <wp:posOffset>156845</wp:posOffset>
              </wp:positionV>
              <wp:extent cx="2543175" cy="281940"/>
              <wp:effectExtent l="0" t="0" r="0" b="0"/>
              <wp:wrapSquare wrapText="bothSides"/>
              <wp:docPr id="1516981751" name="Textruta 9"/>
              <wp:cNvGraphicFramePr/>
              <a:graphic xmlns:a="http://schemas.openxmlformats.org/drawingml/2006/main">
                <a:graphicData uri="http://schemas.microsoft.com/office/word/2010/wordprocessingShape">
                  <wps:wsp>
                    <wps:cNvSpPr txBox="1">
                      <a:spLocks noChangeArrowheads="1"/>
                    </wps:cNvSpPr>
                    <wps:spPr bwMode="auto">
                      <a:xfrm>
                        <a:off x="0" y="0"/>
                        <a:ext cx="2543175" cy="28194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Barlow" w:hAnsi="Barlow"/>
                              <w:sz w:val="18"/>
                              <w:szCs w:val="18"/>
                            </w:rPr>
                          </w:pPr>
                          <w:hyperlink xmlns:r="http://schemas.openxmlformats.org/officeDocument/2006/relationships" r:id="R2">
                            <w:r>
                              <w:rPr>
                                <w:rStyle w:val="C2"/>
                                <w:rFonts w:ascii="Barlow" w:hAnsi="Barlow"/>
                                <w:sz w:val="18"/>
                                <w:szCs w:val="18"/>
                              </w:rPr>
                              <w:t>motala.se/kommun</w:t>
                            </w:r>
                          </w:hyperlink>
                        </w:p>
                      </w:txbxContent>
                    </wps:txbx>
                    <wps:bodyPr rot="0" vert="horz" wrap="square" lIns="91440" tIns="45720" rIns="91440" bIns="45720" anchor="t" anchorCtr="0">
                      <a:spAutoFit/>
                    </wps:bodyPr>
                  </wps:wsp>
                </a:graphicData>
              </a:graphic>
              <wp14:sizeRelV relativeFrom="margin">
                <wp14:pctHeight>20000</wp14:pctHeight>
              </wp14:sizeRelV>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9" o:spid="_x0000_s1030" style="position:absolute;width:200.25pt;height:22.2pt;z-index:18;mso-wrap-distance-left:9pt;mso-wrap-distance-top:3.6pt;mso-wrap-distance-right:9pt;mso-wrap-distance-bottom:3.6pt;margin-left:-18.8pt;margin-top:12.35pt;mso-position-horizontal:absolute;mso-position-horizontal-relative:margin;mso-position-vertical:absolute;mso-position-vertical-relative:text;mso-height-relative:margin;mso-height-percent:200" o:allowincell="t" filled="f" strokeweight="0.75pt" stroked="f">
              <v:textbox style="mso-fit-shape-to-text:t" inset="3mm,1mm,3mm,1mm">
                <w:txbxContent>
                  <w:p>
                    <w:pPr>
                      <w:rPr>
                        <w:rFonts w:ascii="Barlow" w:hAnsi="Barlow"/>
                        <w:sz w:val="18"/>
                        <w:szCs w:val="18"/>
                      </w:rPr>
                    </w:pPr>
                    <w:hyperlink xmlns:r="http://schemas.openxmlformats.org/officeDocument/2006/relationships" r:id="R3">
                      <w:r>
                        <w:rPr>
                          <w:rStyle w:val="C2"/>
                          <w:rFonts w:ascii="Barlow" w:hAnsi="Barlow"/>
                          <w:sz w:val="18"/>
                          <w:szCs w:val="18"/>
                        </w:rPr>
                        <w:t>motala.se/kommun</w:t>
                      </w:r>
                    </w:hyperlink>
                  </w:p>
                </w:txbxContent>
              </v:textbox>
              <w10:wrap type="square"/>
            </v:shape>
          </w:pict>
        </mc:Fallback>
      </mc:AlternateContent>
    </w:r>
    <w:r>
      <w:rPr>
        <w:noProof w:val="1"/>
      </w:rPr>
      <mc:AlternateContent>
        <mc:Choice Requires="wps">
          <w:drawing>
            <wp:anchor xmlns:wp="http://schemas.openxmlformats.org/drawingml/2006/wordprocessingDrawing" distT="45720" distB="45720" distL="114300" distR="114300" simplePos="0" relativeHeight="17" behindDoc="0" locked="0" layoutInCell="1" allowOverlap="1">
              <wp:simplePos x="0" y="0"/>
              <wp:positionH relativeFrom="margin">
                <wp:posOffset>3423285</wp:posOffset>
              </wp:positionH>
              <wp:positionV relativeFrom="paragraph">
                <wp:posOffset>152400</wp:posOffset>
              </wp:positionV>
              <wp:extent cx="2015490" cy="281940"/>
              <wp:effectExtent l="0" t="0" r="0" b="0"/>
              <wp:wrapSquare wrapText="bothSides"/>
              <wp:docPr id="197819030" name="Textruta 7"/>
              <wp:cNvGraphicFramePr/>
              <a:graphic xmlns:a="http://schemas.openxmlformats.org/drawingml/2006/main">
                <a:graphicData uri="http://schemas.microsoft.com/office/word/2010/wordprocessingShape">
                  <wps:wsp>
                    <wps:cNvSpPr txBox="1">
                      <a:spLocks noChangeArrowheads="1"/>
                    </wps:cNvSpPr>
                    <wps:spPr bwMode="auto">
                      <a:xfrm>
                        <a:off x="0" y="0"/>
                        <a:ext cx="2015490" cy="28194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jc w:val="right"/>
                            <w:rPr>
                              <w:rFonts w:ascii="Barlow" w:hAnsi="Barlow"/>
                              <w:sz w:val="18"/>
                              <w:szCs w:val="18"/>
                            </w:rPr>
                          </w:pPr>
                          <w:r>
                            <w:rPr>
                              <w:rFonts w:ascii="Barlow" w:hAnsi="Barlow"/>
                              <w:sz w:val="18"/>
                              <w:szCs w:val="18"/>
                            </w:rPr>
                            <w:t xml:space="preserve">Sida </w:t>
                          </w:r>
                          <w:r>
                            <w:rPr>
                              <w:rFonts w:ascii="Barlow" w:hAnsi="Barlow"/>
                              <w:b w:val="1"/>
                              <w:bCs w:val="1"/>
                              <w:sz w:val="18"/>
                              <w:szCs w:val="18"/>
                            </w:rPr>
                            <w:fldChar w:fldCharType="begin"/>
                          </w:r>
                          <w:r>
                            <w:rPr>
                              <w:rFonts w:ascii="Barlow" w:hAnsi="Barlow"/>
                              <w:b w:val="1"/>
                              <w:bCs w:val="1"/>
                              <w:sz w:val="18"/>
                              <w:szCs w:val="18"/>
                            </w:rPr>
                            <w:instrText xml:space="preserve">PAGE  \* Arabic  \* MERGEFORMAT</w:instrText>
                          </w:r>
                          <w:r>
                            <w:rPr>
                              <w:rFonts w:ascii="Barlow" w:hAnsi="Barlow"/>
                              <w:b w:val="1"/>
                              <w:bCs w:val="1"/>
                              <w:sz w:val="18"/>
                              <w:szCs w:val="18"/>
                            </w:rPr>
                            <w:fldChar w:fldCharType="separate"/>
                          </w:r>
                          <w:r>
                            <w:rPr>
                              <w:rFonts w:ascii="Barlow" w:hAnsi="Barlow"/>
                              <w:b w:val="1"/>
                              <w:bCs w:val="1"/>
                              <w:noProof w:val="1"/>
                              <w:sz w:val="18"/>
                              <w:szCs w:val="18"/>
                            </w:rPr>
                            <w:t>#</w:t>
                          </w:r>
                          <w:r>
                            <w:rPr>
                              <w:rFonts w:ascii="Barlow" w:hAnsi="Barlow"/>
                              <w:b w:val="1"/>
                              <w:bCs w:val="1"/>
                              <w:sz w:val="18"/>
                              <w:szCs w:val="18"/>
                            </w:rPr>
                            <w:fldChar w:fldCharType="end"/>
                          </w:r>
                          <w:r>
                            <w:rPr>
                              <w:rFonts w:ascii="Barlow" w:hAnsi="Barlow"/>
                              <w:sz w:val="18"/>
                              <w:szCs w:val="18"/>
                            </w:rPr>
                            <w:t xml:space="preserve"> av </w:t>
                          </w:r>
                          <w:r>
                            <w:rPr>
                              <w:rFonts w:ascii="Barlow" w:hAnsi="Barlow"/>
                              <w:b w:val="1"/>
                              <w:bCs w:val="1"/>
                              <w:sz w:val="18"/>
                              <w:szCs w:val="18"/>
                            </w:rPr>
                            <w:fldChar w:fldCharType="begin"/>
                          </w:r>
                          <w:r>
                            <w:rPr>
                              <w:rFonts w:ascii="Barlow" w:hAnsi="Barlow"/>
                              <w:b w:val="1"/>
                              <w:bCs w:val="1"/>
                              <w:sz w:val="18"/>
                              <w:szCs w:val="18"/>
                            </w:rPr>
                            <w:instrText xml:space="preserve">NUMPAGES  \* Arabic  \* MERGEFORMAT</w:instrText>
                          </w:r>
                          <w:r>
                            <w:rPr>
                              <w:rFonts w:ascii="Barlow" w:hAnsi="Barlow"/>
                              <w:b w:val="1"/>
                              <w:bCs w:val="1"/>
                              <w:sz w:val="18"/>
                              <w:szCs w:val="18"/>
                            </w:rPr>
                            <w:fldChar w:fldCharType="separate"/>
                          </w:r>
                          <w:r>
                            <w:rPr>
                              <w:rFonts w:ascii="Barlow" w:hAnsi="Barlow"/>
                              <w:b w:val="1"/>
                              <w:bCs w:val="1"/>
                              <w:noProof w:val="1"/>
                              <w:sz w:val="18"/>
                              <w:szCs w:val="18"/>
                            </w:rPr>
                            <w:t>#</w:t>
                          </w:r>
                          <w:r>
                            <w:rPr>
                              <w:rFonts w:ascii="Barlow" w:hAnsi="Barlow"/>
                              <w:b w:val="1"/>
                              <w:bCs w:val="1"/>
                              <w:sz w:val="18"/>
                              <w:szCs w:val="18"/>
                            </w:rPr>
                            <w:fldChar w:fldCharType="end"/>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xmlns:o="urn:schemas-microsoft-com:office:office" type="#_x0000_t202" id="Textruta 7" o:spid="_x0000_s1031" style="position:absolute;width:158.7pt;height:22.2pt;z-index:17;mso-wrap-distance-left:9pt;mso-wrap-distance-top:3.6pt;mso-wrap-distance-right:9pt;mso-wrap-distance-bottom:3.6pt;margin-left:269.55pt;margin-top:12pt;mso-position-horizontal:absolute;mso-position-horizontal-relative:margin;mso-position-vertical:absolute;mso-position-vertical-relative:text;mso-width-relative:margin;mso-width-percent:400;mso-height-relative:margin;mso-height-percent:200" o:allowincell="t" filled="f" strokeweight="0.75pt" stroked="f">
              <v:textbox style="mso-fit-shape-to-text:t" inset="3mm,1mm,3mm,1mm">
                <w:txbxContent>
                  <w:p>
                    <w:pPr>
                      <w:jc w:val="right"/>
                      <w:rPr>
                        <w:rFonts w:ascii="Barlow" w:hAnsi="Barlow"/>
                        <w:sz w:val="18"/>
                        <w:szCs w:val="18"/>
                      </w:rPr>
                    </w:pPr>
                    <w:r>
                      <w:rPr>
                        <w:rFonts w:ascii="Barlow" w:hAnsi="Barlow"/>
                        <w:sz w:val="18"/>
                        <w:szCs w:val="18"/>
                      </w:rPr>
                      <w:t xml:space="preserve">Sida </w:t>
                    </w:r>
                    <w:r>
                      <w:rPr>
                        <w:rFonts w:ascii="Barlow" w:hAnsi="Barlow"/>
                        <w:b w:val="1"/>
                        <w:bCs w:val="1"/>
                        <w:sz w:val="18"/>
                        <w:szCs w:val="18"/>
                      </w:rPr>
                      <w:fldChar w:fldCharType="begin"/>
                    </w:r>
                    <w:r>
                      <w:rPr>
                        <w:rFonts w:ascii="Barlow" w:hAnsi="Barlow"/>
                        <w:b w:val="1"/>
                        <w:bCs w:val="1"/>
                        <w:sz w:val="18"/>
                        <w:szCs w:val="18"/>
                      </w:rPr>
                      <w:instrText xml:space="preserve">PAGE  \* Arabic  \* MERGEFORMAT</w:instrText>
                    </w:r>
                    <w:r>
                      <w:rPr>
                        <w:rFonts w:ascii="Barlow" w:hAnsi="Barlow"/>
                        <w:b w:val="1"/>
                        <w:bCs w:val="1"/>
                        <w:sz w:val="18"/>
                        <w:szCs w:val="18"/>
                      </w:rPr>
                      <w:fldChar w:fldCharType="separate"/>
                    </w:r>
                    <w:r>
                      <w:rPr>
                        <w:rFonts w:ascii="Barlow" w:hAnsi="Barlow"/>
                        <w:b w:val="1"/>
                        <w:bCs w:val="1"/>
                        <w:noProof w:val="1"/>
                        <w:sz w:val="18"/>
                        <w:szCs w:val="18"/>
                      </w:rPr>
                      <w:t>#</w:t>
                    </w:r>
                    <w:r>
                      <w:rPr>
                        <w:rFonts w:ascii="Barlow" w:hAnsi="Barlow"/>
                        <w:b w:val="1"/>
                        <w:bCs w:val="1"/>
                        <w:sz w:val="18"/>
                        <w:szCs w:val="18"/>
                      </w:rPr>
                      <w:fldChar w:fldCharType="end"/>
                    </w:r>
                    <w:r>
                      <w:rPr>
                        <w:rFonts w:ascii="Barlow" w:hAnsi="Barlow"/>
                        <w:sz w:val="18"/>
                        <w:szCs w:val="18"/>
                      </w:rPr>
                      <w:t xml:space="preserve"> av </w:t>
                    </w:r>
                    <w:r>
                      <w:rPr>
                        <w:rFonts w:ascii="Barlow" w:hAnsi="Barlow"/>
                        <w:b w:val="1"/>
                        <w:bCs w:val="1"/>
                        <w:sz w:val="18"/>
                        <w:szCs w:val="18"/>
                      </w:rPr>
                      <w:fldChar w:fldCharType="begin"/>
                    </w:r>
                    <w:r>
                      <w:rPr>
                        <w:rFonts w:ascii="Barlow" w:hAnsi="Barlow"/>
                        <w:b w:val="1"/>
                        <w:bCs w:val="1"/>
                        <w:sz w:val="18"/>
                        <w:szCs w:val="18"/>
                      </w:rPr>
                      <w:instrText xml:space="preserve">NUMPAGES  \* Arabic  \* MERGEFORMAT</w:instrText>
                    </w:r>
                    <w:r>
                      <w:rPr>
                        <w:rFonts w:ascii="Barlow" w:hAnsi="Barlow"/>
                        <w:b w:val="1"/>
                        <w:bCs w:val="1"/>
                        <w:sz w:val="18"/>
                        <w:szCs w:val="18"/>
                      </w:rPr>
                      <w:fldChar w:fldCharType="separate"/>
                    </w:r>
                    <w:r>
                      <w:rPr>
                        <w:rFonts w:ascii="Barlow" w:hAnsi="Barlow"/>
                        <w:b w:val="1"/>
                        <w:bCs w:val="1"/>
                        <w:noProof w:val="1"/>
                        <w:sz w:val="18"/>
                        <w:szCs w:val="18"/>
                      </w:rPr>
                      <w:t>#</w:t>
                    </w:r>
                    <w:r>
                      <w:rPr>
                        <w:rFonts w:ascii="Barlow" w:hAnsi="Barlow"/>
                        <w:b w:val="1"/>
                        <w:bCs w:val="1"/>
                        <w:sz w:val="18"/>
                        <w:szCs w:val="18"/>
                      </w:rPr>
                      <w:fldChar w:fldCharType="end"/>
                    </w:r>
                  </w:p>
                </w:txbxContent>
              </v:textbox>
              <w10:wrap type="square"/>
            </v:shape>
          </w:pict>
        </mc:Fallback>
      </mc:AlternateContent>
    </w:r>
  </w:p>
  <w:p>
    <w:pPr>
      <w:pStyle w:val="P14"/>
    </w:pPr>
  </w:p>
  <w:p>
    <w:pPr>
      <w:pStyle w:val="P14"/>
    </w:pP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rPr>
        <w:rFonts w:ascii="Barlow Semi Condensed" w:hAnsi="Barlow Semi Condensed"/>
        <w:szCs w:val="20"/>
      </w:rPr>
    </w:pPr>
    <w:r>
      <w:rPr>
        <w:noProof w:val="1"/>
        <w:lang w:eastAsia="sv-SE"/>
      </w:rPr>
      <w:drawing>
        <wp:anchor xmlns:wp="http://schemas.openxmlformats.org/drawingml/2006/wordprocessingDrawing" distT="0" distB="0" distL="114300" distR="114300" simplePos="0" relativeHeight="22" behindDoc="0" locked="0" layoutInCell="1" allowOverlap="1">
          <wp:simplePos x="0" y="0"/>
          <wp:positionH relativeFrom="column">
            <wp:posOffset>4508500</wp:posOffset>
          </wp:positionH>
          <wp:positionV relativeFrom="paragraph">
            <wp:posOffset>-353060</wp:posOffset>
          </wp:positionV>
          <wp:extent cx="1274445" cy="695960"/>
          <wp:effectExtent l="0" t="0" r="1905" b="8890"/>
          <wp:wrapNone/>
          <wp:docPr id="59" name="Bildobjekt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otala_kommun_logo_blacd9c9e2f.png"/>
                  <pic:cNvPicPr/>
                </pic:nvPicPr>
                <pic:blipFill dpi="0">
                  <a:blip xmlns:r="http://schemas.openxmlformats.org/officeDocument/2006/relationships" r:embed="Relimage3" cstate="print"/>
                  <a:srcRect/>
                  <a:stretch>
                    <a:fillRect/>
                  </a:stretch>
                </pic:blipFill>
                <pic:spPr>
                  <a:xfrm>
                    <a:off x="0" y="0"/>
                    <a:ext cx="1274448" cy="696480"/>
                  </a:xfrm>
                  <a:prstGeom prst="rect"/>
                </pic:spPr>
              </pic:pic>
            </a:graphicData>
          </a:graphic>
        </wp:anchor>
      </w:drawing>
    </w:r>
    <w:r>
      <w:rPr>
        <w:noProof w:val="1"/>
        <w:lang w:eastAsia="sv-SE"/>
      </w:rPr>
      <w:t>Gemensam ledningsförvaltning</w:t>
    </w:r>
  </w:p>
  <w:p>
    <w:pPr>
      <w:rPr>
        <w:rFonts w:asciiTheme="majorHAnsi" w:hAnsiTheme="majorHAnsi"/>
        <w:sz w:val="28"/>
        <w:szCs w:val="28"/>
      </w:rPr>
    </w:pPr>
    <w:r>
      <w:rPr>
        <w:rFonts w:asciiTheme="majorHAnsi" w:hAnsiTheme="majorHAnsi"/>
        <w:sz w:val="28"/>
        <w:szCs w:val="28"/>
      </w:rPr>
      <w:t>Planenheten</w:t>
    </w:r>
  </w:p>
</w:ftr>
</file>

<file path=word/footer3.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4"/>
    </w:pPr>
    <w:r>
      <w:rPr>
        <w:noProof w:val="1"/>
      </w:rPr>
      <mc:AlternateContent>
        <mc:Choice Requires="wps">
          <w:drawing>
            <wp:anchor xmlns:wp="http://schemas.openxmlformats.org/drawingml/2006/wordprocessingDrawing" distT="0" distB="0" distL="114300" distR="114300" simplePos="0" relativeHeight="19" behindDoc="0" locked="0" layoutInCell="1" allowOverlap="1">
              <wp:simplePos x="0" y="0"/>
              <wp:positionH relativeFrom="margin">
                <wp:posOffset>-557530</wp:posOffset>
              </wp:positionH>
              <wp:positionV relativeFrom="paragraph">
                <wp:posOffset>5715</wp:posOffset>
              </wp:positionV>
              <wp:extent cx="6524625" cy="0"/>
              <wp:effectExtent l="0" t="0" r="0" b="0"/>
              <wp:wrapNone/>
              <wp:docPr id="889882814" name="Rak koppling 5"/>
              <wp:cNvGraphicFramePr/>
              <a:graphic xmlns:a="http://schemas.openxmlformats.org/drawingml/2006/main">
                <a:graphicData uri="http://schemas.microsoft.com/office/word/2010/wordprocessingShape">
                  <wps:wsp>
                    <wps:cNvCnPr>
                      <a:stCxn id="0" idx="0"/>
                      <a:endCxn id="0" idx="0"/>
                    </wps:cNvCnPr>
                    <wps:spPr>
                      <a:xfrm>
                        <a:off x="0" y="0"/>
                        <a:ext cx="6524625" cy="0"/>
                      </a:xfrm>
                      <a:prstGeom prst="line"/>
                      <a:ln w="6350">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koppling 5" o:spid="_x0000_s1034" style="position:absolute;z-index:19;mso-wrap-distance-left:9pt;mso-wrap-distance-top:0pt;mso-wrap-distance-right:9pt;mso-wrap-distance-bottom:0pt;mso-position-horizontal:absolute;mso-position-horizontal-relative:margin;mso-position-vertical:absolute;mso-position-vertical-relative:text" strokecolor="#000000" strokeweight="0.5pt" stroked="t" o:allowincell="t" from="-43.9pt,0.45pt" to="469.85pt,0.45pt"/>
          </w:pict>
        </mc:Fallback>
      </mc:AlternateContent>
    </w:r>
    <w:r>
      <w:rPr>
        <w:noProof w:val="1"/>
      </w:rPr>
      <mc:AlternateContent>
        <mc:Choice Requires="wps">
          <w:drawing>
            <wp:anchor xmlns:wp="http://schemas.openxmlformats.org/drawingml/2006/wordprocessingDrawing" distT="45720" distB="45720" distL="114300" distR="114300" simplePos="0" relativeHeight="21" behindDoc="0" locked="0" layoutInCell="1" allowOverlap="1">
              <wp:simplePos x="0" y="0"/>
              <wp:positionH relativeFrom="margin">
                <wp:posOffset>-238760</wp:posOffset>
              </wp:positionH>
              <wp:positionV relativeFrom="paragraph">
                <wp:posOffset>156845</wp:posOffset>
              </wp:positionV>
              <wp:extent cx="2543175" cy="281940"/>
              <wp:effectExtent l="0" t="0" r="0" b="0"/>
              <wp:wrapSquare wrapText="bothSides"/>
              <wp:docPr id="1755984717" name="Textruta 3"/>
              <wp:cNvGraphicFramePr/>
              <a:graphic xmlns:a="http://schemas.openxmlformats.org/drawingml/2006/main">
                <a:graphicData uri="http://schemas.microsoft.com/office/word/2010/wordprocessingShape">
                  <wps:wsp>
                    <wps:cNvSpPr txBox="1">
                      <a:spLocks noChangeArrowheads="1"/>
                    </wps:cNvSpPr>
                    <wps:spPr bwMode="auto">
                      <a:xfrm>
                        <a:off x="0" y="0"/>
                        <a:ext cx="2543175" cy="28194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Barlow" w:hAnsi="Barlow"/>
                              <w:sz w:val="18"/>
                              <w:szCs w:val="18"/>
                            </w:rPr>
                          </w:pPr>
                          <w:hyperlink xmlns:r="http://schemas.openxmlformats.org/officeDocument/2006/relationships" r:id="R4">
                            <w:r>
                              <w:rPr>
                                <w:rStyle w:val="C2"/>
                                <w:rFonts w:ascii="Barlow" w:hAnsi="Barlow"/>
                                <w:sz w:val="18"/>
                                <w:szCs w:val="18"/>
                              </w:rPr>
                              <w:t>motala.se/kommun</w:t>
                            </w:r>
                          </w:hyperlink>
                        </w:p>
                      </w:txbxContent>
                    </wps:txbx>
                    <wps:bodyPr rot="0" vert="horz" wrap="square" lIns="91440" tIns="45720" rIns="91440" bIns="45720" anchor="t" anchorCtr="0">
                      <a:spAutoFit/>
                    </wps:bodyPr>
                  </wps:wsp>
                </a:graphicData>
              </a:graphic>
              <wp14:sizeRelV relativeFrom="margin">
                <wp14:pctHeight>20000</wp14:pctHeight>
              </wp14:sizeRelV>
            </wp:anchor>
          </w:drawing>
        </mc:Choice>
        <mc:Fallback>
          <w:pict>
            <v:shape xmlns:o="urn:schemas-microsoft-com:office:office" type="#_x0000_t202" id="Textruta 3" o:spid="_x0000_s1035" style="position:absolute;width:200.25pt;height:22.2pt;z-index:21;mso-wrap-distance-left:9pt;mso-wrap-distance-top:3.6pt;mso-wrap-distance-right:9pt;mso-wrap-distance-bottom:3.6pt;margin-left:-18.8pt;margin-top:12.35pt;mso-position-horizontal:absolute;mso-position-horizontal-relative:margin;mso-position-vertical:absolute;mso-position-vertical-relative:text;mso-height-relative:margin;mso-height-percent:200" o:allowincell="t" filled="f" strokeweight="0.75pt" stroked="f">
              <v:textbox style="mso-fit-shape-to-text:t" inset="3mm,1mm,3mm,1mm">
                <w:txbxContent>
                  <w:p>
                    <w:pPr>
                      <w:rPr>
                        <w:rFonts w:ascii="Barlow" w:hAnsi="Barlow"/>
                        <w:sz w:val="18"/>
                        <w:szCs w:val="18"/>
                      </w:rPr>
                    </w:pPr>
                    <w:hyperlink xmlns:r="http://schemas.openxmlformats.org/officeDocument/2006/relationships" r:id="R5">
                      <w:r>
                        <w:rPr>
                          <w:rStyle w:val="C2"/>
                          <w:rFonts w:ascii="Barlow" w:hAnsi="Barlow"/>
                          <w:sz w:val="18"/>
                          <w:szCs w:val="18"/>
                        </w:rPr>
                        <w:t>motala.se/kommun</w:t>
                      </w:r>
                    </w:hyperlink>
                  </w:p>
                </w:txbxContent>
              </v:textbox>
              <w10:wrap type="square"/>
            </v:shape>
          </w:pict>
        </mc:Fallback>
      </mc:AlternateContent>
    </w:r>
    <w:r>
      <w:rPr>
        <w:noProof w:val="1"/>
      </w:rPr>
      <mc:AlternateContent>
        <mc:Choice Requires="wps">
          <w:drawing>
            <wp:anchor xmlns:wp="http://schemas.openxmlformats.org/drawingml/2006/wordprocessingDrawing" distT="45720" distB="45720" distL="114300" distR="114300" simplePos="0" relativeHeight="20" behindDoc="0" locked="0" layoutInCell="1" allowOverlap="1">
              <wp:simplePos x="0" y="0"/>
              <wp:positionH relativeFrom="margin">
                <wp:posOffset>3423285</wp:posOffset>
              </wp:positionH>
              <wp:positionV relativeFrom="paragraph">
                <wp:posOffset>152400</wp:posOffset>
              </wp:positionV>
              <wp:extent cx="2015490" cy="281940"/>
              <wp:effectExtent l="0" t="0" r="0" b="0"/>
              <wp:wrapSquare wrapText="bothSides"/>
              <wp:docPr id="1508630710" name="Textruta 1"/>
              <wp:cNvGraphicFramePr/>
              <a:graphic xmlns:a="http://schemas.openxmlformats.org/drawingml/2006/main">
                <a:graphicData uri="http://schemas.microsoft.com/office/word/2010/wordprocessingShape">
                  <wps:wsp>
                    <wps:cNvSpPr txBox="1">
                      <a:spLocks noChangeArrowheads="1"/>
                    </wps:cNvSpPr>
                    <wps:spPr bwMode="auto">
                      <a:xfrm>
                        <a:off x="0" y="0"/>
                        <a:ext cx="2015490" cy="28194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jc w:val="right"/>
                            <w:rPr>
                              <w:rFonts w:ascii="Barlow" w:hAnsi="Barlow"/>
                              <w:sz w:val="18"/>
                              <w:szCs w:val="18"/>
                            </w:rPr>
                          </w:pPr>
                          <w:r>
                            <w:rPr>
                              <w:rFonts w:ascii="Barlow" w:hAnsi="Barlow"/>
                              <w:sz w:val="18"/>
                              <w:szCs w:val="18"/>
                            </w:rPr>
                            <w:t xml:space="preserve">Sida </w:t>
                          </w:r>
                          <w:r>
                            <w:rPr>
                              <w:rFonts w:ascii="Barlow" w:hAnsi="Barlow"/>
                              <w:b w:val="1"/>
                              <w:bCs w:val="1"/>
                              <w:sz w:val="18"/>
                              <w:szCs w:val="18"/>
                            </w:rPr>
                            <w:fldChar w:fldCharType="begin"/>
                          </w:r>
                          <w:r>
                            <w:rPr>
                              <w:rFonts w:ascii="Barlow" w:hAnsi="Barlow"/>
                              <w:b w:val="1"/>
                              <w:bCs w:val="1"/>
                              <w:sz w:val="18"/>
                              <w:szCs w:val="18"/>
                            </w:rPr>
                            <w:instrText xml:space="preserve">PAGE  \* Arabic  \* MERGEFORMAT</w:instrText>
                          </w:r>
                          <w:r>
                            <w:rPr>
                              <w:rFonts w:ascii="Barlow" w:hAnsi="Barlow"/>
                              <w:b w:val="1"/>
                              <w:bCs w:val="1"/>
                              <w:sz w:val="18"/>
                              <w:szCs w:val="18"/>
                            </w:rPr>
                            <w:fldChar w:fldCharType="separate"/>
                          </w:r>
                          <w:r>
                            <w:rPr>
                              <w:rFonts w:ascii="Barlow" w:hAnsi="Barlow"/>
                              <w:b w:val="1"/>
                              <w:bCs w:val="1"/>
                              <w:noProof w:val="1"/>
                              <w:sz w:val="18"/>
                              <w:szCs w:val="18"/>
                            </w:rPr>
                            <w:t>#</w:t>
                          </w:r>
                          <w:r>
                            <w:rPr>
                              <w:rFonts w:ascii="Barlow" w:hAnsi="Barlow"/>
                              <w:b w:val="1"/>
                              <w:bCs w:val="1"/>
                              <w:sz w:val="18"/>
                              <w:szCs w:val="18"/>
                            </w:rPr>
                            <w:fldChar w:fldCharType="end"/>
                          </w:r>
                          <w:r>
                            <w:rPr>
                              <w:rFonts w:ascii="Barlow" w:hAnsi="Barlow"/>
                              <w:sz w:val="18"/>
                              <w:szCs w:val="18"/>
                            </w:rPr>
                            <w:t xml:space="preserve"> av </w:t>
                          </w:r>
                          <w:r>
                            <w:rPr>
                              <w:rFonts w:ascii="Barlow" w:hAnsi="Barlow"/>
                              <w:b w:val="1"/>
                              <w:bCs w:val="1"/>
                              <w:sz w:val="18"/>
                              <w:szCs w:val="18"/>
                            </w:rPr>
                            <w:fldChar w:fldCharType="begin"/>
                          </w:r>
                          <w:r>
                            <w:rPr>
                              <w:rFonts w:ascii="Barlow" w:hAnsi="Barlow"/>
                              <w:b w:val="1"/>
                              <w:bCs w:val="1"/>
                              <w:sz w:val="18"/>
                              <w:szCs w:val="18"/>
                            </w:rPr>
                            <w:instrText xml:space="preserve">NUMPAGES  \* Arabic  \* MERGEFORMAT</w:instrText>
                          </w:r>
                          <w:r>
                            <w:rPr>
                              <w:rFonts w:ascii="Barlow" w:hAnsi="Barlow"/>
                              <w:b w:val="1"/>
                              <w:bCs w:val="1"/>
                              <w:sz w:val="18"/>
                              <w:szCs w:val="18"/>
                            </w:rPr>
                            <w:fldChar w:fldCharType="separate"/>
                          </w:r>
                          <w:r>
                            <w:rPr>
                              <w:rFonts w:ascii="Barlow" w:hAnsi="Barlow"/>
                              <w:b w:val="1"/>
                              <w:bCs w:val="1"/>
                              <w:noProof w:val="1"/>
                              <w:sz w:val="18"/>
                              <w:szCs w:val="18"/>
                            </w:rPr>
                            <w:t>#</w:t>
                          </w:r>
                          <w:r>
                            <w:rPr>
                              <w:rFonts w:ascii="Barlow" w:hAnsi="Barlow"/>
                              <w:b w:val="1"/>
                              <w:bCs w:val="1"/>
                              <w:sz w:val="18"/>
                              <w:szCs w:val="18"/>
                            </w:rPr>
                            <w:fldChar w:fldCharType="end"/>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xmlns:o="urn:schemas-microsoft-com:office:office" type="#_x0000_t202" id="Textruta 1" o:spid="_x0000_s1036" style="position:absolute;width:158.7pt;height:22.2pt;z-index:20;mso-wrap-distance-left:9pt;mso-wrap-distance-top:3.6pt;mso-wrap-distance-right:9pt;mso-wrap-distance-bottom:3.6pt;margin-left:269.55pt;margin-top:12pt;mso-position-horizontal:absolute;mso-position-horizontal-relative:margin;mso-position-vertical:absolute;mso-position-vertical-relative:text;mso-width-relative:margin;mso-width-percent:400;mso-height-relative:margin;mso-height-percent:200" o:allowincell="t" filled="f" strokeweight="0.75pt" stroked="f">
              <v:textbox style="mso-fit-shape-to-text:t" inset="3mm,1mm,3mm,1mm">
                <w:txbxContent>
                  <w:p>
                    <w:pPr>
                      <w:jc w:val="right"/>
                      <w:rPr>
                        <w:rFonts w:ascii="Barlow" w:hAnsi="Barlow"/>
                        <w:sz w:val="18"/>
                        <w:szCs w:val="18"/>
                      </w:rPr>
                    </w:pPr>
                    <w:r>
                      <w:rPr>
                        <w:rFonts w:ascii="Barlow" w:hAnsi="Barlow"/>
                        <w:sz w:val="18"/>
                        <w:szCs w:val="18"/>
                      </w:rPr>
                      <w:t xml:space="preserve">Sida </w:t>
                    </w:r>
                    <w:r>
                      <w:rPr>
                        <w:rFonts w:ascii="Barlow" w:hAnsi="Barlow"/>
                        <w:b w:val="1"/>
                        <w:bCs w:val="1"/>
                        <w:sz w:val="18"/>
                        <w:szCs w:val="18"/>
                      </w:rPr>
                      <w:fldChar w:fldCharType="begin"/>
                    </w:r>
                    <w:r>
                      <w:rPr>
                        <w:rFonts w:ascii="Barlow" w:hAnsi="Barlow"/>
                        <w:b w:val="1"/>
                        <w:bCs w:val="1"/>
                        <w:sz w:val="18"/>
                        <w:szCs w:val="18"/>
                      </w:rPr>
                      <w:instrText xml:space="preserve">PAGE  \* Arabic  \* MERGEFORMAT</w:instrText>
                    </w:r>
                    <w:r>
                      <w:rPr>
                        <w:rFonts w:ascii="Barlow" w:hAnsi="Barlow"/>
                        <w:b w:val="1"/>
                        <w:bCs w:val="1"/>
                        <w:sz w:val="18"/>
                        <w:szCs w:val="18"/>
                      </w:rPr>
                      <w:fldChar w:fldCharType="separate"/>
                    </w:r>
                    <w:r>
                      <w:rPr>
                        <w:rFonts w:ascii="Barlow" w:hAnsi="Barlow"/>
                        <w:b w:val="1"/>
                        <w:bCs w:val="1"/>
                        <w:noProof w:val="1"/>
                        <w:sz w:val="18"/>
                        <w:szCs w:val="18"/>
                      </w:rPr>
                      <w:t>#</w:t>
                    </w:r>
                    <w:r>
                      <w:rPr>
                        <w:rFonts w:ascii="Barlow" w:hAnsi="Barlow"/>
                        <w:b w:val="1"/>
                        <w:bCs w:val="1"/>
                        <w:sz w:val="18"/>
                        <w:szCs w:val="18"/>
                      </w:rPr>
                      <w:fldChar w:fldCharType="end"/>
                    </w:r>
                    <w:r>
                      <w:rPr>
                        <w:rFonts w:ascii="Barlow" w:hAnsi="Barlow"/>
                        <w:sz w:val="18"/>
                        <w:szCs w:val="18"/>
                      </w:rPr>
                      <w:t xml:space="preserve"> av </w:t>
                    </w:r>
                    <w:r>
                      <w:rPr>
                        <w:rFonts w:ascii="Barlow" w:hAnsi="Barlow"/>
                        <w:b w:val="1"/>
                        <w:bCs w:val="1"/>
                        <w:sz w:val="18"/>
                        <w:szCs w:val="18"/>
                      </w:rPr>
                      <w:fldChar w:fldCharType="begin"/>
                    </w:r>
                    <w:r>
                      <w:rPr>
                        <w:rFonts w:ascii="Barlow" w:hAnsi="Barlow"/>
                        <w:b w:val="1"/>
                        <w:bCs w:val="1"/>
                        <w:sz w:val="18"/>
                        <w:szCs w:val="18"/>
                      </w:rPr>
                      <w:instrText xml:space="preserve">NUMPAGES  \* Arabic  \* MERGEFORMAT</w:instrText>
                    </w:r>
                    <w:r>
                      <w:rPr>
                        <w:rFonts w:ascii="Barlow" w:hAnsi="Barlow"/>
                        <w:b w:val="1"/>
                        <w:bCs w:val="1"/>
                        <w:sz w:val="18"/>
                        <w:szCs w:val="18"/>
                      </w:rPr>
                      <w:fldChar w:fldCharType="separate"/>
                    </w:r>
                    <w:r>
                      <w:rPr>
                        <w:rFonts w:ascii="Barlow" w:hAnsi="Barlow"/>
                        <w:b w:val="1"/>
                        <w:bCs w:val="1"/>
                        <w:noProof w:val="1"/>
                        <w:sz w:val="18"/>
                        <w:szCs w:val="18"/>
                      </w:rPr>
                      <w:t>#</w:t>
                    </w:r>
                    <w:r>
                      <w:rPr>
                        <w:rFonts w:ascii="Barlow" w:hAnsi="Barlow"/>
                        <w:b w:val="1"/>
                        <w:bCs w:val="1"/>
                        <w:sz w:val="18"/>
                        <w:szCs w:val="18"/>
                      </w:rPr>
                      <w:fldChar w:fldCharType="end"/>
                    </w:r>
                  </w:p>
                </w:txbxContent>
              </v:textbox>
              <w10:wrap type="square"/>
            </v:shape>
          </w:pict>
        </mc:Fallback>
      </mc:AlternateContent>
    </w:r>
  </w:p>
  <w:p>
    <w:pPr>
      <w:pStyle w:val="P14"/>
    </w:pPr>
  </w:p>
  <w:p>
    <w:pPr>
      <w:pStyle w:val="P14"/>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rPr>
        <w:rFonts w:ascii="Barlow Semi Condensed" w:hAnsi="Barlow Semi Condensed"/>
        <w:sz w:val="20"/>
        <w:szCs w:val="20"/>
      </w:rPr>
    </w:pPr>
    <w:r>
      <w:rPr>
        <w:rFonts w:ascii="Barlow Semi Condensed" w:hAnsi="Barlow Semi Condensed"/>
        <w:sz w:val="20"/>
        <w:szCs w:val="20"/>
      </w:rPr>
      <w:t xml:space="preserve">Detaljplan för del av </w:t>
    </w:r>
    <w:r>
      <w:rPr>
        <w:rFonts w:ascii="Barlow Semi Condensed" w:hAnsi="Barlow Semi Condensed"/>
        <w:sz w:val="20"/>
        <w:szCs w:val="20"/>
        <w:highlight w:val="yellow"/>
      </w:rPr>
      <w:t>*FASTIGHET XX:XX* i *Område*</w:t>
    </w:r>
  </w:p>
  <w:p>
    <w:pPr>
      <w:pStyle w:val="P13"/>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3"/>
    </w:pPr>
    <w:r>
      <w:rPr>
        <w:noProof w:val="1"/>
      </w:rPr>
      <mc:AlternateContent>
        <mc:Choice Requires="wpg">
          <w:drawing>
            <wp:anchor xmlns:wp="http://schemas.openxmlformats.org/drawingml/2006/wordprocessingDrawing" distT="0" distB="0" distL="114300" distR="114300" simplePos="0" relativeHeight="15" behindDoc="0" locked="0" layoutInCell="1" allowOverlap="1">
              <wp:simplePos x="0" y="0"/>
              <wp:positionH relativeFrom="column">
                <wp:posOffset>-479425</wp:posOffset>
              </wp:positionH>
              <wp:positionV relativeFrom="paragraph">
                <wp:posOffset>-339725</wp:posOffset>
              </wp:positionV>
              <wp:extent cx="6801485" cy="8570595"/>
              <wp:effectExtent l="0" t="0" r="0" b="1905"/>
              <wp:wrapNone/>
              <wp:docPr id="1063625782" name="Grupp 14"/>
              <wp:cNvGraphicFramePr/>
              <a:graphic xmlns:a="http://schemas.openxmlformats.org/drawingml/2006/main">
                <a:graphicData uri="http://schemas.microsoft.com/office/word/2010/wordprocessingGroup">
                  <wpg:wgp>
                    <wpg:cNvGrpSpPr/>
                    <wpg:grpSpPr>
                      <a:xfrm>
                        <a:off x="0" y="0"/>
                        <a:ext cx="6801485" cy="8570595"/>
                        <a:chOff x="0" y="0"/>
                        <a:chExt cx="6801296" cy="8570555"/>
                      </a:xfrm>
                    </wpg:grpSpPr>
                    <pic:pic xmlns:pic="http://schemas.openxmlformats.org/drawingml/2006/picture">
                      <pic:nvPicPr>
                        <pic:cNvPr id="17" name="Bildobjekt 28"/>
                        <pic:cNvPicPr>
                          <a:picLocks noChangeAspect="1"/>
                        </pic:cNvPicPr>
                      </pic:nvPicPr>
                      <pic:blipFill dpi="0">
                        <a:blip xmlns:r="http://schemas.openxmlformats.org/officeDocument/2006/relationships" r:embed="Relimage1" cstate="print"/>
                        <a:srcRect l="52091" t="-510" r="-21384" b="38698"/>
                        <a:stretch>
                          <a:fillRect/>
                        </a:stretch>
                      </pic:blipFill>
                      <pic:spPr bwMode="auto">
                        <a:xfrm>
                          <a:off x="11875" y="5807035"/>
                          <a:ext cx="6789420" cy="2763520"/>
                        </a:xfrm>
                        <a:prstGeom prst="rect"/>
                        <a:ln>
                          <a:noFill/>
                        </a:ln>
                      </pic:spPr>
                    </pic:pic>
                    <wps:wsp>
                      <wps:cNvPr id="19" name="Rektangel 19"/>
                      <wps:cNvSpPr/>
                      <wps:spPr>
                        <a:xfrm>
                          <a:off x="0" y="0"/>
                          <a:ext cx="6799022" cy="8567972"/>
                        </a:xfrm>
                        <a:prstGeom prst="rect"/>
                        <a:noFill/>
                        <a:ln>
                          <a:solidFill>
                            <a:srgbClr val="007FA3"/>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xmlns:o="urn:schemas-microsoft-com:office:office" id="Grupp 14" style="position:absolute;width:535.55pt;height:674.85pt;z-index:15;mso-wrap-distance-left:9pt;mso-wrap-distance-top:0pt;mso-wrap-distance-right:9pt;mso-wrap-distance-bottom:0pt;margin-left:-37.75pt;margin-top:-26.75pt;mso-position-horizontal:absolute;mso-position-horizontal-relative:text;mso-position-vertical:absolute;mso-position-vertical-relative:text" coordorigin="0,0" coordsize="6801295,8570554" o:allowincell="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28" o:spid="_x0000_s1027" type="#_x0000_t75" style="position:absolute;left:11874;top:5807034;width:6789420;height:2763520" o:preferrelative="t" stroked="f" o:allowincell="t">
                <v:imagedata src="Relimage1" o:title="" croptop="-334f" cropbottom="25361f" cropleft="34138f" cropright="-14014f"/>
                <o:lock aspectratio="t"/>
              </v:shape>
              <v:rect id="Rektangel 19" o:spid="_x0000_s1028" style="position:absolute;width:6799021;height:8567971;v-text-anchor:middle" o:allowincell="t" filled="f" strokecolor="#007FA3" strokeweight="2pt" stroked="t"/>
            </v:group>
          </w:pict>
        </mc:Fallback>
      </mc:AlternateContent>
    </w:r>
    <w:r>
      <w:rPr>
        <w:noProof w:val="1"/>
        <w:lang w:eastAsia="sv-SE"/>
      </w:rPr>
      <w:drawing>
        <wp:anchor xmlns:wp="http://schemas.openxmlformats.org/drawingml/2006/wordprocessingDrawing" distT="0" distB="0" distL="114300" distR="114300" simplePos="0" relativeHeight="251645954" behindDoc="1" locked="0" layoutInCell="1" allowOverlap="1">
          <wp:simplePos x="0" y="0"/>
          <wp:positionH relativeFrom="column">
            <wp:posOffset>-835025</wp:posOffset>
          </wp:positionH>
          <wp:positionV relativeFrom="paragraph">
            <wp:posOffset>-706120</wp:posOffset>
          </wp:positionV>
          <wp:extent cx="7519670" cy="10636885"/>
          <wp:effectExtent l="0" t="0" r="5080" b="0"/>
          <wp:wrapNone/>
          <wp:docPr id="53" name="Bildobjekt 53" descr="Framsidan innehåller en ljusblå färgplatta, en illustration med en solfjäder och kommunens logotyp." title="Bakgrundsbild med blå platta, solfjäder och kommun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ramsida.jpg"/>
                  <pic:cNvPicPr/>
                </pic:nvPicPr>
                <pic:blipFill dpi="0">
                  <a:blip xmlns:r="http://schemas.openxmlformats.org/officeDocument/2006/relationships" r:embed="Relimage2" cstate="print"/>
                  <a:srcRect/>
                  <a:stretch>
                    <a:fillRect/>
                  </a:stretch>
                </pic:blipFill>
                <pic:spPr>
                  <a:xfrm>
                    <a:off x="0" y="0"/>
                    <a:ext cx="7519969" cy="10637136"/>
                  </a:xfrm>
                  <a:prstGeom prst="rect"/>
                </pic:spPr>
              </pic:pic>
            </a:graphicData>
          </a:graphic>
        </wp:anchor>
      </w:drawing>
    </w: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rPr>
        <w:rFonts w:ascii="Barlow Semi Condensed" w:hAnsi="Barlow Semi Condensed"/>
        <w:sz w:val="20"/>
      </w:rPr>
    </w:pPr>
    <w:r>
      <w:rPr>
        <w:rFonts w:ascii="Barlow Semi Condensed" w:hAnsi="Barlow Semi Condensed"/>
        <w:sz w:val="20"/>
      </w:rPr>
      <w:t xml:space="preserve">Detaljplan för </w:t>
    </w:r>
  </w:p>
  <w:p>
    <w:pPr>
      <w:rPr>
        <w:rFonts w:ascii="Barlow Semi Condensed" w:hAnsi="Barlow Semi Condensed"/>
        <w:sz w:val="20"/>
      </w:rPr>
    </w:pPr>
    <w:r>
      <w:rPr>
        <w:rFonts w:ascii="Barlow Semi Condensed" w:hAnsi="Barlow Semi Condensed"/>
        <w:sz w:val="20"/>
      </w:rPr>
      <w:t>del av Bråstorp 1:8 (Bergmossen), Bergsätter</w:t>
    </w:r>
  </w:p>
  <w:p>
    <w:pPr>
      <w:rPr>
        <w:rFonts w:ascii="Barlow Semi Condensed" w:hAnsi="Barlow Semi Condensed"/>
        <w:sz w:val="20"/>
      </w:rPr>
    </w:pPr>
    <w:r>
      <w:rPr>
        <w:rFonts w:ascii="Barlow Semi Condensed" w:hAnsi="Barlow Semi Condensed"/>
        <w:sz w:val="20"/>
      </w:rPr>
      <w:t>Motala kommun, Östergötlands län</w:t>
    </w:r>
  </w:p>
</w:hdr>
</file>

<file path=word/header4.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rPr>
        <w:rFonts w:ascii="Barlow Semi Condensed" w:hAnsi="Barlow Semi Condensed"/>
        <w:sz w:val="20"/>
      </w:rPr>
    </w:pPr>
    <w:r>
      <w:rPr>
        <w:rFonts w:ascii="Barlow Semi Condensed" w:hAnsi="Barlow Semi Condensed"/>
        <w:sz w:val="20"/>
      </w:rPr>
      <w:t xml:space="preserve">Detaljplan för </w:t>
    </w:r>
  </w:p>
  <w:p>
    <w:pPr>
      <w:rPr>
        <w:rFonts w:ascii="Barlow Semi Condensed" w:hAnsi="Barlow Semi Condensed"/>
        <w:sz w:val="20"/>
      </w:rPr>
    </w:pPr>
    <w:r>
      <w:rPr>
        <w:rFonts w:ascii="Barlow Semi Condensed" w:hAnsi="Barlow Semi Condensed"/>
        <w:sz w:val="20"/>
      </w:rPr>
      <w:t xml:space="preserve">del av Bråstorp 1:8 (Bergmossen), Bergsätter </w:t>
    </w:r>
  </w:p>
  <w:p>
    <w:pPr>
      <w:rPr>
        <w:rFonts w:ascii="Barlow Semi Condensed" w:hAnsi="Barlow Semi Condensed"/>
        <w:sz w:val="20"/>
      </w:rPr>
    </w:pPr>
    <w:r>
      <w:rPr>
        <w:rFonts w:ascii="Barlow Semi Condensed" w:hAnsi="Barlow Semi Condensed"/>
        <w:sz w:val="20"/>
      </w:rPr>
      <w:t>Motala kommun, Östergötlands län</w:t>
    </w:r>
  </w:p>
  <w:p>
    <w:pPr>
      <w:pStyle w:val="P13"/>
    </w:pPr>
  </w:p>
</w:hdr>
</file>

<file path=word/numbering.xml><?xml version="1.0" encoding="utf-8"?>
<w:numbering xmlns:w="http://schemas.openxmlformats.org/wordprocessingml/2006/main">
  <w:abstractNum w:abstractNumId="0">
    <w:nsid w:val="FFFFFF7C"/>
    <w:multiLevelType w:val="hybridMultilevel"/>
    <w:lvl w:ilvl="0">
      <w:start w:val="1"/>
      <w:numFmt w:val="decimal"/>
      <w:pStyle w:val="P84"/>
      <w:suff w:val="tab"/>
      <w:lvlText w:val="%1."/>
      <w:lvlJc w:val="left"/>
      <w:pPr>
        <w:ind w:hanging="360" w:left="1492"/>
        <w:tabs>
          <w:tab w:val="num" w:pos="1492" w:leader="none"/>
        </w:tabs>
      </w:pPr>
      <w:rPr/>
    </w:lvl>
    <w:lvl w:ilvl="1" w:tplc="44CD7A98">
      <w:start w:val="1"/>
      <w:numFmt w:val="decimal"/>
      <w:suff w:val="tab"/>
      <w:lvlText w:val="%1."/>
      <w:lvlJc w:val="left"/>
      <w:pPr/>
      <w:rPr/>
    </w:lvl>
    <w:lvl w:ilvl="2" w:tplc="048303BC">
      <w:start w:val="1"/>
      <w:numFmt w:val="decimal"/>
      <w:suff w:val="tab"/>
      <w:lvlText w:val="%1."/>
      <w:lvlJc w:val="left"/>
      <w:pPr/>
      <w:rPr/>
    </w:lvl>
    <w:lvl w:ilvl="3" w:tplc="0EA1589E">
      <w:start w:val="1"/>
      <w:numFmt w:val="decimal"/>
      <w:suff w:val="tab"/>
      <w:lvlText w:val="%1."/>
      <w:lvlJc w:val="left"/>
      <w:pPr/>
      <w:rPr/>
    </w:lvl>
    <w:lvl w:ilvl="4" w:tplc="47444E02">
      <w:start w:val="1"/>
      <w:numFmt w:val="decimal"/>
      <w:suff w:val="tab"/>
      <w:lvlText w:val="%1."/>
      <w:lvlJc w:val="left"/>
      <w:pPr/>
      <w:rPr/>
    </w:lvl>
    <w:lvl w:ilvl="5" w:tplc="6BF31D2D">
      <w:start w:val="1"/>
      <w:numFmt w:val="decimal"/>
      <w:suff w:val="tab"/>
      <w:lvlText w:val="%1."/>
      <w:lvlJc w:val="left"/>
      <w:pPr/>
      <w:rPr/>
    </w:lvl>
    <w:lvl w:ilvl="6" w:tplc="28378FE1">
      <w:start w:val="1"/>
      <w:numFmt w:val="decimal"/>
      <w:suff w:val="tab"/>
      <w:lvlText w:val="%1."/>
      <w:lvlJc w:val="left"/>
      <w:pPr/>
      <w:rPr/>
    </w:lvl>
    <w:lvl w:ilvl="7" w:tplc="7216B1C8">
      <w:start w:val="1"/>
      <w:numFmt w:val="decimal"/>
      <w:suff w:val="tab"/>
      <w:lvlText w:val="%1."/>
      <w:lvlJc w:val="left"/>
      <w:pPr/>
      <w:rPr/>
    </w:lvl>
    <w:lvl w:ilvl="8" w:tplc="075D51C8">
      <w:start w:val="1"/>
      <w:numFmt w:val="decimal"/>
      <w:suff w:val="tab"/>
      <w:lvlText w:val="%1."/>
      <w:lvlJc w:val="left"/>
      <w:pPr/>
      <w:rPr/>
    </w:lvl>
  </w:abstractNum>
  <w:abstractNum w:abstractNumId="1">
    <w:nsid w:val="FFFFFF7D"/>
    <w:multiLevelType w:val="hybridMultilevel"/>
    <w:lvl w:ilvl="0">
      <w:start w:val="1"/>
      <w:numFmt w:val="decimal"/>
      <w:pStyle w:val="P83"/>
      <w:suff w:val="tab"/>
      <w:lvlText w:val="%1."/>
      <w:lvlJc w:val="left"/>
      <w:pPr>
        <w:ind w:hanging="360" w:left="1209"/>
        <w:tabs>
          <w:tab w:val="num" w:pos="1209" w:leader="none"/>
        </w:tabs>
      </w:pPr>
      <w:rPr/>
    </w:lvl>
    <w:lvl w:ilvl="1" w:tplc="1D05B598">
      <w:start w:val="1"/>
      <w:numFmt w:val="decimal"/>
      <w:suff w:val="tab"/>
      <w:lvlText w:val="%1."/>
      <w:lvlJc w:val="left"/>
      <w:pPr/>
      <w:rPr/>
    </w:lvl>
    <w:lvl w:ilvl="2" w:tplc="77273F2C">
      <w:start w:val="1"/>
      <w:numFmt w:val="decimal"/>
      <w:suff w:val="tab"/>
      <w:lvlText w:val="%1."/>
      <w:lvlJc w:val="left"/>
      <w:pPr/>
      <w:rPr/>
    </w:lvl>
    <w:lvl w:ilvl="3" w:tplc="2E989DBE">
      <w:start w:val="1"/>
      <w:numFmt w:val="decimal"/>
      <w:suff w:val="tab"/>
      <w:lvlText w:val="%1."/>
      <w:lvlJc w:val="left"/>
      <w:pPr/>
      <w:rPr/>
    </w:lvl>
    <w:lvl w:ilvl="4" w:tplc="7B2488F7">
      <w:start w:val="1"/>
      <w:numFmt w:val="decimal"/>
      <w:suff w:val="tab"/>
      <w:lvlText w:val="%1."/>
      <w:lvlJc w:val="left"/>
      <w:pPr/>
      <w:rPr/>
    </w:lvl>
    <w:lvl w:ilvl="5" w:tplc="6A8A5D02">
      <w:start w:val="1"/>
      <w:numFmt w:val="decimal"/>
      <w:suff w:val="tab"/>
      <w:lvlText w:val="%1."/>
      <w:lvlJc w:val="left"/>
      <w:pPr/>
      <w:rPr/>
    </w:lvl>
    <w:lvl w:ilvl="6" w:tplc="50BF0478">
      <w:start w:val="1"/>
      <w:numFmt w:val="decimal"/>
      <w:suff w:val="tab"/>
      <w:lvlText w:val="%1."/>
      <w:lvlJc w:val="left"/>
      <w:pPr/>
      <w:rPr/>
    </w:lvl>
    <w:lvl w:ilvl="7" w:tplc="1A57AAD5">
      <w:start w:val="1"/>
      <w:numFmt w:val="decimal"/>
      <w:suff w:val="tab"/>
      <w:lvlText w:val="%1."/>
      <w:lvlJc w:val="left"/>
      <w:pPr/>
      <w:rPr/>
    </w:lvl>
    <w:lvl w:ilvl="8" w:tplc="6C389869">
      <w:start w:val="1"/>
      <w:numFmt w:val="decimal"/>
      <w:suff w:val="tab"/>
      <w:lvlText w:val="%1."/>
      <w:lvlJc w:val="left"/>
      <w:pPr/>
      <w:rPr/>
    </w:lvl>
  </w:abstractNum>
  <w:abstractNum w:abstractNumId="2">
    <w:nsid w:val="FFFFFF7E"/>
    <w:multiLevelType w:val="hybridMultilevel"/>
    <w:lvl w:ilvl="0">
      <w:start w:val="1"/>
      <w:numFmt w:val="decimal"/>
      <w:pStyle w:val="P82"/>
      <w:suff w:val="tab"/>
      <w:lvlText w:val="%1."/>
      <w:lvlJc w:val="left"/>
      <w:pPr>
        <w:ind w:hanging="360" w:left="926"/>
        <w:tabs>
          <w:tab w:val="num" w:pos="926" w:leader="none"/>
        </w:tabs>
      </w:pPr>
      <w:rPr/>
    </w:lvl>
    <w:lvl w:ilvl="1" w:tplc="1ADE78D0">
      <w:start w:val="1"/>
      <w:numFmt w:val="decimal"/>
      <w:suff w:val="tab"/>
      <w:lvlText w:val="%1."/>
      <w:lvlJc w:val="left"/>
      <w:pPr/>
      <w:rPr/>
    </w:lvl>
    <w:lvl w:ilvl="2" w:tplc="46068DCD">
      <w:start w:val="1"/>
      <w:numFmt w:val="decimal"/>
      <w:suff w:val="tab"/>
      <w:lvlText w:val="%1."/>
      <w:lvlJc w:val="left"/>
      <w:pPr/>
      <w:rPr/>
    </w:lvl>
    <w:lvl w:ilvl="3" w:tplc="20B78FED">
      <w:start w:val="1"/>
      <w:numFmt w:val="decimal"/>
      <w:suff w:val="tab"/>
      <w:lvlText w:val="%1."/>
      <w:lvlJc w:val="left"/>
      <w:pPr/>
      <w:rPr/>
    </w:lvl>
    <w:lvl w:ilvl="4" w:tplc="60ED08FD">
      <w:start w:val="1"/>
      <w:numFmt w:val="decimal"/>
      <w:suff w:val="tab"/>
      <w:lvlText w:val="%1."/>
      <w:lvlJc w:val="left"/>
      <w:pPr/>
      <w:rPr/>
    </w:lvl>
    <w:lvl w:ilvl="5" w:tplc="490D1A77">
      <w:start w:val="1"/>
      <w:numFmt w:val="decimal"/>
      <w:suff w:val="tab"/>
      <w:lvlText w:val="%1."/>
      <w:lvlJc w:val="left"/>
      <w:pPr/>
      <w:rPr/>
    </w:lvl>
    <w:lvl w:ilvl="6" w:tplc="6EBAF030">
      <w:start w:val="1"/>
      <w:numFmt w:val="decimal"/>
      <w:suff w:val="tab"/>
      <w:lvlText w:val="%1."/>
      <w:lvlJc w:val="left"/>
      <w:pPr/>
      <w:rPr/>
    </w:lvl>
    <w:lvl w:ilvl="7" w:tplc="03F4EE5F">
      <w:start w:val="1"/>
      <w:numFmt w:val="decimal"/>
      <w:suff w:val="tab"/>
      <w:lvlText w:val="%1."/>
      <w:lvlJc w:val="left"/>
      <w:pPr/>
      <w:rPr/>
    </w:lvl>
    <w:lvl w:ilvl="8" w:tplc="56C1F7A5">
      <w:start w:val="1"/>
      <w:numFmt w:val="decimal"/>
      <w:suff w:val="tab"/>
      <w:lvlText w:val="%1."/>
      <w:lvlJc w:val="left"/>
      <w:pPr/>
      <w:rPr/>
    </w:lvl>
  </w:abstractNum>
  <w:abstractNum w:abstractNumId="3">
    <w:nsid w:val="FFFFFF7F"/>
    <w:multiLevelType w:val="hybridMultilevel"/>
    <w:lvl w:ilvl="0">
      <w:start w:val="1"/>
      <w:numFmt w:val="decimal"/>
      <w:pStyle w:val="P81"/>
      <w:suff w:val="tab"/>
      <w:lvlText w:val="%1."/>
      <w:lvlJc w:val="left"/>
      <w:pPr>
        <w:ind w:hanging="360" w:left="643"/>
        <w:tabs>
          <w:tab w:val="num" w:pos="643" w:leader="none"/>
        </w:tabs>
      </w:pPr>
      <w:rPr/>
    </w:lvl>
    <w:lvl w:ilvl="1" w:tplc="4FE908D3">
      <w:start w:val="1"/>
      <w:numFmt w:val="decimal"/>
      <w:suff w:val="tab"/>
      <w:lvlText w:val="%1."/>
      <w:lvlJc w:val="left"/>
      <w:pPr/>
      <w:rPr/>
    </w:lvl>
    <w:lvl w:ilvl="2" w:tplc="665B0601">
      <w:start w:val="1"/>
      <w:numFmt w:val="decimal"/>
      <w:suff w:val="tab"/>
      <w:lvlText w:val="%1."/>
      <w:lvlJc w:val="left"/>
      <w:pPr/>
      <w:rPr/>
    </w:lvl>
    <w:lvl w:ilvl="3" w:tplc="7269F375">
      <w:start w:val="1"/>
      <w:numFmt w:val="decimal"/>
      <w:suff w:val="tab"/>
      <w:lvlText w:val="%1."/>
      <w:lvlJc w:val="left"/>
      <w:pPr/>
      <w:rPr/>
    </w:lvl>
    <w:lvl w:ilvl="4" w:tplc="1E5DFFDC">
      <w:start w:val="1"/>
      <w:numFmt w:val="decimal"/>
      <w:suff w:val="tab"/>
      <w:lvlText w:val="%1."/>
      <w:lvlJc w:val="left"/>
      <w:pPr/>
      <w:rPr/>
    </w:lvl>
    <w:lvl w:ilvl="5" w:tplc="62113664">
      <w:start w:val="1"/>
      <w:numFmt w:val="decimal"/>
      <w:suff w:val="tab"/>
      <w:lvlText w:val="%1."/>
      <w:lvlJc w:val="left"/>
      <w:pPr/>
      <w:rPr/>
    </w:lvl>
    <w:lvl w:ilvl="6" w:tplc="70DDAB17">
      <w:start w:val="1"/>
      <w:numFmt w:val="decimal"/>
      <w:suff w:val="tab"/>
      <w:lvlText w:val="%1."/>
      <w:lvlJc w:val="left"/>
      <w:pPr/>
      <w:rPr/>
    </w:lvl>
    <w:lvl w:ilvl="7" w:tplc="7B224BEF">
      <w:start w:val="1"/>
      <w:numFmt w:val="decimal"/>
      <w:suff w:val="tab"/>
      <w:lvlText w:val="%1."/>
      <w:lvlJc w:val="left"/>
      <w:pPr/>
      <w:rPr/>
    </w:lvl>
    <w:lvl w:ilvl="8" w:tplc="43526DF3">
      <w:start w:val="1"/>
      <w:numFmt w:val="decimal"/>
      <w:suff w:val="tab"/>
      <w:lvlText w:val="%1."/>
      <w:lvlJc w:val="left"/>
      <w:pPr/>
      <w:rPr/>
    </w:lvl>
  </w:abstractNum>
  <w:abstractNum w:abstractNumId="4">
    <w:nsid w:val="FFFFFF80"/>
    <w:multiLevelType w:val="hybridMultilevel"/>
    <w:lvl w:ilvl="0">
      <w:start w:val="1"/>
      <w:numFmt w:val="bullet"/>
      <w:pStyle w:val="P90"/>
      <w:suff w:val="tab"/>
      <w:lvlText w:val=""/>
      <w:lvlJc w:val="left"/>
      <w:pPr>
        <w:ind w:hanging="360" w:left="1492"/>
        <w:tabs>
          <w:tab w:val="num" w:pos="1492" w:leader="none"/>
        </w:tabs>
      </w:pPr>
      <w:rPr>
        <w:rFonts w:ascii="Symbol" w:hAnsi="Symbol" w:hint="default"/>
      </w:rPr>
    </w:lvl>
    <w:lvl w:ilvl="1" w:tplc="75E123B9">
      <w:start w:val="1"/>
      <w:numFmt w:val="decimal"/>
      <w:suff w:val="tab"/>
      <w:lvlText w:val="%1."/>
      <w:lvlJc w:val="left"/>
      <w:pPr/>
      <w:rPr/>
    </w:lvl>
    <w:lvl w:ilvl="2" w:tplc="346F7DD5">
      <w:start w:val="1"/>
      <w:numFmt w:val="decimal"/>
      <w:suff w:val="tab"/>
      <w:lvlText w:val="%1."/>
      <w:lvlJc w:val="left"/>
      <w:pPr/>
      <w:rPr/>
    </w:lvl>
    <w:lvl w:ilvl="3" w:tplc="1BA3B77F">
      <w:start w:val="1"/>
      <w:numFmt w:val="decimal"/>
      <w:suff w:val="tab"/>
      <w:lvlText w:val="%1."/>
      <w:lvlJc w:val="left"/>
      <w:pPr/>
      <w:rPr/>
    </w:lvl>
    <w:lvl w:ilvl="4" w:tplc="5A0A974F">
      <w:start w:val="1"/>
      <w:numFmt w:val="decimal"/>
      <w:suff w:val="tab"/>
      <w:lvlText w:val="%1."/>
      <w:lvlJc w:val="left"/>
      <w:pPr/>
      <w:rPr/>
    </w:lvl>
    <w:lvl w:ilvl="5" w:tplc="366F06C3">
      <w:start w:val="1"/>
      <w:numFmt w:val="decimal"/>
      <w:suff w:val="tab"/>
      <w:lvlText w:val="%1."/>
      <w:lvlJc w:val="left"/>
      <w:pPr/>
      <w:rPr/>
    </w:lvl>
    <w:lvl w:ilvl="6" w:tplc="5DB023E3">
      <w:start w:val="1"/>
      <w:numFmt w:val="decimal"/>
      <w:suff w:val="tab"/>
      <w:lvlText w:val="%1."/>
      <w:lvlJc w:val="left"/>
      <w:pPr/>
      <w:rPr/>
    </w:lvl>
    <w:lvl w:ilvl="7" w:tplc="27C0CFF5">
      <w:start w:val="1"/>
      <w:numFmt w:val="decimal"/>
      <w:suff w:val="tab"/>
      <w:lvlText w:val="%1."/>
      <w:lvlJc w:val="left"/>
      <w:pPr/>
      <w:rPr/>
    </w:lvl>
    <w:lvl w:ilvl="8" w:tplc="01658AD5">
      <w:start w:val="1"/>
      <w:numFmt w:val="decimal"/>
      <w:suff w:val="tab"/>
      <w:lvlText w:val="%1."/>
      <w:lvlJc w:val="left"/>
      <w:pPr/>
      <w:rPr/>
    </w:lvl>
  </w:abstractNum>
  <w:abstractNum w:abstractNumId="5">
    <w:nsid w:val="FFFFFF81"/>
    <w:multiLevelType w:val="hybridMultilevel"/>
    <w:lvl w:ilvl="0">
      <w:start w:val="1"/>
      <w:numFmt w:val="bullet"/>
      <w:pStyle w:val="P89"/>
      <w:suff w:val="tab"/>
      <w:lvlText w:val=""/>
      <w:lvlJc w:val="left"/>
      <w:pPr>
        <w:ind w:hanging="360" w:left="1209"/>
        <w:tabs>
          <w:tab w:val="num" w:pos="1209" w:leader="none"/>
        </w:tabs>
      </w:pPr>
      <w:rPr>
        <w:rFonts w:ascii="Symbol" w:hAnsi="Symbol" w:hint="default"/>
      </w:rPr>
    </w:lvl>
    <w:lvl w:ilvl="1" w:tplc="492AD6BA">
      <w:start w:val="1"/>
      <w:numFmt w:val="decimal"/>
      <w:suff w:val="tab"/>
      <w:lvlText w:val="%1."/>
      <w:lvlJc w:val="left"/>
      <w:pPr/>
      <w:rPr/>
    </w:lvl>
    <w:lvl w:ilvl="2" w:tplc="60508F4C">
      <w:start w:val="1"/>
      <w:numFmt w:val="decimal"/>
      <w:suff w:val="tab"/>
      <w:lvlText w:val="%1."/>
      <w:lvlJc w:val="left"/>
      <w:pPr/>
      <w:rPr/>
    </w:lvl>
    <w:lvl w:ilvl="3" w:tplc="65579BEA">
      <w:start w:val="1"/>
      <w:numFmt w:val="decimal"/>
      <w:suff w:val="tab"/>
      <w:lvlText w:val="%1."/>
      <w:lvlJc w:val="left"/>
      <w:pPr/>
      <w:rPr/>
    </w:lvl>
    <w:lvl w:ilvl="4" w:tplc="3E7C8DCE">
      <w:start w:val="1"/>
      <w:numFmt w:val="decimal"/>
      <w:suff w:val="tab"/>
      <w:lvlText w:val="%1."/>
      <w:lvlJc w:val="left"/>
      <w:pPr/>
      <w:rPr/>
    </w:lvl>
    <w:lvl w:ilvl="5" w:tplc="2547F092">
      <w:start w:val="1"/>
      <w:numFmt w:val="decimal"/>
      <w:suff w:val="tab"/>
      <w:lvlText w:val="%1."/>
      <w:lvlJc w:val="left"/>
      <w:pPr/>
      <w:rPr/>
    </w:lvl>
    <w:lvl w:ilvl="6" w:tplc="6F2CF052">
      <w:start w:val="1"/>
      <w:numFmt w:val="decimal"/>
      <w:suff w:val="tab"/>
      <w:lvlText w:val="%1."/>
      <w:lvlJc w:val="left"/>
      <w:pPr/>
      <w:rPr/>
    </w:lvl>
    <w:lvl w:ilvl="7" w:tplc="35FD958A">
      <w:start w:val="1"/>
      <w:numFmt w:val="decimal"/>
      <w:suff w:val="tab"/>
      <w:lvlText w:val="%1."/>
      <w:lvlJc w:val="left"/>
      <w:pPr/>
      <w:rPr/>
    </w:lvl>
    <w:lvl w:ilvl="8" w:tplc="617493D6">
      <w:start w:val="1"/>
      <w:numFmt w:val="decimal"/>
      <w:suff w:val="tab"/>
      <w:lvlText w:val="%1."/>
      <w:lvlJc w:val="left"/>
      <w:pPr/>
      <w:rPr/>
    </w:lvl>
  </w:abstractNum>
  <w:abstractNum w:abstractNumId="6">
    <w:nsid w:val="FFFFFF82"/>
    <w:multiLevelType w:val="hybridMultilevel"/>
    <w:lvl w:ilvl="0">
      <w:start w:val="1"/>
      <w:numFmt w:val="bullet"/>
      <w:pStyle w:val="P88"/>
      <w:suff w:val="tab"/>
      <w:lvlText w:val=""/>
      <w:lvlJc w:val="left"/>
      <w:pPr>
        <w:ind w:hanging="360" w:left="926"/>
        <w:tabs>
          <w:tab w:val="num" w:pos="926" w:leader="none"/>
        </w:tabs>
      </w:pPr>
      <w:rPr>
        <w:rFonts w:ascii="Symbol" w:hAnsi="Symbol" w:hint="default"/>
      </w:rPr>
    </w:lvl>
    <w:lvl w:ilvl="1" w:tplc="72930D7D">
      <w:start w:val="1"/>
      <w:numFmt w:val="decimal"/>
      <w:suff w:val="tab"/>
      <w:lvlText w:val="%1."/>
      <w:lvlJc w:val="left"/>
      <w:pPr/>
      <w:rPr/>
    </w:lvl>
    <w:lvl w:ilvl="2" w:tplc="63E0719A">
      <w:start w:val="1"/>
      <w:numFmt w:val="decimal"/>
      <w:suff w:val="tab"/>
      <w:lvlText w:val="%1."/>
      <w:lvlJc w:val="left"/>
      <w:pPr/>
      <w:rPr/>
    </w:lvl>
    <w:lvl w:ilvl="3" w:tplc="3B75E944">
      <w:start w:val="1"/>
      <w:numFmt w:val="decimal"/>
      <w:suff w:val="tab"/>
      <w:lvlText w:val="%1."/>
      <w:lvlJc w:val="left"/>
      <w:pPr/>
      <w:rPr/>
    </w:lvl>
    <w:lvl w:ilvl="4" w:tplc="1FE6686D">
      <w:start w:val="1"/>
      <w:numFmt w:val="decimal"/>
      <w:suff w:val="tab"/>
      <w:lvlText w:val="%1."/>
      <w:lvlJc w:val="left"/>
      <w:pPr/>
      <w:rPr/>
    </w:lvl>
    <w:lvl w:ilvl="5" w:tplc="434F60A3">
      <w:start w:val="1"/>
      <w:numFmt w:val="decimal"/>
      <w:suff w:val="tab"/>
      <w:lvlText w:val="%1."/>
      <w:lvlJc w:val="left"/>
      <w:pPr/>
      <w:rPr/>
    </w:lvl>
    <w:lvl w:ilvl="6" w:tplc="15312687">
      <w:start w:val="1"/>
      <w:numFmt w:val="decimal"/>
      <w:suff w:val="tab"/>
      <w:lvlText w:val="%1."/>
      <w:lvlJc w:val="left"/>
      <w:pPr/>
      <w:rPr/>
    </w:lvl>
    <w:lvl w:ilvl="7" w:tplc="1F46CE43">
      <w:start w:val="1"/>
      <w:numFmt w:val="decimal"/>
      <w:suff w:val="tab"/>
      <w:lvlText w:val="%1."/>
      <w:lvlJc w:val="left"/>
      <w:pPr/>
      <w:rPr/>
    </w:lvl>
    <w:lvl w:ilvl="8" w:tplc="222DA9F5">
      <w:start w:val="1"/>
      <w:numFmt w:val="decimal"/>
      <w:suff w:val="tab"/>
      <w:lvlText w:val="%1."/>
      <w:lvlJc w:val="left"/>
      <w:pPr/>
      <w:rPr/>
    </w:lvl>
  </w:abstractNum>
  <w:abstractNum w:abstractNumId="7">
    <w:nsid w:val="FFFFFF83"/>
    <w:multiLevelType w:val="hybridMultilevel"/>
    <w:lvl w:ilvl="0">
      <w:start w:val="1"/>
      <w:numFmt w:val="bullet"/>
      <w:pStyle w:val="P87"/>
      <w:suff w:val="tab"/>
      <w:lvlText w:val=""/>
      <w:lvlJc w:val="left"/>
      <w:pPr>
        <w:ind w:hanging="360" w:left="643"/>
        <w:tabs>
          <w:tab w:val="num" w:pos="643" w:leader="none"/>
        </w:tabs>
      </w:pPr>
      <w:rPr>
        <w:rFonts w:ascii="Symbol" w:hAnsi="Symbol" w:hint="default"/>
      </w:rPr>
    </w:lvl>
    <w:lvl w:ilvl="1" w:tplc="107FFDCC">
      <w:start w:val="1"/>
      <w:numFmt w:val="decimal"/>
      <w:suff w:val="tab"/>
      <w:lvlText w:val="%1."/>
      <w:lvlJc w:val="left"/>
      <w:pPr/>
      <w:rPr/>
    </w:lvl>
    <w:lvl w:ilvl="2" w:tplc="7EA7B5BB">
      <w:start w:val="1"/>
      <w:numFmt w:val="decimal"/>
      <w:suff w:val="tab"/>
      <w:lvlText w:val="%1."/>
      <w:lvlJc w:val="left"/>
      <w:pPr/>
      <w:rPr/>
    </w:lvl>
    <w:lvl w:ilvl="3" w:tplc="151609C7">
      <w:start w:val="1"/>
      <w:numFmt w:val="decimal"/>
      <w:suff w:val="tab"/>
      <w:lvlText w:val="%1."/>
      <w:lvlJc w:val="left"/>
      <w:pPr/>
      <w:rPr/>
    </w:lvl>
    <w:lvl w:ilvl="4" w:tplc="3DBAF2A6">
      <w:start w:val="1"/>
      <w:numFmt w:val="decimal"/>
      <w:suff w:val="tab"/>
      <w:lvlText w:val="%1."/>
      <w:lvlJc w:val="left"/>
      <w:pPr/>
      <w:rPr/>
    </w:lvl>
    <w:lvl w:ilvl="5" w:tplc="00023E07">
      <w:start w:val="1"/>
      <w:numFmt w:val="decimal"/>
      <w:suff w:val="tab"/>
      <w:lvlText w:val="%1."/>
      <w:lvlJc w:val="left"/>
      <w:pPr/>
      <w:rPr/>
    </w:lvl>
    <w:lvl w:ilvl="6" w:tplc="2737F00F">
      <w:start w:val="1"/>
      <w:numFmt w:val="decimal"/>
      <w:suff w:val="tab"/>
      <w:lvlText w:val="%1."/>
      <w:lvlJc w:val="left"/>
      <w:pPr/>
      <w:rPr/>
    </w:lvl>
    <w:lvl w:ilvl="7" w:tplc="04558D64">
      <w:start w:val="1"/>
      <w:numFmt w:val="decimal"/>
      <w:suff w:val="tab"/>
      <w:lvlText w:val="%1."/>
      <w:lvlJc w:val="left"/>
      <w:pPr/>
      <w:rPr/>
    </w:lvl>
    <w:lvl w:ilvl="8" w:tplc="2476871B">
      <w:start w:val="1"/>
      <w:numFmt w:val="decimal"/>
      <w:suff w:val="tab"/>
      <w:lvlText w:val="%1."/>
      <w:lvlJc w:val="left"/>
      <w:pPr/>
      <w:rPr/>
    </w:lvl>
  </w:abstractNum>
  <w:abstractNum w:abstractNumId="8">
    <w:nsid w:val="FFFFFF88"/>
    <w:multiLevelType w:val="hybridMultilevel"/>
    <w:lvl w:ilvl="0">
      <w:start w:val="1"/>
      <w:numFmt w:val="decimal"/>
      <w:pStyle w:val="P80"/>
      <w:suff w:val="tab"/>
      <w:lvlText w:val="%1."/>
      <w:lvlJc w:val="left"/>
      <w:pPr>
        <w:ind w:hanging="360" w:left="360"/>
        <w:tabs>
          <w:tab w:val="num" w:pos="360" w:leader="none"/>
        </w:tabs>
      </w:pPr>
      <w:rPr/>
    </w:lvl>
    <w:lvl w:ilvl="1" w:tplc="7667FE22">
      <w:start w:val="1"/>
      <w:numFmt w:val="decimal"/>
      <w:suff w:val="tab"/>
      <w:lvlText w:val="%1."/>
      <w:lvlJc w:val="left"/>
      <w:pPr/>
      <w:rPr/>
    </w:lvl>
    <w:lvl w:ilvl="2" w:tplc="40D3E17F">
      <w:start w:val="1"/>
      <w:numFmt w:val="decimal"/>
      <w:suff w:val="tab"/>
      <w:lvlText w:val="%1."/>
      <w:lvlJc w:val="left"/>
      <w:pPr/>
      <w:rPr/>
    </w:lvl>
    <w:lvl w:ilvl="3" w:tplc="0F97880A">
      <w:start w:val="1"/>
      <w:numFmt w:val="decimal"/>
      <w:suff w:val="tab"/>
      <w:lvlText w:val="%1."/>
      <w:lvlJc w:val="left"/>
      <w:pPr/>
      <w:rPr/>
    </w:lvl>
    <w:lvl w:ilvl="4" w:tplc="43076C08">
      <w:start w:val="1"/>
      <w:numFmt w:val="decimal"/>
      <w:suff w:val="tab"/>
      <w:lvlText w:val="%1."/>
      <w:lvlJc w:val="left"/>
      <w:pPr/>
      <w:rPr/>
    </w:lvl>
    <w:lvl w:ilvl="5" w:tplc="392C3A07">
      <w:start w:val="1"/>
      <w:numFmt w:val="decimal"/>
      <w:suff w:val="tab"/>
      <w:lvlText w:val="%1."/>
      <w:lvlJc w:val="left"/>
      <w:pPr/>
      <w:rPr/>
    </w:lvl>
    <w:lvl w:ilvl="6" w:tplc="47A790A2">
      <w:start w:val="1"/>
      <w:numFmt w:val="decimal"/>
      <w:suff w:val="tab"/>
      <w:lvlText w:val="%1."/>
      <w:lvlJc w:val="left"/>
      <w:pPr/>
      <w:rPr/>
    </w:lvl>
    <w:lvl w:ilvl="7" w:tplc="10317EB6">
      <w:start w:val="1"/>
      <w:numFmt w:val="decimal"/>
      <w:suff w:val="tab"/>
      <w:lvlText w:val="%1."/>
      <w:lvlJc w:val="left"/>
      <w:pPr/>
      <w:rPr/>
    </w:lvl>
    <w:lvl w:ilvl="8" w:tplc="3ACA17A3">
      <w:start w:val="1"/>
      <w:numFmt w:val="decimal"/>
      <w:suff w:val="tab"/>
      <w:lvlText w:val="%1."/>
      <w:lvlJc w:val="left"/>
      <w:pPr/>
      <w:rPr/>
    </w:lvl>
  </w:abstractNum>
  <w:abstractNum w:abstractNumId="9">
    <w:nsid w:val="FFFFFF89"/>
    <w:multiLevelType w:val="hybridMultilevel"/>
    <w:lvl w:ilvl="0">
      <w:start w:val="1"/>
      <w:numFmt w:val="bullet"/>
      <w:pStyle w:val="P86"/>
      <w:suff w:val="tab"/>
      <w:lvlText w:val=""/>
      <w:lvlJc w:val="left"/>
      <w:pPr>
        <w:ind w:hanging="360" w:left="360"/>
        <w:tabs>
          <w:tab w:val="num" w:pos="360" w:leader="none"/>
        </w:tabs>
      </w:pPr>
      <w:rPr>
        <w:rFonts w:ascii="Symbol" w:hAnsi="Symbol" w:hint="default"/>
      </w:rPr>
    </w:lvl>
    <w:lvl w:ilvl="1" w:tplc="239926B2">
      <w:start w:val="1"/>
      <w:numFmt w:val="decimal"/>
      <w:suff w:val="tab"/>
      <w:lvlText w:val="%1."/>
      <w:lvlJc w:val="left"/>
      <w:pPr/>
      <w:rPr/>
    </w:lvl>
    <w:lvl w:ilvl="2" w:tplc="116C7C05">
      <w:start w:val="1"/>
      <w:numFmt w:val="decimal"/>
      <w:suff w:val="tab"/>
      <w:lvlText w:val="%1."/>
      <w:lvlJc w:val="left"/>
      <w:pPr/>
      <w:rPr/>
    </w:lvl>
    <w:lvl w:ilvl="3" w:tplc="4113166E">
      <w:start w:val="1"/>
      <w:numFmt w:val="decimal"/>
      <w:suff w:val="tab"/>
      <w:lvlText w:val="%1."/>
      <w:lvlJc w:val="left"/>
      <w:pPr/>
      <w:rPr/>
    </w:lvl>
    <w:lvl w:ilvl="4" w:tplc="033D0422">
      <w:start w:val="1"/>
      <w:numFmt w:val="decimal"/>
      <w:suff w:val="tab"/>
      <w:lvlText w:val="%1."/>
      <w:lvlJc w:val="left"/>
      <w:pPr/>
      <w:rPr/>
    </w:lvl>
    <w:lvl w:ilvl="5" w:tplc="68606A51">
      <w:start w:val="1"/>
      <w:numFmt w:val="decimal"/>
      <w:suff w:val="tab"/>
      <w:lvlText w:val="%1."/>
      <w:lvlJc w:val="left"/>
      <w:pPr/>
      <w:rPr/>
    </w:lvl>
    <w:lvl w:ilvl="6" w:tplc="009CA38E">
      <w:start w:val="1"/>
      <w:numFmt w:val="decimal"/>
      <w:suff w:val="tab"/>
      <w:lvlText w:val="%1."/>
      <w:lvlJc w:val="left"/>
      <w:pPr/>
      <w:rPr/>
    </w:lvl>
    <w:lvl w:ilvl="7" w:tplc="3A906E64">
      <w:start w:val="1"/>
      <w:numFmt w:val="decimal"/>
      <w:suff w:val="tab"/>
      <w:lvlText w:val="%1."/>
      <w:lvlJc w:val="left"/>
      <w:pPr/>
      <w:rPr/>
    </w:lvl>
    <w:lvl w:ilvl="8" w:tplc="088F3F71">
      <w:start w:val="1"/>
      <w:numFmt w:val="decimal"/>
      <w:suff w:val="tab"/>
      <w:lvlText w:val="%1."/>
      <w:lvlJc w:val="left"/>
      <w:pPr/>
      <w:rPr/>
    </w:lvl>
  </w:abstractNum>
  <w:abstractNum w:abstractNumId="10">
    <w:nsid w:val="074501ED"/>
    <w:multiLevelType w:val="hybridMultilevel"/>
    <w:lvl w:ilvl="0" w:tplc="041D0001">
      <w:start w:val="1"/>
      <w:numFmt w:val="bullet"/>
      <w:suff w:val="tab"/>
      <w:lvlText w:val=""/>
      <w:lvlJc w:val="left"/>
      <w:pPr>
        <w:ind w:hanging="360" w:left="720"/>
        <w:tabs>
          <w:tab w:val="num" w:pos="720" w:leader="none"/>
        </w:tabs>
      </w:pPr>
      <w:rPr>
        <w:rFonts w:ascii="Symbol" w:hAnsi="Symbol" w:hint="default"/>
      </w:rPr>
    </w:lvl>
    <w:lvl w:ilvl="1" w:tplc="041D0003">
      <w:start w:val="1"/>
      <w:numFmt w:val="bullet"/>
      <w:suff w:val="tab"/>
      <w:lvlText w:val="o"/>
      <w:lvlJc w:val="left"/>
      <w:pPr>
        <w:ind w:hanging="360" w:left="1440"/>
        <w:tabs>
          <w:tab w:val="num" w:pos="1440" w:leader="none"/>
        </w:tabs>
      </w:pPr>
      <w:rPr>
        <w:rFonts w:ascii="Courier New" w:hAnsi="Courier New" w:cs="Courier New" w:hint="default"/>
      </w:rPr>
    </w:lvl>
    <w:lvl w:ilvl="2" w:tplc="041D0005">
      <w:start w:val="1"/>
      <w:numFmt w:val="bullet"/>
      <w:suff w:val="tab"/>
      <w:lvlText w:val=""/>
      <w:lvlJc w:val="left"/>
      <w:pPr>
        <w:ind w:hanging="360" w:left="2160"/>
        <w:tabs>
          <w:tab w:val="num" w:pos="2160" w:leader="none"/>
        </w:tabs>
      </w:pPr>
      <w:rPr>
        <w:rFonts w:ascii="Wingdings" w:hAnsi="Wingdings" w:hint="default"/>
      </w:rPr>
    </w:lvl>
    <w:lvl w:ilvl="3" w:tplc="041D0001">
      <w:start w:val="1"/>
      <w:numFmt w:val="bullet"/>
      <w:suff w:val="tab"/>
      <w:lvlText w:val=""/>
      <w:lvlJc w:val="left"/>
      <w:pPr>
        <w:ind w:hanging="360" w:left="2880"/>
        <w:tabs>
          <w:tab w:val="num" w:pos="2880" w:leader="none"/>
        </w:tabs>
      </w:pPr>
      <w:rPr>
        <w:rFonts w:ascii="Symbol" w:hAnsi="Symbol" w:hint="default"/>
      </w:rPr>
    </w:lvl>
    <w:lvl w:ilvl="4" w:tplc="041D0003">
      <w:start w:val="1"/>
      <w:numFmt w:val="bullet"/>
      <w:suff w:val="tab"/>
      <w:lvlText w:val="o"/>
      <w:lvlJc w:val="left"/>
      <w:pPr>
        <w:ind w:hanging="360" w:left="3600"/>
        <w:tabs>
          <w:tab w:val="num" w:pos="3600" w:leader="none"/>
        </w:tabs>
      </w:pPr>
      <w:rPr>
        <w:rFonts w:ascii="Courier New" w:hAnsi="Courier New" w:cs="Courier New" w:hint="default"/>
      </w:rPr>
    </w:lvl>
    <w:lvl w:ilvl="5" w:tplc="041D0005">
      <w:start w:val="1"/>
      <w:numFmt w:val="bullet"/>
      <w:suff w:val="tab"/>
      <w:lvlText w:val=""/>
      <w:lvlJc w:val="left"/>
      <w:pPr>
        <w:ind w:hanging="360" w:left="4320"/>
        <w:tabs>
          <w:tab w:val="num" w:pos="4320" w:leader="none"/>
        </w:tabs>
      </w:pPr>
      <w:rPr>
        <w:rFonts w:ascii="Wingdings" w:hAnsi="Wingdings" w:hint="default"/>
      </w:rPr>
    </w:lvl>
    <w:lvl w:ilvl="6" w:tplc="041D0001">
      <w:start w:val="1"/>
      <w:numFmt w:val="bullet"/>
      <w:suff w:val="tab"/>
      <w:lvlText w:val=""/>
      <w:lvlJc w:val="left"/>
      <w:pPr>
        <w:ind w:hanging="360" w:left="5040"/>
        <w:tabs>
          <w:tab w:val="num" w:pos="5040" w:leader="none"/>
        </w:tabs>
      </w:pPr>
      <w:rPr>
        <w:rFonts w:ascii="Symbol" w:hAnsi="Symbol" w:hint="default"/>
      </w:rPr>
    </w:lvl>
    <w:lvl w:ilvl="7" w:tplc="041D0003">
      <w:start w:val="1"/>
      <w:numFmt w:val="bullet"/>
      <w:suff w:val="tab"/>
      <w:lvlText w:val="o"/>
      <w:lvlJc w:val="left"/>
      <w:pPr>
        <w:ind w:hanging="360" w:left="5760"/>
        <w:tabs>
          <w:tab w:val="num" w:pos="5760" w:leader="none"/>
        </w:tabs>
      </w:pPr>
      <w:rPr>
        <w:rFonts w:ascii="Courier New" w:hAnsi="Courier New" w:cs="Courier New" w:hint="default"/>
      </w:rPr>
    </w:lvl>
    <w:lvl w:ilvl="8" w:tplc="041D0005">
      <w:start w:val="1"/>
      <w:numFmt w:val="bullet"/>
      <w:suff w:val="tab"/>
      <w:lvlText w:val=""/>
      <w:lvlJc w:val="left"/>
      <w:pPr>
        <w:ind w:hanging="360" w:left="6480"/>
        <w:tabs>
          <w:tab w:val="num" w:pos="6480" w:leader="none"/>
        </w:tabs>
      </w:pPr>
      <w:rPr>
        <w:rFonts w:ascii="Wingdings" w:hAnsi="Wingdings" w:hint="default"/>
      </w:rPr>
    </w:lvl>
  </w:abstractNum>
  <w:abstractNum w:abstractNumId="11">
    <w:nsid w:val="15045E85"/>
    <w:multiLevelType w:val="hybridMultilevel"/>
    <w:lvl w:ilvl="0" w:tplc="CF9E7C7A">
      <w:start w:val="0"/>
      <w:numFmt w:val="bullet"/>
      <w:suff w:val="tab"/>
      <w:lvlText w:val="-"/>
      <w:lvlJc w:val="left"/>
      <w:pPr>
        <w:ind w:hanging="360" w:left="720"/>
      </w:pPr>
      <w:rPr>
        <w:rFonts w:ascii="Garamond" w:hAnsi="Garamond" w:cs="Times New Roman" w:eastAsia="Times New Roman" w:hint="default"/>
      </w:rPr>
    </w:lvl>
    <w:lvl w:ilvl="1" w:tplc="FFFFFFFF">
      <w:start w:val="1"/>
      <w:numFmt w:val="bullet"/>
      <w:suff w:val="tab"/>
      <w:lvlText w:val="o"/>
      <w:lvlJc w:val="left"/>
      <w:pPr>
        <w:ind w:hanging="360" w:left="1440"/>
      </w:pPr>
      <w:rPr>
        <w:rFonts w:ascii="Courier New" w:hAnsi="Courier New" w:cs="Courier New" w:hint="default"/>
      </w:rPr>
    </w:lvl>
    <w:lvl w:ilvl="2" w:tplc="FFFFFFFF">
      <w:start w:val="1"/>
      <w:numFmt w:val="bullet"/>
      <w:suff w:val="tab"/>
      <w:lvlText w:val=""/>
      <w:lvlJc w:val="left"/>
      <w:pPr>
        <w:ind w:hanging="360" w:left="2160"/>
      </w:pPr>
      <w:rPr>
        <w:rFonts w:ascii="Wingdings" w:hAnsi="Wingdings" w:hint="default"/>
      </w:rPr>
    </w:lvl>
    <w:lvl w:ilvl="3" w:tplc="FFFFFFFF">
      <w:start w:val="1"/>
      <w:numFmt w:val="bullet"/>
      <w:suff w:val="tab"/>
      <w:lvlText w:val=""/>
      <w:lvlJc w:val="left"/>
      <w:pPr>
        <w:ind w:hanging="360" w:left="2880"/>
      </w:pPr>
      <w:rPr>
        <w:rFonts w:ascii="Symbol" w:hAnsi="Symbol" w:hint="default"/>
      </w:rPr>
    </w:lvl>
    <w:lvl w:ilvl="4" w:tplc="FFFFFFFF">
      <w:start w:val="1"/>
      <w:numFmt w:val="bullet"/>
      <w:suff w:val="tab"/>
      <w:lvlText w:val="o"/>
      <w:lvlJc w:val="left"/>
      <w:pPr>
        <w:ind w:hanging="360" w:left="3600"/>
      </w:pPr>
      <w:rPr>
        <w:rFonts w:ascii="Courier New" w:hAnsi="Courier New" w:cs="Courier New" w:hint="default"/>
      </w:rPr>
    </w:lvl>
    <w:lvl w:ilvl="5" w:tplc="FFFFFFFF">
      <w:start w:val="1"/>
      <w:numFmt w:val="bullet"/>
      <w:suff w:val="tab"/>
      <w:lvlText w:val=""/>
      <w:lvlJc w:val="left"/>
      <w:pPr>
        <w:ind w:hanging="360" w:left="4320"/>
      </w:pPr>
      <w:rPr>
        <w:rFonts w:ascii="Wingdings" w:hAnsi="Wingdings" w:hint="default"/>
      </w:rPr>
    </w:lvl>
    <w:lvl w:ilvl="6" w:tplc="FFFFFFFF">
      <w:start w:val="1"/>
      <w:numFmt w:val="bullet"/>
      <w:suff w:val="tab"/>
      <w:lvlText w:val=""/>
      <w:lvlJc w:val="left"/>
      <w:pPr>
        <w:ind w:hanging="360" w:left="5040"/>
      </w:pPr>
      <w:rPr>
        <w:rFonts w:ascii="Symbol" w:hAnsi="Symbol" w:hint="default"/>
      </w:rPr>
    </w:lvl>
    <w:lvl w:ilvl="7" w:tplc="FFFFFFFF">
      <w:start w:val="1"/>
      <w:numFmt w:val="bullet"/>
      <w:suff w:val="tab"/>
      <w:lvlText w:val="o"/>
      <w:lvlJc w:val="left"/>
      <w:pPr>
        <w:ind w:hanging="360" w:left="5760"/>
      </w:pPr>
      <w:rPr>
        <w:rFonts w:ascii="Courier New" w:hAnsi="Courier New" w:cs="Courier New" w:hint="default"/>
      </w:rPr>
    </w:lvl>
    <w:lvl w:ilvl="8" w:tplc="FFFFFFFF">
      <w:start w:val="1"/>
      <w:numFmt w:val="bullet"/>
      <w:suff w:val="tab"/>
      <w:lvlText w:val=""/>
      <w:lvlJc w:val="left"/>
      <w:pPr>
        <w:ind w:hanging="360" w:left="6480"/>
      </w:pPr>
      <w:rPr>
        <w:rFonts w:ascii="Wingdings" w:hAnsi="Wingdings" w:hint="default"/>
      </w:rPr>
    </w:lvl>
  </w:abstractNum>
  <w:abstractNum w:abstractNumId="12">
    <w:nsid w:val="158840D2"/>
    <w:multiLevelType w:val="hybridMultilevel"/>
    <w:lvl w:ilvl="0" w:tplc="D33AD372">
      <w:start w:val="1"/>
      <w:numFmt w:val="decimal"/>
      <w:suff w:val="tab"/>
      <w:lvlText w:val="%1."/>
      <w:lvlJc w:val="left"/>
      <w:pPr>
        <w:ind w:hanging="360" w:left="720"/>
      </w:pPr>
      <w:rPr>
        <w:b w:val="0"/>
        <w:i w:val="0"/>
        <w:bCs w:val="0"/>
        <w:iCs w:val="0"/>
        <w:caps w:val="0"/>
        <w:smallCaps w:val="0"/>
        <w:noProof w:val="0"/>
        <w:vanish w:val="0"/>
        <w:u w:val="none"/>
        <w:vertAlign w:val="baseline"/>
        <w:spacing w:val="0"/>
        <w:position w:val="0"/>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13">
    <w:nsid w:val="16BC58C3"/>
    <w:multiLevelType w:val="hybridMultilevel"/>
    <w:lvl w:ilvl="0" w:tplc="79C63E36">
      <w:start w:val="1"/>
      <w:numFmt w:val="decimal"/>
      <w:suff w:val="tab"/>
      <w:lvlText w:val="%1.1."/>
      <w:lvlJc w:val="left"/>
      <w:pPr>
        <w:ind w:hanging="360" w:left="720"/>
      </w:pPr>
      <w:rPr>
        <w:rFonts w:hint="default"/>
        <w:b w:val="0"/>
        <w:i w:val="0"/>
        <w:bCs w:val="0"/>
        <w:iCs w:val="0"/>
        <w:caps w:val="0"/>
        <w:smallCaps w:val="0"/>
        <w:noProof w:val="0"/>
        <w:vanish w:val="0"/>
        <w:u w:val="none"/>
        <w:vertAlign w:val="baseline"/>
        <w:spacing w:val="0"/>
        <w:position w:val="0"/>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14">
    <w:nsid w:val="1E945727"/>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5">
    <w:nsid w:val="21ED3862"/>
    <w:multiLevelType w:val="hybridMultilevel"/>
    <w:lvl w:ilvl="0" w:tplc="9544D9E2">
      <w:start w:val="1"/>
      <w:numFmt w:val="decimal"/>
      <w:suff w:val="tab"/>
      <w:lvlText w:val="%1."/>
      <w:lvlJc w:val="left"/>
      <w:pPr>
        <w:ind w:hanging="360" w:left="720"/>
      </w:pPr>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16">
    <w:nsid w:val="36F215FA"/>
    <w:multiLevelType w:val="hybridMultilevel"/>
    <w:lvl w:ilvl="0" w:tplc="041D000F">
      <w:start w:val="1"/>
      <w:numFmt w:val="decimal"/>
      <w:suff w:val="tab"/>
      <w:lvlText w:val="%1."/>
      <w:lvlJc w:val="left"/>
      <w:pPr>
        <w:ind w:hanging="360" w:left="720"/>
      </w:pPr>
      <w:rPr>
        <w:rFonts w:hint="default"/>
        <w:b w:val="0"/>
        <w:i w:val="0"/>
        <w:bCs w:val="0"/>
        <w:iCs w:val="0"/>
        <w:caps w:val="0"/>
        <w:smallCaps w:val="0"/>
        <w:noProof w:val="0"/>
        <w:vanish w:val="0"/>
        <w:u w:val="none"/>
        <w:vertAlign w:val="baseline"/>
        <w:spacing w:val="0"/>
        <w:position w:val="0"/>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17">
    <w:nsid w:val="37783229"/>
    <w:multiLevelType w:val="hybridMultilevel"/>
    <w:lvl w:ilvl="0" w:tplc="041D0017">
      <w:start w:val="1"/>
      <w:numFmt w:val="lowerLetter"/>
      <w:suff w:val="tab"/>
      <w:lvlText w:val="%1)"/>
      <w:lvlJc w:val="left"/>
      <w:pPr>
        <w:ind w:hanging="360" w:left="720"/>
      </w:pPr>
      <w:rPr>
        <w:rFonts w:hint="default"/>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18">
    <w:nsid w:val="39344E66"/>
    <w:multiLevelType w:val="hybridMultilevel"/>
    <w:lvl w:ilvl="0" w:tplc="CF9E7C7A">
      <w:start w:val="0"/>
      <w:numFmt w:val="bullet"/>
      <w:suff w:val="tab"/>
      <w:lvlText w:val="-"/>
      <w:lvlJc w:val="left"/>
      <w:pPr>
        <w:ind w:hanging="360" w:left="720"/>
      </w:pPr>
      <w:rPr>
        <w:rFonts w:ascii="Garamond" w:hAnsi="Garamond"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9">
    <w:nsid w:val="3A6445BF"/>
    <w:multiLevelType w:val="multilevel"/>
    <w:tmpl w:val="0409001D"/>
    <w:styleLink w:val="N1"/>
    <w:lvl w:ilvl="0">
      <w:start w:val="1"/>
      <w:numFmt w:val="bullet"/>
      <w:suff w:val="tab"/>
      <w:lvlText w:val=""/>
      <w:lvlJc w:val="left"/>
      <w:pPr>
        <w:ind w:hanging="360" w:left="360"/>
      </w:pPr>
      <w:rPr>
        <w:rFonts w:ascii="Symbol" w:hAnsi="Symbol" w:hint="default"/>
        <w:sz w:val="24"/>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20">
    <w:nsid w:val="3C5F3CDD"/>
    <w:multiLevelType w:val="hybridMultilevel"/>
    <w:lvl w:ilvl="0" w:tplc="EFEE085E">
      <w:start w:val="1"/>
      <w:numFmt w:val="decimal"/>
      <w:suff w:val="tab"/>
      <w:lvlText w:val="%1."/>
      <w:lvlJc w:val="left"/>
      <w:pPr>
        <w:ind w:hanging="360" w:left="720"/>
      </w:pPr>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21">
    <w:nsid w:val="484964D3"/>
    <w:multiLevelType w:val="hybridMultilevel"/>
    <w:lvl w:ilvl="0" w:tplc="8D3EE6D0">
      <w:start w:val="1"/>
      <w:numFmt w:val="decimal"/>
      <w:suff w:val="tab"/>
      <w:lvlText w:val="%1."/>
      <w:lvlJc w:val="left"/>
      <w:pPr>
        <w:ind w:hanging="360" w:left="720"/>
      </w:pPr>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22">
    <w:nsid w:val="4BB51638"/>
    <w:multiLevelType w:val="multilevel"/>
    <w:lvl w:ilvl="0">
      <w:start w:val="1"/>
      <w:numFmt w:val="decimal"/>
      <w:pStyle w:val="P100"/>
      <w:suff w:val="tab"/>
      <w:lvlText w:val="%1"/>
      <w:lvlJc w:val="left"/>
      <w:pPr>
        <w:ind w:hanging="432" w:left="432"/>
      </w:pPr>
      <w:rPr>
        <w:rFonts w:hint="default"/>
      </w:rPr>
    </w:lvl>
    <w:lvl w:ilvl="1">
      <w:start w:val="1"/>
      <w:numFmt w:val="decimal"/>
      <w:pStyle w:val="P101"/>
      <w:suff w:val="space"/>
      <w:lvlText w:val="%1.%2"/>
      <w:lvlJc w:val="left"/>
      <w:pPr>
        <w:ind w:hanging="463" w:left="576"/>
      </w:pPr>
      <w:rPr>
        <w:rFonts w:hint="default"/>
      </w:rPr>
    </w:lvl>
    <w:lvl w:ilvl="2">
      <w:start w:val="1"/>
      <w:numFmt w:val="decimal"/>
      <w:pStyle w:val="P102"/>
      <w:suff w:val="space"/>
      <w:lvlText w:val="%1.%2.%3"/>
      <w:lvlJc w:val="left"/>
      <w:pPr>
        <w:ind w:hanging="38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23">
    <w:nsid w:val="57E66DE0"/>
    <w:multiLevelType w:val="multilevel"/>
    <w:lvl w:ilvl="0">
      <w:start w:val="1"/>
      <w:numFmt w:val="decimal"/>
      <w:pStyle w:val="P1"/>
      <w:suff w:val="tab"/>
      <w:lvlText w:val="%1"/>
      <w:lvlJc w:val="left"/>
      <w:pPr>
        <w:ind w:hanging="432" w:left="432"/>
      </w:pPr>
      <w:rPr/>
    </w:lvl>
    <w:lvl w:ilvl="1">
      <w:start w:val="1"/>
      <w:numFmt w:val="decimal"/>
      <w:pStyle w:val="P2"/>
      <w:suff w:val="tab"/>
      <w:lvlText w:val="%1.%2"/>
      <w:lvlJc w:val="left"/>
      <w:pPr>
        <w:ind w:hanging="576" w:left="576"/>
      </w:pPr>
      <w:rPr/>
    </w:lvl>
    <w:lvl w:ilvl="2">
      <w:start w:val="1"/>
      <w:numFmt w:val="decimal"/>
      <w:pStyle w:val="P3"/>
      <w:suff w:val="tab"/>
      <w:lvlText w:val="%1.%2.%3"/>
      <w:lvlJc w:val="left"/>
      <w:pPr>
        <w:ind w:hanging="720" w:left="720"/>
      </w:pPr>
      <w:rPr/>
    </w:lvl>
    <w:lvl w:ilvl="3">
      <w:start w:val="1"/>
      <w:numFmt w:val="decimal"/>
      <w:pStyle w:val="P4"/>
      <w:suff w:val="tab"/>
      <w:lvlText w:val="%1.%2.%3.%4"/>
      <w:lvlJc w:val="left"/>
      <w:pPr>
        <w:ind w:hanging="864" w:left="864"/>
      </w:pPr>
      <w:rPr/>
    </w:lvl>
    <w:lvl w:ilvl="4">
      <w:start w:val="1"/>
      <w:numFmt w:val="decimal"/>
      <w:pStyle w:val="P5"/>
      <w:suff w:val="tab"/>
      <w:lvlText w:val="%1.%2.%3.%4.%5"/>
      <w:lvlJc w:val="left"/>
      <w:pPr>
        <w:ind w:hanging="1008" w:left="1008"/>
      </w:pPr>
      <w:rPr/>
    </w:lvl>
    <w:lvl w:ilvl="5">
      <w:start w:val="1"/>
      <w:numFmt w:val="decimal"/>
      <w:pStyle w:val="P6"/>
      <w:suff w:val="tab"/>
      <w:lvlText w:val="%1.%2.%3.%4.%5.%6"/>
      <w:lvlJc w:val="left"/>
      <w:pPr>
        <w:ind w:hanging="1152" w:left="1152"/>
      </w:pPr>
      <w:rPr/>
    </w:lvl>
    <w:lvl w:ilvl="6">
      <w:start w:val="1"/>
      <w:numFmt w:val="decimal"/>
      <w:pStyle w:val="P7"/>
      <w:suff w:val="tab"/>
      <w:lvlText w:val="%1.%2.%3.%4.%5.%6.%7"/>
      <w:lvlJc w:val="left"/>
      <w:pPr>
        <w:ind w:hanging="1296" w:left="1296"/>
      </w:pPr>
      <w:rPr/>
    </w:lvl>
    <w:lvl w:ilvl="7">
      <w:start w:val="1"/>
      <w:numFmt w:val="decimal"/>
      <w:pStyle w:val="P8"/>
      <w:suff w:val="tab"/>
      <w:lvlText w:val="%1.%2.%3.%4.%5.%6.%7.%8"/>
      <w:lvlJc w:val="left"/>
      <w:pPr>
        <w:ind w:hanging="1440" w:left="1440"/>
      </w:pPr>
      <w:rPr/>
    </w:lvl>
    <w:lvl w:ilvl="8">
      <w:start w:val="1"/>
      <w:numFmt w:val="decimal"/>
      <w:pStyle w:val="P9"/>
      <w:suff w:val="tab"/>
      <w:lvlText w:val="%1.%2.%3.%4.%5.%6.%7.%8.%9"/>
      <w:lvlJc w:val="left"/>
      <w:pPr>
        <w:ind w:hanging="1584" w:left="1584"/>
      </w:pPr>
      <w:rPr/>
    </w:lvl>
  </w:abstractNum>
  <w:abstractNum w:abstractNumId="24">
    <w:nsid w:val="6D621169"/>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5">
    <w:nsid w:val="715059CD"/>
    <w:multiLevelType w:val="multilevel"/>
    <w:tmpl w:val="0409001D"/>
    <w:numStyleLink w:val="N1"/>
  </w:abstractNum>
  <w:abstractNum w:abstractNumId="26">
    <w:nsid w:val="7427504E"/>
    <w:multiLevelType w:val="multilevel"/>
    <w:lvl w:ilvl="0">
      <w:start w:val="1"/>
      <w:numFmt w:val="decimal"/>
      <w:suff w:val="tab"/>
      <w:lvlText w:val="%1."/>
      <w:lvlJc w:val="left"/>
      <w:pPr>
        <w:ind w:hanging="360" w:left="360"/>
      </w:pPr>
      <w:rPr/>
    </w:lvl>
    <w:lvl w:ilvl="1">
      <w:start w:val="1"/>
      <w:numFmt w:val="decimal"/>
      <w:suff w:val="tab"/>
      <w:lvlText w:val="%1.%2."/>
      <w:lvlJc w:val="left"/>
      <w:pPr>
        <w:ind w:hanging="432" w:left="792"/>
      </w:pPr>
      <w:rPr/>
    </w:lvl>
    <w:lvl w:ilvl="2">
      <w:start w:val="1"/>
      <w:numFmt w:val="decimal"/>
      <w:suff w:val="tab"/>
      <w:lvlText w:val="%1.%2.%3."/>
      <w:lvlJc w:val="left"/>
      <w:pPr>
        <w:ind w:hanging="504" w:left="1224"/>
      </w:pPr>
      <w:rPr/>
    </w:lvl>
    <w:lvl w:ilvl="3">
      <w:start w:val="1"/>
      <w:numFmt w:val="decimal"/>
      <w:suff w:val="tab"/>
      <w:lvlText w:val="%1.%2.%3.%4."/>
      <w:lvlJc w:val="left"/>
      <w:pPr>
        <w:ind w:hanging="648" w:left="1728"/>
      </w:pPr>
      <w:rPr/>
    </w:lvl>
    <w:lvl w:ilvl="4">
      <w:start w:val="1"/>
      <w:numFmt w:val="decimal"/>
      <w:suff w:val="tab"/>
      <w:lvlText w:val="%1.%2.%3.%4.%5."/>
      <w:lvlJc w:val="left"/>
      <w:pPr>
        <w:ind w:hanging="792" w:left="2232"/>
      </w:pPr>
      <w:rPr/>
    </w:lvl>
    <w:lvl w:ilvl="5">
      <w:start w:val="1"/>
      <w:numFmt w:val="decimal"/>
      <w:suff w:val="tab"/>
      <w:lvlText w:val="%1.%2.%3.%4.%5.%6."/>
      <w:lvlJc w:val="left"/>
      <w:pPr>
        <w:ind w:hanging="936" w:left="2736"/>
      </w:pPr>
      <w:rPr/>
    </w:lvl>
    <w:lvl w:ilvl="6">
      <w:start w:val="1"/>
      <w:numFmt w:val="decimal"/>
      <w:suff w:val="tab"/>
      <w:lvlText w:val="%1.%2.%3.%4.%5.%6.%7."/>
      <w:lvlJc w:val="left"/>
      <w:pPr>
        <w:ind w:hanging="1080" w:left="3240"/>
      </w:pPr>
      <w:rPr/>
    </w:lvl>
    <w:lvl w:ilvl="7">
      <w:start w:val="1"/>
      <w:numFmt w:val="decimal"/>
      <w:suff w:val="tab"/>
      <w:lvlText w:val="%1.%2.%3.%4.%5.%6.%7.%8."/>
      <w:lvlJc w:val="left"/>
      <w:pPr>
        <w:ind w:hanging="1224" w:left="3744"/>
      </w:pPr>
      <w:rPr/>
    </w:lvl>
    <w:lvl w:ilvl="8">
      <w:start w:val="1"/>
      <w:numFmt w:val="decimal"/>
      <w:suff w:val="tab"/>
      <w:lvlText w:val="%1.%2.%3.%4.%5.%6.%7.%8.%9."/>
      <w:lvlJc w:val="left"/>
      <w:pPr>
        <w:ind w:hanging="1440" w:left="4320"/>
      </w:pPr>
      <w:rPr/>
    </w:lvl>
  </w:abstractNum>
  <w:abstractNum w:abstractNumId="27">
    <w:nsid w:val="76945CBD"/>
    <w:multiLevelType w:val="multilevel"/>
    <w:lvl w:ilvl="0">
      <w:start w:val="1"/>
      <w:numFmt w:val="decimal"/>
      <w:suff w:val="tab"/>
      <w:lvlText w:val="%1"/>
      <w:lvlJc w:val="left"/>
      <w:pPr>
        <w:ind w:hanging="432" w:left="432"/>
      </w:pPr>
      <w:rPr/>
    </w:lvl>
    <w:lvl w:ilvl="1">
      <w:start w:val="1"/>
      <w:numFmt w:val="decimal"/>
      <w:suff w:val="tab"/>
      <w:lvlText w:val="%1.%2"/>
      <w:lvlJc w:val="left"/>
      <w:pPr>
        <w:ind w:hanging="576" w:left="576"/>
      </w:pPr>
      <w:rPr/>
    </w:lvl>
    <w:lvl w:ilvl="2">
      <w:start w:val="1"/>
      <w:numFmt w:val="decimal"/>
      <w:suff w:val="tab"/>
      <w:lvlText w:val="%1.%2.%3"/>
      <w:lvlJc w:val="left"/>
      <w:pPr>
        <w:ind w:hanging="720" w:left="720"/>
      </w:pPr>
      <w:rPr/>
    </w:lvl>
    <w:lvl w:ilvl="3">
      <w:start w:val="1"/>
      <w:numFmt w:val="decimal"/>
      <w:suff w:val="tab"/>
      <w:lvlText w:val="%1.%2.%3.%4"/>
      <w:lvlJc w:val="left"/>
      <w:pPr>
        <w:ind w:hanging="864" w:left="864"/>
      </w:pPr>
      <w:rPr/>
    </w:lvl>
    <w:lvl w:ilvl="4">
      <w:start w:val="1"/>
      <w:numFmt w:val="decimal"/>
      <w:suff w:val="tab"/>
      <w:lvlText w:val="%1.%2.%3.%4.%5"/>
      <w:lvlJc w:val="left"/>
      <w:pPr>
        <w:ind w:hanging="1008" w:left="1008"/>
      </w:pPr>
      <w:rPr/>
    </w:lvl>
    <w:lvl w:ilvl="5">
      <w:start w:val="1"/>
      <w:numFmt w:val="decimal"/>
      <w:suff w:val="tab"/>
      <w:lvlText w:val="%1.%2.%3.%4.%5.%6"/>
      <w:lvlJc w:val="left"/>
      <w:pPr>
        <w:ind w:hanging="1152" w:left="1152"/>
      </w:pPr>
      <w:rPr/>
    </w:lvl>
    <w:lvl w:ilvl="6">
      <w:start w:val="1"/>
      <w:numFmt w:val="decimal"/>
      <w:suff w:val="tab"/>
      <w:lvlText w:val="%1.%2.%3.%4.%5.%6.%7"/>
      <w:lvlJc w:val="left"/>
      <w:pPr>
        <w:ind w:hanging="1296" w:left="1296"/>
      </w:pPr>
      <w:rPr/>
    </w:lvl>
    <w:lvl w:ilvl="7">
      <w:start w:val="1"/>
      <w:numFmt w:val="decimal"/>
      <w:suff w:val="tab"/>
      <w:lvlText w:val="%1.%2.%3.%4.%5.%6.%7.%8"/>
      <w:lvlJc w:val="left"/>
      <w:pPr>
        <w:ind w:hanging="1440" w:left="1440"/>
      </w:pPr>
      <w:rPr/>
    </w:lvl>
    <w:lvl w:ilvl="8">
      <w:start w:val="1"/>
      <w:numFmt w:val="decimal"/>
      <w:suff w:val="tab"/>
      <w:lvlText w:val="%1.%2.%3.%4.%5.%6.%7.%8.%9"/>
      <w:lvlJc w:val="left"/>
      <w:pPr>
        <w:ind w:hanging="1584" w:left="1584"/>
      </w:pPr>
      <w:rPr/>
    </w:lvl>
  </w:abstractNum>
  <w:abstractNum w:abstractNumId="28">
    <w:nsid w:val="7CC27D76"/>
    <w:multiLevelType w:val="hybridMultilevel"/>
    <w:lvl w:ilvl="0" w:tplc="041D0001">
      <w:start w:val="1"/>
      <w:numFmt w:val="bullet"/>
      <w:suff w:val="tab"/>
      <w:lvlText w:val=""/>
      <w:lvlJc w:val="left"/>
      <w:pPr>
        <w:ind w:hanging="360" w:left="720"/>
      </w:pPr>
      <w:rPr>
        <w:rFonts w:ascii="Symbol" w:hAnsi="Symbol" w:hint="default"/>
      </w:rPr>
    </w:lvl>
    <w:lvl w:ilvl="1" w:tplc="FFFFFFFF">
      <w:start w:val="1"/>
      <w:numFmt w:val="bullet"/>
      <w:suff w:val="tab"/>
      <w:lvlText w:val="o"/>
      <w:lvlJc w:val="left"/>
      <w:pPr>
        <w:ind w:hanging="360" w:left="1440"/>
      </w:pPr>
      <w:rPr>
        <w:rFonts w:ascii="Courier New" w:hAnsi="Courier New" w:cs="Courier New" w:hint="default"/>
      </w:rPr>
    </w:lvl>
    <w:lvl w:ilvl="2" w:tplc="FFFFFFFF">
      <w:start w:val="1"/>
      <w:numFmt w:val="bullet"/>
      <w:suff w:val="tab"/>
      <w:lvlText w:val=""/>
      <w:lvlJc w:val="left"/>
      <w:pPr>
        <w:ind w:hanging="360" w:left="2160"/>
      </w:pPr>
      <w:rPr>
        <w:rFonts w:ascii="Wingdings" w:hAnsi="Wingdings" w:hint="default"/>
      </w:rPr>
    </w:lvl>
    <w:lvl w:ilvl="3" w:tplc="FFFFFFFF">
      <w:start w:val="1"/>
      <w:numFmt w:val="bullet"/>
      <w:suff w:val="tab"/>
      <w:lvlText w:val=""/>
      <w:lvlJc w:val="left"/>
      <w:pPr>
        <w:ind w:hanging="360" w:left="2880"/>
      </w:pPr>
      <w:rPr>
        <w:rFonts w:ascii="Symbol" w:hAnsi="Symbol" w:hint="default"/>
      </w:rPr>
    </w:lvl>
    <w:lvl w:ilvl="4" w:tplc="FFFFFFFF">
      <w:start w:val="1"/>
      <w:numFmt w:val="bullet"/>
      <w:suff w:val="tab"/>
      <w:lvlText w:val="o"/>
      <w:lvlJc w:val="left"/>
      <w:pPr>
        <w:ind w:hanging="360" w:left="3600"/>
      </w:pPr>
      <w:rPr>
        <w:rFonts w:ascii="Courier New" w:hAnsi="Courier New" w:cs="Courier New" w:hint="default"/>
      </w:rPr>
    </w:lvl>
    <w:lvl w:ilvl="5" w:tplc="FFFFFFFF">
      <w:start w:val="1"/>
      <w:numFmt w:val="bullet"/>
      <w:suff w:val="tab"/>
      <w:lvlText w:val=""/>
      <w:lvlJc w:val="left"/>
      <w:pPr>
        <w:ind w:hanging="360" w:left="4320"/>
      </w:pPr>
      <w:rPr>
        <w:rFonts w:ascii="Wingdings" w:hAnsi="Wingdings" w:hint="default"/>
      </w:rPr>
    </w:lvl>
    <w:lvl w:ilvl="6" w:tplc="FFFFFFFF">
      <w:start w:val="1"/>
      <w:numFmt w:val="bullet"/>
      <w:suff w:val="tab"/>
      <w:lvlText w:val=""/>
      <w:lvlJc w:val="left"/>
      <w:pPr>
        <w:ind w:hanging="360" w:left="5040"/>
      </w:pPr>
      <w:rPr>
        <w:rFonts w:ascii="Symbol" w:hAnsi="Symbol" w:hint="default"/>
      </w:rPr>
    </w:lvl>
    <w:lvl w:ilvl="7" w:tplc="FFFFFFFF">
      <w:start w:val="1"/>
      <w:numFmt w:val="bullet"/>
      <w:suff w:val="tab"/>
      <w:lvlText w:val="o"/>
      <w:lvlJc w:val="left"/>
      <w:pPr>
        <w:ind w:hanging="360" w:left="5760"/>
      </w:pPr>
      <w:rPr>
        <w:rFonts w:ascii="Courier New" w:hAnsi="Courier New" w:cs="Courier New" w:hint="default"/>
      </w:rPr>
    </w:lvl>
    <w:lvl w:ilvl="8" w:tplc="FFFFFFFF">
      <w:start w:val="1"/>
      <w:numFmt w:val="bullet"/>
      <w:suff w:val="tab"/>
      <w:lvlText w:val=""/>
      <w:lvlJc w:val="left"/>
      <w:pPr>
        <w:ind w:hanging="360" w:left="6480"/>
      </w:pPr>
      <w:rPr>
        <w:rFonts w:ascii="Wingdings" w:hAnsi="Wingdings" w:hint="default"/>
      </w:rPr>
    </w:lvl>
  </w:abstractNum>
  <w:abstractNum w:abstractNumId="29">
    <w:nsid w:val="7E9855C3"/>
    <w:multiLevelType w:val="hybridMultilevel"/>
    <w:lvl w:ilvl="0" w:tplc="140427D4">
      <w:start w:val="1"/>
      <w:numFmt w:val="decimal"/>
      <w:suff w:val="tab"/>
      <w:lvlText w:val="%1."/>
      <w:lvlJc w:val="left"/>
      <w:pPr>
        <w:ind w:hanging="360" w:left="1080"/>
      </w:pPr>
      <w:rPr>
        <w:rFonts w:hint="default"/>
      </w:rPr>
    </w:lvl>
    <w:lvl w:ilvl="1" w:tplc="041D0019">
      <w:start w:val="1"/>
      <w:numFmt w:val="lowerLetter"/>
      <w:suff w:val="tab"/>
      <w:lvlText w:val="%2."/>
      <w:lvlJc w:val="left"/>
      <w:pPr>
        <w:ind w:hanging="360" w:left="1800"/>
      </w:pPr>
      <w:rPr/>
    </w:lvl>
    <w:lvl w:ilvl="2" w:tplc="041D001B">
      <w:start w:val="1"/>
      <w:numFmt w:val="lowerRoman"/>
      <w:suff w:val="tab"/>
      <w:lvlText w:val="%3."/>
      <w:lvlJc w:val="right"/>
      <w:pPr>
        <w:ind w:hanging="180" w:left="2520"/>
      </w:pPr>
      <w:rPr/>
    </w:lvl>
    <w:lvl w:ilvl="3" w:tplc="041D000F">
      <w:start w:val="1"/>
      <w:numFmt w:val="decimal"/>
      <w:suff w:val="tab"/>
      <w:lvlText w:val="%4."/>
      <w:lvlJc w:val="left"/>
      <w:pPr>
        <w:ind w:hanging="360" w:left="3240"/>
      </w:pPr>
      <w:rPr/>
    </w:lvl>
    <w:lvl w:ilvl="4" w:tplc="041D0019">
      <w:start w:val="1"/>
      <w:numFmt w:val="lowerLetter"/>
      <w:suff w:val="tab"/>
      <w:lvlText w:val="%5."/>
      <w:lvlJc w:val="left"/>
      <w:pPr>
        <w:ind w:hanging="360" w:left="3960"/>
      </w:pPr>
      <w:rPr/>
    </w:lvl>
    <w:lvl w:ilvl="5" w:tplc="041D001B">
      <w:start w:val="1"/>
      <w:numFmt w:val="lowerRoman"/>
      <w:suff w:val="tab"/>
      <w:lvlText w:val="%6."/>
      <w:lvlJc w:val="right"/>
      <w:pPr>
        <w:ind w:hanging="180" w:left="4680"/>
      </w:pPr>
      <w:rPr/>
    </w:lvl>
    <w:lvl w:ilvl="6" w:tplc="041D000F">
      <w:start w:val="1"/>
      <w:numFmt w:val="decimal"/>
      <w:suff w:val="tab"/>
      <w:lvlText w:val="%7."/>
      <w:lvlJc w:val="left"/>
      <w:pPr>
        <w:ind w:hanging="360" w:left="5400"/>
      </w:pPr>
      <w:rPr/>
    </w:lvl>
    <w:lvl w:ilvl="7" w:tplc="041D0019">
      <w:start w:val="1"/>
      <w:numFmt w:val="lowerLetter"/>
      <w:suff w:val="tab"/>
      <w:lvlText w:val="%8."/>
      <w:lvlJc w:val="left"/>
      <w:pPr>
        <w:ind w:hanging="360" w:left="6120"/>
      </w:pPr>
      <w:rPr/>
    </w:lvl>
    <w:lvl w:ilvl="8" w:tplc="041D001B">
      <w:start w:val="1"/>
      <w:numFmt w:val="lowerRoman"/>
      <w:suff w:val="tab"/>
      <w:lvlText w:val="%9."/>
      <w:lvlJc w:val="right"/>
      <w:pPr>
        <w:ind w:hanging="180" w:left="6840"/>
      </w:pPr>
      <w:rPr/>
    </w:lvl>
  </w:abstractNum>
  <w:abstractNum w:abstractNumId="30">
    <w:nsid w:val="7F8443F3"/>
    <w:multiLevelType w:val="multilevel"/>
    <w:lvl w:ilvl="0">
      <w:start w:val="1"/>
      <w:numFmt w:val="decimal"/>
      <w:suff w:val="tab"/>
      <w:lvlText w:val="%1."/>
      <w:lvlJc w:val="left"/>
      <w:pPr>
        <w:ind w:hanging="360" w:left="720"/>
      </w:pPr>
      <w:rPr/>
    </w:lvl>
    <w:lvl w:ilvl="1">
      <w:start w:val="1"/>
      <w:numFmt w:val="lowerLetter"/>
      <w:suff w:val="tab"/>
      <w:lvlText w:val="%2."/>
      <w:lvlJc w:val="left"/>
      <w:pPr>
        <w:ind w:hanging="360" w:left="1440"/>
      </w:pPr>
      <w:rPr/>
    </w:lvl>
    <w:lvl w:ilvl="2">
      <w:start w:val="1"/>
      <w:numFmt w:val="lowerRoman"/>
      <w:suff w:val="tab"/>
      <w:lvlText w:val="%3."/>
      <w:lvlJc w:val="right"/>
      <w:pPr>
        <w:ind w:hanging="180" w:left="2160"/>
      </w:pPr>
      <w:rPr/>
    </w:lvl>
    <w:lvl w:ilvl="3">
      <w:start w:val="1"/>
      <w:numFmt w:val="decimal"/>
      <w:suff w:val="tab"/>
      <w:lvlText w:val="%4."/>
      <w:lvlJc w:val="left"/>
      <w:pPr>
        <w:ind w:hanging="360" w:left="2880"/>
      </w:pPr>
      <w:rPr/>
    </w:lvl>
    <w:lvl w:ilvl="4">
      <w:start w:val="1"/>
      <w:numFmt w:val="lowerLetter"/>
      <w:suff w:val="tab"/>
      <w:lvlText w:val="%5."/>
      <w:lvlJc w:val="left"/>
      <w:pPr>
        <w:ind w:hanging="360" w:left="3600"/>
      </w:pPr>
      <w:rPr/>
    </w:lvl>
    <w:lvl w:ilvl="5">
      <w:start w:val="1"/>
      <w:numFmt w:val="lowerRoman"/>
      <w:suff w:val="tab"/>
      <w:lvlText w:val="%6."/>
      <w:lvlJc w:val="right"/>
      <w:pPr>
        <w:ind w:hanging="180" w:left="4320"/>
      </w:pPr>
      <w:rPr/>
    </w:lvl>
    <w:lvl w:ilvl="6">
      <w:start w:val="1"/>
      <w:numFmt w:val="decimal"/>
      <w:suff w:val="tab"/>
      <w:lvlText w:val="%7."/>
      <w:lvlJc w:val="left"/>
      <w:pPr>
        <w:ind w:hanging="360" w:left="5040"/>
      </w:pPr>
      <w:rPr/>
    </w:lvl>
    <w:lvl w:ilvl="7">
      <w:start w:val="1"/>
      <w:numFmt w:val="lowerLetter"/>
      <w:suff w:val="tab"/>
      <w:lvlText w:val="%8."/>
      <w:lvlJc w:val="left"/>
      <w:pPr>
        <w:ind w:hanging="360" w:left="5760"/>
      </w:pPr>
      <w:rPr/>
    </w:lvl>
    <w:lvl w:ilvl="8">
      <w:start w:val="1"/>
      <w:numFmt w:val="lowerRoman"/>
      <w:suff w:val="tab"/>
      <w:lvlText w:val="%9."/>
      <w:lvlJc w:val="right"/>
      <w:pPr>
        <w:ind w:hanging="180" w:left="6480"/>
      </w:pPr>
      <w:rPr/>
    </w:lvl>
  </w:abstractNum>
  <w:num w:numId="1">
    <w:abstractNumId w:val="24"/>
  </w:num>
  <w:num w:numId="2">
    <w:abstractNumId w:val="19"/>
  </w:num>
  <w:num w:numId="3">
    <w:abstractNumId w:val="25"/>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8"/>
  </w:num>
  <w:num w:numId="15">
    <w:abstractNumId w:val="10"/>
  </w:num>
  <w:num w:numId="16">
    <w:abstractNumId w:val="12"/>
  </w:num>
  <w:num w:numId="17">
    <w:abstractNumId w:val="21"/>
  </w:num>
  <w:num w:numId="18">
    <w:abstractNumId w:val="12"/>
  </w:num>
  <w:num w:numId="19">
    <w:abstractNumId w:val="12"/>
  </w:num>
  <w:num w:numId="20">
    <w:abstractNumId w:val="12"/>
    <w:lvlOverride w:ilvl="0">
      <w:startOverride w:val="1"/>
    </w:lvlOverride>
  </w:num>
  <w:num w:numId="21">
    <w:abstractNumId w:val="15"/>
  </w:num>
  <w:num w:numId="22">
    <w:abstractNumId w:val="12"/>
    <w:lvlOverride w:ilvl="0">
      <w:startOverride w:val="1"/>
    </w:lvlOverride>
  </w:num>
  <w:num w:numId="23">
    <w:abstractNumId w:val="12"/>
    <w:lvlOverride w:ilvl="0">
      <w:startOverride w:val="1"/>
    </w:lvlOverride>
  </w:num>
  <w:num w:numId="24">
    <w:abstractNumId w:val="20"/>
  </w:num>
  <w:num w:numId="25">
    <w:abstractNumId w:val="30"/>
  </w:num>
  <w:num w:numId="26">
    <w:abstractNumId w:val="13"/>
  </w:num>
  <w:num w:numId="27">
    <w:abstractNumId w:val="16"/>
  </w:num>
  <w:num w:numId="28">
    <w:abstractNumId w:val="22"/>
  </w:num>
  <w:num w:numId="29">
    <w:abstractNumId w:val="26"/>
  </w:num>
  <w:num w:numId="30">
    <w:abstractNumId w:val="27"/>
  </w:num>
  <w:num w:numId="31">
    <w:abstractNumId w:val="23"/>
  </w:num>
  <w:num w:numId="32">
    <w:abstractNumId w:val="23"/>
  </w:num>
  <w:num w:numId="33">
    <w:abstractNumId w:val="23"/>
  </w:num>
  <w:num w:numId="34">
    <w:abstractNumId w:val="23"/>
  </w:num>
  <w:num w:numId="35">
    <w:abstractNumId w:val="23"/>
  </w:num>
  <w:num w:numId="36">
    <w:abstractNumId w:val="23"/>
  </w:num>
  <w:num w:numId="37">
    <w:abstractNumId w:val="23"/>
  </w:num>
  <w:num w:numId="38">
    <w:abstractNumId w:val="17"/>
  </w:num>
  <w:num w:numId="39">
    <w:abstractNumId w:val="29"/>
  </w:num>
  <w:num w:numId="40">
    <w:abstractNumId w:val="23"/>
  </w:num>
  <w:num w:numId="41">
    <w:abstractNumId w:val="23"/>
  </w:num>
  <w:num w:numId="42">
    <w:abstractNumId w:val="14"/>
  </w:num>
  <w:num w:numId="43">
    <w:abstractNumId w:val="28"/>
  </w:num>
  <w:num w:numId="44">
    <w:abstractNumId w:val="11"/>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lang w:val="sv-SE" w:bidi="ar-SA" w:eastAsia="en-US"/>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aliases w:val="Brödtexter"/>
    <w:qFormat/>
    <w:pPr>
      <w:spacing w:lineRule="exact" w:line="300" w:beforeAutospacing="0" w:afterAutospacing="0"/>
    </w:pPr>
    <w:rPr>
      <w:rFonts w:ascii="Garamond" w:hAnsi="Garamond"/>
      <w:sz w:val="24"/>
    </w:rPr>
  </w:style>
  <w:style w:type="paragraph" w:styleId="P1">
    <w:name w:val="Heading 1"/>
    <w:next w:val="P2"/>
    <w:link w:val="C3"/>
    <w:qFormat/>
    <w:pPr>
      <w:keepNext w:val="1"/>
      <w:keepLines w:val="1"/>
      <w:numPr>
        <w:numId w:val="31"/>
      </w:numPr>
      <w:spacing w:before="40" w:after="240" w:beforeAutospacing="0" w:afterAutospacing="0"/>
      <w:outlineLvl w:val="0"/>
    </w:pPr>
    <w:rPr>
      <w:rFonts w:ascii="Barlow Semi Condensed SemiBold" w:hAnsi="Barlow Semi Condensed SemiBold" w:cstheme="majorBidi" w:eastAsia="Arial"/>
      <w:caps w:val="1"/>
      <w:noProof w:val="1"/>
      <w:sz w:val="36"/>
      <w:szCs w:val="32"/>
      <w:lang w:eastAsia="sv-SE"/>
    </w:rPr>
  </w:style>
  <w:style w:type="paragraph" w:styleId="P2">
    <w:name w:val="Heading 2"/>
    <w:basedOn w:val="P0"/>
    <w:next w:val="P3"/>
    <w:link w:val="C4"/>
    <w:qFormat/>
    <w:pPr>
      <w:keepNext w:val="1"/>
      <w:keepLines w:val="1"/>
      <w:numPr>
        <w:ilvl w:val="1"/>
        <w:numId w:val="31"/>
      </w:numPr>
      <w:spacing w:lineRule="auto" w:line="240" w:before="40" w:after="80" w:beforeAutospacing="0" w:afterAutospacing="0"/>
      <w:outlineLvl w:val="1"/>
    </w:pPr>
    <w:rPr>
      <w:rFonts w:asciiTheme="majorHAnsi" w:hAnsiTheme="majorHAnsi" w:cstheme="majorBidi" w:eastAsia="Arial"/>
      <w:caps w:val="1"/>
      <w:noProof w:val="1"/>
      <w:sz w:val="28"/>
      <w:szCs w:val="28"/>
      <w:lang w:eastAsia="sv-SE"/>
    </w:rPr>
  </w:style>
  <w:style w:type="paragraph" w:styleId="P3">
    <w:name w:val="Heading 3"/>
    <w:basedOn w:val="P0"/>
    <w:next w:val="P4"/>
    <w:link w:val="C5"/>
    <w:qFormat/>
    <w:pPr>
      <w:keepNext w:val="1"/>
      <w:keepLines w:val="1"/>
      <w:numPr>
        <w:ilvl w:val="2"/>
        <w:numId w:val="31"/>
      </w:numPr>
      <w:spacing w:lineRule="auto" w:line="240" w:before="40" w:after="80" w:beforeAutospacing="0" w:afterAutospacing="0"/>
      <w:outlineLvl w:val="2"/>
    </w:pPr>
    <w:rPr>
      <w:rFonts w:ascii="Barlow Semi Condensed SemiBold" w:hAnsi="Barlow Semi Condensed SemiBold" w:cstheme="majorBidi" w:eastAsia="Arial"/>
      <w:caps w:val="1"/>
      <w:noProof w:val="1"/>
      <w:szCs w:val="24"/>
      <w:lang w:eastAsia="sv-SE"/>
    </w:rPr>
  </w:style>
  <w:style w:type="paragraph" w:styleId="P4">
    <w:name w:val="Heading 4"/>
    <w:basedOn w:val="P0"/>
    <w:next w:val="P0"/>
    <w:link w:val="C6"/>
    <w:qFormat/>
    <w:pPr>
      <w:keepNext w:val="1"/>
      <w:keepLines w:val="1"/>
      <w:numPr>
        <w:ilvl w:val="3"/>
        <w:numId w:val="31"/>
      </w:numPr>
      <w:spacing w:before="40" w:after="80" w:beforeAutospacing="0" w:afterAutospacing="0"/>
      <w:outlineLvl w:val="3"/>
    </w:pPr>
    <w:rPr>
      <w:rFonts w:ascii="Barlow Semi Condensed" w:hAnsi="Barlow Semi Condensed" w:cs="Arial" w:eastAsiaTheme="majorEastAsia"/>
      <w:b w:val="1"/>
      <w:iCs w:val="1"/>
      <w:caps w:val="1"/>
      <w:sz w:val="22"/>
    </w:rPr>
  </w:style>
  <w:style w:type="paragraph" w:styleId="P5">
    <w:name w:val="Heading 5"/>
    <w:basedOn w:val="P0"/>
    <w:next w:val="P0"/>
    <w:link w:val="C37"/>
    <w:qFormat/>
    <w:pPr>
      <w:keepNext w:val="1"/>
      <w:keepLines w:val="1"/>
      <w:numPr>
        <w:ilvl w:val="4"/>
        <w:numId w:val="31"/>
      </w:numPr>
      <w:spacing w:before="40" w:beforeAutospacing="0" w:afterAutospacing="0"/>
      <w:outlineLvl w:val="4"/>
    </w:pPr>
    <w:rPr>
      <w:rFonts w:asciiTheme="majorHAnsi" w:hAnsiTheme="majorHAnsi" w:cstheme="majorBidi" w:eastAsiaTheme="majorEastAsia"/>
      <w:color w:val="005F7A" w:themeColor="accent1" w:themeShade="BF"/>
    </w:rPr>
  </w:style>
  <w:style w:type="paragraph" w:styleId="P6">
    <w:name w:val="Heading 6"/>
    <w:basedOn w:val="P0"/>
    <w:next w:val="P0"/>
    <w:link w:val="C38"/>
    <w:semiHidden/>
    <w:qFormat/>
    <w:pPr>
      <w:keepNext w:val="1"/>
      <w:keepLines w:val="1"/>
      <w:numPr>
        <w:ilvl w:val="5"/>
        <w:numId w:val="31"/>
      </w:numPr>
      <w:spacing w:before="40" w:beforeAutospacing="0" w:afterAutospacing="0"/>
      <w:outlineLvl w:val="5"/>
    </w:pPr>
    <w:rPr>
      <w:rFonts w:asciiTheme="majorHAnsi" w:hAnsiTheme="majorHAnsi" w:cstheme="majorBidi" w:eastAsiaTheme="majorEastAsia"/>
      <w:color w:val="003F51" w:themeColor="accent1" w:themeShade="7F"/>
    </w:rPr>
  </w:style>
  <w:style w:type="paragraph" w:styleId="P7">
    <w:name w:val="Heading 7"/>
    <w:basedOn w:val="P0"/>
    <w:next w:val="P0"/>
    <w:link w:val="C39"/>
    <w:semiHidden/>
    <w:qFormat/>
    <w:pPr>
      <w:keepNext w:val="1"/>
      <w:keepLines w:val="1"/>
      <w:numPr>
        <w:ilvl w:val="6"/>
        <w:numId w:val="31"/>
      </w:numPr>
      <w:spacing w:before="40" w:beforeAutospacing="0" w:afterAutospacing="0"/>
      <w:outlineLvl w:val="6"/>
    </w:pPr>
    <w:rPr>
      <w:rFonts w:asciiTheme="majorHAnsi" w:hAnsiTheme="majorHAnsi" w:cstheme="majorBidi" w:eastAsiaTheme="majorEastAsia"/>
      <w:i w:val="1"/>
      <w:iCs w:val="1"/>
      <w:color w:val="003F51" w:themeColor="accent1" w:themeShade="7F"/>
    </w:rPr>
  </w:style>
  <w:style w:type="paragraph" w:styleId="P8">
    <w:name w:val="Heading 8"/>
    <w:basedOn w:val="P0"/>
    <w:next w:val="P0"/>
    <w:link w:val="C40"/>
    <w:semiHidden/>
    <w:qFormat/>
    <w:pPr>
      <w:keepNext w:val="1"/>
      <w:keepLines w:val="1"/>
      <w:numPr>
        <w:ilvl w:val="7"/>
        <w:numId w:val="31"/>
      </w:numPr>
      <w:spacing w:before="40" w:beforeAutospacing="0" w:afterAutospacing="0"/>
      <w:outlineLvl w:val="7"/>
    </w:pPr>
    <w:rPr>
      <w:rFonts w:asciiTheme="majorHAnsi" w:hAnsiTheme="majorHAnsi" w:cstheme="majorBidi" w:eastAsiaTheme="majorEastAsia"/>
      <w:color w:val="272727" w:themeColor="text1" w:themeTint="D8"/>
      <w:sz w:val="21"/>
      <w:szCs w:val="21"/>
    </w:rPr>
  </w:style>
  <w:style w:type="paragraph" w:styleId="P9">
    <w:name w:val="Heading 9"/>
    <w:basedOn w:val="P0"/>
    <w:next w:val="P0"/>
    <w:link w:val="C41"/>
    <w:semiHidden/>
    <w:qFormat/>
    <w:pPr>
      <w:keepNext w:val="1"/>
      <w:keepLines w:val="1"/>
      <w:numPr>
        <w:ilvl w:val="8"/>
        <w:numId w:val="31"/>
      </w:numPr>
      <w:spacing w:before="40" w:beforeAutospacing="0" w:afterAutospacing="0"/>
      <w:outlineLvl w:val="8"/>
    </w:pPr>
    <w:rPr>
      <w:rFonts w:asciiTheme="majorHAnsi" w:hAnsiTheme="majorHAnsi" w:cstheme="majorBidi" w:eastAsiaTheme="majorEastAsia"/>
      <w:i w:val="1"/>
      <w:iCs w:val="1"/>
      <w:color w:val="272727" w:themeColor="text1" w:themeTint="D8"/>
      <w:sz w:val="21"/>
      <w:szCs w:val="21"/>
    </w:rPr>
  </w:style>
  <w:style w:type="paragraph" w:styleId="P10">
    <w:name w:val="No Spacing"/>
    <w:pPr/>
    <w:rPr/>
  </w:style>
  <w:style w:type="paragraph" w:styleId="P11">
    <w:name w:val="Quote"/>
    <w:aliases w:val="Bildtexter"/>
    <w:basedOn w:val="P0"/>
    <w:next w:val="P0"/>
    <w:link w:val="C7"/>
    <w:qFormat/>
    <w:pPr>
      <w:spacing w:before="200" w:beforeAutospacing="0" w:afterAutospacing="0"/>
      <w:jc w:val="center"/>
    </w:pPr>
    <w:rPr>
      <w:i w:val="1"/>
      <w:iCs w:val="1"/>
      <w:color w:val="404040" w:themeColor="text1" w:themeTint="BF"/>
    </w:rPr>
  </w:style>
  <w:style w:type="paragraph" w:styleId="P12">
    <w:name w:val="[Allmänt styckeformat]"/>
    <w:basedOn w:val="P0"/>
    <w:pPr>
      <w:spacing w:lineRule="auto" w:line="288" w:beforeAutospacing="0" w:afterAutospacing="0"/>
    </w:pPr>
    <w:rPr>
      <w:rFonts w:ascii="MinionPro-Regular" w:hAnsi="MinionPro-Regular" w:cs="MinionPro-Regular"/>
      <w:color w:val="000000"/>
      <w:szCs w:val="24"/>
    </w:rPr>
  </w:style>
  <w:style w:type="paragraph" w:styleId="P13">
    <w:name w:val="Header"/>
    <w:basedOn w:val="P0"/>
    <w:link w:val="C9"/>
    <w:pPr>
      <w:tabs>
        <w:tab w:val="center" w:pos="4536" w:leader="none"/>
        <w:tab w:val="right" w:pos="9072" w:leader="none"/>
      </w:tabs>
    </w:pPr>
    <w:rPr/>
  </w:style>
  <w:style w:type="paragraph" w:styleId="P14">
    <w:name w:val="Footer"/>
    <w:basedOn w:val="P0"/>
    <w:link w:val="C10"/>
    <w:pPr>
      <w:tabs>
        <w:tab w:val="center" w:pos="4536" w:leader="none"/>
        <w:tab w:val="right" w:pos="9072" w:leader="none"/>
      </w:tabs>
    </w:pPr>
    <w:rPr/>
  </w:style>
  <w:style w:type="paragraph" w:styleId="P15">
    <w:name w:val="Rubrik 4 MK"/>
    <w:basedOn w:val="P3"/>
    <w:link w:val="C11"/>
    <w:pPr/>
    <w:rPr>
      <w:rFonts w:ascii="Garamond" w:hAnsi="Garamond"/>
      <w:b w:val="1"/>
    </w:rPr>
  </w:style>
  <w:style w:type="paragraph" w:styleId="P16">
    <w:name w:val="List Paragraph"/>
    <w:basedOn w:val="P0"/>
    <w:pPr>
      <w:ind w:left="720"/>
      <w:contextualSpacing w:val="1"/>
    </w:pPr>
    <w:rPr/>
  </w:style>
  <w:style w:type="paragraph" w:styleId="P17">
    <w:name w:val="Balloon Text"/>
    <w:basedOn w:val="P0"/>
    <w:link w:val="C12"/>
    <w:semiHidden/>
    <w:pPr/>
    <w:rPr>
      <w:rFonts w:ascii="Segoe UI" w:hAnsi="Segoe UI" w:cs="Segoe UI"/>
      <w:sz w:val="18"/>
      <w:szCs w:val="18"/>
    </w:rPr>
  </w:style>
  <w:style w:type="paragraph" w:styleId="P18">
    <w:name w:val="Rubriknivå 4"/>
    <w:basedOn w:val="P11"/>
    <w:link w:val="C13"/>
    <w:pPr/>
    <w:rPr/>
  </w:style>
  <w:style w:type="paragraph" w:styleId="P19">
    <w:name w:val="Envelope Address"/>
    <w:basedOn w:val="P0"/>
    <w:semiHidden/>
    <w:pPr>
      <w:framePr w:w="7938" w:h="1984" w:hRule="exact" w:hSpace="141" w:wrap="auto" w:hAnchor="page" w:x="0" w:y="0"/>
      <w:spacing w:lineRule="auto" w:line="240" w:beforeAutospacing="0" w:afterAutospacing="0"/>
      <w:ind w:left="2880"/>
    </w:pPr>
    <w:rPr>
      <w:rFonts w:asciiTheme="majorHAnsi" w:hAnsiTheme="majorHAnsi" w:cstheme="majorBidi" w:eastAsiaTheme="majorEastAsia"/>
      <w:szCs w:val="24"/>
    </w:rPr>
  </w:style>
  <w:style w:type="paragraph" w:styleId="P20">
    <w:name w:val="Note Heading"/>
    <w:basedOn w:val="P0"/>
    <w:next w:val="P0"/>
    <w:link w:val="C14"/>
    <w:semiHidden/>
    <w:pPr>
      <w:spacing w:lineRule="auto" w:line="240" w:beforeAutospacing="0" w:afterAutospacing="0"/>
    </w:pPr>
    <w:rPr/>
  </w:style>
  <w:style w:type="paragraph" w:styleId="P21">
    <w:name w:val="Closing"/>
    <w:basedOn w:val="P0"/>
    <w:link w:val="C15"/>
    <w:semiHidden/>
    <w:pPr>
      <w:spacing w:lineRule="auto" w:line="240" w:beforeAutospacing="0" w:afterAutospacing="0"/>
      <w:ind w:left="4252"/>
    </w:pPr>
    <w:rPr/>
  </w:style>
  <w:style w:type="paragraph" w:styleId="P22">
    <w:name w:val="Envelope Return"/>
    <w:basedOn w:val="P0"/>
    <w:semiHidden/>
    <w:pPr>
      <w:spacing w:lineRule="auto" w:line="240" w:beforeAutospacing="0" w:afterAutospacing="0"/>
    </w:pPr>
    <w:rPr>
      <w:rFonts w:asciiTheme="majorHAnsi" w:hAnsiTheme="majorHAnsi" w:cstheme="majorBidi" w:eastAsiaTheme="majorEastAsia"/>
      <w:sz w:val="20"/>
      <w:szCs w:val="20"/>
    </w:rPr>
  </w:style>
  <w:style w:type="paragraph" w:styleId="P23">
    <w:name w:val="Caption"/>
    <w:basedOn w:val="P0"/>
    <w:next w:val="P0"/>
    <w:semiHidden/>
    <w:qFormat/>
    <w:pPr>
      <w:spacing w:lineRule="auto" w:line="240" w:after="200" w:beforeAutospacing="0" w:afterAutospacing="0"/>
    </w:pPr>
    <w:rPr>
      <w:i w:val="1"/>
      <w:iCs w:val="1"/>
      <w:color w:val="003C71" w:themeColor="text2"/>
      <w:sz w:val="18"/>
      <w:szCs w:val="18"/>
    </w:rPr>
  </w:style>
  <w:style w:type="paragraph" w:styleId="P24">
    <w:name w:val="Body Text"/>
    <w:basedOn w:val="P0"/>
    <w:link w:val="C16"/>
    <w:semiHidden/>
    <w:pPr>
      <w:spacing w:after="120" w:beforeAutospacing="0" w:afterAutospacing="0"/>
    </w:pPr>
    <w:rPr/>
  </w:style>
  <w:style w:type="paragraph" w:styleId="P25">
    <w:name w:val="Body Text 2"/>
    <w:basedOn w:val="P0"/>
    <w:link w:val="C17"/>
    <w:semiHidden/>
    <w:pPr>
      <w:spacing w:lineRule="auto" w:line="480" w:after="120" w:beforeAutospacing="0" w:afterAutospacing="0"/>
    </w:pPr>
    <w:rPr/>
  </w:style>
  <w:style w:type="paragraph" w:styleId="P26">
    <w:name w:val="Body Text 3"/>
    <w:basedOn w:val="P0"/>
    <w:link w:val="C18"/>
    <w:semiHidden/>
    <w:pPr>
      <w:spacing w:after="120" w:beforeAutospacing="0" w:afterAutospacing="0"/>
    </w:pPr>
    <w:rPr>
      <w:sz w:val="16"/>
      <w:szCs w:val="16"/>
    </w:rPr>
  </w:style>
  <w:style w:type="paragraph" w:styleId="P27">
    <w:name w:val="Body Text First Indent"/>
    <w:basedOn w:val="P24"/>
    <w:link w:val="C19"/>
    <w:semiHidden/>
    <w:pPr>
      <w:spacing w:after="0" w:beforeAutospacing="0" w:afterAutospacing="0"/>
      <w:ind w:firstLine="360"/>
    </w:pPr>
    <w:rPr/>
  </w:style>
  <w:style w:type="paragraph" w:styleId="P28">
    <w:name w:val="Body Text Indent"/>
    <w:basedOn w:val="P0"/>
    <w:link w:val="C20"/>
    <w:semiHidden/>
    <w:pPr>
      <w:spacing w:after="120" w:beforeAutospacing="0" w:afterAutospacing="0"/>
      <w:ind w:left="283"/>
    </w:pPr>
    <w:rPr/>
  </w:style>
  <w:style w:type="paragraph" w:styleId="P29">
    <w:name w:val="Body Text First Indent 2"/>
    <w:basedOn w:val="P28"/>
    <w:link w:val="C21"/>
    <w:semiHidden/>
    <w:pPr>
      <w:spacing w:after="0" w:beforeAutospacing="0" w:afterAutospacing="0"/>
      <w:ind w:firstLine="360" w:left="360"/>
    </w:pPr>
    <w:rPr/>
  </w:style>
  <w:style w:type="paragraph" w:styleId="P30">
    <w:name w:val="Body Text Indent 2"/>
    <w:basedOn w:val="P0"/>
    <w:link w:val="C22"/>
    <w:semiHidden/>
    <w:pPr>
      <w:spacing w:lineRule="auto" w:line="480" w:after="120" w:beforeAutospacing="0" w:afterAutospacing="0"/>
      <w:ind w:left="283"/>
    </w:pPr>
    <w:rPr/>
  </w:style>
  <w:style w:type="paragraph" w:styleId="P31">
    <w:name w:val="Body Text Indent 3"/>
    <w:basedOn w:val="P0"/>
    <w:link w:val="C23"/>
    <w:semiHidden/>
    <w:pPr>
      <w:spacing w:after="120" w:beforeAutospacing="0" w:afterAutospacing="0"/>
      <w:ind w:left="283"/>
    </w:pPr>
    <w:rPr>
      <w:sz w:val="16"/>
      <w:szCs w:val="16"/>
    </w:rPr>
  </w:style>
  <w:style w:type="paragraph" w:styleId="P32">
    <w:name w:val="Table of Authorities"/>
    <w:basedOn w:val="P0"/>
    <w:next w:val="P0"/>
    <w:semiHidden/>
    <w:pPr>
      <w:ind w:hanging="250" w:left="250"/>
    </w:pPr>
    <w:rPr/>
  </w:style>
  <w:style w:type="paragraph" w:styleId="P33">
    <w:name w:val="TOA Heading"/>
    <w:basedOn w:val="P0"/>
    <w:next w:val="P0"/>
    <w:semiHidden/>
    <w:pPr>
      <w:spacing w:before="120" w:beforeAutospacing="0" w:afterAutospacing="0"/>
    </w:pPr>
    <w:rPr>
      <w:rFonts w:asciiTheme="majorHAnsi" w:hAnsiTheme="majorHAnsi" w:cstheme="majorBidi" w:eastAsiaTheme="majorEastAsia"/>
      <w:b w:val="1"/>
      <w:bCs w:val="1"/>
      <w:szCs w:val="24"/>
    </w:rPr>
  </w:style>
  <w:style w:type="paragraph" w:styleId="P34">
    <w:name w:val="Date"/>
    <w:basedOn w:val="P0"/>
    <w:next w:val="P0"/>
    <w:link w:val="C24"/>
    <w:semiHidden/>
    <w:pPr/>
    <w:rPr/>
  </w:style>
  <w:style w:type="paragraph" w:styleId="P35">
    <w:name w:val="Document Map"/>
    <w:basedOn w:val="P0"/>
    <w:link w:val="C25"/>
    <w:semiHidden/>
    <w:pPr>
      <w:spacing w:lineRule="auto" w:line="240" w:beforeAutospacing="0" w:afterAutospacing="0"/>
    </w:pPr>
    <w:rPr>
      <w:rFonts w:ascii="Segoe UI" w:hAnsi="Segoe UI" w:cs="Segoe UI"/>
      <w:sz w:val="16"/>
      <w:szCs w:val="16"/>
    </w:rPr>
  </w:style>
  <w:style w:type="paragraph" w:styleId="P36">
    <w:name w:val="E-mail Signature"/>
    <w:basedOn w:val="P0"/>
    <w:link w:val="C26"/>
    <w:semiHidden/>
    <w:pPr>
      <w:spacing w:lineRule="auto" w:line="240" w:beforeAutospacing="0" w:afterAutospacing="0"/>
    </w:pPr>
    <w:rPr/>
  </w:style>
  <w:style w:type="paragraph" w:styleId="P37">
    <w:name w:val="Table of Figures"/>
    <w:basedOn w:val="P0"/>
    <w:next w:val="P0"/>
    <w:semiHidden/>
    <w:pPr/>
    <w:rPr/>
  </w:style>
  <w:style w:type="paragraph" w:styleId="P38">
    <w:name w:val="Footnote Text"/>
    <w:basedOn w:val="P0"/>
    <w:link w:val="C27"/>
    <w:semiHidden/>
    <w:pPr>
      <w:spacing w:lineRule="auto" w:line="240" w:beforeAutospacing="0" w:afterAutospacing="0"/>
    </w:pPr>
    <w:rPr>
      <w:sz w:val="20"/>
      <w:szCs w:val="20"/>
    </w:rPr>
  </w:style>
  <w:style w:type="paragraph" w:styleId="P39">
    <w:name w:val="HTML Address"/>
    <w:basedOn w:val="P0"/>
    <w:link w:val="C28"/>
    <w:semiHidden/>
    <w:pPr>
      <w:spacing w:lineRule="auto" w:line="240" w:beforeAutospacing="0" w:afterAutospacing="0"/>
    </w:pPr>
    <w:rPr>
      <w:i w:val="1"/>
      <w:iCs w:val="1"/>
    </w:rPr>
  </w:style>
  <w:style w:type="paragraph" w:styleId="P40">
    <w:name w:val="HTML Preformatted"/>
    <w:basedOn w:val="P0"/>
    <w:link w:val="C29"/>
    <w:semiHidden/>
    <w:pPr>
      <w:spacing w:lineRule="auto" w:line="240" w:beforeAutospacing="0" w:afterAutospacing="0"/>
    </w:pPr>
    <w:rPr>
      <w:rFonts w:ascii="Consolas" w:hAnsi="Consolas"/>
      <w:sz w:val="20"/>
      <w:szCs w:val="20"/>
    </w:rPr>
  </w:style>
  <w:style w:type="paragraph" w:styleId="P41">
    <w:name w:val="Index 1"/>
    <w:basedOn w:val="P0"/>
    <w:next w:val="P0"/>
    <w:semiHidden/>
    <w:pPr>
      <w:spacing w:lineRule="auto" w:line="240" w:beforeAutospacing="0" w:afterAutospacing="0"/>
      <w:ind w:hanging="250" w:left="250"/>
    </w:pPr>
    <w:rPr/>
  </w:style>
  <w:style w:type="paragraph" w:styleId="P42">
    <w:name w:val="Index 2"/>
    <w:basedOn w:val="P0"/>
    <w:next w:val="P0"/>
    <w:semiHidden/>
    <w:pPr>
      <w:spacing w:lineRule="auto" w:line="240" w:beforeAutospacing="0" w:afterAutospacing="0"/>
      <w:ind w:hanging="250" w:left="500"/>
    </w:pPr>
    <w:rPr/>
  </w:style>
  <w:style w:type="paragraph" w:styleId="P43">
    <w:name w:val="Index 3"/>
    <w:basedOn w:val="P0"/>
    <w:next w:val="P0"/>
    <w:semiHidden/>
    <w:pPr>
      <w:spacing w:lineRule="auto" w:line="240" w:beforeAutospacing="0" w:afterAutospacing="0"/>
      <w:ind w:hanging="250" w:left="750"/>
    </w:pPr>
    <w:rPr/>
  </w:style>
  <w:style w:type="paragraph" w:styleId="P44">
    <w:name w:val="Index 4"/>
    <w:basedOn w:val="P0"/>
    <w:next w:val="P0"/>
    <w:semiHidden/>
    <w:pPr>
      <w:spacing w:lineRule="auto" w:line="240" w:beforeAutospacing="0" w:afterAutospacing="0"/>
      <w:ind w:hanging="250" w:left="1000"/>
    </w:pPr>
    <w:rPr/>
  </w:style>
  <w:style w:type="paragraph" w:styleId="P45">
    <w:name w:val="Index 5"/>
    <w:basedOn w:val="P0"/>
    <w:next w:val="P0"/>
    <w:semiHidden/>
    <w:pPr>
      <w:spacing w:lineRule="auto" w:line="240" w:beforeAutospacing="0" w:afterAutospacing="0"/>
      <w:ind w:hanging="250" w:left="1250"/>
    </w:pPr>
    <w:rPr/>
  </w:style>
  <w:style w:type="paragraph" w:styleId="P46">
    <w:name w:val="Index 6"/>
    <w:basedOn w:val="P0"/>
    <w:next w:val="P0"/>
    <w:semiHidden/>
    <w:pPr>
      <w:spacing w:lineRule="auto" w:line="240" w:beforeAutospacing="0" w:afterAutospacing="0"/>
      <w:ind w:hanging="250" w:left="1500"/>
    </w:pPr>
    <w:rPr/>
  </w:style>
  <w:style w:type="paragraph" w:styleId="P47">
    <w:name w:val="Index 7"/>
    <w:basedOn w:val="P0"/>
    <w:next w:val="P0"/>
    <w:semiHidden/>
    <w:pPr>
      <w:spacing w:lineRule="auto" w:line="240" w:beforeAutospacing="0" w:afterAutospacing="0"/>
      <w:ind w:hanging="250" w:left="1750"/>
    </w:pPr>
    <w:rPr/>
  </w:style>
  <w:style w:type="paragraph" w:styleId="P48">
    <w:name w:val="Index 8"/>
    <w:basedOn w:val="P0"/>
    <w:next w:val="P0"/>
    <w:semiHidden/>
    <w:pPr>
      <w:spacing w:lineRule="auto" w:line="240" w:beforeAutospacing="0" w:afterAutospacing="0"/>
      <w:ind w:hanging="250" w:left="2000"/>
    </w:pPr>
    <w:rPr/>
  </w:style>
  <w:style w:type="paragraph" w:styleId="P49">
    <w:name w:val="Index 9"/>
    <w:basedOn w:val="P0"/>
    <w:next w:val="P0"/>
    <w:semiHidden/>
    <w:pPr>
      <w:spacing w:lineRule="auto" w:line="240" w:beforeAutospacing="0" w:afterAutospacing="0"/>
      <w:ind w:hanging="250" w:left="2250"/>
    </w:pPr>
    <w:rPr/>
  </w:style>
  <w:style w:type="paragraph" w:styleId="P50">
    <w:name w:val="Index Heading"/>
    <w:basedOn w:val="P0"/>
    <w:next w:val="P41"/>
    <w:semiHidden/>
    <w:pPr/>
    <w:rPr>
      <w:rFonts w:asciiTheme="majorHAnsi" w:hAnsiTheme="majorHAnsi" w:cstheme="majorBidi" w:eastAsiaTheme="majorEastAsia"/>
      <w:b w:val="1"/>
      <w:bCs w:val="1"/>
    </w:rPr>
  </w:style>
  <w:style w:type="paragraph" w:styleId="P51">
    <w:name w:val="Block Text"/>
    <w:basedOn w:val="P0"/>
    <w:semiHidden/>
    <w:pPr>
      <w:pBdr>
        <w:top w:val="single" w:sz="2" w:space="10" w:shadow="0" w:frame="0" w:color="007FA3" w:themeColor="accent1"/>
        <w:left w:val="single" w:sz="2" w:space="10" w:shadow="0" w:frame="0" w:color="007FA3" w:themeColor="accent1"/>
        <w:bottom w:val="single" w:sz="2" w:space="10" w:shadow="0" w:frame="0" w:color="007FA3" w:themeColor="accent1"/>
        <w:right w:val="single" w:sz="2" w:space="10" w:shadow="0" w:frame="0" w:color="007FA3" w:themeColor="accent1"/>
        <w:between w:val="none" w:sz="0" w:space="0" w:shadow="0" w:frame="0" w:color="auto"/>
      </w:pBdr>
      <w:ind w:left="1152" w:right="1152"/>
    </w:pPr>
    <w:rPr>
      <w:rFonts w:asciiTheme="minorHAnsi" w:hAnsiTheme="minorHAnsi" w:eastAsiaTheme="minorEastAsia"/>
      <w:i w:val="1"/>
      <w:iCs w:val="1"/>
      <w:color w:val="007FA3" w:themeColor="accent1"/>
    </w:rPr>
  </w:style>
  <w:style w:type="paragraph" w:styleId="P52">
    <w:name w:val="Salutation"/>
    <w:basedOn w:val="P0"/>
    <w:next w:val="P0"/>
    <w:link w:val="C30"/>
    <w:semiHidden/>
    <w:pPr/>
    <w:rPr/>
  </w:style>
  <w:style w:type="paragraph" w:styleId="P53">
    <w:name w:val="TOC 1"/>
    <w:basedOn w:val="P0"/>
    <w:next w:val="P0"/>
    <w:pPr>
      <w:spacing w:after="100" w:beforeAutospacing="0" w:afterAutospacing="0"/>
    </w:pPr>
    <w:rPr>
      <w:rFonts w:ascii="Barlow" w:hAnsi="Barlow"/>
      <w:sz w:val="22"/>
    </w:rPr>
  </w:style>
  <w:style w:type="paragraph" w:styleId="P54">
    <w:name w:val="TOC 2"/>
    <w:basedOn w:val="P0"/>
    <w:next w:val="P0"/>
    <w:pPr>
      <w:spacing w:after="100" w:beforeAutospacing="0" w:afterAutospacing="0"/>
      <w:ind w:left="250"/>
    </w:pPr>
    <w:rPr>
      <w:rFonts w:ascii="Barlow" w:hAnsi="Barlow"/>
      <w:sz w:val="22"/>
    </w:rPr>
  </w:style>
  <w:style w:type="paragraph" w:styleId="P55">
    <w:name w:val="TOC 3"/>
    <w:basedOn w:val="P0"/>
    <w:next w:val="P0"/>
    <w:pPr>
      <w:spacing w:after="100" w:beforeAutospacing="0" w:afterAutospacing="0"/>
      <w:ind w:left="500"/>
    </w:pPr>
    <w:rPr>
      <w:rFonts w:ascii="Barlow" w:hAnsi="Barlow"/>
      <w:sz w:val="22"/>
    </w:rPr>
  </w:style>
  <w:style w:type="paragraph" w:styleId="P56">
    <w:name w:val="TOC 4"/>
    <w:basedOn w:val="P0"/>
    <w:next w:val="P0"/>
    <w:pPr>
      <w:spacing w:after="100" w:beforeAutospacing="0" w:afterAutospacing="0"/>
      <w:ind w:left="750"/>
    </w:pPr>
    <w:rPr/>
  </w:style>
  <w:style w:type="paragraph" w:styleId="P57">
    <w:name w:val="TOC 5"/>
    <w:basedOn w:val="P0"/>
    <w:next w:val="P0"/>
    <w:pPr>
      <w:spacing w:after="100" w:beforeAutospacing="0" w:afterAutospacing="0"/>
      <w:ind w:left="1000"/>
    </w:pPr>
    <w:rPr/>
  </w:style>
  <w:style w:type="paragraph" w:styleId="P58">
    <w:name w:val="TOC 6"/>
    <w:basedOn w:val="P0"/>
    <w:next w:val="P0"/>
    <w:pPr>
      <w:spacing w:after="100" w:beforeAutospacing="0" w:afterAutospacing="0"/>
      <w:ind w:left="1250"/>
    </w:pPr>
    <w:rPr/>
  </w:style>
  <w:style w:type="paragraph" w:styleId="P59">
    <w:name w:val="TOC 7"/>
    <w:basedOn w:val="P0"/>
    <w:next w:val="P0"/>
    <w:pPr>
      <w:spacing w:after="100" w:beforeAutospacing="0" w:afterAutospacing="0"/>
      <w:ind w:left="1500"/>
    </w:pPr>
    <w:rPr/>
  </w:style>
  <w:style w:type="paragraph" w:styleId="P60">
    <w:name w:val="TOC 8"/>
    <w:basedOn w:val="P0"/>
    <w:next w:val="P0"/>
    <w:pPr>
      <w:spacing w:after="100" w:beforeAutospacing="0" w:afterAutospacing="0"/>
      <w:ind w:left="1750"/>
    </w:pPr>
    <w:rPr/>
  </w:style>
  <w:style w:type="paragraph" w:styleId="P61">
    <w:name w:val="TOC 9"/>
    <w:basedOn w:val="P0"/>
    <w:next w:val="P0"/>
    <w:pPr>
      <w:spacing w:after="100" w:beforeAutospacing="0" w:afterAutospacing="0"/>
      <w:ind w:left="2000"/>
    </w:pPr>
    <w:rPr/>
  </w:style>
  <w:style w:type="paragraph" w:styleId="P62">
    <w:name w:val="TOC Heading"/>
    <w:basedOn w:val="P1"/>
    <w:next w:val="P0"/>
    <w:pPr>
      <w:spacing w:lineRule="exact" w:line="300" w:before="240" w:after="0" w:beforeAutospacing="0" w:afterAutospacing="0"/>
      <w:outlineLvl w:val="9"/>
    </w:pPr>
    <w:rPr>
      <w:rFonts w:asciiTheme="majorHAnsi" w:hAnsiTheme="majorHAnsi"/>
      <w:sz w:val="32"/>
    </w:rPr>
  </w:style>
  <w:style w:type="paragraph" w:styleId="P63">
    <w:name w:val="annotation text"/>
    <w:basedOn w:val="P0"/>
    <w:link w:val="C31"/>
    <w:pPr>
      <w:spacing w:lineRule="auto" w:line="240" w:beforeAutospacing="0" w:afterAutospacing="0"/>
    </w:pPr>
    <w:rPr>
      <w:sz w:val="20"/>
      <w:szCs w:val="20"/>
    </w:rPr>
  </w:style>
  <w:style w:type="paragraph" w:styleId="P64">
    <w:name w:val="annotation subject"/>
    <w:basedOn w:val="P63"/>
    <w:next w:val="P63"/>
    <w:link w:val="C32"/>
    <w:semiHidden/>
    <w:pPr/>
    <w:rPr>
      <w:b w:val="1"/>
      <w:bCs w:val="1"/>
    </w:rPr>
  </w:style>
  <w:style w:type="paragraph" w:styleId="P65">
    <w:name w:val="List"/>
    <w:basedOn w:val="P0"/>
    <w:semiHidden/>
    <w:pPr>
      <w:ind w:hanging="283" w:left="283"/>
      <w:contextualSpacing w:val="1"/>
    </w:pPr>
    <w:rPr/>
  </w:style>
  <w:style w:type="paragraph" w:styleId="P66">
    <w:name w:val="List 2"/>
    <w:basedOn w:val="P0"/>
    <w:semiHidden/>
    <w:pPr>
      <w:ind w:hanging="283" w:left="566"/>
      <w:contextualSpacing w:val="1"/>
    </w:pPr>
    <w:rPr/>
  </w:style>
  <w:style w:type="paragraph" w:styleId="P67">
    <w:name w:val="List 3"/>
    <w:basedOn w:val="P0"/>
    <w:semiHidden/>
    <w:pPr>
      <w:ind w:hanging="283" w:left="849"/>
      <w:contextualSpacing w:val="1"/>
    </w:pPr>
    <w:rPr/>
  </w:style>
  <w:style w:type="paragraph" w:styleId="P68">
    <w:name w:val="List 4"/>
    <w:basedOn w:val="P0"/>
    <w:semiHidden/>
    <w:pPr>
      <w:ind w:hanging="283" w:left="1132"/>
      <w:contextualSpacing w:val="1"/>
    </w:pPr>
    <w:rPr/>
  </w:style>
  <w:style w:type="paragraph" w:styleId="P69">
    <w:name w:val="List 5"/>
    <w:basedOn w:val="P0"/>
    <w:semiHidden/>
    <w:pPr>
      <w:ind w:hanging="283" w:left="1415"/>
      <w:contextualSpacing w:val="1"/>
    </w:pPr>
    <w:rPr/>
  </w:style>
  <w:style w:type="paragraph" w:styleId="P70">
    <w:name w:val="List Continue"/>
    <w:basedOn w:val="P0"/>
    <w:semiHidden/>
    <w:pPr>
      <w:spacing w:after="120" w:beforeAutospacing="0" w:afterAutospacing="0"/>
      <w:ind w:left="283"/>
      <w:contextualSpacing w:val="1"/>
    </w:pPr>
    <w:rPr/>
  </w:style>
  <w:style w:type="paragraph" w:styleId="P71">
    <w:name w:val="List Continue 2"/>
    <w:basedOn w:val="P0"/>
    <w:semiHidden/>
    <w:pPr>
      <w:spacing w:after="120" w:beforeAutospacing="0" w:afterAutospacing="0"/>
      <w:ind w:left="566"/>
      <w:contextualSpacing w:val="1"/>
    </w:pPr>
    <w:rPr/>
  </w:style>
  <w:style w:type="paragraph" w:styleId="P72">
    <w:name w:val="List Continue 3"/>
    <w:basedOn w:val="P0"/>
    <w:semiHidden/>
    <w:pPr>
      <w:spacing w:after="120" w:beforeAutospacing="0" w:afterAutospacing="0"/>
      <w:ind w:left="849"/>
      <w:contextualSpacing w:val="1"/>
    </w:pPr>
    <w:rPr/>
  </w:style>
  <w:style w:type="paragraph" w:styleId="P73">
    <w:name w:val="List Continue 4"/>
    <w:basedOn w:val="P0"/>
    <w:semiHidden/>
    <w:pPr>
      <w:spacing w:after="120" w:beforeAutospacing="0" w:afterAutospacing="0"/>
      <w:ind w:left="1132"/>
      <w:contextualSpacing w:val="1"/>
    </w:pPr>
    <w:rPr/>
  </w:style>
  <w:style w:type="paragraph" w:styleId="P74">
    <w:name w:val="List Continue 5"/>
    <w:basedOn w:val="P0"/>
    <w:semiHidden/>
    <w:pPr>
      <w:spacing w:after="120" w:beforeAutospacing="0" w:afterAutospacing="0"/>
      <w:ind w:left="1415"/>
      <w:contextualSpacing w:val="1"/>
    </w:pPr>
    <w:rPr/>
  </w:style>
  <w:style w:type="paragraph" w:styleId="P75">
    <w:name w:val="Bibliography"/>
    <w:basedOn w:val="P0"/>
    <w:next w:val="P0"/>
    <w:semiHidden/>
    <w:pPr/>
    <w:rPr/>
  </w:style>
  <w:style w:type="paragraph" w:styleId="P76">
    <w:name w:val="macro"/>
    <w:link w:val="C33"/>
    <w:semiHidden/>
    <w:pPr>
      <w:tabs>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pacing w:lineRule="exact" w:line="300" w:beforeAutospacing="0" w:afterAutospacing="0"/>
    </w:pPr>
    <w:rPr>
      <w:rFonts w:ascii="Consolas" w:hAnsi="Consolas"/>
      <w:sz w:val="20"/>
      <w:szCs w:val="20"/>
    </w:rPr>
  </w:style>
  <w:style w:type="paragraph" w:styleId="P77">
    <w:name w:val="Message Header"/>
    <w:basedOn w:val="P0"/>
    <w:link w:val="C34"/>
    <w:semiHidden/>
    <w:pPr>
      <w:pBdr>
        <w:top w:val="single" w:sz="6" w:space="1" w:shadow="0" w:frame="0" w:color="auto"/>
        <w:left w:val="single" w:sz="6" w:space="1" w:shadow="0" w:frame="0" w:color="auto"/>
        <w:bottom w:val="single" w:sz="6" w:space="1" w:shadow="0" w:frame="0" w:color="auto"/>
        <w:right w:val="single" w:sz="6" w:space="1" w:shadow="0" w:frame="0" w:color="auto"/>
        <w:between w:val="none" w:sz="0" w:space="0" w:shadow="0" w:frame="0" w:color="auto"/>
      </w:pBdr>
      <w:shd w:val="pct20" w:fill="auto"/>
      <w:spacing w:lineRule="auto" w:line="240" w:beforeAutospacing="0" w:afterAutospacing="0"/>
      <w:ind w:hanging="1134" w:left="1134"/>
    </w:pPr>
    <w:rPr>
      <w:rFonts w:asciiTheme="majorHAnsi" w:hAnsiTheme="majorHAnsi" w:cstheme="majorBidi" w:eastAsiaTheme="majorEastAsia"/>
      <w:szCs w:val="24"/>
    </w:rPr>
  </w:style>
  <w:style w:type="paragraph" w:styleId="P78">
    <w:name w:val="Normal (Web)"/>
    <w:basedOn w:val="P0"/>
    <w:semiHidden/>
    <w:pPr/>
    <w:rPr>
      <w:rFonts w:ascii="Times New Roman" w:hAnsi="Times New Roman" w:cs="Times New Roman"/>
      <w:szCs w:val="24"/>
    </w:rPr>
  </w:style>
  <w:style w:type="paragraph" w:styleId="P79">
    <w:name w:val="Normal Indent"/>
    <w:basedOn w:val="P0"/>
    <w:semiHidden/>
    <w:pPr>
      <w:ind w:left="1304"/>
    </w:pPr>
    <w:rPr/>
  </w:style>
  <w:style w:type="paragraph" w:styleId="P80">
    <w:name w:val="List Number"/>
    <w:basedOn w:val="P0"/>
    <w:semiHidden/>
    <w:pPr>
      <w:numPr>
        <w:numId w:val="4"/>
      </w:numPr>
      <w:contextualSpacing w:val="1"/>
    </w:pPr>
    <w:rPr/>
  </w:style>
  <w:style w:type="paragraph" w:styleId="P81">
    <w:name w:val="List Number 2"/>
    <w:basedOn w:val="P0"/>
    <w:semiHidden/>
    <w:pPr>
      <w:numPr>
        <w:numId w:val="5"/>
      </w:numPr>
      <w:contextualSpacing w:val="1"/>
    </w:pPr>
    <w:rPr/>
  </w:style>
  <w:style w:type="paragraph" w:styleId="P82">
    <w:name w:val="List Number 3"/>
    <w:basedOn w:val="P0"/>
    <w:semiHidden/>
    <w:pPr>
      <w:numPr>
        <w:numId w:val="6"/>
      </w:numPr>
      <w:contextualSpacing w:val="1"/>
    </w:pPr>
    <w:rPr/>
  </w:style>
  <w:style w:type="paragraph" w:styleId="P83">
    <w:name w:val="List Number 4"/>
    <w:basedOn w:val="P0"/>
    <w:semiHidden/>
    <w:pPr>
      <w:numPr>
        <w:numId w:val="7"/>
      </w:numPr>
      <w:contextualSpacing w:val="1"/>
    </w:pPr>
    <w:rPr/>
  </w:style>
  <w:style w:type="paragraph" w:styleId="P84">
    <w:name w:val="List Number 5"/>
    <w:basedOn w:val="P0"/>
    <w:semiHidden/>
    <w:pPr>
      <w:numPr>
        <w:numId w:val="8"/>
      </w:numPr>
      <w:contextualSpacing w:val="1"/>
    </w:pPr>
    <w:rPr/>
  </w:style>
  <w:style w:type="paragraph" w:styleId="P85">
    <w:name w:val="Plain Text"/>
    <w:basedOn w:val="P0"/>
    <w:link w:val="C35"/>
    <w:semiHidden/>
    <w:pPr>
      <w:spacing w:lineRule="auto" w:line="240" w:beforeAutospacing="0" w:afterAutospacing="0"/>
    </w:pPr>
    <w:rPr>
      <w:rFonts w:ascii="Consolas" w:hAnsi="Consolas"/>
      <w:sz w:val="21"/>
      <w:szCs w:val="21"/>
    </w:rPr>
  </w:style>
  <w:style w:type="paragraph" w:styleId="P86">
    <w:name w:val="List Bullet"/>
    <w:basedOn w:val="P0"/>
    <w:semiHidden/>
    <w:pPr>
      <w:numPr>
        <w:numId w:val="9"/>
      </w:numPr>
      <w:contextualSpacing w:val="1"/>
    </w:pPr>
    <w:rPr/>
  </w:style>
  <w:style w:type="paragraph" w:styleId="P87">
    <w:name w:val="List Bullet 2"/>
    <w:basedOn w:val="P0"/>
    <w:semiHidden/>
    <w:pPr>
      <w:numPr>
        <w:numId w:val="10"/>
      </w:numPr>
      <w:contextualSpacing w:val="1"/>
    </w:pPr>
    <w:rPr/>
  </w:style>
  <w:style w:type="paragraph" w:styleId="P88">
    <w:name w:val="List Bullet 3"/>
    <w:basedOn w:val="P0"/>
    <w:semiHidden/>
    <w:pPr>
      <w:numPr>
        <w:numId w:val="11"/>
      </w:numPr>
      <w:contextualSpacing w:val="1"/>
    </w:pPr>
    <w:rPr/>
  </w:style>
  <w:style w:type="paragraph" w:styleId="P89">
    <w:name w:val="List Bullet 4"/>
    <w:basedOn w:val="P0"/>
    <w:semiHidden/>
    <w:pPr>
      <w:numPr>
        <w:numId w:val="12"/>
      </w:numPr>
      <w:contextualSpacing w:val="1"/>
    </w:pPr>
    <w:rPr/>
  </w:style>
  <w:style w:type="paragraph" w:styleId="P90">
    <w:name w:val="List Bullet 5"/>
    <w:basedOn w:val="P0"/>
    <w:semiHidden/>
    <w:pPr>
      <w:numPr>
        <w:numId w:val="13"/>
      </w:numPr>
      <w:contextualSpacing w:val="1"/>
    </w:pPr>
    <w:rPr/>
  </w:style>
  <w:style w:type="paragraph" w:styleId="P91">
    <w:name w:val="Title"/>
    <w:basedOn w:val="P0"/>
    <w:next w:val="P0"/>
    <w:link w:val="C36"/>
    <w:pPr>
      <w:spacing w:lineRule="auto" w:line="240" w:beforeAutospacing="0" w:afterAutospacing="0"/>
      <w:contextualSpacing w:val="1"/>
    </w:pPr>
    <w:rPr>
      <w:rFonts w:asciiTheme="majorHAnsi" w:hAnsiTheme="majorHAnsi" w:cstheme="majorBidi" w:eastAsiaTheme="majorEastAsia"/>
      <w:sz w:val="56"/>
      <w:szCs w:val="56"/>
      <w:spacing w:val="-10"/>
      <w:kern w:val="28"/>
    </w:rPr>
  </w:style>
  <w:style w:type="paragraph" w:styleId="P92">
    <w:name w:val="Signature"/>
    <w:basedOn w:val="P0"/>
    <w:link w:val="C42"/>
    <w:semiHidden/>
    <w:pPr>
      <w:spacing w:lineRule="auto" w:line="240" w:beforeAutospacing="0" w:afterAutospacing="0"/>
      <w:ind w:left="4252"/>
    </w:pPr>
    <w:rPr/>
  </w:style>
  <w:style w:type="paragraph" w:styleId="P93">
    <w:name w:val="Endnote Text"/>
    <w:basedOn w:val="P0"/>
    <w:link w:val="C43"/>
    <w:semiHidden/>
    <w:pPr>
      <w:spacing w:lineRule="auto" w:line="240" w:beforeAutospacing="0" w:afterAutospacing="0"/>
    </w:pPr>
    <w:rPr>
      <w:sz w:val="20"/>
      <w:szCs w:val="20"/>
    </w:rPr>
  </w:style>
  <w:style w:type="paragraph" w:styleId="P94">
    <w:name w:val="Intense Quote"/>
    <w:basedOn w:val="P0"/>
    <w:next w:val="P0"/>
    <w:link w:val="C44"/>
    <w:pPr>
      <w:pBdr>
        <w:top w:val="single" w:sz="4" w:space="10" w:shadow="0" w:frame="0" w:color="007FA3" w:themeColor="accent1"/>
        <w:left w:val="none" w:sz="0" w:space="0" w:shadow="0" w:frame="0" w:color="auto"/>
        <w:bottom w:val="single" w:sz="4" w:space="10" w:shadow="0" w:frame="0" w:color="007FA3" w:themeColor="accent1"/>
        <w:right w:val="none" w:sz="0" w:space="0" w:shadow="0" w:frame="0" w:color="auto"/>
        <w:between w:val="none" w:sz="0" w:space="0" w:shadow="0" w:frame="0" w:color="auto"/>
      </w:pBdr>
      <w:spacing w:before="360" w:after="360" w:beforeAutospacing="0" w:afterAutospacing="0"/>
      <w:ind w:left="864" w:right="864"/>
      <w:jc w:val="center"/>
    </w:pPr>
    <w:rPr>
      <w:i w:val="1"/>
      <w:iCs w:val="1"/>
      <w:color w:val="007FA3" w:themeColor="accent1"/>
    </w:rPr>
  </w:style>
  <w:style w:type="paragraph" w:styleId="P95">
    <w:name w:val="Subtitle"/>
    <w:basedOn w:val="P0"/>
    <w:next w:val="P0"/>
    <w:link w:val="C45"/>
    <w:pPr>
      <w:spacing w:after="160" w:beforeAutospacing="0" w:afterAutospacing="0"/>
    </w:pPr>
    <w:rPr>
      <w:rFonts w:asciiTheme="minorHAnsi" w:hAnsiTheme="minorHAnsi" w:eastAsiaTheme="minorEastAsia"/>
      <w:color w:val="5A5A5A" w:themeColor="text1" w:themeTint="A5"/>
      <w:sz w:val="22"/>
      <w:spacing w:val="15"/>
    </w:rPr>
  </w:style>
  <w:style w:type="paragraph" w:styleId="P96">
    <w:name w:val="Förklaringstext"/>
    <w:basedOn w:val="P24"/>
    <w:link w:val="C46"/>
    <w:pPr>
      <w:spacing w:lineRule="auto" w:line="240" w:beforeAutospacing="0" w:afterAutospacing="0"/>
    </w:pPr>
    <w:rPr>
      <w:rFonts w:cs="Times New Roman" w:eastAsia="Times New Roman"/>
      <w:i w:val="1"/>
      <w:color w:val="808080"/>
      <w:sz w:val="20"/>
      <w:szCs w:val="24"/>
      <w:lang w:eastAsia="sv-SE"/>
    </w:rPr>
  </w:style>
  <w:style w:type="paragraph" w:styleId="P97">
    <w:name w:val="Pärmsida"/>
    <w:basedOn w:val="P2"/>
    <w:link w:val="C47"/>
    <w:pPr>
      <w:keepLines w:val="0"/>
      <w:spacing w:before="120" w:after="120" w:beforeAutospacing="0" w:afterAutospacing="0"/>
    </w:pPr>
    <w:rPr>
      <w:rFonts w:ascii="Barlow Semi Condensed" w:hAnsi="Barlow Semi Condensed" w:cs="Arial" w:eastAsia="Times New Roman"/>
      <w:bCs w:val="1"/>
      <w:iCs w:val="1"/>
      <w:sz w:val="18"/>
    </w:rPr>
  </w:style>
  <w:style w:type="paragraph" w:styleId="P98">
    <w:name w:val="Brödtexten"/>
    <w:basedOn w:val="P0"/>
    <w:link w:val="C50"/>
    <w:pPr>
      <w:spacing w:lineRule="auto" w:line="240" w:after="200" w:beforeAutospacing="0" w:afterAutospacing="0"/>
    </w:pPr>
    <w:rPr>
      <w:rFonts w:cs="Times New Roman" w:eastAsia="Times New Roman"/>
      <w:szCs w:val="24"/>
      <w:lang w:eastAsia="sv-SE"/>
    </w:rPr>
  </w:style>
  <w:style w:type="paragraph" w:styleId="P99">
    <w:name w:val="Default"/>
    <w:pPr/>
    <w:rPr>
      <w:rFonts w:ascii="Garamond" w:hAnsi="Garamond" w:cs="Garamond" w:eastAsia="Calibri"/>
      <w:color w:val="000000"/>
      <w:sz w:val="24"/>
      <w:szCs w:val="24"/>
    </w:rPr>
  </w:style>
  <w:style w:type="paragraph" w:styleId="P100">
    <w:name w:val="Tema"/>
    <w:basedOn w:val="P0"/>
    <w:pPr>
      <w:numPr>
        <w:numId w:val="28"/>
      </w:numPr>
    </w:pPr>
    <w:rPr/>
  </w:style>
  <w:style w:type="paragraph" w:styleId="P101">
    <w:name w:val="Grupp"/>
    <w:basedOn w:val="P0"/>
    <w:pPr>
      <w:numPr>
        <w:ilvl w:val="1"/>
        <w:numId w:val="28"/>
      </w:numPr>
    </w:pPr>
    <w:rPr/>
  </w:style>
  <w:style w:type="paragraph" w:styleId="P102">
    <w:name w:val="Undergrupp"/>
    <w:basedOn w:val="P0"/>
    <w:pPr>
      <w:numPr>
        <w:ilvl w:val="2"/>
        <w:numId w:val="28"/>
      </w:numPr>
    </w:pPr>
    <w:rPr/>
  </w:style>
  <w:style w:type="paragraph" w:styleId="P103">
    <w:name w:val="Table Paragraph"/>
    <w:basedOn w:val="P0"/>
    <w:qFormat/>
    <w:pPr>
      <w:spacing w:lineRule="auto" w:line="240" w:before="41" w:beforeAutospacing="0" w:afterAutospacing="0"/>
      <w:ind w:left="105"/>
    </w:pPr>
    <w:rPr>
      <w:rFonts w:ascii="Lucida Sans" w:hAnsi="Lucida Sans" w:cs="Lucida Sans"/>
      <w:szCs w:val="24"/>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07FA3" w:themeColor="hyperlink"/>
      <w:u w:val="single"/>
    </w:rPr>
  </w:style>
  <w:style w:type="character" w:styleId="C3">
    <w:name w:val="Rubrik 1 Char"/>
    <w:basedOn w:val="C0"/>
    <w:link w:val="P1"/>
    <w:rPr>
      <w:rFonts w:ascii="Barlow Semi Condensed SemiBold" w:hAnsi="Barlow Semi Condensed SemiBold" w:cstheme="majorBidi" w:eastAsia="Arial"/>
      <w:caps w:val="1"/>
      <w:noProof w:val="1"/>
      <w:sz w:val="36"/>
      <w:szCs w:val="32"/>
      <w:lang w:eastAsia="sv-SE"/>
    </w:rPr>
  </w:style>
  <w:style w:type="character" w:styleId="C4">
    <w:name w:val="Rubrik 2 Char"/>
    <w:basedOn w:val="C0"/>
    <w:link w:val="P2"/>
    <w:rPr>
      <w:rFonts w:asciiTheme="majorHAnsi" w:hAnsiTheme="majorHAnsi" w:cstheme="majorBidi" w:eastAsia="Arial"/>
      <w:caps w:val="1"/>
      <w:noProof w:val="1"/>
      <w:sz w:val="28"/>
      <w:szCs w:val="28"/>
      <w:lang w:eastAsia="sv-SE"/>
    </w:rPr>
  </w:style>
  <w:style w:type="character" w:styleId="C5">
    <w:name w:val="Rubrik 3 Char"/>
    <w:basedOn w:val="C0"/>
    <w:link w:val="P3"/>
    <w:rPr>
      <w:rFonts w:ascii="Barlow Semi Condensed SemiBold" w:hAnsi="Barlow Semi Condensed SemiBold" w:cstheme="majorBidi" w:eastAsia="Arial"/>
      <w:caps w:val="1"/>
      <w:noProof w:val="1"/>
      <w:sz w:val="24"/>
      <w:szCs w:val="24"/>
      <w:lang w:eastAsia="sv-SE"/>
    </w:rPr>
  </w:style>
  <w:style w:type="character" w:styleId="C6">
    <w:name w:val="Rubrik 4 Char"/>
    <w:basedOn w:val="C0"/>
    <w:link w:val="P4"/>
    <w:rPr>
      <w:rFonts w:ascii="Barlow Semi Condensed" w:hAnsi="Barlow Semi Condensed" w:cs="Arial" w:eastAsiaTheme="majorEastAsia"/>
      <w:b w:val="1"/>
      <w:iCs w:val="1"/>
      <w:caps w:val="1"/>
    </w:rPr>
  </w:style>
  <w:style w:type="character" w:styleId="C7">
    <w:name w:val="Citat Char"/>
    <w:aliases w:val="Bildtexter Char"/>
    <w:basedOn w:val="C0"/>
    <w:link w:val="P11"/>
    <w:rPr>
      <w:rFonts w:ascii="Garamond" w:hAnsi="Garamond"/>
      <w:i w:val="1"/>
      <w:iCs w:val="1"/>
      <w:color w:val="404040" w:themeColor="text1" w:themeTint="BF"/>
      <w:sz w:val="24"/>
    </w:rPr>
  </w:style>
  <w:style w:type="character" w:styleId="C8">
    <w:name w:val="Subtle Reference1"/>
    <w:basedOn w:val="C0"/>
    <w:rPr>
      <w:smallCaps w:val="1"/>
      <w:color w:val="5A5A5A" w:themeColor="text1" w:themeTint="A5"/>
    </w:rPr>
  </w:style>
  <w:style w:type="character" w:styleId="C9">
    <w:name w:val="Sidhuvud Char"/>
    <w:basedOn w:val="C0"/>
    <w:link w:val="P13"/>
    <w:rPr>
      <w:rFonts w:ascii="Garamond" w:hAnsi="Garamond"/>
      <w:sz w:val="24"/>
    </w:rPr>
  </w:style>
  <w:style w:type="character" w:styleId="C10">
    <w:name w:val="Sidfot Char"/>
    <w:basedOn w:val="C0"/>
    <w:link w:val="P14"/>
    <w:rPr>
      <w:rFonts w:ascii="Garamond" w:hAnsi="Garamond"/>
      <w:sz w:val="24"/>
    </w:rPr>
  </w:style>
  <w:style w:type="character" w:styleId="C11">
    <w:name w:val="Rubrik 4 MK Char"/>
    <w:basedOn w:val="C5"/>
    <w:link w:val="P15"/>
    <w:rPr>
      <w:rFonts w:ascii="Garamond" w:hAnsi="Garamond" w:cstheme="majorBidi" w:eastAsiaTheme="majorEastAsia"/>
      <w:b w:val="1"/>
      <w:caps w:val="1"/>
      <w:noProof w:val="1"/>
      <w:sz w:val="24"/>
      <w:szCs w:val="24"/>
      <w:lang w:eastAsia="sv-SE"/>
    </w:rPr>
  </w:style>
  <w:style w:type="character" w:styleId="C12">
    <w:name w:val="Ballongtext Char"/>
    <w:basedOn w:val="C0"/>
    <w:link w:val="P17"/>
    <w:semiHidden/>
    <w:rPr>
      <w:rFonts w:ascii="Segoe UI" w:hAnsi="Segoe UI" w:cs="Segoe UI"/>
      <w:sz w:val="18"/>
      <w:szCs w:val="18"/>
    </w:rPr>
  </w:style>
  <w:style w:type="character" w:styleId="C13">
    <w:name w:val="Rubriknivå 4 Char"/>
    <w:basedOn w:val="C7"/>
    <w:link w:val="P18"/>
    <w:rPr>
      <w:rFonts w:ascii="Garamond" w:hAnsi="Garamond"/>
      <w:i w:val="1"/>
      <w:iCs w:val="1"/>
      <w:color w:val="404040" w:themeColor="text1" w:themeTint="BF"/>
      <w:sz w:val="25"/>
    </w:rPr>
  </w:style>
  <w:style w:type="character" w:styleId="C14">
    <w:name w:val="Anteckningsrubrik Char"/>
    <w:basedOn w:val="C0"/>
    <w:link w:val="P20"/>
    <w:semiHidden/>
    <w:rPr>
      <w:rFonts w:ascii="Garamond" w:hAnsi="Garamond"/>
      <w:sz w:val="25"/>
    </w:rPr>
  </w:style>
  <w:style w:type="character" w:styleId="C15">
    <w:name w:val="Avslutande text Char"/>
    <w:basedOn w:val="C0"/>
    <w:link w:val="P21"/>
    <w:semiHidden/>
    <w:rPr>
      <w:rFonts w:ascii="Garamond" w:hAnsi="Garamond"/>
      <w:sz w:val="25"/>
    </w:rPr>
  </w:style>
  <w:style w:type="character" w:styleId="C16">
    <w:name w:val="Brödtext Char"/>
    <w:basedOn w:val="C0"/>
    <w:link w:val="P24"/>
    <w:semiHidden/>
    <w:rPr>
      <w:rFonts w:ascii="Garamond" w:hAnsi="Garamond"/>
      <w:sz w:val="25"/>
    </w:rPr>
  </w:style>
  <w:style w:type="character" w:styleId="C17">
    <w:name w:val="Brödtext 2 Char"/>
    <w:basedOn w:val="C0"/>
    <w:link w:val="P25"/>
    <w:semiHidden/>
    <w:rPr>
      <w:rFonts w:ascii="Garamond" w:hAnsi="Garamond"/>
      <w:sz w:val="25"/>
    </w:rPr>
  </w:style>
  <w:style w:type="character" w:styleId="C18">
    <w:name w:val="Brödtext 3 Char"/>
    <w:basedOn w:val="C0"/>
    <w:link w:val="P26"/>
    <w:semiHidden/>
    <w:rPr>
      <w:rFonts w:ascii="Garamond" w:hAnsi="Garamond"/>
      <w:sz w:val="16"/>
      <w:szCs w:val="16"/>
    </w:rPr>
  </w:style>
  <w:style w:type="character" w:styleId="C19">
    <w:name w:val="Brödtext med första indrag Char"/>
    <w:basedOn w:val="C16"/>
    <w:link w:val="P27"/>
    <w:semiHidden/>
    <w:rPr>
      <w:rFonts w:ascii="Garamond" w:hAnsi="Garamond"/>
      <w:sz w:val="25"/>
    </w:rPr>
  </w:style>
  <w:style w:type="character" w:styleId="C20">
    <w:name w:val="Brödtext med indrag Char"/>
    <w:basedOn w:val="C0"/>
    <w:link w:val="P28"/>
    <w:semiHidden/>
    <w:rPr>
      <w:rFonts w:ascii="Garamond" w:hAnsi="Garamond"/>
      <w:sz w:val="25"/>
    </w:rPr>
  </w:style>
  <w:style w:type="character" w:styleId="C21">
    <w:name w:val="Brödtext med första indrag 2 Char"/>
    <w:basedOn w:val="C20"/>
    <w:link w:val="P29"/>
    <w:semiHidden/>
    <w:rPr>
      <w:rFonts w:ascii="Garamond" w:hAnsi="Garamond"/>
      <w:sz w:val="25"/>
    </w:rPr>
  </w:style>
  <w:style w:type="character" w:styleId="C22">
    <w:name w:val="Brödtext med indrag 2 Char"/>
    <w:basedOn w:val="C0"/>
    <w:link w:val="P30"/>
    <w:semiHidden/>
    <w:rPr>
      <w:rFonts w:ascii="Garamond" w:hAnsi="Garamond"/>
      <w:sz w:val="25"/>
    </w:rPr>
  </w:style>
  <w:style w:type="character" w:styleId="C23">
    <w:name w:val="Brödtext med indrag 3 Char"/>
    <w:basedOn w:val="C0"/>
    <w:link w:val="P31"/>
    <w:semiHidden/>
    <w:rPr>
      <w:rFonts w:ascii="Garamond" w:hAnsi="Garamond"/>
      <w:sz w:val="16"/>
      <w:szCs w:val="16"/>
    </w:rPr>
  </w:style>
  <w:style w:type="character" w:styleId="C24">
    <w:name w:val="Datum Char"/>
    <w:basedOn w:val="C0"/>
    <w:link w:val="P34"/>
    <w:semiHidden/>
    <w:rPr>
      <w:rFonts w:ascii="Garamond" w:hAnsi="Garamond"/>
      <w:sz w:val="25"/>
    </w:rPr>
  </w:style>
  <w:style w:type="character" w:styleId="C25">
    <w:name w:val="Dokumentöversikt Char"/>
    <w:basedOn w:val="C0"/>
    <w:link w:val="P35"/>
    <w:semiHidden/>
    <w:rPr>
      <w:rFonts w:ascii="Segoe UI" w:hAnsi="Segoe UI" w:cs="Segoe UI"/>
      <w:sz w:val="16"/>
      <w:szCs w:val="16"/>
    </w:rPr>
  </w:style>
  <w:style w:type="character" w:styleId="C26">
    <w:name w:val="E-postsignatur Char"/>
    <w:basedOn w:val="C0"/>
    <w:link w:val="P36"/>
    <w:semiHidden/>
    <w:rPr>
      <w:rFonts w:ascii="Garamond" w:hAnsi="Garamond"/>
      <w:sz w:val="25"/>
    </w:rPr>
  </w:style>
  <w:style w:type="character" w:styleId="C27">
    <w:name w:val="Fotnotstext Char"/>
    <w:basedOn w:val="C0"/>
    <w:link w:val="P38"/>
    <w:semiHidden/>
    <w:rPr>
      <w:rFonts w:ascii="Garamond" w:hAnsi="Garamond"/>
      <w:sz w:val="20"/>
      <w:szCs w:val="20"/>
    </w:rPr>
  </w:style>
  <w:style w:type="character" w:styleId="C28">
    <w:name w:val="HTML - adress Char"/>
    <w:basedOn w:val="C0"/>
    <w:link w:val="P39"/>
    <w:semiHidden/>
    <w:rPr>
      <w:rFonts w:ascii="Garamond" w:hAnsi="Garamond"/>
      <w:i w:val="1"/>
      <w:iCs w:val="1"/>
      <w:sz w:val="25"/>
    </w:rPr>
  </w:style>
  <w:style w:type="character" w:styleId="C29">
    <w:name w:val="HTML - förformaterad Char"/>
    <w:basedOn w:val="C0"/>
    <w:link w:val="P40"/>
    <w:semiHidden/>
    <w:rPr>
      <w:rFonts w:ascii="Consolas" w:hAnsi="Consolas"/>
      <w:sz w:val="20"/>
      <w:szCs w:val="20"/>
    </w:rPr>
  </w:style>
  <w:style w:type="character" w:styleId="C30">
    <w:name w:val="Inledning Char"/>
    <w:basedOn w:val="C0"/>
    <w:link w:val="P52"/>
    <w:semiHidden/>
    <w:rPr>
      <w:rFonts w:ascii="Garamond" w:hAnsi="Garamond"/>
      <w:sz w:val="25"/>
    </w:rPr>
  </w:style>
  <w:style w:type="character" w:styleId="C31">
    <w:name w:val="Kommentarer Char"/>
    <w:basedOn w:val="C0"/>
    <w:link w:val="P63"/>
    <w:rPr>
      <w:rFonts w:ascii="Garamond" w:hAnsi="Garamond"/>
      <w:sz w:val="20"/>
      <w:szCs w:val="20"/>
    </w:rPr>
  </w:style>
  <w:style w:type="character" w:styleId="C32">
    <w:name w:val="Kommentarsämne Char"/>
    <w:basedOn w:val="C31"/>
    <w:link w:val="P64"/>
    <w:semiHidden/>
    <w:rPr>
      <w:rFonts w:ascii="Garamond" w:hAnsi="Garamond"/>
      <w:b w:val="1"/>
      <w:bCs w:val="1"/>
      <w:sz w:val="20"/>
      <w:szCs w:val="20"/>
    </w:rPr>
  </w:style>
  <w:style w:type="character" w:styleId="C33">
    <w:name w:val="Makrotext Char"/>
    <w:basedOn w:val="C0"/>
    <w:link w:val="P76"/>
    <w:semiHidden/>
    <w:rPr>
      <w:rFonts w:ascii="Consolas" w:hAnsi="Consolas"/>
      <w:sz w:val="20"/>
      <w:szCs w:val="20"/>
    </w:rPr>
  </w:style>
  <w:style w:type="character" w:styleId="C34">
    <w:name w:val="Meddelanderubrik Char"/>
    <w:basedOn w:val="C0"/>
    <w:link w:val="P77"/>
    <w:semiHidden/>
    <w:rPr>
      <w:rFonts w:asciiTheme="majorHAnsi" w:hAnsiTheme="majorHAnsi" w:cstheme="majorBidi" w:eastAsiaTheme="majorEastAsia"/>
      <w:sz w:val="24"/>
      <w:szCs w:val="24"/>
      <w:shd w:val="pct20" w:color="auto" w:fill="auto"/>
    </w:rPr>
  </w:style>
  <w:style w:type="character" w:styleId="C35">
    <w:name w:val="Oformaterad text Char"/>
    <w:basedOn w:val="C0"/>
    <w:link w:val="P85"/>
    <w:semiHidden/>
    <w:rPr>
      <w:rFonts w:ascii="Consolas" w:hAnsi="Consolas"/>
      <w:sz w:val="21"/>
      <w:szCs w:val="21"/>
    </w:rPr>
  </w:style>
  <w:style w:type="character" w:styleId="C36">
    <w:name w:val="Rubrik Char"/>
    <w:basedOn w:val="C0"/>
    <w:link w:val="P91"/>
    <w:rPr>
      <w:rFonts w:asciiTheme="majorHAnsi" w:hAnsiTheme="majorHAnsi" w:cstheme="majorBidi" w:eastAsiaTheme="majorEastAsia"/>
      <w:sz w:val="56"/>
      <w:szCs w:val="56"/>
      <w:spacing w:val="-10"/>
      <w:kern w:val="28"/>
    </w:rPr>
  </w:style>
  <w:style w:type="character" w:styleId="C37">
    <w:name w:val="Rubrik 5 Char"/>
    <w:basedOn w:val="C0"/>
    <w:link w:val="P5"/>
    <w:rPr>
      <w:rFonts w:asciiTheme="majorHAnsi" w:hAnsiTheme="majorHAnsi" w:cstheme="majorBidi" w:eastAsiaTheme="majorEastAsia"/>
      <w:color w:val="005F7A" w:themeColor="accent1" w:themeShade="BF"/>
      <w:sz w:val="25"/>
    </w:rPr>
  </w:style>
  <w:style w:type="character" w:styleId="C38">
    <w:name w:val="Rubrik 6 Char"/>
    <w:basedOn w:val="C0"/>
    <w:link w:val="P6"/>
    <w:semiHidden/>
    <w:rPr>
      <w:rFonts w:asciiTheme="majorHAnsi" w:hAnsiTheme="majorHAnsi" w:cstheme="majorBidi" w:eastAsiaTheme="majorEastAsia"/>
      <w:color w:val="003F51" w:themeColor="accent1" w:themeShade="7F"/>
      <w:sz w:val="25"/>
    </w:rPr>
  </w:style>
  <w:style w:type="character" w:styleId="C39">
    <w:name w:val="Rubrik 7 Char"/>
    <w:basedOn w:val="C0"/>
    <w:link w:val="P7"/>
    <w:semiHidden/>
    <w:rPr>
      <w:rFonts w:asciiTheme="majorHAnsi" w:hAnsiTheme="majorHAnsi" w:cstheme="majorBidi" w:eastAsiaTheme="majorEastAsia"/>
      <w:i w:val="1"/>
      <w:iCs w:val="1"/>
      <w:color w:val="003F51" w:themeColor="accent1" w:themeShade="7F"/>
      <w:sz w:val="25"/>
    </w:rPr>
  </w:style>
  <w:style w:type="character" w:styleId="C40">
    <w:name w:val="Rubrik 8 Char"/>
    <w:basedOn w:val="C0"/>
    <w:link w:val="P8"/>
    <w:semiHidden/>
    <w:rPr>
      <w:rFonts w:asciiTheme="majorHAnsi" w:hAnsiTheme="majorHAnsi" w:cstheme="majorBidi" w:eastAsiaTheme="majorEastAsia"/>
      <w:color w:val="272727" w:themeColor="text1" w:themeTint="D8"/>
      <w:sz w:val="21"/>
      <w:szCs w:val="21"/>
    </w:rPr>
  </w:style>
  <w:style w:type="character" w:styleId="C41">
    <w:name w:val="Rubrik 9 Char"/>
    <w:basedOn w:val="C0"/>
    <w:link w:val="P9"/>
    <w:semiHidden/>
    <w:rPr>
      <w:rFonts w:asciiTheme="majorHAnsi" w:hAnsiTheme="majorHAnsi" w:cstheme="majorBidi" w:eastAsiaTheme="majorEastAsia"/>
      <w:i w:val="1"/>
      <w:iCs w:val="1"/>
      <w:color w:val="272727" w:themeColor="text1" w:themeTint="D8"/>
      <w:sz w:val="21"/>
      <w:szCs w:val="21"/>
    </w:rPr>
  </w:style>
  <w:style w:type="character" w:styleId="C42">
    <w:name w:val="Signatur Char"/>
    <w:basedOn w:val="C0"/>
    <w:link w:val="P92"/>
    <w:semiHidden/>
    <w:rPr>
      <w:rFonts w:ascii="Garamond" w:hAnsi="Garamond"/>
      <w:sz w:val="25"/>
    </w:rPr>
  </w:style>
  <w:style w:type="character" w:styleId="C43">
    <w:name w:val="Slutnotstext Char"/>
    <w:basedOn w:val="C0"/>
    <w:link w:val="P93"/>
    <w:semiHidden/>
    <w:rPr>
      <w:rFonts w:ascii="Garamond" w:hAnsi="Garamond"/>
      <w:sz w:val="20"/>
      <w:szCs w:val="20"/>
    </w:rPr>
  </w:style>
  <w:style w:type="character" w:styleId="C44">
    <w:name w:val="Starkt citat Char"/>
    <w:basedOn w:val="C0"/>
    <w:link w:val="P94"/>
    <w:rPr>
      <w:rFonts w:ascii="Garamond" w:hAnsi="Garamond"/>
      <w:i w:val="1"/>
      <w:iCs w:val="1"/>
      <w:color w:val="007FA3" w:themeColor="accent1"/>
      <w:sz w:val="25"/>
    </w:rPr>
  </w:style>
  <w:style w:type="character" w:styleId="C45">
    <w:name w:val="Underrubrik Char"/>
    <w:basedOn w:val="C0"/>
    <w:link w:val="P95"/>
    <w:rPr>
      <w:rFonts w:eastAsiaTheme="minorEastAsia"/>
      <w:color w:val="5A5A5A" w:themeColor="text1" w:themeTint="A5"/>
      <w:spacing w:val="15"/>
    </w:rPr>
  </w:style>
  <w:style w:type="character" w:styleId="C46">
    <w:name w:val="Förklaringstext Char"/>
    <w:link w:val="P96"/>
    <w:rPr>
      <w:rFonts w:ascii="Garamond" w:hAnsi="Garamond" w:cs="Times New Roman" w:eastAsia="Times New Roman"/>
      <w:i w:val="1"/>
      <w:color w:val="808080"/>
      <w:sz w:val="20"/>
      <w:szCs w:val="24"/>
      <w:lang w:eastAsia="sv-SE"/>
    </w:rPr>
  </w:style>
  <w:style w:type="character" w:styleId="C47">
    <w:name w:val="Pärmsida Char"/>
    <w:link w:val="P97"/>
    <w:rPr>
      <w:rFonts w:ascii="Barlow Semi Condensed" w:hAnsi="Barlow Semi Condensed" w:cs="Arial" w:eastAsia="Times New Roman"/>
      <w:bCs w:val="1"/>
      <w:iCs w:val="1"/>
      <w:sz w:val="18"/>
      <w:szCs w:val="28"/>
      <w:lang w:eastAsia="sv-SE"/>
    </w:rPr>
  </w:style>
  <w:style w:type="character" w:styleId="C48">
    <w:name w:val="annotation reference"/>
    <w:basedOn w:val="C0"/>
    <w:rPr>
      <w:sz w:val="16"/>
      <w:szCs w:val="16"/>
    </w:rPr>
  </w:style>
  <w:style w:type="character" w:styleId="C49">
    <w:name w:val="Emphasis"/>
    <w:qFormat/>
    <w:rPr>
      <w:i w:val="1"/>
      <w:iCs w:val="1"/>
    </w:rPr>
  </w:style>
  <w:style w:type="character" w:styleId="C50">
    <w:name w:val="Brödtexten Char"/>
    <w:link w:val="P98"/>
    <w:rPr>
      <w:rFonts w:ascii="Garamond" w:hAnsi="Garamond" w:cs="Times New Roman" w:eastAsia="Times New Roman"/>
      <w:sz w:val="24"/>
      <w:szCs w:val="24"/>
      <w:lang w:eastAsia="sv-SE"/>
    </w:rPr>
  </w:style>
  <w:style w:type="character" w:styleId="C51">
    <w:name w:val="Footnote Reference"/>
    <w:semiHidden/>
    <w:rPr>
      <w:vertAlign w:val="superscript"/>
    </w:rPr>
  </w:style>
  <w:style w:type="character" w:styleId="C52">
    <w:name w:val="Olöst omnämnande1"/>
    <w:basedOn w:val="C0"/>
    <w:semiHidden/>
    <w:rPr>
      <w:color w:val="605E5C"/>
      <w:shd w:val="clear" w:color="auto" w:fill="E1DFDD"/>
    </w:rPr>
  </w:style>
  <w:style w:type="character" w:styleId="C53">
    <w:name w:val="Olöst omnämnande2"/>
    <w:basedOn w:val="C0"/>
    <w:semiHidden/>
    <w:rPr>
      <w:color w:val="605E5C"/>
      <w:shd w:val="clear" w:color="auto" w:fill="E1DFDD"/>
    </w:rPr>
  </w:style>
  <w:style w:type="character" w:styleId="C54">
    <w:name w:val="Unresolved Mention1"/>
    <w:basedOn w:val="C0"/>
    <w:semiHidden/>
    <w:rPr>
      <w:color w:val="605E5C"/>
      <w:shd w:val="clear" w:color="auto" w:fill="E1DFDD"/>
    </w:rPr>
  </w:style>
  <w:style w:type="character" w:styleId="C55">
    <w:name w:val="cf01"/>
    <w:basedOn w:val="C0"/>
    <w:rPr>
      <w:rFonts w:ascii="Segoe UI" w:hAnsi="Segoe UI" w:cs="Segoe UI" w:hint="default"/>
      <w:sz w:val="18"/>
      <w:szCs w:val="18"/>
    </w:rPr>
  </w:style>
  <w:style w:type="character" w:styleId="C56">
    <w:name w:val="Footnote Text Char"/>
    <w:semiHidden/>
    <w:rPr>
      <w:sz w:val="20"/>
      <w:szCs w:val="20"/>
    </w:rPr>
  </w:style>
  <w:style w:type="character" w:styleId="C57">
    <w:name w:val="Endnote Reference"/>
    <w:semiHidden/>
    <w:rPr>
      <w:vertAlign w:val="superscript"/>
    </w:rPr>
  </w:style>
  <w:style w:type="character" w:styleId="C58">
    <w:name w:val="Endnote Text Char"/>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3">
    <w:name w:val="Plain Table 11"/>
    <w:aliases w:val="Motala"/>
    <w:basedOn w:val="T0"/>
    <w:rPr>
      <w:rFonts w:ascii="Barlow" w:hAnsi="Barlow"/>
      <w:sz w:val="20"/>
    </w:rPr>
    <w:tblPr>
      <w:tblStyleRowBandSize w:val="1"/>
      <w:tblStyleColBandSize w:val="1"/>
      <w:tblBorders>
        <w:top w:val="single" w:sz="4" w:space="0" w:shadow="0" w:frame="0" w:color="BFBFBF" w:themeColor="background1" w:themeShade="BF"/>
        <w:left w:val="single" w:sz="4" w:space="0" w:shadow="0" w:frame="0" w:color="BFBFBF" w:themeColor="background1" w:themeShade="BF"/>
        <w:bottom w:val="single" w:sz="4" w:space="0" w:shadow="0" w:frame="0" w:color="BFBFBF" w:themeColor="background1" w:themeShade="BF"/>
        <w:right w:val="single" w:sz="4" w:space="0" w:shadow="0" w:frame="0" w:color="BFBFBF" w:themeColor="background1" w:themeShade="BF"/>
        <w:insideH w:val="single" w:sz="4" w:space="0" w:shadow="0" w:frame="0" w:color="BFBFBF" w:themeColor="background1" w:themeShade="BF"/>
        <w:insideV w:val="single" w:sz="4" w:space="0" w:shadow="0" w:frame="0" w:color="BFBFBF" w:themeColor="background1" w:themeShade="BF"/>
      </w:tblBorders>
    </w:tblPr>
    <w:trPr/>
    <w:tcPr/>
    <w:tblStylePr w:type="band2Horz">
      <w:rPr>
        <w:rFonts w:ascii="Barlow" w:hAnsi="Barlow"/>
        <w:sz w:val="20"/>
      </w:rPr>
      <w:tblPr/>
      <w:trPr/>
      <w:tcPr/>
    </w:tblStylePr>
    <w:tblStylePr w:type="band1Horz">
      <w:rPr>
        <w:rFonts w:ascii="Barlow" w:hAnsi="Barlow"/>
        <w:sz w:val="20"/>
      </w:rPr>
      <w:tblPr/>
      <w:trPr/>
      <w:tcPr>
        <w:shd w:val="clear" w:color="auto" w:fill="F2F2F2" w:themeFill="background1" w:themeFillShade="F2"/>
      </w:tcPr>
    </w:tblStylePr>
    <w:tblStylePr w:type="band1Vert">
      <w:tblPr/>
      <w:trPr/>
      <w:tcPr>
        <w:shd w:val="clear" w:color="auto" w:fill="F2F2F2" w:themeFill="background1" w:themeFillShade="F2"/>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BFBFBF" w:themeColor="background1" w:themeShade="BF"/>
        </w:tcBorders>
      </w:tcPr>
    </w:tblStylePr>
    <w:tblStylePr w:type="firstRow">
      <w:rPr>
        <w:rFonts w:ascii="Barlow Semi Condensed" w:hAnsi="Barlow Semi Condensed"/>
        <w:b w:val="1"/>
        <w:bCs w:val="1"/>
        <w:sz w:val="20"/>
      </w:rPr>
      <w:tblPr/>
      <w:trPr/>
      <w:tcPr/>
    </w:tblStylePr>
  </w:style>
  <w:style w:type="table" w:styleId="T4">
    <w:name w:val="Plain Table 21"/>
    <w:basedOn w:val="T0"/>
    <w:tblPr>
      <w:tblStyleRowBandSize w:val="1"/>
      <w:tblStyleColBandSize w:val="1"/>
      <w:tblBorders>
        <w:top w:val="single" w:sz="4" w:space="0" w:shadow="0" w:frame="0" w:color="7F7F7F" w:themeColor="text1" w:themeTint="80"/>
        <w:bottom w:val="single" w:sz="4" w:space="0" w:shadow="0" w:frame="0" w:color="7F7F7F" w:themeColor="text1" w:themeTint="80"/>
      </w:tblBorders>
    </w:tblPr>
    <w:trPr/>
    <w:tcPr/>
    <w:tblStylePr w:type="band1Horz">
      <w:tblPr/>
      <w:trPr/>
      <w:tcPr>
        <w:tcBorders>
          <w:top w:val="single" w:sz="4" w:space="0" w:shadow="0" w:frame="0" w:color="7F7F7F" w:themeColor="text1" w:themeTint="80"/>
          <w:bottom w:val="single" w:sz="4" w:space="0" w:shadow="0" w:frame="0" w:color="7F7F7F" w:themeColor="text1" w:themeTint="80"/>
        </w:tcBorders>
      </w:tcPr>
    </w:tblStylePr>
    <w:tblStylePr w:type="band2Vert">
      <w:tblPr/>
      <w:trPr/>
      <w:tcPr>
        <w:tcBorders>
          <w:left w:val="single" w:sz="4" w:space="0" w:shadow="0" w:frame="0" w:color="7F7F7F" w:themeColor="text1" w:themeTint="80"/>
          <w:right w:val="single" w:sz="4" w:space="0" w:shadow="0" w:frame="0" w:color="7F7F7F" w:themeColor="text1" w:themeTint="80"/>
        </w:tcBorders>
      </w:tcPr>
    </w:tblStylePr>
    <w:tblStylePr w:type="band1Vert">
      <w:tblPr/>
      <w:trPr/>
      <w:tcPr>
        <w:tcBorders>
          <w:left w:val="single" w:sz="4" w:space="0" w:shadow="0" w:frame="0" w:color="7F7F7F" w:themeColor="text1" w:themeTint="80"/>
          <w:right w:val="single" w:sz="4" w:space="0" w:shadow="0" w:frame="0" w:color="7F7F7F" w:themeColor="text1" w:themeTint="80"/>
        </w:tcBorders>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4" w:space="0" w:shadow="0" w:frame="0" w:color="7F7F7F" w:themeColor="text1" w:themeTint="80"/>
        </w:tcBorders>
      </w:tcPr>
    </w:tblStylePr>
    <w:tblStylePr w:type="firstRow">
      <w:rPr>
        <w:b w:val="1"/>
        <w:bCs w:val="1"/>
      </w:rPr>
      <w:tblPr/>
      <w:trPr/>
      <w:tcPr>
        <w:tcBorders>
          <w:bottom w:val="single" w:sz="4" w:space="0" w:shadow="0" w:frame="0" w:color="7F7F7F" w:themeColor="text1" w:themeTint="80"/>
        </w:tcBorders>
      </w:tcPr>
    </w:tblStylePr>
  </w:style>
  <w:style w:type="table" w:styleId="T5">
    <w:name w:val="Plain Table 41"/>
    <w:basedOn w:val="T0"/>
    <w:tblPr>
      <w:tblStyleRowBandSize w:val="1"/>
      <w:tblStyleColBandSize w:val="1"/>
    </w:tblPr>
    <w:trPr/>
    <w:tcPr/>
    <w:tblStylePr w:type="band1Horz">
      <w:tblPr/>
      <w:trPr/>
      <w:tcPr>
        <w:shd w:val="clear" w:color="auto" w:fill="F2F2F2" w:themeFill="background1" w:themeFillShade="F2"/>
      </w:tcPr>
    </w:tblStylePr>
    <w:tblStylePr w:type="band1Vert">
      <w:tblPr/>
      <w:trPr/>
      <w:tcPr>
        <w:shd w:val="clear" w:color="auto" w:fill="F2F2F2" w:themeFill="background1" w:themeFillShade="F2"/>
      </w:tcPr>
    </w:tblStylePr>
    <w:tblStylePr w:type="lastCol">
      <w:rPr>
        <w:b w:val="1"/>
        <w:bCs w:val="1"/>
      </w:rPr>
      <w:tblPr/>
      <w:trPr/>
      <w:tcPr/>
    </w:tblStylePr>
    <w:tblStylePr w:type="firstCol">
      <w:rPr>
        <w:b w:val="1"/>
        <w:bCs w:val="1"/>
      </w:rPr>
      <w:tblPr/>
      <w:trPr/>
      <w:tcPr/>
    </w:tblStylePr>
    <w:tblStylePr w:type="lastRow">
      <w:rPr>
        <w:b w:val="1"/>
        <w:bCs w:val="1"/>
      </w:rPr>
      <w:tblPr/>
      <w:trPr/>
      <w:tcPr/>
    </w:tblStylePr>
    <w:tblStylePr w:type="firstRow">
      <w:rPr>
        <w:b w:val="1"/>
        <w:bCs w:val="1"/>
      </w:rPr>
      <w:tblPr/>
      <w:trPr/>
      <w:tcPr/>
    </w:tblStylePr>
  </w:style>
  <w:style w:type="table" w:styleId="T6">
    <w:name w:val="Grid Table 5 Dark Accent 1"/>
    <w:aliases w:val="Motala kommun"/>
    <w:basedOn w:val="T0"/>
    <w:rPr>
      <w:rFonts w:ascii="Barlow" w:hAnsi="Barlow"/>
      <w:sz w:val="20"/>
    </w:rPr>
    <w:tblPr>
      <w:tblStyleRowBandSize w:val="1"/>
      <w:tblStyleColBandSize w:val="1"/>
      <w:tblBorders>
        <w:top w:val="single" w:sz="4" w:space="0" w:shadow="0" w:frame="0" w:color="BDF1FF"/>
        <w:left w:val="single" w:sz="4" w:space="0" w:shadow="0" w:frame="0" w:color="BDF1FF"/>
        <w:bottom w:val="single" w:sz="4" w:space="0" w:shadow="0" w:frame="0" w:color="BDF1FF"/>
        <w:right w:val="single" w:sz="4" w:space="0" w:shadow="0" w:frame="0" w:color="BDF1FF"/>
        <w:insideH w:val="single" w:sz="4" w:space="0" w:shadow="0" w:frame="0" w:color="BDF1FF"/>
        <w:insideV w:val="single" w:sz="4" w:space="0" w:shadow="0" w:frame="0" w:color="BDF1FF"/>
      </w:tblBorders>
    </w:tblPr>
    <w:trPr/>
    <w:tcPr>
      <w:shd w:val="clear" w:color="auto" w:fill="BDF1FF"/>
    </w:tcPr>
    <w:tblStylePr w:type="band1Horz">
      <w:tblPr/>
      <w:trPr/>
      <w:tcPr>
        <w:shd w:val="clear" w:color="auto" w:fill="74E0FF" w:themeFill="accent1" w:themeFillTint="66"/>
      </w:tcPr>
    </w:tblStylePr>
    <w:tblStylePr w:type="band1Vert">
      <w:tblPr/>
      <w:trPr/>
      <w:tcPr>
        <w:shd w:val="clear" w:color="auto" w:fill="74E0FF" w:themeFill="accent1" w:themeFillTint="66"/>
      </w:tcPr>
    </w:tblStylePr>
    <w:tblStylePr w:type="lastCol">
      <w:rPr>
        <w:b w:val="1"/>
        <w:bCs w:val="1"/>
        <w:color w:val="FFFFFF" w:themeColor="background1"/>
      </w:rPr>
      <w:tblPr/>
      <w:trPr/>
      <w:tcPr>
        <w:tcBorders>
          <w:top w:val="single" w:sz="4" w:space="0" w:shadow="0" w:frame="0" w:color="FFFFFF" w:themeColor="background1"/>
          <w:bottom w:val="single" w:sz="4" w:space="0" w:shadow="0" w:frame="0" w:color="FFFFFF" w:themeColor="background1"/>
          <w:right w:val="single" w:sz="4" w:space="0" w:shadow="0" w:frame="0" w:color="FFFFFF" w:themeColor="background1"/>
          <w:insideV w:val="nil"/>
        </w:tcBorders>
        <w:shd w:val="clear" w:color="auto" w:fill="007FA3" w:themeFill="accent1"/>
      </w:tcPr>
    </w:tblStylePr>
    <w:tblStylePr w:type="firstCol">
      <w:rPr>
        <w:b w:val="1"/>
        <w:bCs w:val="1"/>
        <w:color w:val="FFFFFF" w:themeColor="background1"/>
      </w:rPr>
      <w:tblPr/>
      <w:trPr/>
      <w:tcPr>
        <w:tcBorders>
          <w:top w:val="single" w:sz="4" w:space="0" w:shadow="0" w:frame="0" w:color="FFFFFF" w:themeColor="background1"/>
          <w:left w:val="single" w:sz="4" w:space="0" w:shadow="0" w:frame="0" w:color="FFFFFF" w:themeColor="background1"/>
          <w:bottom w:val="single" w:sz="4" w:space="0" w:shadow="0" w:frame="0" w:color="FFFFFF" w:themeColor="background1"/>
          <w:insideV w:val="nil"/>
        </w:tcBorders>
        <w:shd w:val="clear" w:color="auto" w:fill="007FA3" w:themeFill="accent1"/>
      </w:tcPr>
    </w:tblStylePr>
    <w:tblStylePr w:type="lastRow">
      <w:rPr>
        <w:b w:val="1"/>
        <w:bCs w:val="1"/>
        <w:color w:val="FFFFFF" w:themeColor="background1"/>
      </w:rPr>
      <w:tblPr/>
      <w:trPr/>
      <w:tcPr>
        <w:tcBorders>
          <w:left w:val="single" w:sz="4" w:space="0" w:shadow="0" w:frame="0" w:color="FFFFFF" w:themeColor="background1"/>
          <w:bottom w:val="single" w:sz="4" w:space="0" w:shadow="0" w:frame="0" w:color="FFFFFF" w:themeColor="background1"/>
          <w:right w:val="single" w:sz="4" w:space="0" w:shadow="0" w:frame="0" w:color="FFFFFF" w:themeColor="background1"/>
          <w:insideH w:val="nil"/>
          <w:insideV w:val="nil"/>
        </w:tcBorders>
        <w:shd w:val="clear" w:color="auto" w:fill="007FA3" w:themeFill="accent1"/>
      </w:tcPr>
    </w:tblStylePr>
    <w:tblStylePr w:type="firstRow">
      <w:rPr>
        <w:b w:val="1"/>
        <w:bCs w:val="1"/>
        <w:color w:val="FFFFFF" w:themeColor="background1"/>
      </w:rPr>
      <w:tblPr/>
      <w:trPr/>
      <w:tcPr>
        <w:tcBorders>
          <w:top w:val="single" w:sz="4" w:space="0" w:shadow="0" w:frame="0" w:color="FFFFFF" w:themeColor="background1"/>
          <w:left w:val="single" w:sz="4" w:space="0" w:shadow="0" w:frame="0" w:color="FFFFFF" w:themeColor="background1"/>
          <w:right w:val="single" w:sz="4" w:space="0" w:shadow="0" w:frame="0" w:color="FFFFFF" w:themeColor="background1"/>
          <w:insideH w:val="nil"/>
          <w:insideV w:val="nil"/>
        </w:tcBorders>
        <w:shd w:val="clear" w:color="auto" w:fill="007FA3" w:themeFill="accent1"/>
      </w:tcPr>
    </w:tblStylePr>
  </w:style>
  <w:style w:type="table" w:styleId="T7">
    <w:name w:val="Grid Table 4 Accent 1"/>
    <w:basedOn w:val="T0"/>
    <w:rPr>
      <w:rFonts w:ascii="Barlow" w:hAnsi="Barlow"/>
      <w:sz w:val="18"/>
    </w:rPr>
    <w:tblPr>
      <w:tblStyleRowBandSize w:val="1"/>
      <w:tblStyleColBandSize w:val="1"/>
      <w:tblBorders>
        <w:top w:val="single" w:sz="4" w:space="0" w:shadow="0" w:frame="0" w:color="2FD1FF" w:themeColor="accent1" w:themeTint="99"/>
        <w:left w:val="single" w:sz="4" w:space="0" w:shadow="0" w:frame="0" w:color="2FD1FF" w:themeColor="accent1" w:themeTint="99"/>
        <w:bottom w:val="single" w:sz="4" w:space="0" w:shadow="0" w:frame="0" w:color="2FD1FF" w:themeColor="accent1" w:themeTint="99"/>
        <w:right w:val="single" w:sz="4" w:space="0" w:shadow="0" w:frame="0" w:color="2FD1FF" w:themeColor="accent1" w:themeTint="99"/>
        <w:insideH w:val="single" w:sz="4" w:space="0" w:shadow="0" w:frame="0" w:color="2FD1FF" w:themeColor="accent1" w:themeTint="99"/>
        <w:insideV w:val="single" w:sz="4" w:space="0" w:shadow="0" w:frame="0" w:color="2FD1FF" w:themeColor="accent1" w:themeTint="99"/>
      </w:tblBorders>
    </w:tblPr>
    <w:trPr/>
    <w:tcPr/>
    <w:tblStylePr w:type="band1Horz">
      <w:tblPr/>
      <w:trPr/>
      <w:tcPr>
        <w:shd w:val="clear" w:color="auto" w:fill="BBF0FF" w:themeFill="accent1" w:themeFillTint="31"/>
      </w:tcPr>
    </w:tblStylePr>
    <w:tblStylePr w:type="band1Vert">
      <w:tblPr/>
      <w:trPr/>
      <w:tcPr>
        <w:shd w:val="clear" w:color="auto" w:fill="BBF0FF" w:themeFill="accent1" w:themeFillTint="31"/>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007FA3" w:themeColor="accent1"/>
        </w:tcBorders>
      </w:tcPr>
    </w:tblStylePr>
    <w:tblStylePr w:type="firstRow">
      <w:rPr>
        <w:b w:val="1"/>
        <w:bCs w:val="1"/>
        <w:color w:val="FFFFFF" w:themeColor="background1"/>
      </w:rPr>
      <w:tblPr/>
      <w:trPr/>
      <w:tcPr>
        <w:tc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insideH w:val="nil"/>
          <w:insideV w:val="nil"/>
        </w:tcBorders>
        <w:shd w:val="clear" w:color="auto" w:fill="007FA3" w:themeFill="accent1"/>
      </w:tcPr>
    </w:tblStylePr>
  </w:style>
  <w:style w:type="table" w:styleId="T8">
    <w:name w:val="List Table 3 Accent 1"/>
    <w:basedOn w:val="T0"/>
    <w:tblPr>
      <w:tblStyleRowBandSize w:val="1"/>
      <w:tblStyleColBandSize w:val="1"/>
      <w:tblBorders>
        <w:top w:val="single" w:sz="4" w:space="0" w:shadow="0" w:frame="0" w:color="007FA3" w:themeColor="accent1"/>
        <w:left w:val="single" w:sz="4" w:space="0" w:shadow="0" w:frame="0" w:color="007FA3" w:themeColor="accent1"/>
        <w:bottom w:val="single" w:sz="4" w:space="0" w:shadow="0" w:frame="0" w:color="007FA3" w:themeColor="accent1"/>
        <w:right w:val="single" w:sz="4" w:space="0" w:shadow="0" w:frame="0" w:color="007FA3" w:themeColor="accent1"/>
      </w:tblBorders>
    </w:tblPr>
    <w:trPr/>
    <w:tcPr/>
    <w:tblStylePr w:type="swCell">
      <w:tblPr/>
      <w:trPr/>
      <w:tcPr>
        <w:tcBorders>
          <w:top w:val="double" w:sz="4" w:space="0" w:shadow="0" w:frame="0" w:color="007FA3" w:themeColor="accent1"/>
          <w:right w:val="nil"/>
        </w:tcBorders>
      </w:tcPr>
    </w:tblStylePr>
    <w:tblStylePr w:type="seCell">
      <w:tblPr/>
      <w:trPr/>
      <w:tcPr>
        <w:tcBorders>
          <w:top w:val="double" w:sz="4" w:space="0" w:shadow="0" w:frame="0" w:color="007FA3" w:themeColor="accent1"/>
          <w:left w:val="nil"/>
        </w:tcBorders>
      </w:tcPr>
    </w:tblStylePr>
    <w:tblStylePr w:type="nwCell">
      <w:tblPr/>
      <w:trPr/>
      <w:tcPr>
        <w:tcBorders>
          <w:bottom w:val="nil"/>
          <w:right w:val="nil"/>
        </w:tcBorders>
      </w:tcPr>
    </w:tblStylePr>
    <w:tblStylePr w:type="neCell">
      <w:tblPr/>
      <w:trPr/>
      <w:tcPr>
        <w:tcBorders>
          <w:left w:val="nil"/>
          <w:bottom w:val="nil"/>
        </w:tcBorders>
      </w:tcPr>
    </w:tblStylePr>
    <w:tblStylePr w:type="band1Horz">
      <w:tblPr/>
      <w:trPr/>
      <w:tcPr>
        <w:tcBorders>
          <w:top w:val="single" w:sz="4" w:space="0" w:shadow="0" w:frame="0" w:color="007FA3" w:themeColor="accent1"/>
          <w:bottom w:val="single" w:sz="4" w:space="0" w:shadow="0" w:frame="0" w:color="007FA3" w:themeColor="accent1"/>
          <w:insideH w:val="nil"/>
        </w:tcBorders>
      </w:tcPr>
    </w:tblStylePr>
    <w:tblStylePr w:type="band1Vert">
      <w:tblPr/>
      <w:trPr/>
      <w:tcPr>
        <w:tcBorders>
          <w:left w:val="single" w:sz="4" w:space="0" w:shadow="0" w:frame="0" w:color="007FA3" w:themeColor="accent1"/>
          <w:right w:val="single" w:sz="4" w:space="0" w:shadow="0" w:frame="0" w:color="007FA3" w:themeColor="accent1"/>
        </w:tcBorders>
      </w:tcPr>
    </w:tblStylePr>
    <w:tblStylePr w:type="lastCol">
      <w:rPr>
        <w:b w:val="1"/>
        <w:bCs w:val="1"/>
      </w:rPr>
      <w:tblPr/>
      <w:trPr/>
      <w:tcPr>
        <w:tcBorders>
          <w:left w:val="nil"/>
        </w:tcBorders>
        <w:shd w:val="clear" w:color="auto" w:fill="FFFFFF" w:themeFill="background1"/>
      </w:tcPr>
    </w:tblStylePr>
    <w:tblStylePr w:type="firstCol">
      <w:rPr>
        <w:b w:val="1"/>
        <w:bCs w:val="1"/>
      </w:rPr>
      <w:tblPr/>
      <w:trPr/>
      <w:tcPr>
        <w:tcBorders>
          <w:right w:val="nil"/>
        </w:tcBorders>
        <w:shd w:val="clear" w:color="auto" w:fill="FFFFFF" w:themeFill="background1"/>
      </w:tcPr>
    </w:tblStylePr>
    <w:tblStylePr w:type="lastRow">
      <w:rPr>
        <w:b w:val="1"/>
        <w:bCs w:val="1"/>
      </w:rPr>
      <w:tblPr/>
      <w:trPr/>
      <w:tcPr>
        <w:tcBorders>
          <w:top w:val="double" w:sz="4" w:space="0" w:shadow="0" w:frame="0" w:color="007FA3" w:themeColor="accent1"/>
        </w:tcBorders>
        <w:shd w:val="clear" w:color="auto" w:fill="FFFFFF" w:themeFill="background1"/>
      </w:tcPr>
    </w:tblStylePr>
    <w:tblStylePr w:type="firstRow">
      <w:rPr>
        <w:b w:val="1"/>
        <w:bCs w:val="1"/>
        <w:color w:val="FFFFFF" w:themeColor="background1"/>
      </w:rPr>
      <w:tblPr/>
      <w:trPr/>
      <w:tcPr>
        <w:shd w:val="clear" w:color="auto" w:fill="007FA3" w:themeFill="accent1"/>
      </w:tcPr>
    </w:tblStylePr>
  </w:style>
  <w:style w:type="table" w:styleId="T9">
    <w:name w:val="Grid Table 1 Light1"/>
    <w:basedOn w:val="T0"/>
    <w:tblPr>
      <w:tblStyleRowBandSize w:val="1"/>
      <w:tblStyleColBandSize w:val="1"/>
      <w:tblBorders>
        <w:top w:val="single" w:sz="4" w:space="0" w:shadow="0" w:frame="0" w:color="999999" w:themeColor="text1" w:themeTint="66"/>
        <w:left w:val="single" w:sz="4" w:space="0" w:shadow="0" w:frame="0" w:color="999999" w:themeColor="text1" w:themeTint="66"/>
        <w:bottom w:val="single" w:sz="4" w:space="0" w:shadow="0" w:frame="0" w:color="999999" w:themeColor="text1" w:themeTint="66"/>
        <w:right w:val="single" w:sz="4" w:space="0" w:shadow="0" w:frame="0" w:color="999999" w:themeColor="text1" w:themeTint="66"/>
        <w:insideH w:val="single" w:sz="4" w:space="0" w:shadow="0" w:frame="0" w:color="999999" w:themeColor="text1" w:themeTint="66"/>
        <w:insideV w:val="single" w:sz="4" w:space="0" w:shadow="0" w:frame="0" w:color="999999" w:themeColor="text1" w:themeTint="66"/>
      </w:tblBorders>
    </w:tblPr>
    <w:trPr/>
    <w:tc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2" w:space="0" w:shadow="0" w:frame="0" w:color="666666" w:themeColor="text1" w:themeTint="99"/>
        </w:tcBorders>
      </w:tcPr>
    </w:tblStylePr>
    <w:tblStylePr w:type="firstRow">
      <w:rPr>
        <w:b w:val="1"/>
        <w:bCs w:val="1"/>
      </w:rPr>
      <w:tblPr/>
      <w:trPr/>
      <w:tcPr>
        <w:tcBorders>
          <w:bottom w:val="single" w:sz="12" w:space="0" w:shadow="0" w:frame="0" w:color="666666" w:themeColor="text1" w:themeTint="99"/>
        </w:tcBorders>
      </w:tcPr>
    </w:tblStylePr>
  </w:style>
  <w:style w:type="table" w:styleId="T10">
    <w:name w:val="Grid Table 1 Light Accent 2"/>
    <w:basedOn w:val="T0"/>
    <w:tblPr>
      <w:tblStyleRowBandSize w:val="1"/>
      <w:tblStyleColBandSize w:val="1"/>
      <w:tblBorders>
        <w:top w:val="single" w:sz="4" w:space="0" w:shadow="0" w:frame="0" w:color="EB9EB8" w:themeColor="accent2" w:themeTint="66"/>
        <w:left w:val="single" w:sz="4" w:space="0" w:shadow="0" w:frame="0" w:color="EB9EB8" w:themeColor="accent2" w:themeTint="66"/>
        <w:bottom w:val="single" w:sz="4" w:space="0" w:shadow="0" w:frame="0" w:color="EB9EB8" w:themeColor="accent2" w:themeTint="66"/>
        <w:right w:val="single" w:sz="4" w:space="0" w:shadow="0" w:frame="0" w:color="EB9EB8" w:themeColor="accent2" w:themeTint="66"/>
        <w:insideH w:val="single" w:sz="4" w:space="0" w:shadow="0" w:frame="0" w:color="EB9EB8" w:themeColor="accent2" w:themeTint="66"/>
        <w:insideV w:val="single" w:sz="4" w:space="0" w:shadow="0" w:frame="0" w:color="EB9EB8" w:themeColor="accent2" w:themeTint="66"/>
      </w:tblBorders>
    </w:tblPr>
    <w:trPr/>
    <w:tc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2" w:space="0" w:shadow="0" w:frame="0" w:color="E16E94" w:themeColor="accent2" w:themeTint="99"/>
        </w:tcBorders>
      </w:tcPr>
    </w:tblStylePr>
    <w:tblStylePr w:type="firstRow">
      <w:rPr>
        <w:b w:val="1"/>
        <w:bCs w:val="1"/>
      </w:rPr>
      <w:tblPr/>
      <w:trPr/>
      <w:tcPr>
        <w:tcBorders>
          <w:bottom w:val="single" w:sz="12" w:space="0" w:shadow="0" w:frame="0" w:color="E16E94" w:themeColor="accent2" w:themeTint="99"/>
        </w:tcBorders>
      </w:tcPr>
    </w:tblStylePr>
  </w:style>
  <w:style w:type="numbering" w:styleId="N0">
    <w:name w:val="No List"/>
  </w:style>
  <w:style w:type="numbering" w:styleId="N1">
    <w:name w:val="Lista MK"/>
    <w:pPr>
      <w:numPr>
        <w:numId w:val="2"/>
      </w:numPr>
    </w:pPr>
  </w:style>
</w:styles>
</file>

<file path=word/_rels/document.xml.rels>&#65279;<?xml version="1.0" encoding="utf-8"?><Relationships xmlns="http://schemas.openxmlformats.org/package/2006/relationships"><Relationship Id="Relimage4" Type="http://schemas.openxmlformats.org/officeDocument/2006/relationships/image" Target="/media/image4.jpg" /><Relationship Id="Relimage5" Type="http://schemas.openxmlformats.org/officeDocument/2006/relationships/image" Target="/media/image5.jpg" /><Relationship Id="Relimage6" Type="http://schemas.openxmlformats.org/officeDocument/2006/relationships/image" Target="/media/image6.jpg" /><Relationship Id="Relimage7" Type="http://schemas.openxmlformats.org/officeDocument/2006/relationships/image" Target="/media/image7.jpg" /><Relationship Id="Relimage8" Type="http://schemas.openxmlformats.org/officeDocument/2006/relationships/image" Target="/media/image8.jpg" /><Relationship Id="Relimage9" Type="http://schemas.openxmlformats.org/officeDocument/2006/relationships/image" Target="/media/image9.emf" /><Relationship Id="Relimage10" Type="http://schemas.openxmlformats.org/officeDocument/2006/relationships/image" Target="/media/image10.emf" /><Relationship Id="Relimage11" Type="http://schemas.openxmlformats.org/officeDocument/2006/relationships/image" Target="/media/image11.jpg" /><Relationship Id="Relimage12" Type="http://schemas.openxmlformats.org/officeDocument/2006/relationships/image" Target="/media/image12.jpg" /><Relationship Id="Relimage13" Type="http://schemas.openxmlformats.org/officeDocument/2006/relationships/image" Target="/media/image13.jpg" /><Relationship Id="Relimage14" Type="http://schemas.openxmlformats.org/officeDocument/2006/relationships/image" Target="/media/image14.emf" /><Relationship Id="Relimage15" Type="http://schemas.openxmlformats.org/officeDocument/2006/relationships/image" Target="/media/image15.emf" /><Relationship Id="Relimage16" Type="http://schemas.openxmlformats.org/officeDocument/2006/relationships/image" Target="/media/image16.emf" /><Relationship Id="Relimage17" Type="http://schemas.openxmlformats.org/officeDocument/2006/relationships/image" Target="/media/image17.emf" /><Relationship Id="Relimage18" Type="http://schemas.openxmlformats.org/officeDocument/2006/relationships/image" Target="/media/image18.emf" /><Relationship Id="Relimage19" Type="http://schemas.openxmlformats.org/officeDocument/2006/relationships/image" Target="/media/image19.png"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Hdr4" Type="http://schemas.openxmlformats.org/officeDocument/2006/relationships/header" Target="header4.xml" /><Relationship Id="RelFtr1" Type="http://schemas.openxmlformats.org/officeDocument/2006/relationships/footer" Target="footer1.xml" /><Relationship Id="RelFtr2" Type="http://schemas.openxmlformats.org/officeDocument/2006/relationships/footer" Target="footer2.xml" /><Relationship Id="RelFtr3" Type="http://schemas.openxmlformats.org/officeDocument/2006/relationships/footer" Target="footer3.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Relationship Id="R2" Type="http://schemas.openxmlformats.org/officeDocument/2006/relationships/hyperlink" Target="http://www.motala.se/kommun" TargetMode="External" /><Relationship Id="R3" Type="http://schemas.openxmlformats.org/officeDocument/2006/relationships/hyperlink" Target="http://www.motala.se/kommun" TargetMode="External" /></Relationships>
</file>

<file path=word/_rels/footer2.xml.rels>&#65279;<?xml version="1.0" encoding="utf-8"?><Relationships xmlns="http://schemas.openxmlformats.org/package/2006/relationships"><Relationship Id="Relimage3" Type="http://schemas.openxmlformats.org/officeDocument/2006/relationships/image" Target="/media/image3.png" /></Relationships>
</file>

<file path=word/_rels/footer3.xml.rels>&#65279;<?xml version="1.0" encoding="utf-8"?><Relationships xmlns="http://schemas.openxmlformats.org/package/2006/relationships"><Relationship Id="R4" Type="http://schemas.openxmlformats.org/officeDocument/2006/relationships/hyperlink" Target="http://www.motala.se/kommun" TargetMode="External" /><Relationship Id="R5" Type="http://schemas.openxmlformats.org/officeDocument/2006/relationships/hyperlink" Target="http://www.motala.se/kommun" TargetMode="External" /></Relationships>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 />
</file>

<file path=word/_rels/header2.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jpg" /></Relationships>
</file>

<file path=word/_rels/header3.xml.rels>&#65279;<?xml version="1.0" encoding="utf-8"?><Relationships xmlns="http://schemas.openxmlformats.org/package/2006/relationships" />
</file>

<file path=word/_rels/header4.xml.rels>&#65279;<?xml version="1.0" encoding="utf-8"?><Relationships xmlns="http://schemas.openxmlformats.org/package/2006/relationships" />
</file>

<file path=word/theme/theme1.xml><?xml version="1.0" encoding="utf-8"?>
<a:theme xmlns:a="http://schemas.openxmlformats.org/drawingml/2006/main" name="Office-tema">
  <a:themeElements>
    <a:clrScheme name="Motala kommun">
      <a:dk1>
        <a:srgbClr val="000000"/>
      </a:dk1>
      <a:lt1>
        <a:sysClr val="window" lastClr="FFFFFF"/>
      </a:lt1>
      <a:dk2>
        <a:srgbClr val="003C71"/>
      </a:dk2>
      <a:lt2>
        <a:srgbClr val="FFFFFF"/>
      </a:lt2>
      <a:accent1>
        <a:srgbClr val="007FA3"/>
      </a:accent1>
      <a:accent2>
        <a:srgbClr val="B52555"/>
      </a:accent2>
      <a:accent3>
        <a:srgbClr val="4E801F"/>
      </a:accent3>
      <a:accent4>
        <a:srgbClr val="CA3604"/>
      </a:accent4>
      <a:accent5>
        <a:srgbClr val="007367"/>
      </a:accent5>
      <a:accent6>
        <a:srgbClr val="003C71"/>
      </a:accent6>
      <a:hlink>
        <a:srgbClr val="007FA3"/>
      </a:hlink>
      <a:folHlink>
        <a:srgbClr val="B52555"/>
      </a:folHlink>
    </a:clrScheme>
    <a:fontScheme name="Motala kommun">
      <a:majorFont>
        <a:latin typeface="Barlow Semi Condensed SemiBold"/>
        <a:ea typeface=""/>
        <a:cs typeface=""/>
      </a:majorFont>
      <a:minorFont>
        <a:latin typeface="Barlow"/>
        <a:ea typeface=""/>
        <a:cs typeface=""/>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2" xmlns:gml="http://www.opengis.net/gml/3.2" xmlns="http://namespace.lantmateriet.se/distribution/geodatakatalog/planbeskrivning/v2">
  <versionGiltigFran>2025-01-30T08:09:33.0305794+01:00</versionGiltigFran>
  <detaljplansreferens>c7e0d59c-7ff8-4167-93b6-54f09dd23acf</detaljplansreferens>
  <Objektmetadata>
    <programvara>GEOSECMA</programvara>
    <programvaruversion>20.6</programvaruversion>
  </Objektmetadata>
  <Omfattning>
    <identitet>sy_syfte01</identitet>
    <Lage>
      <planomrade>true</planomrade>
    </Lage>
    <Indelning>
      <tema>Detaljplanens syfte</tema>
      <grupp>Syfte</grupp>
    </Indelning>
  </Omfattning>
  <Omfattning>
    <identitet>be_annat02</identitet>
    <Lage>
      <planomrade>true</planomrade>
    </Lage>
    <Indelning>
      <tema>Beskrivning av detaljplanen</tema>
      <grupp>Annat</grupp>
    </Indelning>
  </Omfattning>
  <Omfattning>
    <identitet>be_heladetaljplan02</identitet>
    <Lage>
      <planomrade>true</planomrade>
    </Lage>
    <Indelning>
      <tema>Beskrivning av detaljplanen</tema>
      <grupp>Hela detaljplan</grupp>
    </Indelning>
  </Omfattning>
  <Omfattning>
    <identitet>be_allmänplats02</identitet>
    <Lage>
      <planomrade>true</planomrade>
    </Lage>
    <Indelning>
      <tema>Beskrivning av detaljplanen</tema>
      <grupp>Allmän plats</grupp>
    </Indelning>
  </Omfattning>
  <Omfattning>
    <identitet>be_huvudmannaskap02</identitet>
    <Lage>
      <planomrade>true</planomrade>
    </Lage>
    <Indelning>
      <tema>Beskrivning av detaljplanen</tema>
      <grupp>Allmän plats</grupp>
      <undergrupp>Huvudmannaskap</undergrupp>
    </Indelning>
  </Omfattning>
  <Omfattning>
    <identitet>be_kvartersmark02</identitet>
    <Lage>
      <planomrade>true</planomrade>
    </Lage>
    <Indelning>
      <tema>Beskrivning av detaljplanen</tema>
      <grupp>Kvartersmark</grupp>
    </Indelning>
  </Omfattning>
  <Omfattning>
    <identitet>be_befintligt02</identitet>
    <Lage>
      <planomrade>true</planomrade>
    </Lage>
    <Indelning>
      <tema>Beskrivning av detaljplanen</tema>
      <grupp>Befintligt</grupp>
    </Indelning>
  </Omfattning>
  <Omfattning>
    <identitet>be_genomförandetid02</identitet>
    <Lage>
      <planomrade>true</planomrade>
    </Lage>
    <Indelning>
      <tema>Beskrivning av detaljplanen</tema>
      <grupp>Genomförandetid</grupp>
    </Indelning>
  </Omfattning>
  <Omfattning>
    <identitet>be_ärendeinformation02</identitet>
    <Lage>
      <planomrade>true</planomrade>
    </Lage>
    <Indelning>
      <tema>Beskrivning av detaljplanen</tema>
      <grupp>Ärendeinformation</grupp>
    </Indelning>
  </Omfattning>
  <Omfattning>
    <identitet>be_annat03</identitet>
    <Lage>
      <planomrade>true</planomrade>
    </Lage>
    <Indelning>
      <tema>Beskrivning av detaljplanen</tema>
      <grupp>Annat</grupp>
    </Indelning>
  </Omfattning>
  <Omfattning>
    <identitet>pf_översiktsplan02</identitet>
    <Lage>
      <planomrade>true</planomrade>
    </Lage>
    <Indelning>
      <tema>Planeringsförutsättningar</tema>
      <grupp>Kommunala</grupp>
      <undergrupp>Översiktsplan</undergrupp>
    </Indelning>
  </Omfattning>
  <Omfattning>
    <identitet>pf_planprogram01</identitet>
    <Lage>
      <planomrade>true</planomrade>
    </Lage>
    <Indelning>
      <tema>Planeringsförutsättningar</tema>
      <grupp>Kommunala</grupp>
      <undergrupp>Planprogram</undergrupp>
    </Indelning>
  </Omfattning>
  <Omfattning>
    <identitet>pf_kommunalabeslut01</identitet>
    <Lage>
      <planomrade>true</planomrade>
    </Lage>
    <Indelning>
      <tema>Planeringsförutsättningar</tema>
      <grupp>Kommunala</grupp>
      <undergrupp>Kommunala beslut</undergrupp>
    </Indelning>
  </Omfattning>
  <Omfattning>
    <identitet>pf_detaljplan02</identitet>
    <Lage>
      <planomrade>true</planomrade>
    </Lage>
    <Indelning>
      <tema>Planeringsförutsättningar</tema>
      <grupp>Kommunala</grupp>
      <undergrupp>Detaljplan</undergrupp>
    </Indelning>
  </Omfattning>
  <Omfattning>
    <identitet>pf_planbesked02</identitet>
    <Lage>
      <planomrade>true</planomrade>
    </Lage>
    <Indelning>
      <tema>Planeringsförutsättningar</tema>
      <grupp>Kommunala</grupp>
      <undergrupp>Planbesked</undergrupp>
    </Indelning>
  </Omfattning>
  <Omfattning>
    <identitet>pf_riksintressen01</identitet>
    <Lage>
      <planomrade>true</planomrade>
    </Lage>
    <Indelning>
      <tema>Planeringsförutsättningar</tema>
      <grupp>Riksintressen</grupp>
    </Indelning>
  </Omfattning>
  <Omfattning>
    <identitet>pf_totalförsvar01</identitet>
    <Lage>
      <planomrade>true</planomrade>
    </Lage>
    <Indelning>
      <tema>Planeringsförutsättningar</tema>
      <grupp>Riksintressen</grupp>
      <undergrupp>Totalförsvar</undergrupp>
    </Indelning>
  </Omfattning>
  <Omfattning>
    <identitet>pf_trafikkommunikation01</identitet>
    <Lage>
      <planomrade>true</planomrade>
    </Lage>
    <Indelning>
      <tema>Planeringsförutsättningar</tema>
      <grupp>Riksintressen</grupp>
      <undergrupp>Trafikkommunikation</undergrupp>
    </Indelning>
  </Omfattning>
  <Omfattning>
    <identitet>pf_vatten02</identitet>
    <Lage>
      <planomrade>true</planomrade>
    </Lage>
    <Indelning>
      <tema>Planeringsförutsättningar</tema>
      <grupp>Miljökvalitetsnormer</grupp>
      <undergrupp>Vatten</undergrupp>
    </Indelning>
  </Omfattning>
  <Omfattning>
    <identitet>pf_trafikbuller01</identitet>
    <Lage>
      <planomrade>true</planomrade>
    </Lage>
    <Indelning>
      <tema>Planeringsförutsättningar</tema>
      <grupp>Hälsa och säkerhet</grupp>
      <undergrupp>Trafikbuller</undergrupp>
    </Indelning>
  </Omfattning>
  <Omfattning>
    <identitet>pf_riskföröversvämning02</identitet>
    <Lage>
      <planomrade>true</planomrade>
    </Lage>
    <Indelning>
      <tema>Planeringsförutsättningar</tema>
      <grupp>Hälsa och säkerhet</grupp>
      <undergrupp>Risk för översvämning</undergrupp>
    </Indelning>
  </Omfattning>
  <Omfattning>
    <identitet>pf_riskförras01</identitet>
    <Lage>
      <planomrade>true</planomrade>
    </Lage>
    <Indelning>
      <tema>Planeringsförutsättningar</tema>
      <grupp>Hälsa och säkerhet</grupp>
      <undergrupp>Risk för ras</undergrupp>
    </Indelning>
  </Omfattning>
  <Omfattning>
    <identitet>pf_riskförerosion02</identitet>
    <Lage>
      <planomrade>true</planomrade>
    </Lage>
    <Indelning>
      <tema>Planeringsförutsättningar</tema>
      <grupp>Hälsa och säkerhet</grupp>
      <undergrupp>Risk för erosion</undergrupp>
    </Indelning>
  </Omfattning>
  <Omfattning>
    <identitet>pf_riskförskred02</identitet>
    <Lage>
      <planomrade>true</planomrade>
    </Lage>
    <Indelning>
      <tema>Planeringsförutsättningar</tema>
      <grupp>Hälsa och säkerhet</grupp>
      <undergrupp>Risk för skred</undergrupp>
    </Indelning>
  </Omfattning>
  <Omfattning>
    <identitet>pf_naturochvegetation01</identitet>
    <Lage>
      <planomrade>true</planomrade>
    </Lage>
    <Indelning>
      <tema>Planeringsförutsättningar</tema>
      <grupp>Miljö</grupp>
      <undergrupp>Natur och vegetation</undergrupp>
    </Indelning>
  </Omfattning>
  <Omfattning>
    <identitet>pf_naturochvegetation02</identitet>
    <Lage>
      <planomrade>true</planomrade>
    </Lage>
    <Indelning>
      <tema>Planeringsförutsättningar</tema>
      <grupp>Miljö</grupp>
      <undergrupp>Natur och vegetation</undergrupp>
    </Indelning>
  </Omfattning>
  <Omfattning>
    <identitet>pf_artskydd01</identitet>
    <Lage>
      <planomrade>true</planomrade>
    </Lage>
    <Indelning>
      <tema>Planeringsförutsättningar</tema>
      <grupp>Miljö</grupp>
      <undergrupp>Artskydd</undergrupp>
    </Indelning>
  </Omfattning>
  <Omfattning>
    <identitet>pf_strandskydd02</identitet>
    <Lage>
      <planomrade>true</planomrade>
    </Lage>
    <Indelning>
      <tema>Planeringsförutsättningar</tema>
      <grupp>Miljö</grupp>
      <undergrupp>Strandskydd</undergrupp>
    </Indelning>
  </Omfattning>
  <Omfattning>
    <identitet>pf_geotekniskaförhållanden02</identitet>
    <Lage>
      <planomrade>true</planomrade>
    </Lage>
    <Indelning>
      <tema>Planeringsförutsättningar</tema>
      <grupp>Geotekniska förhållanden</grupp>
    </Indelning>
  </Omfattning>
  <Omfattning>
    <identitet>pf_hydrologiskaförhållanden01</identitet>
    <Lage>
      <planomrade>true</planomrade>
    </Lage>
    <Indelning>
      <tema>Planeringsförutsättningar</tema>
      <grupp>Hydrologiska förhållanden</grupp>
    </Indelning>
  </Omfattning>
  <Omfattning>
    <identitet>pf_radon01</identitet>
    <Lage>
      <planomrade>true</planomrade>
    </Lage>
    <Indelning>
      <tema>Planeringsförutsättningar</tema>
      <grupp>Miljö</grupp>
      <undergrupp>Radon</undergrupp>
    </Indelning>
  </Omfattning>
  <Omfattning>
    <identitet>pf_fornlämningar02</identitet>
    <Lage>
      <planomrade>true</planomrade>
    </Lage>
    <Indelning>
      <tema>Planeringsförutsättningar</tema>
      <grupp>Kulturmiljö</grupp>
      <undergrupp>Fornlämningar</undergrupp>
    </Indelning>
  </Omfattning>
  <Omfattning>
    <identitet>pf_gestaltning01</identitet>
    <Lage>
      <planomrade>true</planomrade>
    </Lage>
    <Indelning>
      <tema>Planeringsförutsättningar</tema>
      <grupp>Fysisk miljö</grupp>
      <undergrupp>Gestaltning</undergrupp>
    </Indelning>
  </Omfattning>
  <Omfattning>
    <identitet>pf_stadsochlandskapsbild01</identitet>
    <Lage>
      <planomrade>true</planomrade>
    </Lage>
    <Indelning>
      <tema>Planeringsförutsättningar</tema>
      <grupp>Fysisk miljö</grupp>
      <undergrupp>Stads- och landskapsbild</undergrupp>
    </Indelning>
  </Omfattning>
  <Omfattning>
    <identitet>pf_skola01</identitet>
    <Lage>
      <planomrade>true</planomrade>
    </Lage>
    <Indelning>
      <tema>Planeringsförutsättningar</tema>
      <grupp>Service</grupp>
      <undergrupp>Skola</undergrupp>
    </Indelning>
  </Omfattning>
  <Omfattning>
    <identitet>pf_vård01</identitet>
    <Lage>
      <planomrade>true</planomrade>
    </Lage>
    <Indelning>
      <tema>Planeringsförutsättningar</tema>
      <grupp>Service</grupp>
      <undergrupp>Vård</undergrupp>
    </Indelning>
  </Omfattning>
  <Omfattning>
    <identitet>pf_kommersiellservice01</identitet>
    <Lage>
      <planomrade>true</planomrade>
    </Lage>
    <Indelning>
      <tema>Planeringsförutsättningar</tema>
      <grupp>Service</grupp>
      <undergrupp>Kommersiell service</undergrupp>
    </Indelning>
  </Omfattning>
  <Omfattning>
    <identitet>pf_motortrafik01</identitet>
    <Lage>
      <planomrade>true</planomrade>
    </Lage>
    <Indelning>
      <tema>Planeringsförutsättningar</tema>
      <grupp>Trafik</grupp>
      <undergrupp>Motortrafik</undergrupp>
    </Indelning>
  </Omfattning>
  <Omfattning>
    <identitet>pf_gångochcykeltrafik01</identitet>
    <Lage>
      <planomrade>true</planomrade>
    </Lage>
    <Indelning>
      <tema>Planeringsförutsättningar</tema>
      <grupp>Trafik</grupp>
      <undergrupp>Gång- och cykeltrafik</undergrupp>
    </Indelning>
  </Omfattning>
  <Omfattning>
    <identitet>pf_kollektivtrafik01</identitet>
    <Lage>
      <planomrade>true</planomrade>
    </Lage>
    <Indelning>
      <tema>Planeringsförutsättningar</tema>
      <grupp>Trafik</grupp>
      <undergrupp>Kollektivtrafik</undergrupp>
    </Indelning>
  </Omfattning>
  <Omfattning>
    <identitet>pf_parkering01</identitet>
    <Lage>
      <planomrade>true</planomrade>
    </Lage>
    <Indelning>
      <tema>Planeringsförutsättningar</tema>
      <grupp>Trafik</grupp>
      <undergrupp>Parkering</undergrupp>
    </Indelning>
  </Omfattning>
  <Omfattning>
    <identitet>pf_utfarter01</identitet>
    <Lage>
      <planomrade>true</planomrade>
    </Lage>
    <Indelning>
      <tema>Planeringsförutsättningar</tema>
      <grupp>Trafik</grupp>
      <undergrupp>Utfarter</undergrupp>
    </Indelning>
  </Omfattning>
  <Omfattning>
    <identitet>pf_vattenochspillvattennät01</identitet>
    <Lage>
      <planomrade>true</planomrade>
    </Lage>
    <Indelning>
      <tema>Planeringsförutsättningar</tema>
      <grupp>Teknik</grupp>
      <undergrupp>Vatten- och spillvattennät</undergrupp>
    </Indelning>
  </Omfattning>
  <Omfattning>
    <identitet>pf_dagvattennät01</identitet>
    <Lage>
      <planomrade>true</planomrade>
    </Lage>
    <Indelning>
      <tema>Planeringsförutsättningar</tema>
      <grupp>Teknik</grupp>
      <undergrupp>Dagvattennät</undergrupp>
    </Indelning>
  </Omfattning>
  <Omfattning>
    <identitet>pf_fjärrvärmenät01</identitet>
    <Lage>
      <planomrade>true</planomrade>
    </Lage>
    <Indelning>
      <tema>Planeringsförutsättningar</tema>
      <grupp>Teknik</grupp>
      <undergrupp>Fjärrvärmenät</undergrupp>
    </Indelning>
  </Omfattning>
  <Omfattning>
    <identitet>pf_elnät01</identitet>
    <Lage>
      <planomrade>true</planomrade>
    </Lage>
    <Indelning>
      <tema>Planeringsförutsättningar</tema>
      <grupp>Teknik</grupp>
      <undergrupp>Elnät</undergrupp>
    </Indelning>
  </Omfattning>
  <Omfattning>
    <identitet>pf_fibernät01</identitet>
    <Lage>
      <planomrade>true</planomrade>
    </Lage>
    <Indelning>
      <tema>Planeringsförutsättningar</tema>
      <grupp>Teknik</grupp>
      <undergrupp>Fibernät</undergrupp>
    </Indelning>
  </Omfattning>
  <Omfattning>
    <identitet>pf_telenät01</identitet>
    <Lage>
      <planomrade>true</planomrade>
    </Lage>
    <Indelning>
      <tema>Planeringsförutsättningar</tema>
      <grupp>Teknik</grupp>
      <undergrupp>Telenät</undergrupp>
    </Indelning>
  </Omfattning>
  <Omfattning>
    <identitet>pf_avfall01</identitet>
    <Lage>
      <planomrade>true</planomrade>
    </Lage>
    <Indelning>
      <tema>Planeringsförutsättningar</tema>
      <grupp>Teknik</grupp>
      <undergrupp>Avfall</undergrupp>
    </Indelning>
  </Omfattning>
  <Omfattning>
    <identitet>pf_barn01</identitet>
    <Lage>
      <planomrade>true</planomrade>
    </Lage>
    <Indelning>
      <tema>Planeringsförutsättningar</tema>
      <grupp>Sociala</grupp>
      <undergrupp>Barn</undergrupp>
    </Indelning>
  </Omfattning>
  <Omfattning>
    <identitet>ko_ställningstagande4kap33b_pbl01</identitet>
    <Lage>
      <planomrade>true</planomrade>
    </Lage>
    <Indelning>
      <tema>Konsekvenser</tema>
      <grupp>Miljö</grupp>
      <undergrupp>Ställningstagande 4 kap. 33 b § plan- och bygglagen (2010:900)</undergrupp>
    </Indelning>
  </Omfattning>
  <Omfattning>
    <identitet>ko_miljöbedömning01</identitet>
    <Lage>
      <planomrade>true</planomrade>
    </Lage>
    <Indelning>
      <tema>Konsekvenser</tema>
      <grupp>Miljö</grupp>
      <undergrupp>Miljöbedömning</undergrupp>
    </Indelning>
  </Omfattning>
  <Omfattning>
    <identitet>gf_ansvarsfördelning01</identitet>
    <Lage>
      <planomrade>true</planomrade>
    </Lage>
    <Indelning>
      <tema>Genomförandefrågor</tema>
      <grupp>Organisatoriska frågor</grupp>
      <undergrupp>Ansvarsfördelning</undergrupp>
    </Indelning>
  </Omfattning>
  <Omfattning>
    <identitet>gf_exploateringsavtal02</identitet>
    <Lage>
      <planomrade>true</planomrade>
    </Lage>
    <Indelning>
      <tema>Genomförandefrågor</tema>
      <grupp>Organisatoriska frågor</grupp>
      <undergrupp>Exploateringsavtal</undergrupp>
    </Indelning>
  </Omfattning>
  <Omfattning>
    <identitet>gf_markanvisning02</identitet>
    <Lage>
      <planomrade>true</planomrade>
    </Lage>
    <Indelning>
      <tema>Genomförandefrågor</tema>
      <grupp>Organisatoriska frågor</grupp>
      <undergrupp>Markanvisning</undergrupp>
    </Indelning>
  </Omfattning>
  <Omfattning>
    <identitet>gf_köpeavtal01</identitet>
    <Lage>
      <planomrade>true</planomrade>
    </Lage>
    <Indelning>
      <tema>Genomförandefrågor</tema>
      <grupp>Organisatoriska frågor</grupp>
      <undergrupp>Köpeavtal</undergrupp>
    </Indelning>
  </Omfattning>
  <Omfattning>
    <identitet>gf_övrigaavtal01</identitet>
    <Lage>
      <planomrade>true</planomrade>
    </Lage>
    <Indelning>
      <tema>Genomförandefrågor</tema>
      <grupp>Organisatoriska frågor</grupp>
      <undergrupp>Övriga avtal</undergrupp>
    </Indelning>
  </Omfattning>
  <Omfattning>
    <identitet>gf_tidplan02</identitet>
    <Lage>
      <planomrade>true</planomrade>
    </Lage>
    <Indelning>
      <tema>Genomförandefrågor</tema>
      <grupp>Organisatoriska frågor</grupp>
      <undergrupp>Tidplan</undergrupp>
    </Indelning>
  </Omfattning>
  <Omfattning>
    <identitet>gf_fastighetsägare01</identitet>
    <Lage>
      <planomrade>true</planomrade>
    </Lage>
    <Indelning>
      <tema>Genomförandefrågor</tema>
      <grupp>Fastighetsrättsliga frågor</grupp>
      <undergrupp>Fastighetsägare</undergrupp>
    </Indelning>
  </Omfattning>
  <Omfattning>
    <identitet>gf_förändradfastighetsindelning02</identitet>
    <Lage>
      <planomrade>true</planomrade>
    </Lage>
    <Indelning>
      <tema>Genomförandefrågor</tema>
      <grupp>Fastighetsrättsliga frågor</grupp>
      <undergrupp>Förändrad fastighetsindelning</undergrupp>
    </Indelning>
  </Omfattning>
  <Omfattning>
    <identitet>gf_rättigheter02</identitet>
    <Lage>
      <planomrade>true</planomrade>
    </Lage>
    <Indelning>
      <tema>Genomförandefrågor</tema>
      <grupp>Fastighetsrättsliga frågor</grupp>
      <undergrupp>Rättigheter</undergrupp>
    </Indelning>
  </Omfattning>
  <Omfattning>
    <identitet>gf_gemensamhetsanläggningar01</identitet>
    <Lage>
      <planomrade>true</planomrade>
    </Lage>
    <Indelning>
      <tema>Genomförandefrågor</tema>
      <grupp>Ekonomiska frågor</grupp>
      <undergrupp>Gemensamhets-anläggningar</undergrupp>
    </Indelning>
  </Omfattning>
  <Omfattning>
    <identitet>ko_fastigheterochrättigheter01</identitet>
    <Lage>
      <planomrade>true</planomrade>
    </Lage>
    <Indelning>
      <tema>Konsekvenser</tema>
      <grupp>Fastigheter och rättigheter</grupp>
    </Indelning>
  </Omfattning>
  <Omfattning>
    <identitet>gf_planekonomiskbedömning02</identitet>
    <Lage>
      <planomrade>true</planomrade>
    </Lage>
    <Indelning>
      <tema>Genomförandefrågor</tema>
      <grupp>Ekonomiska frågor</grupp>
      <undergrupp>Planekonomisk bedömning</undergrupp>
    </Indelning>
  </Omfattning>
  <Omfattning>
    <identitet>gf_utbyggnadvattenochavlopp01</identitet>
    <Lage>
      <planomrade>true</planomrade>
    </Lage>
    <Indelning>
      <tema>Genomförandefrågor</tema>
      <grupp>Tekniska frågor</grupp>
      <undergrupp>Utbyggnad vatten och avlopp</undergrupp>
    </Indelning>
  </Omfattning>
  <Omfattning>
    <identitet>gf_tekniskaåtgärder02</identitet>
    <Lage>
      <planomrade>true</planomrade>
    </Lage>
    <Indelning>
      <tema>Genomförandefrågor</tema>
      <grupp>Tekniska frågor</grupp>
      <undergrupp>Tekniska åtgärder</undergrupp>
    </Indelning>
  </Omfattning>
  <Omfattning>
    <identitet>pu_detaljplan01</identitet>
    <Lage>
      <planomrade>true</planomrade>
    </Lage>
    <Indelning>
      <tema>Planeringsunderlag</tema>
      <grupp>Kommunala</grupp>
      <undergrupp>Detaljplan</undergrupp>
    </Indelning>
  </Omfattning>
  <Omfattning>
    <identitet>pu_undersökningenl6kap6_mb01</identitet>
    <Lage>
      <planomrade>true</planomrade>
    </Lage>
    <Indelning>
      <tema>Planeringsunderlag</tema>
      <grupp>Kommunala</grupp>
      <undergrupp>Undersökning enligt 6 kap. 6 § miljöbalken (1998:808)</undergrupp>
    </Indelning>
  </Omfattning>
  <Omfattning>
    <identitet>pu_grundkarta01</identitet>
    <Lage>
      <planomrade>true</planomrade>
    </Lage>
    <Indelning>
      <tema>Planeringsunderlag</tema>
      <grupp>Kommunala</grupp>
      <undergrupp>Grundkarta</undergrupp>
    </Indelning>
  </Omfattning>
  <Omfattning>
    <identitet>pu_fastighetsförteckning01</identitet>
    <Lage>
      <planomrade>true</planomrade>
    </Lage>
    <Indelning>
      <tema>Planeringsunderlag</tema>
      <grupp>Kommunala</grupp>
      <undergrupp>Fastighetsförteckning</undergrupp>
    </Indelning>
  </Omfattning>
  <Omfattning>
    <identitet>pu_översiktsplan01</identitet>
    <Lage>
      <planomrade>true</planomrade>
    </Lage>
    <Indelning>
      <tema>Planeringsunderlag</tema>
      <grupp>Kommunala</grupp>
      <undergrupp>Översiktsplan</undergrupp>
    </Indelning>
  </Omfattning>
  <Omfattning>
    <identitet>pu_detaljplan02</identitet>
    <Lage>
      <planomrade>true</planomrade>
    </Lage>
    <Indelning>
      <tema>Planeringsunderlag</tema>
      <grupp>Kommunala</grupp>
      <undergrupp>Detaljplan</undergrupp>
    </Indelning>
  </Omfattning>
  <Omfattning>
    <identitet>pu_barnkonsekvensanalys01</identitet>
    <Lage>
      <planomrade>true</planomrade>
    </Lage>
    <Indelning>
      <tema>Planeringsunderlag</tema>
      <grupp>Utredningar</grupp>
      <undergrupp>Barnkonsekvensanalys</undergrupp>
    </Indelning>
  </Omfattning>
  <Omfattning>
    <identitet>pu_dagvattenutredning01</identitet>
    <Lage>
      <planomrade>true</planomrade>
    </Lage>
    <Indelning>
      <tema>Planeringsunderlag</tema>
      <grupp>Utredningar</grupp>
      <undergrupp>Dagvattenutredning</undergrupp>
    </Indelning>
  </Omfattning>
  <Omfattning>
    <identitet>pu_bullerutredning01</identitet>
    <Lage>
      <planomrade>true</planomrade>
    </Lage>
    <Indelning>
      <tema>Planeringsunderlag</tema>
      <grupp>Utredningar</grupp>
      <undergrupp>Bullerutredning</undergrupp>
    </Indelning>
  </Omfattning>
  <Omfattning>
    <identitet>pu_geotekniskutredning01</identitet>
    <Lage>
      <planomrade>true</planomrade>
    </Lage>
    <Indelning>
      <tema>Planeringsunderlag</tema>
      <grupp>Utredningar</grupp>
      <undergrupp>Geoteknisk utredning</undergrupp>
    </Indelning>
  </Omfattning>
  <Omfattning>
    <identitet>pu_artinventering01</identitet>
    <Lage>
      <planomrade>true</planomrade>
    </Lage>
    <Indelning>
      <tema>Planeringsunderlag</tema>
      <grupp>Utredningar</grupp>
      <undergrupp>Artinventering</undergrupp>
    </Indelning>
  </Omfattning>
  <Omfattning>
    <identitet>mo_motivtillreglering01</identitet>
    <Lage>
      <lmg:Yta>
        <lmg:absolutLagesosakerhetPlan>0</lmg:absolutLagesosakerhetPlan>
        <lmg:absolutLagesosakerhetHojd>0</lmg:absolutLagesosakerhetHojd>
        <lmg:hojdsystem>RH 2000</lmg:hojdsystem>
        <gml:Polygon gml:id="ID_5f2d7950-8dcd-4e6e-bd1f-67d70cafbfae" srsName="EPSG:3009" srsDimension="2">
          <gml:exterior>
            <gml:LinearRing gml:id="ID_14f3872f-e434-4aed-b931-b0840c372aca">
              <gml:posList>6492673.189 152611.434 6492529.846 152612.12 6492499.016 152700 6492490.519 152724.221 6492488.459 152748.65 6492481.616 152751.922 6492478.689 152753.464 6492474.823 152753.651 6492472.192 152752.27 6492470.568 152751.029 6492470.162 152749.535 6492468.607 152742.774 6492467.611 152738.057 6492466.715 152731.896 6492465.71 152724.959 6492465.35 152720.473 6492464.909 152715.767 6492464.64 152711.768 6492464.264 152706.908 6492464.065 152702.183 6492464.039 152698.916 6492464.145 152689.673 6492464.283 152687.543 6492464.549 152685.251 6492464.843 152683.155 6492465.11 152681.207 6492466.005 152674.958 6492466.544 152669.694 6492466.789 152666.581 6492466.97 152657.864 6492467.104 152649.482 6492466.827 152646.631 6492466.455 152642.724 6492465.695 152634.901 6492465.638 152634.275 6492465.706 152630.979 6492465.78 152627.049 6492465.862 152623.128 6492465.935 152619.199 6492466.016 152615.278 6492466.164 152607.419 6492466.221 152604.662 6492466.269 152603.498 6492466.454 152598.7 6492467.179 152579.956 6492467.339 152576.028 6492467.693 152566.846 6492467.872 152564.263 6492468.425 152556.428 6492468.694 152552.511 6492468.912 152549.421 6492469.247 152544.677 6492469.55 152540.252 6492469.87 152536.851 6492470.249 152532.936 6492471.359 152521.214 6492471.737 152517.299 6492472.008 152514.444 6492472.091 152513.79 6492472.404 152511.272 6492570.116 152539.492 6492660.433 152525.367 6492663.998 152549.421 6492671.302 152598.7 6492673.189 152611.434</gml:posList>
            </gml:LinearRing>
          </gml:exterior>
        </gml:Polygon>
      </lmg:Yta>
      <planbestammelsereferens>b95853e1-cd04-4be5-963f-1059de96a235</planbestammelsereferens>
    </Lage>
    <Indelning>
      <tema>Motiv till detaljplanens regleringar</tema>
      <grupp>Motiv till reglering</grupp>
    </Indelning>
  </Omfattning>
  <Omfattning>
    <identitet>mo_motivtillreglering02</identitet>
    <Lage>
      <lmg:Yta>
        <lmg:absolutLagesosakerhetPlan>0</lmg:absolutLagesosakerhetPlan>
        <lmg:absolutLagesosakerhetHojd>0</lmg:absolutLagesosakerhetHojd>
        <lmg:hojdsystem>RH 2000</lmg:hojdsystem>
        <gml:Polygon gml:id="ID_b0133b8a-8074-4dea-a7b8-fe2d50b6cdce" srsName="EPSG:3009" srsDimension="2">
          <gml:exterior>
            <gml:LinearRing gml:id="ID_c188ab15-ff87-452c-9dc8-b83c1c2ee138">
              <gml:posList>6492488.459 152748.65 6492488.571 152756.361 6492480.445 152760.236 6492477.138 152764.134 6492476.501 152766.758 6492476.378 152769.319 6492475.359 152766.5 6492472.174 152756.93 6492470.568 152751.029 6492472.192 152752.27 6492474.823 152753.651 6492478.689 152753.464 6492481.616 152751.922 6492488.459 152748.65</gml:posList>
            </gml:LinearRing>
          </gml:exterior>
        </gml:Polygon>
      </lmg:Yta>
      <planbestammelsereferens>27d180bf-ef9b-46a5-a1c5-a1421cca8267</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a7db1e08-98a3-4ef5-8d07-8ef050297432" srsName="EPSG:3009" srsDimension="2">
          <gml:exterior>
            <gml:LinearRing gml:id="ID_5d5166a9-c926-47c3-a806-ed56286ef618">
              <gml:posList>6492690.719 152777.781 6492647.298 152782.4 6492537.65 152787.128 6492518.369 152798.155 6492509.688 152803.119 6492497.96 152782.066 6492488.571 152756.361 6492488.459 152748.65 6492490.519 152724.221 6492499.016 152700 6492529.846 152612.12 6492673.189 152611.434 6492690.719 152777.781</gml:posList>
            </gml:LinearRing>
          </gml:exterior>
        </gml:Polygon>
      </lmg:Yta>
      <planbestammelsereferens>185602ce-aee4-4704-8732-392bb47d997a</planbestammelsereferens>
    </Lage>
    <Indelning>
      <tema>Motiv till detaljplanens regleringar</tema>
      <grupp>Motiv till reglering</grupp>
    </Indelning>
  </Omfattning>
  <Omfattning>
    <identitet>mo_motivtillreglering04</identitet>
    <Lage>
      <lmg:Yta>
        <lmg:absolutLagesosakerhetPlan>0</lmg:absolutLagesosakerhetPlan>
        <lmg:absolutLagesosakerhetHojd>0</lmg:absolutLagesosakerhetHojd>
        <lmg:hojdsystem>RH 2000</lmg:hojdsystem>
        <gml:Polygon gml:id="ID_0043230d-c273-47cd-8df9-e78a9bfa0e3c" srsName="EPSG:3009" srsDimension="2">
          <gml:exterior>
            <gml:LinearRing gml:id="ID_fcf93c11-1152-49ee-9e3c-d691a4980c36">
              <gml:posList>6492518.369 152798.155 6492523.333 152806.835 6492514.652 152811.8 6492509.688 152803.119 6492518.369 152798.155</gml:posList>
            </gml:LinearRing>
          </gml:exterior>
        </gml:Polygon>
      </lmg:Yta>
      <planbestammelsereferens>78514313-6bd2-49d6-b755-654aaaa84469</planbestammelsereferens>
    </Lage>
    <Indelning>
      <tema>Motiv till detaljplanens regleringar</tema>
      <grupp>Motiv till reglering</grupp>
    </Indelning>
  </Omfattning>
  <Omfattning>
    <identitet>mo_motivtillreglering05</identitet>
    <Lage>
      <lmg:Yta>
        <lmg:absolutLagesosakerhetPlan>0</lmg:absolutLagesosakerhetPlan>
        <lmg:absolutLagesosakerhetHojd>0</lmg:absolutLagesosakerhetHojd>
        <lmg:hojdsystem>RH 2000</lmg:hojdsystem>
        <gml:Polygon gml:id="ID_d918b1b2-8bfa-4cae-848c-3bcfdffdfd17" srsName="EPSG:3009" srsDimension="2">
          <gml:exterior>
            <gml:LinearRing gml:id="ID_889b1120-07cf-40ce-994c-c3375569e079">
              <gml:posList>6492518.369 152798.155 6492509.688 152803.119 6492497.96 152782.066 6492488.571 152756.361 6492488.459 152748.65 6492490.519 152724.221 6492499.016 152700 6492529.846 152612.12 6492673.189 152611.434 6492690.719 152777.781 6492647.298 152782.4 6492537.65 152787.128 6492518.369 152798.155</gml:posList>
            </gml:LinearRing>
          </gml:exterior>
          <gml:interior>
            <gml:LinearRing gml:id="ID_66d98ac0-fcf5-4e06-abf8-19beea59b570">
              <gml:posList>6492682.456 152717.714 6492676.105 152656.702 6492671.845 152617.561 6492671.397 152613.443 6492664.136 152613.478 6492576.587 152613.896 6492576.325 152613.897 6492531.266 152614.113 6492501.135 152700 6492492.49 152724.643 6492490.46 152748.719 6492490.566 152755.993 6492499.785 152781.231 6492508.991 152797.758 6492520.227 152791.332 6492521.716 152793.936 6492537.079 152785.151 6492647.149 152780.405 6492655.534 152779.513 6492688.523 152776.003 6492682.623 152719.316 6492682.456 152717.714</gml:posList>
            </gml:LinearRing>
          </gml:interior>
        </gml:Polygon>
      </lmg:Yta>
      <planbestammelsereferens>3d5463b9-f20b-4274-8a5d-fa1f87c56290</planbestammelsereferens>
    </Lage>
    <Indelning>
      <tema>Motiv till detaljplanens regleringar</tema>
      <grupp>Motiv till reglering</grupp>
    </Indelning>
  </Omfattning>
  <Omfattning>
    <identitet>mo_motivtillreglering06</identitet>
    <Lage>
      <lmg:Yta>
        <lmg:absolutLagesosakerhetPlan>0</lmg:absolutLagesosakerhetPlan>
        <lmg:absolutLagesosakerhetHojd>0</lmg:absolutLagesosakerhetHojd>
        <lmg:hojdsystem>RH 2000</lmg:hojdsystem>
        <gml:Polygon gml:id="ID_3a650fd0-81e1-455a-8c37-a304d1fda629" srsName="EPSG:3009" srsDimension="2">
          <gml:exterior>
            <gml:LinearRing gml:id="ID_4ca709ec-cf57-4147-a579-7d584b1e1679">
              <gml:posList>6492682.456 152717.714 6492682.623 152719.316 6492688.523 152776.003 6492655.534 152779.513 6492647.149 152780.405 6492537.079 152785.151 6492521.716 152793.936 6492520.227 152791.332 6492508.991 152797.758 6492499.785 152781.231 6492490.566 152755.993 6492490.46 152748.719 6492492.49 152724.643 6492501.135 152700 6492531.266 152614.113 6492576.325 152613.897 6492576.587 152613.896 6492664.136 152613.478 6492671.397 152613.443 6492671.845 152617.561 6492676.105 152656.702 6492682.456 152717.714</gml:posList>
            </gml:LinearRing>
          </gml:exterior>
        </gml:Polygon>
      </lmg:Yta>
      <planbestammelsereferens>49c1c518-28cd-45de-aca3-f5cca1d0a36a</planbestammelsereferens>
    </Lage>
    <Indelning>
      <tema>Motiv till detaljplanens regleringar</tema>
      <grupp>Motiv till reglering</grupp>
    </Indelning>
  </Omfattning>
</Planbeskrivning>
</file>

<file path=customXml/itemProps1.xml><?xml version="1.0" encoding="utf-8"?>
<ds:datastoreItem xmlns:ds="http://schemas.openxmlformats.org/officeDocument/2006/customXml" ds:itemID="{eea1a938-e108-496f-9315-c87e43c73ce1}">
  <ds:schemaRefs>
    <ds:schemaRef ds:uri="http://schemas.microsoft.com/vsto/samples"/>
  </ds:schemaRefs>
</ds:datastoreItem>
</file>

<file path=customXml/itemProps2.xml><?xml version="1.0" encoding="utf-8"?>
<ds:datastoreItem xmlns:ds="http://schemas.openxmlformats.org/officeDocument/2006/customXml" ds:itemID="d0b07b74-6194-4c8a-b9b9-ff071dae1276">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Motala kommun</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Motala kommun</dc:creator>
  <dcterms:created xsi:type="dcterms:W3CDTF">2024-10-23T06:53:00Z</dcterms:created>
  <cp:lastModifiedBy>Ida Fhürong</cp:lastModifiedBy>
  <cp:lastPrinted>2024-10-23T12:02:00Z</cp:lastPrinted>
  <dcterms:modified xsi:type="dcterms:W3CDTF">2025-01-30T07:12:44Z</dcterms:modified>
  <cp:revision>15</cp:revision>
  <dc:title>Rapportmall</dc:title>
</cp:coreProperties>
</file>