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tbl>
      <w:tblPr>
        <w:tblStyle w:val="T7"/>
        <w:tblpPr w:leftFromText="142" w:rightFromText="142" w:tblpX="908" w:tblpY="568" w:horzAnchor="page" w:vertAnchor="page"/>
        <w:tblOverlap w:val="never"/>
        <w:tblW w:w="10093"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left w:w="0" w:type="dxa"/>
          <w:bottom w:w="170" w:type="dxa"/>
          <w:right w:w="0" w:type="dxa"/>
        </w:tblCellMar>
        <w:tblLook w:val="04A0"/>
        <w:tblCaption w:val="Rubriker och information på sida 1"/>
      </w:tblPr>
      <w:tblGrid>
        <w:gridCol w:w="5046"/>
        <w:gridCol w:w="5047"/>
      </w:tblGrid>
      <w:tr>
        <w:trPr>
          <w:trHeight w:hRule="exact" w:val="624"/>
          <w:tblHeader/>
        </w:trPr>
        <w:tc>
          <w:tcPr>
            <w:tcW w:w="4819" w:type="dxa"/>
          </w:tcPr>
          <w:p>
            <w:pPr>
              <w:pStyle w:val="P56"/>
              <w:framePr w:hSpace="0" w:wrap="auto" w:vAnchor="margin" w:hAnchor="text" w:xAlign="left" w:yAlign="inline"/>
              <w:rPr>
                <w:color w:val="auto"/>
              </w:rPr>
            </w:pPr>
            <w:r>
              <w:t>Dokumenttyp: Laga krafthandling</w:t>
            </w:r>
          </w:p>
          <w:p>
            <w:pPr>
              <w:pStyle w:val="P56"/>
              <w:framePr w:hSpace="0" w:wrap="auto" w:vAnchor="margin" w:hAnchor="text" w:xAlign="left" w:yAlign="inline"/>
            </w:pPr>
            <w:r>
              <w:t xml:space="preserve">Diarienummer:  SBK-2024-000003</w:t>
            </w:r>
          </w:p>
        </w:tc>
        <w:tc>
          <w:tcPr>
            <w:tcW w:w="4820" w:type="dxa"/>
          </w:tcPr>
          <w:p>
            <w:pPr>
              <w:pStyle w:val="P56"/>
              <w:framePr w:hSpace="0" w:wrap="auto" w:vAnchor="margin" w:hAnchor="text" w:xAlign="left" w:yAlign="inline"/>
              <w:jc w:val="right"/>
            </w:pPr>
            <w:r>
              <w:t>Beslutande nämnd: Kommunfullmäktige</w:t>
            </w:r>
          </w:p>
        </w:tc>
      </w:tr>
    </w:tbl>
    <w:p/>
    <w:tbl>
      <w:tblPr>
        <w:tblStyle w:val="T7"/>
        <w:tblW w:w="8930" w:type="dxa"/>
        <w:tblInd w:w="-496"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left w:w="0" w:type="dxa"/>
          <w:right w:w="0" w:type="dxa"/>
        </w:tblCellMar>
        <w:tblLook w:val="04A0"/>
        <w:tblCaption w:val="Rubriker och information på sida 1"/>
      </w:tblPr>
      <w:tblGrid>
        <w:gridCol w:w="8930"/>
      </w:tblGrid>
      <w:tr>
        <w:trPr>
          <w:trHeight w:hRule="exact" w:val="3969"/>
          <w:tblHeader/>
        </w:trPr>
        <w:tc>
          <w:tcPr>
            <w:tcW w:w="9128" w:type="dxa"/>
          </w:tcPr>
          <w:p>
            <w:pPr>
              <w:pStyle w:val="P47"/>
            </w:pPr>
            <w:r>
              <w:t>Planbeskrivning</w:t>
            </w:r>
          </w:p>
          <w:p>
            <w:pPr>
              <w:pStyle w:val="P54"/>
            </w:pPr>
            <w:r>
              <w:t>Detaljplan för Myrberget, Vrå 3:1 med flera i Knivsta kommun, Uppsala län</w:t>
            </w:r>
          </w:p>
          <w:p>
            <w:pPr>
              <w:pStyle w:val="P54"/>
            </w:pPr>
          </w:p>
        </w:tc>
      </w:tr>
    </w:tbl>
    <w:p>
      <w:pPr>
        <w:rPr>
          <w:sz w:val="2"/>
          <w:szCs w:val="2"/>
        </w:rPr>
      </w:pPr>
      <w:r>
        <w:rPr>
          <w:sz w:val="2"/>
          <w:szCs w:val="2"/>
        </w:rPr>
        <w:br w:type="page"/>
      </w:r>
    </w:p>
    <w:p>
      <w:pPr>
        <w:rPr>
          <w:sz w:val="2"/>
          <w:szCs w:val="2"/>
        </w:rPr>
      </w:pPr>
      <w:bookmarkStart w:id="0" w:name="xxDocPath"/>
      <w:bookmarkEnd w:id="0"/>
    </w:p>
    <w:p>
      <w:pPr>
        <w:pStyle w:val="P13"/>
        <w:tabs>
          <w:tab w:val="right" w:pos="9060" w:leader="dot"/>
          <w:tab w:val="clear" w:pos="9071" w:leader="none"/>
        </w:tabs>
        <w:rPr>
          <w:rFonts w:asciiTheme="minorHAnsi" w:hAnsiTheme="minorHAnsi" w:cstheme="minorBidi" w:eastAsiaTheme="minorEastAsia"/>
          <w:color w:val="auto"/>
          <w:sz w:val="24"/>
          <w:kern w:val="2"/>
          <w:lang w:eastAsia="sv-SE"/>
        </w:rPr>
      </w:pPr>
      <w:r>
        <w:fldChar w:fldCharType="begin"/>
      </w:r>
      <w:r>
        <w:instrText>TOC \o "1-2" \z \u \h</w:instrText>
      </w:r>
      <w:r>
        <w:fldChar w:fldCharType="separate"/>
      </w:r>
      <w:hyperlink w:anchor="_Toc1871333383">
        <w:r>
          <w:rPr>
            <w:rStyle w:val="C2"/>
          </w:rPr>
          <w:t>Inledning</w:t>
        </w:r>
        <w:r>
          <w:tab/>
        </w:r>
        <w:r>
          <w:fldChar w:fldCharType="begin"/>
        </w:r>
        <w:r>
          <w:instrText>PAGEREF _Toc1871333383 \h</w:instrText>
        </w:r>
        <w:r>
          <w:fldChar w:fldCharType="separate"/>
        </w:r>
        <w:r>
          <w:t>5</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471440343">
        <w:r>
          <w:rPr>
            <w:rStyle w:val="C2"/>
          </w:rPr>
          <w:t>Granskningshandlingar</w:t>
        </w:r>
        <w:r>
          <w:tab/>
        </w:r>
        <w:r>
          <w:fldChar w:fldCharType="begin"/>
        </w:r>
        <w:r>
          <w:instrText>PAGEREF _Toc1471440343 \h</w:instrText>
        </w:r>
        <w:r>
          <w:fldChar w:fldCharType="separate"/>
        </w:r>
        <w:r>
          <w:t>5</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909129730">
        <w:r>
          <w:rPr>
            <w:rStyle w:val="C2"/>
          </w:rPr>
          <w:t>Uppdrag</w:t>
        </w:r>
        <w:r>
          <w:tab/>
        </w:r>
        <w:r>
          <w:fldChar w:fldCharType="begin"/>
        </w:r>
        <w:r>
          <w:instrText>PAGEREF _Toc909129730 \h</w:instrText>
        </w:r>
        <w:r>
          <w:fldChar w:fldCharType="separate"/>
        </w:r>
        <w:r>
          <w:t>5</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192447721">
        <w:r>
          <w:rPr>
            <w:rStyle w:val="C2"/>
          </w:rPr>
          <w:t>Planprocessen</w:t>
        </w:r>
        <w:r>
          <w:tab/>
        </w:r>
        <w:r>
          <w:fldChar w:fldCharType="begin"/>
        </w:r>
        <w:r>
          <w:instrText>PAGEREF _Toc1192447721 \h</w:instrText>
        </w:r>
        <w:r>
          <w:fldChar w:fldCharType="separate"/>
        </w:r>
        <w:r>
          <w:t>5</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00982168">
        <w:r>
          <w:rPr>
            <w:rStyle w:val="C2"/>
          </w:rPr>
          <w:t>Läshänvisning</w:t>
        </w:r>
        <w:r>
          <w:tab/>
        </w:r>
        <w:r>
          <w:fldChar w:fldCharType="begin"/>
        </w:r>
        <w:r>
          <w:instrText>PAGEREF _Toc100982168 \h</w:instrText>
        </w:r>
        <w:r>
          <w:fldChar w:fldCharType="separate"/>
        </w:r>
        <w:r>
          <w:t>6</w:t>
        </w:r>
        <w:r>
          <w:fldChar w:fldCharType="end"/>
        </w:r>
      </w:hyperlink>
    </w:p>
    <w:p>
      <w:pPr>
        <w:pStyle w:val="P13"/>
        <w:tabs>
          <w:tab w:val="right" w:pos="9060" w:leader="dot"/>
          <w:tab w:val="clear" w:pos="9071" w:leader="none"/>
        </w:tabs>
        <w:rPr>
          <w:rFonts w:asciiTheme="minorHAnsi" w:hAnsiTheme="minorHAnsi" w:cstheme="minorBidi" w:eastAsiaTheme="minorEastAsia"/>
          <w:color w:val="auto"/>
          <w:sz w:val="24"/>
          <w:kern w:val="2"/>
          <w:lang w:eastAsia="sv-SE"/>
        </w:rPr>
      </w:pPr>
      <w:hyperlink w:anchor="_Toc1166361898">
        <w:r>
          <w:rPr>
            <w:rStyle w:val="C2"/>
          </w:rPr>
          <w:t>Detaljplanens syfte och huvuddrag</w:t>
        </w:r>
        <w:r>
          <w:tab/>
        </w:r>
        <w:r>
          <w:fldChar w:fldCharType="begin"/>
        </w:r>
        <w:r>
          <w:instrText>PAGEREF _Toc1166361898 \h</w:instrText>
        </w:r>
        <w:r>
          <w:fldChar w:fldCharType="separate"/>
        </w:r>
        <w:r>
          <w:t>7</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554898297">
        <w:r>
          <w:rPr>
            <w:rStyle w:val="C2"/>
          </w:rPr>
          <w:t>Syfte</w:t>
        </w:r>
        <w:r>
          <w:tab/>
        </w:r>
        <w:r>
          <w:fldChar w:fldCharType="begin"/>
        </w:r>
        <w:r>
          <w:instrText>PAGEREF _Toc554898297 \h</w:instrText>
        </w:r>
        <w:r>
          <w:fldChar w:fldCharType="separate"/>
        </w:r>
        <w:r>
          <w:t>7</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961538324">
        <w:r>
          <w:rPr>
            <w:rStyle w:val="C2"/>
          </w:rPr>
          <w:t>Detaljplanens huvuddrag</w:t>
        </w:r>
        <w:r>
          <w:tab/>
        </w:r>
        <w:r>
          <w:fldChar w:fldCharType="begin"/>
        </w:r>
        <w:r>
          <w:instrText>PAGEREF _Toc1961538324 \h</w:instrText>
        </w:r>
        <w:r>
          <w:fldChar w:fldCharType="separate"/>
        </w:r>
        <w:r>
          <w:t>7</w:t>
        </w:r>
        <w:r>
          <w:fldChar w:fldCharType="end"/>
        </w:r>
      </w:hyperlink>
    </w:p>
    <w:p>
      <w:pPr>
        <w:pStyle w:val="P13"/>
        <w:tabs>
          <w:tab w:val="right" w:pos="9060" w:leader="dot"/>
          <w:tab w:val="clear" w:pos="9071" w:leader="none"/>
        </w:tabs>
        <w:rPr>
          <w:rFonts w:asciiTheme="minorHAnsi" w:hAnsiTheme="minorHAnsi" w:cstheme="minorBidi" w:eastAsiaTheme="minorEastAsia"/>
          <w:color w:val="auto"/>
          <w:sz w:val="24"/>
          <w:kern w:val="2"/>
          <w:lang w:eastAsia="sv-SE"/>
        </w:rPr>
      </w:pPr>
      <w:hyperlink w:anchor="_Toc1229440284">
        <w:r>
          <w:rPr>
            <w:rStyle w:val="C2"/>
          </w:rPr>
          <w:t>Planeringsförutsättningar</w:t>
        </w:r>
        <w:r>
          <w:tab/>
        </w:r>
        <w:r>
          <w:fldChar w:fldCharType="begin"/>
        </w:r>
        <w:r>
          <w:instrText>PAGEREF _Toc1229440284 \h</w:instrText>
        </w:r>
        <w:r>
          <w:fldChar w:fldCharType="separate"/>
        </w:r>
        <w:r>
          <w:t>8</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23659026">
        <w:r>
          <w:rPr>
            <w:rStyle w:val="C2"/>
          </w:rPr>
          <w:t>Platsen</w:t>
        </w:r>
        <w:r>
          <w:tab/>
        </w:r>
        <w:r>
          <w:fldChar w:fldCharType="begin"/>
        </w:r>
        <w:r>
          <w:instrText>PAGEREF _Toc123659026 \h</w:instrText>
        </w:r>
        <w:r>
          <w:fldChar w:fldCharType="separate"/>
        </w:r>
        <w:r>
          <w:t>8</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860269670">
        <w:r>
          <w:rPr>
            <w:rStyle w:val="C2"/>
          </w:rPr>
          <w:t>Tidigare kommunala ställningstaganden</w:t>
        </w:r>
        <w:r>
          <w:tab/>
        </w:r>
        <w:r>
          <w:fldChar w:fldCharType="begin"/>
        </w:r>
        <w:r>
          <w:instrText>PAGEREF _Toc860269670 \h</w:instrText>
        </w:r>
        <w:r>
          <w:fldChar w:fldCharType="separate"/>
        </w:r>
        <w:r>
          <w:t>12</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426042669">
        <w:r>
          <w:rPr>
            <w:rStyle w:val="C2"/>
          </w:rPr>
          <w:t>Regionala intressen</w:t>
        </w:r>
        <w:r>
          <w:tab/>
        </w:r>
        <w:r>
          <w:fldChar w:fldCharType="begin"/>
        </w:r>
        <w:r>
          <w:instrText>PAGEREF _Toc426042669 \h</w:instrText>
        </w:r>
        <w:r>
          <w:fldChar w:fldCharType="separate"/>
        </w:r>
        <w:r>
          <w:t>16</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008427742">
        <w:r>
          <w:rPr>
            <w:rStyle w:val="C2"/>
          </w:rPr>
          <w:t>Nationella intressen</w:t>
        </w:r>
        <w:r>
          <w:tab/>
        </w:r>
        <w:r>
          <w:fldChar w:fldCharType="begin"/>
        </w:r>
        <w:r>
          <w:instrText>PAGEREF _Toc1008427742 \h</w:instrText>
        </w:r>
        <w:r>
          <w:fldChar w:fldCharType="separate"/>
        </w:r>
        <w:r>
          <w:t>17</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129267743">
        <w:r>
          <w:rPr>
            <w:rStyle w:val="C2"/>
          </w:rPr>
          <w:t>Naturvärden</w:t>
        </w:r>
        <w:r>
          <w:tab/>
        </w:r>
        <w:r>
          <w:fldChar w:fldCharType="begin"/>
        </w:r>
        <w:r>
          <w:instrText>PAGEREF _Toc1129267743 \h</w:instrText>
        </w:r>
        <w:r>
          <w:fldChar w:fldCharType="separate"/>
        </w:r>
        <w:r>
          <w:t>19</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096294761">
        <w:r>
          <w:rPr>
            <w:rStyle w:val="C2"/>
          </w:rPr>
          <w:t>Kulturvärden</w:t>
        </w:r>
        <w:r>
          <w:tab/>
        </w:r>
        <w:r>
          <w:fldChar w:fldCharType="begin"/>
        </w:r>
        <w:r>
          <w:instrText>PAGEREF _Toc1096294761 \h</w:instrText>
        </w:r>
        <w:r>
          <w:fldChar w:fldCharType="separate"/>
        </w:r>
        <w:r>
          <w:t>24</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992831666">
        <w:r>
          <w:rPr>
            <w:rStyle w:val="C2"/>
          </w:rPr>
          <w:t>Sociala värden</w:t>
        </w:r>
        <w:r>
          <w:tab/>
        </w:r>
        <w:r>
          <w:fldChar w:fldCharType="begin"/>
        </w:r>
        <w:r>
          <w:instrText>PAGEREF _Toc1992831666 \h</w:instrText>
        </w:r>
        <w:r>
          <w:fldChar w:fldCharType="separate"/>
        </w:r>
        <w:r>
          <w:t>24</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858603522">
        <w:r>
          <w:rPr>
            <w:rStyle w:val="C2"/>
          </w:rPr>
          <w:t>Geotekniska förhållanden</w:t>
        </w:r>
        <w:r>
          <w:tab/>
        </w:r>
        <w:r>
          <w:fldChar w:fldCharType="begin"/>
        </w:r>
        <w:r>
          <w:instrText>PAGEREF _Toc858603522 \h</w:instrText>
        </w:r>
        <w:r>
          <w:fldChar w:fldCharType="separate"/>
        </w:r>
        <w:r>
          <w:t>25</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194230974">
        <w:r>
          <w:rPr>
            <w:rStyle w:val="C2"/>
          </w:rPr>
          <w:t>Hydrogeologiska förhållanden</w:t>
        </w:r>
        <w:r>
          <w:tab/>
        </w:r>
        <w:r>
          <w:fldChar w:fldCharType="begin"/>
        </w:r>
        <w:r>
          <w:instrText>PAGEREF _Toc1194230974 \h</w:instrText>
        </w:r>
        <w:r>
          <w:fldChar w:fldCharType="separate"/>
        </w:r>
        <w:r>
          <w:t>27</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583492161">
        <w:r>
          <w:rPr>
            <w:rStyle w:val="C2"/>
          </w:rPr>
          <w:t>Risker för människors hälsa och säkerhet</w:t>
        </w:r>
        <w:r>
          <w:tab/>
        </w:r>
        <w:r>
          <w:fldChar w:fldCharType="begin"/>
        </w:r>
        <w:r>
          <w:instrText>PAGEREF _Toc583492161 \h</w:instrText>
        </w:r>
        <w:r>
          <w:fldChar w:fldCharType="separate"/>
        </w:r>
        <w:r>
          <w:t>29</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330001941">
        <w:r>
          <w:rPr>
            <w:rStyle w:val="C2"/>
          </w:rPr>
          <w:t>Service</w:t>
        </w:r>
        <w:r>
          <w:tab/>
        </w:r>
        <w:r>
          <w:fldChar w:fldCharType="begin"/>
        </w:r>
        <w:r>
          <w:instrText>PAGEREF _Toc330001941 \h</w:instrText>
        </w:r>
        <w:r>
          <w:fldChar w:fldCharType="separate"/>
        </w:r>
        <w:r>
          <w:t>33</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71540905">
        <w:r>
          <w:rPr>
            <w:rStyle w:val="C2"/>
          </w:rPr>
          <w:t>Teknisk infrastruktur</w:t>
        </w:r>
        <w:r>
          <w:tab/>
        </w:r>
        <w:r>
          <w:fldChar w:fldCharType="begin"/>
        </w:r>
        <w:r>
          <w:instrText>PAGEREF _Toc171540905 \h</w:instrText>
        </w:r>
        <w:r>
          <w:fldChar w:fldCharType="separate"/>
        </w:r>
        <w:r>
          <w:t>33</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720576703">
        <w:r>
          <w:rPr>
            <w:rStyle w:val="C2"/>
          </w:rPr>
          <w:t>Trafik</w:t>
        </w:r>
        <w:r>
          <w:tab/>
        </w:r>
        <w:r>
          <w:fldChar w:fldCharType="begin"/>
        </w:r>
        <w:r>
          <w:instrText>PAGEREF _Toc1720576703 \h</w:instrText>
        </w:r>
        <w:r>
          <w:fldChar w:fldCharType="separate"/>
        </w:r>
        <w:r>
          <w:t>34</w:t>
        </w:r>
        <w:r>
          <w:fldChar w:fldCharType="end"/>
        </w:r>
      </w:hyperlink>
    </w:p>
    <w:p>
      <w:pPr>
        <w:pStyle w:val="P13"/>
        <w:tabs>
          <w:tab w:val="right" w:pos="9060" w:leader="dot"/>
          <w:tab w:val="clear" w:pos="9071" w:leader="none"/>
        </w:tabs>
        <w:rPr>
          <w:rFonts w:asciiTheme="minorHAnsi" w:hAnsiTheme="minorHAnsi" w:cstheme="minorBidi" w:eastAsiaTheme="minorEastAsia"/>
          <w:color w:val="auto"/>
          <w:sz w:val="24"/>
          <w:kern w:val="2"/>
          <w:lang w:eastAsia="sv-SE"/>
        </w:rPr>
      </w:pPr>
      <w:hyperlink w:anchor="_Toc611076638">
        <w:r>
          <w:rPr>
            <w:rStyle w:val="C2"/>
          </w:rPr>
          <w:t>Beskrivning av detaljplanen</w:t>
        </w:r>
        <w:r>
          <w:tab/>
        </w:r>
        <w:r>
          <w:fldChar w:fldCharType="begin"/>
        </w:r>
        <w:r>
          <w:instrText>PAGEREF _Toc611076638 \h</w:instrText>
        </w:r>
        <w:r>
          <w:fldChar w:fldCharType="separate"/>
        </w:r>
        <w:r>
          <w:t>34</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446274450">
        <w:r>
          <w:rPr>
            <w:rStyle w:val="C2"/>
          </w:rPr>
          <w:t>Detaljplanen</w:t>
        </w:r>
        <w:r>
          <w:tab/>
        </w:r>
        <w:r>
          <w:fldChar w:fldCharType="begin"/>
        </w:r>
        <w:r>
          <w:instrText>PAGEREF _Toc1446274450 \h</w:instrText>
        </w:r>
        <w:r>
          <w:fldChar w:fldCharType="separate"/>
        </w:r>
        <w:r>
          <w:t>34</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981062712">
        <w:r>
          <w:rPr>
            <w:rStyle w:val="C2"/>
          </w:rPr>
          <w:t>Allmän plats</w:t>
        </w:r>
        <w:r>
          <w:tab/>
        </w:r>
        <w:r>
          <w:fldChar w:fldCharType="begin"/>
        </w:r>
        <w:r>
          <w:instrText>PAGEREF _Toc981062712 \h</w:instrText>
        </w:r>
        <w:r>
          <w:fldChar w:fldCharType="separate"/>
        </w:r>
        <w:r>
          <w:t>39</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825396875">
        <w:r>
          <w:rPr>
            <w:rStyle w:val="C2"/>
          </w:rPr>
          <w:t>Kvartersmark</w:t>
        </w:r>
        <w:r>
          <w:tab/>
        </w:r>
        <w:r>
          <w:fldChar w:fldCharType="begin"/>
        </w:r>
        <w:r>
          <w:instrText>PAGEREF _Toc825396875 \h</w:instrText>
        </w:r>
        <w:r>
          <w:fldChar w:fldCharType="separate"/>
        </w:r>
        <w:r>
          <w:t>41</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674859660">
        <w:r>
          <w:rPr>
            <w:rStyle w:val="C2"/>
          </w:rPr>
          <w:t>Genomförandetid</w:t>
        </w:r>
        <w:r>
          <w:tab/>
        </w:r>
        <w:r>
          <w:fldChar w:fldCharType="begin"/>
        </w:r>
        <w:r>
          <w:instrText>PAGEREF _Toc674859660 \h</w:instrText>
        </w:r>
        <w:r>
          <w:fldChar w:fldCharType="separate"/>
        </w:r>
        <w:r>
          <w:t>42</w:t>
        </w:r>
        <w:r>
          <w:fldChar w:fldCharType="end"/>
        </w:r>
      </w:hyperlink>
    </w:p>
    <w:p>
      <w:pPr>
        <w:pStyle w:val="P13"/>
        <w:tabs>
          <w:tab w:val="right" w:pos="9060" w:leader="dot"/>
          <w:tab w:val="clear" w:pos="9071" w:leader="none"/>
        </w:tabs>
        <w:rPr>
          <w:rFonts w:asciiTheme="minorHAnsi" w:hAnsiTheme="minorHAnsi" w:cstheme="minorBidi" w:eastAsiaTheme="minorEastAsia"/>
          <w:color w:val="auto"/>
          <w:sz w:val="24"/>
          <w:kern w:val="2"/>
          <w:lang w:eastAsia="sv-SE"/>
        </w:rPr>
      </w:pPr>
      <w:hyperlink w:anchor="_Toc1747042484">
        <w:r>
          <w:rPr>
            <w:rStyle w:val="C2"/>
          </w:rPr>
          <w:t>Motiv till detaljplanens regleringar</w:t>
        </w:r>
        <w:r>
          <w:tab/>
        </w:r>
        <w:r>
          <w:fldChar w:fldCharType="begin"/>
        </w:r>
        <w:r>
          <w:instrText>PAGEREF _Toc1747042484 \h</w:instrText>
        </w:r>
        <w:r>
          <w:fldChar w:fldCharType="separate"/>
        </w:r>
        <w:r>
          <w:t>43</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909065122">
        <w:r>
          <w:rPr>
            <w:rStyle w:val="C2"/>
          </w:rPr>
          <w:t>Motiv till reglering</w:t>
        </w:r>
        <w:r>
          <w:tab/>
        </w:r>
        <w:r>
          <w:fldChar w:fldCharType="begin"/>
        </w:r>
        <w:r>
          <w:instrText>PAGEREF _Toc909065122 \h</w:instrText>
        </w:r>
        <w:r>
          <w:fldChar w:fldCharType="separate"/>
        </w:r>
        <w:r>
          <w:t>43</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937542320">
        <w:r>
          <w:rPr>
            <w:rStyle w:val="C2"/>
          </w:rPr>
          <w:t>Motiv till reglering av del av Ar företagspark, norra delen</w:t>
        </w:r>
        <w:r>
          <w:tab/>
        </w:r>
        <w:r>
          <w:fldChar w:fldCharType="begin"/>
        </w:r>
        <w:r>
          <w:instrText>PAGEREF _Toc1937542320 \h</w:instrText>
        </w:r>
        <w:r>
          <w:fldChar w:fldCharType="separate"/>
        </w:r>
        <w:r>
          <w:t>47</w:t>
        </w:r>
        <w:r>
          <w:fldChar w:fldCharType="end"/>
        </w:r>
      </w:hyperlink>
    </w:p>
    <w:p>
      <w:pPr>
        <w:pStyle w:val="P13"/>
        <w:tabs>
          <w:tab w:val="right" w:pos="9060" w:leader="dot"/>
          <w:tab w:val="clear" w:pos="9071" w:leader="none"/>
        </w:tabs>
        <w:rPr>
          <w:rFonts w:asciiTheme="minorHAnsi" w:hAnsiTheme="minorHAnsi" w:cstheme="minorBidi" w:eastAsiaTheme="minorEastAsia"/>
          <w:color w:val="auto"/>
          <w:sz w:val="24"/>
          <w:kern w:val="2"/>
          <w:lang w:eastAsia="sv-SE"/>
        </w:rPr>
      </w:pPr>
      <w:hyperlink w:anchor="_Toc1007798244">
        <w:r>
          <w:rPr>
            <w:rStyle w:val="C2"/>
          </w:rPr>
          <w:t>Konsekvenser</w:t>
        </w:r>
        <w:r>
          <w:tab/>
        </w:r>
        <w:r>
          <w:fldChar w:fldCharType="begin"/>
        </w:r>
        <w:r>
          <w:instrText>PAGEREF _Toc1007798244 \h</w:instrText>
        </w:r>
        <w:r>
          <w:fldChar w:fldCharType="separate"/>
        </w:r>
        <w:r>
          <w:t>49</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007852504">
        <w:r>
          <w:rPr>
            <w:rStyle w:val="C2"/>
          </w:rPr>
          <w:t>Platsen</w:t>
        </w:r>
        <w:r>
          <w:tab/>
        </w:r>
        <w:r>
          <w:fldChar w:fldCharType="begin"/>
        </w:r>
        <w:r>
          <w:instrText>PAGEREF _Toc1007852504 \h</w:instrText>
        </w:r>
        <w:r>
          <w:fldChar w:fldCharType="separate"/>
        </w:r>
        <w:r>
          <w:t>49</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272490341">
        <w:r>
          <w:rPr>
            <w:rStyle w:val="C2"/>
          </w:rPr>
          <w:t>Tidigare kommunala ställningstaganden</w:t>
        </w:r>
        <w:r>
          <w:tab/>
        </w:r>
        <w:r>
          <w:fldChar w:fldCharType="begin"/>
        </w:r>
        <w:r>
          <w:instrText>PAGEREF _Toc272490341 \h</w:instrText>
        </w:r>
        <w:r>
          <w:fldChar w:fldCharType="separate"/>
        </w:r>
        <w:r>
          <w:t>50</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289750200">
        <w:r>
          <w:rPr>
            <w:rStyle w:val="C2"/>
          </w:rPr>
          <w:t>Strategisk miljöbedömning</w:t>
        </w:r>
        <w:r>
          <w:tab/>
        </w:r>
        <w:r>
          <w:fldChar w:fldCharType="begin"/>
        </w:r>
        <w:r>
          <w:instrText>PAGEREF _Toc1289750200 \h</w:instrText>
        </w:r>
        <w:r>
          <w:fldChar w:fldCharType="separate"/>
        </w:r>
        <w:r>
          <w:t>51</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948936313">
        <w:r>
          <w:rPr>
            <w:rStyle w:val="C2"/>
          </w:rPr>
          <w:t>Nationella intressen</w:t>
        </w:r>
        <w:r>
          <w:tab/>
        </w:r>
        <w:r>
          <w:fldChar w:fldCharType="begin"/>
        </w:r>
        <w:r>
          <w:instrText>PAGEREF _Toc948936313 \h</w:instrText>
        </w:r>
        <w:r>
          <w:fldChar w:fldCharType="separate"/>
        </w:r>
        <w:r>
          <w:t>51</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409987831">
        <w:r>
          <w:rPr>
            <w:rStyle w:val="C2"/>
          </w:rPr>
          <w:t>Naturvärden</w:t>
        </w:r>
        <w:r>
          <w:tab/>
        </w:r>
        <w:r>
          <w:fldChar w:fldCharType="begin"/>
        </w:r>
        <w:r>
          <w:instrText>PAGEREF _Toc1409987831 \h</w:instrText>
        </w:r>
        <w:r>
          <w:fldChar w:fldCharType="separate"/>
        </w:r>
        <w:r>
          <w:t>52</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498558197">
        <w:r>
          <w:rPr>
            <w:rStyle w:val="C2"/>
          </w:rPr>
          <w:t>Kulturvärden</w:t>
        </w:r>
        <w:r>
          <w:tab/>
        </w:r>
        <w:r>
          <w:fldChar w:fldCharType="begin"/>
        </w:r>
        <w:r>
          <w:instrText>PAGEREF _Toc498558197 \h</w:instrText>
        </w:r>
        <w:r>
          <w:fldChar w:fldCharType="separate"/>
        </w:r>
        <w:r>
          <w:t>53</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416795452">
        <w:r>
          <w:rPr>
            <w:rStyle w:val="C2"/>
          </w:rPr>
          <w:t>Sociala värden</w:t>
        </w:r>
        <w:r>
          <w:tab/>
        </w:r>
        <w:r>
          <w:fldChar w:fldCharType="begin"/>
        </w:r>
        <w:r>
          <w:instrText>PAGEREF _Toc416795452 \h</w:instrText>
        </w:r>
        <w:r>
          <w:fldChar w:fldCharType="separate"/>
        </w:r>
        <w:r>
          <w:t>53</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112052881">
        <w:r>
          <w:rPr>
            <w:rStyle w:val="C2"/>
          </w:rPr>
          <w:t>Geotekniska förhållanden</w:t>
        </w:r>
        <w:r>
          <w:tab/>
        </w:r>
        <w:r>
          <w:fldChar w:fldCharType="begin"/>
        </w:r>
        <w:r>
          <w:instrText>PAGEREF _Toc1112052881 \h</w:instrText>
        </w:r>
        <w:r>
          <w:fldChar w:fldCharType="separate"/>
        </w:r>
        <w:r>
          <w:t>54</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753848966">
        <w:r>
          <w:rPr>
            <w:rStyle w:val="C2"/>
          </w:rPr>
          <w:t>Hydrogeologiska förhållanden</w:t>
        </w:r>
        <w:r>
          <w:tab/>
        </w:r>
        <w:r>
          <w:fldChar w:fldCharType="begin"/>
        </w:r>
        <w:r>
          <w:instrText>PAGEREF _Toc753848966 \h</w:instrText>
        </w:r>
        <w:r>
          <w:fldChar w:fldCharType="separate"/>
        </w:r>
        <w:r>
          <w:t>54</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24912714">
        <w:r>
          <w:rPr>
            <w:rStyle w:val="C2"/>
          </w:rPr>
          <w:t>Risker för människors hälsa och säkerhet</w:t>
        </w:r>
        <w:r>
          <w:tab/>
        </w:r>
        <w:r>
          <w:fldChar w:fldCharType="begin"/>
        </w:r>
        <w:r>
          <w:instrText>PAGEREF _Toc24912714 \h</w:instrText>
        </w:r>
        <w:r>
          <w:fldChar w:fldCharType="separate"/>
        </w:r>
        <w:r>
          <w:t>55</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685967200">
        <w:r>
          <w:rPr>
            <w:rStyle w:val="C2"/>
          </w:rPr>
          <w:t>Service</w:t>
        </w:r>
        <w:r>
          <w:tab/>
        </w:r>
        <w:r>
          <w:fldChar w:fldCharType="begin"/>
        </w:r>
        <w:r>
          <w:instrText>PAGEREF _Toc685967200 \h</w:instrText>
        </w:r>
        <w:r>
          <w:fldChar w:fldCharType="separate"/>
        </w:r>
        <w:r>
          <w:t>62</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548187639">
        <w:r>
          <w:rPr>
            <w:rStyle w:val="C2"/>
          </w:rPr>
          <w:t>Teknisk infrastruktur</w:t>
        </w:r>
        <w:r>
          <w:tab/>
        </w:r>
        <w:r>
          <w:fldChar w:fldCharType="begin"/>
        </w:r>
        <w:r>
          <w:instrText>PAGEREF _Toc548187639 \h</w:instrText>
        </w:r>
        <w:r>
          <w:fldChar w:fldCharType="separate"/>
        </w:r>
        <w:r>
          <w:t>63</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905917519">
        <w:r>
          <w:rPr>
            <w:rStyle w:val="C2"/>
          </w:rPr>
          <w:t>Trafik</w:t>
        </w:r>
        <w:r>
          <w:tab/>
        </w:r>
        <w:r>
          <w:fldChar w:fldCharType="begin"/>
        </w:r>
        <w:r>
          <w:instrText>PAGEREF _Toc1905917519 \h</w:instrText>
        </w:r>
        <w:r>
          <w:fldChar w:fldCharType="separate"/>
        </w:r>
        <w:r>
          <w:t>63</w:t>
        </w:r>
        <w:r>
          <w:fldChar w:fldCharType="end"/>
        </w:r>
      </w:hyperlink>
    </w:p>
    <w:p>
      <w:pPr>
        <w:pStyle w:val="P13"/>
        <w:tabs>
          <w:tab w:val="right" w:pos="9060" w:leader="dot"/>
          <w:tab w:val="clear" w:pos="9071" w:leader="none"/>
        </w:tabs>
        <w:rPr>
          <w:rFonts w:asciiTheme="minorHAnsi" w:hAnsiTheme="minorHAnsi" w:cstheme="minorBidi" w:eastAsiaTheme="minorEastAsia"/>
          <w:color w:val="auto"/>
          <w:sz w:val="24"/>
          <w:kern w:val="2"/>
          <w:lang w:eastAsia="sv-SE"/>
        </w:rPr>
      </w:pPr>
      <w:hyperlink w:anchor="_Toc1978090216">
        <w:r>
          <w:rPr>
            <w:rStyle w:val="C2"/>
          </w:rPr>
          <w:t>Genomförande</w:t>
        </w:r>
        <w:r>
          <w:tab/>
        </w:r>
        <w:r>
          <w:fldChar w:fldCharType="begin"/>
        </w:r>
        <w:r>
          <w:instrText>PAGEREF _Toc1978090216 \h</w:instrText>
        </w:r>
        <w:r>
          <w:fldChar w:fldCharType="separate"/>
        </w:r>
        <w:r>
          <w:t>65</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552978076">
        <w:r>
          <w:rPr>
            <w:rStyle w:val="C2"/>
          </w:rPr>
          <w:t>Mark- och utrymmesförvärv</w:t>
        </w:r>
        <w:r>
          <w:tab/>
        </w:r>
        <w:r>
          <w:fldChar w:fldCharType="begin"/>
        </w:r>
        <w:r>
          <w:instrText>PAGEREF _Toc552978076 \h</w:instrText>
        </w:r>
        <w:r>
          <w:fldChar w:fldCharType="separate"/>
        </w:r>
        <w:r>
          <w:t>65</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75476712">
        <w:r>
          <w:rPr>
            <w:rStyle w:val="C2"/>
          </w:rPr>
          <w:t>Fastighetsrättsliga frågor</w:t>
        </w:r>
        <w:r>
          <w:tab/>
        </w:r>
        <w:r>
          <w:fldChar w:fldCharType="begin"/>
        </w:r>
        <w:r>
          <w:instrText>PAGEREF _Toc75476712 \h</w:instrText>
        </w:r>
        <w:r>
          <w:fldChar w:fldCharType="separate"/>
        </w:r>
        <w:r>
          <w:t>66</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92588268">
        <w:r>
          <w:rPr>
            <w:rStyle w:val="C2"/>
          </w:rPr>
          <w:t>Tekniska frågor</w:t>
        </w:r>
        <w:r>
          <w:tab/>
        </w:r>
        <w:r>
          <w:fldChar w:fldCharType="begin"/>
        </w:r>
        <w:r>
          <w:instrText>PAGEREF _Toc92588268 \h</w:instrText>
        </w:r>
        <w:r>
          <w:fldChar w:fldCharType="separate"/>
        </w:r>
        <w:r>
          <w:t>69</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71768824">
        <w:r>
          <w:rPr>
            <w:rStyle w:val="C2"/>
          </w:rPr>
          <w:t>Ekonomiska frågor</w:t>
        </w:r>
        <w:r>
          <w:tab/>
        </w:r>
        <w:r>
          <w:fldChar w:fldCharType="begin"/>
        </w:r>
        <w:r>
          <w:instrText>PAGEREF _Toc71768824 \h</w:instrText>
        </w:r>
        <w:r>
          <w:fldChar w:fldCharType="separate"/>
        </w:r>
        <w:r>
          <w:t>72</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711018554">
        <w:r>
          <w:rPr>
            <w:rStyle w:val="C2"/>
          </w:rPr>
          <w:t>Organisatoriska frågor</w:t>
        </w:r>
        <w:r>
          <w:tab/>
        </w:r>
        <w:r>
          <w:fldChar w:fldCharType="begin"/>
        </w:r>
        <w:r>
          <w:instrText>PAGEREF _Toc711018554 \h</w:instrText>
        </w:r>
        <w:r>
          <w:fldChar w:fldCharType="separate"/>
        </w:r>
        <w:r>
          <w:t>73</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838238064">
        <w:r>
          <w:rPr>
            <w:rStyle w:val="C2"/>
          </w:rPr>
          <w:t>Prövning enligt annan lagstiftning</w:t>
        </w:r>
        <w:r>
          <w:tab/>
        </w:r>
        <w:r>
          <w:fldChar w:fldCharType="begin"/>
        </w:r>
        <w:r>
          <w:instrText>PAGEREF _Toc838238064 \h</w:instrText>
        </w:r>
        <w:r>
          <w:fldChar w:fldCharType="separate"/>
        </w:r>
        <w:r>
          <w:t>74</w:t>
        </w:r>
        <w:r>
          <w:fldChar w:fldCharType="end"/>
        </w:r>
      </w:hyperlink>
    </w:p>
    <w:p>
      <w:pPr>
        <w:pStyle w:val="P13"/>
        <w:tabs>
          <w:tab w:val="right" w:pos="9060" w:leader="dot"/>
          <w:tab w:val="clear" w:pos="9071" w:leader="none"/>
        </w:tabs>
        <w:rPr>
          <w:rFonts w:asciiTheme="minorHAnsi" w:hAnsiTheme="minorHAnsi" w:cstheme="minorBidi" w:eastAsiaTheme="minorEastAsia"/>
          <w:color w:val="auto"/>
          <w:sz w:val="24"/>
          <w:kern w:val="2"/>
          <w:lang w:eastAsia="sv-SE"/>
        </w:rPr>
      </w:pPr>
      <w:hyperlink w:anchor="_Toc393846906">
        <w:r>
          <w:rPr>
            <w:rStyle w:val="C2"/>
          </w:rPr>
          <w:t>Planeringsunderlag</w:t>
        </w:r>
        <w:r>
          <w:tab/>
        </w:r>
        <w:r>
          <w:fldChar w:fldCharType="begin"/>
        </w:r>
        <w:r>
          <w:instrText>PAGEREF _Toc393846906 \h</w:instrText>
        </w:r>
        <w:r>
          <w:fldChar w:fldCharType="separate"/>
        </w:r>
        <w:r>
          <w:t>75</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484474765">
        <w:r>
          <w:rPr>
            <w:rStyle w:val="C2"/>
          </w:rPr>
          <w:t>Regionala planeringsunderlag</w:t>
        </w:r>
        <w:r>
          <w:tab/>
        </w:r>
        <w:r>
          <w:fldChar w:fldCharType="begin"/>
        </w:r>
        <w:r>
          <w:instrText>PAGEREF _Toc484474765 \h</w:instrText>
        </w:r>
        <w:r>
          <w:fldChar w:fldCharType="separate"/>
        </w:r>
        <w:r>
          <w:t>75</w:t>
        </w:r>
        <w:r>
          <w:fldChar w:fldCharType="end"/>
        </w:r>
      </w:hyperlink>
    </w:p>
    <w:p>
      <w:pPr>
        <w:pStyle w:val="P14"/>
        <w:tabs>
          <w:tab w:val="right" w:pos="9060" w:leader="dot"/>
          <w:tab w:val="clear" w:pos="9071" w:leader="none"/>
        </w:tabs>
        <w:rPr>
          <w:rFonts w:asciiTheme="minorHAnsi" w:hAnsiTheme="minorHAnsi" w:cstheme="minorBidi" w:eastAsiaTheme="minorEastAsia"/>
          <w:color w:val="auto"/>
          <w:sz w:val="24"/>
          <w:kern w:val="2"/>
          <w:lang w:eastAsia="sv-SE"/>
        </w:rPr>
      </w:pPr>
      <w:hyperlink w:anchor="_Toc198716659">
        <w:r>
          <w:rPr>
            <w:rStyle w:val="C2"/>
          </w:rPr>
          <w:t>Kommunala planeringsunderlag</w:t>
        </w:r>
        <w:r>
          <w:tab/>
        </w:r>
        <w:r>
          <w:fldChar w:fldCharType="begin"/>
        </w:r>
        <w:r>
          <w:instrText>PAGEREF _Toc198716659 \h</w:instrText>
        </w:r>
        <w:r>
          <w:fldChar w:fldCharType="separate"/>
        </w:r>
        <w:r>
          <w:t>75</w:t>
        </w:r>
        <w:r>
          <w:fldChar w:fldCharType="end"/>
        </w:r>
      </w:hyperlink>
    </w:p>
    <w:p>
      <w:pPr>
        <w:pStyle w:val="P14"/>
        <w:tabs>
          <w:tab w:val="right" w:pos="9060" w:leader="dot"/>
          <w:tab w:val="clear" w:pos="9071" w:leader="none"/>
        </w:tabs>
      </w:pPr>
      <w:hyperlink w:anchor="_Toc1227559298">
        <w:r>
          <w:rPr>
            <w:rStyle w:val="C2"/>
          </w:rPr>
          <w:t>Utredningar</w:t>
        </w:r>
        <w:r>
          <w:tab/>
        </w:r>
        <w:r>
          <w:fldChar w:fldCharType="begin"/>
        </w:r>
        <w:r>
          <w:instrText>PAGEREF _Toc1227559298 \h</w:instrText>
        </w:r>
        <w:r>
          <w:fldChar w:fldCharType="separate"/>
        </w:r>
        <w:r>
          <w:t>76</w:t>
        </w:r>
        <w:r>
          <w:fldChar w:fldCharType="end"/>
        </w:r>
      </w:hyperlink>
      <w:r>
        <w:fldChar w:fldCharType="end"/>
      </w:r>
    </w:p>
    <w:p/>
    <w:p>
      <w:pPr>
        <w:rPr>
          <w:rFonts w:ascii="Arial" w:hAnsi="Arial" w:cs="Arial"/>
          <w:sz w:val="22"/>
          <w:szCs w:val="22"/>
        </w:rPr>
      </w:pPr>
      <w:r>
        <w:br w:type="page"/>
      </w:r>
    </w:p>
    <w:p>
      <w:pPr>
        <w:pStyle w:val="P1"/>
        <w:rPr>
          <w:b w:val="1"/>
        </w:rPr>
      </w:pPr>
      <w:bookmarkStart w:id="1" w:name="xxDocument"/>
      <w:bookmarkEnd w:id="1"/>
      <w:bookmarkStart w:id="2" w:name="_Toc153284637"/>
      <w:bookmarkStart w:id="3" w:name="_Toc1871333383"/>
      <w:r>
        <w:rPr>
          <w:b w:val="1"/>
        </w:rPr>
        <w:t>Inledning</w:t>
      </w:r>
      <w:bookmarkEnd w:id="2"/>
      <w:bookmarkEnd w:id="3"/>
    </w:p>
    <w:p>
      <w:pPr>
        <w:pStyle w:val="P2"/>
        <w:rPr>
          <w:color w:val="000000" w:themeColor="text1"/>
        </w:rPr>
      </w:pPr>
      <w:bookmarkStart w:id="4" w:name="_Toc153284638"/>
      <w:bookmarkStart w:id="5" w:name="_Toc1471440343"/>
      <w:r>
        <w:rPr>
          <w:color w:val="000000" w:themeColor="text1"/>
        </w:rPr>
        <w:t>Antagandehandlingar</w:t>
      </w:r>
      <w:bookmarkEnd w:id="4"/>
      <w:bookmarkEnd w:id="5"/>
    </w:p>
    <w:p>
      <w:pPr>
        <w:pStyle w:val="P17"/>
        <w:numPr>
          <w:ilvl w:val="0"/>
          <w:numId w:val="6"/>
        </w:numPr>
      </w:pPr>
      <w:r>
        <w:t>Planbeskrivning, 2026-05-25</w:t>
      </w:r>
    </w:p>
    <w:p>
      <w:pPr>
        <w:pStyle w:val="P17"/>
        <w:numPr>
          <w:ilvl w:val="0"/>
          <w:numId w:val="6"/>
        </w:numPr>
      </w:pPr>
      <w:r>
        <w:t>Plankarta, 2026-05-25</w:t>
      </w:r>
    </w:p>
    <w:p>
      <w:pPr>
        <w:rPr>
          <w:color w:val="auto"/>
        </w:rPr>
      </w:pPr>
      <w:r>
        <w:rPr>
          <w:color w:val="auto"/>
        </w:rPr>
        <w:t>Till planen hör även ett gestaltningsprogram som syftar till att förtydliga detaljplanens intentioner avseende gestaltning av bebyggelse och allmän plats samt utgör stöd vid bygglovsprövning.</w:t>
      </w:r>
    </w:p>
    <w:p>
      <w:pPr>
        <w:rPr>
          <w:color w:val="auto"/>
        </w:rPr>
      </w:pPr>
      <w:r>
        <w:rPr>
          <w:color w:val="auto"/>
        </w:rPr>
        <w:t xml:space="preserve">För utredningar och övriga underlag se avsnitt </w:t>
      </w:r>
      <w:r>
        <w:rPr>
          <w:i w:val="1"/>
          <w:iCs w:val="1"/>
          <w:color w:val="auto"/>
        </w:rPr>
        <w:t>Planeringsunderlag</w:t>
      </w:r>
      <w:r>
        <w:rPr>
          <w:color w:val="auto"/>
        </w:rPr>
        <w:t>.</w:t>
      </w:r>
    </w:p>
    <w:p>
      <w:pPr>
        <w:pStyle w:val="P2"/>
      </w:pPr>
      <w:bookmarkStart w:id="6" w:name="_Toc153284639"/>
      <w:bookmarkStart w:id="7" w:name="_Toc909129730"/>
      <w:r>
        <w:t>Uppdrag</w:t>
      </w:r>
      <w:bookmarkEnd w:id="6"/>
      <w:bookmarkEnd w:id="7"/>
    </w:p>
    <w:p>
      <w:pPr>
        <w:rPr>
          <w:rFonts w:eastAsiaTheme="minorEastAsia"/>
          <w:color w:val="auto"/>
        </w:rPr>
      </w:pPr>
      <w:r>
        <w:rPr>
          <w:rFonts w:eastAsiaTheme="minorEastAsia"/>
          <w:color w:val="auto"/>
        </w:rPr>
        <w:t xml:space="preserve">Kommunstyrelsen fattade 2024-10-21 (§ 145) beslut om att godkänna förslag till projektuppdrag för exploateringsprojekt Myrberget och att ge samhällsbyggnadskontoret i uppdrag att upprätta förslag till detaljplan för Myrberget, Vrå 3:1 med flera. </w:t>
      </w:r>
    </w:p>
    <w:p>
      <w:pPr>
        <w:rPr>
          <w:color w:val="auto"/>
          <w:shd w:val="clear" w:color="auto" w:fill="FFFFFF"/>
        </w:rPr>
      </w:pPr>
      <w:r>
        <w:rPr>
          <w:color w:val="auto"/>
          <w:shd w:val="clear" w:color="auto" w:fill="FFFFFF"/>
        </w:rPr>
        <w:t>Projektet syftar till att möjliggöra för trivsamma och trygga boendemiljöer med närhet till naturen. Projektet syftar även till att möjliggöra för verksamheter att etablera sig i kommunen. Detta för att säkerställa kommunfullmäktiges inriktningsmål ”En sund stadsbyggnad för ett trivsamt, tryggt och grönt Knivsta med ett välmående näringsliv”.</w:t>
      </w:r>
    </w:p>
    <w:p>
      <w:pPr>
        <w:rPr>
          <w:color w:val="auto"/>
          <w:shd w:val="clear" w:color="auto" w:fill="FFFFFF"/>
        </w:rPr>
      </w:pPr>
      <w:r>
        <w:rPr>
          <w:color w:val="auto"/>
          <w:shd w:val="clear" w:color="auto" w:fill="FFFFFF"/>
        </w:rPr>
        <w:t>Följande mål från projektuppdraget vägleder detaljplanearbetet:</w:t>
      </w:r>
    </w:p>
    <w:p>
      <w:pPr>
        <w:pStyle w:val="P17"/>
        <w:numPr>
          <w:ilvl w:val="0"/>
          <w:numId w:val="11"/>
        </w:numPr>
        <w:rPr>
          <w:color w:val="auto"/>
          <w:shd w:val="clear" w:color="auto" w:fill="FFFFFF"/>
        </w:rPr>
      </w:pPr>
      <w:r>
        <w:rPr>
          <w:color w:val="auto"/>
          <w:shd w:val="clear" w:color="auto" w:fill="FFFFFF"/>
        </w:rPr>
        <w:t xml:space="preserve">Minst 100 inflyttade småhus. </w:t>
      </w:r>
    </w:p>
    <w:p>
      <w:pPr>
        <w:pStyle w:val="P17"/>
        <w:numPr>
          <w:ilvl w:val="0"/>
          <w:numId w:val="11"/>
        </w:numPr>
        <w:rPr>
          <w:color w:val="auto"/>
          <w:shd w:val="clear" w:color="auto" w:fill="FFFFFF"/>
        </w:rPr>
      </w:pPr>
      <w:r>
        <w:rPr>
          <w:color w:val="auto"/>
          <w:shd w:val="clear" w:color="auto" w:fill="FFFFFF"/>
        </w:rPr>
        <w:t xml:space="preserve">Tillskapande av arbetsplatser. </w:t>
      </w:r>
    </w:p>
    <w:p>
      <w:pPr>
        <w:pStyle w:val="P17"/>
        <w:numPr>
          <w:ilvl w:val="0"/>
          <w:numId w:val="11"/>
        </w:numPr>
        <w:rPr>
          <w:color w:val="auto"/>
          <w:shd w:val="clear" w:color="auto" w:fill="FFFFFF"/>
        </w:rPr>
      </w:pPr>
      <w:r>
        <w:rPr>
          <w:color w:val="auto"/>
          <w:shd w:val="clear" w:color="auto" w:fill="FFFFFF"/>
        </w:rPr>
        <w:t xml:space="preserve">Exploatering och försäljning av kommunal mark inom projektområdet. </w:t>
      </w:r>
    </w:p>
    <w:p>
      <w:pPr>
        <w:pStyle w:val="P17"/>
        <w:numPr>
          <w:ilvl w:val="0"/>
          <w:numId w:val="11"/>
        </w:numPr>
        <w:rPr>
          <w:color w:val="auto"/>
          <w:shd w:val="clear" w:color="auto" w:fill="FFFFFF"/>
        </w:rPr>
      </w:pPr>
      <w:r>
        <w:rPr>
          <w:color w:val="auto"/>
          <w:shd w:val="clear" w:color="auto" w:fill="FFFFFF"/>
        </w:rPr>
        <w:t xml:space="preserve">En naturlig och integrerad övergång mellan befintlig och kommande bebyggelse i Alsike och verksamhetsområdet i Ar. </w:t>
      </w:r>
    </w:p>
    <w:p>
      <w:pPr>
        <w:rPr>
          <w:rFonts w:eastAsiaTheme="minorEastAsia"/>
          <w:color w:val="auto"/>
        </w:rPr>
      </w:pPr>
      <w:r>
        <w:rPr>
          <w:rFonts w:eastAsiaTheme="minorEastAsia"/>
          <w:color w:val="auto"/>
        </w:rPr>
        <w:t xml:space="preserve">Planprocessen genomförs med standardförfarande enligt Plan- och bygglagen </w:t>
      </w:r>
      <w:r>
        <w:rPr>
          <w:color w:val="auto"/>
        </w:rPr>
        <w:t xml:space="preserve">(2010:900; </w:t>
      </w:r>
      <w:r>
        <w:rPr>
          <w:rFonts w:eastAsiaTheme="minorEastAsia"/>
          <w:color w:val="auto"/>
        </w:rPr>
        <w:t>PBL). I ärendet gäller planläggning för bostäder, verksamheter, park, natur och gata.</w:t>
      </w:r>
    </w:p>
    <w:p>
      <w:pPr>
        <w:rPr>
          <w:rFonts w:eastAsiaTheme="minorEastAsia"/>
          <w:color w:val="auto"/>
        </w:rPr>
      </w:pPr>
      <w:r>
        <w:rPr>
          <w:rFonts w:eastAsiaTheme="minorEastAsia"/>
          <w:color w:val="auto"/>
        </w:rPr>
        <w:t xml:space="preserve">Planläggning sker till följd av att fastighetsägaren till Vrå 3:1 önskar pröva möjligheten att uppföra bostäder och verksamheter i området. </w:t>
      </w:r>
    </w:p>
    <w:p>
      <w:pPr>
        <w:pStyle w:val="P2"/>
      </w:pPr>
      <w:bookmarkStart w:id="8" w:name="_Toc153284640"/>
      <w:bookmarkStart w:id="9" w:name="_Toc1192447721"/>
      <w:r>
        <w:t>Planprocessen</w:t>
      </w:r>
      <w:bookmarkEnd w:id="8"/>
      <w:bookmarkEnd w:id="9"/>
    </w:p>
    <w:p>
      <w:pPr>
        <w:rPr>
          <w:rFonts w:eastAsiaTheme="minorEastAsia"/>
        </w:rPr>
      </w:pPr>
      <w:r>
        <w:rPr>
          <w:rFonts w:eastAsiaTheme="minorEastAsia"/>
        </w:rPr>
        <w:t>Detaljplaneprocessen regleras i plan- och bygglagen (PBL), och syftar till att pröva om ett förslag till markanvändning är lämplig. I processen ska allmänna och enskilda intressen vägas mot varandra. Under samråd och granskning ges möjlighet för sakägare, myndigheter och andra berörda att inkomma med synpunkter. Efter det är det möjligt att anta detaljplanen.</w:t>
      </w:r>
    </w:p>
    <w:p>
      <w:pPr>
        <w:rPr>
          <w:rFonts w:eastAsiaTheme="minorEastAsia"/>
        </w:rPr>
      </w:pPr>
    </w:p>
    <w:p>
      <w:r>
        <w:rPr>
          <w:noProof w:val="1"/>
        </w:rPr>
        <w:drawing>
          <wp:inline xmlns:wp="http://schemas.openxmlformats.org/drawingml/2006/wordprocessingDrawing" distT="0" distB="0" distL="0" distR="0">
            <wp:extent cx="5041265" cy="743585"/>
            <wp:effectExtent l="0" t="0" r="6985" b="0"/>
            <wp:docPr id="417795010" name="Bildobjekt 1" descr="En bild som visar Teckensnitt, linje, symbol, logoty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795010" name="Bildobjekt 1" descr="En bild som visar Teckensnitt, linje, symbol, logotyp&#10;&#10;AI-genererat innehåll kan vara felaktigt."/>
                    <pic:cNvPicPr>
                      <a:picLocks noChangeAspect="1" noChangeArrowheads="1"/>
                    </pic:cNvPicPr>
                  </pic:nvPicPr>
                  <pic:blipFill dpi="0">
                    <a:blip xmlns:r="http://schemas.openxmlformats.org/officeDocument/2006/relationships" r:embed="Relimage1">
                      <a:extLst>
                        <a:ext uri="{28A0092B-C50C-407E-A947-70E740481C1C}">
                          <a14:useLocalDpi xmlns:a14="http://schemas.microsoft.com/office/drawing/2010/main" val="0"/>
                        </a:ext>
                      </a:extLst>
                    </a:blip>
                    <a:srcRect/>
                    <a:stretch>
                      <a:fillRect/>
                    </a:stretch>
                  </pic:blipFill>
                  <pic:spPr bwMode="auto">
                    <a:xfrm>
                      <a:off x="0" y="0"/>
                      <a:ext cx="5041265" cy="743585"/>
                    </a:xfrm>
                    <a:prstGeom prst="rect"/>
                    <a:noFill/>
                    <a:ln>
                      <a:noFill/>
                    </a:ln>
                  </pic:spPr>
                </pic:pic>
              </a:graphicData>
            </a:graphic>
          </wp:inline>
        </w:drawing>
      </w:r>
    </w:p>
    <w:p>
      <w:pPr>
        <w:rPr>
          <w:color w:val="FF0000"/>
        </w:rPr>
      </w:pPr>
      <w:r>
        <w:rPr>
          <w:color w:val="auto"/>
          <w:sz w:val="20"/>
          <w:szCs w:val="20"/>
        </w:rPr>
        <w:t xml:space="preserve">Detaljplanen befinner sig nu </w:t>
      </w:r>
      <w:r>
        <w:rPr>
          <w:sz w:val="20"/>
          <w:szCs w:val="20"/>
        </w:rPr>
        <w:t>i laga kraftskedet.</w:t>
      </w:r>
    </w:p>
    <w:p>
      <w:pPr>
        <w:pStyle w:val="P2"/>
      </w:pPr>
      <w:bookmarkStart w:id="10" w:name="_Toc153284641"/>
      <w:bookmarkStart w:id="11" w:name="_Toc100982168"/>
      <w:r>
        <w:t>Läshänvisning</w:t>
      </w:r>
      <w:bookmarkEnd w:id="10"/>
      <w:bookmarkEnd w:id="11"/>
    </w:p>
    <w:p>
      <w:pPr>
        <w:rPr>
          <w:color w:val="EE0000"/>
        </w:rPr>
      </w:pPr>
      <w:r>
        <w:t>En detaljplan består av en plankarta och en planbeskrivning. Till denna plan hör även ett gestaltningsprogram.</w:t>
      </w:r>
    </w:p>
    <w:p>
      <w:r>
        <w:t xml:space="preserve">Plankartan är den handling som är juridiskt bindande och anger vad som till exempel ska vara allmän plats, kvartersmark och hur bebyggelsen ska regleras. Plankartan ligger till grund för kommande bygglovsprövning. Planbeskrivningen beskriver hur detaljplanen ska förstås och genomföras samt de avvägningar som gjorts i detaljplaneprocessen. </w:t>
      </w:r>
    </w:p>
    <w:p>
      <w:r>
        <w:t xml:space="preserve">I planbeskrivningen ska kommunen bland annat redovisa planeringsförutsättningarna, planens syfte och hur planen är avsedd att genomföras. Innehållet i en planbeskrivning regleras i PBL och Boverkets föreskrifter och allmänna </w:t>
      </w:r>
      <w:r>
        <w:rPr>
          <w:color w:val="auto"/>
        </w:rPr>
        <w:t xml:space="preserve">råd (2020:8) </w:t>
      </w:r>
      <w:r>
        <w:t>om planbeskrivning.</w:t>
      </w:r>
    </w:p>
    <w:p>
      <w:r>
        <w:t xml:space="preserve">Planbeskrivningen är uppbyggd genom att först presentera platsen och dess </w:t>
      </w:r>
      <w:r>
        <w:rPr>
          <w:i w:val="1"/>
          <w:iCs w:val="1"/>
        </w:rPr>
        <w:t>förutsättningar</w:t>
      </w:r>
      <w:r>
        <w:t xml:space="preserve">. Sedan presenteras </w:t>
      </w:r>
      <w:r>
        <w:rPr>
          <w:i w:val="1"/>
          <w:iCs w:val="1"/>
        </w:rPr>
        <w:t>förslaget till detaljplan</w:t>
      </w:r>
      <w:r>
        <w:t xml:space="preserve">, det vill säga möjlig exploatering och hur förutsättningarna har beaktats. Efter detta beskrivs de </w:t>
      </w:r>
      <w:r>
        <w:rPr>
          <w:i w:val="1"/>
          <w:iCs w:val="1"/>
        </w:rPr>
        <w:t>konsekvenser</w:t>
      </w:r>
      <w:r>
        <w:t xml:space="preserve"> som uppskattas bli resultatet av det genomförda projektet. Slutligen redovisas hur detaljplanen är tänkt att</w:t>
      </w:r>
      <w:r>
        <w:rPr>
          <w:i w:val="1"/>
          <w:iCs w:val="1"/>
        </w:rPr>
        <w:t xml:space="preserve"> genomföras</w:t>
      </w:r>
      <w:r>
        <w:t>, samt en referenslista över de planeringsunderlag som har använts.</w:t>
      </w:r>
    </w:p>
    <w:p>
      <w:r>
        <w:t>Gestaltningsprogrammet förtydligar detaljplanens intentioner avseende gestaltning av bebyggelse och allmän plats samt utgör stöd vid kommande bygglovsprövning.</w:t>
      </w:r>
    </w:p>
    <w:p>
      <w:pPr>
        <w:spacing w:lineRule="auto" w:line="240" w:beforeAutospacing="0" w:afterAutospacing="0"/>
        <w:rPr>
          <w:rFonts w:asciiTheme="majorHAnsi" w:hAnsiTheme="majorHAnsi" w:cs="Arial" w:eastAsiaTheme="majorEastAsia"/>
          <w:b w:val="1"/>
          <w:bCs w:val="1"/>
          <w:color w:val="auto"/>
          <w:sz w:val="32"/>
          <w:szCs w:val="32"/>
        </w:rPr>
      </w:pPr>
      <w:bookmarkStart w:id="12" w:name="_Toc153284656"/>
      <w:r>
        <w:rPr>
          <w:b w:val="1"/>
          <w:bCs w:val="1"/>
        </w:rPr>
        <w:br w:type="page"/>
      </w:r>
    </w:p>
    <w:p>
      <w:pPr>
        <w:pStyle w:val="P1"/>
        <w:rPr>
          <w:b w:val="1"/>
        </w:rPr>
      </w:pPr>
      <w:bookmarkStart w:id="13" w:name="_Toc1166361898"/>
      <w:r>
        <w:rPr>
          <w:b w:val="1"/>
        </w:rPr>
        <w:t>Detaljplanens syfte</w:t>
      </w:r>
      <w:bookmarkEnd w:id="12"/>
      <w:r>
        <w:rPr>
          <w:b w:val="1"/>
        </w:rPr>
        <w:t xml:space="preserve"> och huvuddrag</w:t>
      </w:r>
      <w:bookmarkEnd w:id="13"/>
    </w:p>
    <w:p>
      <w:pPr>
        <w:pStyle w:val="P2"/>
      </w:pPr>
      <w:bookmarkStart w:id="14" w:name="_Toc153284657"/>
      <w:bookmarkStart w:id="15" w:name="_Toc554898297"/>
      <w:r>
        <w:t>Syfte</w:t>
      </w:r>
      <w:bookmarkEnd w:id="14"/>
      <w:bookmarkEnd w:id="15"/>
    </w:p>
    <w:p>
      <w:bookmarkStart w:id="16" w:name="sy_syfte01"/>
      <w:r>
        <w:rPr>
          <w:color w:val="auto"/>
        </w:rPr>
        <w:t>Syftet med detaljplanen är att möjliggöra för bostäder. Planen syftar även till att möjliggöra för verksamheter</w:t>
      </w:r>
      <w:r>
        <w:rPr>
          <w:color w:val="EE0000"/>
        </w:rPr>
        <w:t xml:space="preserve">. </w:t>
      </w:r>
      <w:r>
        <w:rPr>
          <w:rFonts w:ascii="Times New Roman" w:hAnsi="Times New Roman"/>
        </w:rPr>
        <w:t xml:space="preserve">Bebyggelsen ska bidra till att skapa en attraktiv miljö som präglas av närhet till natur. </w:t>
      </w:r>
      <w:r>
        <w:rPr>
          <w:color w:val="auto"/>
        </w:rPr>
        <w:t xml:space="preserve">Vidare är syftet med detaljplanen att bevara naturområden och möjliggöra för rekreationsområden, samt säkerställa fortsatta </w:t>
      </w:r>
      <w:r>
        <w:t>spridningsmöjligheter för människor, djur och växter genom området.</w:t>
      </w:r>
    </w:p>
    <w:p>
      <w:pPr>
        <w:pStyle w:val="P2"/>
      </w:pPr>
      <w:bookmarkEnd w:id="16"/>
      <w:bookmarkStart w:id="17" w:name="_Toc1961538324"/>
      <w:bookmarkStart w:id="18" w:name="sy_detaljplanenshuvuddrag01"/>
      <w:r>
        <w:t>Detaljplanens huvuddrag</w:t>
      </w:r>
      <w:bookmarkEnd w:id="17"/>
    </w:p>
    <w:p>
      <w:r>
        <w:t>Detaljplanen möjliggör för ungefär 175 - 200 bostäder i form av radhus, parhus, kedjehus och friliggande småhus samt verksamheter. Förslaget möjliggör för ungefär 24 000 kvm verksamheter samt förändrar byggrätten för en del av befintligt verksamhetsområde för att minska olycksriskerna. Bostadsområdet ansluter i norr till Träfallet och i söder till Brunnbyvägen. Ambitionen med bebyggelsen är att skapa en karaktär av hus i natur. Bebyggelsen är tänkt att ha en traditionell karaktär i en till två våningar. För att anpassa sig till naturen så följer bebyggelsen och gatorna så långt som möjligt terrängens variation. Vidare så finns det släpp i bebyggelsen mot naturen och grönstråk som binder samman olika naturområden. Detta gör att naturen blir både fysiskt och visuellt sett nära. Det finns även ett antal gestaltningsbestämmelser för att harmoniera med naturkaraktären. Fasadmaterial är trä och kulören är jordnära. Takutformningen är traditionell med sadeltak, mansardtak eller valmat tak med tegelröda eller svarta takpannor. På komplementbebyggelse får vegetationsbeklädda tak finnas.</w:t>
      </w:r>
    </w:p>
    <w:p/>
    <w:p>
      <w:r>
        <w:rPr>
          <w:noProof w:val="1"/>
        </w:rPr>
        <w:drawing>
          <wp:inline xmlns:wp="http://schemas.openxmlformats.org/drawingml/2006/wordprocessingDrawing" distT="0" distB="0" distL="0" distR="0">
            <wp:extent cx="3988435" cy="2857500"/>
            <wp:effectExtent l="0" t="0" r="0" b="0"/>
            <wp:docPr id="559516542" name="drawing" descr="P1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516542" name="drawing" descr="P103#yIS1"/>
                    <pic:cNvPicPr/>
                  </pic:nvPicPr>
                  <pic:blipFill dpi="0">
                    <a:blip xmlns:r="http://schemas.openxmlformats.org/officeDocument/2006/relationships" r:embed="Relimage2"/>
                    <a:srcRect/>
                    <a:stretch>
                      <a:fillRect/>
                    </a:stretch>
                  </pic:blipFill>
                  <pic:spPr>
                    <a:xfrm>
                      <a:off x="0" y="0"/>
                      <a:ext cx="3988437" cy="2857500"/>
                    </a:xfrm>
                    <a:prstGeom prst="rect"/>
                  </pic:spPr>
                </pic:pic>
              </a:graphicData>
            </a:graphic>
          </wp:inline>
        </w:drawing>
      </w:r>
    </w:p>
    <w:p>
      <w:pPr>
        <w:pStyle w:val="P60"/>
        <w:rPr>
          <w:color w:val="000000" w:themeColor="text1"/>
        </w:rPr>
      </w:pPr>
      <w:r>
        <w:rPr>
          <w:color w:val="000000" w:themeColor="text1"/>
          <w:sz w:val="20"/>
          <w:szCs w:val="20"/>
        </w:rPr>
        <w:t>Figur 1: Illustration över bebyggelsestruktur och grönstråk.</w:t>
      </w:r>
      <w:bookmarkStart w:id="19" w:name="_Toc153284642"/>
    </w:p>
    <w:p>
      <w:pPr>
        <w:pStyle w:val="P1"/>
        <w:rPr>
          <w:b w:val="1"/>
        </w:rPr>
      </w:pPr>
      <w:bookmarkEnd w:id="18"/>
      <w:bookmarkStart w:id="20" w:name="_Toc1229440284"/>
      <w:r>
        <w:rPr>
          <w:b w:val="1"/>
        </w:rPr>
        <w:t>Planeringsförutsättningar</w:t>
      </w:r>
      <w:bookmarkEnd w:id="19"/>
      <w:bookmarkEnd w:id="20"/>
    </w:p>
    <w:p>
      <w:pPr>
        <w:pStyle w:val="P2"/>
      </w:pPr>
      <w:bookmarkStart w:id="21" w:name="_Toc123659026"/>
      <w:bookmarkStart w:id="22" w:name="pf_platsen01"/>
      <w:r>
        <w:t>Platsen</w:t>
      </w:r>
      <w:bookmarkEnd w:id="21"/>
    </w:p>
    <w:p>
      <w:pPr>
        <w:pStyle w:val="P3"/>
      </w:pPr>
      <w:r>
        <w:t>Detaljplanens omfattning och lokalisering</w:t>
      </w:r>
    </w:p>
    <w:p>
      <w:r>
        <w:rPr>
          <w:color w:val="auto"/>
        </w:rPr>
        <w:t xml:space="preserve">Planområdet är beläget i sydöstra delen </w:t>
      </w:r>
      <w:r>
        <w:t xml:space="preserve">av Alsike tätort cirka 3,5 km från centrala Knivsta och järnvägsstationen. Planområdet är cirka 30 ha. </w:t>
      </w:r>
    </w:p>
    <w:p>
      <w:pPr>
        <w:pStyle w:val="P60"/>
        <w:rPr>
          <w:color w:val="000000" w:themeColor="text1"/>
        </w:rPr>
      </w:pPr>
      <w:r>
        <w:rPr>
          <w:noProof w:val="1"/>
        </w:rPr>
        <w:drawing>
          <wp:inline xmlns:wp="http://schemas.openxmlformats.org/drawingml/2006/wordprocessingDrawing" distT="0" distB="0" distL="0" distR="0">
            <wp:extent cx="5041265" cy="2963545"/>
            <wp:effectExtent l="0" t="0" r="6985" b="8255"/>
            <wp:docPr id="1836131413" name="Bildobjekt 5" descr="P10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31413" name="Bildobjekt 5" descr="P109#yIS1"/>
                    <pic:cNvPicPr/>
                  </pic:nvPicPr>
                  <pic:blipFill dpi="0">
                    <a:blip xmlns:r="http://schemas.openxmlformats.org/officeDocument/2006/relationships" r:embed="Relimage3"/>
                    <a:srcRect/>
                    <a:stretch>
                      <a:fillRect/>
                    </a:stretch>
                  </pic:blipFill>
                  <pic:spPr>
                    <a:xfrm>
                      <a:off x="0" y="0"/>
                      <a:ext cx="5041265" cy="2963545"/>
                    </a:xfrm>
                    <a:prstGeom prst="rect"/>
                  </pic:spPr>
                </pic:pic>
              </a:graphicData>
            </a:graphic>
          </wp:inline>
        </w:drawing>
      </w:r>
      <w:r>
        <w:rPr>
          <w:color w:val="000000" w:themeColor="text1"/>
        </w:rPr>
        <w:t>Figur 2: Planområdets ungefärliga läge i kommunen markerat med en röd ring.</w:t>
      </w:r>
    </w:p>
    <w:p>
      <w:pPr>
        <w:pStyle w:val="P3"/>
        <w:rPr>
          <w:color w:val="000000" w:themeColor="text1"/>
        </w:rPr>
      </w:pPr>
      <w:r>
        <w:rPr>
          <w:color w:val="000000" w:themeColor="text1"/>
        </w:rPr>
        <w:t>Befintliga element och markanvändning</w:t>
      </w:r>
    </w:p>
    <w:p>
      <w:r>
        <w:t xml:space="preserve">Planområdet är beläget norr om Brunnbyvägen mellan befintligt bostadsområde Boängsåsen och norra delarna av verksamhetsområdet Ar. </w:t>
      </w:r>
    </w:p>
    <w:p>
      <w:pPr>
        <w:rPr>
          <w:shd w:val="clear" w:color="auto" w:fill="FFFFFF"/>
        </w:rPr>
      </w:pPr>
      <w:r>
        <w:t xml:space="preserve">De centrala delarna av planområdet består av skogsfastigheten Vrå 3:1 och idag ett kalhygge med uppväxt sly, </w:t>
      </w:r>
      <w:r>
        <w:rPr>
          <w:shd w:val="clear" w:color="auto" w:fill="FFFFFF"/>
        </w:rPr>
        <w:t xml:space="preserve">vissa höjdpunkter med berg i dagen samt </w:t>
      </w:r>
      <w:r>
        <w:t xml:space="preserve">en tidigare </w:t>
      </w:r>
      <w:r>
        <w:rPr>
          <w:rFonts w:eastAsiaTheme="minorEastAsia"/>
        </w:rPr>
        <w:t xml:space="preserve">deponi för sten- och schaktmassor. Fastigheten ligger </w:t>
      </w:r>
      <w:r>
        <w:t xml:space="preserve">utanför detaljplanelagt område. Inom området finns även en infartsväg till deponin samt en mindre anläggningsväg som kopplar vidare till verksamhetsområdet Ar i sydost. </w:t>
      </w:r>
      <w:r>
        <w:rPr>
          <w:shd w:val="clear" w:color="auto" w:fill="FFFFFF"/>
        </w:rPr>
        <w:t>Schaktmassdeponin började användas 1991 av Uppsala kommun och var aktiv fram till slutet av 1990-talet. Planen var att deponiområdet skulle omfatta 16 hektar och få en sluthöjd på +62 meter över havet. Då deponeringen blev relativt kortvarig ligger idag området på cirka +42 meter över havet.</w:t>
      </w:r>
    </w:p>
    <w:p>
      <w:pPr>
        <w:pStyle w:val="P60"/>
        <w:rPr>
          <w:color w:val="000000" w:themeColor="text1"/>
        </w:rPr>
      </w:pPr>
      <w:r>
        <w:rPr>
          <w:noProof w:val="1"/>
        </w:rPr>
        <w:drawing>
          <wp:inline xmlns:wp="http://schemas.openxmlformats.org/drawingml/2006/wordprocessingDrawing" distT="0" distB="0" distL="0" distR="0">
            <wp:extent cx="5040630" cy="2816860"/>
            <wp:effectExtent l="0" t="0" r="7620" b="2540"/>
            <wp:docPr id="1497222132" name="Bildobjekt 9" descr="P1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222132" name="Bildobjekt 9" descr="P113#yIS1"/>
                    <pic:cNvPicPr/>
                  </pic:nvPicPr>
                  <pic:blipFill dpi="0">
                    <a:blip xmlns:r="http://schemas.openxmlformats.org/officeDocument/2006/relationships" r:embed="Relimage4"/>
                    <a:srcRect/>
                    <a:stretch>
                      <a:fillRect/>
                    </a:stretch>
                  </pic:blipFill>
                  <pic:spPr>
                    <a:xfrm>
                      <a:off x="0" y="0"/>
                      <a:ext cx="5040910" cy="2816860"/>
                    </a:xfrm>
                    <a:prstGeom prst="rect"/>
                  </pic:spPr>
                </pic:pic>
              </a:graphicData>
            </a:graphic>
          </wp:inline>
        </w:drawing>
      </w:r>
      <w:r>
        <w:rPr>
          <w:color w:val="000000" w:themeColor="text1"/>
        </w:rPr>
        <w:t>Figur 3: Översiktskarta. Ungefärlig planområdesgräns markeras med röd linje med nedanstående vyer markerade.</w:t>
      </w:r>
    </w:p>
    <w:p>
      <w:pPr>
        <w:pStyle w:val="P60"/>
        <w:rPr>
          <w:color w:val="auto"/>
        </w:rPr>
      </w:pPr>
      <w:r>
        <w:rPr>
          <w:noProof w:val="1"/>
        </w:rPr>
        <w:drawing>
          <wp:inline xmlns:wp="http://schemas.openxmlformats.org/drawingml/2006/wordprocessingDrawing" distT="0" distB="0" distL="0" distR="0">
            <wp:extent cx="5006340" cy="2454910"/>
            <wp:effectExtent l="0" t="0" r="3810" b="2540"/>
            <wp:docPr id="1880769835" name="Bildobjekt 8" descr="P1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769835" name="Bildobjekt 8" descr="P114#yIS1"/>
                    <pic:cNvPicPr/>
                  </pic:nvPicPr>
                  <pic:blipFill dpi="0">
                    <a:blip xmlns:r="http://schemas.openxmlformats.org/officeDocument/2006/relationships" r:embed="Relimage5"/>
                    <a:srcRect t="34614"/>
                    <a:stretch>
                      <a:fillRect/>
                    </a:stretch>
                  </pic:blipFill>
                  <pic:spPr bwMode="auto">
                    <a:xfrm>
                      <a:off x="0" y="0"/>
                      <a:ext cx="5027788" cy="2465490"/>
                    </a:xfrm>
                    <a:prstGeom prst="rect"/>
                    <a:ln>
                      <a:noFill/>
                    </a:ln>
                  </pic:spPr>
                </pic:pic>
              </a:graphicData>
            </a:graphic>
          </wp:inline>
        </w:drawing>
      </w:r>
      <w:r>
        <w:rPr>
          <w:color w:val="auto"/>
        </w:rPr>
        <w:t>Figur 4: Vy över kalhygget mot sydväst från vypunkt 1 (Foto: VÄV Arkitekter)</w:t>
      </w:r>
    </w:p>
    <w:p>
      <w:pPr>
        <w:pStyle w:val="P60"/>
        <w:rPr>
          <w:color w:val="auto"/>
        </w:rPr>
      </w:pPr>
      <w:r>
        <w:rPr>
          <w:noProof w:val="1"/>
        </w:rPr>
        <w:drawing>
          <wp:inline xmlns:wp="http://schemas.openxmlformats.org/drawingml/2006/wordprocessingDrawing" distT="0" distB="0" distL="0" distR="0">
            <wp:extent cx="4934585" cy="2778125"/>
            <wp:effectExtent l="0" t="0" r="0" b="3175"/>
            <wp:docPr id="1540941098" name="Bildobjekt 7" descr="P1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941098" name="Bildobjekt 7" descr="P115#yIS1"/>
                    <pic:cNvPicPr/>
                  </pic:nvPicPr>
                  <pic:blipFill dpi="0">
                    <a:blip xmlns:r="http://schemas.openxmlformats.org/officeDocument/2006/relationships" r:embed="Relimage6"/>
                    <a:srcRect t="3204" r="931" b="22416"/>
                    <a:stretch>
                      <a:fillRect/>
                    </a:stretch>
                  </pic:blipFill>
                  <pic:spPr bwMode="auto">
                    <a:xfrm>
                      <a:off x="0" y="0"/>
                      <a:ext cx="4942974" cy="2783205"/>
                    </a:xfrm>
                    <a:prstGeom prst="rect"/>
                    <a:ln>
                      <a:noFill/>
                    </a:ln>
                  </pic:spPr>
                </pic:pic>
              </a:graphicData>
            </a:graphic>
          </wp:inline>
        </w:drawing>
      </w:r>
      <w:r>
        <w:rPr>
          <w:color w:val="auto"/>
        </w:rPr>
        <w:t>Figur 5: Vy över tidigare deponi för sten- och schaktmassor (Foto: VÄV Arkitekter)</w:t>
      </w:r>
    </w:p>
    <w:p>
      <w:pPr>
        <w:pStyle w:val="P60"/>
        <w:rPr>
          <w:color w:val="auto"/>
        </w:rPr>
      </w:pPr>
      <w:r>
        <w:rPr>
          <w:noProof w:val="1"/>
        </w:rPr>
        <w:drawing>
          <wp:inline xmlns:wp="http://schemas.openxmlformats.org/drawingml/2006/wordprocessingDrawing" distT="0" distB="0" distL="0" distR="0">
            <wp:extent cx="3234690" cy="4957445"/>
            <wp:effectExtent l="0" t="3810" r="0" b="0"/>
            <wp:docPr id="743247491" name="Bildobjekt 6" descr="P1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247491" name="Bildobjekt 6" descr="P116#yIS1"/>
                    <pic:cNvPicPr/>
                  </pic:nvPicPr>
                  <pic:blipFill dpi="0">
                    <a:blip xmlns:r="http://schemas.openxmlformats.org/officeDocument/2006/relationships" r:embed="Relimage7"/>
                    <a:srcRect l="37850" t="-357" r="13371" b="678"/>
                    <a:stretch>
                      <a:fillRect/>
                    </a:stretch>
                  </pic:blipFill>
                  <pic:spPr bwMode="auto">
                    <a:xfrm rot="5400000">
                      <a:off x="0" y="0"/>
                      <a:ext cx="3308284" cy="5070431"/>
                    </a:xfrm>
                    <a:prstGeom prst="rect"/>
                    <a:ln>
                      <a:noFill/>
                    </a:ln>
                  </pic:spPr>
                </pic:pic>
              </a:graphicData>
            </a:graphic>
          </wp:inline>
        </w:drawing>
      </w:r>
      <w:r>
        <w:rPr>
          <w:color w:val="auto"/>
        </w:rPr>
        <w:t>Figur 6: Höjdpunkt med berg i dagen vid vypunkt 1 (Foto: VÄV Arkitekter)</w:t>
      </w:r>
    </w:p>
    <w:p>
      <w:pPr>
        <w:pStyle w:val="P60"/>
        <w:rPr>
          <w:noProof w:val="1"/>
          <w:color w:val="auto"/>
        </w:rPr>
      </w:pPr>
      <w:r>
        <w:rPr>
          <w:noProof w:val="1"/>
        </w:rPr>
        <w:drawing>
          <wp:inline xmlns:wp="http://schemas.openxmlformats.org/drawingml/2006/wordprocessingDrawing" distT="0" distB="0" distL="0" distR="0">
            <wp:extent cx="3164840" cy="2225675"/>
            <wp:effectExtent l="0" t="0" r="0" b="3175"/>
            <wp:docPr id="1597877228" name="Bildobjekt 7" descr="P1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877228" name="Bildobjekt 7" descr="P117#yIS1"/>
                    <pic:cNvPicPr/>
                  </pic:nvPicPr>
                  <pic:blipFill dpi="0">
                    <a:blip xmlns:r="http://schemas.openxmlformats.org/officeDocument/2006/relationships" r:embed="Relimage8"/>
                    <a:srcRect l="482" t="-114" r="19523" b="114"/>
                    <a:stretch>
                      <a:fillRect/>
                    </a:stretch>
                  </pic:blipFill>
                  <pic:spPr bwMode="auto">
                    <a:xfrm>
                      <a:off x="0" y="0"/>
                      <a:ext cx="3193042" cy="2245380"/>
                    </a:xfrm>
                    <a:prstGeom prst="rect"/>
                    <a:ln>
                      <a:noFill/>
                    </a:ln>
                  </pic:spPr>
                </pic:pic>
              </a:graphicData>
            </a:graphic>
          </wp:inline>
        </w:drawing>
      </w:r>
      <w:r>
        <w:rPr>
          <w:color w:val="auto"/>
        </w:rPr>
        <w:t xml:space="preserve">   </w:t>
      </w:r>
      <w:r>
        <w:rPr>
          <w:noProof w:val="1"/>
        </w:rPr>
        <w:drawing>
          <wp:inline xmlns:wp="http://schemas.openxmlformats.org/drawingml/2006/wordprocessingDrawing" distT="0" distB="0" distL="0" distR="0">
            <wp:extent cx="1675765" cy="2233930"/>
            <wp:effectExtent l="0" t="0" r="635" b="0"/>
            <wp:docPr id="1792474169" name="Bildobjekt 6" descr="P117#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474169" name="Bildobjekt 6" descr="P117#yIS2"/>
                    <pic:cNvPicPr/>
                  </pic:nvPicPr>
                  <pic:blipFill dpi="0">
                    <a:blip xmlns:r="http://schemas.openxmlformats.org/officeDocument/2006/relationships" r:embed="Relimage9"/>
                    <a:srcRect/>
                    <a:stretch>
                      <a:fillRect/>
                    </a:stretch>
                  </pic:blipFill>
                  <pic:spPr>
                    <a:xfrm>
                      <a:off x="0" y="0"/>
                      <a:ext cx="1701778" cy="2268964"/>
                    </a:xfrm>
                    <a:prstGeom prst="rect"/>
                  </pic:spPr>
                </pic:pic>
              </a:graphicData>
            </a:graphic>
          </wp:inline>
        </w:drawing>
      </w:r>
      <w:r>
        <w:rPr>
          <w:color w:val="auto"/>
        </w:rPr>
        <w:t>Figur 7: Höjdpunkt med berg i dagen vid vypunkt 2 respektive 3 (Foto: TB Gruppen)</w:t>
      </w:r>
    </w:p>
    <w:p>
      <w:pPr>
        <w:rPr>
          <w:color w:val="auto"/>
        </w:rPr>
      </w:pPr>
      <w:r>
        <w:rPr>
          <w:color w:val="auto"/>
        </w:rPr>
        <w:t xml:space="preserve">Planområdets södra delar består av naturmark samt gatumark för Brunnbyvägen i koppling till befintligt bostads- respektive verksamhetsområde. Inom naturmarken finns en anlagd lekplats, mindre vattendrag och ett sammanhängande skogsbestånd med upptrampade stigar. </w:t>
      </w:r>
    </w:p>
    <w:p>
      <w:pPr>
        <w:rPr>
          <w:color w:val="auto"/>
        </w:rPr>
      </w:pPr>
      <w:r>
        <w:rPr>
          <w:color w:val="auto"/>
        </w:rPr>
        <w:t xml:space="preserve">Angränsande i sydost längs Mejselgatan </w:t>
      </w:r>
      <w:r>
        <w:t>finns verksamhetsområdet Ar som är planlagt för kontor, industri, lager, hantverk, restaurang och handel. Området är under etablering och del av fastighetsreglerad men obebyggd tomtmark för industri, kontor och handel ingår i planområdet. Närmast Brunnbyvägen, finns en lagerverksamhet med magasin, garage och förråd till uthyrning</w:t>
      </w:r>
      <w:r>
        <w:rPr>
          <w:color w:val="auto"/>
        </w:rPr>
        <w:t>. Söder om Brunnbyvägen tar naturmark i koppling till Boängsskogen vid.</w:t>
      </w:r>
    </w:p>
    <w:p>
      <w:pPr>
        <w:rPr>
          <w:color w:val="auto"/>
        </w:rPr>
      </w:pPr>
      <w:r>
        <w:rPr>
          <w:color w:val="auto"/>
        </w:rPr>
        <w:t xml:space="preserve">Väster om planområdet finns befintliga bostäder i form av villor och radhus i 1-2 våningar med i huvudsak träfasader samt sadel- och pulpettak. Längs Brunnbyvägen finns även i mindre utsträckning bostadshus i 4-5 våningar. </w:t>
      </w:r>
    </w:p>
    <w:p>
      <w:pPr>
        <w:rPr>
          <w:color w:val="auto"/>
        </w:rPr>
      </w:pPr>
      <w:r>
        <w:rPr>
          <w:color w:val="auto"/>
        </w:rPr>
        <w:t>Norr om planområdet pågår planarbete för bostäder i form av villor, radhus, kedjehus och parhus samt naturmark för rekreation och spridningssamband inom detaljplan för Träfallet, del av Vrå 1:3 m.fl. I nordost kantas planområdet av skog- och naturmark som vidare nordost övergår till jordbruksmark upp mot E4:an.</w:t>
      </w:r>
    </w:p>
    <w:p>
      <w:pPr>
        <w:pStyle w:val="P3"/>
      </w:pPr>
      <w:r>
        <w:t>Mark- och ägoförhållanden</w:t>
      </w:r>
    </w:p>
    <w:p>
      <w:r>
        <w:t>Planområdet omfattar totalt cirka 30 ha och utgörs av både privatägd och kommunal mark.</w:t>
      </w:r>
    </w:p>
    <w:p>
      <w:pPr>
        <w:rPr>
          <w:color w:val="auto"/>
        </w:rPr>
      </w:pPr>
      <w:r>
        <w:rPr>
          <w:color w:val="auto"/>
        </w:rPr>
        <w:t>Kommunal mark inom planområdet:</w:t>
      </w:r>
    </w:p>
    <w:p>
      <w:pPr>
        <w:pStyle w:val="P17"/>
        <w:numPr>
          <w:ilvl w:val="0"/>
          <w:numId w:val="12"/>
        </w:numPr>
      </w:pPr>
      <w:r>
        <w:t>Vrå 1:137 (7,4 ha)</w:t>
      </w:r>
    </w:p>
    <w:p>
      <w:pPr>
        <w:pStyle w:val="P17"/>
        <w:numPr>
          <w:ilvl w:val="0"/>
          <w:numId w:val="12"/>
        </w:numPr>
      </w:pPr>
      <w:r>
        <w:t>Gredelby 1:3 (2,8 ha)</w:t>
      </w:r>
    </w:p>
    <w:p>
      <w:pPr>
        <w:pStyle w:val="P17"/>
        <w:numPr>
          <w:ilvl w:val="0"/>
          <w:numId w:val="12"/>
        </w:numPr>
      </w:pPr>
      <w:r>
        <w:t>Gredelby 1:157 (ca 4795kvm)</w:t>
      </w:r>
    </w:p>
    <w:p>
      <w:pPr>
        <w:pStyle w:val="P17"/>
        <w:numPr>
          <w:ilvl w:val="0"/>
          <w:numId w:val="12"/>
        </w:numPr>
      </w:pPr>
      <w:r>
        <w:t>Gredelby 1:158 (ca 4916 kvm)</w:t>
      </w:r>
    </w:p>
    <w:p>
      <w:pPr>
        <w:spacing w:lineRule="auto" w:line="240" w:beforeAutospacing="0" w:afterAutospacing="0"/>
        <w:rPr>
          <w:color w:val="auto"/>
        </w:rPr>
      </w:pPr>
      <w:r>
        <w:rPr>
          <w:color w:val="auto"/>
        </w:rPr>
        <w:br w:type="page"/>
      </w:r>
    </w:p>
    <w:p>
      <w:r>
        <w:t>Privat mark inom planområdet:</w:t>
      </w:r>
    </w:p>
    <w:p>
      <w:pPr>
        <w:pStyle w:val="P17"/>
        <w:numPr>
          <w:ilvl w:val="0"/>
          <w:numId w:val="11"/>
        </w:numPr>
      </w:pPr>
      <w:r>
        <w:t>Vrå 3:1 (18,8 ha) och ägs av TB-gruppen Bostad AB genom dotterbolag</w:t>
      </w:r>
    </w:p>
    <w:p>
      <w:pPr>
        <w:pStyle w:val="P17"/>
        <w:numPr>
          <w:ilvl w:val="0"/>
          <w:numId w:val="11"/>
        </w:numPr>
      </w:pPr>
      <w:r>
        <w:t>Vrå 3:2 (4165 kvm)</w:t>
      </w:r>
    </w:p>
    <w:p>
      <w:pPr>
        <w:pStyle w:val="P60"/>
        <w:rPr>
          <w:color w:val="000000" w:themeColor="text1"/>
        </w:rPr>
      </w:pPr>
      <w:r>
        <w:rPr>
          <w:noProof w:val="1"/>
        </w:rPr>
        <w:drawing>
          <wp:inline xmlns:wp="http://schemas.openxmlformats.org/drawingml/2006/wordprocessingDrawing" distT="0" distB="0" distL="0" distR="0">
            <wp:extent cx="5040630" cy="2816860"/>
            <wp:effectExtent l="0" t="0" r="7620" b="2540"/>
            <wp:docPr id="679619420" name="Bildobjekt 10" descr="P13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619420" name="Bildobjekt 10" descr="P133#yIS1"/>
                    <pic:cNvPicPr/>
                  </pic:nvPicPr>
                  <pic:blipFill dpi="0">
                    <a:blip xmlns:r="http://schemas.openxmlformats.org/officeDocument/2006/relationships" r:embed="Relimage10"/>
                    <a:srcRect/>
                    <a:stretch>
                      <a:fillRect/>
                    </a:stretch>
                  </pic:blipFill>
                  <pic:spPr>
                    <a:xfrm>
                      <a:off x="0" y="0"/>
                      <a:ext cx="5040910" cy="2816860"/>
                    </a:xfrm>
                    <a:prstGeom prst="rect"/>
                  </pic:spPr>
                </pic:pic>
              </a:graphicData>
            </a:graphic>
          </wp:inline>
        </w:drawing>
      </w:r>
      <w:r>
        <w:rPr>
          <w:color w:val="000000" w:themeColor="text1"/>
        </w:rPr>
        <w:t xml:space="preserve">Figur 8: Karta över markägoförhållandena. Ungefärlig planområdesgräns markeras med heldragen röd linje. </w:t>
      </w:r>
      <w:bookmarkEnd w:id="22"/>
    </w:p>
    <w:p>
      <w:pPr>
        <w:pStyle w:val="P2"/>
        <w:rPr>
          <w:rFonts w:eastAsia="Arial"/>
          <w:color w:val="000000" w:themeColor="text1"/>
          <w:lang w:eastAsia="sv-SE"/>
        </w:rPr>
      </w:pPr>
      <w:bookmarkStart w:id="23" w:name="_Toc153284644"/>
      <w:bookmarkStart w:id="24" w:name="pf_kommunala01"/>
      <w:bookmarkStart w:id="25" w:name="_Toc860269670"/>
      <w:r>
        <w:rPr>
          <w:rFonts w:eastAsia="Arial"/>
          <w:color w:val="000000" w:themeColor="text1"/>
          <w:lang w:eastAsia="sv-SE"/>
        </w:rPr>
        <w:t>Tidigare kommunala ställningstaganden</w:t>
      </w:r>
      <w:bookmarkEnd w:id="23"/>
      <w:bookmarkEnd w:id="24"/>
      <w:bookmarkEnd w:id="25"/>
    </w:p>
    <w:p>
      <w:pPr>
        <w:pStyle w:val="P3"/>
        <w:rPr>
          <w:rFonts w:eastAsia="Arial"/>
          <w:color w:val="000000" w:themeColor="text1"/>
        </w:rPr>
      </w:pPr>
      <w:bookmarkStart w:id="26" w:name="pf_detaljplan01"/>
      <w:r>
        <w:rPr>
          <w:rFonts w:eastAsia="Arial"/>
          <w:color w:val="000000" w:themeColor="text1"/>
        </w:rPr>
        <w:t>Detaljplan</w:t>
      </w:r>
    </w:p>
    <w:p>
      <w:pPr>
        <w:rPr>
          <w:shd w:val="clear" w:color="auto" w:fill="FFFFFF"/>
        </w:rPr>
      </w:pPr>
      <w:r>
        <w:rPr>
          <w:shd w:val="clear" w:color="auto" w:fill="FFFFFF"/>
        </w:rPr>
        <w:t xml:space="preserve">Del av området är sedan tidigare detaljplanelagt. Planområdet täcker delar av två gällande detaljplaner: </w:t>
      </w:r>
    </w:p>
    <w:p>
      <w:pPr>
        <w:numPr>
          <w:ilvl w:val="0"/>
          <w:numId w:val="10"/>
        </w:numPr>
        <w:ind w:hanging="567" w:left="567"/>
        <w:rPr>
          <w:shd w:val="clear" w:color="auto" w:fill="FFFFFF"/>
        </w:rPr>
      </w:pPr>
      <w:r>
        <w:rPr>
          <w:shd w:val="clear" w:color="auto" w:fill="FFFFFF"/>
        </w:rPr>
        <w:t>Detaljplanen för Boängsåsen, vann laga kraft 30 augusti 2005. Planens genomförandetid gick ut i augusti 2015.</w:t>
      </w:r>
    </w:p>
    <w:p>
      <w:pPr>
        <w:numPr>
          <w:ilvl w:val="0"/>
          <w:numId w:val="10"/>
        </w:numPr>
        <w:ind w:hanging="567" w:left="567"/>
        <w:rPr>
          <w:shd w:val="clear" w:color="auto" w:fill="FFFFFF"/>
        </w:rPr>
      </w:pPr>
      <w:r>
        <w:rPr>
          <w:shd w:val="clear" w:color="auto" w:fill="FFFFFF"/>
        </w:rPr>
        <w:t>Detaljplan för Ar företagspark, Norra delen, vann laga kraft den 3 december 2010. Planens genomförandetid gick ut i december 2020.</w:t>
      </w:r>
    </w:p>
    <w:p>
      <w:pPr>
        <w:rPr>
          <w:shd w:val="clear" w:color="auto" w:fill="FFFFFF"/>
        </w:rPr>
      </w:pPr>
      <w:r>
        <w:rPr>
          <w:shd w:val="clear" w:color="auto" w:fill="FFFFFF"/>
        </w:rPr>
        <w:t>Gällande detaljplaner reglerar mark för natur, teknisk anläggning samt gång- och cykelväg längs Brunnbyvägen och gatumark för Brunnbyvägen. Vidare regleras kvartersmark för industri, lager, restaurang, hantverk och handel.</w:t>
      </w:r>
    </w:p>
    <w:p>
      <w:pPr>
        <w:rPr>
          <w:shd w:val="clear" w:color="auto" w:fill="FFFFFF"/>
        </w:rPr>
      </w:pPr>
      <w:r>
        <w:rPr>
          <w:shd w:val="clear" w:color="auto" w:fill="FFFFFF"/>
        </w:rPr>
        <w:t>Planområdet för aktuell detaljplan angränsar till pågående detaljplan för Träfallet, Vrå 1:3</w:t>
      </w:r>
      <w:r>
        <w:rPr>
          <w:rFonts w:ascii="Times New Roman" w:hAnsi="Times New Roman"/>
          <w:sz w:val="22"/>
          <w:szCs w:val="22"/>
        </w:rPr>
        <w:t xml:space="preserve"> som syftar</w:t>
      </w:r>
      <w:r>
        <w:rPr>
          <w:shd w:val="clear" w:color="auto" w:fill="FFFFFF"/>
        </w:rPr>
        <w:t xml:space="preserve"> att möjliggöra för bostäder och för sammanlänkade naturområden som värnar om naturvärden och rekreativa värden.</w:t>
      </w:r>
    </w:p>
    <w:p>
      <w:pPr>
        <w:rPr>
          <w:color w:val="auto"/>
          <w:shd w:val="clear" w:color="auto" w:fill="FFFFFF"/>
        </w:rPr>
      </w:pPr>
      <w:r>
        <w:rPr>
          <w:color w:val="auto"/>
          <w:shd w:val="clear" w:color="auto" w:fill="FFFFFF"/>
        </w:rPr>
        <w:t xml:space="preserve">Fastigheten Vrå 3:1 ligger utanför detaljplanelagt område. </w:t>
      </w:r>
    </w:p>
    <w:p>
      <w:pPr>
        <w:rPr>
          <w:shd w:val="clear" w:color="auto" w:fill="FFFFFF"/>
        </w:rPr>
      </w:pPr>
      <w:r>
        <w:rPr>
          <w:noProof w:val="1"/>
        </w:rPr>
        <mc:AlternateContent>
          <mc:Choice Requires="wps">
            <w:drawing>
              <wp:anchor xmlns:wp="http://schemas.openxmlformats.org/drawingml/2006/wordprocessingDrawing" distT="0" distB="0" distL="114300" distR="114300" simplePos="0" relativeHeight="1" behindDoc="0" locked="0" layoutInCell="1" allowOverlap="1">
                <wp:simplePos x="0" y="0"/>
                <wp:positionH relativeFrom="column">
                  <wp:posOffset>558800</wp:posOffset>
                </wp:positionH>
                <wp:positionV relativeFrom="paragraph">
                  <wp:posOffset>475615</wp:posOffset>
                </wp:positionV>
                <wp:extent cx="2000250" cy="1676400"/>
                <wp:effectExtent l="0" t="0" r="19050" b="19050"/>
                <wp:wrapNone/>
                <wp:docPr id="991446462" name="Frihandsfigur: Form 8" descr="P142#y1"/>
                <wp:cNvGraphicFramePr/>
                <a:graphic xmlns:a="http://schemas.openxmlformats.org/drawingml/2006/main">
                  <a:graphicData uri="http://schemas.microsoft.com/office/word/2010/wordprocessingShape">
                    <wps:wsp>
                      <wps:cNvSpPr/>
                      <wps:spPr>
                        <a:xfrm>
                          <a:off x="0" y="0"/>
                          <a:ext cx="2000250" cy="1676400"/>
                        </a:xfrm>
                        <a:custGeom>
                          <a:gdLst>
                            <a:gd name="connsiteX0" fmla="*/ 1301750 w 2000250"/>
                            <a:gd name="connsiteY0" fmla="*/ 1066800 h 1676400"/>
                            <a:gd name="connsiteX1" fmla="*/ 1270000 w 2000250"/>
                            <a:gd name="connsiteY1" fmla="*/ 952500 h 1676400"/>
                            <a:gd name="connsiteX2" fmla="*/ 1574800 w 2000250"/>
                            <a:gd name="connsiteY2" fmla="*/ 831850 h 1676400"/>
                            <a:gd name="connsiteX3" fmla="*/ 1892300 w 2000250"/>
                            <a:gd name="connsiteY3" fmla="*/ 889000 h 1676400"/>
                            <a:gd name="connsiteX4" fmla="*/ 2000250 w 2000250"/>
                            <a:gd name="connsiteY4" fmla="*/ 838200 h 1676400"/>
                            <a:gd name="connsiteX5" fmla="*/ 1377950 w 2000250"/>
                            <a:gd name="connsiteY5" fmla="*/ 0 h 1676400"/>
                            <a:gd name="connsiteX6" fmla="*/ 0 w 2000250"/>
                            <a:gd name="connsiteY6" fmla="*/ 349250 h 1676400"/>
                            <a:gd name="connsiteX7" fmla="*/ 25400 w 2000250"/>
                            <a:gd name="connsiteY7" fmla="*/ 457200 h 1676400"/>
                            <a:gd name="connsiteX8" fmla="*/ 146050 w 2000250"/>
                            <a:gd name="connsiteY8" fmla="*/ 698500 h 1676400"/>
                            <a:gd name="connsiteX9" fmla="*/ 317500 w 2000250"/>
                            <a:gd name="connsiteY9" fmla="*/ 920750 h 1676400"/>
                            <a:gd name="connsiteX10" fmla="*/ 552450 w 2000250"/>
                            <a:gd name="connsiteY10" fmla="*/ 1143000 h 1676400"/>
                            <a:gd name="connsiteX11" fmla="*/ 349250 w 2000250"/>
                            <a:gd name="connsiteY11" fmla="*/ 1435100 h 1676400"/>
                            <a:gd name="connsiteX12" fmla="*/ 546100 w 2000250"/>
                            <a:gd name="connsiteY12" fmla="*/ 1574800 h 1676400"/>
                            <a:gd name="connsiteX13" fmla="*/ 514350 w 2000250"/>
                            <a:gd name="connsiteY13" fmla="*/ 1644650 h 1676400"/>
                            <a:gd name="connsiteX14" fmla="*/ 558800 w 2000250"/>
                            <a:gd name="connsiteY14" fmla="*/ 1676400 h 1676400"/>
                            <a:gd name="connsiteX15" fmla="*/ 596900 w 2000250"/>
                            <a:gd name="connsiteY15" fmla="*/ 1606550 h 1676400"/>
                            <a:gd name="connsiteX16" fmla="*/ 666750 w 2000250"/>
                            <a:gd name="connsiteY16" fmla="*/ 1651000 h 1676400"/>
                            <a:gd name="connsiteX17" fmla="*/ 781050 w 2000250"/>
                            <a:gd name="connsiteY17" fmla="*/ 1473200 h 1676400"/>
                            <a:gd name="connsiteX18" fmla="*/ 895350 w 2000250"/>
                            <a:gd name="connsiteY18" fmla="*/ 1511300 h 1676400"/>
                            <a:gd name="connsiteX19" fmla="*/ 1098550 w 2000250"/>
                            <a:gd name="connsiteY19" fmla="*/ 1206500 h 1676400"/>
                            <a:gd name="connsiteX20" fmla="*/ 1301750 w 2000250"/>
                            <a:gd name="connsiteY20" fmla="*/ 1066800 h 1676400"/>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00250" h="1676400">
                              <a:moveTo>
                                <a:pt x="1301750" y="1066800"/>
                              </a:moveTo>
                              <a:lnTo>
                                <a:pt x="1270000" y="952500"/>
                              </a:lnTo>
                              <a:lnTo>
                                <a:pt x="1574800" y="831850"/>
                              </a:lnTo>
                              <a:lnTo>
                                <a:pt x="1892300" y="889000"/>
                              </a:lnTo>
                              <a:lnTo>
                                <a:pt x="2000250" y="838200"/>
                              </a:lnTo>
                              <a:lnTo>
                                <a:pt x="1377950" y="0"/>
                              </a:lnTo>
                              <a:lnTo>
                                <a:pt x="0" y="349250"/>
                              </a:lnTo>
                              <a:lnTo>
                                <a:pt x="25400" y="457200"/>
                              </a:lnTo>
                              <a:lnTo>
                                <a:pt x="146050" y="698500"/>
                              </a:lnTo>
                              <a:lnTo>
                                <a:pt x="317500" y="920750"/>
                              </a:lnTo>
                              <a:lnTo>
                                <a:pt x="552450" y="1143000"/>
                              </a:lnTo>
                              <a:lnTo>
                                <a:pt x="349250" y="1435100"/>
                              </a:lnTo>
                              <a:lnTo>
                                <a:pt x="546100" y="1574800"/>
                              </a:lnTo>
                              <a:lnTo>
                                <a:pt x="514350" y="1644650"/>
                              </a:lnTo>
                              <a:lnTo>
                                <a:pt x="558800" y="1676400"/>
                              </a:lnTo>
                              <a:lnTo>
                                <a:pt x="596900" y="1606550"/>
                              </a:lnTo>
                              <a:lnTo>
                                <a:pt x="666750" y="1651000"/>
                              </a:lnTo>
                              <a:lnTo>
                                <a:pt x="781050" y="1473200"/>
                              </a:lnTo>
                              <a:lnTo>
                                <a:pt x="895350" y="1511300"/>
                              </a:lnTo>
                              <a:lnTo>
                                <a:pt x="1098550" y="1206500"/>
                              </a:lnTo>
                              <a:lnTo>
                                <a:pt x="1301750" y="1066800"/>
                              </a:lnTo>
                              <a:close/>
                            </a:path>
                          </a:pathLst>
                        </a:custGeom>
                        <a:noFill/>
                        <a:ln w="127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8" o:spid="_x0000_s1026" style="position:absolute;width:157.5pt;height:132pt;z-index:1;mso-wrap-distance-left:9pt;mso-wrap-distance-top:0pt;mso-wrap-distance-right:9pt;mso-wrap-distance-bottom:0pt;margin-left:44pt;margin-top:37.45pt;mso-position-horizontal:absolute;mso-position-horizontal-relative:text;mso-position-vertical:absolute;mso-position-vertical-relative:text;v-text-anchor:middle" o:allowincell="t" filled="f" strokecolor="#EE0000" strokeweight="1pt" stroked="t" coordsize="2000250,1676400" path="m1301750,1066800l1270000,952500,1574800,831850,1892300,889000,2000250,838200,1377950,,,349250,25400,457200,146050,698500,317500,920750,552450,1143000,349250,1435100,546100,1574800,514350,1644650,558800,1676400,596900,1606550,666750,1651000,781050,1473200,895350,1511300,1098550,1206500,1301750,1066800xe">
                <v:textbox inset="3mm,1mm,3mm,1mm">
                  <w:txbxContent>
                    <w:p/>
                  </w:txbxContent>
                </v:textbox>
              </v:shape>
            </w:pict>
          </mc:Fallback>
        </mc:AlternateContent>
      </w:r>
      <w:r>
        <w:rPr>
          <w:noProof w:val="1"/>
          <w:shd w:val="clear" w:color="auto" w:fill="FFFFFF"/>
        </w:rPr>
        <w:drawing>
          <wp:inline xmlns:wp="http://schemas.openxmlformats.org/drawingml/2006/wordprocessingDrawing" distT="0" distB="0" distL="0" distR="0">
            <wp:extent cx="3388995" cy="2228215"/>
            <wp:effectExtent l="0" t="0" r="1905" b="635"/>
            <wp:docPr id="1085535905" name="Bildobjekt 8" descr="P1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35905" name="Bildobjekt 8" descr="P142#yIS1"/>
                    <pic:cNvPicPr/>
                  </pic:nvPicPr>
                  <pic:blipFill dpi="0">
                    <a:blip xmlns:r="http://schemas.openxmlformats.org/officeDocument/2006/relationships" r:embed="Relimage11"/>
                    <a:srcRect l="31495" t="47096" r="32271" b="4633"/>
                    <a:stretch>
                      <a:fillRect/>
                    </a:stretch>
                  </pic:blipFill>
                  <pic:spPr bwMode="auto">
                    <a:xfrm>
                      <a:off x="0" y="0"/>
                      <a:ext cx="3406706" cy="2239819"/>
                    </a:xfrm>
                    <a:prstGeom prst="rect"/>
                    <a:ln>
                      <a:noFill/>
                    </a:ln>
                  </pic:spPr>
                </pic:pic>
              </a:graphicData>
            </a:graphic>
          </wp:inline>
        </w:drawing>
      </w:r>
    </w:p>
    <w:p>
      <w:pPr>
        <w:pStyle w:val="P60"/>
        <w:rPr>
          <w:color w:val="000000" w:themeColor="text1"/>
          <w:shd w:val="clear" w:color="auto" w:fill="FFFFFF"/>
        </w:rPr>
      </w:pPr>
      <w:r>
        <w:rPr>
          <w:color w:val="000000" w:themeColor="text1"/>
          <w:shd w:val="clear" w:color="auto" w:fill="FFFFFF"/>
        </w:rPr>
        <w:t xml:space="preserve">Figur 9: Utsnitt ur gällande detaljplaner. </w:t>
      </w:r>
      <w:r>
        <w:rPr>
          <w:color w:val="000000" w:themeColor="text1"/>
        </w:rPr>
        <w:t xml:space="preserve">Ungefärlig planområdesgräns markeras med heldragen röd linje. </w:t>
      </w:r>
      <w:bookmarkEnd w:id="26"/>
    </w:p>
    <w:p>
      <w:pPr>
        <w:pStyle w:val="P3"/>
        <w:rPr>
          <w:color w:val="000000" w:themeColor="text1"/>
          <w:shd w:val="clear" w:color="auto" w:fill="FFFFFF"/>
        </w:rPr>
      </w:pPr>
      <w:bookmarkStart w:id="27" w:name="pf_beslutomförorenadmark01"/>
      <w:r>
        <w:rPr>
          <w:color w:val="000000" w:themeColor="text1"/>
          <w:shd w:val="clear" w:color="auto" w:fill="FFFFFF"/>
        </w:rPr>
        <w:t>Beslut om förorenad mark</w:t>
      </w:r>
    </w:p>
    <w:p>
      <w:pPr>
        <w:rPr>
          <w:color w:val="auto"/>
          <w:shd w:val="clear" w:color="auto" w:fill="FFFFFF"/>
        </w:rPr>
      </w:pPr>
      <w:r>
        <w:t xml:space="preserve">Miljötekniska markundersökningar </w:t>
      </w:r>
      <w:r>
        <w:rPr>
          <w:color w:val="auto"/>
        </w:rPr>
        <w:t xml:space="preserve">för att utreda markföroreningar inom området för den tidigare </w:t>
      </w:r>
      <w:r>
        <w:rPr>
          <w:color w:val="auto"/>
          <w:shd w:val="clear" w:color="auto" w:fill="FFFFFF"/>
        </w:rPr>
        <w:t>schaktmassdeponin</w:t>
      </w:r>
      <w:r>
        <w:rPr>
          <w:color w:val="auto"/>
        </w:rPr>
        <w:t xml:space="preserve"> inom fastighet Vrå 3:1 har genomförts (av Golder, 2007 samt Geosigma, 2015). Bygg- och miljönämnden (BMN) beslutade den </w:t>
      </w:r>
      <w:r>
        <w:rPr>
          <w:color w:val="auto"/>
          <w:shd w:val="clear" w:color="auto" w:fill="FFFFFF"/>
        </w:rPr>
        <w:t xml:space="preserve">2015-09-28 </w:t>
      </w:r>
      <w:r>
        <w:rPr>
          <w:color w:val="auto"/>
        </w:rPr>
        <w:t>till följd av detta</w:t>
      </w:r>
      <w:r>
        <w:rPr>
          <w:color w:val="auto"/>
          <w:shd w:val="clear" w:color="auto" w:fill="FFFFFF"/>
        </w:rPr>
        <w:t xml:space="preserve"> följande:</w:t>
      </w:r>
    </w:p>
    <w:p>
      <w:pPr>
        <w:pStyle w:val="P17"/>
        <w:numPr>
          <w:ilvl w:val="0"/>
          <w:numId w:val="11"/>
        </w:numPr>
        <w:rPr>
          <w:color w:val="auto"/>
          <w:shd w:val="clear" w:color="auto" w:fill="FFFFFF"/>
        </w:rPr>
      </w:pPr>
      <w:r>
        <w:rPr>
          <w:color w:val="auto"/>
          <w:shd w:val="clear" w:color="auto" w:fill="FFFFFF"/>
        </w:rPr>
        <w:t>Inga omedelbara åtgärder krävs med avseende på markföroreningar på Vrå 3:1.</w:t>
      </w:r>
    </w:p>
    <w:p>
      <w:pPr>
        <w:pStyle w:val="P17"/>
        <w:numPr>
          <w:ilvl w:val="0"/>
          <w:numId w:val="11"/>
        </w:numPr>
        <w:rPr>
          <w:color w:val="auto"/>
          <w:shd w:val="clear" w:color="auto" w:fill="FFFFFF"/>
        </w:rPr>
      </w:pPr>
      <w:r>
        <w:rPr>
          <w:color w:val="auto"/>
          <w:shd w:val="clear" w:color="auto" w:fill="FFFFFF"/>
        </w:rPr>
        <w:t>Vid framtida markarbeten som kan påverka spridning eller exponering av förorening skall hänsyn till konstaterad förorening och anmälan göras till BMN. Synligt skrot som påträffas under markarbeten ska tas bort.</w:t>
      </w:r>
    </w:p>
    <w:p>
      <w:pPr>
        <w:pStyle w:val="P17"/>
        <w:numPr>
          <w:ilvl w:val="0"/>
          <w:numId w:val="11"/>
        </w:numPr>
        <w:rPr>
          <w:color w:val="auto"/>
          <w:shd w:val="clear" w:color="auto" w:fill="FFFFFF"/>
        </w:rPr>
      </w:pPr>
      <w:r>
        <w:rPr>
          <w:color w:val="auto"/>
          <w:shd w:val="clear" w:color="auto" w:fill="FFFFFF"/>
        </w:rPr>
        <w:t>Innan massor får flyttas från området krävs anmälan till tillsynsmyndighet.</w:t>
      </w:r>
    </w:p>
    <w:p>
      <w:pPr>
        <w:pStyle w:val="P60"/>
        <w:rPr>
          <w:color w:val="auto"/>
        </w:rPr>
      </w:pPr>
      <w:r>
        <w:rPr>
          <w:noProof w:val="1"/>
        </w:rPr>
        <w:drawing>
          <wp:inline xmlns:wp="http://schemas.openxmlformats.org/drawingml/2006/wordprocessingDrawing" distT="0" distB="0" distL="0" distR="0">
            <wp:extent cx="4787900" cy="4241165"/>
            <wp:effectExtent l="0" t="0" r="0" b="6985"/>
            <wp:docPr id="1139284145" name="Bildobjekt 20" descr="P1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284145" name="Bildobjekt 20" descr="P149#yIS1"/>
                    <pic:cNvPicPr/>
                  </pic:nvPicPr>
                  <pic:blipFill dpi="0">
                    <a:blip xmlns:r="http://schemas.openxmlformats.org/officeDocument/2006/relationships" r:embed="Relimage12"/>
                    <a:srcRect l="32510" t="41425" r="43586" b="28628"/>
                    <a:stretch>
                      <a:fillRect/>
                    </a:stretch>
                  </pic:blipFill>
                  <pic:spPr bwMode="auto">
                    <a:xfrm>
                      <a:off x="0" y="0"/>
                      <a:ext cx="4837817" cy="4285888"/>
                    </a:xfrm>
                    <a:prstGeom prst="rect"/>
                    <a:ln>
                      <a:noFill/>
                    </a:ln>
                  </pic:spPr>
                </pic:pic>
              </a:graphicData>
            </a:graphic>
          </wp:inline>
        </w:drawing>
      </w:r>
    </w:p>
    <w:p>
      <w:pPr>
        <w:pStyle w:val="P60"/>
        <w:rPr>
          <w:color w:val="auto"/>
          <w:shd w:val="clear" w:color="auto" w:fill="FFFFFF"/>
        </w:rPr>
      </w:pPr>
      <w:r>
        <w:rPr>
          <w:color w:val="auto"/>
          <w:shd w:val="clear" w:color="auto" w:fill="FFFFFF"/>
        </w:rPr>
        <w:t>Figur 10: Ungefärlig utbredning av deponin markerad med vit-streckad linje. Delområden A-C beskrivs i text nedan. Delområden är ungefärligt redovisade.</w:t>
      </w:r>
    </w:p>
    <w:p>
      <w:pPr>
        <w:rPr>
          <w:color w:val="auto"/>
          <w:shd w:val="clear" w:color="auto" w:fill="FFFFFF"/>
        </w:rPr>
      </w:pPr>
      <w:r>
        <w:rPr>
          <w:color w:val="auto"/>
          <w:shd w:val="clear" w:color="auto" w:fill="FFFFFF"/>
        </w:rPr>
        <w:t xml:space="preserve">Städning genomfördes efter beslut om föreläggande i Bygg- och miljönämnden under år 2019. I oktober 2022 gav </w:t>
      </w:r>
      <w:r>
        <w:rPr>
          <w:shd w:val="clear" w:color="auto" w:fill="FFFFFF"/>
        </w:rPr>
        <w:t>samhällsbyggnadskontoret klartecken om att täcka och jämna av deponins norra slänt (delområde C)</w:t>
      </w:r>
      <w:r>
        <w:rPr>
          <w:rFonts w:eastAsiaTheme="minorEastAsia"/>
        </w:rPr>
        <w:t xml:space="preserve"> med rena jordmassor från schaktarbete på intilliggande fastighet inom Ar (sedan tidigare ej ianspråktagen </w:t>
      </w:r>
      <w:r>
        <w:rPr>
          <w:rFonts w:eastAsiaTheme="minorEastAsia"/>
          <w:color w:val="auto"/>
        </w:rPr>
        <w:t>mark), i syfte att täcka in grova och skarpa stenar samt jämna av</w:t>
      </w:r>
      <w:r>
        <w:rPr>
          <w:color w:val="auto"/>
          <w:shd w:val="clear" w:color="auto" w:fill="FFFFFF"/>
        </w:rPr>
        <w:t>. Marklov krävdes inte då området låg utanför detaljplanelagt område.</w:t>
      </w:r>
      <w:r>
        <w:rPr>
          <w:rFonts w:ascii="Calibri" w:hAnsi="Calibri" w:cs="Calibri"/>
          <w:color w:val="000000"/>
          <w:sz w:val="23"/>
          <w:szCs w:val="23"/>
        </w:rPr>
        <w:t xml:space="preserve"> </w:t>
      </w:r>
      <w:r>
        <w:rPr>
          <w:color w:val="auto"/>
          <w:shd w:val="clear" w:color="auto" w:fill="FFFFFF"/>
        </w:rPr>
        <w:t xml:space="preserve">Delområde A och B har inte åtgärdats och vissa </w:t>
      </w:r>
      <w:r>
        <w:rPr>
          <w:rFonts w:eastAsiaTheme="minorEastAsia"/>
          <w:color w:val="auto"/>
        </w:rPr>
        <w:t>större sprängstenar och vassa schaktmassor kvarstår</w:t>
      </w:r>
      <w:r>
        <w:rPr>
          <w:color w:val="auto"/>
          <w:shd w:val="clear" w:color="auto" w:fill="FFFFFF"/>
        </w:rPr>
        <w:t>. Delområde D är delvis bevuxet med medelstora träd av tall och björk.</w:t>
      </w:r>
      <w:bookmarkEnd w:id="27"/>
    </w:p>
    <w:p>
      <w:pPr>
        <w:pStyle w:val="P3"/>
      </w:pPr>
      <w:bookmarkStart w:id="28" w:name="pf_planbesked01"/>
      <w:r>
        <w:t>Planbesked</w:t>
      </w:r>
    </w:p>
    <w:p>
      <w:pPr>
        <w:rPr>
          <w:color w:val="auto"/>
          <w:shd w:val="clear" w:color="auto" w:fill="FFFFFF"/>
        </w:rPr>
      </w:pPr>
      <w:r>
        <w:rPr>
          <w:color w:val="auto"/>
          <w:shd w:val="clear" w:color="auto" w:fill="FFFFFF"/>
        </w:rPr>
        <w:t xml:space="preserve">Positivt planbesked för fastigheten Vrå 3:1 gavs 2015-06-01 av kommunstyrelsen för att pröva möjligheten för en blandning av olika bostadstyper. </w:t>
      </w:r>
    </w:p>
    <w:p>
      <w:pPr>
        <w:rPr>
          <w:color w:val="auto"/>
          <w:shd w:val="clear" w:color="auto" w:fill="FFFFFF"/>
        </w:rPr>
      </w:pPr>
      <w:r>
        <w:rPr>
          <w:color w:val="auto"/>
          <w:shd w:val="clear" w:color="auto" w:fill="FFFFFF"/>
        </w:rPr>
        <w:t xml:space="preserve">Positivt planbesked för angränsande fastighet Vrå 1:3 och detaljplan för Träfallet gavs 2014-01-08 och syftar även den till att pröva möjlighet för bostäder. </w:t>
      </w:r>
      <w:bookmarkEnd w:id="28"/>
    </w:p>
    <w:p>
      <w:pPr>
        <w:pStyle w:val="P3"/>
        <w:rPr>
          <w:rFonts w:eastAsia="Arial"/>
        </w:rPr>
      </w:pPr>
      <w:bookmarkStart w:id="29" w:name="pf_planprogram01"/>
      <w:r>
        <w:rPr>
          <w:rFonts w:eastAsia="Arial"/>
        </w:rPr>
        <w:t xml:space="preserve">Planprogram  </w:t>
      </w:r>
    </w:p>
    <w:p>
      <w:pPr>
        <w:rPr>
          <w:color w:val="auto"/>
          <w:shd w:val="clear" w:color="auto" w:fill="FFFFFF"/>
        </w:rPr>
      </w:pPr>
      <w:r>
        <w:rPr>
          <w:color w:val="auto"/>
          <w:shd w:val="clear" w:color="auto" w:fill="FFFFFF"/>
        </w:rPr>
        <w:t xml:space="preserve">Under 2020-2021 upprättades ett planprogram för planområdet. Planprogrammet togs fram på beställning av Knivsta kommun av TB-gruppen Bostad AB genom Utopia Arkitekter. </w:t>
      </w:r>
    </w:p>
    <w:p>
      <w:pPr>
        <w:rPr>
          <w:color w:val="auto"/>
          <w:shd w:val="clear" w:color="auto" w:fill="FFFFFF"/>
        </w:rPr>
      </w:pPr>
      <w:r>
        <w:rPr>
          <w:color w:val="auto"/>
          <w:shd w:val="clear" w:color="auto" w:fill="FFFFFF"/>
        </w:rPr>
        <w:t>Syftet med planprogrammet var att översiktligt utreda områdets förutsättningar för bostadsbebyggelse, samt bevara naturvärden och säkerställa gröna kopplingar. Parallellt med utveckling av planprogrammet genomfördes en utökad medborgardialog för Myrberget, med syfte att värna om medborgarnas behov och önskemål.</w:t>
      </w:r>
    </w:p>
    <w:p>
      <w:pPr>
        <w:rPr>
          <w:shd w:val="clear" w:color="auto" w:fill="FFFFFF"/>
        </w:rPr>
      </w:pPr>
      <w:r>
        <w:rPr>
          <w:color w:val="auto"/>
          <w:shd w:val="clear" w:color="auto" w:fill="FFFFFF"/>
        </w:rPr>
        <w:t xml:space="preserve">Programsamråd genomfördes mellan den 5 maj och 9 juni år 2021. Kommunen valde efter programsamrådet att inte färdigställa planprogrammet, utan såg fördelar att gå direkt på detaljplan för att inom ramen för detaljplaneprocessen fortsatt utreda förutsättningar, förslag och konsekvenser för Myrberget. Planprogrammet ska därför ses som en separat underlagshandling till aktuell detaljplan och inte </w:t>
      </w:r>
      <w:r>
        <w:rPr>
          <w:shd w:val="clear" w:color="auto" w:fill="FFFFFF"/>
        </w:rPr>
        <w:t>som en planhandling.</w:t>
      </w:r>
    </w:p>
    <w:p>
      <w:pPr>
        <w:pStyle w:val="P3"/>
        <w:rPr>
          <w:color w:val="000000" w:themeColor="text1"/>
          <w:shd w:val="clear" w:color="auto" w:fill="FFFFFF"/>
        </w:rPr>
      </w:pPr>
      <w:bookmarkEnd w:id="29"/>
      <w:bookmarkStart w:id="30" w:name="pf_vaanslutningtillkäppalaförbundet01"/>
      <w:r>
        <w:rPr>
          <w:color w:val="000000" w:themeColor="text1"/>
          <w:shd w:val="clear" w:color="auto" w:fill="FFFFFF"/>
        </w:rPr>
        <w:t>VA-anslutning till Käppalaförbundet</w:t>
      </w:r>
    </w:p>
    <w:p>
      <w:pPr>
        <w:rPr>
          <w:shd w:val="clear" w:color="auto" w:fill="FFFFFF"/>
        </w:rPr>
      </w:pPr>
      <w:r>
        <w:t xml:space="preserve">För att tillgodose Knivstas behov av vatten och avlopp (VA) vid bebyggelse så har kommunfullmäktige beslutat om en ny avloppslösning och arbete pågår för att </w:t>
      </w:r>
      <w:r>
        <w:rPr>
          <w:rFonts w:ascii="Times New Roman" w:hAnsi="Times New Roman"/>
        </w:rPr>
        <w:t>ansluta Knivsta och Alsikes ledningsnät till Käppalaverket som ägs av kommunalförbundet Käppalaförbundet.</w:t>
      </w:r>
      <w:r>
        <w:t xml:space="preserve"> Anslutningen kommer att ske genom två tryckledningar till Märsta. Därefter kommer spillvattnet ledas vidare i Käppalatunneln till Lidingö och Käppalaverket. Utbyggnad planeras under 2026-2028.</w:t>
      </w:r>
    </w:p>
    <w:p>
      <w:pPr>
        <w:rPr>
          <w:shd w:val="clear" w:color="auto" w:fill="FFFFFF"/>
        </w:rPr>
      </w:pPr>
      <w:r>
        <w:rPr>
          <w:shd w:val="clear" w:color="auto" w:fill="FFFFFF"/>
        </w:rPr>
        <w:t>Detaljplanearbetet för både Myrberget, Vrå 3:1, och Träfallet, Vrå 1:3, lades vilande 2021 med anledning av bristande kapaciteten i Knivsta avloppsreningsverk.</w:t>
      </w:r>
    </w:p>
    <w:p>
      <w:pPr>
        <w:rPr>
          <w:shd w:val="clear" w:color="auto" w:fill="FFFFFF"/>
        </w:rPr>
      </w:pPr>
      <w:r>
        <w:rPr>
          <w:shd w:val="clear" w:color="auto" w:fill="FFFFFF"/>
        </w:rPr>
        <w:t>Kapaciteten har därefter setts över utifrån kommande exploateringsprojekt och detaljplaner. Den kommunala VA-huvudmannen Knivstavatten gör bedömningen att det inte utgör ett problem varken för detaljplan Myrberget eller Träfallet att anslutas till det allmänna avloppsreningsverket då dessa prioriterats för återstående kapacitet.</w:t>
      </w:r>
    </w:p>
    <w:p>
      <w:pPr>
        <w:rPr>
          <w:shd w:val="clear" w:color="auto" w:fill="FFFFFF"/>
        </w:rPr>
      </w:pPr>
      <w:r>
        <w:rPr>
          <w:shd w:val="clear" w:color="auto" w:fill="FFFFFF"/>
        </w:rPr>
        <w:t>Under 2024 beslutades att arbetet med Myrberget och Träfallet skulle återupptas.</w:t>
      </w:r>
    </w:p>
    <w:p>
      <w:pPr>
        <w:pStyle w:val="P3"/>
        <w:rPr>
          <w:rFonts w:eastAsia="Arial"/>
          <w:color w:val="000000" w:themeColor="text1"/>
        </w:rPr>
      </w:pPr>
      <w:bookmarkEnd w:id="30"/>
      <w:bookmarkStart w:id="31" w:name="pf_översiktsplan01"/>
      <w:r>
        <w:rPr>
          <w:rFonts w:eastAsia="Arial"/>
          <w:color w:val="000000" w:themeColor="text1"/>
        </w:rPr>
        <w:t>Översiktsplan</w:t>
      </w:r>
    </w:p>
    <w:p>
      <w:pPr>
        <w:rPr>
          <w:color w:val="auto"/>
          <w:shd w:val="clear" w:color="auto" w:fill="FFFFFF"/>
        </w:rPr>
      </w:pPr>
      <w:r>
        <w:rPr>
          <w:shd w:val="clear" w:color="auto" w:fill="FFFFFF"/>
        </w:rPr>
        <w:t xml:space="preserve">Översiktsplan 2017 pekar ut området som ”prioriterade utvecklingsområden </w:t>
      </w:r>
      <w:r>
        <w:rPr>
          <w:color w:val="auto"/>
          <w:shd w:val="clear" w:color="auto" w:fill="FFFFFF"/>
        </w:rPr>
        <w:t>för bebyggelse”. Översiktsplanen beskriver att Alsike är en prioriterad tätort att utveckla med blandade boendeformer och utvecklingen av området ska inkorporera möjlig verksamhetsutveckling. Ar ska fortsätta utvecklas som kommunens viktigaste verksamhetsområde och en expansion av Ar är möjlig längs med E4:ans västra sida. Vidare står det att naturområden i och i närheten av tätorten ska göras mer tillgängliga och erbjuda fler rekreationsmöjligheter, samt att Brunnbyvägen ska utvecklas till att bli mer stadsmässig i utformning med ny bebyggelse längs gatan, samtidigt som gröna samband ska behållas och stärkas.</w:t>
      </w:r>
    </w:p>
    <w:p>
      <w:pPr>
        <w:rPr>
          <w:color w:val="auto"/>
          <w:shd w:val="clear" w:color="auto" w:fill="FFFFFF"/>
        </w:rPr>
      </w:pPr>
      <w:r>
        <w:rPr>
          <w:color w:val="auto"/>
          <w:shd w:val="clear" w:color="auto" w:fill="FFFFFF"/>
        </w:rPr>
        <w:t xml:space="preserve">Knivsta kommun arbetar med att ta fram en ny översiktsplan vilket planeras kunna antas under år 2027. </w:t>
      </w:r>
      <w:bookmarkEnd w:id="31"/>
    </w:p>
    <w:p>
      <w:pPr>
        <w:pStyle w:val="P3"/>
        <w:rPr>
          <w:shd w:val="clear" w:color="auto" w:fill="FFFFFF"/>
        </w:rPr>
      </w:pPr>
      <w:bookmarkStart w:id="32" w:name="pf_knivstavision204001"/>
      <w:r>
        <w:rPr>
          <w:shd w:val="clear" w:color="auto" w:fill="FFFFFF"/>
        </w:rPr>
        <w:t>Knivsta vision 2040</w:t>
      </w:r>
    </w:p>
    <w:p>
      <w:pPr>
        <w:rPr>
          <w:color w:val="auto"/>
          <w:shd w:val="clear" w:color="auto" w:fill="FFFFFF"/>
        </w:rPr>
      </w:pPr>
      <w:r>
        <w:rPr>
          <w:color w:val="auto"/>
          <w:shd w:val="clear" w:color="auto" w:fill="FFFFFF"/>
        </w:rPr>
        <w:t>"En välmående, trygg och grön kommun i tillväxtstråket Stockholm - Uppsala. Samhällsgemenskapen är stark. Kommunens tätorter utvecklas hållbart och med robusthet, i samklang med en modern och livskraftig landsbygd."</w:t>
      </w:r>
    </w:p>
    <w:p>
      <w:pPr>
        <w:pStyle w:val="P17"/>
        <w:numPr>
          <w:ilvl w:val="0"/>
          <w:numId w:val="11"/>
        </w:numPr>
        <w:rPr>
          <w:i w:val="1"/>
          <w:iCs w:val="1"/>
          <w:color w:val="auto"/>
          <w:shd w:val="clear" w:color="auto" w:fill="FFFFFF"/>
        </w:rPr>
      </w:pPr>
      <w:r>
        <w:rPr>
          <w:i w:val="1"/>
          <w:iCs w:val="1"/>
          <w:color w:val="auto"/>
          <w:shd w:val="clear" w:color="auto" w:fill="FFFFFF"/>
        </w:rPr>
        <w:t xml:space="preserve">En attraktiv kommun. </w:t>
      </w:r>
      <w:r>
        <w:rPr>
          <w:color w:val="auto"/>
          <w:shd w:val="clear" w:color="auto" w:fill="FFFFFF"/>
        </w:rPr>
        <w:t>I Knivsta är det nära till allt - till servicen, arbetsmarknaden, storstaden och världen. Närheten gör livspusslet lätt att lösa, på samma gång som möjligheterna att bo och verka här är många. De gröna näringarna och jordbruket är en del av kommunens identitet.</w:t>
      </w:r>
    </w:p>
    <w:p>
      <w:pPr>
        <w:pStyle w:val="P17"/>
        <w:numPr>
          <w:ilvl w:val="0"/>
          <w:numId w:val="11"/>
        </w:numPr>
        <w:rPr>
          <w:color w:val="auto"/>
          <w:shd w:val="clear" w:color="auto" w:fill="FFFFFF"/>
        </w:rPr>
      </w:pPr>
      <w:r>
        <w:rPr>
          <w:i w:val="1"/>
          <w:iCs w:val="1"/>
          <w:color w:val="auto"/>
          <w:shd w:val="clear" w:color="auto" w:fill="FFFFFF"/>
        </w:rPr>
        <w:t>En kommun med stort hjärta.</w:t>
      </w:r>
      <w:r>
        <w:rPr>
          <w:b w:val="1"/>
          <w:bCs w:val="1"/>
          <w:color w:val="auto"/>
          <w:shd w:val="clear" w:color="auto" w:fill="FFFFFF"/>
        </w:rPr>
        <w:t xml:space="preserve"> </w:t>
      </w:r>
      <w:r>
        <w:rPr>
          <w:color w:val="auto"/>
          <w:shd w:val="clear" w:color="auto" w:fill="FFFFFF"/>
        </w:rPr>
        <w:t>Knivsta är en omtänksam kommun. Här känner vi tillit och har förtroende för varandra. Knivsta är en välkomnande, öppen och inkluderande plats.</w:t>
      </w:r>
    </w:p>
    <w:p>
      <w:pPr>
        <w:pStyle w:val="P17"/>
        <w:numPr>
          <w:ilvl w:val="0"/>
          <w:numId w:val="11"/>
        </w:numPr>
        <w:rPr>
          <w:color w:val="auto"/>
          <w:shd w:val="clear" w:color="auto" w:fill="FFFFFF"/>
        </w:rPr>
      </w:pPr>
      <w:r>
        <w:rPr>
          <w:i w:val="1"/>
          <w:iCs w:val="1"/>
          <w:color w:val="auto"/>
          <w:shd w:val="clear" w:color="auto" w:fill="FFFFFF"/>
        </w:rPr>
        <w:t>En kommun med driv.</w:t>
      </w:r>
      <w:r>
        <w:rPr>
          <w:b w:val="1"/>
          <w:bCs w:val="1"/>
          <w:color w:val="auto"/>
          <w:shd w:val="clear" w:color="auto" w:fill="FFFFFF"/>
        </w:rPr>
        <w:t xml:space="preserve"> </w:t>
      </w:r>
      <w:r>
        <w:rPr>
          <w:color w:val="auto"/>
          <w:shd w:val="clear" w:color="auto" w:fill="FFFFFF"/>
        </w:rPr>
        <w:t>I Knivsta finns en kraft och en framtidstro. Kommunen har ett gott värdskap och en god service till ett växande näringsliv. I Knivsta drar vi fördel av vårt unika läge mitt i en expansiv region.</w:t>
      </w:r>
    </w:p>
    <w:p>
      <w:pPr>
        <w:pStyle w:val="P17"/>
        <w:numPr>
          <w:ilvl w:val="0"/>
          <w:numId w:val="11"/>
        </w:numPr>
        <w:rPr>
          <w:i w:val="1"/>
          <w:iCs w:val="1"/>
          <w:color w:val="auto"/>
          <w:shd w:val="clear" w:color="auto" w:fill="FFFFFF"/>
        </w:rPr>
      </w:pPr>
      <w:r>
        <w:rPr>
          <w:i w:val="1"/>
          <w:iCs w:val="1"/>
          <w:color w:val="auto"/>
          <w:shd w:val="clear" w:color="auto" w:fill="FFFFFF"/>
        </w:rPr>
        <w:t>En aktiv kommun som främjar folkhälsa.</w:t>
      </w:r>
      <w:r>
        <w:rPr>
          <w:b w:val="1"/>
          <w:bCs w:val="1"/>
          <w:color w:val="auto"/>
          <w:shd w:val="clear" w:color="auto" w:fill="FFFFFF"/>
        </w:rPr>
        <w:t xml:space="preserve"> </w:t>
      </w:r>
      <w:r>
        <w:rPr>
          <w:color w:val="auto"/>
          <w:shd w:val="clear" w:color="auto" w:fill="FFFFFF"/>
        </w:rPr>
        <w:t>I Knivsta finns gott om platser där människor kan mötas. Det är tryggt att röra sig utomhus både dagar och kvällar. Naturen finns nära, med skogar, sjöar och ängar runt hörnet. Folkhälsan är god och det finns många möjligheter till rörelse, upplevelser och rekreation.</w:t>
      </w:r>
    </w:p>
    <w:p>
      <w:pPr>
        <w:pStyle w:val="P17"/>
        <w:numPr>
          <w:ilvl w:val="0"/>
          <w:numId w:val="11"/>
        </w:numPr>
        <w:rPr>
          <w:color w:val="auto"/>
          <w:shd w:val="clear" w:color="auto" w:fill="FFFFFF"/>
        </w:rPr>
      </w:pPr>
      <w:r>
        <w:rPr>
          <w:i w:val="1"/>
          <w:iCs w:val="1"/>
          <w:color w:val="auto"/>
          <w:shd w:val="clear" w:color="auto" w:fill="FFFFFF"/>
        </w:rPr>
        <w:t>En grön och hållbar kommun</w:t>
      </w:r>
      <w:r>
        <w:rPr>
          <w:b w:val="1"/>
          <w:bCs w:val="1"/>
          <w:color w:val="auto"/>
          <w:shd w:val="clear" w:color="auto" w:fill="FFFFFF"/>
        </w:rPr>
        <w:t xml:space="preserve">. </w:t>
      </w:r>
      <w:r>
        <w:rPr>
          <w:color w:val="auto"/>
          <w:shd w:val="clear" w:color="auto" w:fill="FFFFFF"/>
        </w:rPr>
        <w:t>Knivsta växer balanserat, i dialog och samverkan med Knivstaborna, och i samklang med naturen. Knivsta är ett samhälle som motverkar och hanterar klimatförändringar. Kommunen utvecklas med hänsyn till helheten och är ett robust samhälle, med goda förutsättningar att klara framtidens utmaningar.</w:t>
      </w:r>
    </w:p>
    <w:p>
      <w:pPr>
        <w:rPr>
          <w:color w:val="auto"/>
          <w:shd w:val="clear" w:color="auto" w:fill="FFFFFF"/>
        </w:rPr>
      </w:pPr>
      <w:r>
        <w:rPr>
          <w:color w:val="auto"/>
          <w:shd w:val="clear" w:color="auto" w:fill="FFFFFF"/>
        </w:rPr>
        <w:t>Knivstas vision 2040 antogs av Knivsta kommunfullmäktige i oktober 2024.</w:t>
      </w:r>
      <w:bookmarkEnd w:id="32"/>
    </w:p>
    <w:p>
      <w:pPr>
        <w:pStyle w:val="P2"/>
        <w:rPr>
          <w:rFonts w:eastAsia="Arial"/>
        </w:rPr>
      </w:pPr>
      <w:bookmarkStart w:id="33" w:name="_Toc153284645"/>
      <w:bookmarkStart w:id="34" w:name="_Toc426042669"/>
      <w:bookmarkStart w:id="35" w:name="pf_regionala01"/>
      <w:r>
        <w:rPr>
          <w:rFonts w:eastAsia="Arial"/>
        </w:rPr>
        <w:t>Regionala intressen</w:t>
      </w:r>
      <w:bookmarkEnd w:id="33"/>
      <w:bookmarkEnd w:id="34"/>
    </w:p>
    <w:p>
      <w:pPr>
        <w:pStyle w:val="P3"/>
        <w:rPr>
          <w:rFonts w:eastAsia="Arial"/>
        </w:rPr>
      </w:pPr>
      <w:bookmarkEnd w:id="35"/>
      <w:bookmarkStart w:id="36" w:name="pf_regionplan01"/>
      <w:r>
        <w:rPr>
          <w:rFonts w:eastAsia="Arial"/>
        </w:rPr>
        <w:t>Regionalplan</w:t>
      </w:r>
    </w:p>
    <w:p>
      <w:pPr>
        <w:rPr>
          <w:color w:val="auto"/>
          <w:shd w:val="clear" w:color="auto" w:fill="FFFFFF"/>
        </w:rPr>
      </w:pPr>
      <w:r>
        <w:rPr>
          <w:color w:val="auto"/>
          <w:shd w:val="clear" w:color="auto" w:fill="FFFFFF"/>
        </w:rPr>
        <w:t>Region Uppsala har i dagsläget ingen regionalplan.</w:t>
      </w:r>
    </w:p>
    <w:p>
      <w:pPr>
        <w:pStyle w:val="P3"/>
        <w:rPr>
          <w:rFonts w:eastAsia="Arial"/>
        </w:rPr>
      </w:pPr>
      <w:bookmarkEnd w:id="36"/>
      <w:bookmarkStart w:id="37" w:name="pf_regionalutvecklingsstrategi01"/>
      <w:r>
        <w:rPr>
          <w:rFonts w:eastAsia="Arial"/>
        </w:rPr>
        <w:t>Regional utvecklingsstrategi</w:t>
      </w:r>
    </w:p>
    <w:p>
      <w:pPr>
        <w:rPr>
          <w:color w:val="auto"/>
          <w:shd w:val="clear" w:color="auto" w:fill="FFFFFF"/>
        </w:rPr>
      </w:pPr>
      <w:r>
        <w:rPr>
          <w:color w:val="auto"/>
          <w:shd w:val="clear" w:color="auto" w:fill="FFFFFF"/>
        </w:rPr>
        <w:t xml:space="preserve">I den regionala utvecklingsstrategin är visionen </w:t>
      </w:r>
      <w:r>
        <w:rPr>
          <w:i w:val="1"/>
          <w:iCs w:val="1"/>
          <w:color w:val="auto"/>
          <w:shd w:val="clear" w:color="auto" w:fill="FFFFFF"/>
        </w:rPr>
        <w:t>Ett gott liv i en nyskapande och hållbar kunskapsregion med internationell lyskraft</w:t>
      </w:r>
      <w:r>
        <w:rPr>
          <w:color w:val="auto"/>
          <w:shd w:val="clear" w:color="auto" w:fill="FFFFFF"/>
        </w:rPr>
        <w:t xml:space="preserve"> formulerad. Regionens vision och de globala målen för hållbar utveckling konkretiseras i tre strategiska utvecklingsområden:</w:t>
      </w:r>
    </w:p>
    <w:p>
      <w:pPr>
        <w:pStyle w:val="P17"/>
        <w:numPr>
          <w:ilvl w:val="0"/>
          <w:numId w:val="11"/>
        </w:numPr>
        <w:rPr>
          <w:color w:val="auto"/>
          <w:shd w:val="clear" w:color="auto" w:fill="FFFFFF"/>
        </w:rPr>
      </w:pPr>
      <w:r>
        <w:rPr>
          <w:i w:val="1"/>
          <w:iCs w:val="1"/>
          <w:color w:val="auto"/>
          <w:shd w:val="clear" w:color="auto" w:fill="FFFFFF"/>
        </w:rPr>
        <w:t>En region för alla</w:t>
      </w:r>
      <w:r>
        <w:rPr>
          <w:color w:val="auto"/>
          <w:shd w:val="clear" w:color="auto" w:fill="FFFFFF"/>
        </w:rPr>
        <w:t xml:space="preserve"> lyfter fram hur ett samhälle format efter människan ger ett gott liv, med öppna och inkluderande miljöer.</w:t>
      </w:r>
    </w:p>
    <w:p>
      <w:pPr>
        <w:pStyle w:val="P17"/>
        <w:numPr>
          <w:ilvl w:val="0"/>
          <w:numId w:val="11"/>
        </w:numPr>
        <w:rPr>
          <w:color w:val="auto"/>
          <w:shd w:val="clear" w:color="auto" w:fill="FFFFFF"/>
        </w:rPr>
      </w:pPr>
      <w:r>
        <w:rPr>
          <w:i w:val="1"/>
          <w:iCs w:val="1"/>
          <w:color w:val="auto"/>
          <w:shd w:val="clear" w:color="auto" w:fill="FFFFFF"/>
        </w:rPr>
        <w:t>En hållbart växande region</w:t>
      </w:r>
      <w:r>
        <w:rPr>
          <w:color w:val="auto"/>
          <w:shd w:val="clear" w:color="auto" w:fill="FFFFFF"/>
        </w:rPr>
        <w:t xml:space="preserve"> fokuserar på samhällsutvecklingen, dess natur och livsmiljöer och förhållandet till omkringliggande regioner. </w:t>
      </w:r>
    </w:p>
    <w:p>
      <w:pPr>
        <w:pStyle w:val="P17"/>
        <w:numPr>
          <w:ilvl w:val="0"/>
          <w:numId w:val="11"/>
        </w:numPr>
        <w:rPr>
          <w:color w:val="auto"/>
          <w:shd w:val="clear" w:color="auto" w:fill="FFFFFF"/>
        </w:rPr>
      </w:pPr>
      <w:r>
        <w:rPr>
          <w:i w:val="1"/>
          <w:iCs w:val="1"/>
          <w:color w:val="auto"/>
          <w:shd w:val="clear" w:color="auto" w:fill="FFFFFF"/>
        </w:rPr>
        <w:t>En nyskapande region</w:t>
      </w:r>
      <w:r>
        <w:rPr>
          <w:color w:val="auto"/>
          <w:shd w:val="clear" w:color="auto" w:fill="FFFFFF"/>
        </w:rPr>
        <w:t xml:space="preserve"> tar fasta på betydelsen av ett livskraftigt näringsliv och civilsamhälle samt förmågan till utmaningsdriven innovation hos företag och organisationer.</w:t>
      </w:r>
    </w:p>
    <w:p>
      <w:pPr>
        <w:rPr>
          <w:color w:val="auto"/>
          <w:shd w:val="clear" w:color="auto" w:fill="FFFFFF"/>
        </w:rPr>
      </w:pPr>
      <w:r>
        <w:rPr>
          <w:color w:val="auto"/>
          <w:shd w:val="clear" w:color="auto" w:fill="FFFFFF"/>
        </w:rPr>
        <w:t xml:space="preserve">Alsike är ett av flera större exploateringsprojekt i regionen. Knivsta är en småföretagarkommun med en bredd av branscher från tillverkande företag till tjänstesektor. </w:t>
      </w:r>
    </w:p>
    <w:p>
      <w:pPr>
        <w:rPr>
          <w:color w:val="auto"/>
          <w:shd w:val="clear" w:color="auto" w:fill="FFFFFF"/>
        </w:rPr>
      </w:pPr>
      <w:r>
        <w:rPr>
          <w:color w:val="auto"/>
          <w:shd w:val="clear" w:color="auto" w:fill="FFFFFF"/>
        </w:rPr>
        <w:t>Den regionala utvecklingsstrategin (rus) blev beslutad av Region Uppsalas regionfullmäktige i mars 2021.</w:t>
      </w:r>
      <w:bookmarkEnd w:id="37"/>
    </w:p>
    <w:p>
      <w:pPr>
        <w:pStyle w:val="P3"/>
        <w:rPr>
          <w:rFonts w:eastAsia="Arial"/>
          <w:lang w:eastAsia="sv-SE"/>
        </w:rPr>
      </w:pPr>
      <w:bookmarkStart w:id="38" w:name="pf_mellankommunalaintressen01"/>
      <w:r>
        <w:rPr>
          <w:rFonts w:eastAsia="Arial"/>
          <w:lang w:eastAsia="sv-SE"/>
        </w:rPr>
        <w:t>Mellankommunala intressen</w:t>
      </w:r>
    </w:p>
    <w:p>
      <w:pPr>
        <w:pStyle w:val="P67"/>
        <w:rPr>
          <w:color w:val="auto"/>
        </w:rPr>
      </w:pPr>
      <w:bookmarkEnd w:id="38"/>
      <w:bookmarkStart w:id="39" w:name="pf_projektfyraspåruppsala01"/>
      <w:r>
        <w:rPr>
          <w:color w:val="auto"/>
        </w:rPr>
        <w:t>Projekt fyra spår Uppsala</w:t>
      </w:r>
    </w:p>
    <w:p>
      <w:pPr>
        <w:rPr>
          <w:color w:val="auto"/>
          <w:shd w:val="clear" w:color="auto" w:fill="FFFFFF"/>
        </w:rPr>
      </w:pPr>
      <w:r>
        <w:rPr>
          <w:color w:val="auto"/>
          <w:shd w:val="clear" w:color="auto" w:fill="FFFFFF"/>
        </w:rPr>
        <w:t>Ostkustbanan ska byggas ut mellan Uppsala och länsgränsen mot Stockholm. Syftet är att öka kapaciteten, tillgängligheten och robustheten på Ostkustbanan.</w:t>
      </w:r>
    </w:p>
    <w:p>
      <w:pPr>
        <w:tabs>
          <w:tab w:val="num" w:pos="720" w:leader="none"/>
        </w:tabs>
        <w:rPr>
          <w:color w:val="auto"/>
          <w:shd w:val="clear" w:color="auto" w:fill="FFFFFF"/>
        </w:rPr>
      </w:pPr>
      <w:r>
        <w:rPr>
          <w:color w:val="auto"/>
          <w:shd w:val="clear" w:color="auto" w:fill="FFFFFF"/>
        </w:rPr>
        <w:t xml:space="preserve">Trafikverket planerar för två ytterligare tågspår genom Knivsta kommun, vilket utgör en del i det så kallade Fyrspårsavtalet som undertecknats av Knivsta kommun, region Uppsala, Uppsala kommun och staten. Trafikverket har utrett alternativa placeringar och beslutade under 2024 lokaliseringsalternativ </w:t>
      </w:r>
      <w:r>
        <w:rPr>
          <w:i w:val="1"/>
          <w:iCs w:val="1"/>
          <w:color w:val="auto"/>
          <w:shd w:val="clear" w:color="auto" w:fill="FFFFFF"/>
        </w:rPr>
        <w:t>Befintligt.</w:t>
      </w:r>
      <w:r>
        <w:rPr>
          <w:color w:val="auto"/>
          <w:shd w:val="clear" w:color="auto" w:fill="FFFFFF"/>
        </w:rPr>
        <w:t xml:space="preserve"> Detta innebär att de nya spåren ska dras utmed befintliga tågspår genom Knivsta. En järnvägsplan är under framtagande och planeras färdigställas år 2027. Spåren och stationerna planeras att byggas ut från och med tidigast år 2028 och öppna för trafik under år 2034.</w:t>
      </w:r>
      <w:bookmarkEnd w:id="39"/>
    </w:p>
    <w:p>
      <w:pPr>
        <w:tabs>
          <w:tab w:val="num" w:pos="720" w:leader="none"/>
        </w:tabs>
        <w:rPr>
          <w:rFonts w:asciiTheme="majorHAnsi" w:hAnsiTheme="majorHAnsi"/>
          <w:b w:val="1"/>
          <w:bCs w:val="1"/>
          <w:color w:val="auto"/>
          <w:sz w:val="20"/>
          <w:szCs w:val="20"/>
          <w:shd w:val="clear" w:color="auto" w:fill="FFFFFF"/>
          <w:lang w:eastAsia="sv-SE"/>
        </w:rPr>
      </w:pPr>
      <w:bookmarkStart w:id="40" w:name="pf_kraftledningmellanplenningeodensala01"/>
      <w:r>
        <w:rPr>
          <w:rFonts w:asciiTheme="majorHAnsi" w:hAnsiTheme="majorHAnsi"/>
          <w:b w:val="1"/>
          <w:bCs w:val="1"/>
          <w:color w:val="auto"/>
          <w:sz w:val="20"/>
          <w:szCs w:val="20"/>
          <w:shd w:val="clear" w:color="auto" w:fill="FFFFFF"/>
          <w:lang w:eastAsia="sv-SE"/>
        </w:rPr>
        <w:t>Kraftledning mellan Plenninge–Odensala</w:t>
      </w:r>
    </w:p>
    <w:p>
      <w:pPr>
        <w:tabs>
          <w:tab w:val="num" w:pos="720" w:leader="none"/>
        </w:tabs>
        <w:rPr>
          <w:color w:val="auto"/>
          <w:shd w:val="clear" w:color="auto" w:fill="FFFFFF"/>
        </w:rPr>
      </w:pPr>
      <w:r>
        <w:rPr>
          <w:color w:val="auto"/>
          <w:shd w:val="clear" w:color="auto" w:fill="FFFFFF"/>
        </w:rPr>
        <w:t>Svenska kraftnät planerar en utbyggnad av en ny dubbel 400 kV luftledning från planerad station Plenninge i Uppsala kommun fram till station Odensala i Sigtuna kommun. Sträckan passerar genom Knivsta kommun, öster om planområdet.</w:t>
      </w:r>
    </w:p>
    <w:p>
      <w:pPr>
        <w:rPr>
          <w:color w:val="auto"/>
        </w:rPr>
      </w:pPr>
      <w:r>
        <w:rPr>
          <w:color w:val="auto"/>
        </w:rPr>
        <w:t xml:space="preserve">En riskutredning har tagits fram för området (Briab, 2025), se vidare </w:t>
      </w:r>
      <w:r>
        <w:rPr>
          <w:i w:val="1"/>
          <w:iCs w:val="1"/>
          <w:color w:val="auto"/>
        </w:rPr>
        <w:t>Risker för människors hälsa och säkerhet.</w:t>
      </w:r>
    </w:p>
    <w:p>
      <w:pPr>
        <w:pStyle w:val="P2"/>
        <w:rPr>
          <w:rFonts w:eastAsia="Arial"/>
          <w:lang w:eastAsia="sv-SE"/>
        </w:rPr>
      </w:pPr>
      <w:bookmarkEnd w:id="40"/>
      <w:bookmarkStart w:id="41" w:name="_Toc153284646"/>
      <w:bookmarkStart w:id="42" w:name="_Toc1008427742"/>
      <w:bookmarkStart w:id="43" w:name="_Toc132874017"/>
      <w:bookmarkStart w:id="44" w:name="_Toc89445993"/>
      <w:bookmarkStart w:id="45" w:name="_Toc90561147"/>
      <w:r>
        <w:rPr>
          <w:rFonts w:eastAsia="Arial"/>
          <w:lang w:eastAsia="sv-SE"/>
        </w:rPr>
        <w:t>Nationella intressen</w:t>
      </w:r>
      <w:bookmarkEnd w:id="41"/>
      <w:bookmarkEnd w:id="42"/>
    </w:p>
    <w:p>
      <w:pPr>
        <w:pStyle w:val="P3"/>
        <w:rPr>
          <w:rFonts w:eastAsia="Arial"/>
        </w:rPr>
      </w:pPr>
      <w:bookmarkStart w:id="46" w:name="_Toc89446003"/>
      <w:bookmarkStart w:id="47" w:name="_Toc90561157"/>
      <w:bookmarkStart w:id="48" w:name="pf_riksintressen01"/>
      <w:r>
        <w:rPr>
          <w:rFonts w:eastAsia="Arial"/>
        </w:rPr>
        <w:t>Riksintressen</w:t>
      </w:r>
    </w:p>
    <w:p>
      <w:pPr>
        <w:rPr>
          <w:b w:val="1"/>
          <w:bCs w:val="1"/>
          <w:color w:val="auto"/>
          <w:shd w:val="clear" w:color="auto" w:fill="FFFFFF"/>
        </w:rPr>
      </w:pPr>
      <w:bookmarkEnd w:id="46"/>
      <w:bookmarkEnd w:id="47"/>
      <w:r>
        <w:rPr>
          <w:color w:val="auto"/>
          <w:shd w:val="clear" w:color="auto" w:fill="FFFFFF"/>
        </w:rPr>
        <w:t>Detaljplanen berörs inte av något riksintresse. Närmaste riksintressen är E4 och Ostkustbanan (riksintresse för kommunikation) samt Landskapet kring Valloxen och Säbysjön (riksintresse för kulturmiljövården).</w:t>
      </w:r>
      <w:r>
        <w:rPr>
          <w:rFonts w:ascii="Times New Roman" w:hAnsi="Times New Roman"/>
          <w:color w:val="auto"/>
        </w:rPr>
        <w:t xml:space="preserve"> </w:t>
      </w:r>
    </w:p>
    <w:p>
      <w:pPr>
        <w:pStyle w:val="P3"/>
        <w:rPr>
          <w:rFonts w:eastAsia="Arial"/>
          <w:lang w:eastAsia="sv-SE"/>
        </w:rPr>
      </w:pPr>
      <w:bookmarkEnd w:id="48"/>
      <w:bookmarkStart w:id="49" w:name="pf_hushållningsbestämmelserenl3kap_mb01"/>
      <w:r>
        <w:rPr>
          <w:rFonts w:eastAsia="Arial"/>
          <w:lang w:eastAsia="sv-SE"/>
        </w:rPr>
        <w:t>Hushållningsbestämmelser enligt 3 kap. miljöbalken</w:t>
      </w:r>
      <w:bookmarkEnd w:id="49"/>
    </w:p>
    <w:p>
      <w:pPr>
        <w:pStyle w:val="P67"/>
        <w:rPr>
          <w:rFonts w:eastAsiaTheme="majorEastAsia"/>
          <w:color w:val="auto"/>
        </w:rPr>
      </w:pPr>
      <w:bookmarkStart w:id="50" w:name="pf_skogsbruk01"/>
      <w:r>
        <w:rPr>
          <w:rFonts w:eastAsiaTheme="majorEastAsia"/>
          <w:color w:val="auto"/>
        </w:rPr>
        <w:t>Skogsbruk</w:t>
      </w:r>
    </w:p>
    <w:p>
      <w:pPr>
        <w:rPr>
          <w:color w:val="auto"/>
          <w:lang w:eastAsia="sv-SE"/>
        </w:rPr>
      </w:pPr>
      <w:r>
        <w:rPr>
          <w:color w:val="auto"/>
          <w:lang w:eastAsia="sv-SE"/>
        </w:rPr>
        <w:t>Del av planområdet, Vrå 3:1, används idag för skogsbruk. Fastigheten har slutavverkats för ungefär tio år sedan och består idag av uppvuxen slyskog.</w:t>
      </w:r>
      <w:bookmarkEnd w:id="50"/>
    </w:p>
    <w:p>
      <w:pPr>
        <w:pStyle w:val="P3"/>
        <w:rPr>
          <w:rFonts w:eastAsia="Arial"/>
        </w:rPr>
      </w:pPr>
      <w:bookmarkStart w:id="51" w:name="pf_miljökvalitetsnormer01"/>
      <w:r>
        <w:rPr>
          <w:rFonts w:eastAsia="Arial"/>
        </w:rPr>
        <w:t>Miljökvalitetsnormer</w:t>
      </w:r>
    </w:p>
    <w:p>
      <w:pPr>
        <w:rPr>
          <w:color w:val="auto"/>
          <w:shd w:val="clear" w:color="auto" w:fill="FFFFFF"/>
        </w:rPr>
      </w:pPr>
      <w:r>
        <w:rPr>
          <w:color w:val="auto"/>
          <w:shd w:val="clear" w:color="auto" w:fill="FFFFFF"/>
        </w:rPr>
        <w:t xml:space="preserve">Miljökvalitetsnormer avser de olika gränsvärden eller målsättningar som framgår av förordningar och föreskrifter som beslutas av regeringen eller av andra myndigheter. Miljökvalitetsnormer är juridiskt bindande och ska följas vid detaljplanering enligt 2 kap. 10 § PBL. </w:t>
      </w:r>
    </w:p>
    <w:p>
      <w:pPr>
        <w:rPr>
          <w:color w:val="auto"/>
          <w:shd w:val="clear" w:color="auto" w:fill="FFFFFF"/>
        </w:rPr>
      </w:pPr>
      <w:r>
        <w:rPr>
          <w:color w:val="auto"/>
          <w:shd w:val="clear" w:color="auto" w:fill="FFFFFF"/>
        </w:rPr>
        <w:t>Miljökvalitetsnormer som är aktuella att ta i beaktande inför planförslaget är de som gäller för utomhusluft, omgivningsbuller samt yt- och grundvattenförekomster.</w:t>
      </w:r>
    </w:p>
    <w:p>
      <w:pPr>
        <w:pStyle w:val="P67"/>
        <w:rPr>
          <w:rFonts w:eastAsiaTheme="majorEastAsia"/>
          <w:color w:val="auto"/>
        </w:rPr>
      </w:pPr>
      <w:bookmarkEnd w:id="51"/>
      <w:bookmarkStart w:id="52" w:name="pf_luft01"/>
      <w:r>
        <w:rPr>
          <w:rFonts w:eastAsiaTheme="majorEastAsia"/>
          <w:color w:val="auto"/>
        </w:rPr>
        <w:t>Utomhusluft</w:t>
      </w:r>
    </w:p>
    <w:p>
      <w:pPr>
        <w:rPr>
          <w:color w:val="auto"/>
        </w:rPr>
      </w:pPr>
      <w:r>
        <w:rPr>
          <w:color w:val="auto"/>
        </w:rPr>
        <w:t>Luftkvalitetsförordningen (2010:477) innehåller olika typer av normer, bland annat målsättnings- och gränsvärdesnormer. Miljökvalitetsnormer för utomhusluft avser kvävedioxid/kväveoxider (NO</w:t>
      </w:r>
      <w:r>
        <w:rPr>
          <w:color w:val="auto"/>
          <w:vertAlign w:val="subscript"/>
        </w:rPr>
        <w:t>2</w:t>
      </w:r>
      <w:r>
        <w:rPr>
          <w:color w:val="auto"/>
        </w:rPr>
        <w:t>), svaveldioxid, kolmonoxid, ozon, bensen, arsenik, kadmium, nickel, bly, bens(a)pyren och partiklar (PM10 och PM2,5). De luftföroreningar som svenska städer generellt har störst problem att klara normerna för är kvävedioxid, svaveldioxid samt partiklar (PM10).</w:t>
      </w:r>
    </w:p>
    <w:p>
      <w:pPr>
        <w:rPr>
          <w:color w:val="auto"/>
        </w:rPr>
      </w:pPr>
      <w:r>
        <w:rPr>
          <w:color w:val="auto"/>
        </w:rPr>
        <w:t>Enligt luftföroreningskarta för Stockholm och Uppsala län (SLB-analys) så är dygnsmedelvärde för kvävedioxid låga, under 12 μg/m³. Bedömningen är att MKN för luft inte riskerar att överskridas i området.</w:t>
      </w:r>
    </w:p>
    <w:p>
      <w:pPr>
        <w:pStyle w:val="P67"/>
        <w:rPr>
          <w:rFonts w:eastAsiaTheme="majorEastAsia"/>
          <w:color w:val="auto"/>
        </w:rPr>
      </w:pPr>
      <w:bookmarkEnd w:id="52"/>
      <w:bookmarkStart w:id="53" w:name="pf_vatten01"/>
      <w:r>
        <w:rPr>
          <w:rFonts w:eastAsiaTheme="majorEastAsia"/>
          <w:color w:val="auto"/>
        </w:rPr>
        <w:t>Yt- och grundvattenförekomster</w:t>
      </w:r>
    </w:p>
    <w:p>
      <w:pPr>
        <w:rPr>
          <w:color w:val="auto"/>
        </w:rPr>
      </w:pPr>
      <w:r>
        <w:rPr>
          <w:color w:val="auto"/>
        </w:rPr>
        <w:t>Miljökvalitetsnormen för yt- och grundvattenförekomster uttrycker den kvalitet som vattenförekomsten ska uppnå vid en viss tidpunkt. Huvudregeln innebär att samtliga vattenförekomster ska ha uppnått en god ekologisk och kemisk status. Utifrån undersökning och klassificering av vattenförekomsters nuvarande status fastställs en tidpunkt då normen ska uppnås.</w:t>
      </w:r>
    </w:p>
    <w:p>
      <w:pPr>
        <w:rPr>
          <w:color w:val="auto"/>
        </w:rPr>
      </w:pPr>
      <w:r>
        <w:rPr>
          <w:color w:val="auto"/>
        </w:rPr>
        <w:t xml:space="preserve">Den primära recipienten för planområdet är Lövstaån som mynnar i sjön Valloxen. Båda är vattenförekomster i VISS; </w:t>
      </w:r>
      <w:r>
        <w:rPr>
          <w:i w:val="1"/>
          <w:iCs w:val="1"/>
          <w:color w:val="auto"/>
        </w:rPr>
        <w:t>Lövstaån</w:t>
      </w:r>
      <w:r>
        <w:rPr>
          <w:color w:val="auto"/>
        </w:rPr>
        <w:t xml:space="preserve"> (SE662760-161234) och </w:t>
      </w:r>
      <w:r>
        <w:rPr>
          <w:i w:val="1"/>
          <w:iCs w:val="1"/>
          <w:color w:val="auto"/>
        </w:rPr>
        <w:t>Valloxen</w:t>
      </w:r>
      <w:r>
        <w:rPr>
          <w:color w:val="auto"/>
        </w:rPr>
        <w:t xml:space="preserve"> (SE662383-161313). Valloxen är en känslig recipient och ett lokalt åtgärdsprogram (LÅP) för Valloxen och Lövstaån har upprättats. LÅP presenterar platsspecifika åtgärdsförslag för att minska näringsläckage från jordbruksmark och dagvatten till Valloxen. I nära anslutning till planområdet föreslås en platsspecifik åtgärd för att minska fosfortillförsel till recipienterna via dagvatten. Åtgärden som föreslås är en dagvattendamm som skulle ta emot dagvatten från delar av befintlig bebyggelse i Alsike som idag orenat rinner till diket mellan planområde Myrberget och planområde Träfallet. </w:t>
      </w:r>
    </w:p>
    <w:p>
      <w:pPr>
        <w:rPr>
          <w:color w:val="auto"/>
        </w:rPr>
      </w:pPr>
      <w:r>
        <w:rPr>
          <w:color w:val="auto"/>
        </w:rPr>
        <w:t xml:space="preserve">Lövstaån har idag </w:t>
      </w:r>
      <w:r>
        <w:rPr>
          <w:i w:val="1"/>
          <w:iCs w:val="1"/>
          <w:color w:val="auto"/>
        </w:rPr>
        <w:t xml:space="preserve">måttlig </w:t>
      </w:r>
      <w:r>
        <w:rPr>
          <w:color w:val="auto"/>
        </w:rPr>
        <w:t xml:space="preserve">ekologisk status medan Valloxen har </w:t>
      </w:r>
      <w:r>
        <w:rPr>
          <w:i w:val="1"/>
          <w:iCs w:val="1"/>
          <w:color w:val="auto"/>
        </w:rPr>
        <w:t xml:space="preserve">dålig </w:t>
      </w:r>
      <w:r>
        <w:rPr>
          <w:color w:val="auto"/>
        </w:rPr>
        <w:t xml:space="preserve">ekologisk status. Båda vattenförekomsterna har ej god kemisk status, vilket är en nationell bedömning av alla vattendrag på grund av atmosfärisk deposition av bromerad difenyleter (PBDE) och kvicksilver. Senast beslutad MKN för Lövstaån och Valloxen är </w:t>
      </w:r>
      <w:r>
        <w:rPr>
          <w:i w:val="1"/>
          <w:iCs w:val="1"/>
          <w:color w:val="auto"/>
        </w:rPr>
        <w:t xml:space="preserve">god ekologisk status 2033 </w:t>
      </w:r>
      <w:r>
        <w:rPr>
          <w:color w:val="auto"/>
        </w:rPr>
        <w:t xml:space="preserve">och </w:t>
      </w:r>
      <w:r>
        <w:rPr>
          <w:i w:val="1"/>
          <w:iCs w:val="1"/>
          <w:color w:val="auto"/>
        </w:rPr>
        <w:t xml:space="preserve">god kemisk ytvattenstatus. </w:t>
      </w:r>
      <w:r>
        <w:rPr>
          <w:color w:val="auto"/>
        </w:rPr>
        <w:t>Undantag finns för de överallt överskridande ämnena bromerad difenyleter och kvicksilver (mindre stränga krav).</w:t>
      </w:r>
    </w:p>
    <w:p>
      <w:r>
        <w:rPr>
          <w:color w:val="auto"/>
        </w:rPr>
        <w:t>Lövstaåns ekologiska status påverkas av näringsämnen och kiselalger. Valloxens ekologiska status påverkas framför allt av</w:t>
      </w:r>
      <w:r>
        <w:rPr>
          <w:rFonts w:ascii="Arial" w:hAnsi="Arial" w:cs="Arial"/>
          <w:sz w:val="18"/>
          <w:szCs w:val="18"/>
        </w:rPr>
        <w:t xml:space="preserve"> </w:t>
      </w:r>
      <w:r>
        <w:rPr>
          <w:color w:val="auto"/>
        </w:rPr>
        <w:t xml:space="preserve">övergödning och påverkan från näringsämnen </w:t>
      </w:r>
      <w:r>
        <w:t>som kommer från urban markanvändning.</w:t>
      </w:r>
    </w:p>
    <w:p>
      <w:r>
        <w:t xml:space="preserve">Delar av planområdet kan anslutas till befintligt dagvattenledningsnät i Mejselgatan som leds till Trunsta Träsk via Gredelby vattenavledningsföretag 1991. Trunsta träsk som är en del av ett kommunalt naturreservat, är inte en utpekad vattenförekomst men dagvattnet rinner vidare till vattenförekomsten </w:t>
      </w:r>
      <w:r>
        <w:rPr>
          <w:i w:val="1"/>
          <w:iCs w:val="1"/>
        </w:rPr>
        <w:t>Knivstaån</w:t>
      </w:r>
      <w:r>
        <w:t xml:space="preserve"> genom Knivsta.</w:t>
      </w:r>
    </w:p>
    <w:p>
      <w:pPr>
        <w:rPr>
          <w:i w:val="1"/>
          <w:iCs w:val="1"/>
        </w:rPr>
      </w:pPr>
      <w:r>
        <w:t xml:space="preserve">Ekologisk status för </w:t>
      </w:r>
      <w:r>
        <w:rPr>
          <w:i w:val="1"/>
          <w:iCs w:val="1"/>
        </w:rPr>
        <w:t>Knivstaån</w:t>
      </w:r>
      <w:r>
        <w:t xml:space="preserve"> (SE662439-656579) bedöms idag som </w:t>
      </w:r>
      <w:r>
        <w:rPr>
          <w:i w:val="1"/>
          <w:iCs w:val="1"/>
        </w:rPr>
        <w:t>dålig</w:t>
      </w:r>
      <w:r>
        <w:t xml:space="preserve">. Vattenförekomsten uppnår inte god ekologisk status på grund av övergödning. Näringsämnen och bottenfauna är klassificerad till dålig status till följd av höga närsaltshalter. Bedömningen grundar sig på faktiskt uppmäta värden i Knivstaån. Även konnektivitet och morfologi klassas som sämre än god status, detta på grund av vandringshinder och fysiska ingrepp i vattenförekomsten. Kemisk status uppnår ej god kvalitet på grund av kvicksilver (Hg) och polybromerade difenyletrar (PBDE). Senast beslutad MKN för Knivstaån är </w:t>
      </w:r>
      <w:r>
        <w:rPr>
          <w:i w:val="1"/>
          <w:iCs w:val="1"/>
        </w:rPr>
        <w:t>god ekologisk status 2033</w:t>
      </w:r>
      <w:r>
        <w:t xml:space="preserve"> och </w:t>
      </w:r>
      <w:r>
        <w:rPr>
          <w:i w:val="1"/>
          <w:iCs w:val="1"/>
        </w:rPr>
        <w:t>god kemisk ytvattenstatus.</w:t>
      </w:r>
    </w:p>
    <w:p>
      <w:pPr>
        <w:pStyle w:val="P67"/>
        <w:rPr>
          <w:rFonts w:eastAsiaTheme="majorEastAsia"/>
        </w:rPr>
      </w:pPr>
      <w:bookmarkEnd w:id="53"/>
      <w:bookmarkStart w:id="54" w:name="pf_buller01"/>
      <w:r>
        <w:rPr>
          <w:rFonts w:eastAsiaTheme="majorEastAsia"/>
        </w:rPr>
        <w:t>Omgivningsbuller</w:t>
      </w:r>
    </w:p>
    <w:p>
      <w:pPr>
        <w:shd w:val="clear" w:fill="FFFFFF" w:themeFill="background1"/>
        <w:spacing w:lineRule="auto" w:line="240" w:after="0" w:beforeAutospacing="0" w:afterAutospacing="0"/>
        <w:rPr>
          <w:color w:val="auto"/>
        </w:rPr>
      </w:pPr>
      <w:r>
        <w:rPr>
          <w:color w:val="auto"/>
        </w:rPr>
        <w:t xml:space="preserve">Miljökvalitetsnormen för omgivningsbuller är en målsättningsnorm som saknar </w:t>
      </w:r>
    </w:p>
    <w:p>
      <w:pPr>
        <w:rPr>
          <w:color w:val="auto"/>
        </w:rPr>
      </w:pPr>
      <w:r>
        <w:rPr>
          <w:color w:val="auto"/>
        </w:rPr>
        <w:t>exakta riktvärden. När strävan är att undvika skadliga effekter av omgivningsbuller på människors hälsa anses normen vara följd. De riktlinjer för omgivningsbuller som antas vara relevanta för det aktuella projektet är buller från väg- och spårvägtrafik, samt externt industribuller.</w:t>
      </w:r>
    </w:p>
    <w:p>
      <w:pPr>
        <w:rPr>
          <w:color w:val="auto"/>
        </w:rPr>
      </w:pPr>
      <w:r>
        <w:rPr>
          <w:color w:val="auto"/>
        </w:rPr>
        <w:t xml:space="preserve">En bullerutredning har tagits fram för området (Åkerlöf Hallin, 2025), se vidare </w:t>
      </w:r>
      <w:r>
        <w:rPr>
          <w:i w:val="1"/>
          <w:iCs w:val="1"/>
          <w:color w:val="auto"/>
        </w:rPr>
        <w:t>Risker för människors hälsa och säkerhet.</w:t>
      </w:r>
    </w:p>
    <w:p>
      <w:pPr>
        <w:pStyle w:val="P2"/>
        <w:rPr>
          <w:rFonts w:eastAsia="Arial"/>
          <w:lang w:eastAsia="sv-SE"/>
        </w:rPr>
      </w:pPr>
      <w:bookmarkEnd w:id="54"/>
      <w:bookmarkStart w:id="55" w:name="_Toc153284647"/>
      <w:bookmarkStart w:id="56" w:name="_Toc1129267743"/>
      <w:bookmarkStart w:id="57" w:name="pf_naturvärden01"/>
      <w:bookmarkStart w:id="58" w:name="_Toc132874018"/>
      <w:bookmarkStart w:id="59" w:name="_Toc89446001"/>
      <w:bookmarkStart w:id="60" w:name="_Toc90561155"/>
      <w:r>
        <w:rPr>
          <w:rFonts w:eastAsia="Arial"/>
          <w:lang w:eastAsia="sv-SE"/>
        </w:rPr>
        <w:t>Naturvärden</w:t>
      </w:r>
      <w:bookmarkEnd w:id="55"/>
      <w:bookmarkEnd w:id="56"/>
    </w:p>
    <w:p>
      <w:pPr>
        <w:rPr>
          <w:color w:val="auto"/>
          <w:lang w:eastAsia="sv-SE"/>
        </w:rPr>
      </w:pPr>
      <w:r>
        <w:rPr>
          <w:color w:val="auto"/>
        </w:rPr>
        <w:t xml:space="preserve">De centrala delarna av planområdet består idag av ett kalhygge med uppväxt sly samt en tidigare </w:t>
      </w:r>
      <w:r>
        <w:rPr>
          <w:rFonts w:eastAsiaTheme="minorEastAsia"/>
          <w:color w:val="auto"/>
        </w:rPr>
        <w:t xml:space="preserve">deponi för sten- och schaktmassor. </w:t>
      </w:r>
      <w:r>
        <w:rPr>
          <w:color w:val="auto"/>
        </w:rPr>
        <w:t xml:space="preserve">Bedömningen är att det inte finns några naturvärden inom detta område. </w:t>
      </w:r>
      <w:r>
        <w:rPr>
          <w:color w:val="auto"/>
          <w:lang w:eastAsia="sv-SE"/>
        </w:rPr>
        <w:t>Naturmarken och skogsområdet i planområdets sydvästra del utgör dock en viktig del av landskapsbilden i närområdet och de befintliga naturvärden som finns är kopplade till detta skogsbestånd.</w:t>
      </w:r>
    </w:p>
    <w:p>
      <w:pPr>
        <w:rPr>
          <w:color w:val="auto"/>
          <w:lang w:eastAsia="sv-SE"/>
        </w:rPr>
      </w:pPr>
      <w:r>
        <w:rPr>
          <w:noProof w:val="1"/>
          <w:color w:val="auto"/>
          <w:lang w:eastAsia="sv-SE"/>
        </w:rPr>
        <mc:AlternateContent>
          <mc:Choice Requires="wps">
            <w:drawing>
              <wp:anchor xmlns:wp="http://schemas.openxmlformats.org/drawingml/2006/wordprocessingDrawing" distT="0" distB="0" distL="114300" distR="114300" simplePos="0" relativeHeight="2" behindDoc="0" locked="0" layoutInCell="1" allowOverlap="1">
                <wp:simplePos x="0" y="0"/>
                <wp:positionH relativeFrom="column">
                  <wp:posOffset>2222500</wp:posOffset>
                </wp:positionH>
                <wp:positionV relativeFrom="paragraph">
                  <wp:posOffset>1223645</wp:posOffset>
                </wp:positionV>
                <wp:extent cx="1718945" cy="1444625"/>
                <wp:effectExtent l="0" t="0" r="14605" b="22225"/>
                <wp:wrapNone/>
                <wp:docPr id="579336343" name="Frihandsfigur: Form 9" descr="P217#y1"/>
                <wp:cNvGraphicFramePr/>
                <a:graphic xmlns:a="http://schemas.openxmlformats.org/drawingml/2006/main">
                  <a:graphicData uri="http://schemas.microsoft.com/office/word/2010/wordprocessingShape">
                    <wps:wsp>
                      <wps:cNvSpPr/>
                      <wps:spPr>
                        <a:xfrm>
                          <a:off x="0" y="0"/>
                          <a:ext cx="1719072" cy="1444752"/>
                        </a:xfrm>
                        <a:custGeom>
                          <a:gdLst>
                            <a:gd name="connsiteX0" fmla="*/ 771754 w 1719072"/>
                            <a:gd name="connsiteY0" fmla="*/ 1250900 h 1444752"/>
                            <a:gd name="connsiteX1" fmla="*/ 672999 w 1719072"/>
                            <a:gd name="connsiteY1" fmla="*/ 1433780 h 1444752"/>
                            <a:gd name="connsiteX2" fmla="*/ 610819 w 1719072"/>
                            <a:gd name="connsiteY2" fmla="*/ 1400861 h 1444752"/>
                            <a:gd name="connsiteX3" fmla="*/ 588874 w 1719072"/>
                            <a:gd name="connsiteY3" fmla="*/ 1444752 h 1444752"/>
                            <a:gd name="connsiteX4" fmla="*/ 523037 w 1719072"/>
                            <a:gd name="connsiteY4" fmla="*/ 1408176 h 1444752"/>
                            <a:gd name="connsiteX5" fmla="*/ 555955 w 1719072"/>
                            <a:gd name="connsiteY5" fmla="*/ 1349655 h 1444752"/>
                            <a:gd name="connsiteX6" fmla="*/ 325527 w 1719072"/>
                            <a:gd name="connsiteY6" fmla="*/ 1221639 h 1444752"/>
                            <a:gd name="connsiteX7" fmla="*/ 515722 w 1719072"/>
                            <a:gd name="connsiteY7" fmla="*/ 943661 h 1444752"/>
                            <a:gd name="connsiteX8" fmla="*/ 354787 w 1719072"/>
                            <a:gd name="connsiteY8" fmla="*/ 830276 h 1444752"/>
                            <a:gd name="connsiteX9" fmla="*/ 142647 w 1719072"/>
                            <a:gd name="connsiteY9" fmla="*/ 559613 h 1444752"/>
                            <a:gd name="connsiteX10" fmla="*/ 0 w 1719072"/>
                            <a:gd name="connsiteY10" fmla="*/ 259690 h 1444752"/>
                            <a:gd name="connsiteX11" fmla="*/ 1177747 w 1719072"/>
                            <a:gd name="connsiteY11" fmla="*/ 0 h 1444752"/>
                            <a:gd name="connsiteX12" fmla="*/ 1719072 w 1719072"/>
                            <a:gd name="connsiteY12" fmla="*/ 713232 h 1444752"/>
                            <a:gd name="connsiteX13" fmla="*/ 1642263 w 1719072"/>
                            <a:gd name="connsiteY13" fmla="*/ 775412 h 1444752"/>
                            <a:gd name="connsiteX14" fmla="*/ 1426464 w 1719072"/>
                            <a:gd name="connsiteY14" fmla="*/ 698602 h 1444752"/>
                            <a:gd name="connsiteX15" fmla="*/ 1207008 w 1719072"/>
                            <a:gd name="connsiteY15" fmla="*/ 782727 h 1444752"/>
                            <a:gd name="connsiteX16" fmla="*/ 1228954 w 1719072"/>
                            <a:gd name="connsiteY16" fmla="*/ 855879 h 1444752"/>
                            <a:gd name="connsiteX17" fmla="*/ 998525 w 1719072"/>
                            <a:gd name="connsiteY17" fmla="*/ 1020471 h 1444752"/>
                            <a:gd name="connsiteX18" fmla="*/ 837591 w 1719072"/>
                            <a:gd name="connsiteY18" fmla="*/ 1287476 h 1444752"/>
                            <a:gd name="connsiteX19" fmla="*/ 771754 w 1719072"/>
                            <a:gd name="connsiteY19" fmla="*/ 1250900 h 1444752"/>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719072" h="1444752">
                              <a:moveTo>
                                <a:pt x="771754" y="1250900"/>
                              </a:moveTo>
                              <a:lnTo>
                                <a:pt x="672999" y="1433780"/>
                              </a:lnTo>
                              <a:lnTo>
                                <a:pt x="610819" y="1400861"/>
                              </a:lnTo>
                              <a:lnTo>
                                <a:pt x="588874" y="1444752"/>
                              </a:lnTo>
                              <a:lnTo>
                                <a:pt x="523037" y="1408176"/>
                              </a:lnTo>
                              <a:lnTo>
                                <a:pt x="555955" y="1349655"/>
                              </a:lnTo>
                              <a:lnTo>
                                <a:pt x="325527" y="1221639"/>
                              </a:lnTo>
                              <a:lnTo>
                                <a:pt x="515722" y="943661"/>
                              </a:lnTo>
                              <a:lnTo>
                                <a:pt x="354787" y="830276"/>
                              </a:lnTo>
                              <a:lnTo>
                                <a:pt x="142647" y="559613"/>
                              </a:lnTo>
                              <a:lnTo>
                                <a:pt x="0" y="259690"/>
                              </a:lnTo>
                              <a:lnTo>
                                <a:pt x="1177747" y="0"/>
                              </a:lnTo>
                              <a:lnTo>
                                <a:pt x="1719072" y="713232"/>
                              </a:lnTo>
                              <a:lnTo>
                                <a:pt x="1642263" y="775412"/>
                              </a:lnTo>
                              <a:lnTo>
                                <a:pt x="1426464" y="698602"/>
                              </a:lnTo>
                              <a:lnTo>
                                <a:pt x="1207008" y="782727"/>
                              </a:lnTo>
                              <a:lnTo>
                                <a:pt x="1228954" y="855879"/>
                              </a:lnTo>
                              <a:lnTo>
                                <a:pt x="998525" y="1020471"/>
                              </a:lnTo>
                              <a:lnTo>
                                <a:pt x="837591" y="1287476"/>
                              </a:lnTo>
                              <a:lnTo>
                                <a:pt x="771754" y="1250900"/>
                              </a:lnTo>
                              <a:close/>
                            </a:path>
                          </a:pathLst>
                        </a:custGeom>
                        <a:noFill/>
                        <a:ln w="127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9" o:spid="_x0000_s1027" style="position:absolute;width:135.35pt;height:113.75pt;z-index:2;mso-wrap-distance-left:9pt;mso-wrap-distance-top:0pt;mso-wrap-distance-right:9pt;mso-wrap-distance-bottom:0pt;margin-left:175pt;margin-top:96.35pt;mso-position-horizontal:absolute;mso-position-horizontal-relative:text;mso-position-vertical:absolute;mso-position-vertical-relative:text;v-text-anchor:middle" o:allowincell="t" filled="f" strokecolor="#EE0000" strokeweight="1pt" stroked="t" coordsize="1719072,1444752" path="m771754,1250900l672999,1433780,610819,1400861,588874,1444752,523037,1408176,555955,1349655,325527,1221639,515722,943661,354787,830276,142647,559613,,259690,1177747,,1719072,713232,1642263,775412,1426464,698602,1207008,782727,1228954,855879,998525,1020471,837591,1287476,771754,1250900xe">
                <v:textbox inset="3mm,1mm,3mm,1mm">
                  <w:txbxContent>
                    <w:p/>
                  </w:txbxContent>
                </v:textbox>
              </v:shape>
            </w:pict>
          </mc:Fallback>
        </mc:AlternateContent>
      </w:r>
      <w:r>
        <w:rPr>
          <w:noProof w:val="1"/>
          <w:color w:val="auto"/>
          <w:lang w:eastAsia="sv-SE"/>
        </w:rPr>
        <w:drawing>
          <wp:inline xmlns:wp="http://schemas.openxmlformats.org/drawingml/2006/wordprocessingDrawing" distT="0" distB="0" distL="0" distR="0">
            <wp:extent cx="5041265" cy="3559810"/>
            <wp:effectExtent l="0" t="0" r="6985" b="2540"/>
            <wp:docPr id="1475549989" name="Bildobjekt 10" descr="P2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549989" name="Bildobjekt 10" descr="P217#yIS1"/>
                    <pic:cNvPicPr/>
                  </pic:nvPicPr>
                  <pic:blipFill dpi="0">
                    <a:blip xmlns:r="http://schemas.openxmlformats.org/officeDocument/2006/relationships" r:embed="Relimage13"/>
                    <a:srcRect/>
                    <a:stretch>
                      <a:fillRect/>
                    </a:stretch>
                  </pic:blipFill>
                  <pic:spPr>
                    <a:xfrm>
                      <a:off x="0" y="0"/>
                      <a:ext cx="5041265" cy="3559810"/>
                    </a:xfrm>
                    <a:prstGeom prst="rect"/>
                  </pic:spPr>
                </pic:pic>
              </a:graphicData>
            </a:graphic>
          </wp:inline>
        </w:drawing>
      </w:r>
    </w:p>
    <w:p>
      <w:pPr>
        <w:pStyle w:val="P60"/>
        <w:rPr>
          <w:color w:val="000000" w:themeColor="text1"/>
          <w:lang w:eastAsia="sv-SE"/>
        </w:rPr>
      </w:pPr>
      <w:r>
        <w:rPr>
          <w:color w:val="000000" w:themeColor="text1"/>
          <w:lang w:eastAsia="sv-SE"/>
        </w:rPr>
        <w:t xml:space="preserve">Figur 11: Skogsområdet som utgör en viktig del av landskapsbilden och innehåller identifierade naturvärden. </w:t>
      </w:r>
      <w:r>
        <w:rPr>
          <w:color w:val="000000" w:themeColor="text1"/>
        </w:rPr>
        <w:t>Ungefärlig planområdesgräns markeras med heldragen röd linje. (Ekologigruppen)</w:t>
      </w:r>
    </w:p>
    <w:p>
      <w:pPr>
        <w:rPr>
          <w:color w:val="auto"/>
          <w:lang w:eastAsia="sv-SE"/>
        </w:rPr>
      </w:pPr>
      <w:r>
        <w:rPr>
          <w:lang w:eastAsia="sv-SE"/>
        </w:rPr>
        <w:t>En naturvärdesinventering genomfördes av Ekologigruppen år 2020 inom naturmarken där två naturvärdesobjekt på</w:t>
      </w:r>
      <w:r>
        <w:rPr>
          <w:noProof w:val="1"/>
        </w:rPr>
        <w:t xml:space="preserve"> </w:t>
      </w:r>
      <w:r>
        <w:rPr>
          <w:lang w:eastAsia="sv-SE"/>
        </w:rPr>
        <w:t xml:space="preserve">träffades. Ingen inventering gjordes av marken som slutavverkats. Det första objektet har naturvärdesklass 3, påtagligt naturvärde, och består av ett inhägnat småvatten (känsligt </w:t>
      </w:r>
      <w:r>
        <w:rPr>
          <w:color w:val="auto"/>
          <w:lang w:eastAsia="sv-SE"/>
        </w:rPr>
        <w:t xml:space="preserve">för åtgärder som ändrar mikroklimat och förorenat vatten) och som kan nyttjas av insekter och groddjur. Andra objektet har naturvärdesklass 4, visst naturvärde, och består av en blandskog i sextioårsåldern (känslig för avverkning i samband med skogsbruk eller exploatering) med god tillgång på död ved. </w:t>
      </w:r>
    </w:p>
    <w:p>
      <w:pPr>
        <w:rPr>
          <w:i w:val="1"/>
          <w:iCs w:val="1"/>
          <w:color w:val="auto"/>
          <w:sz w:val="18"/>
          <w:szCs w:val="18"/>
        </w:rPr>
      </w:pPr>
      <w:r>
        <w:rPr>
          <w:noProof w:val="1"/>
        </w:rPr>
        <w:drawing>
          <wp:inline xmlns:wp="http://schemas.openxmlformats.org/drawingml/2006/wordprocessingDrawing" distT="0" distB="0" distL="0" distR="0">
            <wp:extent cx="5093335" cy="3596640"/>
            <wp:effectExtent l="0" t="0" r="0" b="3810"/>
            <wp:docPr id="2137727779" name="Bildobjekt 11" descr="P22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27779" name="Bildobjekt 11" descr="P220#yIS1"/>
                    <pic:cNvPicPr/>
                  </pic:nvPicPr>
                  <pic:blipFill dpi="0">
                    <a:blip xmlns:r="http://schemas.openxmlformats.org/officeDocument/2006/relationships" r:embed="Relimage14"/>
                    <a:srcRect l="1718" b="1720"/>
                    <a:stretch>
                      <a:fillRect/>
                    </a:stretch>
                  </pic:blipFill>
                  <pic:spPr bwMode="auto">
                    <a:xfrm>
                      <a:off x="0" y="0"/>
                      <a:ext cx="5095671" cy="3598119"/>
                    </a:xfrm>
                    <a:prstGeom prst="rect"/>
                    <a:ln>
                      <a:noFill/>
                    </a:ln>
                  </pic:spPr>
                </pic:pic>
              </a:graphicData>
            </a:graphic>
          </wp:inline>
        </w:drawing>
      </w:r>
      <w:r>
        <w:rPr>
          <w:i w:val="1"/>
          <w:iCs w:val="1"/>
          <w:color w:val="auto"/>
          <w:sz w:val="18"/>
          <w:szCs w:val="18"/>
        </w:rPr>
        <w:t>Figur 12: I skogsområdet avgränsades två objekt: objekt 1 med naturvärdesklass 3 påtagligt naturvärde och objekt 2 med naturvärdesklass 4 visst naturvärde. (Ekologigruppen)</w:t>
      </w:r>
    </w:p>
    <w:p>
      <w:pPr>
        <w:rPr>
          <w:color w:val="auto"/>
          <w:lang w:eastAsia="sv-SE"/>
        </w:rPr>
      </w:pPr>
      <w:r>
        <w:rPr>
          <w:color w:val="auto"/>
          <w:lang w:eastAsia="sv-SE"/>
        </w:rPr>
        <w:t xml:space="preserve">Inventering av groddjur genomfördes av Ekologigruppen år 2021 och innefattade de potentiella lekmiljöer för groddjur som identifierats i planområdets västra del i form av småvatten och dammar. </w:t>
      </w:r>
    </w:p>
    <w:p>
      <w:pPr>
        <w:rPr>
          <w:color w:val="auto"/>
          <w:lang w:eastAsia="sv-SE"/>
        </w:rPr>
      </w:pPr>
      <w:r>
        <w:rPr>
          <w:color w:val="auto"/>
          <w:lang w:eastAsia="sv-SE"/>
        </w:rPr>
        <w:t>Inventeringen påvisade att damm 1 (se figur 13) utgör lekmiljö för vanlig padda (</w:t>
      </w:r>
      <w:r>
        <w:rPr>
          <w:i w:val="1"/>
          <w:iCs w:val="1"/>
          <w:color w:val="auto"/>
          <w:lang w:eastAsia="sv-SE"/>
        </w:rPr>
        <w:t>Bufo bufo)</w:t>
      </w:r>
      <w:r>
        <w:rPr>
          <w:color w:val="auto"/>
          <w:lang w:eastAsia="sv-SE"/>
        </w:rPr>
        <w:t xml:space="preserve"> samt att damm 2 utgör lekmiljö både för vanlig padda och vanlig groda</w:t>
      </w:r>
      <w:r>
        <w:rPr>
          <w:i w:val="1"/>
          <w:iCs w:val="1"/>
          <w:color w:val="auto"/>
          <w:lang w:eastAsia="sv-SE"/>
        </w:rPr>
        <w:t xml:space="preserve"> (Rana temporia)</w:t>
      </w:r>
      <w:r>
        <w:rPr>
          <w:color w:val="auto"/>
          <w:lang w:eastAsia="sv-SE"/>
        </w:rPr>
        <w:t xml:space="preserve">. I diket observerades inga groddjur vilket gör att diket inte är konstaterad som en lekmiljö för groddjuren. Vanlig groda och vanlig padda är fridlysta i hela landet enligt 6 § artskyddsförordningen, vilket innebär att det är förbjudet att utan tillstånd döda, skada eller fånga exemplar samt skada ägg, rom, larver eller bon. </w:t>
      </w:r>
      <w:r>
        <w:rPr>
          <w:rFonts w:ascii="Times New Roman" w:hAnsi="Times New Roman"/>
        </w:rPr>
        <w:t>Under inventeringen observerades även fladdermöss.</w:t>
      </w:r>
    </w:p>
    <w:p>
      <w:pPr>
        <w:rPr>
          <w:i w:val="1"/>
          <w:iCs w:val="1"/>
          <w:color w:val="auto"/>
          <w:sz w:val="18"/>
          <w:szCs w:val="18"/>
        </w:rPr>
      </w:pPr>
      <w:r>
        <w:rPr>
          <w:noProof w:val="1"/>
        </w:rPr>
        <w:drawing>
          <wp:inline xmlns:wp="http://schemas.openxmlformats.org/drawingml/2006/wordprocessingDrawing" distT="0" distB="0" distL="0" distR="0">
            <wp:extent cx="5041265" cy="3559810"/>
            <wp:effectExtent l="0" t="0" r="6985" b="2540"/>
            <wp:docPr id="1888960345" name="Bildobjekt 12" descr="P2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960345" name="Bildobjekt 12" descr="P223#yIS1"/>
                    <pic:cNvPicPr/>
                  </pic:nvPicPr>
                  <pic:blipFill dpi="0">
                    <a:blip xmlns:r="http://schemas.openxmlformats.org/officeDocument/2006/relationships" r:embed="Relimage15"/>
                    <a:srcRect/>
                    <a:stretch>
                      <a:fillRect/>
                    </a:stretch>
                  </pic:blipFill>
                  <pic:spPr>
                    <a:xfrm>
                      <a:off x="0" y="0"/>
                      <a:ext cx="5041265" cy="3559810"/>
                    </a:xfrm>
                    <a:prstGeom prst="rect"/>
                  </pic:spPr>
                </pic:pic>
              </a:graphicData>
            </a:graphic>
          </wp:inline>
        </w:drawing>
      </w:r>
      <w:r>
        <w:rPr>
          <w:i w:val="1"/>
          <w:iCs w:val="1"/>
          <w:color w:val="auto"/>
          <w:sz w:val="18"/>
          <w:szCs w:val="18"/>
        </w:rPr>
        <w:t>Figur 13: Identifierade lekmiljöer för groddjur i form av småvatten samt två dammar. Damm 1 konstaterades som lekmiljö för vanlig padda och damm 2 som lekmiljö för både vanlig padda och vanlig groda. Diket konstaterades ej utgör lekmiljö för groddjuren. (Ekologigruppen)</w:t>
      </w:r>
    </w:p>
    <w:p>
      <w:pPr>
        <w:rPr>
          <w:color w:val="auto"/>
          <w:lang w:eastAsia="sv-SE"/>
        </w:rPr>
      </w:pPr>
      <w:r>
        <w:rPr>
          <w:color w:val="auto"/>
          <w:lang w:eastAsia="sv-SE"/>
        </w:rPr>
        <w:t xml:space="preserve">Inom planområdet har även tre naturvårdsarter påträffats i samband med naturvärdesinventeringen. Två arter (liljekonvalj och rödgul trumpetsvamp) har positivt indikatorvärde och finns inom objekt 1 och en art (kanadensiskt gullris) har negativt indikatorvärde (invasiv art) och finns utanför objekt 1. </w:t>
      </w:r>
    </w:p>
    <w:p>
      <w:pPr>
        <w:rPr>
          <w:color w:val="auto"/>
          <w:lang w:eastAsia="sv-SE"/>
        </w:rPr>
      </w:pPr>
      <w:r>
        <w:rPr>
          <w:color w:val="auto"/>
          <w:lang w:eastAsia="sv-SE"/>
        </w:rPr>
        <w:t>I nära anslutning till planområdet (söder om Brunnbyvägen) finns ett av Skogsstyrelsens naturvärdesobjekt (och två nyckelbiotoper) där flera rödlistade arter och signalarter är funna, liksom en skyddad art som omfattas av artskyddsförordningen (grön sköldmossa). Söder om det närbelägna området som är Skogsstyrelsens naturvärdesobjekt finns även två nyckelbiotoper, där arten rostfläck är funnen, vilket är en av Skogsstyrelsens signalarter.</w:t>
      </w:r>
    </w:p>
    <w:p>
      <w:pPr>
        <w:pStyle w:val="P60"/>
        <w:rPr>
          <w:lang w:eastAsia="sv-SE"/>
        </w:rPr>
      </w:pPr>
      <w:r>
        <w:rPr>
          <w:noProof w:val="1"/>
        </w:rPr>
        <w:drawing>
          <wp:inline xmlns:wp="http://schemas.openxmlformats.org/drawingml/2006/wordprocessingDrawing" distT="0" distB="0" distL="0" distR="0">
            <wp:extent cx="5041265" cy="3559810"/>
            <wp:effectExtent l="0" t="0" r="6985" b="2540"/>
            <wp:docPr id="2111180778" name="Bildobjekt 13" descr="P2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80778" name="Bildobjekt 13" descr="P226#yIS1"/>
                    <pic:cNvPicPr/>
                  </pic:nvPicPr>
                  <pic:blipFill dpi="0">
                    <a:blip xmlns:r="http://schemas.openxmlformats.org/officeDocument/2006/relationships" r:embed="Relimage16"/>
                    <a:srcRect/>
                    <a:stretch>
                      <a:fillRect/>
                    </a:stretch>
                  </pic:blipFill>
                  <pic:spPr>
                    <a:xfrm>
                      <a:off x="0" y="0"/>
                      <a:ext cx="5041265" cy="3559810"/>
                    </a:xfrm>
                    <a:prstGeom prst="rect"/>
                  </pic:spPr>
                </pic:pic>
              </a:graphicData>
            </a:graphic>
          </wp:inline>
        </w:drawing>
      </w:r>
      <w:r>
        <w:rPr>
          <w:color w:val="auto"/>
          <w:lang w:eastAsia="sv-SE"/>
        </w:rPr>
        <w:t>Figur 14: Strax sydväst om området finns en av Skogsstyrelsen utpekade naturvärdesobjekt och två nyckelbiotoper. (Ekologigruppen)</w:t>
      </w:r>
    </w:p>
    <w:p>
      <w:pPr>
        <w:rPr>
          <w:color w:val="auto"/>
          <w:lang w:eastAsia="sv-SE"/>
        </w:rPr>
      </w:pPr>
      <w:r>
        <w:rPr>
          <w:color w:val="auto"/>
          <w:lang w:eastAsia="sv-SE"/>
        </w:rPr>
        <w:t>Hela natur- och skogsmarken i planområdets sydvästra del pekas i naturvärdesinventeringen ut som en del av ett sammanhängande landskapsobjekt med betydelse för biologisk mångfald som sträcker sig vidare norr och söder om planområdet. Landskapsobjektet utgörs huvudsakligen av barrskog och barrblandskogsmiljö. Inom planområdet är landskapet starkt påverkat av skogsbruk men bedöms dock vara av värde för skogslevande arter som kräver större sammanhängande skogsområden (såsom tofsmes och duvhök) och som kan nyttja området som en spridningsväg.</w:t>
      </w:r>
    </w:p>
    <w:p>
      <w:pPr>
        <w:rPr>
          <w:color w:val="auto"/>
          <w:lang w:eastAsia="sv-SE"/>
        </w:rPr>
      </w:pPr>
      <w:r>
        <w:rPr>
          <w:lang w:eastAsia="sv-SE"/>
        </w:rPr>
        <w:t>Genom landskapsekologiska analyser har det konstaterats att området utgör en viktig korridor för spridning av arter mellan kommunens skogsområden. Detta spridningssamband är extra viktigt för barrskogslevande arter, då barrskogsnätverket är väldigt fragmenterat och känsligt för påverkan.</w:t>
      </w:r>
    </w:p>
    <w:p>
      <w:pPr>
        <w:pStyle w:val="P3"/>
        <w:rPr>
          <w:rFonts w:eastAsia="Arial"/>
        </w:rPr>
      </w:pPr>
      <w:bookmarkEnd w:id="57"/>
      <w:bookmarkStart w:id="61" w:name="pf_grönområden01"/>
      <w:r>
        <w:rPr>
          <w:rFonts w:eastAsia="Arial"/>
        </w:rPr>
        <w:t xml:space="preserve">Grönområden </w:t>
      </w:r>
    </w:p>
    <w:p>
      <w:pPr>
        <w:rPr>
          <w:color w:val="auto"/>
        </w:rPr>
      </w:pPr>
      <w:r>
        <w:rPr>
          <w:color w:val="auto"/>
          <w:shd w:val="clear" w:color="auto" w:fill="FFFFFF"/>
        </w:rPr>
        <w:t xml:space="preserve">Naturmarken och den sammanhängande skogen i planområdets sydvästra del är ett grönområde som är viktigt och utpekat som målpunkt för bostadsnära natur och rekreation. Grönområdet </w:t>
      </w:r>
      <w:r>
        <w:rPr>
          <w:color w:val="auto"/>
        </w:rPr>
        <w:t xml:space="preserve">är planlagt som natur och </w:t>
      </w:r>
      <w:r>
        <w:rPr>
          <w:color w:val="auto"/>
          <w:shd w:val="clear" w:color="auto" w:fill="FFFFFF"/>
        </w:rPr>
        <w:t xml:space="preserve">består i stort av </w:t>
      </w:r>
      <w:r>
        <w:rPr>
          <w:color w:val="auto"/>
        </w:rPr>
        <w:t xml:space="preserve">ett skogsbestånd med upptrampade stigar och </w:t>
      </w:r>
      <w:r>
        <w:rPr>
          <w:color w:val="auto"/>
          <w:lang w:eastAsia="sv-SE"/>
        </w:rPr>
        <w:t xml:space="preserve">möjligheter för rekreation i form av naturlek samt bär- och svampplockning. Området </w:t>
      </w:r>
      <w:r>
        <w:rPr>
          <w:color w:val="auto"/>
          <w:shd w:val="clear" w:color="auto" w:fill="FFFFFF"/>
        </w:rPr>
        <w:t xml:space="preserve">innehåller även </w:t>
      </w:r>
      <w:r>
        <w:rPr>
          <w:color w:val="auto"/>
        </w:rPr>
        <w:t xml:space="preserve">en anlagd lekplats, ”Djungelparken”, och mindre vattendrag inklusive två mindre dammar. </w:t>
      </w:r>
    </w:p>
    <w:p>
      <w:pPr>
        <w:rPr>
          <w:shd w:val="clear" w:color="auto" w:fill="FFFFFF"/>
        </w:rPr>
      </w:pPr>
      <w:r>
        <w:rPr>
          <w:shd w:val="clear" w:color="auto" w:fill="FFFFFF"/>
        </w:rPr>
        <w:t xml:space="preserve">Kalhygget och naturmarken angränsande Ar består till stor del av uppväxt slyskog men i området kring den tidigare </w:t>
      </w:r>
      <w:r>
        <w:rPr>
          <w:rFonts w:eastAsiaTheme="minorEastAsia"/>
        </w:rPr>
        <w:t xml:space="preserve">deponin finns ett sammanhängande parti av </w:t>
      </w:r>
      <w:r>
        <w:t>medelstora träd av tall och björk.</w:t>
      </w:r>
    </w:p>
    <w:p>
      <w:pPr>
        <w:pStyle w:val="P2"/>
        <w:rPr>
          <w:rFonts w:eastAsia="Arial"/>
          <w:color w:val="000000" w:themeColor="text1"/>
          <w:lang w:eastAsia="sv-SE"/>
        </w:rPr>
      </w:pPr>
      <w:bookmarkEnd w:id="61"/>
      <w:bookmarkStart w:id="62" w:name="_Toc153284648"/>
      <w:bookmarkStart w:id="63" w:name="_Toc1096294761"/>
      <w:bookmarkStart w:id="64" w:name="pf_kulturmiljö01"/>
      <w:r>
        <w:rPr>
          <w:rFonts w:eastAsia="Arial"/>
          <w:color w:val="000000" w:themeColor="text1"/>
          <w:lang w:eastAsia="sv-SE"/>
        </w:rPr>
        <w:t>Kultur</w:t>
      </w:r>
      <w:bookmarkEnd w:id="62"/>
      <w:r>
        <w:rPr>
          <w:rFonts w:eastAsia="Arial"/>
          <w:color w:val="000000" w:themeColor="text1"/>
          <w:lang w:eastAsia="sv-SE"/>
        </w:rPr>
        <w:t>värden</w:t>
      </w:r>
      <w:bookmarkEnd w:id="63"/>
    </w:p>
    <w:p>
      <w:pPr>
        <w:pStyle w:val="P3"/>
        <w:rPr>
          <w:rFonts w:eastAsia="Arial"/>
          <w:color w:val="000000" w:themeColor="text1"/>
        </w:rPr>
      </w:pPr>
      <w:bookmarkEnd w:id="64"/>
      <w:bookmarkStart w:id="65" w:name="pf_fornlämningar01"/>
      <w:r>
        <w:rPr>
          <w:color w:val="000000" w:themeColor="text1"/>
        </w:rPr>
        <w:t>Fornlämningar</w:t>
      </w:r>
    </w:p>
    <w:p>
      <w:pPr>
        <w:rPr>
          <w:color w:val="auto"/>
          <w:lang w:eastAsia="sv-SE"/>
        </w:rPr>
      </w:pPr>
      <w:r>
        <w:t xml:space="preserve">Fem registrerade fornlämningar (övrig kulturhistoriska lämningar) i form av gränsrösen finns i närheten av norra, nordöstra och sydöstra gränsen för fastighet Vrå 3:1, helt eller delvis sammanfallande med befintlig fastighet respektive tidigare sockengräns. </w:t>
      </w:r>
      <w:r>
        <w:rPr>
          <w:lang w:eastAsia="sv-SE"/>
        </w:rPr>
        <w:t xml:space="preserve">En arkeologisk utredning (Rapport 2021:85 av </w:t>
      </w:r>
      <w:r>
        <w:rPr>
          <w:shd w:val="clear" w:color="auto" w:fill="FFFFFF"/>
        </w:rPr>
        <w:t>Arkeologerna</w:t>
      </w:r>
      <w:r>
        <w:rPr>
          <w:lang w:eastAsia="sv-SE"/>
        </w:rPr>
        <w:t xml:space="preserve">), med syfte att lokalisera och fastställa eventuellt ytterligare </w:t>
      </w:r>
      <w:r>
        <w:rPr>
          <w:color w:val="auto"/>
          <w:lang w:eastAsia="sv-SE"/>
        </w:rPr>
        <w:t>fornlämningar inom planområdet, påträffade inget övrigt av antikvariskt värde. P</w:t>
      </w:r>
      <w:r>
        <w:rPr>
          <w:color w:val="auto"/>
        </w:rPr>
        <w:t xml:space="preserve">å storskifteskarta och ägomätning från år 1792 finns en väg markerad inom planområdet. </w:t>
      </w:r>
      <w:r>
        <w:rPr>
          <w:color w:val="auto"/>
          <w:lang w:eastAsia="sv-SE"/>
        </w:rPr>
        <w:t xml:space="preserve">Vid inventeringen i fält kunde dock vägen inte återfinnas i terrängen. </w:t>
      </w:r>
    </w:p>
    <w:p>
      <w:pPr>
        <w:pStyle w:val="P60"/>
        <w:rPr>
          <w:color w:val="000000" w:themeColor="text1"/>
        </w:rPr>
      </w:pPr>
      <w:r>
        <w:rPr>
          <w:noProof w:val="1"/>
        </w:rPr>
        <w:drawing>
          <wp:inline xmlns:wp="http://schemas.openxmlformats.org/drawingml/2006/wordprocessingDrawing" distT="0" distB="0" distL="0" distR="0">
            <wp:extent cx="5038725" cy="2133600"/>
            <wp:effectExtent l="0" t="0" r="9525" b="0"/>
            <wp:docPr id="883654584" name="drawing" descr="P23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654584" name="drawing" descr="P235#yIS1"/>
                    <pic:cNvPicPr/>
                  </pic:nvPicPr>
                  <pic:blipFill dpi="0">
                    <a:blip xmlns:r="http://schemas.openxmlformats.org/officeDocument/2006/relationships" r:embed="Relimage17">
                      <a:extLst>
                        <a:ext uri="{28A0092B-C50C-407E-A947-70E740481C1C}">
                          <a14:useLocalDpi xmlns:a14="http://schemas.microsoft.com/office/drawing/2010/main" val="0"/>
                        </a:ext>
                      </a:extLst>
                    </a:blip>
                    <a:srcRect/>
                    <a:stretch>
                      <a:fillRect/>
                    </a:stretch>
                  </pic:blipFill>
                  <pic:spPr>
                    <a:xfrm>
                      <a:off x="0" y="0"/>
                      <a:ext cx="5038725" cy="2133600"/>
                    </a:xfrm>
                    <a:prstGeom prst="rect"/>
                  </pic:spPr>
                </pic:pic>
              </a:graphicData>
            </a:graphic>
          </wp:inline>
        </w:drawing>
      </w:r>
      <w:r>
        <w:rPr>
          <w:color w:val="000000" w:themeColor="text1"/>
        </w:rPr>
        <w:t xml:space="preserve">Figur 15a: Närbelägna fornlämningar. Figur 15b: </w:t>
      </w:r>
      <w:r>
        <w:rPr>
          <w:color w:val="000000" w:themeColor="text1"/>
          <w:lang w:eastAsia="sv-SE"/>
        </w:rPr>
        <w:t>P</w:t>
      </w:r>
      <w:r>
        <w:rPr>
          <w:color w:val="000000" w:themeColor="text1"/>
        </w:rPr>
        <w:t>å storskifteskarta och ägomätning från år 1792 finns en väg markerad mellan gårdarna Wrå och Brunnby. Ungefärlig planområdesgräns markeras med röd streckad linje.</w:t>
      </w:r>
    </w:p>
    <w:p>
      <w:pPr>
        <w:pStyle w:val="P2"/>
        <w:rPr>
          <w:rFonts w:eastAsia="Arial"/>
          <w:color w:val="000000" w:themeColor="text1"/>
          <w:lang w:eastAsia="sv-SE"/>
        </w:rPr>
      </w:pPr>
      <w:bookmarkEnd w:id="65"/>
      <w:bookmarkStart w:id="66" w:name="_Toc153284649"/>
      <w:bookmarkStart w:id="67" w:name="_Toc1992831666"/>
      <w:bookmarkStart w:id="68" w:name="pf_sociala01"/>
      <w:r>
        <w:rPr>
          <w:rFonts w:eastAsia="Arial"/>
          <w:color w:val="000000" w:themeColor="text1"/>
          <w:lang w:eastAsia="sv-SE"/>
        </w:rPr>
        <w:t>Sociala värden</w:t>
      </w:r>
      <w:bookmarkEnd w:id="66"/>
      <w:bookmarkEnd w:id="67"/>
    </w:p>
    <w:p>
      <w:pPr>
        <w:rPr>
          <w:color w:val="auto"/>
        </w:rPr>
      </w:pPr>
      <w:r>
        <w:rPr>
          <w:color w:val="auto"/>
          <w:shd w:val="clear" w:color="auto" w:fill="FFFFFF"/>
        </w:rPr>
        <w:t xml:space="preserve">Natur- och skogsmarken i planområdets sydvästra del bedöms ha höga sociala värden. </w:t>
      </w:r>
      <w:r>
        <w:rPr>
          <w:color w:val="auto"/>
          <w:lang w:eastAsia="sv-SE"/>
        </w:rPr>
        <w:t xml:space="preserve">Lekplatsen ”Djungelparken” och skogen runt omkring har pekats ut av förskolepersonalen i Alsike, lokala fritidsklubbar och av boende i närområdet som målpunkt för närnatur och rekreation. </w:t>
      </w:r>
      <w:r>
        <w:rPr>
          <w:color w:val="auto"/>
        </w:rPr>
        <w:t xml:space="preserve">Granskogsområdet genomkorsas av mindre stigar, särskilt vid Djungelparken och i närheten finns också kojor som vittnar om att området används för rekreation och naturlek. </w:t>
      </w:r>
    </w:p>
    <w:p>
      <w:pPr>
        <w:rPr>
          <w:color w:val="auto"/>
          <w:shd w:val="clear" w:color="auto" w:fill="FFFFFF"/>
        </w:rPr>
      </w:pPr>
      <w:r>
        <w:rPr>
          <w:color w:val="auto"/>
          <w:shd w:val="clear" w:color="auto" w:fill="FFFFFF"/>
        </w:rPr>
        <w:t xml:space="preserve">Kalhygget och området kring den tidigare </w:t>
      </w:r>
      <w:r>
        <w:rPr>
          <w:rFonts w:eastAsiaTheme="minorEastAsia"/>
          <w:color w:val="auto"/>
        </w:rPr>
        <w:t>deponin är inte lättillgängligt på grund av uppväxt sly och schaktmassor. Området bedöms</w:t>
      </w:r>
      <w:r>
        <w:rPr>
          <w:color w:val="auto"/>
          <w:shd w:val="clear" w:color="auto" w:fill="FFFFFF"/>
        </w:rPr>
        <w:t xml:space="preserve"> dock ha visst begränsat socialt värde i form av närrekreation såsom promenad i terräng, hundrastning, pulkaåkning, utsikt och bärplockning. </w:t>
      </w:r>
      <w:bookmarkEnd w:id="68"/>
    </w:p>
    <w:p>
      <w:pPr>
        <w:pStyle w:val="P3"/>
        <w:rPr>
          <w:lang w:eastAsia="sv-SE"/>
        </w:rPr>
      </w:pPr>
      <w:bookmarkStart w:id="69" w:name="pf_tillgänglighetochtrygghet01"/>
      <w:r>
        <w:rPr>
          <w:lang w:eastAsia="sv-SE"/>
        </w:rPr>
        <w:t>Tillgänglighet och trygghet</w:t>
      </w:r>
    </w:p>
    <w:p>
      <w:pPr>
        <w:rPr>
          <w:color w:val="auto"/>
          <w:shd w:val="clear" w:color="auto" w:fill="FFFFFF"/>
        </w:rPr>
      </w:pPr>
      <w:r>
        <w:rPr>
          <w:color w:val="auto"/>
          <w:shd w:val="clear" w:color="auto" w:fill="FFFFFF"/>
        </w:rPr>
        <w:t>Resultatet av den utökade medborgardialogen som genomfördes i flera steg under 2020-2021 pekar ut följande förutsättningar som grund till upplevd tillgänglighet och trygghet:</w:t>
      </w:r>
    </w:p>
    <w:p>
      <w:pPr>
        <w:rPr>
          <w:shd w:val="clear" w:color="auto" w:fill="FFFFFF"/>
        </w:rPr>
      </w:pPr>
      <w:r>
        <w:rPr>
          <w:i w:val="1"/>
          <w:iCs w:val="1"/>
          <w:color w:val="auto"/>
          <w:shd w:val="clear" w:color="auto" w:fill="FFFFFF"/>
        </w:rPr>
        <w:t>Närheten till skogen</w:t>
      </w:r>
      <w:r>
        <w:rPr>
          <w:color w:val="auto"/>
          <w:shd w:val="clear" w:color="auto" w:fill="FFFFFF"/>
        </w:rPr>
        <w:t xml:space="preserve"> är den största fördelen med att bo i Alsike. Det är viktigt att ha visuell kontakt med skogen, och att det inte blir för ”trångt” runt bostaden. Det är också viktigt att det som </w:t>
      </w:r>
      <w:r>
        <w:rPr>
          <w:shd w:val="clear" w:color="auto" w:fill="FFFFFF"/>
        </w:rPr>
        <w:t>byggs inte minskar värdet på intilliggande byggnader.</w:t>
      </w:r>
    </w:p>
    <w:p>
      <w:pPr>
        <w:rPr>
          <w:shd w:val="clear" w:color="auto" w:fill="FFFFFF"/>
        </w:rPr>
      </w:pPr>
      <w:r>
        <w:rPr>
          <w:i w:val="1"/>
          <w:iCs w:val="1"/>
          <w:shd w:val="clear" w:color="auto" w:fill="FFFFFF"/>
        </w:rPr>
        <w:t>Blandad bebyggelse.</w:t>
      </w:r>
      <w:r>
        <w:rPr>
          <w:shd w:val="clear" w:color="auto" w:fill="FFFFFF"/>
        </w:rPr>
        <w:t xml:space="preserve"> Det uppskattas att det inte ser likadant ut överallt och att det finns olika typer av bostäder. Det är viktigt att hitta en balans där alla känner ägandeskap över sitt område och närmiljön omkring sin bostad för att skapa trygghet och gemenskap.</w:t>
      </w:r>
    </w:p>
    <w:p>
      <w:pPr>
        <w:rPr>
          <w:color w:val="auto"/>
          <w:shd w:val="clear" w:color="auto" w:fill="FFFFFF"/>
        </w:rPr>
      </w:pPr>
      <w:r>
        <w:rPr>
          <w:i w:val="1"/>
          <w:iCs w:val="1"/>
          <w:shd w:val="clear" w:color="auto" w:fill="FFFFFF"/>
        </w:rPr>
        <w:t>Småskalighet/gemytligt.</w:t>
      </w:r>
      <w:r>
        <w:rPr>
          <w:shd w:val="clear" w:color="auto" w:fill="FFFFFF"/>
        </w:rPr>
        <w:t xml:space="preserve"> Alla hälsar på varandra i Alsike och det finns en fin gemenskap, men det saknas mötesplatser. Utöver Coop finns det få platser man kan sätta sig, och ännu färre aktiviteter (i Alsike). Samtidigt uppskattas naturen som har stora rekreativa värden som kan förstärkas ytterligare</w:t>
      </w:r>
      <w:r>
        <w:rPr>
          <w:color w:val="auto"/>
          <w:shd w:val="clear" w:color="auto" w:fill="FFFFFF"/>
        </w:rPr>
        <w:t>.</w:t>
      </w:r>
    </w:p>
    <w:p>
      <w:pPr>
        <w:rPr>
          <w:color w:val="auto"/>
          <w:shd w:val="clear" w:color="auto" w:fill="FFFFFF"/>
        </w:rPr>
      </w:pPr>
      <w:r>
        <w:rPr>
          <w:i w:val="1"/>
          <w:iCs w:val="1"/>
          <w:color w:val="auto"/>
          <w:shd w:val="clear" w:color="auto" w:fill="FFFFFF"/>
        </w:rPr>
        <w:t>Parkering.</w:t>
      </w:r>
      <w:r>
        <w:rPr>
          <w:color w:val="auto"/>
          <w:shd w:val="clear" w:color="auto" w:fill="FFFFFF"/>
        </w:rPr>
        <w:t xml:space="preserve"> Många av de intervjuade har utryckt att de inte klarar sig utan bil och det måste gå att parkera nära bostaden. Man uppskattar att det är tryggt och smidigt för barnen att cykla överallt inom Alsike men bilen är nödvändig för vardagen. Kommande generationer kanske inte kommer ha bil i lika stor utsträckning varför det är bra om dessa ytor går att konvertera i framtiden.</w:t>
      </w:r>
      <w:bookmarkEnd w:id="69"/>
    </w:p>
    <w:p>
      <w:pPr>
        <w:pStyle w:val="P3"/>
        <w:rPr>
          <w:lang w:eastAsia="sv-SE"/>
        </w:rPr>
      </w:pPr>
      <w:bookmarkStart w:id="70" w:name="pf_barn01"/>
      <w:r>
        <w:rPr>
          <w:lang w:eastAsia="sv-SE"/>
        </w:rPr>
        <w:t>Barn</w:t>
      </w:r>
    </w:p>
    <w:p>
      <w:pPr>
        <w:rPr>
          <w:color w:val="auto"/>
        </w:rPr>
      </w:pPr>
      <w:r>
        <w:rPr>
          <w:color w:val="auto"/>
        </w:rPr>
        <w:t>Inom planområdet är skogsområdet och vattendragen särskilt viktiga strukturer för lärande för boende i närmiljöer samt för framtida boende.</w:t>
      </w:r>
    </w:p>
    <w:p>
      <w:pPr>
        <w:rPr>
          <w:color w:val="auto"/>
        </w:rPr>
      </w:pPr>
      <w:r>
        <w:rPr>
          <w:color w:val="auto"/>
        </w:rPr>
        <w:t>Utökad medborgardialog (genomförd 2020-2021) påvisar även att lekplatser i Alsike allmänt används flitigt, dels för att erbjuda omväxling och för att visa barnen vad de kan göra i olika miljöer. Parkyta uppges dock saknas, samt öppna ytor för lek med plats att sätta sig ner på en filt. Det uppges finnas många lekplatser men få aktiviteter för de minsta barnen. Många uppskattar att det är lätt och tryggt för barnen att själva ta sig till skolan och vänner.</w:t>
      </w:r>
    </w:p>
    <w:p>
      <w:pPr>
        <w:pStyle w:val="P2"/>
        <w:rPr>
          <w:rFonts w:eastAsia="Arial"/>
          <w:lang w:eastAsia="sv-SE"/>
        </w:rPr>
      </w:pPr>
      <w:bookmarkEnd w:id="70"/>
      <w:bookmarkStart w:id="71" w:name="_Toc153284650"/>
      <w:bookmarkStart w:id="72" w:name="_Toc858603522"/>
      <w:bookmarkStart w:id="73" w:name="pf_geotekniskaförhållanden01"/>
      <w:r>
        <w:rPr>
          <w:rFonts w:eastAsia="Arial"/>
          <w:lang w:eastAsia="sv-SE"/>
        </w:rPr>
        <w:t>Geotekniska förhållanden</w:t>
      </w:r>
      <w:bookmarkEnd w:id="71"/>
      <w:bookmarkEnd w:id="72"/>
    </w:p>
    <w:p>
      <w:pPr>
        <w:rPr>
          <w:color w:val="auto"/>
          <w:shd w:val="clear" w:color="auto" w:fill="FFFFFF"/>
        </w:rPr>
      </w:pPr>
      <w:r>
        <w:rPr>
          <w:color w:val="auto"/>
          <w:shd w:val="clear" w:color="auto" w:fill="FFFFFF"/>
        </w:rPr>
        <w:t xml:space="preserve">Enligt jordartskartan från Sveriges Geologiska Undersökning (SGU) består de översta lagren inom planområdet av sandig morän, glacial lera och urberg. </w:t>
      </w:r>
    </w:p>
    <w:p>
      <w:pPr>
        <w:rPr>
          <w:color w:val="auto"/>
          <w:shd w:val="clear" w:color="auto" w:fill="FFFFFF"/>
        </w:rPr>
      </w:pPr>
    </w:p>
    <w:p>
      <w:pPr>
        <w:spacing w:before="240" w:beforeAutospacing="0" w:afterAutospacing="0"/>
        <w:rPr>
          <w:sz w:val="21"/>
          <w:szCs w:val="21"/>
        </w:rPr>
      </w:pPr>
      <w:r>
        <w:rPr>
          <w:noProof w:val="1"/>
        </w:rPr>
        <w:drawing>
          <wp:inline xmlns:wp="http://schemas.openxmlformats.org/drawingml/2006/wordprocessingDrawing" distT="0" distB="0" distL="0" distR="0">
            <wp:extent cx="4838700" cy="2957830"/>
            <wp:effectExtent l="0" t="0" r="0" b="0"/>
            <wp:docPr id="1730130452" name="Bildobjekt 11" descr="P2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130452" name="Bildobjekt 11" descr="P251#yIS1"/>
                    <pic:cNvPicPr/>
                  </pic:nvPicPr>
                  <pic:blipFill dpi="0">
                    <a:blip xmlns:r="http://schemas.openxmlformats.org/officeDocument/2006/relationships" r:embed="Relimage18"/>
                    <a:srcRect l="15114" t="19508" r="15355" b="50428"/>
                    <a:stretch>
                      <a:fillRect/>
                    </a:stretch>
                  </pic:blipFill>
                  <pic:spPr bwMode="auto">
                    <a:xfrm>
                      <a:off x="0" y="0"/>
                      <a:ext cx="4857742" cy="2970086"/>
                    </a:xfrm>
                    <a:prstGeom prst="rect"/>
                    <a:ln>
                      <a:noFill/>
                    </a:ln>
                  </pic:spPr>
                </pic:pic>
              </a:graphicData>
            </a:graphic>
          </wp:inline>
        </w:drawing>
      </w:r>
    </w:p>
    <w:p>
      <w:pPr>
        <w:pStyle w:val="P60"/>
        <w:rPr>
          <w:color w:val="000000" w:themeColor="text1"/>
        </w:rPr>
      </w:pPr>
      <w:r>
        <w:rPr>
          <w:color w:val="000000" w:themeColor="text1"/>
        </w:rPr>
        <w:t>Figur 16: Jordartskarta från Sveriges Geologiska Undersökning (SGU). Ungefärligt utredningsområde</w:t>
      </w:r>
      <w:r>
        <w:rPr>
          <w:color w:val="000000" w:themeColor="text1"/>
          <w:shd w:val="clear" w:color="auto" w:fill="FFFFFF"/>
        </w:rPr>
        <w:t xml:space="preserve"> redovisas med svart linje. Röd = Berg i dagen (med ytligt moränlager på vissa delar), gul = glacial lera, ljusgul = postglacial lera, blå = sandig morän, streckad yta vit bakgrund = fyllning.</w:t>
      </w:r>
    </w:p>
    <w:p>
      <w:pPr>
        <w:rPr>
          <w:shd w:val="clear" w:color="auto" w:fill="FFFFFF"/>
        </w:rPr>
      </w:pPr>
      <w:r>
        <w:rPr>
          <w:shd w:val="clear" w:color="auto" w:fill="FFFFFF"/>
        </w:rPr>
        <w:t xml:space="preserve">En geoteknisk undersökning genomförd av Bjerking under 2025 visar att jordlagerföljden består generellt överst av ett tunt lager humusjord överlagrandes friktionsjord vilandes på berg. I en del punkter i västra delen av området samt i några lågpunkter överlagras friktionsjorden av kohesionsjord. Jordlagrens mäktigheter varierar mellan 0,4 – 5,2 m kohesionsjord, 0,4 – 8,6 m friktionsjord. Bergets överyta har påträffats i markytan samt på mellan ca 0,7 – 8,6 m djup under markytan. </w:t>
      </w:r>
    </w:p>
    <w:p>
      <w:pPr>
        <w:rPr>
          <w:shd w:val="clear" w:color="auto" w:fill="FFFFFF"/>
        </w:rPr>
      </w:pPr>
      <w:r>
        <w:rPr>
          <w:shd w:val="clear" w:color="auto" w:fill="FFFFFF"/>
        </w:rPr>
        <w:t xml:space="preserve">Kohesionsjorden utgörs i västra delen av området främst av lera av torrskorpekaraktär som i någon enstaka punkt på större djup övergår till lera med lägre skjuvhållfasthet. I området med torv har främst lera utan torrskorpekaraktär noterats. Den totala lermäktigheten uppgår till mellan ca 0,4 – 5,2 m. </w:t>
      </w:r>
    </w:p>
    <w:p>
      <w:pPr>
        <w:rPr>
          <w:shd w:val="clear" w:color="auto" w:fill="FFFFFF"/>
        </w:rPr>
      </w:pPr>
      <w:r>
        <w:rPr>
          <w:shd w:val="clear" w:color="auto" w:fill="FFFFFF"/>
        </w:rPr>
        <w:t xml:space="preserve">Friktionsjordens mäktighet varierar i undersökta punkter mellan ca 0,4 – 8,6 m. Friktionsjorden utgörs av främst av grusig sand/grusig sandig morän och benämns som medelfast till fast. Ett flertal block har genomborrats vid sondering i friktionsjorden. </w:t>
      </w:r>
    </w:p>
    <w:p>
      <w:pPr>
        <w:rPr>
          <w:shd w:val="clear" w:color="auto" w:fill="FFFFFF"/>
        </w:rPr>
      </w:pPr>
      <w:r>
        <w:rPr>
          <w:shd w:val="clear" w:color="auto" w:fill="FFFFFF"/>
        </w:rPr>
        <w:t>Berget har inte undersökts närmare men bedöms delvis vara sprucket utifrån utförda jordbergsonderingar ner i berg.</w:t>
      </w:r>
    </w:p>
    <w:p>
      <w:pPr>
        <w:rPr>
          <w:shd w:val="clear" w:color="auto" w:fill="FFFFFF"/>
        </w:rPr>
      </w:pPr>
      <w:r>
        <w:rPr>
          <w:shd w:val="clear" w:color="auto" w:fill="FFFFFF"/>
        </w:rPr>
        <w:t xml:space="preserve">Marknivån varierar i undersökta punkter mellan +34,2 och +46,8. De lägsta marknivåerna återfinns i det västliga lerområdet för att öka österut. </w:t>
      </w:r>
    </w:p>
    <w:p>
      <w:pPr>
        <w:rPr>
          <w:shd w:val="clear" w:color="auto" w:fill="FFFFFF"/>
        </w:rPr>
      </w:pPr>
      <w:r>
        <w:rPr>
          <w:shd w:val="clear" w:color="auto" w:fill="FFFFFF"/>
        </w:rPr>
        <w:t>I området kring den tidigare schaktmass</w:t>
      </w:r>
      <w:r>
        <w:rPr>
          <w:rFonts w:eastAsiaTheme="minorEastAsia"/>
        </w:rPr>
        <w:t xml:space="preserve">deponin </w:t>
      </w:r>
      <w:r>
        <w:rPr>
          <w:shd w:val="clear" w:color="auto" w:fill="FFFFFF"/>
        </w:rPr>
        <w:t xml:space="preserve">har ca 3,5 – 4 m fyllnadsmaterial påträffats överlagrandes 1,9 – 4,3 m kohesionsjord. Nedanför deponins slänt i väster har ca 1 – 3,8 m kohesionsjord påträffats ovan friktionsjorden. Kohesionsjorden utgörs överst av ca 1,8 m torrskorpelera och lermäktigheten ökar i sydvästlig riktning. </w:t>
      </w:r>
    </w:p>
    <w:p>
      <w:pPr>
        <w:rPr>
          <w:shd w:val="clear" w:color="auto" w:fill="FFFFFF"/>
        </w:rPr>
      </w:pPr>
      <w:r>
        <w:rPr>
          <w:shd w:val="clear" w:color="auto" w:fill="FFFFFF"/>
        </w:rPr>
        <w:t>Den miljötekniska undersökningen i området visar att berggrunden inte innehåller förhöjda halter av svavel i de fyra undersökta borrpunkterna. Berget bedöms i dessa punkter inte vara sulfidförande berg. Det innebär att berg som krossas upp och finfördelas sannolikt inte är försurande vid oxidation och ursköljning. Dock kan det inte uteslutas att det finns partier med sulfidinnehållande mineral i andra delar av berggrunden på fastigheten som ej undersökts.</w:t>
      </w:r>
      <w:r>
        <w:rPr>
          <w:rFonts w:ascii="Arial" w:hAnsi="Arial" w:cs="Arial"/>
          <w:sz w:val="20"/>
          <w:szCs w:val="20"/>
        </w:rPr>
        <w:t xml:space="preserve"> </w:t>
      </w:r>
      <w:r>
        <w:rPr>
          <w:shd w:val="clear" w:color="auto" w:fill="FFFFFF"/>
        </w:rPr>
        <w:t>I samband med bergschakt rekommenderas kompletterande undersökningar.</w:t>
      </w:r>
    </w:p>
    <w:p>
      <w:pPr>
        <w:rPr>
          <w:i w:val="1"/>
          <w:iCs w:val="1"/>
        </w:rPr>
      </w:pPr>
      <w:r>
        <w:rPr>
          <w:shd w:val="clear" w:color="auto" w:fill="FFFFFF"/>
        </w:rPr>
        <w:t xml:space="preserve">Marken i området bör kunna absorbera delar av smält- och regnvatten för lokalt omhändertagande av dagvatten. Särskilt i högre belägna ytor med större mäktigheter friktionsjord, dock spelar många faktorer in som exempelvis grundvattennivå. Utförda siktanalyser visar relativt höga halter av finmaterial vilket innebär att den förutsättningarna för infiltration är begränsade. </w:t>
      </w:r>
      <w:r>
        <w:t xml:space="preserve">En hydrogeologisk beskrivning har tagits fram för området (Sweco, 2025), se vidare </w:t>
      </w:r>
      <w:r>
        <w:rPr>
          <w:i w:val="1"/>
          <w:iCs w:val="1"/>
        </w:rPr>
        <w:t>Hydrogeologiska förhållanden.</w:t>
      </w:r>
      <w:bookmarkEnd w:id="73"/>
    </w:p>
    <w:p>
      <w:pPr>
        <w:pStyle w:val="P2"/>
        <w:rPr>
          <w:rFonts w:eastAsia="Arial"/>
          <w:color w:val="000000" w:themeColor="text1"/>
        </w:rPr>
      </w:pPr>
      <w:bookmarkStart w:id="74" w:name="_Toc1194230974"/>
      <w:bookmarkStart w:id="75" w:name="pf_hydrologiskaförhållanden01"/>
      <w:r>
        <w:rPr>
          <w:rFonts w:eastAsia="Arial"/>
          <w:color w:val="000000" w:themeColor="text1"/>
          <w:lang w:eastAsia="sv-SE"/>
        </w:rPr>
        <w:t>Hydrogeologiska förhållanden</w:t>
      </w:r>
      <w:bookmarkEnd w:id="74"/>
      <w:r>
        <w:rPr>
          <w:rFonts w:eastAsia="Arial"/>
          <w:color w:val="000000" w:themeColor="text1"/>
        </w:rPr>
        <w:t xml:space="preserve"> </w:t>
      </w:r>
    </w:p>
    <w:p>
      <w:pPr>
        <w:rPr>
          <w:shd w:val="clear" w:color="auto" w:fill="FFFFFF"/>
        </w:rPr>
      </w:pPr>
      <w:bookmarkEnd w:id="43"/>
      <w:bookmarkEnd w:id="44"/>
      <w:bookmarkEnd w:id="45"/>
      <w:bookmarkEnd w:id="58"/>
      <w:bookmarkEnd w:id="59"/>
      <w:bookmarkEnd w:id="60"/>
      <w:bookmarkStart w:id="76" w:name="_Toc153284652"/>
      <w:r>
        <w:rPr>
          <w:shd w:val="clear" w:color="auto" w:fill="FFFFFF"/>
        </w:rPr>
        <w:t>En hydrogeologisk beskrivning har tagits fram av Sweco under 2025.</w:t>
      </w:r>
    </w:p>
    <w:p>
      <w:pPr>
        <w:rPr>
          <w:rFonts w:eastAsia="Arial"/>
          <w:lang w:eastAsia="sv-SE"/>
        </w:rPr>
      </w:pPr>
      <w:r>
        <w:rPr>
          <w:rFonts w:eastAsia="Arial"/>
          <w:lang w:eastAsia="sv-SE"/>
        </w:rPr>
        <w:t>Grundvattnets trycknivå kan skilja sig från grundvattenytans nivå i de fall då grundvattnet har ett övertryck. Detta orsakas av ett tätt lager (vanligen lera) som ligger ovanför det vattenförande lagret, i detta fall moränen. I grundvattenrör kan grundvattnets trycknivå mätas då röret låter vattnet stiga till dess obegränsade nivå. Där det inte finns ett tätt lager ovan grundvattnet är grundvattennivån och trycknivån densamma.</w:t>
      </w:r>
    </w:p>
    <w:p>
      <w:pPr>
        <w:rPr>
          <w:rFonts w:eastAsia="Arial"/>
          <w:lang w:eastAsia="sv-SE"/>
        </w:rPr>
      </w:pPr>
      <w:r>
        <w:rPr>
          <w:rFonts w:eastAsia="Arial"/>
          <w:lang w:eastAsia="sv-SE"/>
        </w:rPr>
        <w:t xml:space="preserve">Grundvattenmätningar har dels utförts i tre grundvattenrör som installerades 2021 (BEF01, BEF02, BEF03). Mätningar gjordes femton gånger med oregelbundna intervall från hösten 2021 till våren 2024. Utöver de grundvattenrören har även vattennivån i befintligt dike observerats vid några tillfällen. Under våren 2025 installerades ytterligare två grundvattenrör (25B04GV, 25B05GV) och därefter har sex mätningar gjorts (fram till och med augusti 2025). </w:t>
      </w:r>
    </w:p>
    <w:p>
      <w:pPr>
        <w:rPr>
          <w:rFonts w:eastAsia="Arial"/>
          <w:lang w:eastAsia="sv-SE"/>
        </w:rPr>
      </w:pPr>
      <w:r>
        <w:rPr>
          <w:rFonts w:eastAsia="Arial"/>
          <w:lang w:eastAsia="sv-SE"/>
        </w:rPr>
        <w:t>De högsta trycknivåerna har uppmätts i BEF01 som är det grundvattenrör som ligger högst i terrängen (på markyta +44). Uppmätta grundvattennivåer i fyra av de fem mätpunkterna har en medeltrycknivå som ligger ungefär 1 meter under markytan, medan BEF03 sticker ut med en medelnivå nära markytan (+35). Grundvattnets trycknivåer och strömningsriktningen kan därmed antas följa topografi, vilket innebär att flödet både går åt nordost och sydväst med en grundvattendelare längs med höjdryggen.</w:t>
      </w:r>
    </w:p>
    <w:p>
      <w:pPr>
        <w:rPr>
          <w:rFonts w:eastAsia="Arial"/>
          <w:lang w:eastAsia="sv-SE"/>
        </w:rPr>
      </w:pPr>
      <w:r>
        <w:rPr>
          <w:rFonts w:eastAsia="Arial"/>
          <w:lang w:eastAsia="sv-SE"/>
        </w:rPr>
        <w:t xml:space="preserve">Den högre belägna terrängen utgörs huvudsakligen av morän och berg i dagen, medan den lägre belägna terrängen åt nordöst och sydväst utgörs av lera i markytan som underlagras av morän. Sannolikt står moränen som är belägen under leran i kontakt med moränen i höjdområdet och utgör ett sammanhängande magasin på vardera sida om grundvattendelaren. Fyllningsjorden i deponiområdet står sannolikt också i kontakt med moränen och deponins höjd gör att grundvattenflödet trycks västerut i detta område, vilket förklarar de höga nivåerna i BEF03. </w:t>
      </w:r>
    </w:p>
    <w:p>
      <w:pPr>
        <w:rPr>
          <w:rFonts w:eastAsia="Arial"/>
          <w:lang w:eastAsia="sv-SE"/>
        </w:rPr>
      </w:pPr>
      <w:r>
        <w:rPr>
          <w:rFonts w:eastAsia="Arial"/>
          <w:lang w:eastAsia="sv-SE"/>
        </w:rPr>
        <w:t xml:space="preserve">Grundvattnet är inte utpekat som en vattenförekomst och skyddas inte av något vattenskyddsområde. </w:t>
      </w:r>
    </w:p>
    <w:p>
      <w:pPr>
        <w:rPr>
          <w:rFonts w:eastAsia="Arial"/>
          <w:noProof w:val="1"/>
          <w:sz w:val="4"/>
          <w:szCs w:val="4"/>
          <w:lang w:eastAsia="sv-SE"/>
        </w:rPr>
      </w:pPr>
    </w:p>
    <w:p>
      <w:pPr>
        <w:pStyle w:val="P60"/>
        <w:rPr>
          <w:rFonts w:eastAsia="Arial"/>
          <w:color w:val="000000" w:themeColor="text1"/>
          <w:lang w:eastAsia="sv-SE"/>
        </w:rPr>
      </w:pPr>
      <w:r>
        <w:rPr>
          <w:noProof w:val="1"/>
        </w:rPr>
        <w:drawing>
          <wp:inline xmlns:wp="http://schemas.openxmlformats.org/drawingml/2006/wordprocessingDrawing" distT="0" distB="0" distL="0" distR="0">
            <wp:extent cx="4720590" cy="4558665"/>
            <wp:effectExtent l="0" t="0" r="3810" b="0"/>
            <wp:docPr id="499770970" name="Bildobjekt 12" descr="P26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70970" name="Bildobjekt 12" descr="P269#yIS1"/>
                    <pic:cNvPicPr/>
                  </pic:nvPicPr>
                  <pic:blipFill dpi="0">
                    <a:blip xmlns:r="http://schemas.openxmlformats.org/officeDocument/2006/relationships" r:embed="Relimage19"/>
                    <a:srcRect l="13477" t="21427" r="31352" b="40886"/>
                    <a:stretch>
                      <a:fillRect/>
                    </a:stretch>
                  </pic:blipFill>
                  <pic:spPr bwMode="auto">
                    <a:xfrm>
                      <a:off x="0" y="0"/>
                      <a:ext cx="4720925" cy="4559248"/>
                    </a:xfrm>
                    <a:prstGeom prst="rect"/>
                    <a:ln>
                      <a:noFill/>
                    </a:ln>
                  </pic:spPr>
                </pic:pic>
              </a:graphicData>
            </a:graphic>
          </wp:inline>
        </w:drawing>
      </w:r>
      <w:r>
        <w:rPr>
          <w:rFonts w:eastAsia="Arial"/>
          <w:noProof w:val="1"/>
          <w:color w:val="000000" w:themeColor="text1"/>
          <w:lang w:eastAsia="sv-SE"/>
        </w:rPr>
        <w:t xml:space="preserve">   </w:t>
      </w:r>
      <w:r>
        <w:rPr>
          <w:noProof w:val="1"/>
        </w:rPr>
        <w:drawing>
          <wp:inline xmlns:wp="http://schemas.openxmlformats.org/drawingml/2006/wordprocessingDrawing" distT="0" distB="0" distL="0" distR="0">
            <wp:extent cx="1847850" cy="998220"/>
            <wp:effectExtent l="0" t="0" r="0" b="0"/>
            <wp:docPr id="701792101" name="Bildobjekt 12" descr="P269#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792101" name="Bildobjekt 12" descr="P269#yIS2"/>
                    <pic:cNvPicPr/>
                  </pic:nvPicPr>
                  <pic:blipFill dpi="0">
                    <a:blip xmlns:r="http://schemas.openxmlformats.org/officeDocument/2006/relationships" r:embed="Relimage19"/>
                    <a:srcRect l="13226" t="64548" r="57174" b="24137"/>
                    <a:stretch>
                      <a:fillRect/>
                    </a:stretch>
                  </pic:blipFill>
                  <pic:spPr bwMode="auto">
                    <a:xfrm>
                      <a:off x="0" y="0"/>
                      <a:ext cx="1847850" cy="998629"/>
                    </a:xfrm>
                    <a:prstGeom prst="rect"/>
                    <a:ln>
                      <a:noFill/>
                    </a:ln>
                  </pic:spPr>
                </pic:pic>
              </a:graphicData>
            </a:graphic>
          </wp:inline>
        </w:drawing>
      </w:r>
    </w:p>
    <w:p>
      <w:pPr>
        <w:pStyle w:val="P60"/>
        <w:rPr>
          <w:rFonts w:eastAsia="Arial"/>
          <w:color w:val="000000" w:themeColor="text1"/>
        </w:rPr>
      </w:pPr>
      <w:bookmarkStart w:id="77" w:name="_Ref182917221"/>
      <w:r>
        <w:rPr>
          <w:rFonts w:eastAsia="Arial"/>
          <w:color w:val="000000" w:themeColor="text1"/>
        </w:rPr>
        <w:t xml:space="preserve">Figur </w:t>
      </w:r>
      <w:bookmarkEnd w:id="77"/>
      <w:r>
        <w:rPr>
          <w:rFonts w:eastAsia="Arial"/>
          <w:color w:val="000000" w:themeColor="text1"/>
        </w:rPr>
        <w:t>17: Jordartskarta i området från SGU:s Jordartskarta (SGU, 2025) med markerade grundvattenrör samt maximalt uppmätta trycknivåer i grundvattnet kring planområdet (Sweco). Ungefärlig utbredning av planområde och strukturförslag redovisat.</w:t>
      </w:r>
    </w:p>
    <w:p>
      <w:pPr>
        <w:pStyle w:val="P2"/>
        <w:rPr>
          <w:rFonts w:eastAsia="Arial"/>
          <w:lang w:eastAsia="sv-SE"/>
        </w:rPr>
      </w:pPr>
      <w:bookmarkEnd w:id="75"/>
      <w:bookmarkStart w:id="78" w:name="_Toc583492161"/>
      <w:bookmarkStart w:id="79" w:name="pf_hälsaochsäkerhet01"/>
      <w:r>
        <w:rPr>
          <w:rFonts w:eastAsia="Arial"/>
          <w:lang w:eastAsia="sv-SE"/>
        </w:rPr>
        <w:t>Risker för människors hälsa och säkerhet</w:t>
      </w:r>
      <w:bookmarkEnd w:id="76"/>
      <w:bookmarkEnd w:id="78"/>
    </w:p>
    <w:p>
      <w:pPr>
        <w:pStyle w:val="P3"/>
        <w:rPr>
          <w:rFonts w:eastAsia="Arial"/>
        </w:rPr>
      </w:pPr>
      <w:bookmarkEnd w:id="79"/>
      <w:bookmarkStart w:id="80" w:name="_Toc89446039"/>
      <w:bookmarkStart w:id="81" w:name="_Toc90561193"/>
      <w:bookmarkStart w:id="82" w:name="pf_omgivningsbuller01"/>
      <w:r>
        <w:rPr>
          <w:rFonts w:eastAsia="Arial"/>
        </w:rPr>
        <w:t>O</w:t>
      </w:r>
      <w:bookmarkEnd w:id="80"/>
      <w:bookmarkEnd w:id="81"/>
      <w:r>
        <w:rPr>
          <w:rFonts w:eastAsia="Arial"/>
        </w:rPr>
        <w:t xml:space="preserve">mgivningsbuller </w:t>
      </w:r>
    </w:p>
    <w:p>
      <w:pPr>
        <w:rPr>
          <w:shd w:val="clear" w:color="auto" w:fill="FFFFFF"/>
        </w:rPr>
      </w:pPr>
      <w:r>
        <w:rPr>
          <w:shd w:val="clear" w:color="auto" w:fill="FFFFFF"/>
        </w:rPr>
        <w:t xml:space="preserve">En bullerutredning har tagits fram för området (Åkerlöf Hallin, 2025). Det </w:t>
      </w:r>
      <w:r>
        <w:rPr>
          <w:color w:val="auto"/>
          <w:shd w:val="clear" w:color="auto" w:fill="FFFFFF"/>
        </w:rPr>
        <w:t>förekommer buller från vägtrafik samt visst industri/verksamhetsbuller inom planområdet. Buller från trafik längs väg E4 och i viss mån järnvägen är lägre än 55 dB(A) ekvivalent ljudnivå inom planområdet. Närmast Brunnbyvägen ligger bullret från den lokala trafiken på högst 60 dB(A) ekvivalent ljudnivå.</w:t>
      </w:r>
    </w:p>
    <w:p>
      <w:pPr>
        <w:rPr>
          <w:shd w:val="clear" w:color="auto" w:fill="FFFFFF"/>
        </w:rPr>
      </w:pPr>
      <w:r>
        <w:rPr>
          <w:shd w:val="clear" w:color="auto" w:fill="FFFFFF"/>
        </w:rPr>
        <w:t>Ljudet från verksamheter och ventilationsanläggningar inom angränsande verksamhetsområde Ar i sydost, samt ljud från ett tidigare värmeverk (nuvarande pumpstation) nordost om planområdet överstiger inte 40 dB(A), riktvärdet för zon A enligt Boverkets allmänna råd, BFS 2020:2.</w:t>
      </w:r>
    </w:p>
    <w:p>
      <w:pPr>
        <w:pStyle w:val="P3"/>
        <w:rPr>
          <w:rFonts w:eastAsia="Arial"/>
          <w:color w:val="000000" w:themeColor="text1"/>
        </w:rPr>
      </w:pPr>
      <w:bookmarkEnd w:id="82"/>
      <w:bookmarkStart w:id="83" w:name="pf_radon01"/>
      <w:r>
        <w:rPr>
          <w:rFonts w:eastAsia="Arial"/>
          <w:color w:val="000000" w:themeColor="text1"/>
        </w:rPr>
        <w:t xml:space="preserve">Radon </w:t>
      </w:r>
    </w:p>
    <w:p>
      <w:pPr>
        <w:rPr>
          <w:rFonts w:eastAsia="Arial"/>
          <w:lang w:eastAsia="sv-SE"/>
        </w:rPr>
      </w:pPr>
      <w:r>
        <w:rPr>
          <w:shd w:val="clear" w:color="auto" w:fill="FFFFFF"/>
        </w:rPr>
        <w:t>En radodonmätning har genomförts (Bjerking, 2025). Låga till höga radonhalter har uppmätts. Marken klassificeras i nuläget som högradonmark.</w:t>
      </w:r>
    </w:p>
    <w:p>
      <w:pPr>
        <w:pStyle w:val="P3"/>
      </w:pPr>
      <w:bookmarkEnd w:id="83"/>
      <w:bookmarkStart w:id="84" w:name="pf_riskförolyckor01"/>
      <w:r>
        <w:t>Olyckor</w:t>
      </w:r>
    </w:p>
    <w:p>
      <w:pPr>
        <w:rPr>
          <w:color w:val="auto"/>
          <w:shd w:val="clear" w:color="auto" w:fill="FFFFFF"/>
        </w:rPr>
      </w:pPr>
      <w:r>
        <w:rPr>
          <w:color w:val="auto"/>
          <w:shd w:val="clear" w:color="auto" w:fill="FFFFFF"/>
        </w:rPr>
        <w:t>En riskutredning med kompletterande Risk-PM har tagits fram för området (Briab, 2021/2025). Riskkällor som angränsar till planområdet är verksamhetsområdet Ar och kraftledning mellan Pleninge-Odensala.</w:t>
      </w:r>
    </w:p>
    <w:p>
      <w:pPr>
        <w:rPr>
          <w:color w:val="auto"/>
          <w:lang w:eastAsia="sv-SE"/>
        </w:rPr>
      </w:pPr>
      <w:r>
        <w:rPr>
          <w:color w:val="auto"/>
          <w:lang w:eastAsia="sv-SE"/>
        </w:rPr>
        <w:t>Planområdet ligger i anslutning till verksamhetsområdet Ar som är planlagt för industri, lager, restaurang, hantverk, kontor samt handel, och syftar till att stödja en utveckling mot en större andel mer personintensiva tjänsteföretag framför tyngre tillverkningsindustri. Gällande plan för norra delen av Ar innehåller en buffertzon av naturmark på 30-50 meter mot fastigheten Vrå 3:1.</w:t>
      </w:r>
    </w:p>
    <w:p>
      <w:pPr>
        <w:rPr>
          <w:color w:val="auto"/>
          <w:lang w:eastAsia="sv-SE"/>
        </w:rPr>
      </w:pPr>
      <w:r>
        <w:rPr>
          <w:color w:val="auto"/>
          <w:lang w:eastAsia="sv-SE"/>
        </w:rPr>
        <w:t xml:space="preserve">Verksamheter som inte hanterar giftiga gaser, större mängder av brandfarliga gaser eller produkter som ger särskilt giftig brandrök rekommenderas ett skyddsavstånd till kvartersmark för bostäder om 50 meter. Verksamheter som hanterar giftiga gaser eller produkter som ger särskilt giftig brandrök rekommenderas ett skyddsavstånd om minst 75 meter och drivmedelsstation med fordonsgas rekommenderas ha ett skyddsavstånd på 100 meter. </w:t>
      </w:r>
      <w:bookmarkEnd w:id="84"/>
    </w:p>
    <w:p>
      <w:pPr>
        <w:pStyle w:val="P3"/>
      </w:pPr>
      <w:bookmarkStart w:id="85" w:name="pf_elektromagnetiskstrålning01"/>
      <w:r>
        <w:t>Elektromagnetisk strålning</w:t>
      </w:r>
    </w:p>
    <w:p>
      <w:pPr>
        <w:rPr>
          <w:color w:val="auto"/>
          <w:shd w:val="clear" w:color="auto" w:fill="FFFFFF"/>
        </w:rPr>
      </w:pPr>
      <w:r>
        <w:rPr>
          <w:color w:val="auto"/>
          <w:shd w:val="clear" w:color="auto" w:fill="FFFFFF"/>
        </w:rPr>
        <w:t xml:space="preserve">Svenska kraftnät har ett pågående projekt för en ny dubbel 400 kV luftledning mellan planerad transformatorstation Plenninge i Uppsala kommun och transformatorstation Odensala i Sigtuna kommun. Den nya kraftledningen kommer att lokaliseras längs med befintligt kraftledningsstråk som passerar direkt öster om planområdet. Kraftledningar ger upphov till magnetfält och magnetfältets utbredning invid en ledning beror på ett antal faktorer såsom avståndet till ledningen, ledningens tekniska utformning, till exempel höjd i relation till fastigheten och fasavstånd, och strömlaster. Utbredningen är som längst 120 meter för vinkelstolpar, vilka används där kraftledningen byter riktning. I övrigt är utbredningen mellan 55 och 85 meter, beroende på stolputformning. </w:t>
      </w:r>
    </w:p>
    <w:p>
      <w:pPr>
        <w:pStyle w:val="P3"/>
      </w:pPr>
      <w:bookmarkEnd w:id="85"/>
      <w:bookmarkStart w:id="86" w:name="pf_riskföröversvämning01"/>
      <w:r>
        <w:t xml:space="preserve">Översvämning </w:t>
      </w:r>
    </w:p>
    <w:p>
      <w:pPr>
        <w:rPr>
          <w:color w:val="auto"/>
          <w:shd w:val="clear" w:color="auto" w:fill="FFFFFF"/>
        </w:rPr>
      </w:pPr>
      <w:r>
        <w:rPr>
          <w:color w:val="auto"/>
          <w:shd w:val="clear" w:color="auto" w:fill="FFFFFF"/>
        </w:rPr>
        <w:t>En översiktlig analys av ett skyfallsscenario (Sweco, 2025) har gjorts utifrån ett 100-årsregn med 60 minuters varaktighet och klimatfaktor om 25%</w:t>
      </w:r>
      <w:r>
        <w:rPr>
          <w:rFonts w:ascii="Arial" w:hAnsi="Arial" w:cs="Arial"/>
          <w:color w:val="000000"/>
          <w:sz w:val="18"/>
          <w:szCs w:val="18"/>
        </w:rPr>
        <w:t xml:space="preserve"> </w:t>
      </w:r>
      <w:r>
        <w:rPr>
          <w:color w:val="auto"/>
          <w:shd w:val="clear" w:color="auto" w:fill="FFFFFF"/>
        </w:rPr>
        <w:t xml:space="preserve">utifrån rekommendationer från P110 (Svenskt Vatten, 2016). Detta motsvarar en nederbörd på 68 mm, vilket har analyserats för att identifiera vilka områden som, med befintlig höjdsättning, riskerar att översvämmas med vatten vid stora regn. För denna belastning gäller även antagandet att ledningsnätet inte avbördar något vatten samt att infiltration på genomsläppliga ytor inte sker. </w:t>
      </w:r>
    </w:p>
    <w:p>
      <w:pPr>
        <w:rPr>
          <w:color w:val="auto"/>
          <w:shd w:val="clear" w:color="auto" w:fill="FFFFFF"/>
        </w:rPr>
      </w:pPr>
      <w:r>
        <w:rPr>
          <w:color w:val="auto"/>
          <w:shd w:val="clear" w:color="auto" w:fill="FFFFFF"/>
        </w:rPr>
        <w:t>Enligt analysen finns ett antal naturliga lågpunkter inom naturmarken i södra respektive nordvästra delen av planområdet. Det finns även en mindre lågpunkt vid tidigare deponiområde.</w:t>
      </w:r>
    </w:p>
    <w:p>
      <w:pPr>
        <w:pStyle w:val="P60"/>
        <w:rPr>
          <w:color w:val="000000" w:themeColor="text1"/>
          <w:shd w:val="clear" w:color="auto" w:fill="FFFFFF"/>
        </w:rPr>
      </w:pPr>
      <w:r>
        <w:rPr>
          <w:noProof w:val="1"/>
          <w:shd w:val="clear" w:color="auto" w:fill="FFFFFF"/>
        </w:rPr>
        <w:drawing>
          <wp:inline xmlns:wp="http://schemas.openxmlformats.org/drawingml/2006/wordprocessingDrawing" distT="0" distB="0" distL="0" distR="0">
            <wp:extent cx="4862830" cy="2870835"/>
            <wp:effectExtent l="0" t="0" r="0" b="5715"/>
            <wp:docPr id="774419105" name="Bildobjekt 6" descr="P2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419105" name="Bildobjekt 6" descr="P286#yIS1"/>
                    <pic:cNvPicPr/>
                  </pic:nvPicPr>
                  <pic:blipFill dpi="0">
                    <a:blip xmlns:r="http://schemas.openxmlformats.org/officeDocument/2006/relationships" r:embed="Relimage20"/>
                    <a:srcRect l="9722" t="56167" r="31364" b="19240"/>
                    <a:stretch>
                      <a:fillRect/>
                    </a:stretch>
                  </pic:blipFill>
                  <pic:spPr bwMode="auto">
                    <a:xfrm>
                      <a:off x="0" y="0"/>
                      <a:ext cx="4890295" cy="2886737"/>
                    </a:xfrm>
                    <a:prstGeom prst="rect"/>
                    <a:ln>
                      <a:noFill/>
                    </a:ln>
                  </pic:spPr>
                </pic:pic>
              </a:graphicData>
            </a:graphic>
          </wp:inline>
        </w:drawing>
      </w:r>
      <w:r>
        <w:rPr>
          <w:color w:val="000000" w:themeColor="text1"/>
          <w:shd w:val="clear" w:color="auto" w:fill="FFFFFF"/>
        </w:rPr>
        <w:t xml:space="preserve">Figur 18: Vattendjup i lokala lågpunkter vid kraftig nederbörd enligt skyfallsanalys. </w:t>
      </w:r>
      <w:r>
        <w:rPr>
          <w:color w:val="000000" w:themeColor="text1"/>
        </w:rPr>
        <w:t>Utredningsområde</w:t>
      </w:r>
      <w:r>
        <w:rPr>
          <w:color w:val="000000" w:themeColor="text1"/>
          <w:shd w:val="clear" w:color="auto" w:fill="FFFFFF"/>
        </w:rPr>
        <w:t xml:space="preserve"> redovisas med svart linje. (Sweco)</w:t>
      </w:r>
    </w:p>
    <w:p>
      <w:pPr>
        <w:pStyle w:val="P3"/>
        <w:rPr>
          <w:color w:val="000000" w:themeColor="text1"/>
        </w:rPr>
      </w:pPr>
      <w:bookmarkEnd w:id="86"/>
      <w:bookmarkStart w:id="87" w:name="pf_riskförerosion01"/>
      <w:bookmarkStart w:id="88" w:name="pf_riskförskred01"/>
      <w:bookmarkStart w:id="89" w:name="pf_riskförras01"/>
      <w:r>
        <w:rPr>
          <w:color w:val="000000" w:themeColor="text1"/>
        </w:rPr>
        <w:t>Erosion/ skred / ras</w:t>
      </w:r>
    </w:p>
    <w:p>
      <w:pPr>
        <w:rPr>
          <w:shd w:val="clear" w:color="auto" w:fill="FFFFFF"/>
        </w:rPr>
      </w:pPr>
      <w:r>
        <w:rPr>
          <w:shd w:val="clear" w:color="auto" w:fill="FFFFFF"/>
        </w:rPr>
        <w:t xml:space="preserve">Enligt den geoteknisk undersökningen (Bjerking, 2025) bedöms den naturliga totalstabiliteten i området generellt som god med hänsyn till det ytliga berget och moränjorden som inte är känsliga för tillskottslast. I den västra delen där lera förekommer bedöms det att besvärande sättningar kan uppkomma beroende på markåtgärder. </w:t>
      </w:r>
    </w:p>
    <w:p>
      <w:pPr>
        <w:rPr>
          <w:shd w:val="clear" w:color="auto" w:fill="FFFFFF"/>
        </w:rPr>
      </w:pPr>
      <w:r>
        <w:rPr>
          <w:shd w:val="clear" w:color="auto" w:fill="FFFFFF"/>
        </w:rPr>
        <w:t xml:space="preserve">Risk för skred är främst kopplad till det den tidigare schaktmassdeponin, och eventuella nya massupplag, schaktning och andra markåtgärder. Lermäktigheterna har påträffats under delar av den tidigare deponin. </w:t>
      </w:r>
      <w:bookmarkEnd w:id="87"/>
      <w:bookmarkEnd w:id="88"/>
      <w:bookmarkEnd w:id="89"/>
    </w:p>
    <w:p>
      <w:pPr>
        <w:pStyle w:val="P3"/>
        <w:rPr>
          <w:rFonts w:eastAsia="Arial"/>
        </w:rPr>
      </w:pPr>
      <w:bookmarkStart w:id="90" w:name="pf_dagvatten01"/>
      <w:r>
        <w:rPr>
          <w:rFonts w:eastAsia="Arial"/>
        </w:rPr>
        <w:t>Dagvatten</w:t>
      </w:r>
    </w:p>
    <w:p>
      <w:pPr>
        <w:rPr>
          <w:color w:val="auto"/>
          <w:shd w:val="clear" w:color="auto" w:fill="FFFFFF"/>
        </w:rPr>
      </w:pPr>
      <w:r>
        <w:rPr>
          <w:color w:val="auto"/>
          <w:shd w:val="clear" w:color="auto" w:fill="FFFFFF"/>
        </w:rPr>
        <w:t xml:space="preserve">En dagvatten- och skyfallsutredning har tagits fram för området (Sweco, 2025). Avvattningen från området sker i huvudsak i två riktningar men samlas upp i ett befintligt </w:t>
      </w:r>
      <w:r>
        <w:rPr>
          <w:shd w:val="clear" w:color="auto" w:fill="FFFFFF"/>
        </w:rPr>
        <w:t xml:space="preserve">markavvattningsföretag (Sättra – Brännkärr – Träfallet), precis öster om planområdet. Avrinning från den västra delen av planområdet rinner via ett dike och mynnar ut i en befintlig dagvattendamm nordväst om planområdet. Efter dammen rinner vattnet vidare norrut via naturmark och sedan österut till markavattningsföretaget. Avrinningen österut rinner direkt mot markavvattningsföretaget. </w:t>
      </w:r>
    </w:p>
    <w:p>
      <w:pPr>
        <w:rPr>
          <w:color w:val="auto"/>
          <w:shd w:val="clear" w:color="auto" w:fill="FFFFFF"/>
        </w:rPr>
      </w:pPr>
      <w:r>
        <w:rPr>
          <w:noProof w:val="1"/>
        </w:rPr>
        <w:drawing>
          <wp:inline xmlns:wp="http://schemas.openxmlformats.org/drawingml/2006/wordprocessingDrawing" distT="0" distB="0" distL="0" distR="0">
            <wp:extent cx="3926205" cy="4038600"/>
            <wp:effectExtent l="0" t="0" r="0" b="0"/>
            <wp:docPr id="1389233593" name="Bildobjekt 1" descr="P29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33593" name="Bildobjekt 1" descr="P292#yIS1"/>
                    <pic:cNvPicPr/>
                  </pic:nvPicPr>
                  <pic:blipFill dpi="0">
                    <a:blip xmlns:r="http://schemas.openxmlformats.org/officeDocument/2006/relationships" r:embed="Relimage21"/>
                    <a:srcRect/>
                    <a:stretch>
                      <a:fillRect/>
                    </a:stretch>
                  </pic:blipFill>
                  <pic:spPr>
                    <a:xfrm>
                      <a:off x="0" y="0"/>
                      <a:ext cx="3944509" cy="4056795"/>
                    </a:xfrm>
                    <a:prstGeom prst="rect"/>
                  </pic:spPr>
                </pic:pic>
              </a:graphicData>
            </a:graphic>
          </wp:inline>
        </w:drawing>
      </w:r>
    </w:p>
    <w:p>
      <w:pPr>
        <w:pStyle w:val="P60"/>
        <w:rPr>
          <w:color w:val="000000" w:themeColor="text1"/>
          <w:shd w:val="clear" w:color="auto" w:fill="FFFFFF"/>
        </w:rPr>
      </w:pPr>
      <w:r>
        <w:rPr>
          <w:color w:val="000000" w:themeColor="text1"/>
          <w:shd w:val="clear" w:color="auto" w:fill="FFFFFF"/>
        </w:rPr>
        <w:t xml:space="preserve">Figur 19: Avrinning och lågpunkter inom och i anslutning till planområdet utifrån befintliga höjder. </w:t>
      </w:r>
      <w:r>
        <w:rPr>
          <w:color w:val="000000" w:themeColor="text1"/>
        </w:rPr>
        <w:t>Utredningsområde</w:t>
      </w:r>
      <w:r>
        <w:rPr>
          <w:color w:val="000000" w:themeColor="text1"/>
          <w:shd w:val="clear" w:color="auto" w:fill="FFFFFF"/>
        </w:rPr>
        <w:t xml:space="preserve"> redovisas med blå linje. (Sweco)</w:t>
      </w:r>
    </w:p>
    <w:p>
      <w:pPr>
        <w:rPr>
          <w:shd w:val="clear" w:color="auto" w:fill="FFFFFF"/>
        </w:rPr>
      </w:pPr>
      <w:r>
        <w:rPr>
          <w:shd w:val="clear" w:color="auto" w:fill="FFFFFF"/>
        </w:rPr>
        <w:t>I planområdets sydvästra hörn, intill Brunnbyvägen, finns en befintlig mindre dagvattendamm. Närliggande mark inklusive Brunnbyvägens diken, avvattnas till den befintliga dagvattendammen. Den mindre dammen är via ledning och diken ansluten till den större dammen nordväst om planområdet.</w:t>
      </w:r>
    </w:p>
    <w:p>
      <w:pPr>
        <w:rPr>
          <w:shd w:val="clear" w:color="auto" w:fill="FFFFFF"/>
        </w:rPr>
      </w:pPr>
      <w:r>
        <w:rPr>
          <w:shd w:val="clear" w:color="auto" w:fill="FFFFFF"/>
        </w:rPr>
        <w:t xml:space="preserve">Markavvattningsföretaget Sättra – Brännkärr – Träfallet utgörs av den del av Lövstaån som tillsammans med sjön Valloxen är recipient för dagvattnet från planområdet. En utredning av påverkan på Sättra – Brännkärr - Träfallet dikningsföretag 1955 har genomförts (Tyrens, 2025). </w:t>
      </w:r>
      <w:r>
        <w:t>Utredningen visar att dagvatten släpps till dikningsföretaget utan formell hantering. Dikningsföretaget har en vattenanläggning dimensionerad för ett flöde av 0,8 l/s ha.</w:t>
      </w:r>
      <w:r>
        <w:rPr>
          <w:shd w:val="clear" w:color="auto" w:fill="FFFFFF"/>
        </w:rPr>
        <w:t xml:space="preserve"> Kapaciteten har förändrats över tid och flera kulverteringar har tillkommit, däribland under E4. En initial analys visar att markavvattningsföretaget bedöms ha en dimensionerade återkomsttid på cirka 2 år för ursprungliga förhållanden. Det nuvarande avrinningsområdet omfattar 802 hektar, varav 9 % är hårdgjorda ytor.</w:t>
      </w:r>
      <w:r>
        <w:rPr>
          <w:rFonts w:eastAsia="Arial"/>
        </w:rPr>
        <w:t xml:space="preserve"> </w:t>
      </w:r>
    </w:p>
    <w:p>
      <w:pPr>
        <w:rPr>
          <w:rFonts w:eastAsia="Arial"/>
        </w:rPr>
      </w:pPr>
      <w:r>
        <w:rPr>
          <w:rFonts w:eastAsia="Arial"/>
        </w:rPr>
        <w:t>I utredningen föreslås att en noggrann kapacitetsutredning av vattenanläggningen görs för att bedöma hur dagvattenflödena från Myrberget och angränsande detaljplan för Träfallet ska hanteras. Parallellt med planering av Myrberget och Träfallet pågår ett arbete att aktivera markavvattningsföretaget.</w:t>
      </w:r>
    </w:p>
    <w:p>
      <w:pPr>
        <w:rPr>
          <w:shd w:val="clear" w:color="auto" w:fill="FFFFFF"/>
        </w:rPr>
      </w:pPr>
      <w:r>
        <w:rPr>
          <w:rFonts w:eastAsia="Arial"/>
        </w:rPr>
        <w:t>Befintligt dagvattenledningsnät i Mejselgatan i Ar är anslutet till Gredelby vattenavledningsföretag. Företaget bildades år 1991 med syfte att säkerställa dagvattenavledningen från industristaden Ar i Knivsta till Trunsta träsk, detta då de äldre företagen var otillräckliga på grund av ändrade hydrologiska förhållanden genom tillkommande hårdgjorda ytor. I akten för markavvattningsföretaget framkommer att vattenavledningen är dimensionerad för återkomsttid 2 år utifrån då gällande förhållanden.</w:t>
      </w:r>
    </w:p>
    <w:p>
      <w:pPr>
        <w:pStyle w:val="P3"/>
        <w:rPr>
          <w:rFonts w:eastAsia="Arial"/>
          <w:color w:val="000000" w:themeColor="text1"/>
          <w:lang w:eastAsia="sv-SE"/>
        </w:rPr>
      </w:pPr>
      <w:bookmarkEnd w:id="90"/>
      <w:bookmarkStart w:id="91" w:name="pf_förorenadmark01"/>
      <w:r>
        <w:rPr>
          <w:rFonts w:eastAsia="Arial"/>
          <w:color w:val="000000" w:themeColor="text1"/>
          <w:lang w:eastAsia="sv-SE"/>
        </w:rPr>
        <w:t>Förorenad mark</w:t>
      </w:r>
    </w:p>
    <w:p>
      <w:pPr>
        <w:rPr>
          <w:color w:val="auto"/>
          <w:shd w:val="clear" w:color="auto" w:fill="FFFFFF"/>
        </w:rPr>
      </w:pPr>
      <w:r>
        <w:rPr>
          <w:color w:val="auto"/>
          <w:shd w:val="clear" w:color="auto" w:fill="FFFFFF"/>
        </w:rPr>
        <w:t>En miljöteknisk utredning (Geosigma, 2015) och en kompletterande miljöutredning för känslig markanvändning (KM) inom deponiområde (Rejlers, 2025) har tagits fram för området.</w:t>
      </w:r>
    </w:p>
    <w:p>
      <w:pPr>
        <w:rPr>
          <w:color w:val="auto"/>
          <w:lang w:eastAsia="sv-SE"/>
        </w:rPr>
      </w:pPr>
      <w:r>
        <w:rPr>
          <w:color w:val="auto"/>
          <w:lang w:eastAsia="sv-SE"/>
        </w:rPr>
        <w:t xml:space="preserve">Planområdet innefattar en tidigare avfallsdeponi för schaktmassor (mellan 1991-slutet av 90-talet) och betraktas som inert avfall / icke-farligt avfall. Organiskt avfall har inte deponerats. Efter avslutad användning utfördes ingen sluttäckning utan massorna fick ligga kvar i dagen. Se avsnitt </w:t>
      </w:r>
      <w:r>
        <w:rPr>
          <w:i w:val="1"/>
          <w:iCs w:val="1"/>
          <w:color w:val="auto"/>
          <w:lang w:eastAsia="sv-SE"/>
        </w:rPr>
        <w:t xml:space="preserve">Planeringsförutsättningar – Tidigare kommunala ställningstaganden - </w:t>
      </w:r>
      <w:r>
        <w:rPr>
          <w:i w:val="1"/>
          <w:iCs w:val="1"/>
          <w:color w:val="auto"/>
          <w:shd w:val="clear" w:color="auto" w:fill="FFFFFF"/>
        </w:rPr>
        <w:t>Beslut om förorenad mark</w:t>
      </w:r>
      <w:r>
        <w:rPr>
          <w:color w:val="auto"/>
          <w:shd w:val="clear" w:color="auto" w:fill="FFFFFF"/>
        </w:rPr>
        <w:t xml:space="preserve"> för beskrivning av genomförda åtgärder sedan avslutad deponiverksamhet.</w:t>
      </w:r>
    </w:p>
    <w:p>
      <w:pPr>
        <w:rPr>
          <w:color w:val="auto"/>
          <w:lang w:eastAsia="sv-SE"/>
        </w:rPr>
      </w:pPr>
      <w:r>
        <w:rPr>
          <w:color w:val="auto"/>
          <w:lang w:eastAsia="sv-SE"/>
        </w:rPr>
        <w:t>Två markmiljöundersökningar har genomförts sedan tippning av massor upphörde av Golder år 2007 samt av Geosigma år 2015. Utförda undersökningar visar generellt låga halter av föroreningar i schaktmassorna och under riktvärden för Känslig Markanvändning (KM), undantaget enstaka halter över KM eller Mindre Känslig Markanvändning (MKM).</w:t>
      </w:r>
    </w:p>
    <w:p>
      <w:pPr>
        <w:rPr>
          <w:color w:val="auto"/>
          <w:lang w:eastAsia="sv-SE"/>
        </w:rPr>
      </w:pPr>
      <w:r>
        <w:rPr>
          <w:color w:val="auto"/>
          <w:lang w:eastAsia="sv-SE"/>
        </w:rPr>
        <w:t>I Geosigmas undersökning från 2015 utfördes provtagning med provgropsgrävning i 8 provgropar fördelade på fastigheten Vrå 3:1, varav 6 stycken var lokaliserade på den f.d. deponin. I deponins västra utkant påträffades PAH-M och PAH-H i en punkt över KM respektive MKM. I övrigt var halterna låga och under riktvärden för KM. Vid Golders undersökning 2007 utfördes provtagning i 9 stycken provgropar ned till naturlig jord eller stopp mot berg/block. Generellt uttogs samlingsprov varje halvmeter. Kvicksilver observerades över KM i ett av tio analyserade jordprover. I övrigt var observerade halter under riktvärden för KM.</w:t>
      </w:r>
    </w:p>
    <w:p>
      <w:pPr>
        <w:rPr>
          <w:color w:val="auto"/>
          <w:lang w:eastAsia="sv-SE"/>
        </w:rPr>
      </w:pPr>
      <w:r>
        <w:rPr>
          <w:noProof w:val="1"/>
        </w:rPr>
        <w:drawing>
          <wp:inline xmlns:wp="http://schemas.openxmlformats.org/drawingml/2006/wordprocessingDrawing" distT="0" distB="0" distL="0" distR="0">
            <wp:extent cx="3299460" cy="2652395"/>
            <wp:effectExtent l="0" t="0" r="0" b="0"/>
            <wp:docPr id="2113075156" name="Bildobjekt 5" descr="P3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075156" name="Bildobjekt 5" descr="P303#yIS1"/>
                    <pic:cNvPicPr/>
                  </pic:nvPicPr>
                  <pic:blipFill dpi="0">
                    <a:blip xmlns:r="http://schemas.openxmlformats.org/officeDocument/2006/relationships" r:embed="Relimage22"/>
                    <a:srcRect l="3488" t="12751" r="38716" b="21519"/>
                    <a:stretch>
                      <a:fillRect/>
                    </a:stretch>
                  </pic:blipFill>
                  <pic:spPr bwMode="auto">
                    <a:xfrm>
                      <a:off x="0" y="0"/>
                      <a:ext cx="3338773" cy="2684146"/>
                    </a:xfrm>
                    <a:prstGeom prst="rect"/>
                    <a:ln>
                      <a:noFill/>
                    </a:ln>
                  </pic:spPr>
                </pic:pic>
              </a:graphicData>
            </a:graphic>
          </wp:inline>
        </w:drawing>
      </w:r>
      <w:r>
        <w:rPr>
          <w:noProof w:val="1"/>
        </w:rPr>
        <w:drawing>
          <wp:inline xmlns:wp="http://schemas.openxmlformats.org/drawingml/2006/wordprocessingDrawing" distT="0" distB="0" distL="0" distR="0">
            <wp:extent cx="1229995" cy="648335"/>
            <wp:effectExtent l="0" t="0" r="8255" b="0"/>
            <wp:docPr id="923657754" name="Bildobjekt 5" descr="P303#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657754" name="Bildobjekt 5" descr="P303#yIS2"/>
                    <pic:cNvPicPr/>
                  </pic:nvPicPr>
                  <pic:blipFill dpi="0">
                    <a:blip xmlns:r="http://schemas.openxmlformats.org/officeDocument/2006/relationships" r:embed="Relimage22"/>
                    <a:srcRect l="80209" t="22708" r="2220" b="64193"/>
                    <a:stretch>
                      <a:fillRect/>
                    </a:stretch>
                  </pic:blipFill>
                  <pic:spPr bwMode="auto">
                    <a:xfrm>
                      <a:off x="0" y="0"/>
                      <a:ext cx="1248909" cy="658188"/>
                    </a:xfrm>
                    <a:prstGeom prst="rect"/>
                    <a:ln>
                      <a:noFill/>
                    </a:ln>
                  </pic:spPr>
                </pic:pic>
              </a:graphicData>
            </a:graphic>
          </wp:inline>
        </w:drawing>
      </w:r>
    </w:p>
    <w:p>
      <w:pPr>
        <w:pStyle w:val="P60"/>
        <w:rPr>
          <w:color w:val="auto"/>
          <w:shd w:val="clear" w:color="auto" w:fill="FFFFFF"/>
        </w:rPr>
      </w:pPr>
      <w:r>
        <w:rPr>
          <w:color w:val="auto"/>
          <w:shd w:val="clear" w:color="auto" w:fill="FFFFFF"/>
        </w:rPr>
        <w:t>Figur 20: Översikt provgropar</w:t>
      </w:r>
      <w:r>
        <w:rPr>
          <w:color w:val="auto"/>
        </w:rPr>
        <w:t>. Visar provgropar av Geosigma och Golder. Kartan är schematisk och gjord på en äldre version av strukturförslaget (Geosigma).</w:t>
      </w:r>
    </w:p>
    <w:p>
      <w:pPr>
        <w:rPr>
          <w:lang w:eastAsia="sv-SE"/>
        </w:rPr>
      </w:pPr>
      <w:r>
        <w:rPr>
          <w:lang w:eastAsia="sv-SE"/>
        </w:rPr>
        <w:t xml:space="preserve">Sammantaget visar utförda undersökningar att generellt låga halter föroreningar påträffats i schaktmassorna och under riktvärden för KM, undantaget enstaka halter över KM, eller ett prov över MKM. Deponimassorna utgörs av grusig sand, med inslag av lera och större stenblock. Volymen förorenade massor bedöms utifrån resultaten vara liten och miljö- och hälsoriskerna bedöms därför vara mindre än ringa risk. </w:t>
      </w:r>
      <w:bookmarkEnd w:id="91"/>
    </w:p>
    <w:p>
      <w:pPr>
        <w:pStyle w:val="P3"/>
        <w:rPr>
          <w:rFonts w:eastAsia="Arial"/>
          <w:lang w:eastAsia="sv-SE"/>
        </w:rPr>
      </w:pPr>
      <w:bookmarkStart w:id="92" w:name="pf_brandutrymning01"/>
      <w:r>
        <w:rPr>
          <w:rFonts w:eastAsia="Arial"/>
          <w:lang w:eastAsia="sv-SE"/>
        </w:rPr>
        <w:t>Brandutrymning</w:t>
      </w:r>
    </w:p>
    <w:p>
      <w:pPr>
        <w:rPr>
          <w:color w:val="auto"/>
          <w:shd w:val="clear" w:color="auto" w:fill="FFFFFF"/>
        </w:rPr>
      </w:pPr>
      <w:r>
        <w:rPr>
          <w:color w:val="auto"/>
        </w:rPr>
        <w:t xml:space="preserve">Planområdets läge innebär begränsningar i möjligheterna till att utrymma med hjälp av räddningstjänstens medverkan, då insatstiden överstiger 10 minuter från den närmsta brandstationen med höjdfordon. Insatstiden understiger dock 20 minuter från den närmsta brandstationen med bärbar utskjutsstege, vilket medger viss möjlighet till utrymning med hjälp av räddningstjänsten. </w:t>
      </w:r>
    </w:p>
    <w:p>
      <w:pPr>
        <w:pStyle w:val="P2"/>
        <w:rPr>
          <w:rFonts w:eastAsia="Arial"/>
          <w:lang w:eastAsia="sv-SE"/>
        </w:rPr>
      </w:pPr>
      <w:bookmarkEnd w:id="92"/>
      <w:bookmarkStart w:id="93" w:name="_Toc89446054"/>
      <w:bookmarkStart w:id="94" w:name="_Toc90561209"/>
      <w:bookmarkStart w:id="95" w:name="_Toc132874032"/>
      <w:bookmarkStart w:id="96" w:name="_Toc153284653"/>
      <w:bookmarkStart w:id="97" w:name="_Toc330001941"/>
      <w:bookmarkStart w:id="98" w:name="pf_service01"/>
      <w:bookmarkStart w:id="99" w:name="_Toc89446053"/>
      <w:bookmarkStart w:id="100" w:name="_Toc90561208"/>
      <w:bookmarkStart w:id="101" w:name="_Toc132874031"/>
      <w:r>
        <w:rPr>
          <w:rFonts w:eastAsia="Arial"/>
          <w:lang w:eastAsia="sv-SE"/>
        </w:rPr>
        <w:t>S</w:t>
      </w:r>
      <w:bookmarkEnd w:id="93"/>
      <w:bookmarkEnd w:id="94"/>
      <w:r>
        <w:rPr>
          <w:rFonts w:eastAsia="Arial"/>
          <w:lang w:eastAsia="sv-SE"/>
        </w:rPr>
        <w:t>ervice</w:t>
      </w:r>
      <w:bookmarkEnd w:id="95"/>
      <w:bookmarkEnd w:id="96"/>
      <w:bookmarkEnd w:id="97"/>
    </w:p>
    <w:p>
      <w:pPr>
        <w:pStyle w:val="P61"/>
        <w:rPr>
          <w:rFonts w:asciiTheme="minorHAnsi" w:hAnsiTheme="minorHAnsi" w:eastAsia="Times New Roman"/>
          <w:color w:val="auto"/>
          <w:lang w:val="sv-SE"/>
        </w:rPr>
      </w:pPr>
      <w:r>
        <w:rPr>
          <w:rFonts w:asciiTheme="minorHAnsi" w:hAnsiTheme="minorHAnsi" w:eastAsia="Times New Roman"/>
          <w:color w:val="auto"/>
          <w:lang w:val="sv-SE"/>
        </w:rPr>
        <w:t>Planområdet är beläget på cirka 800 meters gångavstånd till såväl offentlig service i form av skola, förskola och idrott som kommersiell service i form av närlivs och pizzeria.</w:t>
      </w:r>
    </w:p>
    <w:p>
      <w:pPr>
        <w:pStyle w:val="P2"/>
        <w:rPr>
          <w:rFonts w:eastAsia="Arial"/>
          <w:lang w:eastAsia="sv-SE"/>
        </w:rPr>
      </w:pPr>
      <w:bookmarkEnd w:id="98"/>
      <w:bookmarkStart w:id="102" w:name="_Toc153284654"/>
      <w:bookmarkStart w:id="103" w:name="_Toc171540905"/>
      <w:bookmarkStart w:id="104" w:name="pf_teknik01"/>
      <w:r>
        <w:rPr>
          <w:rFonts w:eastAsia="Arial"/>
          <w:lang w:eastAsia="sv-SE"/>
        </w:rPr>
        <w:t>T</w:t>
      </w:r>
      <w:bookmarkEnd w:id="99"/>
      <w:bookmarkEnd w:id="100"/>
      <w:r>
        <w:rPr>
          <w:rFonts w:eastAsia="Arial"/>
          <w:lang w:eastAsia="sv-SE"/>
        </w:rPr>
        <w:t>ekni</w:t>
      </w:r>
      <w:bookmarkEnd w:id="101"/>
      <w:r>
        <w:rPr>
          <w:rFonts w:eastAsia="Arial"/>
          <w:lang w:eastAsia="sv-SE"/>
        </w:rPr>
        <w:t>sk infrastruktur</w:t>
      </w:r>
      <w:bookmarkEnd w:id="102"/>
      <w:bookmarkEnd w:id="103"/>
    </w:p>
    <w:p>
      <w:pPr>
        <w:rPr>
          <w:color w:val="auto"/>
          <w:shd w:val="clear" w:color="auto" w:fill="FFFFFF"/>
        </w:rPr>
      </w:pPr>
      <w:r>
        <w:rPr>
          <w:color w:val="auto"/>
          <w:shd w:val="clear" w:color="auto" w:fill="FFFFFF"/>
        </w:rPr>
        <w:t xml:space="preserve">Planområdet innehåller till större del ingen teknisk infrastruktur. I områdets infartsväg från </w:t>
      </w:r>
      <w:r>
        <w:rPr>
          <w:shd w:val="clear" w:color="auto" w:fill="FFFFFF"/>
        </w:rPr>
        <w:t>Brunnbyvägen, fram till befintlig fastighetsgräns Vrå 3:1, finns fjärrvärme framdraget och längs skaftgator från Villebrådsgatan finns en transformatorstation respektive en pumpstation. Planområdet är beläget i ett område som kan anslutas till VA- och elnät.</w:t>
      </w:r>
    </w:p>
    <w:p>
      <w:pPr>
        <w:pStyle w:val="P2"/>
        <w:rPr>
          <w:rFonts w:eastAsia="Arial"/>
          <w:lang w:eastAsia="sv-SE"/>
        </w:rPr>
      </w:pPr>
      <w:bookmarkEnd w:id="104"/>
      <w:bookmarkStart w:id="105" w:name="_Toc89446055"/>
      <w:bookmarkStart w:id="106" w:name="_Toc90561210"/>
      <w:bookmarkStart w:id="107" w:name="_Toc132874033"/>
      <w:bookmarkStart w:id="108" w:name="_Toc153284655"/>
      <w:bookmarkStart w:id="109" w:name="_Toc1720576703"/>
      <w:bookmarkStart w:id="110" w:name="pf_trafik01"/>
      <w:r>
        <w:rPr>
          <w:rFonts w:eastAsia="Arial"/>
          <w:lang w:eastAsia="sv-SE"/>
        </w:rPr>
        <w:t>T</w:t>
      </w:r>
      <w:bookmarkEnd w:id="105"/>
      <w:bookmarkEnd w:id="106"/>
      <w:r>
        <w:rPr>
          <w:rFonts w:eastAsia="Arial"/>
          <w:lang w:eastAsia="sv-SE"/>
        </w:rPr>
        <w:t>rafik</w:t>
      </w:r>
      <w:bookmarkEnd w:id="107"/>
      <w:bookmarkEnd w:id="108"/>
      <w:bookmarkEnd w:id="109"/>
    </w:p>
    <w:p>
      <w:pPr>
        <w:rPr>
          <w:color w:val="auto"/>
        </w:rPr>
      </w:pPr>
      <w:r>
        <w:rPr>
          <w:color w:val="auto"/>
          <w:shd w:val="clear" w:color="auto" w:fill="FFFFFF"/>
        </w:rPr>
        <w:t xml:space="preserve">Planområdet är obebyggt och innehåller ingen gatustruktur utöver </w:t>
      </w:r>
      <w:r>
        <w:rPr>
          <w:color w:val="auto"/>
        </w:rPr>
        <w:t>infartsväg med tillhörande vägbom från Brunnbyvägen till den tidigare deponin, samt en mindre och tillfällig anläggningsväg vidare mot Ar. Skogsbeståndet i sydvästra delen av planområdet genomkorsas av upptrampade stigar.</w:t>
      </w:r>
    </w:p>
    <w:p>
      <w:pPr>
        <w:rPr>
          <w:color w:val="auto"/>
        </w:rPr>
      </w:pPr>
      <w:r>
        <w:rPr>
          <w:color w:val="auto"/>
        </w:rPr>
        <w:t>Brunnbyvägen har hastighetsbegränsning på 40 km/h vid infartsvägen till planområdet. Knivsta kommun genomför regelbundna hastighetsmätningar på Brunnbyvägen. En trafikmätning nära infartsvägen på Brunnbyvägen genomfördes mellan oktober till december 2024 visar att 85-percentilen är 45 km/h för fordon som kör ut från Alsike och att 41% av bilisterna kör över hastighetsbegränsningen.</w:t>
      </w:r>
      <w:r>
        <w:rPr>
          <w:rFonts w:ascii="Arial" w:hAnsi="Arial" w:cs="Arial"/>
          <w:sz w:val="20"/>
          <w:szCs w:val="20"/>
        </w:rPr>
        <w:t xml:space="preserve"> </w:t>
      </w:r>
      <w:r>
        <w:rPr>
          <w:color w:val="auto"/>
        </w:rPr>
        <w:t>För fordon som kör in mot Alsike visar trafikmätningen att 96% av bilisterna håller hastighetsbegränsningen. Enligt en övergripande trafikmätning som genomfördes 2022 har vägen en ÅDT (årsdygnstrafik) på 5 738 bilar med lika många bilar i varje färdriktning.</w:t>
      </w:r>
    </w:p>
    <w:p>
      <w:pPr>
        <w:rPr>
          <w:color w:val="auto"/>
        </w:rPr>
      </w:pPr>
      <w:r>
        <w:rPr>
          <w:color w:val="auto"/>
        </w:rPr>
        <w:t xml:space="preserve">Längs Brunnbyvägens norra sida vid planområdet går en gång- och cykelbana. Gång- och cykelbanan följer hela Brunnbyvägen till de mer centrala delarna av Alsike. Närmaste busshållplats ligger cirka 170-180 meter söderut respektive norrut längs Brunnbyvägen, vid korsning Åsgatan i Alsike samt Mejselgatan i Ar. </w:t>
      </w:r>
    </w:p>
    <w:p>
      <w:pPr>
        <w:pStyle w:val="P1"/>
        <w:rPr>
          <w:b w:val="1"/>
        </w:rPr>
      </w:pPr>
      <w:bookmarkEnd w:id="110"/>
      <w:bookmarkStart w:id="111" w:name="_Toc153284658"/>
      <w:bookmarkStart w:id="112" w:name="_Toc611076638"/>
      <w:r>
        <w:rPr>
          <w:b w:val="1"/>
        </w:rPr>
        <w:t>Beskrivning av detaljplanen</w:t>
      </w:r>
      <w:bookmarkEnd w:id="111"/>
      <w:bookmarkEnd w:id="112"/>
    </w:p>
    <w:p>
      <w:pPr>
        <w:pStyle w:val="P2"/>
      </w:pPr>
      <w:bookmarkStart w:id="113" w:name="_Toc153284659"/>
      <w:bookmarkStart w:id="114" w:name="_Toc1446274450"/>
      <w:bookmarkStart w:id="115" w:name="be_möjligutformning01"/>
      <w:r>
        <w:t>Detaljplanen</w:t>
      </w:r>
      <w:bookmarkEnd w:id="113"/>
      <w:bookmarkEnd w:id="114"/>
    </w:p>
    <w:p>
      <w:pPr>
        <w:pStyle w:val="P3"/>
      </w:pPr>
      <w:r>
        <w:t>Möjlig utformning</w:t>
      </w:r>
    </w:p>
    <w:p>
      <w:pPr>
        <w:rPr>
          <w:color w:val="auto"/>
        </w:rPr>
      </w:pPr>
      <w:r>
        <w:rPr>
          <w:color w:val="auto"/>
        </w:rPr>
        <w:t>Planförslagets struktur utgörs av en infartsgata från Brunnbyvägen samt en rundgående lokalgata med bebyggelse för bostäder på båda sidor. Slingan ansluts i nordväster till den planerade bebyggelsen inom detaljplan för Träfallet (Vrå 1:3 med flera) med en lokalgata. I områdets sydöstra del utökas verksamhetsområdet Ar med 24 000 kvm verksamhetsmark som kan möjliggöra en större verksamhetsetablering eller delas upp i flera mindre verksamhetstomter. Angöring till verksamheterna sker via befintlig lokalgata med vändplan från Mejselgatan samt en mindre förlängning av gatumark österut från vändplanen. Mellan bostadsområdet och verksamhetsmarken inom Ar lämnas ett 50 meter brett naturstråk som buffert. Områdena kopplas samman med en gång- och cykelväg.</w:t>
      </w:r>
    </w:p>
    <w:p>
      <w:r>
        <w:t xml:space="preserve">I områdets västra del, angränsande den befintliga småhusbebyggelsen, bevaras befintlig skog och naturmark och kompletteras med nya gångstigar och stråk.  Planförslaget möjliggör för anläggning av en damm i västra planområdet för omhändertagande av dagvatten som också kommer att utgöra en del av det rekreativa naturområdet. En park med grillplats och pulkabacke kommer att ligga centralt i området.</w:t>
      </w:r>
    </w:p>
    <w:p>
      <w:r>
        <w:rPr>
          <w:color w:val="auto"/>
        </w:rPr>
        <w:t xml:space="preserve">Bebyggelsen är grupperad i mindre kluster av sammanbyggda småhus i form av radhus, parhus och </w:t>
      </w:r>
      <w:r>
        <w:t>kedjehus samt fristående villor med möjlighet till verksamhet som bostadskomplement. Mellan klustren kommer naturmark och naturliga höjdpunkter med berg i dagen vara tillgängliga.</w:t>
      </w:r>
    </w:p>
    <w:p>
      <w:r>
        <w:t>Bostadsbebyggelsen utförs med träfasad och med sadel-, mansard-, eller valmat tak. Kulör på fasad ska väljas så att bebyggelsen harmoniserar med omgivande natur. Vit, svart och skarpa kulörer får inte förekomma utom i mindre detaljer. Takpannor ska väljas i tegelrött eller svart. Slutgiltig utformning sker i bygglovsskedet.</w:t>
      </w:r>
    </w:p>
    <w:p>
      <w:pPr>
        <w:rPr>
          <w:color w:val="EE0000"/>
        </w:rPr>
      </w:pPr>
      <w:r>
        <w:t xml:space="preserve"> </w:t>
      </w:r>
      <w:r>
        <w:rPr>
          <w:rFonts w:ascii="Times New Roman" w:hAnsi="Times New Roman"/>
          <w:color w:val="auto"/>
          <w:lang w:eastAsia="sv-SE"/>
        </w:rPr>
        <w:t xml:space="preserve"> </w:t>
      </w:r>
      <w:r>
        <w:rPr>
          <w:noProof w:val="1"/>
        </w:rPr>
        <w:drawing>
          <wp:inline xmlns:wp="http://schemas.openxmlformats.org/drawingml/2006/wordprocessingDrawing" distT="0" distB="0" distL="0" distR="0">
            <wp:extent cx="5038725" cy="3562350"/>
            <wp:effectExtent l="0" t="0" r="9525" b="0"/>
            <wp:docPr id="2061374172" name="drawing" descr="P3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374172" name="drawing" descr="P323#yIS1"/>
                    <pic:cNvPicPr/>
                  </pic:nvPicPr>
                  <pic:blipFill dpi="0">
                    <a:blip xmlns:r="http://schemas.openxmlformats.org/officeDocument/2006/relationships" r:embed="Relimage23"/>
                    <a:srcRect/>
                    <a:stretch>
                      <a:fillRect/>
                    </a:stretch>
                  </pic:blipFill>
                  <pic:spPr>
                    <a:xfrm>
                      <a:off x="0" y="0"/>
                      <a:ext cx="5038725" cy="3562350"/>
                    </a:xfrm>
                    <a:prstGeom prst="rect"/>
                  </pic:spPr>
                </pic:pic>
              </a:graphicData>
            </a:graphic>
          </wp:inline>
        </w:drawing>
      </w:r>
      <w:r>
        <w:rPr>
          <w:i w:val="1"/>
          <w:iCs w:val="1"/>
          <w:sz w:val="18"/>
          <w:szCs w:val="18"/>
        </w:rPr>
        <w:t>Figur 21: Illustrationsplan över hur den nytillkommande bebyggelse kan se ut i planområdet (Väv Arkitekter).</w:t>
      </w:r>
    </w:p>
    <w:p>
      <w:pPr>
        <w:pStyle w:val="P60"/>
        <w:rPr>
          <w:color w:val="000000" w:themeColor="text1"/>
        </w:rPr>
      </w:pPr>
      <w:r>
        <w:rPr>
          <w:rFonts w:ascii="Times New Roman" w:hAnsi="Times New Roman"/>
          <w:color w:val="auto"/>
          <w:lang w:eastAsia="sv-SE"/>
        </w:rPr>
        <w:t xml:space="preserve"> </w:t>
      </w:r>
      <w:r>
        <w:rPr>
          <w:noProof w:val="1"/>
        </w:rPr>
        <w:drawing>
          <wp:inline xmlns:wp="http://schemas.openxmlformats.org/drawingml/2006/wordprocessingDrawing" distT="0" distB="0" distL="0" distR="0">
            <wp:extent cx="5038725" cy="2962275"/>
            <wp:effectExtent l="0" t="0" r="9525" b="9525"/>
            <wp:docPr id="362986130" name="drawing" descr="P3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86130" name="drawing" descr="P324#yIS1"/>
                    <pic:cNvPicPr/>
                  </pic:nvPicPr>
                  <pic:blipFill dpi="0">
                    <a:blip xmlns:r="http://schemas.openxmlformats.org/officeDocument/2006/relationships" r:embed="Relimage24"/>
                    <a:srcRect/>
                    <a:stretch>
                      <a:fillRect/>
                    </a:stretch>
                  </pic:blipFill>
                  <pic:spPr>
                    <a:xfrm>
                      <a:off x="0" y="0"/>
                      <a:ext cx="5038725" cy="2962275"/>
                    </a:xfrm>
                    <a:prstGeom prst="rect"/>
                  </pic:spPr>
                </pic:pic>
              </a:graphicData>
            </a:graphic>
          </wp:inline>
        </w:drawing>
      </w:r>
      <w:r>
        <w:rPr>
          <w:color w:val="000000" w:themeColor="text1"/>
        </w:rPr>
        <w:t>Figur 22a: Flygvy från söder över hur den nytillkommande bebyggelse kan se ut (Väv Arkitekter).</w:t>
      </w:r>
    </w:p>
    <w:p>
      <w:pPr>
        <w:rPr>
          <w:i w:val="1"/>
          <w:iCs w:val="1"/>
          <w:sz w:val="18"/>
          <w:szCs w:val="18"/>
        </w:rPr>
      </w:pPr>
      <w:r>
        <w:rPr>
          <w:noProof w:val="1"/>
        </w:rPr>
        <w:drawing>
          <wp:inline xmlns:wp="http://schemas.openxmlformats.org/drawingml/2006/wordprocessingDrawing" distT="0" distB="0" distL="0" distR="0">
            <wp:extent cx="5041265" cy="2964180"/>
            <wp:effectExtent l="0" t="0" r="6985" b="7620"/>
            <wp:docPr id="2027384923" name="Bildobjekt 14" descr="P3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384923" name="Bildobjekt 14" descr="P325#yIS1"/>
                    <pic:cNvPicPr/>
                  </pic:nvPicPr>
                  <pic:blipFill dpi="0">
                    <a:blip xmlns:r="http://schemas.openxmlformats.org/officeDocument/2006/relationships" r:embed="Relimage25"/>
                    <a:srcRect/>
                    <a:stretch>
                      <a:fillRect/>
                    </a:stretch>
                  </pic:blipFill>
                  <pic:spPr>
                    <a:xfrm>
                      <a:off x="0" y="0"/>
                      <a:ext cx="5041265" cy="2964602"/>
                    </a:xfrm>
                    <a:prstGeom prst="rect"/>
                  </pic:spPr>
                </pic:pic>
              </a:graphicData>
            </a:graphic>
          </wp:inline>
        </w:drawing>
      </w:r>
      <w:r>
        <w:rPr>
          <w:i w:val="1"/>
          <w:iCs w:val="1"/>
          <w:sz w:val="18"/>
          <w:szCs w:val="18"/>
        </w:rPr>
        <w:t>Figur 22b: Gatuvy mot väster längs den rundgående lokalgatan med villor, radhus och parhus (Väv Arkitekter).</w:t>
      </w:r>
    </w:p>
    <w:p>
      <w:pPr>
        <w:pStyle w:val="P3"/>
        <w:rPr>
          <w:rFonts w:eastAsia="Arial"/>
          <w:color w:val="000000" w:themeColor="text1"/>
          <w:lang w:eastAsia="sv-SE"/>
        </w:rPr>
      </w:pPr>
      <w:bookmarkEnd w:id="115"/>
      <w:bookmarkStart w:id="116" w:name="be_avvägningar01"/>
      <w:r>
        <w:rPr>
          <w:rFonts w:eastAsia="Arial"/>
          <w:color w:val="000000" w:themeColor="text1"/>
          <w:lang w:eastAsia="sv-SE"/>
        </w:rPr>
        <w:t>Avvägningar</w:t>
      </w:r>
    </w:p>
    <w:p>
      <w:pPr>
        <w:rPr>
          <w:rFonts w:eastAsia="Arial"/>
          <w:lang w:eastAsia="sv-SE"/>
        </w:rPr>
      </w:pPr>
      <w:r>
        <w:rPr>
          <w:rFonts w:eastAsia="Arial"/>
          <w:lang w:eastAsia="sv-SE"/>
        </w:rPr>
        <w:t xml:space="preserve">Med målet att möjliggöra nya bostäder och arbetsplatser i Alsike, med </w:t>
      </w:r>
      <w:r>
        <w:rPr>
          <w:shd w:val="clear" w:color="auto" w:fill="FFFFFF"/>
        </w:rPr>
        <w:t>naturlig och integrerad övergång till befintlig bostadsbebyggelse i Alsike och verksamhetsområdet i Ar, föreslås s</w:t>
      </w:r>
      <w:r>
        <w:rPr>
          <w:rFonts w:eastAsia="Arial"/>
          <w:lang w:eastAsia="sv-SE"/>
        </w:rPr>
        <w:t>måhusbebyggelse i en-två våningar utförda med träfasad och sadeltak i kulörer som harmoniserar med omgivande naturmark. Planområdet kopplas till befintliga bebyggelseområden med gång- och cykelvägar för att skapa goda förutsättningar för att ta sig till skola och arbete utan bil, samt med lokalgata från Brunnbyvägen och vidare, via planerad bostadsbebyggelse i Träfallet, till Gränsgatan för att ökad kapacitet i lokalgatunätet.</w:t>
      </w:r>
    </w:p>
    <w:p>
      <w:pPr>
        <w:rPr>
          <w:rFonts w:eastAsia="Arial"/>
          <w:lang w:eastAsia="sv-SE"/>
        </w:rPr>
      </w:pPr>
      <w:r>
        <w:rPr>
          <w:shd w:val="clear" w:color="auto" w:fill="FFFFFF"/>
        </w:rPr>
        <w:t xml:space="preserve">Terrängen lokalt i Alsike och planområdet är relativt kuperat men förslaget är utformat för att i största möjliga mån anpassas till den och undvika onödig bergsprängning och utfyllnad. Allmänheten ska ha tillgång till naturmark i släpp mellan bebyggelsen längs områdets lokalgata, samtidigt som ledningar för vatten och avlopp med självfall i huvudsak lokaliseras till gatumark och i gång- och cykelstråk. </w:t>
      </w:r>
    </w:p>
    <w:p>
      <w:pPr>
        <w:rPr>
          <w:rFonts w:eastAsia="Arial"/>
          <w:lang w:eastAsia="sv-SE"/>
        </w:rPr>
      </w:pPr>
      <w:r>
        <w:rPr>
          <w:rFonts w:eastAsia="Arial"/>
          <w:lang w:eastAsia="sv-SE"/>
        </w:rPr>
        <w:t>Planförslaget ger företräde till användningen bostäder. Det betyder att de närmast belägna fastigheterna i verksamhetsområdet Ar får begränsad möjlighet till industriell verksamhet inom 100 meter från kvartersmark för bostäder. Naturmark på 50 meter skapar en buffert mellan bostäderna och verksamhetsmarken för att hantera risken från verksamheterna. Vidare medger planförslaget användningen verksamheter (Z) som innebär att endast verksamheter med begränsad omgivningspåverkan med avseende på olycksrisk tillåts.</w:t>
      </w:r>
    </w:p>
    <w:p>
      <w:pPr>
        <w:rPr>
          <w:rFonts w:eastAsia="Arial"/>
          <w:color w:val="auto"/>
          <w:lang w:eastAsia="sv-SE"/>
        </w:rPr>
      </w:pPr>
      <w:r>
        <w:rPr>
          <w:rFonts w:eastAsia="Arial"/>
          <w:lang w:eastAsia="sv-SE"/>
        </w:rPr>
        <w:t xml:space="preserve">En allmän park placeras centralt i området och blir en målpunkt för boende och verksamma i Alsike och Ar. Området har tidigare använts som deponi för </w:t>
      </w:r>
      <w:r>
        <w:t>sten- och schaktmassor (ic</w:t>
      </w:r>
      <w:r>
        <w:rPr>
          <w:color w:val="auto"/>
        </w:rPr>
        <w:t>ke-farligt avfall) men innehåller endast låga halter av föroreningar. Det innebär att parken kan iordningsställas genom täckning och avjämning med nya massor.</w:t>
      </w:r>
    </w:p>
    <w:p>
      <w:pPr>
        <w:rPr>
          <w:rFonts w:eastAsia="Arial"/>
          <w:color w:val="auto"/>
          <w:lang w:eastAsia="sv-SE"/>
        </w:rPr>
      </w:pPr>
      <w:r>
        <w:rPr>
          <w:rFonts w:eastAsia="Arial"/>
          <w:color w:val="auto"/>
          <w:lang w:eastAsia="sv-SE"/>
        </w:rPr>
        <w:t>Planförslaget möjliggör för relativt tättbebyggt bostadsområde för effektivt markutnyttjande och för att kunna bevara naturmark av värde för rekreation ekologiska spridningssamband.</w:t>
      </w:r>
    </w:p>
    <w:p>
      <w:pPr>
        <w:rPr>
          <w:color w:val="auto"/>
          <w:lang w:eastAsia="sv-SE"/>
        </w:rPr>
      </w:pPr>
      <w:r>
        <w:rPr>
          <w:color w:val="auto"/>
          <w:lang w:eastAsia="sv-SE"/>
        </w:rPr>
        <w:t>Följande effekt- och projektmål har varit styrande för utformningen av planförslaget. Målen utgår från analys av områdets sociala värden inhämtat från medborgardialog samt samråd med program för detaljplan och utredning av ekosystemtjänster. Målen är inhämtade från beslutat projektuppdrag.</w:t>
      </w:r>
    </w:p>
    <w:p>
      <w:pPr>
        <w:rPr>
          <w:color w:val="auto"/>
          <w:lang w:eastAsia="sv-SE"/>
        </w:rPr>
      </w:pPr>
    </w:p>
    <w:tbl>
      <w:tblPr>
        <w:tblStyle w:val="T2"/>
        <w:tblW w:w="0" w:type="auto"/>
        <w:tblLook w:val="04A0"/>
      </w:tblPr>
      <w:tblGrid>
        <w:gridCol w:w="2683"/>
        <w:gridCol w:w="2589"/>
        <w:gridCol w:w="2657"/>
      </w:tblGrid>
      <w:tr>
        <w:tc>
          <w:tcPr>
            <w:tcW w:w="7929" w:type="dxa"/>
            <w:gridSpan w:val="3"/>
          </w:tcPr>
          <w:p>
            <w:pPr>
              <w:rPr>
                <w:b w:val="1"/>
                <w:bCs w:val="1"/>
                <w:color w:val="auto"/>
                <w:sz w:val="20"/>
                <w:szCs w:val="20"/>
                <w:lang w:eastAsia="sv-SE"/>
              </w:rPr>
            </w:pPr>
            <w:r>
              <w:rPr>
                <w:b w:val="1"/>
                <w:bCs w:val="1"/>
                <w:color w:val="auto"/>
                <w:sz w:val="20"/>
                <w:szCs w:val="20"/>
                <w:lang w:eastAsia="sv-SE"/>
              </w:rPr>
              <w:t>Effektmål</w:t>
            </w:r>
          </w:p>
        </w:tc>
      </w:tr>
      <w:tr>
        <w:tc>
          <w:tcPr>
            <w:tcW w:w="2683" w:type="dxa"/>
          </w:tcPr>
          <w:p>
            <w:pPr>
              <w:tabs>
                <w:tab w:val="left" w:pos="720" w:leader="none"/>
              </w:tabs>
              <w:rPr>
                <w:color w:val="auto"/>
                <w:sz w:val="20"/>
                <w:szCs w:val="20"/>
                <w:lang w:eastAsia="sv-SE"/>
              </w:rPr>
            </w:pPr>
            <w:r>
              <w:rPr>
                <w:color w:val="auto"/>
                <w:sz w:val="20"/>
                <w:szCs w:val="20"/>
                <w:lang w:eastAsia="sv-SE"/>
              </w:rPr>
              <w:t>Möjliggöra för trivsamma och trygga boendemiljöer.</w:t>
            </w:r>
          </w:p>
        </w:tc>
        <w:tc>
          <w:tcPr>
            <w:tcW w:w="2589" w:type="dxa"/>
          </w:tcPr>
          <w:p>
            <w:pPr>
              <w:tabs>
                <w:tab w:val="left" w:pos="720" w:leader="none"/>
              </w:tabs>
              <w:rPr>
                <w:color w:val="auto"/>
                <w:sz w:val="20"/>
                <w:szCs w:val="20"/>
                <w:lang w:eastAsia="sv-SE"/>
              </w:rPr>
            </w:pPr>
            <w:r>
              <w:rPr>
                <w:color w:val="auto"/>
                <w:sz w:val="20"/>
                <w:szCs w:val="20"/>
                <w:lang w:eastAsia="sv-SE"/>
              </w:rPr>
              <w:t>Möjliggöra för trivsamma och trygga boendemiljöer utifrån grönområden.</w:t>
            </w:r>
          </w:p>
        </w:tc>
        <w:tc>
          <w:tcPr>
            <w:tcW w:w="2657" w:type="dxa"/>
          </w:tcPr>
          <w:p>
            <w:pPr>
              <w:tabs>
                <w:tab w:val="left" w:pos="720" w:leader="none"/>
              </w:tabs>
              <w:rPr>
                <w:color w:val="auto"/>
                <w:sz w:val="20"/>
                <w:szCs w:val="20"/>
                <w:lang w:eastAsia="sv-SE"/>
              </w:rPr>
            </w:pPr>
            <w:r>
              <w:rPr>
                <w:color w:val="auto"/>
                <w:sz w:val="20"/>
                <w:szCs w:val="20"/>
                <w:lang w:eastAsia="sv-SE"/>
              </w:rPr>
              <w:t>Möjliggöra för verksamheter att etablera sig i kommunen.</w:t>
            </w:r>
          </w:p>
        </w:tc>
      </w:tr>
    </w:tbl>
    <w:p>
      <w:r>
        <w:br w:type="page"/>
      </w:r>
    </w:p>
    <w:tbl>
      <w:tblPr>
        <w:tblStyle w:val="T2"/>
        <w:tblW w:w="0" w:type="auto"/>
        <w:tblLook w:val="04A0"/>
      </w:tblPr>
      <w:tblGrid>
        <w:gridCol w:w="2683"/>
        <w:gridCol w:w="2589"/>
        <w:gridCol w:w="2657"/>
      </w:tblGrid>
      <w:tr>
        <w:tc>
          <w:tcPr>
            <w:tcW w:w="7929" w:type="dxa"/>
            <w:gridSpan w:val="3"/>
          </w:tcPr>
          <w:p>
            <w:pPr>
              <w:rPr>
                <w:b w:val="1"/>
                <w:bCs w:val="1"/>
                <w:color w:val="auto"/>
                <w:sz w:val="20"/>
                <w:szCs w:val="20"/>
                <w:lang w:eastAsia="sv-SE"/>
              </w:rPr>
            </w:pPr>
            <w:r>
              <w:rPr>
                <w:b w:val="1"/>
                <w:bCs w:val="1"/>
                <w:color w:val="auto"/>
                <w:sz w:val="20"/>
                <w:szCs w:val="20"/>
                <w:lang w:eastAsia="sv-SE"/>
              </w:rPr>
              <w:t>Projektmål</w:t>
            </w:r>
          </w:p>
        </w:tc>
      </w:tr>
      <w:tr>
        <w:tc>
          <w:tcPr>
            <w:tcW w:w="2683" w:type="dxa"/>
          </w:tcPr>
          <w:p>
            <w:pPr>
              <w:tabs>
                <w:tab w:val="left" w:pos="720" w:leader="none"/>
              </w:tabs>
              <w:rPr>
                <w:color w:val="auto"/>
                <w:sz w:val="20"/>
                <w:szCs w:val="20"/>
                <w:lang w:eastAsia="sv-SE"/>
              </w:rPr>
            </w:pPr>
            <w:r>
              <w:rPr>
                <w:color w:val="auto"/>
                <w:sz w:val="20"/>
                <w:szCs w:val="20"/>
                <w:lang w:eastAsia="sv-SE"/>
              </w:rPr>
              <w:t>Minst 100 inflyttade småhus.</w:t>
            </w:r>
          </w:p>
          <w:p>
            <w:pPr>
              <w:rPr>
                <w:color w:val="auto"/>
                <w:sz w:val="20"/>
                <w:szCs w:val="20"/>
                <w:lang w:eastAsia="sv-SE"/>
              </w:rPr>
            </w:pPr>
          </w:p>
        </w:tc>
        <w:tc>
          <w:tcPr>
            <w:tcW w:w="2589" w:type="dxa"/>
          </w:tcPr>
          <w:p>
            <w:pPr>
              <w:tabs>
                <w:tab w:val="left" w:pos="720" w:leader="none"/>
              </w:tabs>
              <w:rPr>
                <w:color w:val="auto"/>
                <w:sz w:val="20"/>
                <w:szCs w:val="20"/>
                <w:lang w:eastAsia="sv-SE"/>
              </w:rPr>
            </w:pPr>
            <w:r>
              <w:rPr>
                <w:color w:val="auto"/>
                <w:sz w:val="20"/>
                <w:szCs w:val="20"/>
                <w:lang w:eastAsia="sv-SE"/>
              </w:rPr>
              <w:t>Gröna kilar och rekreativa stråk maximerar kontakten med naturen</w:t>
            </w:r>
          </w:p>
        </w:tc>
        <w:tc>
          <w:tcPr>
            <w:tcW w:w="2657" w:type="dxa"/>
          </w:tcPr>
          <w:p>
            <w:pPr>
              <w:tabs>
                <w:tab w:val="left" w:pos="720" w:leader="none"/>
              </w:tabs>
              <w:rPr>
                <w:color w:val="auto"/>
                <w:sz w:val="20"/>
                <w:szCs w:val="20"/>
                <w:lang w:eastAsia="sv-SE"/>
              </w:rPr>
            </w:pPr>
            <w:r>
              <w:rPr>
                <w:color w:val="auto"/>
                <w:sz w:val="20"/>
                <w:szCs w:val="20"/>
                <w:lang w:eastAsia="sv-SE"/>
              </w:rPr>
              <w:t>Tillskapa arbetsplatser</w:t>
            </w:r>
          </w:p>
          <w:p>
            <w:pPr>
              <w:rPr>
                <w:color w:val="auto"/>
                <w:sz w:val="20"/>
                <w:szCs w:val="20"/>
                <w:lang w:eastAsia="sv-SE"/>
              </w:rPr>
            </w:pPr>
          </w:p>
        </w:tc>
      </w:tr>
      <w:tr>
        <w:tc>
          <w:tcPr>
            <w:tcW w:w="2683" w:type="dxa"/>
          </w:tcPr>
          <w:p>
            <w:pPr>
              <w:tabs>
                <w:tab w:val="left" w:pos="720" w:leader="none"/>
              </w:tabs>
              <w:rPr>
                <w:color w:val="auto"/>
                <w:sz w:val="20"/>
                <w:szCs w:val="20"/>
                <w:lang w:eastAsia="sv-SE"/>
              </w:rPr>
            </w:pPr>
            <w:r>
              <w:rPr>
                <w:color w:val="auto"/>
                <w:sz w:val="20"/>
                <w:szCs w:val="20"/>
                <w:lang w:eastAsia="sv-SE"/>
              </w:rPr>
              <w:t>Skapa förutsättningar för småskalighet/gemytlighet genom små bostadskluster som skapar tydliga och avgränsade grannskap.</w:t>
            </w:r>
          </w:p>
        </w:tc>
        <w:tc>
          <w:tcPr>
            <w:tcW w:w="2589" w:type="dxa"/>
          </w:tcPr>
          <w:p>
            <w:pPr>
              <w:tabs>
                <w:tab w:val="left" w:pos="720" w:leader="none"/>
              </w:tabs>
              <w:rPr>
                <w:color w:val="auto"/>
                <w:sz w:val="20"/>
                <w:szCs w:val="20"/>
                <w:lang w:eastAsia="sv-SE"/>
              </w:rPr>
            </w:pPr>
            <w:r>
              <w:rPr>
                <w:color w:val="auto"/>
                <w:sz w:val="20"/>
                <w:szCs w:val="20"/>
                <w:lang w:eastAsia="sv-SE"/>
              </w:rPr>
              <w:t>Skydda möjligheten att röra sig till och genom skogarna i närområdet.</w:t>
            </w:r>
          </w:p>
        </w:tc>
        <w:tc>
          <w:tcPr>
            <w:tcW w:w="2657" w:type="dxa"/>
          </w:tcPr>
          <w:p>
            <w:pPr>
              <w:tabs>
                <w:tab w:val="left" w:pos="720" w:leader="none"/>
              </w:tabs>
              <w:rPr>
                <w:color w:val="auto"/>
                <w:sz w:val="20"/>
                <w:szCs w:val="20"/>
                <w:lang w:eastAsia="sv-SE"/>
              </w:rPr>
            </w:pPr>
            <w:r>
              <w:rPr>
                <w:color w:val="auto"/>
                <w:sz w:val="20"/>
                <w:szCs w:val="20"/>
                <w:lang w:eastAsia="sv-SE"/>
              </w:rPr>
              <w:t>Tillskapa en större sammanhängande verksamhetsyta.</w:t>
            </w:r>
          </w:p>
        </w:tc>
      </w:tr>
      <w:tr>
        <w:tc>
          <w:tcPr>
            <w:tcW w:w="2683" w:type="dxa"/>
          </w:tcPr>
          <w:p>
            <w:pPr>
              <w:tabs>
                <w:tab w:val="left" w:pos="720" w:leader="none"/>
              </w:tabs>
              <w:rPr>
                <w:color w:val="auto"/>
                <w:sz w:val="20"/>
                <w:szCs w:val="20"/>
                <w:lang w:eastAsia="sv-SE"/>
              </w:rPr>
            </w:pPr>
            <w:r>
              <w:rPr>
                <w:color w:val="auto"/>
                <w:sz w:val="20"/>
                <w:szCs w:val="20"/>
                <w:lang w:eastAsia="sv-SE"/>
              </w:rPr>
              <w:t>Skapa plats och förutsättningar för nya träffpunkter och aktiviteter.</w:t>
            </w:r>
          </w:p>
          <w:p>
            <w:pPr>
              <w:tabs>
                <w:tab w:val="left" w:pos="720" w:leader="none"/>
              </w:tabs>
              <w:rPr>
                <w:color w:val="auto"/>
                <w:sz w:val="20"/>
                <w:szCs w:val="20"/>
                <w:lang w:eastAsia="sv-SE"/>
              </w:rPr>
            </w:pPr>
          </w:p>
        </w:tc>
        <w:tc>
          <w:tcPr>
            <w:tcW w:w="2589" w:type="dxa"/>
          </w:tcPr>
          <w:p>
            <w:pPr>
              <w:ind w:left="360"/>
              <w:rPr>
                <w:color w:val="auto"/>
                <w:sz w:val="20"/>
                <w:szCs w:val="20"/>
                <w:lang w:eastAsia="sv-SE"/>
              </w:rPr>
            </w:pPr>
          </w:p>
        </w:tc>
        <w:tc>
          <w:tcPr>
            <w:tcW w:w="2657" w:type="dxa"/>
          </w:tcPr>
          <w:p>
            <w:pPr>
              <w:tabs>
                <w:tab w:val="left" w:pos="720" w:leader="none"/>
              </w:tabs>
              <w:rPr>
                <w:color w:val="auto"/>
                <w:sz w:val="20"/>
                <w:szCs w:val="20"/>
                <w:lang w:eastAsia="sv-SE"/>
              </w:rPr>
            </w:pPr>
            <w:r>
              <w:rPr>
                <w:color w:val="auto"/>
                <w:sz w:val="20"/>
                <w:szCs w:val="20"/>
                <w:lang w:eastAsia="sv-SE"/>
              </w:rPr>
              <w:t>Tillskapa villatomter med möjlighet till verksamhet.</w:t>
            </w:r>
          </w:p>
          <w:p>
            <w:pPr>
              <w:rPr>
                <w:color w:val="auto"/>
                <w:sz w:val="20"/>
                <w:szCs w:val="20"/>
                <w:lang w:eastAsia="sv-SE"/>
              </w:rPr>
            </w:pPr>
          </w:p>
        </w:tc>
      </w:tr>
      <w:tr>
        <w:tc>
          <w:tcPr>
            <w:tcW w:w="2683" w:type="dxa"/>
          </w:tcPr>
          <w:p>
            <w:pPr>
              <w:tabs>
                <w:tab w:val="left" w:pos="720" w:leader="none"/>
              </w:tabs>
              <w:rPr>
                <w:color w:val="auto"/>
                <w:sz w:val="20"/>
                <w:szCs w:val="20"/>
                <w:lang w:eastAsia="sv-SE"/>
              </w:rPr>
            </w:pPr>
            <w:r>
              <w:rPr>
                <w:color w:val="auto"/>
                <w:sz w:val="20"/>
                <w:szCs w:val="20"/>
                <w:lang w:eastAsia="sv-SE"/>
              </w:rPr>
              <w:t>Skapa trygga skolvägar för gång- och cykel</w:t>
            </w:r>
          </w:p>
        </w:tc>
        <w:tc>
          <w:tcPr>
            <w:tcW w:w="2589" w:type="dxa"/>
          </w:tcPr>
          <w:p>
            <w:pPr>
              <w:ind w:left="360"/>
              <w:rPr>
                <w:color w:val="auto"/>
                <w:sz w:val="20"/>
                <w:szCs w:val="20"/>
                <w:lang w:eastAsia="sv-SE"/>
              </w:rPr>
            </w:pPr>
          </w:p>
        </w:tc>
        <w:tc>
          <w:tcPr>
            <w:tcW w:w="2657" w:type="dxa"/>
          </w:tcPr>
          <w:p>
            <w:pPr>
              <w:tabs>
                <w:tab w:val="left" w:pos="720" w:leader="none"/>
              </w:tabs>
              <w:rPr>
                <w:color w:val="auto"/>
                <w:sz w:val="20"/>
                <w:szCs w:val="20"/>
                <w:lang w:eastAsia="sv-SE"/>
              </w:rPr>
            </w:pPr>
            <w:r>
              <w:rPr>
                <w:color w:val="auto"/>
                <w:sz w:val="20"/>
                <w:szCs w:val="20"/>
                <w:lang w:eastAsia="sv-SE"/>
              </w:rPr>
              <w:t>En naturlig och integrerad övergång mellan befintlig och kommande bebyggelse i Alsike och verksamhetsområdet i Ar.</w:t>
            </w:r>
          </w:p>
        </w:tc>
      </w:tr>
      <w:tr>
        <w:tc>
          <w:tcPr>
            <w:tcW w:w="2683" w:type="dxa"/>
          </w:tcPr>
          <w:p>
            <w:pPr>
              <w:tabs>
                <w:tab w:val="left" w:pos="720" w:leader="none"/>
              </w:tabs>
              <w:rPr>
                <w:color w:val="auto"/>
                <w:sz w:val="20"/>
                <w:szCs w:val="20"/>
                <w:lang w:eastAsia="sv-SE"/>
              </w:rPr>
            </w:pPr>
            <w:r>
              <w:rPr>
                <w:color w:val="auto"/>
                <w:sz w:val="20"/>
                <w:szCs w:val="20"/>
                <w:lang w:eastAsia="sv-SE"/>
              </w:rPr>
              <w:t>Skapa förutsättningar för parkering, med flexibilitet inför framtiden.</w:t>
            </w:r>
          </w:p>
        </w:tc>
        <w:tc>
          <w:tcPr>
            <w:tcW w:w="2589" w:type="dxa"/>
          </w:tcPr>
          <w:p>
            <w:pPr>
              <w:ind w:left="360"/>
              <w:rPr>
                <w:color w:val="auto"/>
                <w:sz w:val="20"/>
                <w:szCs w:val="20"/>
                <w:lang w:eastAsia="sv-SE"/>
              </w:rPr>
            </w:pPr>
          </w:p>
        </w:tc>
        <w:tc>
          <w:tcPr>
            <w:tcW w:w="2657" w:type="dxa"/>
          </w:tcPr>
          <w:p>
            <w:pPr>
              <w:ind w:left="360"/>
              <w:rPr>
                <w:color w:val="auto"/>
                <w:sz w:val="20"/>
                <w:szCs w:val="20"/>
                <w:lang w:eastAsia="sv-SE"/>
              </w:rPr>
            </w:pPr>
          </w:p>
        </w:tc>
      </w:tr>
    </w:tbl>
    <w:p>
      <w:pPr>
        <w:rPr>
          <w:rFonts w:eastAsia="Arial"/>
          <w:color w:val="auto"/>
          <w:lang w:eastAsia="sv-SE"/>
        </w:rPr>
      </w:pPr>
    </w:p>
    <w:p>
      <w:pPr>
        <w:rPr>
          <w:rFonts w:eastAsia="Arial"/>
          <w:color w:val="auto"/>
          <w:lang w:eastAsia="sv-SE"/>
        </w:rPr>
      </w:pPr>
      <w:r>
        <w:rPr>
          <w:rFonts w:eastAsia="Arial"/>
          <w:color w:val="auto"/>
          <w:lang w:eastAsia="sv-SE"/>
        </w:rPr>
        <w:t xml:space="preserve">Mer detaljerade beskrivningar om enskilda avvägningar finns beskrivet under respektive temarubrik i avsnitt </w:t>
      </w:r>
      <w:r>
        <w:rPr>
          <w:rFonts w:eastAsia="Arial"/>
          <w:i w:val="1"/>
          <w:iCs w:val="1"/>
          <w:color w:val="auto"/>
          <w:lang w:eastAsia="sv-SE"/>
        </w:rPr>
        <w:t>Konsekvenser.</w:t>
      </w:r>
    </w:p>
    <w:p>
      <w:pPr>
        <w:pStyle w:val="P3"/>
        <w:rPr>
          <w:rFonts w:eastAsia="Arial"/>
          <w:lang w:eastAsia="sv-SE"/>
        </w:rPr>
      </w:pPr>
      <w:bookmarkEnd w:id="116"/>
      <w:bookmarkStart w:id="117" w:name="_Toc89445981"/>
      <w:bookmarkStart w:id="118" w:name="_Toc90561133"/>
      <w:bookmarkStart w:id="119" w:name="_Toc132874007"/>
      <w:bookmarkStart w:id="120" w:name="be_befintligavärdensombevaras01"/>
      <w:r>
        <w:rPr>
          <w:rFonts w:eastAsia="Arial"/>
          <w:lang w:eastAsia="sv-SE"/>
        </w:rPr>
        <w:t>B</w:t>
      </w:r>
      <w:bookmarkEnd w:id="117"/>
      <w:bookmarkEnd w:id="118"/>
      <w:r>
        <w:rPr>
          <w:rFonts w:eastAsia="Arial"/>
          <w:lang w:eastAsia="sv-SE"/>
        </w:rPr>
        <w:t>efintlig</w:t>
      </w:r>
      <w:bookmarkEnd w:id="119"/>
      <w:r>
        <w:rPr>
          <w:rFonts w:eastAsia="Arial"/>
          <w:lang w:eastAsia="sv-SE"/>
        </w:rPr>
        <w:t>a värden som bevaras</w:t>
      </w:r>
    </w:p>
    <w:p>
      <w:pPr>
        <w:rPr>
          <w:shd w:val="clear" w:color="auto" w:fill="FFFFFF"/>
        </w:rPr>
      </w:pPr>
      <w:r>
        <w:rPr>
          <w:color w:val="auto"/>
          <w:shd w:val="clear" w:color="auto" w:fill="FFFFFF"/>
        </w:rPr>
        <w:t xml:space="preserve">Vissa </w:t>
      </w:r>
      <w:r>
        <w:rPr>
          <w:shd w:val="clear" w:color="auto" w:fill="FFFFFF"/>
        </w:rPr>
        <w:t xml:space="preserve">höjdpunkter med berg i dagen sparas inom naturmarken som möjliga rekreations- och utkiksplatser. I samband med dessa höjder och släpp i bebyggelsen kommer lokalgatan och angränsande bebyggelsen bitvis kantas av bergsskärningar som i möjligaste mån utformas som naturliga bergskanter i det omgivande landskapet. Inom naturmarken mellan bebyggelsen sparas även vissa uppväxta träd i den mån det finns inom befintligt kalhygge. </w:t>
      </w:r>
    </w:p>
    <w:p>
      <w:pPr>
        <w:rPr>
          <w:shd w:val="clear" w:color="auto" w:fill="FFFFFF"/>
        </w:rPr>
      </w:pPr>
      <w:r>
        <w:rPr>
          <w:shd w:val="clear" w:color="auto" w:fill="FFFFFF"/>
        </w:rPr>
        <w:t xml:space="preserve">Längs med och i fonden av infartsgatan från Brunnbyvägen finns en högvuxen tall som föreslås bevaras som landmärke inom planens parkmark. En pulkabacke placeras centralt och formas av </w:t>
      </w:r>
      <w:r>
        <w:t>sten- och schaktmassor från tidigare deponi.</w:t>
      </w:r>
    </w:p>
    <w:p>
      <w:pPr>
        <w:rPr>
          <w:color w:val="auto"/>
          <w:shd w:val="clear" w:color="auto" w:fill="FFFFFF"/>
        </w:rPr>
      </w:pPr>
      <w:r>
        <w:rPr>
          <w:shd w:val="clear" w:color="auto" w:fill="FFFFFF"/>
        </w:rPr>
        <w:t xml:space="preserve">Planförslaget möjliggör för bevarande av uppvuxen skog som inrymmer en anlagd lekplats samt småvatten av värde för landskapsbilden, rekreation och natur. Nya gångstigar till området ökar tillgängligheten. </w:t>
      </w:r>
      <w:r>
        <w:rPr>
          <w:color w:val="auto"/>
          <w:shd w:val="clear" w:color="auto" w:fill="FFFFFF"/>
        </w:rPr>
        <w:t>I övrigt omges bebyggelsen av naturmark i planområdets yttre gränser mot nordöst respektive nordväst, inom vilket befintliga fornlämningar bestående av gränsrösen bevaras.</w:t>
      </w:r>
    </w:p>
    <w:p>
      <w:pPr>
        <w:pStyle w:val="P2"/>
        <w:rPr>
          <w:rFonts w:eastAsia="Arial"/>
          <w:lang w:eastAsia="sv-SE"/>
        </w:rPr>
      </w:pPr>
      <w:bookmarkEnd w:id="120"/>
      <w:bookmarkStart w:id="121" w:name="_Toc132874004"/>
      <w:bookmarkStart w:id="122" w:name="_Toc153284660"/>
      <w:bookmarkStart w:id="123" w:name="_Toc981062712"/>
      <w:bookmarkStart w:id="124" w:name="be_allmänplats01"/>
      <w:r>
        <w:rPr>
          <w:rFonts w:eastAsia="Arial"/>
          <w:lang w:eastAsia="sv-SE"/>
        </w:rPr>
        <w:t>Allmän plats</w:t>
      </w:r>
      <w:bookmarkEnd w:id="121"/>
      <w:bookmarkEnd w:id="122"/>
      <w:bookmarkEnd w:id="123"/>
    </w:p>
    <w:p>
      <w:pPr>
        <w:rPr>
          <w:color w:val="auto"/>
          <w:shd w:val="clear" w:color="auto" w:fill="FFFFFF"/>
        </w:rPr>
      </w:pPr>
      <w:bookmarkStart w:id="125" w:name="_Toc89445978"/>
      <w:bookmarkStart w:id="126" w:name="_Toc90561130"/>
      <w:r>
        <w:rPr>
          <w:color w:val="auto"/>
          <w:shd w:val="clear" w:color="auto" w:fill="FFFFFF"/>
        </w:rPr>
        <w:t>Detaljplanen möjliggör för allmän platsmark genom användningen GATA, NATUR och PARK.</w:t>
      </w:r>
    </w:p>
    <w:p>
      <w:pPr>
        <w:rPr>
          <w:shd w:val="clear" w:color="auto" w:fill="FFFFFF"/>
        </w:rPr>
      </w:pPr>
      <w:r>
        <w:rPr>
          <w:color w:val="auto"/>
          <w:shd w:val="clear" w:color="auto" w:fill="FFFFFF"/>
        </w:rPr>
        <w:t>Detaljplaneförslaget medför en breddning av Brunnbyvägen vid infarten till Myrberget samt en breddning gatumark av gatumarken vändplan samt gång- och cykelbana. Detta möjliggörs genom att en mindre del naturmark i gällande detaljplan överförs till gatumark.</w:t>
      </w:r>
      <w:r>
        <w:rPr>
          <w:shd w:val="clear" w:color="auto" w:fill="FFFFFF"/>
        </w:rPr>
        <w:t xml:space="preserve"> I övrigt medför planen ingen förändring av befintlig gatumark.</w:t>
      </w:r>
    </w:p>
    <w:p>
      <w:r>
        <w:t>Lokalgatan som förbinder planområdet med Brunnbyvägen och vidare fram till T-korsning mot Träfallet utformas med en sektion på 13,5 meter. Det ger plats för en separat gång- och cykelbana, zon för dagvattenhantering och grönska/träd samt körbana. Del av lokalgatan som kopplar vidare till Träfallet utformas med en sektion på 12 meter som ger plats för en separat gång- och cykelbana, zon för dagvattenhantering och grönska samt körbana. På natursidan av vägen föreslås en enkelrad av träd.</w:t>
      </w:r>
    </w:p>
    <w:p>
      <w:r>
        <w:t>Övrig lokalgata i den rundgående slingan har en sektion på 11 meter som ger plats för körbana med cykel i blandtrafik, zon för dagvattenhantering och grönska, samt en separat gångbana.</w:t>
      </w:r>
    </w:p>
    <w:p>
      <w:r>
        <w:t>Förlängning av lokalgatan i koppling till ny verksamhetsmark har ett gatuområde på 10 meter lika övriga gator inom verksamhetsområdet Ar.</w:t>
      </w:r>
    </w:p>
    <w:p>
      <w:r>
        <w:rPr>
          <w:noProof w:val="1"/>
        </w:rPr>
        <w:drawing>
          <wp:inline xmlns:wp="http://schemas.openxmlformats.org/drawingml/2006/wordprocessingDrawing" distT="0" distB="0" distL="0" distR="0">
            <wp:extent cx="5041265" cy="1581150"/>
            <wp:effectExtent l="0" t="0" r="6985" b="0"/>
            <wp:docPr id="1276001974" name="Bildobjekt 9" descr="P3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001974" name="Bildobjekt 9" descr="P379#yIS1"/>
                    <pic:cNvPicPr/>
                  </pic:nvPicPr>
                  <pic:blipFill dpi="0">
                    <a:blip xmlns:r="http://schemas.openxmlformats.org/officeDocument/2006/relationships" r:embed="Relimage26"/>
                    <a:srcRect t="25120" b="30518"/>
                    <a:stretch>
                      <a:fillRect/>
                    </a:stretch>
                  </pic:blipFill>
                  <pic:spPr bwMode="auto">
                    <a:xfrm>
                      <a:off x="0" y="0"/>
                      <a:ext cx="5041265" cy="1581150"/>
                    </a:xfrm>
                    <a:prstGeom prst="rect"/>
                    <a:ln>
                      <a:noFill/>
                    </a:ln>
                  </pic:spPr>
                </pic:pic>
              </a:graphicData>
            </a:graphic>
          </wp:inline>
        </w:drawing>
      </w:r>
      <w:r>
        <w:t xml:space="preserve"> </w:t>
      </w:r>
    </w:p>
    <w:p>
      <w:pPr>
        <w:pStyle w:val="P60"/>
        <w:rPr>
          <w:color w:val="auto"/>
        </w:rPr>
      </w:pPr>
      <w:r>
        <w:rPr>
          <w:color w:val="auto"/>
        </w:rPr>
        <w:t>Figur 23a: Typsektion för lokalgata 13,5 meter (Väv Arkitekter).</w:t>
      </w:r>
    </w:p>
    <w:p>
      <w:pPr>
        <w:pStyle w:val="P60"/>
        <w:rPr>
          <w:noProof w:val="1"/>
          <w:color w:val="EE0000"/>
        </w:rPr>
      </w:pPr>
    </w:p>
    <w:p>
      <w:pPr>
        <w:rPr>
          <w:i w:val="1"/>
          <w:iCs w:val="1"/>
          <w:color w:val="auto"/>
          <w:sz w:val="18"/>
          <w:szCs w:val="18"/>
        </w:rPr>
      </w:pPr>
      <w:r>
        <w:rPr>
          <w:noProof w:val="1"/>
        </w:rPr>
        <w:drawing>
          <wp:inline xmlns:wp="http://schemas.openxmlformats.org/drawingml/2006/wordprocessingDrawing" distT="0" distB="0" distL="0" distR="0">
            <wp:extent cx="5039995" cy="1550035"/>
            <wp:effectExtent l="0" t="0" r="8255" b="0"/>
            <wp:docPr id="1432499419" name="Bildobjekt 15" descr="P3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99419" name="Bildobjekt 15" descr="P382#yIS1"/>
                    <pic:cNvPicPr/>
                  </pic:nvPicPr>
                  <pic:blipFill dpi="0">
                    <a:blip xmlns:r="http://schemas.openxmlformats.org/officeDocument/2006/relationships" r:embed="Relimage27"/>
                    <a:srcRect t="18268" b="38224"/>
                    <a:stretch>
                      <a:fillRect/>
                    </a:stretch>
                  </pic:blipFill>
                  <pic:spPr bwMode="auto">
                    <a:xfrm>
                      <a:off x="0" y="0"/>
                      <a:ext cx="5041265" cy="1550726"/>
                    </a:xfrm>
                    <a:prstGeom prst="rect"/>
                    <a:ln>
                      <a:noFill/>
                    </a:ln>
                  </pic:spPr>
                </pic:pic>
              </a:graphicData>
            </a:graphic>
          </wp:inline>
        </w:drawing>
      </w:r>
      <w:r>
        <w:rPr>
          <w:i w:val="1"/>
          <w:iCs w:val="1"/>
          <w:color w:val="auto"/>
          <w:sz w:val="18"/>
          <w:szCs w:val="18"/>
        </w:rPr>
        <w:t>Figur 23b: Typsektion för lokalgata 12 meter (Väv Arkitekter).</w:t>
      </w:r>
    </w:p>
    <w:p>
      <w:pPr>
        <w:rPr>
          <w:color w:val="auto"/>
        </w:rPr>
      </w:pPr>
      <w:r>
        <w:rPr>
          <w:noProof w:val="1"/>
        </w:rPr>
        <w:drawing>
          <wp:inline xmlns:wp="http://schemas.openxmlformats.org/drawingml/2006/wordprocessingDrawing" distT="0" distB="0" distL="0" distR="0">
            <wp:extent cx="5041265" cy="1724025"/>
            <wp:effectExtent l="0" t="0" r="6985" b="9525"/>
            <wp:docPr id="802176325" name="Bildobjekt 11" descr="P3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176325" name="Bildobjekt 11" descr="P383#yIS1"/>
                    <pic:cNvPicPr/>
                  </pic:nvPicPr>
                  <pic:blipFill dpi="0">
                    <a:blip xmlns:r="http://schemas.openxmlformats.org/officeDocument/2006/relationships" r:embed="Relimage28"/>
                    <a:srcRect t="24319" b="27312"/>
                    <a:stretch>
                      <a:fillRect/>
                    </a:stretch>
                  </pic:blipFill>
                  <pic:spPr bwMode="auto">
                    <a:xfrm>
                      <a:off x="0" y="0"/>
                      <a:ext cx="5041265" cy="1724025"/>
                    </a:xfrm>
                    <a:prstGeom prst="rect"/>
                    <a:ln>
                      <a:noFill/>
                    </a:ln>
                  </pic:spPr>
                </pic:pic>
              </a:graphicData>
            </a:graphic>
          </wp:inline>
        </w:drawing>
      </w:r>
      <w:r>
        <w:rPr>
          <w:i w:val="1"/>
          <w:iCs w:val="1"/>
          <w:color w:val="auto"/>
          <w:sz w:val="18"/>
          <w:szCs w:val="18"/>
        </w:rPr>
        <w:t>Figur 23c: Typsektion för lokalgata 11 meter (Väv Arkitekter).</w:t>
      </w:r>
    </w:p>
    <w:p>
      <w:pPr>
        <w:rPr>
          <w:color w:val="auto"/>
        </w:rPr>
      </w:pPr>
    </w:p>
    <w:p>
      <w:pPr>
        <w:rPr>
          <w:color w:val="auto"/>
          <w:shd w:val="clear" w:color="auto" w:fill="FFFFFF"/>
        </w:rPr>
      </w:pPr>
      <w:r>
        <w:rPr>
          <w:color w:val="auto"/>
        </w:rPr>
        <w:t>Naturmarken inom planområdet utgörs av skog, natur och berg i dagen som bevaras och som föreslås kompletteras med gång- och cykelstråk och ytor för hantering av dagvatten. Ambitionen är även att anlägga stigar, faunadepåer och andra ekosystem- och skyddsåtgärder för att utveckla befintliga sociala och ekologiska värden.</w:t>
      </w:r>
    </w:p>
    <w:p>
      <w:r>
        <w:rPr>
          <w:color w:val="auto"/>
        </w:rPr>
        <w:t xml:space="preserve">Den centrala parken utgör en målpunkt i området. Större delen av parkmarken ligger på platsen för den tidigare deponin för sten- </w:t>
      </w:r>
      <w:r>
        <w:t xml:space="preserve">och schaktmassor och består av en kulle i landskapet som delvis omges av uppväxta träd. </w:t>
      </w:r>
    </w:p>
    <w:p>
      <w:r>
        <w:t xml:space="preserve">Uppväxt skog kan gallras och utvecklas med grillplats och pulkabacke. I parken planeras även en flack, öppen och solig yta där gräsmatta kan anläggas för spontan bollek, picknick och dylikt. </w:t>
      </w:r>
    </w:p>
    <w:p>
      <w:pPr>
        <w:rPr>
          <w:color w:val="auto"/>
        </w:rPr>
      </w:pPr>
      <w:r>
        <w:rPr>
          <w:shd w:val="clear" w:color="auto" w:fill="FFFFFF"/>
        </w:rPr>
        <w:t xml:space="preserve">Användningarna GATA, NATUR och PARK samt bestämmelser om utformning av allmän plats säkrar gång- och cykelvägar </w:t>
      </w:r>
      <w:r>
        <w:rPr>
          <w:color w:val="auto"/>
          <w:shd w:val="clear" w:color="auto" w:fill="FFFFFF"/>
        </w:rPr>
        <w:t>samt yta för dagvattenhantering och ledningsdragning.</w:t>
      </w:r>
    </w:p>
    <w:p>
      <w:r>
        <w:rPr>
          <w:noProof w:val="1"/>
        </w:rPr>
        <w:drawing>
          <wp:inline xmlns:wp="http://schemas.openxmlformats.org/drawingml/2006/wordprocessingDrawing" distT="0" distB="0" distL="0" distR="0">
            <wp:extent cx="4980940" cy="4021455"/>
            <wp:effectExtent l="0" t="0" r="0" b="0"/>
            <wp:docPr id="1248611961" name="drawing" descr="P3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611961" name="drawing" descr="P389#yIS1"/>
                    <pic:cNvPicPr/>
                  </pic:nvPicPr>
                  <pic:blipFill dpi="0">
                    <a:blip xmlns:r="http://schemas.openxmlformats.org/officeDocument/2006/relationships" r:embed="Relimage29"/>
                    <a:srcRect l="8262" r="5335"/>
                    <a:stretch>
                      <a:fillRect/>
                    </a:stretch>
                  </pic:blipFill>
                  <pic:spPr bwMode="auto">
                    <a:xfrm>
                      <a:off x="0" y="0"/>
                      <a:ext cx="5001847" cy="4038064"/>
                    </a:xfrm>
                    <a:prstGeom prst="rect"/>
                    <a:ln>
                      <a:noFill/>
                    </a:ln>
                  </pic:spPr>
                </pic:pic>
              </a:graphicData>
            </a:graphic>
          </wp:inline>
        </w:drawing>
      </w:r>
      <w:r>
        <w:rPr>
          <w:i w:val="1"/>
          <w:iCs w:val="1"/>
          <w:sz w:val="18"/>
          <w:szCs w:val="18"/>
        </w:rPr>
        <w:t>Figur 23d: Infrastruktur och målpunkter. Infrastrukturen är uppbyggd för att man enkelt ska kunna röra sig till och från området och via intilliggande detaljplan för Träfallet, Vrå 1:3 med flera. (Källa: VÄV arkitekter)</w:t>
      </w:r>
    </w:p>
    <w:p>
      <w:pPr>
        <w:pStyle w:val="P3"/>
        <w:rPr>
          <w:rFonts w:eastAsia="Arial"/>
        </w:rPr>
      </w:pPr>
      <w:bookmarkEnd w:id="124"/>
      <w:bookmarkStart w:id="127" w:name="be_huvudmannaskap01"/>
      <w:r>
        <w:rPr>
          <w:rFonts w:eastAsia="Arial"/>
        </w:rPr>
        <w:t>Huvudmannaskap</w:t>
      </w:r>
      <w:bookmarkEnd w:id="125"/>
      <w:bookmarkEnd w:id="126"/>
    </w:p>
    <w:p>
      <w:pPr>
        <w:rPr>
          <w:color w:val="auto"/>
          <w:shd w:val="clear" w:color="auto" w:fill="FFFFFF"/>
        </w:rPr>
      </w:pPr>
      <w:r>
        <w:rPr>
          <w:color w:val="auto"/>
          <w:shd w:val="clear" w:color="auto" w:fill="FFFFFF"/>
        </w:rPr>
        <w:t>Kommunen avses vara huvudman för allmän plats.</w:t>
      </w:r>
      <w:bookmarkEnd w:id="127"/>
    </w:p>
    <w:p>
      <w:pPr>
        <w:pStyle w:val="P2"/>
        <w:rPr>
          <w:rFonts w:eastAsia="Arial"/>
          <w:lang w:eastAsia="sv-SE"/>
        </w:rPr>
      </w:pPr>
      <w:bookmarkStart w:id="128" w:name="_Toc89445979"/>
      <w:bookmarkStart w:id="129" w:name="_Toc90561131"/>
      <w:bookmarkStart w:id="130" w:name="_Toc132874005"/>
      <w:bookmarkStart w:id="131" w:name="_Toc153284661"/>
      <w:bookmarkStart w:id="132" w:name="_Toc825396875"/>
      <w:bookmarkStart w:id="133" w:name="be_kvartersmark01"/>
      <w:r>
        <w:rPr>
          <w:rFonts w:eastAsia="Arial"/>
          <w:lang w:eastAsia="sv-SE"/>
        </w:rPr>
        <w:t>K</w:t>
      </w:r>
      <w:bookmarkEnd w:id="128"/>
      <w:bookmarkEnd w:id="129"/>
      <w:r>
        <w:rPr>
          <w:rFonts w:eastAsia="Arial"/>
          <w:lang w:eastAsia="sv-SE"/>
        </w:rPr>
        <w:t>vartersmark</w:t>
      </w:r>
      <w:bookmarkEnd w:id="130"/>
      <w:bookmarkEnd w:id="131"/>
      <w:bookmarkEnd w:id="132"/>
    </w:p>
    <w:p>
      <w:pPr>
        <w:rPr>
          <w:color w:val="auto"/>
        </w:rPr>
      </w:pPr>
      <w:r>
        <w:rPr>
          <w:rFonts w:eastAsia="Arial"/>
          <w:color w:val="auto"/>
          <w:lang w:eastAsia="sv-SE"/>
        </w:rPr>
        <w:t>Detaljplanen möjliggör för användningen bostäder (B) samt bostäder med verksamheter som bostadskomplement (BZ</w:t>
      </w:r>
      <w:r>
        <w:rPr>
          <w:rFonts w:eastAsia="Arial"/>
          <w:color w:val="auto"/>
          <w:vertAlign w:val="subscript"/>
          <w:lang w:eastAsia="sv-SE"/>
        </w:rPr>
        <w:t>1</w:t>
      </w:r>
      <w:r>
        <w:rPr>
          <w:rFonts w:eastAsia="Arial"/>
          <w:color w:val="auto"/>
          <w:lang w:eastAsia="sv-SE"/>
        </w:rPr>
        <w:t xml:space="preserve">). </w:t>
      </w:r>
      <w:r>
        <w:rPr>
          <w:color w:val="auto"/>
        </w:rPr>
        <w:t>I koppling till Ar möjliggör planen för användningen verksamheter (Z). I samtliga användningar ingår komplement såsom garage, förråd, parkering med mera. Planens behov av yta för tekniska anläggningar (E) såsom transformatorstation och pumphus möjliggörs inom planområdet.</w:t>
      </w:r>
    </w:p>
    <w:p>
      <w:pPr>
        <w:rPr>
          <w:color w:val="auto"/>
        </w:rPr>
      </w:pPr>
      <w:r>
        <w:rPr>
          <w:color w:val="auto"/>
        </w:rPr>
        <w:t>Bostadsändamålet preciseras till småhusbebyggelse; radhus, parhus och kedjehus samt friliggande småhus. Höjd på huvudbyggnad motsvarar högst två våningar och regleras med högsta nockhöjd samt takvinkel. Även komplementbyggnad regleras med högsta nockhöjd och motsvarar en våning. I övrigt regleras utformning vad gäller takutformning, material, kulör, lägsta underkant grundplatta, markens genomsläpplighet och utförande i gräns mot gata och naturmark.</w:t>
      </w:r>
    </w:p>
    <w:p>
      <w:pPr>
        <w:rPr>
          <w:color w:val="auto"/>
        </w:rPr>
      </w:pPr>
      <w:r>
        <w:rPr>
          <w:color w:val="auto"/>
        </w:rPr>
        <w:t>Utnyttjandegrad reglerar största byggnadsarea i procent av fastighetsarean inom användningsområde för radhus, parhus och kedjehus, samt längsta fasadlängd för radhus och kedjehus. Utnyttjandegrad reglerar för friliggande småhus; största byggnadsarea och bruttoarea per fastighet, samt utöver detta att bruttoarea för komplementbyggnader utgöra 10% av fastighetsarean.</w:t>
      </w:r>
    </w:p>
    <w:p>
      <w:pPr>
        <w:rPr>
          <w:color w:val="auto"/>
        </w:rPr>
      </w:pPr>
      <w:r>
        <w:rPr>
          <w:color w:val="auto"/>
        </w:rPr>
        <w:t>Placeringsbestämmelser reglerar huvud- och komplementbyggnaders förhållande till fastighetsgräns, samt placering av garage och carport i förhållande till gata.</w:t>
      </w:r>
    </w:p>
    <w:p>
      <w:pPr>
        <w:rPr>
          <w:color w:val="auto"/>
        </w:rPr>
      </w:pPr>
      <w:r>
        <w:rPr>
          <w:color w:val="auto"/>
        </w:rPr>
        <w:t>Fastighetsstorlek regleras med en minsta och största areal i kvadratmeter.</w:t>
      </w:r>
    </w:p>
    <w:p>
      <w:r>
        <w:rPr>
          <w:color w:val="auto"/>
        </w:rPr>
        <w:t xml:space="preserve">Verksamhetsändamålet (Z) begränsas närmast användningsgräns mot naturmark med ett område som inte får förses med byggnad, samt därefter med ett område som endast får </w:t>
      </w:r>
      <w:r>
        <w:t>förses med komplementbyggnad. Höjd på byggnadsverk inom ändamålet regleras med högsta nockhöjd.</w:t>
      </w:r>
    </w:p>
    <w:p>
      <w:r>
        <w:rPr>
          <w:rFonts w:eastAsia="Arial"/>
          <w:lang w:eastAsia="sv-SE"/>
        </w:rPr>
        <w:t xml:space="preserve">Befintligt industriändmål inom 100 meter från kvartersmark för bostäder, i Ar ersätts med ändamål verksamheter (Z) som har en begränsad omgivningspåverkan för att </w:t>
      </w:r>
      <w:r>
        <w:t>säkerställa lokalisering med avseende på olycksrisk. Övriga planbestämmelser som tillförs denna del av planområdet bekräftar befintlig byggrätt i gällande plan; Handel med skrymmande varor och restaurang (H</w:t>
      </w:r>
      <w:r>
        <w:rPr>
          <w:vertAlign w:val="subscript"/>
        </w:rPr>
        <w:t>1</w:t>
      </w:r>
      <w:r>
        <w:t>) och Kontor (K) samt egenskapsbestämmelser gällande planteringszon mot gata, högsta byggnadshöjd, hantering av förorenat dagvatten och att verksamhet som innebär betydande olägenhet för omgivningen avseende lukt inte medges.</w:t>
      </w:r>
    </w:p>
    <w:p>
      <w:pPr>
        <w:pStyle w:val="P2"/>
        <w:rPr>
          <w:color w:val="000000" w:themeColor="text1"/>
        </w:rPr>
      </w:pPr>
      <w:bookmarkEnd w:id="133"/>
      <w:bookmarkStart w:id="134" w:name="_Toc153284663"/>
      <w:bookmarkStart w:id="135" w:name="_Toc674859660"/>
      <w:bookmarkStart w:id="136" w:name="be_genomförandetid01"/>
      <w:r>
        <w:rPr>
          <w:color w:val="000000" w:themeColor="text1"/>
        </w:rPr>
        <w:t>Genomförandetid</w:t>
      </w:r>
      <w:bookmarkEnd w:id="134"/>
      <w:bookmarkEnd w:id="135"/>
    </w:p>
    <w:p>
      <w:pPr>
        <w:rPr>
          <w:rFonts w:eastAsia="Arial"/>
          <w:shd w:val="clear" w:color="auto" w:fill="FFFFFF"/>
          <w:lang w:eastAsia="sv-SE"/>
        </w:rPr>
      </w:pPr>
      <w:r>
        <w:rPr>
          <w:rFonts w:eastAsia="Arial"/>
          <w:lang w:eastAsia="sv-SE"/>
        </w:rPr>
        <w:t>Genomförandetiden är 10 år där inget annat anges och börjar gälla fr.o.m. laga kraft-datum.</w:t>
      </w:r>
      <w:bookmarkStart w:id="137" w:name="_Toc89445977"/>
      <w:bookmarkStart w:id="138" w:name="_Toc90561129"/>
      <w:r>
        <w:rPr>
          <w:rFonts w:eastAsia="Arial"/>
          <w:shd w:val="clear" w:color="auto" w:fill="FFFFFF"/>
          <w:lang w:eastAsia="sv-SE"/>
        </w:rPr>
        <w:t xml:space="preserve"> Genomförandetiden för avgränsad del av planområdet markerad med administrativ bestämmelse är 5 år från det datum detaljplanen vinner laga kraft.</w:t>
      </w:r>
    </w:p>
    <w:p>
      <w:pPr>
        <w:rPr>
          <w:color w:val="auto"/>
        </w:rPr>
      </w:pPr>
      <w:r>
        <w:rPr>
          <w:rFonts w:eastAsia="Arial"/>
          <w:shd w:val="clear" w:color="auto" w:fill="FFFFFF"/>
          <w:lang w:eastAsia="sv-SE"/>
        </w:rPr>
        <w:t>Un</w:t>
      </w:r>
      <w:r>
        <w:t xml:space="preserve">der genomförandetiden har fastighetsägaren en garanterad rätt att bygga i enlighet med planen och detaljplanen får inte ändras utan att synnerliga skäl </w:t>
      </w:r>
      <w:r>
        <w:rPr>
          <w:color w:val="auto"/>
        </w:rPr>
        <w:t>föreligger. Efter genomförandetidens utgång fortsätter planen att gälla, men den kan då ändras eller upphävas utan att fastighetsägaren har rätt till ersättning (för exempelvis förlorad byggrätt; PBL 4 kap. 21 §).</w:t>
      </w:r>
    </w:p>
    <w:p>
      <w:pPr>
        <w:rPr>
          <w:rFonts w:eastAsia="Arial"/>
          <w:color w:val="FF0000"/>
          <w:lang w:eastAsia="sv-SE"/>
        </w:rPr>
      </w:pPr>
      <w:bookmarkEnd w:id="136"/>
      <w:bookmarkEnd w:id="137"/>
      <w:bookmarkEnd w:id="138"/>
      <w:bookmarkStart w:id="139" w:name="_Toc89445985"/>
      <w:bookmarkStart w:id="140" w:name="_Toc90561137"/>
      <w:bookmarkStart w:id="141" w:name="_Toc132874010"/>
      <w:r>
        <w:rPr>
          <w:rFonts w:cstheme="majorBidi" w:eastAsia="Arial"/>
          <w:lang w:eastAsia="sv-SE"/>
        </w:rPr>
        <w:br w:type="page"/>
      </w:r>
    </w:p>
    <w:p>
      <w:pPr>
        <w:pStyle w:val="P26"/>
        <w:numPr>
          <w:ilvl w:val="0"/>
          <w:numId w:val="0"/>
        </w:numPr>
        <w:ind w:hanging="1134" w:left="1134"/>
        <w:rPr>
          <w:rFonts w:cstheme="majorBidi" w:eastAsia="Arial"/>
          <w:b w:val="1"/>
          <w:bCs w:val="1"/>
          <w:lang w:eastAsia="sv-SE"/>
        </w:rPr>
      </w:pPr>
      <w:bookmarkStart w:id="142" w:name="_Toc153284664"/>
      <w:bookmarkStart w:id="143" w:name="_Toc1747042484"/>
      <w:r>
        <w:rPr>
          <w:rFonts w:cstheme="majorBidi" w:eastAsia="Arial"/>
          <w:b w:val="1"/>
          <w:bCs w:val="1"/>
          <w:lang w:eastAsia="sv-SE"/>
        </w:rPr>
        <w:t>Motiv till detaljplanens regleringar</w:t>
      </w:r>
      <w:bookmarkEnd w:id="139"/>
      <w:bookmarkEnd w:id="140"/>
      <w:bookmarkEnd w:id="141"/>
      <w:bookmarkEnd w:id="142"/>
      <w:bookmarkEnd w:id="143"/>
    </w:p>
    <w:p>
      <w:pPr>
        <w:rPr>
          <w:rFonts w:eastAsia="Arial"/>
          <w:color w:val="auto"/>
        </w:rPr>
      </w:pPr>
      <w:bookmarkStart w:id="144" w:name="_Toc132874011"/>
      <w:bookmarkStart w:id="145" w:name="_Toc89445987"/>
      <w:bookmarkStart w:id="146" w:name="_Toc90561139"/>
      <w:r>
        <w:rPr>
          <w:rFonts w:eastAsia="Arial"/>
        </w:rPr>
        <w:t>2 kap. 3 § BFS 2020:8</w:t>
      </w:r>
      <w:r>
        <w:br w:type="textWrapping"/>
      </w:r>
      <w:r>
        <w:rPr>
          <w:rFonts w:eastAsia="Arial"/>
          <w:noProof w:val="1"/>
        </w:rPr>
        <w:drawing>
          <wp:inline xmlns:wp="http://schemas.openxmlformats.org/drawingml/2006/wordprocessingDrawing" distT="0" distB="0" distL="0" distR="0">
            <wp:extent cx="5041265" cy="3684905"/>
            <wp:effectExtent l="0" t="0" r="6985" b="0"/>
            <wp:docPr id="1073227335" name="Bildobjekt 1" descr="P4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227335" name="Bildobjekt 1" descr="P405#yIS1"/>
                    <pic:cNvPicPr/>
                  </pic:nvPicPr>
                  <pic:blipFill dpi="0">
                    <a:blip xmlns:r="http://schemas.openxmlformats.org/officeDocument/2006/relationships" r:embed="Relimage30"/>
                    <a:srcRect/>
                    <a:stretch>
                      <a:fillRect/>
                    </a:stretch>
                  </pic:blipFill>
                  <pic:spPr>
                    <a:xfrm>
                      <a:off x="0" y="0"/>
                      <a:ext cx="5041265" cy="3684905"/>
                    </a:xfrm>
                    <a:prstGeom prst="rect"/>
                  </pic:spPr>
                </pic:pic>
              </a:graphicData>
            </a:graphic>
          </wp:inline>
        </w:drawing>
      </w:r>
      <w:r>
        <w:rPr>
          <w:rFonts w:eastAsia="Arial"/>
          <w:i w:val="1"/>
          <w:iCs w:val="1"/>
          <w:sz w:val="18"/>
          <w:szCs w:val="18"/>
        </w:rPr>
        <w:t>Figur 24: Plankarta (Knivsta kommun).</w:t>
      </w:r>
    </w:p>
    <w:p>
      <w:pPr>
        <w:pStyle w:val="P2"/>
        <w:rPr>
          <w:rFonts w:eastAsia="Arial"/>
        </w:rPr>
      </w:pPr>
      <w:bookmarkStart w:id="147" w:name="_Toc153284665"/>
      <w:bookmarkStart w:id="148" w:name="_Toc909065122"/>
      <w:r>
        <w:rPr>
          <w:rFonts w:eastAsia="Arial"/>
        </w:rPr>
        <w:t>Motiv till reglering</w:t>
      </w:r>
      <w:bookmarkEnd w:id="144"/>
      <w:bookmarkEnd w:id="147"/>
      <w:bookmarkEnd w:id="148"/>
    </w:p>
    <w:p>
      <w:pPr>
        <w:pStyle w:val="P3"/>
        <w:rPr>
          <w:rFonts w:eastAsia="Arial"/>
        </w:rPr>
      </w:pPr>
      <w:r>
        <w:rPr>
          <w:rFonts w:eastAsia="Arial"/>
        </w:rPr>
        <w:t>Användning av allmän plats</w:t>
      </w:r>
      <w:bookmarkEnd w:id="145"/>
      <w:bookmarkEnd w:id="146"/>
    </w:p>
    <w:p>
      <w:pPr>
        <w:pStyle w:val="P61"/>
        <w:rPr>
          <w:rFonts w:asciiTheme="minorHAnsi" w:hAnsiTheme="minorHAnsi" w:cstheme="minorBidi"/>
          <w:color w:val="auto"/>
          <w:lang w:val="sv-SE" w:eastAsia="sv-SE"/>
        </w:rPr>
      </w:pPr>
      <w:bookmarkStart w:id="149" w:name="mo_motivtillreglering01"/>
      <w:r>
        <w:rPr>
          <w:rFonts w:asciiTheme="minorHAnsi" w:hAnsiTheme="minorHAnsi" w:cstheme="minorBidi"/>
          <w:color w:val="auto"/>
          <w:lang w:val="sv-SE" w:eastAsia="sv-SE"/>
        </w:rPr>
        <w:t>GATA: Syftet är att möjliggöra för allmän plats, gata med kommunalt</w:t>
      </w:r>
    </w:p>
    <w:p>
      <w:pPr>
        <w:pStyle w:val="P61"/>
        <w:rPr>
          <w:rFonts w:asciiTheme="minorHAnsi" w:hAnsiTheme="minorHAnsi" w:cstheme="minorBidi"/>
          <w:i w:val="1"/>
          <w:iCs w:val="1"/>
          <w:color w:val="auto"/>
          <w:lang w:val="sv-SE" w:eastAsia="sv-SE"/>
        </w:rPr>
      </w:pPr>
      <w:r>
        <w:rPr>
          <w:rFonts w:asciiTheme="minorHAnsi" w:hAnsiTheme="minorHAnsi" w:cstheme="minorBidi"/>
          <w:color w:val="auto"/>
          <w:lang w:val="sv-SE" w:eastAsia="sv-SE"/>
        </w:rPr>
        <w:t xml:space="preserve">huvudmannaskap och möjliggöra för både fordonstrafik och gång- och cykeltrafik. </w:t>
      </w:r>
      <w:r>
        <w:rPr>
          <w:rFonts w:asciiTheme="minorHAnsi" w:hAnsiTheme="minorHAnsi" w:cstheme="minorBidi"/>
          <w:i w:val="1"/>
          <w:iCs w:val="1"/>
          <w:color w:val="auto"/>
          <w:lang w:val="sv-SE" w:eastAsia="sv-SE"/>
        </w:rPr>
        <w:t>Bestämmelsen har stöd i PBL 4 kap. 5 § 1 st. 2 p.</w:t>
      </w:r>
    </w:p>
    <w:p>
      <w:pPr>
        <w:pStyle w:val="P61"/>
        <w:rPr>
          <w:rFonts w:asciiTheme="minorHAnsi" w:hAnsiTheme="minorHAnsi" w:cstheme="minorBidi"/>
          <w:color w:val="auto"/>
          <w:lang w:val="sv-SE" w:eastAsia="sv-SE"/>
        </w:rPr>
      </w:pPr>
      <w:bookmarkEnd w:id="149"/>
    </w:p>
    <w:p>
      <w:pPr>
        <w:pStyle w:val="P61"/>
        <w:rPr>
          <w:rFonts w:asciiTheme="minorHAnsi" w:hAnsiTheme="minorHAnsi" w:cstheme="minorBidi"/>
          <w:color w:val="auto"/>
          <w:lang w:val="sv-SE" w:eastAsia="sv-SE"/>
        </w:rPr>
      </w:pPr>
      <w:bookmarkStart w:id="150" w:name="mo_motivtillreglering02"/>
      <w:r>
        <w:rPr>
          <w:rFonts w:asciiTheme="minorHAnsi" w:hAnsiTheme="minorHAnsi" w:cstheme="minorBidi"/>
          <w:color w:val="auto"/>
          <w:lang w:val="sv-SE" w:eastAsia="sv-SE"/>
        </w:rPr>
        <w:t>PARK:</w:t>
      </w:r>
      <w:r>
        <w:rPr>
          <w:rFonts w:asciiTheme="minorHAnsi" w:hAnsiTheme="minorHAnsi" w:cstheme="minorBidi"/>
          <w:color w:val="auto"/>
          <w:lang w:val="sv-SE"/>
        </w:rPr>
        <w:t xml:space="preserve"> </w:t>
      </w:r>
      <w:r>
        <w:rPr>
          <w:rFonts w:asciiTheme="minorHAnsi" w:hAnsiTheme="minorHAnsi" w:cstheme="minorBidi"/>
          <w:color w:val="auto"/>
          <w:lang w:val="sv-SE" w:eastAsia="sv-SE"/>
        </w:rPr>
        <w:t>Syftet är att möjliggöra för allmän plats, park med kommunalt</w:t>
      </w:r>
    </w:p>
    <w:p>
      <w:pPr>
        <w:pStyle w:val="P61"/>
        <w:rPr>
          <w:rFonts w:asciiTheme="minorHAnsi" w:hAnsiTheme="minorHAnsi" w:cstheme="minorBidi"/>
          <w:color w:val="auto"/>
          <w:lang w:val="sv-SE" w:eastAsia="sv-SE"/>
        </w:rPr>
      </w:pPr>
      <w:r>
        <w:rPr>
          <w:rFonts w:asciiTheme="minorHAnsi" w:hAnsiTheme="minorHAnsi" w:cstheme="minorBidi"/>
          <w:color w:val="auto"/>
          <w:lang w:val="sv-SE" w:eastAsia="sv-SE"/>
        </w:rPr>
        <w:t>huvudmannaskap. Användningen park används för områden för grönområden som</w:t>
      </w:r>
    </w:p>
    <w:p>
      <w:pPr>
        <w:pStyle w:val="P61"/>
        <w:rPr>
          <w:rFonts w:asciiTheme="minorHAnsi" w:hAnsiTheme="minorHAnsi" w:cstheme="minorBidi"/>
          <w:i w:val="1"/>
          <w:iCs w:val="1"/>
          <w:color w:val="auto"/>
          <w:lang w:val="sv-SE" w:eastAsia="sv-SE"/>
        </w:rPr>
      </w:pPr>
      <w:r>
        <w:rPr>
          <w:rFonts w:asciiTheme="minorHAnsi" w:hAnsiTheme="minorHAnsi" w:cstheme="minorBidi"/>
          <w:color w:val="auto"/>
          <w:lang w:val="sv-SE" w:eastAsia="sv-SE"/>
        </w:rPr>
        <w:t xml:space="preserve">kräver skötsel och som helt eller till viss del är anlagda. I användningen ingår gång- och cykelväg och områden för rekreativt ändamål såsom lekpark, gräsytor och planteringar. </w:t>
      </w:r>
      <w:r>
        <w:rPr>
          <w:rFonts w:asciiTheme="minorHAnsi" w:hAnsiTheme="minorHAnsi" w:cstheme="minorBidi"/>
          <w:i w:val="1"/>
          <w:iCs w:val="1"/>
          <w:color w:val="auto"/>
          <w:lang w:val="sv-SE" w:eastAsia="sv-SE"/>
        </w:rPr>
        <w:t>Bestämmelsen har stöd i PBL 4 kap. 5 § 1 st. 2 p.</w:t>
      </w:r>
    </w:p>
    <w:p>
      <w:pPr>
        <w:pStyle w:val="P61"/>
        <w:rPr>
          <w:rFonts w:asciiTheme="minorHAnsi" w:hAnsiTheme="minorHAnsi" w:cstheme="minorBidi"/>
          <w:color w:val="auto"/>
          <w:lang w:val="sv-SE" w:eastAsia="sv-SE"/>
        </w:rPr>
      </w:pPr>
      <w:bookmarkEnd w:id="150"/>
    </w:p>
    <w:p>
      <w:pPr>
        <w:pStyle w:val="P61"/>
        <w:rPr>
          <w:rFonts w:asciiTheme="minorHAnsi" w:hAnsiTheme="minorHAnsi" w:cstheme="minorBidi"/>
          <w:color w:val="auto"/>
          <w:lang w:val="sv-SE" w:eastAsia="sv-SE"/>
        </w:rPr>
      </w:pPr>
      <w:bookmarkStart w:id="151" w:name="mo_motivtillreglering03"/>
      <w:r>
        <w:rPr>
          <w:rFonts w:asciiTheme="minorHAnsi" w:hAnsiTheme="minorHAnsi" w:cstheme="minorBidi"/>
          <w:color w:val="auto"/>
          <w:lang w:val="sv-SE" w:eastAsia="sv-SE"/>
        </w:rPr>
        <w:t>NATUR:</w:t>
      </w:r>
      <w:r>
        <w:rPr>
          <w:rFonts w:asciiTheme="minorHAnsi" w:hAnsiTheme="minorHAnsi" w:cstheme="minorBidi"/>
          <w:color w:val="auto"/>
          <w:lang w:val="sv-SE"/>
        </w:rPr>
        <w:t xml:space="preserve"> </w:t>
      </w:r>
      <w:r>
        <w:rPr>
          <w:rFonts w:asciiTheme="minorHAnsi" w:hAnsiTheme="minorHAnsi" w:cstheme="minorBidi"/>
          <w:color w:val="auto"/>
          <w:lang w:val="sv-SE" w:eastAsia="sv-SE"/>
        </w:rPr>
        <w:t>Syftet är att möjliggöra för allmän plats, natur med kommunalt</w:t>
      </w:r>
    </w:p>
    <w:p>
      <w:pPr>
        <w:pStyle w:val="P61"/>
        <w:rPr>
          <w:rFonts w:asciiTheme="minorHAnsi" w:hAnsiTheme="minorHAnsi" w:cstheme="minorBidi"/>
          <w:i w:val="1"/>
          <w:iCs w:val="1"/>
          <w:color w:val="auto"/>
          <w:lang w:val="sv-SE" w:eastAsia="sv-SE"/>
        </w:rPr>
      </w:pPr>
      <w:r>
        <w:rPr>
          <w:rFonts w:asciiTheme="minorHAnsi" w:hAnsiTheme="minorHAnsi" w:cstheme="minorBidi"/>
          <w:color w:val="auto"/>
          <w:lang w:val="sv-SE" w:eastAsia="sv-SE"/>
        </w:rPr>
        <w:t>huvudmannaskap. Användningen natur</w:t>
      </w:r>
      <w:r>
        <w:rPr>
          <w:rFonts w:asciiTheme="minorHAnsi" w:hAnsiTheme="minorHAnsi" w:cstheme="minorBidi"/>
          <w:color w:val="auto"/>
          <w:shd w:val="clear" w:color="auto" w:fill="FFFFFF"/>
          <w:lang w:val="sv-SE"/>
        </w:rPr>
        <w:t xml:space="preserve"> </w:t>
      </w:r>
      <w:r>
        <w:rPr>
          <w:rFonts w:asciiTheme="minorHAnsi" w:hAnsiTheme="minorHAnsi" w:cstheme="minorBidi"/>
          <w:color w:val="auto"/>
          <w:lang w:val="sv-SE" w:eastAsia="sv-SE"/>
        </w:rPr>
        <w:t xml:space="preserve">används för grönområden som inte är anlagda och som inte kräver någon omfattande skötsel. I användningen ingår gång- och cykelväg samt utrymme för omhändertagande av dagvatten i form av dagvattenanläggningar. </w:t>
      </w:r>
      <w:r>
        <w:rPr>
          <w:rFonts w:asciiTheme="minorHAnsi" w:hAnsiTheme="minorHAnsi" w:cstheme="minorBidi"/>
          <w:i w:val="1"/>
          <w:iCs w:val="1"/>
          <w:color w:val="auto"/>
          <w:lang w:val="sv-SE" w:eastAsia="sv-SE"/>
        </w:rPr>
        <w:t>Bestämmelsen har stöd i PBL 4 kap. 5 § 1 st. 2 p.</w:t>
      </w:r>
      <w:bookmarkEnd w:id="151"/>
    </w:p>
    <w:p>
      <w:pPr>
        <w:pStyle w:val="P3"/>
        <w:rPr>
          <w:rFonts w:eastAsia="Arial"/>
        </w:rPr>
      </w:pPr>
      <w:bookmarkStart w:id="152" w:name="_Toc89445988"/>
      <w:bookmarkStart w:id="153" w:name="_Toc90561140"/>
      <w:r>
        <w:rPr>
          <w:rFonts w:eastAsia="Arial"/>
        </w:rPr>
        <w:t>A</w:t>
      </w:r>
      <w:bookmarkEnd w:id="152"/>
      <w:bookmarkEnd w:id="153"/>
      <w:r>
        <w:rPr>
          <w:rFonts w:eastAsia="Arial"/>
        </w:rPr>
        <w:t>nvändning av kvartersmark</w:t>
      </w:r>
    </w:p>
    <w:p>
      <w:pPr>
        <w:pStyle w:val="P61"/>
        <w:rPr>
          <w:rFonts w:asciiTheme="minorHAnsi" w:hAnsiTheme="minorHAnsi" w:cstheme="minorBidi"/>
          <w:i w:val="1"/>
          <w:iCs w:val="1"/>
          <w:color w:val="auto"/>
          <w:lang w:val="sv-SE" w:eastAsia="sv-SE"/>
        </w:rPr>
      </w:pPr>
      <w:bookmarkStart w:id="154" w:name="mo_motivtillreglering04"/>
      <w:bookmarkStart w:id="155" w:name="_Toc90561141"/>
      <w:r>
        <w:rPr>
          <w:rFonts w:asciiTheme="minorHAnsi" w:hAnsiTheme="minorHAnsi" w:cstheme="minorBidi"/>
          <w:color w:val="auto"/>
          <w:lang w:val="sv-SE" w:eastAsia="sv-SE"/>
        </w:rPr>
        <w:t xml:space="preserve">B - Bostäder: Syftet är att möjliggöra för bostäder. </w:t>
      </w:r>
      <w:r>
        <w:rPr>
          <w:rFonts w:asciiTheme="minorHAnsi" w:hAnsiTheme="minorHAnsi" w:cstheme="minorBidi"/>
          <w:i w:val="1"/>
          <w:iCs w:val="1"/>
          <w:color w:val="auto"/>
          <w:lang w:val="sv-SE" w:eastAsia="sv-SE"/>
        </w:rPr>
        <w:t>Bestämmelsen har stöd i PBL 4 kap. 5 § 1 st. 3 p.</w:t>
      </w:r>
      <w:bookmarkEnd w:id="154"/>
    </w:p>
    <w:p>
      <w:pPr>
        <w:pStyle w:val="P61"/>
        <w:rPr>
          <w:rFonts w:asciiTheme="minorHAnsi" w:hAnsiTheme="minorHAnsi" w:cstheme="minorBidi"/>
          <w:color w:val="auto"/>
          <w:lang w:val="sv-SE" w:eastAsia="sv-SE"/>
        </w:rPr>
      </w:pPr>
    </w:p>
    <w:p>
      <w:pPr>
        <w:pStyle w:val="P61"/>
        <w:rPr>
          <w:rFonts w:asciiTheme="minorHAnsi" w:hAnsiTheme="minorHAnsi" w:cstheme="minorBidi"/>
          <w:color w:val="auto"/>
          <w:lang w:val="sv-SE" w:eastAsia="sv-SE"/>
        </w:rPr>
      </w:pPr>
      <w:bookmarkStart w:id="156" w:name="mo_motivtillreglering05"/>
      <w:r>
        <w:rPr>
          <w:rFonts w:asciiTheme="minorHAnsi" w:hAnsiTheme="minorHAnsi" w:cstheme="minorBidi"/>
          <w:color w:val="auto"/>
          <w:lang w:val="sv-SE" w:eastAsia="sv-SE"/>
        </w:rPr>
        <w:t>BZ</w:t>
      </w:r>
      <w:r>
        <w:rPr>
          <w:rFonts w:asciiTheme="minorHAnsi" w:hAnsiTheme="minorHAnsi" w:cstheme="minorBidi"/>
          <w:color w:val="auto"/>
          <w:vertAlign w:val="subscript"/>
          <w:lang w:val="sv-SE" w:eastAsia="sv-SE"/>
        </w:rPr>
        <w:t>1</w:t>
      </w:r>
      <w:r>
        <w:rPr>
          <w:rFonts w:asciiTheme="minorHAnsi" w:hAnsiTheme="minorHAnsi" w:cstheme="minorBidi"/>
          <w:color w:val="auto"/>
          <w:lang w:val="sv-SE" w:eastAsia="sv-SE"/>
        </w:rPr>
        <w:t xml:space="preserve"> – Bostäder, Verksamheter som bostadskomplement: Syftet är att möjliggöra för verksamheter med begränsad omgivningspåverkan i koppling till sitt boende i Knivsta och tillskapande av arbetsplatser. Verksamheten är ett komplement till bostadsanvändningen och utgör ingen fristående användning. Detta innebär att bostaden och verksamheten hör samman. Verksamheter som bostadskomplement kan exempelvis vara tillverkning av varor, mindre fordonsservice, kontorsverksamhet m.m. </w:t>
      </w:r>
      <w:r>
        <w:rPr>
          <w:rFonts w:asciiTheme="minorHAnsi" w:hAnsiTheme="minorHAnsi" w:cstheme="minorBidi"/>
          <w:i w:val="1"/>
          <w:iCs w:val="1"/>
          <w:color w:val="auto"/>
          <w:lang w:val="sv-SE" w:eastAsia="sv-SE"/>
        </w:rPr>
        <w:t>Bestämmelsen har stöd i PBL 4 kap. 5 § 1 st. 3 p.</w:t>
      </w:r>
    </w:p>
    <w:p>
      <w:pPr>
        <w:pStyle w:val="P61"/>
        <w:rPr>
          <w:rFonts w:asciiTheme="minorHAnsi" w:hAnsiTheme="minorHAnsi" w:cstheme="minorBidi"/>
          <w:color w:val="auto"/>
          <w:lang w:val="sv-SE" w:eastAsia="sv-SE"/>
        </w:rPr>
      </w:pPr>
      <w:bookmarkEnd w:id="156"/>
    </w:p>
    <w:p>
      <w:pPr>
        <w:pStyle w:val="P61"/>
        <w:rPr>
          <w:rFonts w:asciiTheme="minorHAnsi" w:hAnsiTheme="minorHAnsi" w:cstheme="minorBidi"/>
          <w:color w:val="auto"/>
          <w:lang w:val="sv-SE" w:eastAsia="sv-SE"/>
        </w:rPr>
      </w:pPr>
      <w:bookmarkStart w:id="157" w:name="mo_motivtillreglering06"/>
      <w:r>
        <w:rPr>
          <w:rFonts w:asciiTheme="minorHAnsi" w:hAnsiTheme="minorHAnsi" w:cstheme="minorBidi"/>
          <w:color w:val="auto"/>
          <w:lang w:val="sv-SE" w:eastAsia="sv-SE"/>
        </w:rPr>
        <w:t>Z - Verksamheter: Syftet är att möjliggöra för verksamheter med begränsad omgivningspåverkan att etablera sig i Knivsta och tillskapande av arbetsplatser. Det kan exempelvis röra sig om service, lager, tillverkning med tillhörande försäljning, partihandel och annan jämförlig verksamhet med begränsad omgivningspåverkan.</w:t>
      </w:r>
      <w:r>
        <w:rPr>
          <w:rFonts w:asciiTheme="minorHAnsi" w:hAnsiTheme="minorHAnsi" w:eastAsia="Times New Roman"/>
          <w:lang w:val="sv-SE"/>
        </w:rPr>
        <w:t xml:space="preserve"> </w:t>
      </w:r>
      <w:r>
        <w:rPr>
          <w:rFonts w:asciiTheme="minorHAnsi" w:hAnsiTheme="minorHAnsi" w:cstheme="minorBidi"/>
          <w:i w:val="1"/>
          <w:iCs w:val="1"/>
          <w:color w:val="auto"/>
          <w:lang w:val="sv-SE" w:eastAsia="sv-SE"/>
        </w:rPr>
        <w:t>Bestämmelsen har stöd i PBL 4 kap. 5 § 1 st. 3 p.</w:t>
      </w:r>
    </w:p>
    <w:p>
      <w:pPr>
        <w:pStyle w:val="P61"/>
        <w:rPr>
          <w:rFonts w:asciiTheme="minorHAnsi" w:hAnsiTheme="minorHAnsi" w:cstheme="minorBidi"/>
          <w:color w:val="auto"/>
          <w:lang w:val="sv-SE" w:eastAsia="sv-SE"/>
        </w:rPr>
      </w:pPr>
      <w:bookmarkEnd w:id="157"/>
    </w:p>
    <w:p>
      <w:pPr>
        <w:pStyle w:val="P61"/>
        <w:rPr>
          <w:rFonts w:asciiTheme="minorHAnsi" w:hAnsiTheme="minorHAnsi" w:cstheme="minorBidi"/>
          <w:i w:val="1"/>
          <w:iCs w:val="1"/>
          <w:color w:val="auto"/>
          <w:lang w:val="sv-SE" w:eastAsia="sv-SE"/>
        </w:rPr>
      </w:pPr>
      <w:bookmarkStart w:id="158" w:name="mo_motivtillreglering08"/>
      <w:r>
        <w:rPr>
          <w:rFonts w:asciiTheme="minorHAnsi" w:hAnsiTheme="minorHAnsi" w:cstheme="minorBidi"/>
          <w:color w:val="auto"/>
          <w:lang w:val="sv-SE" w:eastAsia="sv-SE"/>
        </w:rPr>
        <w:t xml:space="preserve">E - Tekniska anläggningar: Syftet är att möjliggöra yta för teknisk anläggning såsom transformatorstation och pumpstation för behov inom planområdet. </w:t>
      </w:r>
      <w:r>
        <w:rPr>
          <w:rFonts w:asciiTheme="minorHAnsi" w:hAnsiTheme="minorHAnsi" w:cstheme="minorBidi"/>
          <w:i w:val="1"/>
          <w:iCs w:val="1"/>
          <w:color w:val="auto"/>
          <w:lang w:val="sv-SE" w:eastAsia="sv-SE"/>
        </w:rPr>
        <w:t>Bestämmelsen har stöd i PBL 4 kap. 5 § 1 st. 3 p.</w:t>
      </w:r>
      <w:bookmarkEnd w:id="158"/>
    </w:p>
    <w:p>
      <w:pPr>
        <w:pStyle w:val="P3"/>
        <w:rPr>
          <w:rFonts w:eastAsia="Arial"/>
          <w:color w:val="000000" w:themeColor="text1"/>
        </w:rPr>
      </w:pPr>
      <w:bookmarkEnd w:id="155"/>
      <w:bookmarkStart w:id="159" w:name="_Toc89445990"/>
      <w:bookmarkStart w:id="160" w:name="_Toc90561143"/>
      <w:r>
        <w:rPr>
          <w:rFonts w:eastAsia="Arial"/>
          <w:color w:val="000000" w:themeColor="text1"/>
        </w:rPr>
        <w:t>Egenskapsbestämmelser för allmän plats</w:t>
      </w:r>
    </w:p>
    <w:p>
      <w:pPr>
        <w:spacing w:lineRule="auto" w:line="240" w:beforeAutospacing="0" w:afterAutospacing="0"/>
        <w:rPr>
          <w:rFonts w:cstheme="minorBidi"/>
          <w:i w:val="1"/>
          <w:iCs w:val="1"/>
          <w:lang w:eastAsia="sv-SE"/>
        </w:rPr>
      </w:pPr>
      <w:bookmarkStart w:id="161" w:name="mo_motivtillreglering09"/>
      <w:r>
        <w:t>Markhöjd</w:t>
      </w:r>
      <w:r>
        <w:rPr>
          <w:rFonts w:cstheme="minorBidi" w:eastAsia="Calibri"/>
          <w:vertAlign w:val="subscript"/>
          <w:lang w:eastAsia="sv-SE"/>
        </w:rPr>
        <w:t>1</w:t>
      </w:r>
      <w:r>
        <w:t xml:space="preserve"> - Markens höjd får inte vara högre än 55,0 meter över nollplanet: Bestämmelsen syftar till att möjliggöra tillförsel av massor för tillskapande av pulkabacke i parklandskapet, där lera inte förekommer under tidigare schaktmassdeponi.</w:t>
      </w:r>
      <w:r>
        <w:rPr>
          <w:rFonts w:cstheme="minorBidi"/>
          <w:i w:val="1"/>
          <w:iCs w:val="1"/>
          <w:lang w:eastAsia="sv-SE"/>
        </w:rPr>
        <w:t xml:space="preserve"> Bestämmelsen har stöd i PBL 4 kap. 5 § 2 st. </w:t>
      </w:r>
    </w:p>
    <w:p>
      <w:pPr>
        <w:spacing w:lineRule="auto" w:line="240" w:beforeAutospacing="0" w:afterAutospacing="0"/>
        <w:rPr>
          <w:rFonts w:cstheme="minorBidi"/>
          <w:i w:val="1"/>
          <w:iCs w:val="1"/>
          <w:lang w:eastAsia="sv-SE"/>
        </w:rPr>
      </w:pPr>
      <w:bookmarkEnd w:id="161"/>
      <w:bookmarkStart w:id="162" w:name="mo_motivtillreglering10"/>
      <w:r>
        <w:t>Markhöjd</w:t>
      </w:r>
      <w:r>
        <w:rPr>
          <w:rFonts w:cstheme="minorBidi" w:eastAsia="Calibri"/>
          <w:vertAlign w:val="subscript"/>
          <w:lang w:eastAsia="sv-SE"/>
        </w:rPr>
        <w:t>2</w:t>
      </w:r>
      <w:r>
        <w:t xml:space="preserve"> - Markens höjd får inte förändras genom schaktning eller höjas mer än 0,3 meter: Bestämmelsen syftar till att säkerställa att sättningar inte uppkommer i område med lera under tidigare schaktmassdeponi.</w:t>
      </w:r>
      <w:r>
        <w:rPr>
          <w:rFonts w:cstheme="minorBidi"/>
          <w:i w:val="1"/>
          <w:iCs w:val="1"/>
          <w:lang w:eastAsia="sv-SE"/>
        </w:rPr>
        <w:t xml:space="preserve"> Bestämmelsen har stöd i PBL 4 kap. 5 § 2 st.</w:t>
      </w:r>
      <w:bookmarkEnd w:id="162"/>
    </w:p>
    <w:p>
      <w:pPr>
        <w:spacing w:lineRule="auto" w:line="240" w:beforeAutospacing="0" w:afterAutospacing="0"/>
        <w:rPr>
          <w:rFonts w:cstheme="minorBidi"/>
          <w:i w:val="1"/>
          <w:iCs w:val="1"/>
          <w:lang w:eastAsia="sv-SE"/>
        </w:rPr>
      </w:pPr>
      <w:bookmarkStart w:id="163" w:name="mo_motivtillreglering11"/>
      <w:r>
        <w:t>Markhöjd</w:t>
      </w:r>
      <w:r>
        <w:rPr>
          <w:rFonts w:cstheme="minorBidi" w:eastAsia="Calibri"/>
          <w:vertAlign w:val="subscript"/>
          <w:lang w:eastAsia="sv-SE"/>
        </w:rPr>
        <w:t>3</w:t>
      </w:r>
      <w:r>
        <w:t xml:space="preserve"> - Marken får utformas med flackare lutning än befintlig slänt: Bestämmelsen syftar till utjämning av släntfot i anslutning till befintlig marknivå. </w:t>
      </w:r>
      <w:r>
        <w:rPr>
          <w:rFonts w:cstheme="minorBidi"/>
          <w:i w:val="1"/>
          <w:iCs w:val="1"/>
          <w:lang w:eastAsia="sv-SE"/>
        </w:rPr>
        <w:t>Bestämmelsen har stöd i PBL 4 kap. 5 § 2 st.</w:t>
      </w:r>
    </w:p>
    <w:p>
      <w:pPr>
        <w:pStyle w:val="P3"/>
        <w:rPr>
          <w:rFonts w:eastAsia="Arial"/>
          <w:color w:val="000000" w:themeColor="text1"/>
        </w:rPr>
      </w:pPr>
      <w:bookmarkEnd w:id="163"/>
      <w:r>
        <w:rPr>
          <w:rFonts w:eastAsia="Arial"/>
          <w:color w:val="000000" w:themeColor="text1"/>
        </w:rPr>
        <w:t>E</w:t>
      </w:r>
      <w:bookmarkEnd w:id="159"/>
      <w:bookmarkEnd w:id="160"/>
      <w:r>
        <w:rPr>
          <w:rFonts w:eastAsia="Arial"/>
          <w:color w:val="000000" w:themeColor="text1"/>
        </w:rPr>
        <w:t>genskapsbestämmelser för kvartersmark</w:t>
      </w:r>
    </w:p>
    <w:p>
      <w:pPr>
        <w:spacing w:lineRule="auto" w:line="240" w:beforeAutospacing="0" w:afterAutospacing="0"/>
      </w:pPr>
      <w:bookmarkStart w:id="164" w:name="mo_motivtillreglering12"/>
      <w:r>
        <w:t>ö</w:t>
      </w:r>
      <w:r>
        <w:rPr>
          <w:rFonts w:cstheme="minorBidi" w:eastAsia="Calibri"/>
          <w:vertAlign w:val="subscript"/>
          <w:lang w:eastAsia="sv-SE"/>
        </w:rPr>
        <w:t>1</w:t>
      </w:r>
      <w:r>
        <w:t xml:space="preserve"> - Marken får inte förses med byggnad: Bestämmelsen syftar till att styra placeringen av bebyggelse på fastigheten, samt inom verksamhetsmarken möjliggöra för dagvattenhantering i gränsen till naturmark. </w:t>
      </w:r>
      <w:r>
        <w:rPr>
          <w:i w:val="1"/>
          <w:iCs w:val="1"/>
        </w:rPr>
        <w:t>Bestämmelsen har stöd i 4 kap. 16 § PBL.</w:t>
      </w:r>
      <w:r>
        <w:t xml:space="preserve"> </w:t>
      </w:r>
      <w:bookmarkEnd w:id="164"/>
    </w:p>
    <w:p>
      <w:pPr>
        <w:spacing w:lineRule="auto" w:line="240" w:beforeAutospacing="0" w:afterAutospacing="0"/>
        <w:rPr>
          <w:i w:val="1"/>
          <w:iCs w:val="1"/>
        </w:rPr>
      </w:pPr>
      <w:bookmarkStart w:id="165" w:name="mo_motivtillreglering13"/>
      <w:r>
        <w:t>ö</w:t>
      </w:r>
      <w:r>
        <w:rPr>
          <w:rFonts w:cstheme="minorBidi" w:eastAsia="Calibri"/>
          <w:vertAlign w:val="subscript"/>
          <w:lang w:eastAsia="sv-SE"/>
        </w:rPr>
        <w:t>2</w:t>
      </w:r>
      <w:r>
        <w:t xml:space="preserve"> - Marken får endast förses med komplementbyggnad: Bestämmelsen syftar till att styra placering av huvudbyggnad samt var komplementbyggnader kan uppföras inom fastigheten. Inom verksamhetsmarken syftar bestämmelsen även till att mark som påverkas av skyddsavstånd till kraftledning nordöst om planområdet endast kan förses med komplementbyggnader. </w:t>
      </w:r>
      <w:r>
        <w:rPr>
          <w:i w:val="1"/>
          <w:iCs w:val="1"/>
        </w:rPr>
        <w:t>Bestämmelsen har stöd i PBL 4 kap. 16 § PBL.</w:t>
      </w:r>
    </w:p>
    <w:p>
      <w:pPr>
        <w:spacing w:lineRule="auto" w:line="240" w:beforeAutospacing="0" w:afterAutospacing="0"/>
        <w:rPr>
          <w:color w:val="auto"/>
        </w:rPr>
      </w:pPr>
      <w:bookmarkEnd w:id="165"/>
      <w:bookmarkStart w:id="166" w:name="mo_motivtillreglering14"/>
      <w:r>
        <w:rPr>
          <w:color w:val="auto"/>
        </w:rPr>
        <w:t>h</w:t>
      </w:r>
      <w:r>
        <w:rPr>
          <w:rFonts w:cstheme="minorBidi" w:eastAsia="Calibri"/>
          <w:color w:val="auto"/>
          <w:vertAlign w:val="subscript"/>
          <w:lang w:eastAsia="sv-SE"/>
        </w:rPr>
        <w:t>1</w:t>
      </w:r>
      <w:r>
        <w:rPr>
          <w:color w:val="auto"/>
        </w:rPr>
        <w:t xml:space="preserve"> 0,0 - Högsta nockhöjd är angivet värde i meter: Syftet är att reglera hur hög byggnad får vara. </w:t>
      </w:r>
      <w:r>
        <w:rPr>
          <w:i w:val="1"/>
          <w:iCs w:val="1"/>
          <w:color w:val="auto"/>
        </w:rPr>
        <w:t>Bestämmelsen har stöd i 4 kap. 16 § PBL</w:t>
      </w:r>
    </w:p>
    <w:p>
      <w:pPr>
        <w:spacing w:lineRule="auto" w:line="240" w:beforeAutospacing="0" w:afterAutospacing="0"/>
        <w:rPr>
          <w:i w:val="1"/>
          <w:iCs w:val="1"/>
        </w:rPr>
      </w:pPr>
      <w:bookmarkEnd w:id="166"/>
      <w:bookmarkStart w:id="167" w:name="mo_motivtillreglering15"/>
      <w:r>
        <w:rPr>
          <w:color w:val="auto"/>
        </w:rPr>
        <w:t>h</w:t>
      </w:r>
      <w:r>
        <w:rPr>
          <w:rFonts w:cstheme="minorBidi" w:eastAsia="Calibri"/>
          <w:color w:val="auto"/>
          <w:vertAlign w:val="subscript"/>
          <w:lang w:eastAsia="sv-SE"/>
        </w:rPr>
        <w:t>2</w:t>
      </w:r>
      <w:r>
        <w:rPr>
          <w:color w:val="auto"/>
        </w:rPr>
        <w:t xml:space="preserve"> 0,0 - Högsta </w:t>
      </w:r>
      <w:r>
        <w:t>nockhöjd på komplementbyggnad är angivet värde i meter:</w:t>
      </w:r>
      <w:r>
        <w:rPr>
          <w:rFonts w:ascii="Times New Roman" w:hAnsi="Times New Roman"/>
          <w:sz w:val="23"/>
          <w:szCs w:val="23"/>
        </w:rPr>
        <w:t xml:space="preserve"> </w:t>
      </w:r>
      <w:r>
        <w:t xml:space="preserve">Syftet med bestämmelsen är att reglera hur hög komplementbyggnad får vara. </w:t>
      </w:r>
      <w:r>
        <w:rPr>
          <w:i w:val="1"/>
          <w:iCs w:val="1"/>
        </w:rPr>
        <w:t>Bestämmelsen har stöd i 4 kap. 16 § PBL</w:t>
      </w:r>
      <w:bookmarkEnd w:id="167"/>
    </w:p>
    <w:p>
      <w:pPr>
        <w:spacing w:lineRule="auto" w:line="240" w:beforeAutospacing="0" w:afterAutospacing="0"/>
        <w:rPr>
          <w:i w:val="1"/>
          <w:iCs w:val="1"/>
        </w:rPr>
      </w:pPr>
      <w:bookmarkStart w:id="168" w:name="mo_motivtillreglering16"/>
      <w:r>
        <w:t>o</w:t>
      </w:r>
      <w:r>
        <w:rPr>
          <w:rFonts w:cstheme="minorBidi" w:eastAsia="Calibri"/>
          <w:vertAlign w:val="subscript"/>
          <w:lang w:eastAsia="sv-SE"/>
        </w:rPr>
        <w:t>1</w:t>
      </w:r>
      <w:r>
        <w:t xml:space="preserve"> – Takvinkel ska vara minst 18 grader och maximalt 38 grader. Vegetationsbeklädda tak får ha lägre takvinkel och för mansardtak är maximal takvinkel 70 grader.: Syftet är att få en enhetlig takutformning och i enlighet med övrig bebyggelse i närområdet. </w:t>
      </w:r>
      <w:r>
        <w:rPr>
          <w:i w:val="1"/>
          <w:iCs w:val="1"/>
        </w:rPr>
        <w:t>Bestämmelsen har stöd i PBL 4 kap 16 § 1 st 1 p.</w:t>
      </w:r>
      <w:bookmarkEnd w:id="168"/>
    </w:p>
    <w:p>
      <w:pPr>
        <w:spacing w:lineRule="auto" w:line="240" w:beforeAutospacing="0" w:afterAutospacing="0"/>
        <w:rPr>
          <w:color w:val="auto"/>
        </w:rPr>
      </w:pPr>
      <w:bookmarkStart w:id="169" w:name="mo_motivtillreglering17"/>
      <w:r>
        <w:t>e</w:t>
      </w:r>
      <w:r>
        <w:rPr>
          <w:rFonts w:cstheme="minorBidi" w:eastAsia="Calibri"/>
          <w:vertAlign w:val="subscript"/>
          <w:lang w:eastAsia="sv-SE"/>
        </w:rPr>
        <w:t>1</w:t>
      </w:r>
      <w:r>
        <w:t xml:space="preserve"> 0,0 - Största byggnadsarea är angivet värde i % av fastighetsarean inom användningsområdet: Syftet är att reglera bebyggelsens täthet inom område för radhus, parhus och kedjehus, samt </w:t>
      </w:r>
      <w:r>
        <w:rPr>
          <w:color w:val="auto"/>
        </w:rPr>
        <w:t xml:space="preserve">få en enhetlig utnyttjandegrad av marken inom och i enlighet med övrig bebyggelse i närområdet och säkerställa yta för parkering och friyta för rekreation. Bestämmelsen möjliggör också en förutsägbarhet gällande mängden bostäder i området. </w:t>
      </w:r>
      <w:r>
        <w:rPr>
          <w:i w:val="1"/>
          <w:iCs w:val="1"/>
          <w:color w:val="auto"/>
        </w:rPr>
        <w:t>Bestämmelsen har stöd i 4 kap. 11 § PBL</w:t>
      </w:r>
      <w:bookmarkEnd w:id="169"/>
    </w:p>
    <w:p>
      <w:pPr>
        <w:spacing w:lineRule="auto" w:line="240" w:beforeAutospacing="0" w:afterAutospacing="0"/>
        <w:rPr>
          <w:i w:val="1"/>
          <w:iCs w:val="1"/>
          <w:color w:val="auto"/>
        </w:rPr>
      </w:pPr>
      <w:bookmarkStart w:id="170" w:name="mo_motivtillreglering18"/>
      <w:r>
        <w:rPr>
          <w:color w:val="auto"/>
        </w:rPr>
        <w:t>e</w:t>
      </w:r>
      <w:r>
        <w:rPr>
          <w:rFonts w:cstheme="minorBidi" w:eastAsia="Calibri"/>
          <w:color w:val="auto"/>
          <w:vertAlign w:val="subscript"/>
          <w:lang w:eastAsia="sv-SE"/>
        </w:rPr>
        <w:t>2</w:t>
      </w:r>
      <w:r>
        <w:rPr>
          <w:color w:val="auto"/>
        </w:rPr>
        <w:t xml:space="preserve"> - Längsta fasadlängd för radhus är 40 meter och för kedjehus är 100 meter: Syftet är att reglera bebyggelsens täthet inom område för radhus, parhus och kedjehus, samt säkerställa öppningar och siktstråk genom bebyggelse. </w:t>
      </w:r>
      <w:r>
        <w:rPr>
          <w:i w:val="1"/>
          <w:iCs w:val="1"/>
          <w:color w:val="auto"/>
        </w:rPr>
        <w:t>Bestämmelsen har stöd i 4 kap. 11 § PBL</w:t>
      </w:r>
    </w:p>
    <w:p>
      <w:pPr>
        <w:spacing w:lineRule="auto" w:line="240" w:beforeAutospacing="0" w:afterAutospacing="0"/>
        <w:rPr>
          <w:color w:val="auto"/>
        </w:rPr>
      </w:pPr>
      <w:bookmarkEnd w:id="170"/>
      <w:bookmarkStart w:id="171" w:name="mo_motivtillreglering19"/>
      <w:r>
        <w:rPr>
          <w:color w:val="auto"/>
        </w:rPr>
        <w:t>e</w:t>
      </w:r>
      <w:r>
        <w:rPr>
          <w:rFonts w:cstheme="minorBidi" w:eastAsia="Calibri"/>
          <w:color w:val="auto"/>
          <w:vertAlign w:val="subscript"/>
          <w:lang w:eastAsia="sv-SE"/>
        </w:rPr>
        <w:t>3</w:t>
      </w:r>
      <w:r>
        <w:rPr>
          <w:color w:val="auto"/>
        </w:rPr>
        <w:t xml:space="preserve"> 0,0 - Största byggnadsarea är angivet värde i m² per fastighet: Syftet är att reglera bebyggelsens täthet inom område för friliggande småhus, samt få en enhetlig utnyttjandegrad av marken inom och i enlighet med övrig bebyggelse och säkerställa yta för parkering och vistelseytor. Bestämmelsen möjliggör också en förutsägbarhet gällande mängden bostäder i området. </w:t>
      </w:r>
      <w:r>
        <w:rPr>
          <w:i w:val="1"/>
          <w:iCs w:val="1"/>
          <w:color w:val="auto"/>
        </w:rPr>
        <w:t>Bestämmelsen har stöd i 4 kap. 11 § PBL</w:t>
      </w:r>
    </w:p>
    <w:p>
      <w:pPr>
        <w:spacing w:lineRule="auto" w:line="240" w:beforeAutospacing="0" w:afterAutospacing="0"/>
        <w:rPr>
          <w:i w:val="1"/>
          <w:iCs w:val="1"/>
          <w:color w:val="auto"/>
        </w:rPr>
      </w:pPr>
      <w:bookmarkEnd w:id="171"/>
      <w:bookmarkStart w:id="172" w:name="mo_motivtillreglering20"/>
      <w:r>
        <w:rPr>
          <w:color w:val="auto"/>
        </w:rPr>
        <w:t>e</w:t>
      </w:r>
      <w:r>
        <w:rPr>
          <w:rFonts w:cstheme="minorBidi" w:eastAsia="Calibri"/>
          <w:color w:val="auto"/>
          <w:vertAlign w:val="subscript"/>
          <w:lang w:eastAsia="sv-SE"/>
        </w:rPr>
        <w:t>4</w:t>
      </w:r>
      <w:r>
        <w:rPr>
          <w:color w:val="auto"/>
        </w:rPr>
        <w:t xml:space="preserve"> 0,0 - Största bruttoarea är angivet värde i m² per fastighet: Syfte är att reglera bebyggelsens täthet inom område för friliggande småhus, samt få en enhetlig utnyttjandegrad av marken inom och i enlighet med övrig bebyggelse. </w:t>
      </w:r>
      <w:r>
        <w:rPr>
          <w:i w:val="1"/>
          <w:iCs w:val="1"/>
          <w:color w:val="auto"/>
        </w:rPr>
        <w:t>Bestämmelsen har stöd i 4 kap. 11 § PBL</w:t>
      </w:r>
    </w:p>
    <w:p>
      <w:pPr>
        <w:spacing w:lineRule="auto" w:line="240" w:beforeAutospacing="0" w:afterAutospacing="0"/>
        <w:rPr>
          <w:i w:val="1"/>
          <w:iCs w:val="1"/>
        </w:rPr>
      </w:pPr>
      <w:bookmarkEnd w:id="172"/>
      <w:bookmarkStart w:id="173" w:name="mo_motivtillreglering21"/>
      <w:r>
        <w:rPr>
          <w:color w:val="auto"/>
        </w:rPr>
        <w:t>e</w:t>
      </w:r>
      <w:r>
        <w:rPr>
          <w:rFonts w:cstheme="minorBidi" w:eastAsia="Calibri"/>
          <w:color w:val="auto"/>
          <w:vertAlign w:val="subscript"/>
          <w:lang w:eastAsia="sv-SE"/>
        </w:rPr>
        <w:t>5</w:t>
      </w:r>
      <w:r>
        <w:rPr>
          <w:color w:val="auto"/>
        </w:rPr>
        <w:t xml:space="preserve"> - Utöver största byggnadsarea och bruttoarea är största bruttoarea för komplementbebyggelse 10 % av fastighetsarea: Syfte är att reglera bebyggelsens täthet inom område för friliggande småhus, samt få en enhetlig utnyttjandegrad av marken inom och i enlighet med övrig bebyggelse och möjliggöra verksamheter som </w:t>
      </w:r>
      <w:r>
        <w:t>bostadskomplement. Bestämmelsen gäller utöver den utnyttjandegrad som möjliggörs genom bestämmelserna e</w:t>
      </w:r>
      <w:r>
        <w:rPr>
          <w:vertAlign w:val="subscript"/>
        </w:rPr>
        <w:t>3</w:t>
      </w:r>
      <w:r>
        <w:t xml:space="preserve"> och e</w:t>
      </w:r>
      <w:r>
        <w:rPr>
          <w:vertAlign w:val="subscript"/>
        </w:rPr>
        <w:t>4</w:t>
      </w:r>
      <w:r>
        <w:t xml:space="preserve">. </w:t>
      </w:r>
      <w:r>
        <w:rPr>
          <w:i w:val="1"/>
          <w:iCs w:val="1"/>
        </w:rPr>
        <w:t>Bestämmelsen har stöd i 4 kap. 11 § PBL</w:t>
      </w:r>
    </w:p>
    <w:p>
      <w:pPr>
        <w:spacing w:lineRule="auto" w:line="240" w:beforeAutospacing="0" w:afterAutospacing="0"/>
        <w:rPr>
          <w:i w:val="1"/>
          <w:iCs w:val="1"/>
        </w:rPr>
      </w:pPr>
      <w:bookmarkEnd w:id="173"/>
      <w:bookmarkStart w:id="174" w:name="mo_motivtillreglering22"/>
      <w:r>
        <w:t>f</w:t>
      </w:r>
      <w:r>
        <w:rPr>
          <w:rFonts w:cstheme="minorBidi" w:eastAsia="Calibri"/>
          <w:vertAlign w:val="subscript"/>
          <w:lang w:eastAsia="sv-SE"/>
        </w:rPr>
        <w:t>1</w:t>
      </w:r>
      <w:r>
        <w:t xml:space="preserve"> - Tak ska utformas som sadeltak, mansardtak eller valmat tak och ska bestå av tegelröda eller svarta takpannor. Komplementbyggnader får utformas med vegetationsbeklädda tak. Nock får ej vara förskjuten: Syftet är att få en enhetlig utformning inom och i enlighet med övrig bebyggelse i närområdet. </w:t>
      </w:r>
      <w:r>
        <w:rPr>
          <w:rFonts w:ascii="Times New Roman" w:hAnsi="Times New Roman"/>
        </w:rPr>
        <w:t xml:space="preserve">Bestämmelsen ska inte tolkas som att den reglerar mindre skärmtak för exempelvis entréer och takkupor. Syftet med att möjliggöra vegetationsbeklädda tak på komplementbyggnader är att det kan bidra till att stärka områdets naturkoppling samt </w:t>
      </w:r>
      <w:r>
        <w:t>bidra med ekosystemtjänster gällande dagvattenhantering och biologisk mångfald</w:t>
      </w:r>
      <w:r>
        <w:rPr>
          <w:rFonts w:ascii="Times New Roman" w:hAnsi="Times New Roman"/>
        </w:rPr>
        <w:t>. Det kan exempelvis innebära tak med sedumväxter eller gräsväxter. Ej förskjuten nock syftar till att skapa en symmetrisk placering av nocken i byggnadens gavel.</w:t>
      </w:r>
      <w:r>
        <w:t xml:space="preserve"> Bestämmelsen medger förskjutning av nock i höjdled.</w:t>
      </w:r>
      <w:r>
        <w:rPr>
          <w:i w:val="1"/>
          <w:iCs w:val="1"/>
        </w:rPr>
        <w:t xml:space="preserve"> Bestämmelsen har stöd i PBL 4 kap 16 § 1 st 1 p.</w:t>
      </w:r>
    </w:p>
    <w:p>
      <w:pPr>
        <w:spacing w:lineRule="auto" w:line="240" w:beforeAutospacing="0" w:afterAutospacing="0"/>
        <w:rPr>
          <w:color w:val="auto"/>
        </w:rPr>
      </w:pPr>
      <w:bookmarkEnd w:id="174"/>
      <w:bookmarkStart w:id="175" w:name="mo_motivtillreglering23"/>
      <w:r>
        <w:t>f</w:t>
      </w:r>
      <w:r>
        <w:rPr>
          <w:rFonts w:cstheme="minorBidi" w:eastAsia="Calibri"/>
          <w:vertAlign w:val="subscript"/>
          <w:lang w:eastAsia="sv-SE"/>
        </w:rPr>
        <w:t>2</w:t>
      </w:r>
      <w:r>
        <w:t xml:space="preserve"> - Endast friliggande småhus: Syftet är att avgränsa </w:t>
      </w:r>
      <w:r>
        <w:rPr>
          <w:color w:val="auto"/>
        </w:rPr>
        <w:t xml:space="preserve">möjligheten till att enbart uppföra fristående småhus inom användningsområdet, samt få en enhetlig utformning inom och i enlighet med övrig bebyggelse i närområdet. </w:t>
      </w:r>
      <w:r>
        <w:rPr>
          <w:i w:val="1"/>
          <w:iCs w:val="1"/>
          <w:color w:val="auto"/>
        </w:rPr>
        <w:t>Bestämmelsen har stöd i PBL 4 kap 16 § 1 st 1 p.</w:t>
      </w:r>
    </w:p>
    <w:p>
      <w:pPr>
        <w:spacing w:lineRule="auto" w:line="240" w:beforeAutospacing="0" w:afterAutospacing="0"/>
        <w:rPr>
          <w:i w:val="1"/>
          <w:iCs w:val="1"/>
          <w:color w:val="auto"/>
        </w:rPr>
      </w:pPr>
      <w:bookmarkEnd w:id="175"/>
      <w:bookmarkStart w:id="176" w:name="mo_motivtillreglering24"/>
      <w:r>
        <w:rPr>
          <w:color w:val="auto"/>
        </w:rPr>
        <w:t>f</w:t>
      </w:r>
      <w:r>
        <w:rPr>
          <w:rFonts w:cstheme="minorBidi" w:eastAsia="Calibri"/>
          <w:color w:val="auto"/>
          <w:vertAlign w:val="subscript"/>
          <w:lang w:eastAsia="sv-SE"/>
        </w:rPr>
        <w:t>3</w:t>
      </w:r>
      <w:r>
        <w:rPr>
          <w:color w:val="auto"/>
        </w:rPr>
        <w:t xml:space="preserve"> - Endast radhus, </w:t>
      </w:r>
      <w:r>
        <w:t xml:space="preserve">parhus och </w:t>
      </w:r>
      <w:r>
        <w:rPr>
          <w:color w:val="auto"/>
        </w:rPr>
        <w:t xml:space="preserve">kedjehus: Syftet är att avgränsa möjligheten till att enbart uppföra sammanbyggda småhus inom användningsområdet, samt få en enhetlig utformning inom och i enlighet med övrig bebyggelse i närområdet. </w:t>
      </w:r>
      <w:r>
        <w:rPr>
          <w:i w:val="1"/>
          <w:iCs w:val="1"/>
          <w:color w:val="auto"/>
        </w:rPr>
        <w:t>Bestämmelsen har stöd i PBL 4 kap 16 § 1 st 1 p.</w:t>
      </w:r>
    </w:p>
    <w:p>
      <w:pPr>
        <w:spacing w:lineRule="auto" w:line="240" w:beforeAutospacing="0" w:afterAutospacing="0"/>
        <w:rPr>
          <w:color w:val="auto"/>
        </w:rPr>
      </w:pPr>
      <w:bookmarkEnd w:id="176"/>
      <w:bookmarkStart w:id="177" w:name="mo_motivtillreglering25"/>
      <w:r>
        <w:rPr>
          <w:color w:val="auto"/>
        </w:rPr>
        <w:t>b</w:t>
      </w:r>
      <w:r>
        <w:rPr>
          <w:rFonts w:cstheme="minorBidi" w:eastAsia="Calibri"/>
          <w:color w:val="auto"/>
          <w:vertAlign w:val="subscript"/>
          <w:lang w:eastAsia="sv-SE"/>
        </w:rPr>
        <w:t>1</w:t>
      </w:r>
      <w:r>
        <w:rPr>
          <w:color w:val="auto"/>
        </w:rPr>
        <w:t xml:space="preserve"> - Fasadmaterial ska vara av trä. Mindre delar får vara i annat material: Syftet är att få en enhetlig utformning inom och i enlighet med övrig bebyggelse i närområdet. </w:t>
      </w:r>
      <w:r>
        <w:rPr>
          <w:i w:val="1"/>
          <w:iCs w:val="1"/>
          <w:color w:val="auto"/>
        </w:rPr>
        <w:t>Bestämmelsen har stöd i PBL 4 kap 16 § PBL</w:t>
      </w:r>
      <w:r>
        <w:rPr>
          <w:color w:val="auto"/>
        </w:rPr>
        <w:t>.</w:t>
      </w:r>
    </w:p>
    <w:p>
      <w:pPr>
        <w:spacing w:lineRule="auto" w:line="240" w:beforeAutospacing="0" w:afterAutospacing="0"/>
      </w:pPr>
      <w:bookmarkEnd w:id="177"/>
      <w:bookmarkStart w:id="178" w:name="mo_motivtillreglering26"/>
      <w:r>
        <w:rPr>
          <w:color w:val="auto"/>
        </w:rPr>
        <w:t>b</w:t>
      </w:r>
      <w:r>
        <w:rPr>
          <w:rFonts w:cstheme="minorBidi" w:eastAsia="Calibri"/>
          <w:color w:val="auto"/>
          <w:vertAlign w:val="subscript"/>
          <w:lang w:eastAsia="sv-SE"/>
        </w:rPr>
        <w:t>2</w:t>
      </w:r>
      <w:r>
        <w:rPr>
          <w:color w:val="auto"/>
        </w:rPr>
        <w:t xml:space="preserve"> - Fasader ska utformas med variation i t.ex. färgsättning och utformning: Syftet är att ge förutsättning för en variation i bebyggelsens utformning inom ramen för en sammanhängande helhet. Variationen kan antingen vara uppdelad efter bostadsenhet eller utifrån grupp av bostäder såsom en radhuslänga. </w:t>
      </w:r>
      <w:r>
        <w:rPr>
          <w:i w:val="1"/>
          <w:iCs w:val="1"/>
          <w:color w:val="auto"/>
        </w:rPr>
        <w:t xml:space="preserve">Bestämmelsen har stöd i </w:t>
      </w:r>
      <w:r>
        <w:rPr>
          <w:i w:val="1"/>
          <w:iCs w:val="1"/>
        </w:rPr>
        <w:t>PBL 4 kap 16 § PBL</w:t>
      </w:r>
      <w:r>
        <w:t>.</w:t>
      </w:r>
    </w:p>
    <w:p>
      <w:pPr>
        <w:spacing w:lineRule="auto" w:line="240" w:beforeAutospacing="0" w:afterAutospacing="0"/>
        <w:rPr>
          <w:i w:val="1"/>
          <w:iCs w:val="1"/>
        </w:rPr>
      </w:pPr>
      <w:bookmarkEnd w:id="178"/>
      <w:bookmarkStart w:id="179" w:name="mo_motivtillreglering27"/>
      <w:r>
        <w:t>b</w:t>
      </w:r>
      <w:r>
        <w:rPr>
          <w:rFonts w:cstheme="minorBidi" w:eastAsia="Calibri"/>
          <w:vertAlign w:val="subscript"/>
          <w:lang w:eastAsia="sv-SE"/>
        </w:rPr>
        <w:t>3</w:t>
      </w:r>
      <w:r>
        <w:t xml:space="preserve"> - Fasader ska utföras i jord- och naturnära kulörer. Vit, svart och skarpa kulörer får inte förekomma: Syftet är</w:t>
      </w:r>
      <w:r>
        <w:rPr>
          <w:rFonts w:eastAsia="Arial"/>
          <w:lang w:eastAsia="sv-SE"/>
        </w:rPr>
        <w:t xml:space="preserve"> att ge förutsättning för en traditionell gestaltning som i kulör och material harmoniserar med omgivande naturmark. </w:t>
      </w:r>
      <w:r>
        <w:rPr>
          <w:i w:val="1"/>
          <w:iCs w:val="1"/>
        </w:rPr>
        <w:t>Bestämmelsen har stöd i PBL 4 kap 16 § 1 st 1 p.</w:t>
      </w:r>
    </w:p>
    <w:p>
      <w:pPr>
        <w:spacing w:lineRule="auto" w:line="240" w:beforeAutospacing="0" w:afterAutospacing="0"/>
        <w:rPr>
          <w:rFonts w:ascii="Times New Roman" w:hAnsi="Times New Roman"/>
        </w:rPr>
      </w:pPr>
      <w:bookmarkEnd w:id="179"/>
      <w:bookmarkStart w:id="180" w:name="mo_motivtillreglering28"/>
      <w:r>
        <w:t>b</w:t>
      </w:r>
      <w:r>
        <w:rPr>
          <w:rFonts w:cstheme="minorBidi" w:eastAsia="Calibri"/>
          <w:vertAlign w:val="subscript"/>
          <w:lang w:eastAsia="sv-SE"/>
        </w:rPr>
        <w:t>4</w:t>
      </w:r>
      <w:r>
        <w:t xml:space="preserve"> - Fasader får inte utföras i vitt: </w:t>
      </w:r>
      <w:r>
        <w:rPr>
          <w:rFonts w:ascii="Times New Roman" w:hAnsi="Times New Roman"/>
        </w:rPr>
        <w:t xml:space="preserve">Syftet är att ge förutsättning för en traditionell gestaltning som i kulör och material harmoniserar med omgivande naturmark, även inom verksamhetsmarken. </w:t>
      </w:r>
      <w:r>
        <w:rPr>
          <w:rFonts w:ascii="Times New Roman" w:hAnsi="Times New Roman"/>
          <w:i w:val="1"/>
          <w:iCs w:val="1"/>
        </w:rPr>
        <w:t>Bestämmelsen har stöd i PBL 4 kap 16 § 1 st 1 p.</w:t>
      </w:r>
    </w:p>
    <w:p>
      <w:pPr>
        <w:spacing w:lineRule="auto" w:line="240" w:beforeAutospacing="0" w:afterAutospacing="0"/>
        <w:rPr>
          <w:i w:val="1"/>
          <w:iCs w:val="1"/>
        </w:rPr>
      </w:pPr>
      <w:bookmarkEnd w:id="180"/>
      <w:bookmarkStart w:id="181" w:name="mo_motivtillreglering29"/>
      <w:r>
        <w:t>b</w:t>
      </w:r>
      <w:r>
        <w:rPr>
          <w:rFonts w:cstheme="minorBidi" w:eastAsia="Calibri"/>
          <w:vertAlign w:val="subscript"/>
          <w:lang w:eastAsia="sv-SE"/>
        </w:rPr>
        <w:t>5</w:t>
      </w:r>
      <w:r>
        <w:t xml:space="preserve"> - Minst 40,0 % av fastighetsarean ska vara genomsläpplig:</w:t>
      </w:r>
      <w:r>
        <w:rPr>
          <w:rFonts w:ascii="Times New Roman" w:hAnsi="Times New Roman"/>
          <w:sz w:val="23"/>
          <w:szCs w:val="23"/>
        </w:rPr>
        <w:t xml:space="preserve"> </w:t>
      </w:r>
      <w:r>
        <w:t xml:space="preserve">Bestämmelsen syftar till att begränsa andelen hårdgjorda ytor för att möjliggöra infiltration av dagvatten inom fastigheterna”. </w:t>
      </w:r>
      <w:r>
        <w:rPr>
          <w:i w:val="1"/>
          <w:iCs w:val="1"/>
        </w:rPr>
        <w:t>Bestämmelsen har stöd i 4 kap. 10 § PBL</w:t>
      </w:r>
    </w:p>
    <w:p>
      <w:pPr>
        <w:spacing w:lineRule="auto" w:line="240" w:beforeAutospacing="0" w:afterAutospacing="0"/>
        <w:rPr>
          <w:i w:val="1"/>
          <w:iCs w:val="1"/>
        </w:rPr>
      </w:pPr>
      <w:bookmarkEnd w:id="181"/>
      <w:bookmarkStart w:id="182" w:name="mo_motivtillreglering30"/>
      <w:r>
        <w:t>b</w:t>
      </w:r>
      <w:r>
        <w:rPr>
          <w:rFonts w:cstheme="minorBidi" w:eastAsia="Calibri"/>
          <w:vertAlign w:val="subscript"/>
          <w:lang w:eastAsia="sv-SE"/>
        </w:rPr>
        <w:t>6</w:t>
      </w:r>
      <w:r>
        <w:t xml:space="preserve"> - Minst 45,0 % av fastighetsarean ska vara genomsläpplig: Bestämmelsen syftar till att begränsa andelen hårdgjorda ytor för att möjliggöra infiltration av dagvatten inom fastigheterna”. </w:t>
      </w:r>
      <w:r>
        <w:rPr>
          <w:i w:val="1"/>
          <w:iCs w:val="1"/>
        </w:rPr>
        <w:t>Bestämmelsen har stöd i 4 kap. 10 § PBL</w:t>
      </w:r>
    </w:p>
    <w:p>
      <w:pPr>
        <w:spacing w:lineRule="auto" w:line="240" w:beforeAutospacing="0" w:afterAutospacing="0"/>
        <w:rPr>
          <w:i w:val="1"/>
          <w:iCs w:val="1"/>
        </w:rPr>
      </w:pPr>
      <w:bookmarkEnd w:id="182"/>
      <w:bookmarkStart w:id="183" w:name="mo_motivtillreglering31"/>
      <w:r>
        <w:t>b</w:t>
      </w:r>
      <w:r>
        <w:rPr>
          <w:rFonts w:cstheme="minorBidi" w:eastAsia="Calibri"/>
          <w:vertAlign w:val="subscript"/>
          <w:lang w:eastAsia="sv-SE"/>
        </w:rPr>
        <w:t>7</w:t>
      </w:r>
      <w:r>
        <w:t xml:space="preserve"> - Lägsta plushöjd på underkant grundplatta får inte understiga +36 meter över nollplanet: Bestämmelsen syftar till att undvika källare i vissa delar av området som påverkar grundvattennivån negativt. </w:t>
      </w:r>
      <w:r>
        <w:rPr>
          <w:i w:val="1"/>
          <w:iCs w:val="1"/>
        </w:rPr>
        <w:t>Bestämmelsen har stöd i PBL 4 kap. 16 § PBL.</w:t>
      </w:r>
    </w:p>
    <w:p>
      <w:pPr>
        <w:spacing w:lineRule="auto" w:line="240" w:beforeAutospacing="0" w:afterAutospacing="0"/>
        <w:rPr>
          <w:i w:val="1"/>
          <w:iCs w:val="1"/>
        </w:rPr>
      </w:pPr>
      <w:bookmarkEnd w:id="183"/>
      <w:bookmarkStart w:id="184" w:name="mo_motivtillreglering32"/>
      <w:r>
        <w:t>p</w:t>
      </w:r>
      <w:r>
        <w:rPr>
          <w:rFonts w:cstheme="minorBidi" w:eastAsia="Calibri"/>
          <w:vertAlign w:val="subscript"/>
          <w:lang w:eastAsia="sv-SE"/>
        </w:rPr>
        <w:t>1</w:t>
      </w:r>
      <w:r>
        <w:t xml:space="preserve"> - Huvudbyggnad ska placeras minst 4,5 meter från fastighetsgräns eller sammanbyggas i fastighetsgräns. Komplementbyggnad får placeras minst 1 meter från fastighetsgräns eller sammanbyggas i fastighetsgräns: Syftet är att få en enhetlig placering av bebyggelse i förhållande till gata, natur och angränsande kvartersmark inom och i enlighet med övrig bebyggelse i närområdet. </w:t>
      </w:r>
      <w:r>
        <w:rPr>
          <w:i w:val="1"/>
          <w:iCs w:val="1"/>
        </w:rPr>
        <w:t>Bestämmelsen har stöd i 4 kap. 16 § PBL.</w:t>
      </w:r>
      <w:bookmarkEnd w:id="184"/>
    </w:p>
    <w:p>
      <w:pPr>
        <w:spacing w:lineRule="auto" w:line="240" w:beforeAutospacing="0" w:afterAutospacing="0"/>
        <w:rPr>
          <w:i w:val="1"/>
          <w:iCs w:val="1"/>
        </w:rPr>
      </w:pPr>
      <w:bookmarkStart w:id="185" w:name="mo_motivtillreglering33"/>
      <w:r>
        <w:t>p</w:t>
      </w:r>
      <w:r>
        <w:rPr>
          <w:rFonts w:cstheme="minorBidi" w:eastAsia="Calibri"/>
          <w:vertAlign w:val="subscript"/>
          <w:lang w:eastAsia="sv-SE"/>
        </w:rPr>
        <w:t>2</w:t>
      </w:r>
      <w:r>
        <w:t xml:space="preserve"> - Garage och carport ska placeras minst 6,0 meter från gata: Syftet är att få en enhetlig placering i förhållande till gata och att skapa god trafikmiljö genom att yta för parkering och angöring säkerställs på kvartersmark utan att påverka gatan. </w:t>
      </w:r>
      <w:r>
        <w:rPr>
          <w:i w:val="1"/>
          <w:iCs w:val="1"/>
        </w:rPr>
        <w:t>Bestämmelsen har stöd i 4 kap. 16 § PBL.</w:t>
      </w:r>
    </w:p>
    <w:p>
      <w:pPr>
        <w:spacing w:lineRule="auto" w:line="240" w:beforeAutospacing="0" w:afterAutospacing="0"/>
        <w:rPr>
          <w:color w:val="auto"/>
        </w:rPr>
      </w:pPr>
      <w:bookmarkEnd w:id="185"/>
      <w:bookmarkStart w:id="186" w:name="mo_motivtillreglering34"/>
      <w:r>
        <w:rPr>
          <w:color w:val="auto"/>
        </w:rPr>
        <w:t>d</w:t>
      </w:r>
      <w:r>
        <w:rPr>
          <w:rFonts w:cstheme="minorBidi" w:eastAsia="Calibri"/>
          <w:color w:val="auto"/>
          <w:vertAlign w:val="subscript"/>
          <w:lang w:eastAsia="sv-SE"/>
        </w:rPr>
        <w:t>1 </w:t>
      </w:r>
      <w:r>
        <w:rPr>
          <w:color w:val="auto"/>
        </w:rPr>
        <w:t xml:space="preserve">0,0 - Minsta fastighetsstorlek är angivet värde i m²: Syftet är att reglera bebyggelsens täthet inom planområdet, samt få en enhetlig utnyttjandegrad av marken inom och i enlighet med övrig bebyggelse i närområdet. Bestämmelsen möjliggör också en förutsägbarhet gällande mängden bostäder i området. </w:t>
      </w:r>
      <w:r>
        <w:rPr>
          <w:i w:val="1"/>
          <w:iCs w:val="1"/>
          <w:color w:val="auto"/>
        </w:rPr>
        <w:t>Bestämmelsen har stöd i 4 kap. 18 § PBL.</w:t>
      </w:r>
    </w:p>
    <w:p>
      <w:pPr>
        <w:spacing w:lineRule="auto" w:line="240" w:beforeAutospacing="0" w:afterAutospacing="0"/>
        <w:rPr>
          <w:i w:val="1"/>
          <w:iCs w:val="1"/>
        </w:rPr>
      </w:pPr>
      <w:bookmarkEnd w:id="186"/>
      <w:bookmarkStart w:id="187" w:name="mo_motivtillreglering35"/>
      <w:r>
        <w:rPr>
          <w:color w:val="auto"/>
        </w:rPr>
        <w:t>d</w:t>
      </w:r>
      <w:r>
        <w:rPr>
          <w:rFonts w:cstheme="minorBidi" w:eastAsia="Calibri"/>
          <w:color w:val="auto"/>
          <w:vertAlign w:val="subscript"/>
          <w:lang w:eastAsia="sv-SE"/>
        </w:rPr>
        <w:t>2</w:t>
      </w:r>
      <w:r>
        <w:rPr>
          <w:color w:val="auto"/>
        </w:rPr>
        <w:t xml:space="preserve"> 0,0 - Största fastighetsstorlek är angivet värde i m²: Syftet är att reglera </w:t>
      </w:r>
      <w:r>
        <w:t xml:space="preserve">bebyggelsens täthet inom planområdet, samt få en enhetlig utnyttjandegrad av marken inom och i enlighet med övrig bebyggelse i närområdet. Bestämmelsen möjliggör också en förutsägbarhet gällande mängden bostäder i området. </w:t>
      </w:r>
      <w:r>
        <w:rPr>
          <w:i w:val="1"/>
          <w:iCs w:val="1"/>
        </w:rPr>
        <w:t>Bestämmelsen har stöd i 4 kap. 18 § PBL.</w:t>
      </w:r>
    </w:p>
    <w:p>
      <w:pPr>
        <w:spacing w:lineRule="auto" w:line="240" w:beforeAutospacing="0" w:afterAutospacing="0"/>
        <w:rPr>
          <w:i w:val="1"/>
          <w:iCs w:val="1"/>
        </w:rPr>
      </w:pPr>
      <w:bookmarkEnd w:id="187"/>
      <w:bookmarkStart w:id="188" w:name="mo_motivtillreglering36"/>
      <w:r>
        <w:t xml:space="preserve">Markens höjd får inte vara högre än 1,2 meter över angränsande allmän plats inom  meter från fastighetsgräns. Bergskärning mot allmän plats, natur får inte vara högre än 1,7 meter: Bestämmelsen syftar till att säkerställa ett naturligt möte mellan kvartersmark och allmän plats. </w:t>
      </w:r>
      <w:r>
        <w:rPr>
          <w:i w:val="1"/>
          <w:iCs w:val="1"/>
        </w:rPr>
        <w:t>Bestämmelsen har stöd i PBL 4 kap. 10 § PBL.</w:t>
      </w:r>
    </w:p>
    <w:p>
      <w:pPr>
        <w:spacing w:lineRule="auto" w:line="240" w:beforeAutospacing="0" w:afterAutospacing="0"/>
        <w:rPr>
          <w:rFonts w:eastAsia="Arial"/>
        </w:rPr>
      </w:pPr>
      <w:bookmarkEnd w:id="188"/>
      <w:bookmarkStart w:id="189" w:name="mo_motivtillreglering37"/>
      <w:r>
        <w:t>n</w:t>
      </w:r>
      <w:r>
        <w:rPr>
          <w:rFonts w:cstheme="minorBidi" w:eastAsia="Calibri"/>
          <w:vertAlign w:val="subscript"/>
          <w:lang w:eastAsia="sv-SE"/>
        </w:rPr>
        <w:t>1</w:t>
      </w:r>
      <w:r>
        <w:t xml:space="preserve"> - Marken får inte hårdgöras: Syftet är att hantera d</w:t>
      </w:r>
      <w:r>
        <w:rPr>
          <w:rFonts w:eastAsia="Arial"/>
        </w:rPr>
        <w:t>agvatten från ny verksamhetsmark i samlad lösning i form av svackdike eller vanligt dike innan vidare avledning till naturmark.</w:t>
      </w:r>
    </w:p>
    <w:p>
      <w:pPr>
        <w:spacing w:lineRule="auto" w:line="240" w:beforeAutospacing="0" w:afterAutospacing="0"/>
      </w:pPr>
      <w:bookmarkEnd w:id="189"/>
      <w:bookmarkStart w:id="190" w:name="mo_motivtillreglering38"/>
      <w:r>
        <w:t>u</w:t>
      </w:r>
      <w:r>
        <w:rPr>
          <w:rFonts w:cstheme="minorBidi" w:eastAsia="Calibri"/>
          <w:vertAlign w:val="subscript"/>
          <w:lang w:eastAsia="sv-SE"/>
        </w:rPr>
        <w:t>1</w:t>
      </w:r>
      <w:r>
        <w:t xml:space="preserve"> – Markreservat för allmännyttiga underjordiska ledningar: Syftet är att möjliggöra dagvattenavledning i underjordisk ledning. Alternativt kan öppet dike väljas som teknisk lösning.</w:t>
      </w:r>
    </w:p>
    <w:p>
      <w:pPr>
        <w:pStyle w:val="P2"/>
        <w:rPr>
          <w:rFonts w:eastAsia="Arial"/>
        </w:rPr>
      </w:pPr>
      <w:bookmarkEnd w:id="190"/>
      <w:bookmarkStart w:id="191" w:name="_Toc1937542320"/>
      <w:r>
        <w:rPr>
          <w:rFonts w:eastAsia="Arial"/>
        </w:rPr>
        <w:t>Motiv till reglering av del av Ar företagspark, norra delen</w:t>
      </w:r>
      <w:bookmarkEnd w:id="191"/>
    </w:p>
    <w:p>
      <w:pPr>
        <w:pStyle w:val="P3"/>
        <w:rPr>
          <w:rFonts w:eastAsia="Arial"/>
          <w:color w:val="000000" w:themeColor="text1"/>
        </w:rPr>
      </w:pPr>
      <w:r>
        <w:rPr>
          <w:rFonts w:eastAsia="Arial"/>
          <w:color w:val="000000" w:themeColor="text1"/>
        </w:rPr>
        <w:t>Användning av kvartersmark</w:t>
      </w:r>
    </w:p>
    <w:p>
      <w:pPr>
        <w:pStyle w:val="P61"/>
        <w:rPr>
          <w:rFonts w:asciiTheme="minorHAnsi" w:hAnsiTheme="minorHAnsi" w:cstheme="minorBidi"/>
          <w:lang w:val="sv-SE" w:eastAsia="sv-SE"/>
        </w:rPr>
      </w:pPr>
      <w:bookmarkStart w:id="192" w:name="mo_motivtillreglering07"/>
      <w:r>
        <w:rPr>
          <w:rFonts w:asciiTheme="minorHAnsi" w:hAnsiTheme="minorHAnsi" w:cstheme="minorBidi"/>
          <w:lang w:val="sv-SE" w:eastAsia="sv-SE"/>
        </w:rPr>
        <w:t>Z K H</w:t>
      </w:r>
      <w:r>
        <w:rPr>
          <w:rFonts w:asciiTheme="minorHAnsi" w:hAnsiTheme="minorHAnsi" w:cstheme="minorBidi"/>
          <w:vertAlign w:val="subscript"/>
          <w:lang w:val="sv-SE" w:eastAsia="sv-SE"/>
        </w:rPr>
        <w:t>1</w:t>
      </w:r>
      <w:r>
        <w:rPr>
          <w:rFonts w:asciiTheme="minorHAnsi" w:hAnsiTheme="minorHAnsi" w:cstheme="minorBidi"/>
          <w:lang w:val="sv-SE" w:eastAsia="sv-SE"/>
        </w:rPr>
        <w:t xml:space="preserve"> H</w:t>
      </w:r>
      <w:r>
        <w:rPr>
          <w:rFonts w:asciiTheme="minorHAnsi" w:hAnsiTheme="minorHAnsi" w:cstheme="minorBidi"/>
          <w:vertAlign w:val="subscript"/>
          <w:lang w:val="sv-SE" w:eastAsia="sv-SE"/>
        </w:rPr>
        <w:t>2</w:t>
      </w:r>
      <w:r>
        <w:rPr>
          <w:rFonts w:asciiTheme="minorHAnsi" w:hAnsiTheme="minorHAnsi" w:cstheme="minorBidi"/>
          <w:lang w:val="sv-SE" w:eastAsia="sv-SE"/>
        </w:rPr>
        <w:t xml:space="preserve"> - Verksamheter, Kontor, Detaljhandel med skrymmande varor, Detaljhandel utom handel med livsmedel, Kontor: Syftet är att ersätta industriändamålet med verksamheter (Z) som har en begränsad omgivningspåverkan för att säkerställa lokalisering med avseende på olycksrisk. Verksamheter innefattar service, lager, tillverkning med tillhörande försäljning inkl. hantverk, partihandel och annan jämförlig verksamhet med begränsad omgivningspåverkan. Övriga ändamål syftar att bekräfta befintlig byggrätt i norra Ar.</w:t>
      </w:r>
    </w:p>
    <w:p>
      <w:pPr>
        <w:pStyle w:val="P3"/>
        <w:rPr>
          <w:rFonts w:eastAsia="Arial"/>
          <w:color w:val="000000" w:themeColor="text1"/>
        </w:rPr>
      </w:pPr>
      <w:bookmarkEnd w:id="192"/>
      <w:r>
        <w:rPr>
          <w:rFonts w:eastAsia="Arial"/>
          <w:color w:val="000000" w:themeColor="text1"/>
        </w:rPr>
        <w:t>Egenskapsbestämmelser för kvartersmark</w:t>
      </w:r>
    </w:p>
    <w:p>
      <w:pPr>
        <w:spacing w:lineRule="auto" w:line="240" w:beforeAutospacing="0" w:afterAutospacing="0"/>
      </w:pPr>
      <w:bookmarkStart w:id="193" w:name="mo_motivtillreglering39"/>
      <w:r>
        <w:t>h</w:t>
      </w:r>
      <w:r>
        <w:rPr>
          <w:rFonts w:cstheme="minorBidi" w:eastAsia="Calibri"/>
          <w:vertAlign w:val="subscript"/>
          <w:lang w:eastAsia="sv-SE"/>
        </w:rPr>
        <w:t>3</w:t>
      </w:r>
      <w:r>
        <w:t xml:space="preserve"> - Högsta byggnadshöjd är 14 meter: Syftet är att </w:t>
      </w:r>
      <w:r>
        <w:rPr>
          <w:rFonts w:cstheme="minorBidi"/>
          <w:lang w:eastAsia="sv-SE"/>
        </w:rPr>
        <w:t>bekräfta befintlig byggrätt i norra Ar.</w:t>
      </w:r>
      <w:r>
        <w:t xml:space="preserve"> Utförande, material, kulörer och byggnaders placering ska ansluta till intentionerna i Miljöprogram Ar:</w:t>
      </w:r>
    </w:p>
    <w:p>
      <w:pPr>
        <w:spacing w:lineRule="auto" w:line="240" w:beforeAutospacing="0" w:afterAutospacing="0"/>
        <w:rPr>
          <w:rFonts w:ascii="Times New Roman" w:hAnsi="Times New Roman"/>
          <w:sz w:val="12"/>
          <w:szCs w:val="12"/>
        </w:rPr>
      </w:pPr>
      <w:bookmarkEnd w:id="193"/>
      <w:bookmarkStart w:id="194" w:name="mo_motivtillreglering40"/>
      <w:r>
        <w:t>b</w:t>
      </w:r>
      <w:r>
        <w:rPr>
          <w:rFonts w:cstheme="minorBidi" w:eastAsia="Calibri"/>
          <w:vertAlign w:val="subscript"/>
          <w:lang w:eastAsia="sv-SE"/>
        </w:rPr>
        <w:t>8</w:t>
      </w:r>
      <w:r>
        <w:t xml:space="preserve"> - Förorenat dagvatten, tex från permanenta parkeringsytor med fler än 50 platser, ska renas inom fastigheten: Syftet är att </w:t>
      </w:r>
      <w:r>
        <w:rPr>
          <w:rFonts w:cstheme="minorBidi"/>
          <w:lang w:eastAsia="sv-SE"/>
        </w:rPr>
        <w:t>bekräfta befintlig byggrätt i norra Ar. I enlighet med kommunens föreskrifter om användandet av den allmänna va-anläggningen (KFVA) får verksamheter, bilverkstäder, mekaniska verkstäder, garage, parkeringar m.m, inte vara inkopplade på den allmänna anläggningen om inte avskiljare installerats för att skilja ämnena från dagvattnet (t.ex. fettavskiljare och oljeavskiljare).</w:t>
      </w:r>
    </w:p>
    <w:p>
      <w:pPr>
        <w:spacing w:lineRule="auto" w:line="240" w:beforeAutospacing="0" w:afterAutospacing="0"/>
        <w:rPr>
          <w:rFonts w:cstheme="minorBidi"/>
          <w:lang w:eastAsia="sv-SE"/>
        </w:rPr>
      </w:pPr>
      <w:bookmarkEnd w:id="194"/>
      <w:bookmarkStart w:id="195" w:name="mo_motivtillreglering41"/>
      <w:r>
        <w:t>n</w:t>
      </w:r>
      <w:r>
        <w:rPr>
          <w:rFonts w:cstheme="minorBidi" w:eastAsia="Calibri"/>
          <w:vertAlign w:val="subscript"/>
          <w:lang w:eastAsia="sv-SE"/>
        </w:rPr>
        <w:t>2</w:t>
      </w:r>
      <w:r>
        <w:t xml:space="preserve"> - Mot gata ska det finnas en planteringszon på 2,5 meter: Syftet är att </w:t>
      </w:r>
      <w:r>
        <w:rPr>
          <w:rFonts w:cstheme="minorBidi"/>
          <w:lang w:eastAsia="sv-SE"/>
        </w:rPr>
        <w:t>bekräfta befintlig byggrätt i norra Ar.</w:t>
      </w:r>
      <w:r>
        <w:t xml:space="preserve"> Se Miljöprogram Ar.</w:t>
      </w:r>
    </w:p>
    <w:p>
      <w:pPr>
        <w:spacing w:lineRule="auto" w:line="240" w:beforeAutospacing="0" w:afterAutospacing="0"/>
        <w:rPr>
          <w:rFonts w:cstheme="minorBidi"/>
          <w:lang w:eastAsia="sv-SE"/>
        </w:rPr>
      </w:pPr>
      <w:bookmarkEnd w:id="195"/>
      <w:bookmarkStart w:id="196" w:name="mo_motivtillreglering42"/>
      <w:r>
        <w:t>m</w:t>
      </w:r>
      <w:r>
        <w:rPr>
          <w:rFonts w:cstheme="minorBidi" w:eastAsia="Calibri"/>
          <w:vertAlign w:val="subscript"/>
          <w:lang w:eastAsia="sv-SE"/>
        </w:rPr>
        <w:t>1</w:t>
      </w:r>
      <w:r>
        <w:t xml:space="preserve"> Verksamhet som innebär betydande olägenhet för omgivningen avseende lukt medges ej: Syftet är att </w:t>
      </w:r>
      <w:r>
        <w:rPr>
          <w:rFonts w:cstheme="minorBidi"/>
          <w:lang w:eastAsia="sv-SE"/>
        </w:rPr>
        <w:t>bekräfta befintlig byggrätt i norra Ar.</w:t>
      </w:r>
    </w:p>
    <w:p>
      <w:pPr>
        <w:spacing w:lineRule="auto" w:line="240" w:beforeAutospacing="0" w:afterAutospacing="0"/>
        <w:rPr>
          <w:rFonts w:cstheme="minorBidi"/>
          <w:lang w:eastAsia="sv-SE"/>
        </w:rPr>
      </w:pPr>
      <w:bookmarkEnd w:id="196"/>
      <w:bookmarkStart w:id="197" w:name="mo_motivtillreglering43"/>
      <w:r>
        <w:t>A</w:t>
      </w:r>
      <w:r>
        <w:rPr>
          <w:rFonts w:cstheme="minorBidi" w:eastAsia="Calibri"/>
          <w:vertAlign w:val="subscript"/>
          <w:lang w:eastAsia="sv-SE"/>
        </w:rPr>
        <w:t xml:space="preserve">1 </w:t>
      </w:r>
      <w:r>
        <w:t xml:space="preserve">Genomförandetiden är 5 år för användningsområdet och börjar gälla fr.o.m. laga kraft datum: Syftet är att </w:t>
      </w:r>
      <w:r>
        <w:rPr>
          <w:rFonts w:cstheme="minorBidi"/>
          <w:lang w:eastAsia="sv-SE"/>
        </w:rPr>
        <w:t>bekräfta befintlig byggrätt i norra Ar, varför kortare genomförandetid bedöms lämpligt.</w:t>
      </w:r>
    </w:p>
    <w:p>
      <w:pPr>
        <w:spacing w:lineRule="auto" w:line="240" w:beforeAutospacing="0" w:afterAutospacing="0"/>
        <w:rPr>
          <w:rFonts w:cstheme="minorBidi"/>
          <w:color w:val="EE0000"/>
          <w:lang w:eastAsia="sv-SE"/>
        </w:rPr>
      </w:pPr>
      <w:bookmarkEnd w:id="197"/>
    </w:p>
    <w:p>
      <w:pPr>
        <w:spacing w:lineRule="auto" w:line="240" w:beforeAutospacing="0" w:afterAutospacing="0"/>
        <w:rPr>
          <w:color w:val="auto"/>
        </w:rPr>
      </w:pPr>
      <w:r>
        <w:rPr>
          <w:color w:val="EE0000"/>
        </w:rPr>
        <w:br w:type="page"/>
      </w:r>
    </w:p>
    <w:p>
      <w:pPr>
        <w:pStyle w:val="P1"/>
        <w:rPr>
          <w:b w:val="1"/>
        </w:rPr>
      </w:pPr>
      <w:bookmarkStart w:id="198" w:name="_Toc153284666"/>
      <w:bookmarkStart w:id="199" w:name="_Toc1007798244"/>
      <w:r>
        <w:rPr>
          <w:b w:val="1"/>
        </w:rPr>
        <w:t>Konsekvenser</w:t>
      </w:r>
      <w:bookmarkEnd w:id="198"/>
      <w:bookmarkEnd w:id="199"/>
      <w:r>
        <w:rPr>
          <w:b w:val="1"/>
        </w:rPr>
        <w:t xml:space="preserve"> </w:t>
      </w:r>
    </w:p>
    <w:p>
      <w:pPr>
        <w:pStyle w:val="P2"/>
      </w:pPr>
      <w:bookmarkStart w:id="200" w:name="_Toc1007852504"/>
      <w:bookmarkStart w:id="201" w:name="ko_platsen01"/>
      <w:r>
        <w:t>Platsen</w:t>
      </w:r>
      <w:bookmarkEnd w:id="200"/>
    </w:p>
    <w:p>
      <w:pPr>
        <w:pStyle w:val="P3"/>
      </w:pPr>
      <w:r>
        <w:t>Befintliga element och markanvändning</w:t>
      </w:r>
    </w:p>
    <w:p>
      <w:pPr>
        <w:rPr>
          <w:color w:val="EE0000"/>
        </w:rPr>
      </w:pPr>
      <w:r>
        <w:rPr>
          <w:color w:val="auto"/>
        </w:rPr>
        <w:t xml:space="preserve">Planen </w:t>
      </w:r>
      <w:r>
        <w:t xml:space="preserve">innebär att kalhygget som delvis växt upp till ungskog centralt inom planområdet till stor del ersätts av en sammanhållen och låg småhusbebyggelse och område för verksamheter. Vidare kommer en sammanhängande struktur av natur och parkmark med berg i dagen och en del </w:t>
      </w:r>
      <w:r>
        <w:rPr>
          <w:shd w:val="clear" w:color="auto" w:fill="FFFFFF"/>
        </w:rPr>
        <w:t>uppväxta träd bevaras</w:t>
      </w:r>
      <w:r>
        <w:t xml:space="preserve"> för närhet till natur, rekreation och ekologiska spridningssamband samt omhändertagande av dagvatten. Planen innebär även att del av</w:t>
      </w:r>
      <w:r>
        <w:rPr>
          <w:rFonts w:eastAsia="Arial"/>
          <w:lang w:eastAsia="sv-SE"/>
        </w:rPr>
        <w:t xml:space="preserve"> befintligt industriändamål inom 100 meter från bostadsanvändning planläggs för verksamheter som har en begränsad omgivningspåverkan för att </w:t>
      </w:r>
      <w:r>
        <w:t>säkerställa lokaliseringen med avseende på olycksrisk.</w:t>
      </w:r>
    </w:p>
    <w:p>
      <w:pPr>
        <w:rPr>
          <w:color w:val="auto"/>
          <w:shd w:val="clear" w:color="auto" w:fill="FFFFFF"/>
        </w:rPr>
      </w:pPr>
      <w:r>
        <w:rPr>
          <w:color w:val="auto"/>
        </w:rPr>
        <w:t xml:space="preserve">Förändring av landskapsbilden blir på lokalnivå relativt stor men bedömningen är att planförslagets anpassning till angränsande områdens bebyggelsemönster, skala och täthet skapar </w:t>
      </w:r>
      <w:r>
        <w:rPr>
          <w:color w:val="auto"/>
          <w:shd w:val="clear" w:color="auto" w:fill="FFFFFF"/>
        </w:rPr>
        <w:t xml:space="preserve">en </w:t>
      </w:r>
      <w:r>
        <w:rPr>
          <w:shd w:val="clear" w:color="auto" w:fill="FFFFFF"/>
        </w:rPr>
        <w:t xml:space="preserve">naturlig och integrerad övergång mellan befintlig bebyggelse i Alsike och pågående planering i Träfallet och utbyggnad av och intentionen med verksamhetsområdet i Ar. Bedömningen grundas även på att planen fortsatt skyddar och förstärker delar av den </w:t>
      </w:r>
      <w:r>
        <w:t>socialt och ekologiskt värdefulla natur- och skogsmarken intill befintligt bostadsområde längs Villebrådsgatan samt skapar</w:t>
      </w:r>
      <w:r>
        <w:rPr>
          <w:shd w:val="clear" w:color="auto" w:fill="FFFFFF"/>
        </w:rPr>
        <w:t xml:space="preserve"> en sammankopplande grönstruktur </w:t>
      </w:r>
      <w:r>
        <w:t>genom Myrberget och i mötet med Ar och söder om Brunnbyvägen.</w:t>
      </w:r>
    </w:p>
    <w:p>
      <w:pPr>
        <w:pStyle w:val="P3"/>
      </w:pPr>
      <w:bookmarkEnd w:id="201"/>
      <w:bookmarkStart w:id="202" w:name="ko_fastigheterochrättigheter01"/>
      <w:r>
        <w:t>Mark- och ägoförhållanden</w:t>
      </w:r>
    </w:p>
    <w:p>
      <w:r>
        <w:t xml:space="preserve">Planförslaget innebär exploatering av tidigare obebyggd och sedan tidigare ej detaljplanelagd lantbruksfastighet med skogsmark (inte odlingsmark), samt att en del av naturmarken tas i anspråk för verksamheter. </w:t>
      </w:r>
    </w:p>
    <w:p>
      <w:r>
        <w:t xml:space="preserve">Planområdet innefattar cirka 30 hektar (ha) och består av omkring 10 ha naturmark respektive 1,3 ha industrimark (industri, lager, restaurang, hantverk samt handel) enligt detaljplan och 18,9 ha obebyggd skogsfastighet. Planens genomförande innebär att cirka 7,4 ha överförs till kvartersmark för bostäder och cirka 2,4 ha för verksamhet, samt cirka 0,3 ha till allmän park och 10,3 ha till naturmark. Kvartersmark för industri </w:t>
      </w:r>
      <w:r>
        <w:rPr>
          <w:rFonts w:eastAsia="Arial"/>
          <w:lang w:eastAsia="sv-SE"/>
        </w:rPr>
        <w:t xml:space="preserve">planläggs för verksamheter med begränsad omgivningspåverkan. </w:t>
      </w:r>
      <w:r>
        <w:t xml:space="preserve">Resterande mark upptas av natur (med mindre del som park), allmän gata för fordon, cykel och gångtrafik, samt kvartersmark för tekniska anläggningar. </w:t>
      </w:r>
    </w:p>
    <w:p>
      <w:pPr>
        <w:rPr>
          <w:i w:val="1"/>
          <w:iCs w:val="1"/>
        </w:rPr>
      </w:pPr>
      <w:r>
        <w:t>Fastighetsbildning för bostadsändamål med friliggande småhus med verksamhet som komplement kommer att ske. Sammanbyggda småhus i kluster kan utgöras av bostadsrättsförening eller styckas som äganderätter</w:t>
      </w:r>
      <w:r>
        <w:rPr>
          <w:color w:val="auto"/>
        </w:rPr>
        <w:t>.</w:t>
      </w:r>
      <w:r>
        <w:rPr>
          <w:rFonts w:ascii="Times New Roman" w:hAnsi="Times New Roman"/>
          <w:color w:val="auto"/>
        </w:rPr>
        <w:t xml:space="preserve"> </w:t>
      </w:r>
      <w:r>
        <w:rPr>
          <w:color w:val="auto"/>
        </w:rPr>
        <w:t>Ytor för angöring, parkering och komplementbebyggelse kan ske med gemensamhetsanläggning för geme</w:t>
      </w:r>
      <w:r>
        <w:t xml:space="preserve">nsamt förvaltande, men regleras inte i detaljplanen. Se vidare information om förändrade mark- och ägoförhållanden i avsnitt </w:t>
      </w:r>
      <w:r>
        <w:rPr>
          <w:i w:val="1"/>
          <w:iCs w:val="1"/>
        </w:rPr>
        <w:t>Genomförande.</w:t>
      </w:r>
      <w:bookmarkEnd w:id="202"/>
    </w:p>
    <w:p>
      <w:pPr>
        <w:pStyle w:val="P2"/>
        <w:rPr>
          <w:rFonts w:eastAsia="Arial"/>
          <w:color w:val="000000" w:themeColor="text1"/>
          <w:lang w:eastAsia="sv-SE"/>
        </w:rPr>
      </w:pPr>
      <w:bookmarkStart w:id="203" w:name="_Toc272490341"/>
      <w:bookmarkStart w:id="204" w:name="ko_tidigarekommunalaställningstaganden01"/>
      <w:r>
        <w:rPr>
          <w:rFonts w:eastAsia="Arial"/>
          <w:color w:val="000000" w:themeColor="text1"/>
          <w:lang w:eastAsia="sv-SE"/>
        </w:rPr>
        <w:t>Tidigare kommunala ställningstaganden</w:t>
      </w:r>
      <w:bookmarkEnd w:id="203"/>
    </w:p>
    <w:p>
      <w:pPr>
        <w:pStyle w:val="P3"/>
        <w:rPr>
          <w:rFonts w:eastAsia="Arial"/>
          <w:color w:val="000000" w:themeColor="text1"/>
        </w:rPr>
      </w:pPr>
      <w:r>
        <w:rPr>
          <w:rFonts w:eastAsia="Arial"/>
          <w:color w:val="000000" w:themeColor="text1"/>
        </w:rPr>
        <w:t>Detaljplan</w:t>
      </w:r>
    </w:p>
    <w:p>
      <w:pPr>
        <w:rPr>
          <w:shd w:val="clear" w:color="auto" w:fill="FFFFFF"/>
        </w:rPr>
      </w:pPr>
      <w:r>
        <w:rPr>
          <w:shd w:val="clear" w:color="auto" w:fill="FFFFFF"/>
        </w:rPr>
        <w:t>Fastigheten Vrå 3:1 är inte detaljplanelagd sedan tidigare vilket innebär att planförslaget möjliggör kvartersmark för bostäder och verksamhet på tidigare obebyggd mark. Delar av planområdets sydöstra del som regleras som natur i gällande detaljplan ersätts av kvartersmark för verksamheter. Detta kompenseras av ett naturstråk något längre norrut för att avgränsa bostadsbebyggelse från verksamhetsområdet. Dessa naturområden bedöms som likvärdiga då de inte skiljer sig varken utifrån sociala eller naturvärden. De delar som innefattas av gällande detaljplan i väster bevaras i huvudsak i detaljplaneförslaget. Dock tas en mindre del av naturmarken i anspråk och regleras som gatumark för att möjliggöra en breddning av infartsvägen från Brunnbyvägen. Del av befintliga industrimark i Ar, närmast Myrberget, och som innefattas av gällande detaljplan regleras till verksamheter för att säkerställa lokalisering av bostäder i avseende på olycksrisk.</w:t>
      </w:r>
    </w:p>
    <w:p>
      <w:pPr>
        <w:rPr>
          <w:shd w:val="clear" w:color="auto" w:fill="FFFFFF"/>
        </w:rPr>
      </w:pPr>
      <w:r>
        <w:rPr>
          <w:shd w:val="clear" w:color="auto" w:fill="FFFFFF"/>
        </w:rPr>
        <w:t xml:space="preserve">Planbesked gavs 2015-06-01 av kommunstyrelsen för att pröva möjligheten för en blandning av olika bostadstyper. </w:t>
      </w:r>
    </w:p>
    <w:p>
      <w:pPr>
        <w:rPr>
          <w:rFonts w:eastAsiaTheme="minorEastAsia"/>
        </w:rPr>
      </w:pPr>
      <w:r>
        <w:rPr>
          <w:rFonts w:eastAsiaTheme="minorEastAsia"/>
        </w:rPr>
        <w:t xml:space="preserve">Beslut om att godkänna förslag till projektuppdrag och att ge samhällsbyggnadskontoret i uppdrag att upprätta förslag till detaljplan togs av kommunstyrelsen 2024-10-21 (§ 145), med syfte </w:t>
      </w:r>
      <w:r>
        <w:rPr>
          <w:shd w:val="clear" w:color="auto" w:fill="FFFFFF"/>
        </w:rPr>
        <w:t>att möjliggöra för trivsamma och trygga boendemiljöer med närheten till naturen, samt möjliggöra för verksamheter att etablera sig i kommunen.</w:t>
      </w:r>
    </w:p>
    <w:p>
      <w:pPr>
        <w:rPr>
          <w:shd w:val="clear" w:color="auto" w:fill="FFFFFF"/>
        </w:rPr>
      </w:pPr>
      <w:r>
        <w:rPr>
          <w:shd w:val="clear" w:color="auto" w:fill="FFFFFF"/>
        </w:rPr>
        <w:t>Detaljplanens syfte bedöms som förenligt med projektuppdraget.</w:t>
      </w:r>
    </w:p>
    <w:p>
      <w:pPr>
        <w:pStyle w:val="P3"/>
        <w:rPr>
          <w:rFonts w:eastAsia="Arial"/>
          <w:color w:val="000000" w:themeColor="text1"/>
        </w:rPr>
      </w:pPr>
      <w:r>
        <w:rPr>
          <w:rFonts w:eastAsia="Arial"/>
          <w:color w:val="000000" w:themeColor="text1"/>
        </w:rPr>
        <w:t>Planprogram</w:t>
      </w:r>
    </w:p>
    <w:p>
      <w:pPr>
        <w:rPr>
          <w:shd w:val="clear" w:color="auto" w:fill="FFFFFF"/>
        </w:rPr>
      </w:pPr>
      <w:r>
        <w:rPr>
          <w:shd w:val="clear" w:color="auto" w:fill="FFFFFF"/>
        </w:rPr>
        <w:t>Planprogrammet för Myrberget som var på samråd år 2021 hade till syfte att översiktligt utreda områdets förutsättningar för bostadsbebyggelse samt bevara naturvärden och säkerställa gröna kopplingar. Parallellt med utveckling av planprogrammet genomfördes en utökad medborgardialog för Myrberget, med syfte att värna om medborgarnas behov och önskemål.</w:t>
      </w:r>
    </w:p>
    <w:p>
      <w:pPr>
        <w:rPr>
          <w:shd w:val="clear" w:color="auto" w:fill="FFFFFF"/>
        </w:rPr>
      </w:pPr>
      <w:r>
        <w:rPr>
          <w:shd w:val="clear" w:color="auto" w:fill="FFFFFF"/>
        </w:rPr>
        <w:t xml:space="preserve">Kommunen valde att efter programmet varit på samråd under år 2021 att inte färdigställa planprogrammet, utan såg fördelar att gå direkt på detaljplan för att inom ramen för detaljplaneprocessen fortsatt utreda förutsättningar, förslag och konsekvenser för Myrberget. </w:t>
      </w:r>
    </w:p>
    <w:p>
      <w:pPr>
        <w:rPr>
          <w:color w:val="auto"/>
          <w:shd w:val="clear" w:color="auto" w:fill="FFFFFF"/>
        </w:rPr>
      </w:pPr>
      <w:r>
        <w:rPr>
          <w:shd w:val="clear" w:color="auto" w:fill="FFFFFF"/>
        </w:rPr>
        <w:t xml:space="preserve">Detaljplanens utformning utgår delvis från planprogrammets strukturella huvuddrag och resultatet av programsamrådet. Medborgardialogen och planprogrammets övriga underliggande utredningar ligger till grund för detaljplanearbetet. Bedömningen är att planförslaget uppfyller målen </w:t>
      </w:r>
      <w:r>
        <w:rPr>
          <w:color w:val="auto"/>
          <w:shd w:val="clear" w:color="auto" w:fill="FFFFFF"/>
        </w:rPr>
        <w:t>om naturnära och småskalig bostadsbebyggelse längs en rundgående gata med goda förutsättningar för blandad bebyggelse inom en sammanhållen gestaltning, inkluderat verksamheter som komplement till bostäder samt i anslutning till verksamhetsområdet Ar.</w:t>
      </w:r>
    </w:p>
    <w:p>
      <w:pPr>
        <w:pStyle w:val="P3"/>
        <w:rPr>
          <w:rFonts w:eastAsia="Arial"/>
          <w:color w:val="000000" w:themeColor="text1"/>
        </w:rPr>
      </w:pPr>
      <w:r>
        <w:rPr>
          <w:rFonts w:eastAsia="Arial"/>
        </w:rPr>
        <w:t xml:space="preserve">Översiktsplan och </w:t>
      </w:r>
      <w:r>
        <w:rPr>
          <w:rFonts w:eastAsia="Arial"/>
          <w:color w:val="000000" w:themeColor="text1"/>
        </w:rPr>
        <w:t>vision</w:t>
      </w:r>
    </w:p>
    <w:p>
      <w:pPr>
        <w:pStyle w:val="P61"/>
        <w:spacing w:lineRule="auto" w:line="276" w:beforeAutospacing="0" w:afterAutospacing="0"/>
        <w:rPr>
          <w:rFonts w:asciiTheme="minorHAnsi" w:hAnsiTheme="minorHAnsi" w:eastAsia="Times New Roman"/>
          <w:shd w:val="clear" w:color="auto" w:fill="FFFFFF"/>
          <w:lang w:val="sv-SE"/>
        </w:rPr>
      </w:pPr>
      <w:r>
        <w:rPr>
          <w:rFonts w:asciiTheme="minorHAnsi" w:hAnsiTheme="minorHAnsi" w:eastAsia="Times New Roman"/>
          <w:shd w:val="clear" w:color="auto" w:fill="FFFFFF"/>
          <w:lang w:val="sv-SE"/>
        </w:rPr>
        <w:t>Planförslaget medför en utveckling med blandade boendeformer och möjlig verksamhetsutveckling med begränsad omgivningspåverkan i närhet till natur i södra delen av Alsike och bedöms således vara förenlig med översiktsplanen samt Knivsta vision 2040.</w:t>
      </w:r>
      <w:bookmarkEnd w:id="204"/>
    </w:p>
    <w:p>
      <w:pPr>
        <w:pStyle w:val="P2"/>
        <w:rPr>
          <w:rFonts w:eastAsia="Arial"/>
        </w:rPr>
      </w:pPr>
      <w:bookmarkStart w:id="205" w:name="_Toc153284670"/>
      <w:bookmarkStart w:id="206" w:name="_Toc1289750200"/>
      <w:bookmarkStart w:id="207" w:name="ko_miljöbedömning01"/>
      <w:r>
        <w:rPr>
          <w:rFonts w:eastAsia="Arial"/>
        </w:rPr>
        <w:t>Strategisk miljöbedömning</w:t>
      </w:r>
      <w:bookmarkEnd w:id="205"/>
      <w:bookmarkEnd w:id="206"/>
    </w:p>
    <w:p>
      <w:pPr>
        <w:pStyle w:val="P3"/>
      </w:pPr>
      <w:r>
        <w:t>Undersökning av betydande miljöpåverkan</w:t>
      </w:r>
    </w:p>
    <w:p>
      <w:pPr>
        <w:rPr>
          <w:color w:val="auto"/>
        </w:rPr>
      </w:pPr>
      <w:r>
        <w:rPr>
          <w:color w:val="auto"/>
        </w:rPr>
        <w:t xml:space="preserve">En undersökning av betydande miljöpåverkan, beslutsdatum 2026-05-25, har gjorts för denna detaljplan. </w:t>
      </w:r>
    </w:p>
    <w:p>
      <w:pPr>
        <w:rPr>
          <w:color w:val="auto"/>
        </w:rPr>
      </w:pPr>
      <w:r>
        <w:rPr>
          <w:color w:val="auto"/>
        </w:rPr>
        <w:t>Kommunens bedömning är att detaljplanen inte innebär betydande miljöpåverkan. En miljökonsekvensbeskrivning enligt 6 kap. 11 § miljöbalken behöver därför inte upprättas.</w:t>
      </w:r>
      <w:r>
        <w:rPr>
          <w:rFonts w:ascii="Times New Roman" w:hAnsi="Times New Roman"/>
          <w:color w:val="auto"/>
        </w:rPr>
        <w:t xml:space="preserve"> </w:t>
      </w:r>
      <w:r>
        <w:rPr>
          <w:color w:val="auto"/>
        </w:rPr>
        <w:t>Motiven till bedömningen är att detaljplaneförslaget medför en begränsad påverkan på naturvärden, sociala värden, materiella värden och människors hälsa eller miljön men inte i så pass hög utsträckning att det utgör en betydande påverkan.</w:t>
      </w:r>
    </w:p>
    <w:p>
      <w:pPr>
        <w:pStyle w:val="P3"/>
        <w:rPr>
          <w:rFonts w:eastAsia="Arial"/>
          <w:color w:val="000000" w:themeColor="text1"/>
          <w:lang w:eastAsia="sv-SE"/>
        </w:rPr>
      </w:pPr>
      <w:r>
        <w:rPr>
          <w:rFonts w:eastAsia="Arial"/>
          <w:color w:val="000000" w:themeColor="text1"/>
          <w:lang w:eastAsia="sv-SE"/>
        </w:rPr>
        <w:t>Undersökningssamråd</w:t>
      </w:r>
    </w:p>
    <w:p>
      <w:r>
        <w:t>Länsstyrelsen instämmer i sitt samrådsyttrande, daterat 2025-06-10, med kommunens bedömning om att detaljplaneförslaget medför en begränsad påverkan på naturvärden, sociala värden, materiella värden och människors hälsa eller miljön, men inte i så hög utsträckning att det utgör en betydande påverkan.</w:t>
      </w:r>
    </w:p>
    <w:p>
      <w:pPr>
        <w:pStyle w:val="P3"/>
        <w:rPr>
          <w:rFonts w:eastAsia="Arial"/>
          <w:color w:val="000000" w:themeColor="text1"/>
          <w:lang w:eastAsia="sv-SE"/>
        </w:rPr>
      </w:pPr>
      <w:r>
        <w:rPr>
          <w:rFonts w:eastAsia="Arial"/>
          <w:color w:val="000000" w:themeColor="text1"/>
          <w:lang w:eastAsia="sv-SE"/>
        </w:rPr>
        <w:t>Beslut om betydande miljöpåverkan</w:t>
      </w:r>
    </w:p>
    <w:p>
      <w:pPr>
        <w:rPr>
          <w:rFonts w:eastAsia="Arial"/>
          <w:color w:val="auto"/>
          <w:lang w:eastAsia="sv-SE"/>
        </w:rPr>
      </w:pPr>
      <w:r>
        <w:rPr>
          <w:rFonts w:eastAsia="Arial"/>
          <w:color w:val="auto"/>
          <w:lang w:eastAsia="sv-SE"/>
        </w:rPr>
        <w:t>Beslut om betydande miljöpåverkan tas i samband med planens antagande av kommunstyrelsen.</w:t>
      </w:r>
    </w:p>
    <w:p>
      <w:pPr>
        <w:pStyle w:val="P2"/>
        <w:rPr>
          <w:rFonts w:eastAsia="Arial"/>
          <w:lang w:eastAsia="sv-SE"/>
        </w:rPr>
      </w:pPr>
      <w:bookmarkEnd w:id="207"/>
      <w:bookmarkStart w:id="208" w:name="_Toc153284673"/>
      <w:bookmarkStart w:id="209" w:name="_Toc948936313"/>
      <w:r>
        <w:rPr>
          <w:rFonts w:eastAsia="Arial"/>
          <w:lang w:eastAsia="sv-SE"/>
        </w:rPr>
        <w:t>Nationella intressen</w:t>
      </w:r>
      <w:bookmarkEnd w:id="208"/>
      <w:bookmarkEnd w:id="209"/>
    </w:p>
    <w:p>
      <w:pPr>
        <w:pStyle w:val="P3"/>
        <w:rPr>
          <w:rFonts w:eastAsia="Arial"/>
        </w:rPr>
      </w:pPr>
      <w:bookmarkStart w:id="210" w:name="ko_riksintresse01"/>
      <w:r>
        <w:rPr>
          <w:rFonts w:eastAsia="Arial"/>
        </w:rPr>
        <w:t>Riksintressen</w:t>
      </w:r>
    </w:p>
    <w:p>
      <w:pPr>
        <w:rPr>
          <w:rFonts w:eastAsia="Arial"/>
          <w:color w:val="auto"/>
          <w:lang w:eastAsia="sv-SE"/>
        </w:rPr>
      </w:pPr>
      <w:r>
        <w:rPr>
          <w:color w:val="auto"/>
          <w:shd w:val="clear" w:color="auto" w:fill="FFFFFF"/>
        </w:rPr>
        <w:t>Detaljplanen ligger på relativt långt avstånd (</w:t>
      </w:r>
      <w:r>
        <w:rPr>
          <w:color w:val="auto"/>
          <w:sz w:val="22"/>
          <w:szCs w:val="22"/>
          <w:shd w:val="clear" w:color="auto" w:fill="FFFFFF"/>
        </w:rPr>
        <w:t>&gt;</w:t>
      </w:r>
      <w:r>
        <w:rPr>
          <w:color w:val="auto"/>
          <w:shd w:val="clear" w:color="auto" w:fill="FFFFFF"/>
        </w:rPr>
        <w:t>430 meter i östlig riktning) från riksintresse för kulturmiljövården (Landskapet kring Valloxen och Säbysjön) och bakom en uppväxt skogsridå i sluttning mot nordöst. Bedömningen är att planförslagets relativt låga skala under trädnivå, kombinerat med en trädbuffert om cirka 80 meter gör att vyer från riksintresset inte påverkas av planförslaget.</w:t>
      </w:r>
      <w:bookmarkEnd w:id="210"/>
    </w:p>
    <w:p>
      <w:pPr>
        <w:pStyle w:val="P3"/>
        <w:rPr>
          <w:rFonts w:eastAsia="Arial"/>
          <w:lang w:eastAsia="sv-SE"/>
        </w:rPr>
      </w:pPr>
      <w:bookmarkStart w:id="211" w:name="ko_skogsbruk01"/>
      <w:r>
        <w:rPr>
          <w:rFonts w:eastAsia="Arial"/>
          <w:lang w:eastAsia="sv-SE"/>
        </w:rPr>
        <w:t xml:space="preserve">Hushållningsbestämmelser enligt 3 kap. miljöbalken </w:t>
      </w:r>
    </w:p>
    <w:p>
      <w:pPr>
        <w:pStyle w:val="P67"/>
        <w:rPr>
          <w:color w:val="auto"/>
        </w:rPr>
      </w:pPr>
      <w:r>
        <w:rPr>
          <w:rFonts w:eastAsiaTheme="majorEastAsia"/>
          <w:color w:val="auto"/>
        </w:rPr>
        <w:t>Skogsbruk</w:t>
      </w:r>
    </w:p>
    <w:p>
      <w:pPr>
        <w:rPr>
          <w:color w:val="auto"/>
          <w:lang w:eastAsia="sv-SE"/>
        </w:rPr>
      </w:pPr>
      <w:r>
        <w:rPr>
          <w:color w:val="auto"/>
          <w:lang w:eastAsia="sv-SE"/>
        </w:rPr>
        <w:t>Del av planområdet används idag för skogsbruk. Alsike som</w:t>
      </w:r>
      <w:r>
        <w:rPr>
          <w:color w:val="auto"/>
          <w:shd w:val="clear" w:color="auto" w:fill="FFFFFF"/>
        </w:rPr>
        <w:t xml:space="preserve"> en prioriterad tätort i översiktsplanen att utveckla med naturnära bostäder och verksamheter överväger den begränsade material och energiproduktion planområdet ger upphov till. Detaljplanen ligger i linje med hushållningsbestämmelserna i 3 kap. miljöbalken.</w:t>
      </w:r>
    </w:p>
    <w:p>
      <w:pPr>
        <w:pStyle w:val="P3"/>
        <w:rPr>
          <w:rFonts w:eastAsia="Arial"/>
          <w:lang w:eastAsia="sv-SE"/>
        </w:rPr>
      </w:pPr>
      <w:bookmarkEnd w:id="211"/>
      <w:bookmarkStart w:id="212" w:name="ko_miljökvalitetsnormer01"/>
      <w:r>
        <w:rPr>
          <w:rFonts w:eastAsia="Arial"/>
          <w:lang w:eastAsia="sv-SE"/>
        </w:rPr>
        <w:t>Miljökvalitetsnormer</w:t>
      </w:r>
    </w:p>
    <w:p>
      <w:pPr>
        <w:pStyle w:val="P67"/>
        <w:rPr>
          <w:rFonts w:eastAsiaTheme="majorEastAsia"/>
        </w:rPr>
      </w:pPr>
      <w:bookmarkEnd w:id="212"/>
      <w:bookmarkStart w:id="213" w:name="ko_luft01"/>
      <w:r>
        <w:rPr>
          <w:rFonts w:eastAsiaTheme="majorEastAsia"/>
        </w:rPr>
        <w:t>Utomhusluft</w:t>
      </w:r>
    </w:p>
    <w:p>
      <w:pPr>
        <w:rPr>
          <w:color w:val="auto"/>
          <w:shd w:val="clear" w:color="auto" w:fill="FFFFFF"/>
        </w:rPr>
      </w:pPr>
      <w:r>
        <w:rPr>
          <w:color w:val="auto"/>
          <w:shd w:val="clear" w:color="auto" w:fill="FFFFFF"/>
        </w:rPr>
        <w:t>Värdena för kvävedioxid i området är låga. Eftersom planförslaget medför småhusbebyggelse och verksamhetsmark relativt glest med korsande naturmark är bedömningen att förslaget inte påverkar förutsättningarna för att uppnå miljökvalitetsnormerna negativt.</w:t>
      </w:r>
    </w:p>
    <w:p>
      <w:pPr>
        <w:pStyle w:val="P67"/>
        <w:rPr>
          <w:rFonts w:eastAsiaTheme="majorEastAsia"/>
          <w:color w:val="auto"/>
        </w:rPr>
      </w:pPr>
      <w:bookmarkEnd w:id="213"/>
      <w:bookmarkStart w:id="214" w:name="ko_vatten01"/>
      <w:r>
        <w:rPr>
          <w:rFonts w:eastAsiaTheme="majorEastAsia"/>
          <w:color w:val="auto"/>
        </w:rPr>
        <w:t xml:space="preserve">Yt- och grundvattenförekomster </w:t>
      </w:r>
    </w:p>
    <w:p>
      <w:pPr>
        <w:rPr>
          <w:color w:val="auto"/>
          <w:shd w:val="clear" w:color="auto" w:fill="FFFFFF"/>
        </w:rPr>
      </w:pPr>
      <w:r>
        <w:rPr>
          <w:color w:val="auto"/>
          <w:shd w:val="clear" w:color="auto" w:fill="FFFFFF"/>
        </w:rPr>
        <w:t>Sammantaget bedöms det inom planen finnas goda förutsättningar för att vid exploatering anpassa dagvattenanläggningar för att minimera belastningen av näringsämnen, metaller och andra miljöföroreningar efter exploatering. Parallellt med planarbetet pågår utredning av en gemensam reningsanläggning för Myrberget, intilliggande planområde Träfallet samt befintlig bebyggelse i Alsike. Anläggandet av en reningsåtgärd för dagvatten nedströms planområdet bedöms ge upphov till en lägre belastning från planområdet än vad som beräknats i dagvattenutredningen. Genomförandet av planen bedöms därför inte medföra att uppfyllandet av MKN för Lövstaån och Valloxen försvåras.</w:t>
      </w:r>
    </w:p>
    <w:p>
      <w:pPr>
        <w:rPr>
          <w:i w:val="1"/>
          <w:iCs w:val="1"/>
          <w:color w:val="auto"/>
          <w:shd w:val="clear" w:color="auto" w:fill="FFFFFF"/>
        </w:rPr>
      </w:pPr>
      <w:r>
        <w:rPr>
          <w:color w:val="auto"/>
          <w:shd w:val="clear" w:color="auto" w:fill="FFFFFF"/>
        </w:rPr>
        <w:t xml:space="preserve">Se vidare under avsnitt </w:t>
      </w:r>
      <w:r>
        <w:rPr>
          <w:i w:val="1"/>
          <w:iCs w:val="1"/>
          <w:color w:val="auto"/>
          <w:shd w:val="clear" w:color="auto" w:fill="FFFFFF"/>
        </w:rPr>
        <w:t xml:space="preserve">Konsekvenser - Risker för människors hälsa och säkerhet. </w:t>
      </w:r>
      <w:bookmarkEnd w:id="214"/>
    </w:p>
    <w:p>
      <w:pPr>
        <w:pStyle w:val="P67"/>
        <w:rPr>
          <w:rFonts w:eastAsiaTheme="majorEastAsia"/>
        </w:rPr>
      </w:pPr>
      <w:bookmarkStart w:id="215" w:name="ko_buller01"/>
      <w:r>
        <w:rPr>
          <w:rFonts w:eastAsiaTheme="majorEastAsia"/>
        </w:rPr>
        <w:t>Omgivningsbuller</w:t>
      </w:r>
    </w:p>
    <w:p>
      <w:pPr>
        <w:rPr>
          <w:shd w:val="clear" w:color="auto" w:fill="FFFFFF"/>
        </w:rPr>
      </w:pPr>
      <w:r>
        <w:rPr>
          <w:color w:val="auto"/>
          <w:shd w:val="clear" w:color="auto" w:fill="FFFFFF"/>
        </w:rPr>
        <w:t xml:space="preserve">Planförslaget bedöms inte påverka </w:t>
      </w:r>
      <w:r>
        <w:rPr>
          <w:shd w:val="clear" w:color="auto" w:fill="FFFFFF"/>
        </w:rPr>
        <w:t>miljökvalitetsnormerna för buller. Området utsätts för buller från väg och industri/verksamheter men ekvivalentnivåerna överstiger inte 55 dB(A) vid fasad och alla bostäder kan få tillgång till uteplatser och gård med högst 70 dB(A) maximal och 50 dB(A) ekvivalent ljudnivå.</w:t>
      </w:r>
    </w:p>
    <w:p>
      <w:pPr>
        <w:rPr>
          <w:i w:val="1"/>
          <w:iCs w:val="1"/>
          <w:shd w:val="clear" w:color="auto" w:fill="FFFFFF"/>
        </w:rPr>
      </w:pPr>
      <w:r>
        <w:rPr>
          <w:shd w:val="clear" w:color="auto" w:fill="FFFFFF"/>
        </w:rPr>
        <w:t xml:space="preserve">Se vidare under avsnitt </w:t>
      </w:r>
      <w:r>
        <w:rPr>
          <w:i w:val="1"/>
          <w:iCs w:val="1"/>
          <w:shd w:val="clear" w:color="auto" w:fill="FFFFFF"/>
        </w:rPr>
        <w:t>Konsekvenser - Risker för människors hälsa och säkerhet.</w:t>
      </w:r>
      <w:bookmarkEnd w:id="215"/>
    </w:p>
    <w:p>
      <w:pPr>
        <w:pStyle w:val="P2"/>
        <w:rPr>
          <w:rFonts w:eastAsia="Arial"/>
          <w:color w:val="000000" w:themeColor="text1"/>
          <w:lang w:eastAsia="sv-SE"/>
        </w:rPr>
      </w:pPr>
      <w:bookmarkStart w:id="216" w:name="_Toc153284674"/>
      <w:bookmarkStart w:id="217" w:name="_Toc1409987831"/>
      <w:bookmarkStart w:id="218" w:name="ko_natur01"/>
      <w:r>
        <w:rPr>
          <w:rFonts w:eastAsia="Arial"/>
          <w:color w:val="000000" w:themeColor="text1"/>
          <w:lang w:eastAsia="sv-SE"/>
        </w:rPr>
        <w:t>Naturvärden</w:t>
      </w:r>
      <w:bookmarkEnd w:id="216"/>
      <w:bookmarkEnd w:id="217"/>
    </w:p>
    <w:p>
      <w:pPr>
        <w:rPr>
          <w:color w:val="auto"/>
          <w:lang w:eastAsia="sv-SE"/>
        </w:rPr>
      </w:pPr>
      <w:r>
        <w:rPr>
          <w:color w:val="auto"/>
          <w:lang w:eastAsia="sv-SE"/>
        </w:rPr>
        <w:t xml:space="preserve">Planområdet inrymmer ett befintligt natur- och skogsområde i planområdets sydvästra del som utgör en viktig målpunkt för bostadsnära natur och rekreation samt för landskapsbilden i närområdet och innehåller naturvärden kopplade till skogsbeståndet och områdets vattendrag. </w:t>
      </w:r>
      <w:r>
        <w:rPr>
          <w:color w:val="auto"/>
          <w:shd w:val="clear" w:color="auto" w:fill="FFFFFF"/>
        </w:rPr>
        <w:t xml:space="preserve">Kalhygget och naturmarken angränsande Ar består till stor del av uppväxt sly men i området kring den tidigare </w:t>
      </w:r>
      <w:r>
        <w:rPr>
          <w:rFonts w:eastAsiaTheme="minorEastAsia"/>
          <w:color w:val="auto"/>
        </w:rPr>
        <w:t xml:space="preserve">deponin finns ett sammanhängande parti av </w:t>
      </w:r>
      <w:r>
        <w:rPr>
          <w:color w:val="auto"/>
        </w:rPr>
        <w:t>medelstora träd av tall och björk.</w:t>
      </w:r>
    </w:p>
    <w:p>
      <w:pPr>
        <w:rPr>
          <w:shd w:val="clear" w:color="auto" w:fill="FFFFFF"/>
        </w:rPr>
      </w:pPr>
      <w:r>
        <w:rPr>
          <w:shd w:val="clear" w:color="auto" w:fill="FFFFFF"/>
        </w:rPr>
        <w:t>Med föreslagen detaljplan regleras fortsatt omgivande natur- och skogsmark som allmän plats, natur och i mindre omfattning som park, vilket innebär att skyddet av detta område för biologisk mångfald kvarstår. Planen medför även att delar av kalhygget regleras som allmän platsmark, park (cirka 2700 kvm vid tidigare deponin) och korsande naturmark, vilket bevarar möjligheterna för ekologiska spridningssamband. Det bevaras också områden för natur, i synnerhet västra delen av området, som sammankopplas med andra naturområden utanför planområdet vilket också stärker möjligheterna att bevara spridningssamband.</w:t>
      </w:r>
    </w:p>
    <w:p>
      <w:pPr>
        <w:pStyle w:val="P2"/>
        <w:rPr>
          <w:rFonts w:eastAsia="Arial"/>
          <w:color w:val="000000" w:themeColor="text1"/>
          <w:lang w:eastAsia="sv-SE"/>
        </w:rPr>
      </w:pPr>
      <w:bookmarkEnd w:id="218"/>
      <w:bookmarkStart w:id="219" w:name="_Toc153284675"/>
      <w:bookmarkStart w:id="220" w:name="_Toc498558197"/>
      <w:bookmarkStart w:id="221" w:name="ko_kulturvärden01"/>
      <w:r>
        <w:rPr>
          <w:rFonts w:eastAsia="Arial"/>
          <w:color w:val="000000" w:themeColor="text1"/>
          <w:lang w:eastAsia="sv-SE"/>
        </w:rPr>
        <w:t>Kulturvärden</w:t>
      </w:r>
      <w:bookmarkEnd w:id="219"/>
      <w:bookmarkEnd w:id="220"/>
    </w:p>
    <w:p>
      <w:pPr>
        <w:rPr>
          <w:shd w:val="clear" w:color="auto" w:fill="FFFFFF"/>
        </w:rPr>
      </w:pPr>
      <w:r>
        <w:rPr>
          <w:shd w:val="clear" w:color="auto" w:fill="FFFFFF"/>
        </w:rPr>
        <w:t>Befintliga fornlämningar bestående av gränsrösen sammanfaller delvis med detaljplanens gräns. Genom markanvändning NATUR och att kvartersmark inom 10 meter från stenröse inte får förses med byggnad samt att fornlämningarnas läge markerats i planens grundkarta bedöms planen inte påverka befintliga kulturvärden negativt. Dock påverkas deras avläsbarhet till följd av genomförandet av planen då fastighetsreglering medför att stenrösen inte längre kan läsas samman med en befintlig fastighetsgräns.</w:t>
      </w:r>
    </w:p>
    <w:p>
      <w:pPr>
        <w:rPr>
          <w:i w:val="1"/>
          <w:iCs w:val="1"/>
          <w:shd w:val="clear" w:color="auto" w:fill="FFFFFF"/>
        </w:rPr>
      </w:pPr>
      <w:r>
        <w:rPr>
          <w:shd w:val="clear" w:color="auto" w:fill="FFFFFF"/>
        </w:rPr>
        <w:t xml:space="preserve">Under byggtid behöver fornlämningarna skyddas och för framtida säkerställande av lämningarna ska åtgärder för att markera och värna om fornlämningarna inom naturmarken göras. Se vidare under avsnitt </w:t>
      </w:r>
      <w:r>
        <w:rPr>
          <w:i w:val="1"/>
          <w:iCs w:val="1"/>
          <w:shd w:val="clear" w:color="auto" w:fill="FFFFFF"/>
        </w:rPr>
        <w:t>Genomförande.</w:t>
      </w:r>
    </w:p>
    <w:p>
      <w:pPr>
        <w:pStyle w:val="P2"/>
        <w:rPr>
          <w:rFonts w:eastAsia="Arial"/>
          <w:color w:val="000000" w:themeColor="text1"/>
          <w:lang w:eastAsia="sv-SE"/>
        </w:rPr>
      </w:pPr>
      <w:bookmarkEnd w:id="221"/>
      <w:bookmarkStart w:id="222" w:name="_Toc416795452"/>
      <w:bookmarkStart w:id="223" w:name="ko_sociala01"/>
      <w:bookmarkStart w:id="224" w:name="_Toc153284677"/>
      <w:r>
        <w:rPr>
          <w:rFonts w:eastAsia="Arial"/>
          <w:color w:val="000000" w:themeColor="text1"/>
          <w:lang w:eastAsia="sv-SE"/>
        </w:rPr>
        <w:t>Sociala värden</w:t>
      </w:r>
      <w:bookmarkEnd w:id="222"/>
    </w:p>
    <w:p>
      <w:pPr>
        <w:rPr>
          <w:shd w:val="clear" w:color="auto" w:fill="FFFFFF"/>
        </w:rPr>
      </w:pPr>
      <w:r>
        <w:rPr>
          <w:shd w:val="clear" w:color="auto" w:fill="FFFFFF"/>
        </w:rPr>
        <w:t xml:space="preserve">Natur- och skogsmarken i planområdets sydvästra del innehåller höga sociala värden för närrekreation som fortsatt skyddas och utvecklas för lek, promenad, naturpedagogik, samt svamp- och bärplockning. Den uppväxta ungskogen centralt i området </w:t>
      </w:r>
      <w:r>
        <w:rPr>
          <w:lang w:eastAsia="sv-SE"/>
        </w:rPr>
        <w:t xml:space="preserve">inrymmer landskapsvärden som stärks och blir allmänt tillgängliga genom korsande naturmark och centralt placerad park. Allmänheten ges tillgång till pulkabacke, </w:t>
      </w:r>
      <w:r>
        <w:rPr>
          <w:shd w:val="clear" w:color="auto" w:fill="FFFFFF"/>
        </w:rPr>
        <w:t>utsiktplatser, sammanhängande promenadstigar, sittbänkar, grillplats och plats för spontant bollspel och picknick.</w:t>
      </w:r>
    </w:p>
    <w:p>
      <w:pPr>
        <w:pStyle w:val="P3"/>
        <w:rPr>
          <w:color w:val="000000" w:themeColor="text1"/>
          <w:lang w:eastAsia="sv-SE"/>
        </w:rPr>
      </w:pPr>
      <w:bookmarkEnd w:id="223"/>
      <w:bookmarkStart w:id="225" w:name="ko_tillgänglighetochtrygghet01"/>
      <w:r>
        <w:rPr>
          <w:color w:val="000000" w:themeColor="text1"/>
          <w:lang w:eastAsia="sv-SE"/>
        </w:rPr>
        <w:t>Tillgänglighet och trygghet</w:t>
      </w:r>
    </w:p>
    <w:p>
      <w:pPr>
        <w:rPr>
          <w:lang w:eastAsia="sv-SE"/>
        </w:rPr>
      </w:pPr>
      <w:r>
        <w:rPr>
          <w:lang w:eastAsia="sv-SE"/>
        </w:rPr>
        <w:t xml:space="preserve">Planförslaget bedöms uppfylla de förutsättningar för upplevd tillgänglighet och trygghet i sitt lokalsamhälle som genomförd medborgardialog 2020-2021 identifierade; det vill säga </w:t>
      </w:r>
      <w:r>
        <w:rPr>
          <w:i w:val="1"/>
          <w:iCs w:val="1"/>
          <w:lang w:eastAsia="sv-SE"/>
        </w:rPr>
        <w:t>närhet till skog, blandad bebyggelse, småskalighet och gemytlighet samt tillgång till parkering.</w:t>
      </w:r>
      <w:r>
        <w:rPr>
          <w:lang w:eastAsia="sv-SE"/>
        </w:rPr>
        <w:t xml:space="preserve"> Planen bedöms även fortsatt säkra och utöka befintliga boende, besökare och verksammas tillgång till närnatur och rekreation genom att tidigare privat mark överförs till allmän plats i form av natur och park, samt gata med gång- och cykelbana samt sammankopplande gång- och cykelbanor för säkra skolvägar.</w:t>
      </w:r>
    </w:p>
    <w:p>
      <w:pPr>
        <w:pStyle w:val="P3"/>
        <w:rPr>
          <w:lang w:eastAsia="sv-SE"/>
        </w:rPr>
      </w:pPr>
      <w:bookmarkEnd w:id="225"/>
      <w:bookmarkStart w:id="226" w:name="ko_barn01"/>
      <w:r>
        <w:rPr>
          <w:lang w:eastAsia="sv-SE"/>
        </w:rPr>
        <w:t>Barn</w:t>
      </w:r>
    </w:p>
    <w:p>
      <w:pPr>
        <w:rPr>
          <w:lang w:eastAsia="sv-SE"/>
        </w:rPr>
      </w:pPr>
      <w:r>
        <w:rPr>
          <w:color w:val="auto"/>
          <w:lang w:eastAsia="sv-SE"/>
        </w:rPr>
        <w:t xml:space="preserve">Planområdet innehåller höga värden för fri lek och naturpedagogik. Planförslaget säkrar befintliga värden, </w:t>
      </w:r>
      <w:r>
        <w:rPr>
          <w:lang w:eastAsia="sv-SE"/>
        </w:rPr>
        <w:t>samt tillför allmänt tillgänglig natur och park med pulkabacke, grillplats, öppen yta för spontant bollspel och picknick samt ett sammankopplande gång och promenadstråk i natur. Bedömningen är att planförslaget bidrar med ett positivt tillskott av målpunkt för barn av olika åldrar, både lokalt och kommunalt.</w:t>
      </w:r>
      <w:bookmarkEnd w:id="226"/>
    </w:p>
    <w:p>
      <w:pPr>
        <w:pStyle w:val="P2"/>
        <w:rPr>
          <w:rFonts w:eastAsia="Arial"/>
          <w:color w:val="000000" w:themeColor="text1"/>
          <w:lang w:eastAsia="sv-SE"/>
        </w:rPr>
      </w:pPr>
      <w:bookmarkStart w:id="227" w:name="_Toc1112052881"/>
      <w:bookmarkStart w:id="228" w:name="ko_geotekniskaförhållanden01"/>
      <w:r>
        <w:rPr>
          <w:rFonts w:eastAsia="Arial"/>
          <w:color w:val="000000" w:themeColor="text1"/>
          <w:lang w:eastAsia="sv-SE"/>
        </w:rPr>
        <w:t>Geotekniska förhållanden</w:t>
      </w:r>
      <w:bookmarkEnd w:id="224"/>
      <w:bookmarkEnd w:id="227"/>
      <w:r>
        <w:rPr>
          <w:rFonts w:eastAsia="Arial"/>
          <w:color w:val="000000" w:themeColor="text1"/>
          <w:lang w:eastAsia="sv-SE"/>
        </w:rPr>
        <w:t xml:space="preserve"> </w:t>
      </w:r>
    </w:p>
    <w:p>
      <w:pPr>
        <w:rPr>
          <w:shd w:val="clear" w:color="auto" w:fill="FFFFFF"/>
        </w:rPr>
      </w:pPr>
      <w:r>
        <w:rPr>
          <w:shd w:val="clear" w:color="auto" w:fill="FFFFFF"/>
        </w:rPr>
        <w:t xml:space="preserve">Marken i området är lämplig för den planerade användningen men aktsamhet med tillförande av massor kring det tidigare deponiområdet behöver tas. Se vidare under avsnitt </w:t>
      </w:r>
      <w:r>
        <w:rPr>
          <w:i w:val="1"/>
          <w:iCs w:val="1"/>
          <w:shd w:val="clear" w:color="auto" w:fill="FFFFFF"/>
        </w:rPr>
        <w:t>Konsekvenser - Risk för erosion, skred och ras.</w:t>
      </w:r>
    </w:p>
    <w:p>
      <w:pPr>
        <w:rPr>
          <w:shd w:val="clear" w:color="auto" w:fill="FFFFFF"/>
        </w:rPr>
      </w:pPr>
      <w:r>
        <w:rPr>
          <w:shd w:val="clear" w:color="auto" w:fill="FFFFFF"/>
        </w:rPr>
        <w:t>Några geotekniska förstärkningsåtgärder krävs inte för grundläggning av byggnader. Byggnader kan</w:t>
      </w:r>
      <w:r>
        <w:rPr>
          <w:rFonts w:ascii="ArialMT" w:hAnsi="ArialMT" w:cs="ArialMT"/>
          <w:sz w:val="20"/>
          <w:szCs w:val="20"/>
        </w:rPr>
        <w:t xml:space="preserve"> </w:t>
      </w:r>
      <w:r>
        <w:rPr>
          <w:shd w:val="clear" w:color="auto" w:fill="FFFFFF"/>
        </w:rPr>
        <w:t>grundläggas direkt i mark på morän eller packad sprängstensbotten med sulor, plintar eller hel platta av betong.</w:t>
      </w:r>
    </w:p>
    <w:p>
      <w:pPr>
        <w:rPr>
          <w:shd w:val="clear" w:color="auto" w:fill="FFFFFF"/>
        </w:rPr>
      </w:pPr>
      <w:r>
        <w:rPr>
          <w:shd w:val="clear" w:color="auto" w:fill="FFFFFF"/>
        </w:rPr>
        <w:t xml:space="preserve">Schakt i berg kommer erfordras inom området. </w:t>
      </w:r>
    </w:p>
    <w:p>
      <w:pPr>
        <w:rPr>
          <w:i w:val="1"/>
          <w:iCs w:val="1"/>
          <w:shd w:val="clear" w:color="auto" w:fill="FFFFFF"/>
        </w:rPr>
      </w:pPr>
      <w:r>
        <w:rPr>
          <w:shd w:val="clear" w:color="auto" w:fill="FFFFFF"/>
        </w:rPr>
        <w:t xml:space="preserve">Vid schakt i lera för dagvattenanläggning kan skyddsåtgärder krävas för att motverka att schaktens botten trycks upp. Det bedöms fördelaktigt att lämna fri flödesväg mellan grundvattnet och dammen. Se vidare under avsnitt </w:t>
      </w:r>
      <w:r>
        <w:rPr>
          <w:i w:val="1"/>
          <w:iCs w:val="1"/>
          <w:shd w:val="clear" w:color="auto" w:fill="FFFFFF"/>
        </w:rPr>
        <w:t>Konsekvenser - Hydrogelogiska förhållanden.</w:t>
      </w:r>
      <w:bookmarkEnd w:id="228"/>
    </w:p>
    <w:p>
      <w:pPr>
        <w:pStyle w:val="P2"/>
        <w:rPr>
          <w:rFonts w:eastAsia="Arial"/>
          <w:color w:val="000000" w:themeColor="text1"/>
          <w:lang w:eastAsia="sv-SE"/>
        </w:rPr>
      </w:pPr>
      <w:bookmarkStart w:id="229" w:name="_Toc153284678"/>
      <w:bookmarkStart w:id="230" w:name="_Toc753848966"/>
      <w:bookmarkStart w:id="231" w:name="ko_hydrogeologiskaförhållanden01"/>
      <w:r>
        <w:rPr>
          <w:rFonts w:eastAsia="Arial"/>
          <w:color w:val="000000" w:themeColor="text1"/>
          <w:lang w:eastAsia="sv-SE"/>
        </w:rPr>
        <w:t>Hydrogeologiska förhållanden</w:t>
      </w:r>
      <w:bookmarkEnd w:id="229"/>
      <w:bookmarkEnd w:id="230"/>
    </w:p>
    <w:p>
      <w:pPr>
        <w:rPr>
          <w:shd w:val="clear" w:color="auto" w:fill="FFFFFF"/>
        </w:rPr>
      </w:pPr>
      <w:bookmarkStart w:id="232" w:name="_Hlk210994466"/>
      <w:r>
        <w:rPr>
          <w:shd w:val="clear" w:color="auto" w:fill="FFFFFF"/>
        </w:rPr>
        <w:t>Schakt i lera kommer krävas vid ledningsdragning av vatten, dagvatten och spillvatten samt för dagvattendamm i planområdets sydvästra del vilket kommer med stor sannolikhet kräva en begränsad grundvattenbortledning. Uppskattningsvis kommer 200 meter av ledningsschakt medföra grundvattenbortledning, men detta beror på tidperiod på året och variationer i grundvattnets trycknivåer. För att minimera grundvattenbortledningen under byggskede rekommenderas schakten för ledningar göras etappvis, vilket skapar mindre yta för grundvattnet att läcka ut och minskar tiden då ett område utsätts för grundvattenavsänkning. Schaktarbeten kan också göras under sensommaren då grundvattennivåerna generellt är lägre. Schakter i lerområdet bör tätas vid igenfyllning för att förebygga flödesvägar som kan orsaka permanent grundvattenbortledning via befintligt dike.</w:t>
      </w:r>
    </w:p>
    <w:p>
      <w:pPr>
        <w:rPr>
          <w:shd w:val="clear" w:color="auto" w:fill="FFFFFF"/>
        </w:rPr>
      </w:pPr>
      <w:r>
        <w:rPr>
          <w:shd w:val="clear" w:color="auto" w:fill="FFFFFF"/>
        </w:rPr>
        <w:t xml:space="preserve">Dagvattendammens konstruktion och utformning är avgörande för eventuell grundvattenbortledning. Föreslagen damm anpassas efter platsens förutsättningar gällande landskap, geotekniska och hydrogeologiska förhållanden och utformas utan tät botten med jordvallar och botten lägre än markytan på ca +35 meter över nollnivån. Grundvattennivån +35 är satt efter dimensionerande högsta grundvattennivå under en 10 års period där grundvattennivån för planerad DV-damm är som högst. Grundvatten kommer sannolikt läcka ut i dammen någon gång under en 10 års period, men med rekommenderat utloppsnivå på minst +35,1 undviks grundvattenbortledning i driftskede. Ytvattnet kommer ha kontakt med grundvattnet vilket kan innebära infiltration av ytvatten, eller en stående grundvattenyta då bottennivån är under +35 m, vilket </w:t>
      </w:r>
      <w:r>
        <w:rPr>
          <w:rFonts w:eastAsia="Arial"/>
        </w:rPr>
        <w:t xml:space="preserve">kan påverka kvaliteten på grundvattnet samt reningsfunktionen i dammen. Grundvattnet är dock inte utpekat som en vattenförekomst och skyddas inte av något vattenskyddsområde. Det finns enligt SGU:s brunnsarkiv inte heller några privata dricksvattenbrunnar inom 700 meter från dagvattendammen. Därmed ses inte detta som en betydande grundvattenpåverkan. </w:t>
      </w:r>
      <w:r>
        <w:rPr>
          <w:shd w:val="clear" w:color="auto" w:fill="FFFFFF"/>
        </w:rPr>
        <w:t>Med föreslagen dagvattendamm bedöms heller ingen grundvattenbortledning ske under bygg- eller driftskedet.</w:t>
      </w:r>
    </w:p>
    <w:p>
      <w:pPr>
        <w:rPr>
          <w:shd w:val="clear" w:color="auto" w:fill="FFFFFF"/>
        </w:rPr>
      </w:pPr>
      <w:r>
        <w:rPr>
          <w:shd w:val="clear" w:color="auto" w:fill="FFFFFF"/>
        </w:rPr>
        <w:t>Grundläggning för bebyggelse med platta på mark bedöms inte påverka grundvattnet men för att undvika byggnadsdelar exempelvis källare som kan påverkar grundvattennivån negativt i delar av området reglerar planen en lägsta plushöjd på underkant grundplatta på +36 meter över nollplanet.</w:t>
      </w:r>
      <w:bookmarkEnd w:id="231"/>
    </w:p>
    <w:p>
      <w:pPr>
        <w:pStyle w:val="P2"/>
        <w:rPr>
          <w:rFonts w:eastAsia="Arial"/>
          <w:color w:val="000000" w:themeColor="text1"/>
          <w:lang w:eastAsia="sv-SE"/>
        </w:rPr>
      </w:pPr>
      <w:bookmarkEnd w:id="232"/>
      <w:bookmarkStart w:id="233" w:name="_Toc24912714"/>
      <w:bookmarkStart w:id="234" w:name="ko_hälsaochsäkerhet01"/>
      <w:bookmarkStart w:id="235" w:name="_Toc153284681"/>
      <w:r>
        <w:rPr>
          <w:rFonts w:eastAsia="Arial"/>
          <w:color w:val="000000" w:themeColor="text1"/>
          <w:lang w:eastAsia="sv-SE"/>
        </w:rPr>
        <w:t>Risker för människors hälsa och säkerhet</w:t>
      </w:r>
      <w:bookmarkEnd w:id="233"/>
    </w:p>
    <w:p>
      <w:pPr>
        <w:pStyle w:val="P3"/>
        <w:rPr>
          <w:color w:val="000000" w:themeColor="text1"/>
        </w:rPr>
      </w:pPr>
      <w:bookmarkEnd w:id="234"/>
      <w:bookmarkStart w:id="236" w:name="ko_beräkningavomgivningsbuller01"/>
      <w:r>
        <w:rPr>
          <w:color w:val="000000" w:themeColor="text1"/>
        </w:rPr>
        <w:t>Omgivningsbuller</w:t>
      </w:r>
    </w:p>
    <w:p>
      <w:pPr>
        <w:rPr>
          <w:shd w:val="clear" w:color="auto" w:fill="FFFFFF"/>
        </w:rPr>
      </w:pPr>
      <w:r>
        <w:rPr>
          <w:shd w:val="clear" w:color="auto" w:fill="FFFFFF"/>
        </w:rPr>
        <w:t>Planområdet utsätts för buller från vägtrafik samt visst industri/verksamhetsbuller. Föreslagen struktur skapar goda förutsättningar för bostäder där 55 dB(A) ekvivalentnivå vid fasad inte överstigs vid någon bostad. Bostadsenheterna kan planeras valfritt utan avgörande hänsyn till trafikbuller och bostäder med mycket god ljudkvalitet kan byggas. Ekvivalentnivåerna 1,5 m över mark överstiger inte 50 dB(A) på större avstånd än cirka 10 m från de nya lokalgatorna.</w:t>
      </w:r>
    </w:p>
    <w:p>
      <w:pPr>
        <w:rPr>
          <w:shd w:val="clear" w:color="auto" w:fill="FFFFFF"/>
        </w:rPr>
      </w:pPr>
      <w:r>
        <w:rPr>
          <w:shd w:val="clear" w:color="auto" w:fill="FFFFFF"/>
        </w:rPr>
        <w:t>Alla bostäder har tillgång till uteplatser och gård med högst 70 dB(A) maximal och 50 dB(A) ekvivalent ljudnivå. Ljudet från verksamheter och ventilationsanläggningar inom angränsande verksamhetsområde Ar i sydost, samt ljud från ett tidigare värmeverk (nuvarande pumpstation) nordost om planområdet överstiger inte 40 dB(A), riktvärdet för zon A enligt Boverkets allmänna råd, BFS 2020:2.</w:t>
      </w:r>
    </w:p>
    <w:p>
      <w:pPr>
        <w:pStyle w:val="P61"/>
        <w:rPr>
          <w:rFonts w:asciiTheme="minorHAnsi" w:hAnsiTheme="minorHAnsi" w:eastAsia="Times New Roman"/>
          <w:color w:val="auto"/>
          <w:shd w:val="clear" w:color="auto" w:fill="FFFFFF"/>
          <w:lang w:val="sv-SE"/>
        </w:rPr>
      </w:pPr>
      <w:r>
        <w:rPr>
          <w:noProof w:val="1"/>
          <w:lang w:val="sv-SE"/>
        </w:rPr>
        <w:drawing>
          <wp:inline xmlns:wp="http://schemas.openxmlformats.org/drawingml/2006/wordprocessingDrawing" distT="0" distB="0" distL="0" distR="0">
            <wp:extent cx="4162425" cy="3676650"/>
            <wp:effectExtent l="0" t="0" r="9525" b="0"/>
            <wp:docPr id="1961210104" name="Bildobjekt 9" descr="P53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210104" name="Bildobjekt 9" descr="P537#yIS1"/>
                    <pic:cNvPicPr/>
                  </pic:nvPicPr>
                  <pic:blipFill dpi="0">
                    <a:blip xmlns:r="http://schemas.openxmlformats.org/officeDocument/2006/relationships" r:embed="Relimage31"/>
                    <a:srcRect l="12470" t="18827" r="4963" b="29633"/>
                    <a:stretch>
                      <a:fillRect/>
                    </a:stretch>
                  </pic:blipFill>
                  <pic:spPr bwMode="auto">
                    <a:xfrm>
                      <a:off x="0" y="0"/>
                      <a:ext cx="4162425" cy="3676650"/>
                    </a:xfrm>
                    <a:prstGeom prst="rect"/>
                    <a:ln>
                      <a:noFill/>
                    </a:ln>
                  </pic:spPr>
                </pic:pic>
              </a:graphicData>
            </a:graphic>
          </wp:inline>
        </w:drawing>
      </w:r>
      <w:r>
        <w:rPr>
          <w:noProof w:val="1"/>
          <w:lang w:val="sv-SE"/>
        </w:rPr>
        <w:drawing>
          <wp:inline xmlns:wp="http://schemas.openxmlformats.org/drawingml/2006/wordprocessingDrawing" distT="0" distB="0" distL="0" distR="0">
            <wp:extent cx="4286250" cy="1257300"/>
            <wp:effectExtent l="0" t="0" r="0" b="0"/>
            <wp:docPr id="1492858341" name="Bildobjekt 9" descr="P537#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858341" name="Bildobjekt 9" descr="P537#yIS2"/>
                    <pic:cNvPicPr/>
                  </pic:nvPicPr>
                  <pic:blipFill dpi="0">
                    <a:blip xmlns:r="http://schemas.openxmlformats.org/officeDocument/2006/relationships" r:embed="Relimage31"/>
                    <a:srcRect l="10014" t="76509" r="4963" b="5866"/>
                    <a:stretch>
                      <a:fillRect/>
                    </a:stretch>
                  </pic:blipFill>
                  <pic:spPr bwMode="auto">
                    <a:xfrm>
                      <a:off x="0" y="0"/>
                      <a:ext cx="4286250" cy="1257300"/>
                    </a:xfrm>
                    <a:prstGeom prst="rect"/>
                    <a:ln>
                      <a:noFill/>
                    </a:ln>
                  </pic:spPr>
                </pic:pic>
              </a:graphicData>
            </a:graphic>
          </wp:inline>
        </w:drawing>
      </w:r>
    </w:p>
    <w:p>
      <w:pPr>
        <w:pStyle w:val="P60"/>
        <w:rPr>
          <w:color w:val="auto"/>
          <w:sz w:val="2"/>
          <w:szCs w:val="2"/>
          <w:shd w:val="clear" w:color="auto" w:fill="FFFFFF"/>
        </w:rPr>
      </w:pPr>
    </w:p>
    <w:p>
      <w:pPr>
        <w:pStyle w:val="P60"/>
        <w:rPr>
          <w:color w:val="000000" w:themeColor="text1"/>
          <w:shd w:val="clear" w:color="auto" w:fill="FFFFFF"/>
        </w:rPr>
      </w:pPr>
      <w:r>
        <w:rPr>
          <w:color w:val="auto"/>
          <w:shd w:val="clear" w:color="auto" w:fill="FFFFFF"/>
        </w:rPr>
        <w:t xml:space="preserve">Figur 25: Karta från </w:t>
      </w:r>
      <w:r>
        <w:rPr>
          <w:color w:val="000000" w:themeColor="text1"/>
          <w:shd w:val="clear" w:color="auto" w:fill="FFFFFF"/>
        </w:rPr>
        <w:t xml:space="preserve">bullerutredningen som anger beräknade ljudnivåer. </w:t>
      </w:r>
      <w:r>
        <w:rPr>
          <w:color w:val="000000" w:themeColor="text1"/>
        </w:rPr>
        <w:t>Kartan är schematisk (Åkerlöf Hallin).</w:t>
      </w:r>
    </w:p>
    <w:p>
      <w:pPr>
        <w:pStyle w:val="P3"/>
        <w:rPr>
          <w:color w:val="000000" w:themeColor="text1"/>
        </w:rPr>
      </w:pPr>
      <w:bookmarkEnd w:id="236"/>
      <w:bookmarkStart w:id="237" w:name="ko_radon01"/>
      <w:r>
        <w:rPr>
          <w:color w:val="000000" w:themeColor="text1"/>
        </w:rPr>
        <w:t>Radon</w:t>
      </w:r>
    </w:p>
    <w:p>
      <w:pPr>
        <w:rPr>
          <w:shd w:val="clear" w:color="auto" w:fill="FFFFFF"/>
        </w:rPr>
      </w:pPr>
      <w:r>
        <w:rPr>
          <w:shd w:val="clear" w:color="auto" w:fill="FFFFFF"/>
        </w:rPr>
        <w:t>Då marken klassas som högradonmark ska byggnader uppföras radonsäkert. Det rekommenderas dock att ytterligare radonmätningar utförs för byggnader i senare skeden. Vid behov ställs k</w:t>
      </w:r>
      <w:r>
        <w:rPr>
          <w:rFonts w:eastAsia="Arial"/>
          <w:lang w:eastAsia="sv-SE"/>
        </w:rPr>
        <w:t>rav på radonskydd vid bygglov för nya byggnader.</w:t>
      </w:r>
      <w:bookmarkEnd w:id="237"/>
    </w:p>
    <w:p>
      <w:pPr>
        <w:pStyle w:val="P3"/>
        <w:rPr>
          <w:color w:val="000000" w:themeColor="text1"/>
        </w:rPr>
      </w:pPr>
      <w:bookmarkStart w:id="238" w:name="ko_olyckor01"/>
      <w:r>
        <w:rPr>
          <w:color w:val="000000" w:themeColor="text1"/>
        </w:rPr>
        <w:t>Risk för olyckor</w:t>
      </w:r>
    </w:p>
    <w:p>
      <w:pPr>
        <w:rPr>
          <w:rFonts w:eastAsia="Arial"/>
          <w:lang w:eastAsia="sv-SE"/>
        </w:rPr>
      </w:pPr>
      <w:r>
        <w:rPr>
          <w:rFonts w:eastAsia="Arial"/>
          <w:lang w:eastAsia="sv-SE"/>
        </w:rPr>
        <w:t xml:space="preserve">Lokalisering av kvartersmark för bostäder i södra delen av planområdet innebär att företräde ges till bostäder i planområdet och att de närmst belägna fastigheterna i företagsparken får begränsad möjlighet till industriell verksamhet. </w:t>
      </w:r>
    </w:p>
    <w:p>
      <w:pPr>
        <w:rPr>
          <w:rFonts w:eastAsia="Arial"/>
          <w:lang w:eastAsia="sv-SE"/>
        </w:rPr>
      </w:pPr>
      <w:r>
        <w:rPr>
          <w:rFonts w:eastAsia="Arial"/>
          <w:lang w:eastAsia="sv-SE"/>
        </w:rPr>
        <w:t>Genom att dels ha 50 meters skyddsavstånd i form av naturmark mellan bostäder och markanvändning Verksamheter skapas ett robust skydd för de allra flesta olyckorna. Därutöver säkerställs i planen att markanvändningen Verksamheter ersätter Industri inom ytterligare 50 meter vilket ger ett 100 meters skyddsavstånd mellan bostäder och markanvändningen Industri. Detta medför en lämplig utveckling av fastigheterna närmast bostäderna i form av verksamheter av icke-störande karaktär med inslag av kontor och handel, framför kemikaliehanterande industri.</w:t>
      </w:r>
    </w:p>
    <w:p>
      <w:pPr>
        <w:rPr>
          <w:rFonts w:eastAsia="Arial"/>
          <w:lang w:eastAsia="sv-SE"/>
        </w:rPr>
      </w:pPr>
      <w:r>
        <w:rPr>
          <w:noProof w:val="1"/>
        </w:rPr>
        <w:drawing>
          <wp:inline xmlns:wp="http://schemas.openxmlformats.org/drawingml/2006/wordprocessingDrawing" distT="0" distB="0" distL="0" distR="0">
            <wp:extent cx="3609975" cy="2514600"/>
            <wp:effectExtent l="0" t="0" r="9525" b="0"/>
            <wp:docPr id="262076466" name="Bildobjekt 10" descr="P54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76466" name="Bildobjekt 10" descr="P545#yIS1"/>
                    <pic:cNvPicPr/>
                  </pic:nvPicPr>
                  <pic:blipFill dpi="0">
                    <a:blip xmlns:r="http://schemas.openxmlformats.org/officeDocument/2006/relationships" r:embed="Relimage32"/>
                    <a:srcRect l="15682" t="46767" r="12709" b="17958"/>
                    <a:stretch>
                      <a:fillRect/>
                    </a:stretch>
                  </pic:blipFill>
                  <pic:spPr bwMode="auto">
                    <a:xfrm>
                      <a:off x="0" y="0"/>
                      <a:ext cx="3609975" cy="2514600"/>
                    </a:xfrm>
                    <a:prstGeom prst="rect"/>
                    <a:ln>
                      <a:noFill/>
                    </a:ln>
                  </pic:spPr>
                </pic:pic>
              </a:graphicData>
            </a:graphic>
          </wp:inline>
        </w:drawing>
      </w:r>
    </w:p>
    <w:p>
      <w:pPr>
        <w:pStyle w:val="P60"/>
        <w:rPr>
          <w:rFonts w:eastAsia="Arial"/>
          <w:color w:val="000000" w:themeColor="text1"/>
          <w:lang w:eastAsia="sv-SE"/>
        </w:rPr>
      </w:pPr>
      <w:r>
        <w:rPr>
          <w:color w:val="000000" w:themeColor="text1"/>
          <w:shd w:val="clear" w:color="auto" w:fill="FFFFFF"/>
        </w:rPr>
        <w:t xml:space="preserve">Figur 26: Illustration över buffertzon mellan markanvändning Bostäder och Industri </w:t>
      </w:r>
      <w:r>
        <w:rPr>
          <w:color w:val="000000" w:themeColor="text1"/>
        </w:rPr>
        <w:t xml:space="preserve">(Väv Arkitekter, kommentarer av Briab). </w:t>
      </w:r>
    </w:p>
    <w:p>
      <w:pPr>
        <w:pStyle w:val="P3"/>
        <w:rPr>
          <w:color w:val="000000" w:themeColor="text1"/>
        </w:rPr>
      </w:pPr>
      <w:bookmarkEnd w:id="238"/>
      <w:bookmarkStart w:id="239" w:name="ko_riskförelektromagnetiskstrålning01"/>
      <w:r>
        <w:rPr>
          <w:color w:val="000000" w:themeColor="text1"/>
        </w:rPr>
        <w:t>Risk för elektromagnetisk strålning</w:t>
      </w:r>
    </w:p>
    <w:p>
      <w:pPr>
        <w:rPr>
          <w:shd w:val="clear" w:color="auto" w:fill="FFFFFF"/>
        </w:rPr>
      </w:pPr>
      <w:r>
        <w:rPr>
          <w:shd w:val="clear" w:color="auto" w:fill="FFFFFF"/>
        </w:rPr>
        <w:t xml:space="preserve">Transformatorstationer planeras där omgivningspåverkan förväntas bli liten. </w:t>
      </w:r>
    </w:p>
    <w:p>
      <w:pPr>
        <w:rPr>
          <w:shd w:val="clear" w:color="auto" w:fill="FFFFFF"/>
        </w:rPr>
      </w:pPr>
      <w:r>
        <w:rPr>
          <w:shd w:val="clear" w:color="auto" w:fill="FFFFFF"/>
        </w:rPr>
        <w:t>Risker med elektromagnetisk strålning från planerad nybyggnad av kraftledning är låga inom planområdet. Del av planområdet som påverkas av skyddsavstånd till kraftledningen planläggs som naturmark samt som verksamhetsmark som endast får förses med komplementbyggnad.</w:t>
      </w:r>
    </w:p>
    <w:p>
      <w:pPr>
        <w:pStyle w:val="P60"/>
        <w:rPr>
          <w:noProof w:val="1"/>
          <w:color w:val="000000" w:themeColor="text1"/>
          <w:shd w:val="clear" w:color="auto" w:fill="FFFFFF"/>
        </w:rPr>
      </w:pPr>
      <w:r>
        <w:rPr>
          <w:noProof w:val="1"/>
        </w:rPr>
        <w:drawing>
          <wp:inline xmlns:wp="http://schemas.openxmlformats.org/drawingml/2006/wordprocessingDrawing" distT="0" distB="0" distL="0" distR="0">
            <wp:extent cx="4972685" cy="2947035"/>
            <wp:effectExtent l="0" t="0" r="0" b="5715"/>
            <wp:docPr id="341840163" name="Bildobjekt 17" descr="P5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0163" name="Bildobjekt 17" descr="P550#yIS1"/>
                    <pic:cNvPicPr/>
                  </pic:nvPicPr>
                  <pic:blipFill dpi="0">
                    <a:blip xmlns:r="http://schemas.openxmlformats.org/officeDocument/2006/relationships" r:embed="Relimage33"/>
                    <a:srcRect/>
                    <a:stretch>
                      <a:fillRect/>
                    </a:stretch>
                  </pic:blipFill>
                  <pic:spPr>
                    <a:xfrm>
                      <a:off x="0" y="0"/>
                      <a:ext cx="4973098" cy="2947559"/>
                    </a:xfrm>
                    <a:prstGeom prst="rect"/>
                  </pic:spPr>
                </pic:pic>
              </a:graphicData>
            </a:graphic>
          </wp:inline>
        </w:drawing>
      </w:r>
    </w:p>
    <w:p>
      <w:pPr>
        <w:pStyle w:val="P60"/>
        <w:rPr>
          <w:color w:val="000000" w:themeColor="text1"/>
          <w:shd w:val="clear" w:color="auto" w:fill="FFFFFF"/>
        </w:rPr>
      </w:pPr>
      <w:r>
        <w:rPr>
          <w:color w:val="000000" w:themeColor="text1"/>
          <w:shd w:val="clear" w:color="auto" w:fill="FFFFFF"/>
        </w:rPr>
        <w:t>Figur 27: Illustration av maximal utbredning av område med magnetfält som överstiger 0,4 μT från kraftledningen (blårutigt område). Illustrerat avstånd är 120 meter och gäller vid vinkelstolpar. Från själva kraftledningen (rak sträckning) är 85 meter ett maxvärde.</w:t>
      </w:r>
      <w:r>
        <w:rPr>
          <w:color w:val="000000" w:themeColor="text1"/>
        </w:rPr>
        <w:t xml:space="preserve"> (Väv Arkitekter)</w:t>
      </w:r>
    </w:p>
    <w:p>
      <w:pPr>
        <w:pStyle w:val="P3"/>
      </w:pPr>
      <w:bookmarkEnd w:id="239"/>
      <w:bookmarkStart w:id="240" w:name="ko_översvämning01"/>
      <w:r>
        <w:t xml:space="preserve">Risk för översvämning </w:t>
      </w:r>
    </w:p>
    <w:p>
      <w:pPr>
        <w:rPr>
          <w:color w:val="auto"/>
          <w:shd w:val="clear" w:color="auto" w:fill="FFFFFF"/>
        </w:rPr>
      </w:pPr>
      <w:r>
        <w:rPr>
          <w:color w:val="auto"/>
          <w:shd w:val="clear" w:color="auto" w:fill="FFFFFF"/>
        </w:rPr>
        <w:t xml:space="preserve">Planförslaget bedöms inte få problem vid skyfall om höjdsättningen görs med skyfall (sekundära avrinningsvägar) i beaktande. Planområdet bedöms inte heller skapa problem för omkringliggande bebyggelse. För verksamhetsområden behöver den naturliga flödesvägen norrut mot naturmarken bevaras för att inte riskera att försämra för verksamheter söder om planområdet. </w:t>
      </w:r>
    </w:p>
    <w:p>
      <w:pPr>
        <w:pStyle w:val="P60"/>
        <w:rPr>
          <w:color w:val="auto"/>
          <w:shd w:val="clear" w:color="auto" w:fill="FFFFFF"/>
        </w:rPr>
      </w:pPr>
      <w:r>
        <w:rPr>
          <w:noProof w:val="1"/>
        </w:rPr>
        <w:drawing>
          <wp:inline xmlns:wp="http://schemas.openxmlformats.org/drawingml/2006/wordprocessingDrawing" distT="0" distB="0" distL="0" distR="0">
            <wp:extent cx="3513455" cy="3131820"/>
            <wp:effectExtent l="0" t="0" r="0" b="0"/>
            <wp:docPr id="1154587419" name="Bildobjekt 18" descr="P55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87419" name="Bildobjekt 18" descr="P554#yIS1"/>
                    <pic:cNvPicPr/>
                  </pic:nvPicPr>
                  <pic:blipFill dpi="0">
                    <a:blip xmlns:r="http://schemas.openxmlformats.org/officeDocument/2006/relationships" r:embed="Relimage34"/>
                    <a:srcRect l="9868" t="16412" r="31197" b="46454"/>
                    <a:stretch>
                      <a:fillRect/>
                    </a:stretch>
                  </pic:blipFill>
                  <pic:spPr bwMode="auto">
                    <a:xfrm>
                      <a:off x="0" y="0"/>
                      <a:ext cx="3513846" cy="3132105"/>
                    </a:xfrm>
                    <a:prstGeom prst="rect"/>
                    <a:ln>
                      <a:noFill/>
                    </a:ln>
                  </pic:spPr>
                </pic:pic>
              </a:graphicData>
            </a:graphic>
          </wp:inline>
        </w:drawing>
      </w:r>
    </w:p>
    <w:p>
      <w:pPr>
        <w:pStyle w:val="P60"/>
        <w:rPr>
          <w:color w:val="000000" w:themeColor="text1"/>
          <w:shd w:val="clear" w:color="auto" w:fill="FFFFFF"/>
        </w:rPr>
      </w:pPr>
      <w:r>
        <w:rPr>
          <w:color w:val="auto"/>
          <w:shd w:val="clear" w:color="auto" w:fill="FFFFFF"/>
        </w:rPr>
        <w:t>Fig</w:t>
      </w:r>
      <w:r>
        <w:rPr>
          <w:color w:val="000000" w:themeColor="text1"/>
          <w:shd w:val="clear" w:color="auto" w:fill="FFFFFF"/>
        </w:rPr>
        <w:t xml:space="preserve">ur 28: Sekundära avrinningsvägar vid skyfall, då vatten rinner på markytan. Utredningsområde redovisas med blå linje. </w:t>
      </w:r>
      <w:r>
        <w:rPr>
          <w:color w:val="000000" w:themeColor="text1"/>
        </w:rPr>
        <w:t>(Sweco)</w:t>
      </w:r>
    </w:p>
    <w:p>
      <w:pPr>
        <w:pStyle w:val="P3"/>
        <w:rPr>
          <w:color w:val="000000" w:themeColor="text1"/>
        </w:rPr>
      </w:pPr>
      <w:bookmarkEnd w:id="240"/>
      <w:bookmarkStart w:id="241" w:name="ko_erosion01"/>
      <w:bookmarkStart w:id="242" w:name="ko_skred01"/>
      <w:bookmarkStart w:id="243" w:name="ko_ras01"/>
      <w:r>
        <w:rPr>
          <w:color w:val="000000" w:themeColor="text1"/>
        </w:rPr>
        <w:t>Risk för erosion, skred och ras</w:t>
      </w:r>
    </w:p>
    <w:p>
      <w:pPr>
        <w:rPr>
          <w:color w:val="auto"/>
          <w:shd w:val="clear" w:color="auto" w:fill="FFFFFF"/>
        </w:rPr>
      </w:pPr>
      <w:r>
        <w:rPr>
          <w:shd w:val="clear" w:color="auto" w:fill="FFFFFF"/>
        </w:rPr>
        <w:t xml:space="preserve">Risk för skred är främst kopplad till området kring den tidigare </w:t>
      </w:r>
      <w:r>
        <w:rPr>
          <w:lang w:eastAsia="sv-SE"/>
        </w:rPr>
        <w:t>sten- och schaktmass</w:t>
      </w:r>
      <w:r>
        <w:t>deponin</w:t>
      </w:r>
      <w:r>
        <w:rPr>
          <w:shd w:val="clear" w:color="auto" w:fill="FFFFFF"/>
        </w:rPr>
        <w:t xml:space="preserve"> och tillförsel av nya massupplag, schaktning och andra markåtgärder, till följd av underliggande lerlager som ökar risk för ras och skred </w:t>
      </w:r>
      <w:r>
        <w:rPr>
          <w:color w:val="auto"/>
          <w:shd w:val="clear" w:color="auto" w:fill="FFFFFF"/>
        </w:rPr>
        <w:t>vid belastning.</w:t>
      </w:r>
    </w:p>
    <w:p>
      <w:pPr>
        <w:rPr>
          <w:color w:val="auto"/>
          <w:shd w:val="clear" w:color="auto" w:fill="FFFFFF"/>
        </w:rPr>
      </w:pPr>
      <w:r>
        <w:rPr>
          <w:color w:val="auto"/>
          <w:shd w:val="clear" w:color="auto" w:fill="FFFFFF"/>
        </w:rPr>
        <w:t>En översiktlig stabilitetsanalys visar att täckning av befintlig slänt mot väster är möjligt med relativ tunn tillförsel av jord (cirka 0,2 - 03 meter) för avjämning och grässådd</w:t>
      </w:r>
      <w:r>
        <w:rPr>
          <w:color w:val="auto"/>
        </w:rPr>
        <w:t>. Utjämning av släntfot med flackare släntlutning än befintligt får göras. För att säkerställa planerad pulkabacke och återanvändning av massor från planområdet anpassas parken och pulkabacken mer österut efter gjord stabilitetsanalys</w:t>
      </w:r>
      <w:r>
        <w:rPr>
          <w:color w:val="auto"/>
          <w:shd w:val="clear" w:color="auto" w:fill="FFFFFF"/>
        </w:rPr>
        <w:t xml:space="preserve"> (se figur nedan). Ytterligare kontroller krävs för att bestämma hur mycket massor som går att tillföra och det kan i den fortsatta processen bli aktuellt med en maximal höjd.</w:t>
      </w:r>
    </w:p>
    <w:p>
      <w:pPr>
        <w:rPr>
          <w:color w:val="EE0000"/>
          <w:shd w:val="clear" w:color="auto" w:fill="FFFFFF"/>
        </w:rPr>
      </w:pPr>
    </w:p>
    <w:p>
      <w:pPr>
        <w:rPr>
          <w:color w:val="EE0000"/>
          <w:shd w:val="clear" w:color="auto" w:fill="FFFFFF"/>
        </w:rPr>
      </w:pPr>
      <w:r>
        <w:rPr>
          <w:noProof w:val="1"/>
        </w:rPr>
        <w:drawing>
          <wp:inline xmlns:wp="http://schemas.openxmlformats.org/drawingml/2006/wordprocessingDrawing" distT="0" distB="0" distL="0" distR="0">
            <wp:extent cx="3635375" cy="2288540"/>
            <wp:effectExtent l="0" t="0" r="3175" b="0"/>
            <wp:docPr id="76586207" name="Bildobjekt 16" descr="P5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86207" name="Bildobjekt 16" descr="P560#yIS1"/>
                    <pic:cNvPicPr/>
                  </pic:nvPicPr>
                  <pic:blipFill dpi="0">
                    <a:blip xmlns:r="http://schemas.openxmlformats.org/officeDocument/2006/relationships" r:embed="Relimage35"/>
                    <a:srcRect l="14082" t="14470" r="13757" b="53401"/>
                    <a:stretch>
                      <a:fillRect/>
                    </a:stretch>
                  </pic:blipFill>
                  <pic:spPr bwMode="auto">
                    <a:xfrm>
                      <a:off x="0" y="0"/>
                      <a:ext cx="3637782" cy="2290348"/>
                    </a:xfrm>
                    <a:prstGeom prst="rect"/>
                    <a:ln>
                      <a:noFill/>
                    </a:ln>
                  </pic:spPr>
                </pic:pic>
              </a:graphicData>
            </a:graphic>
          </wp:inline>
        </w:drawing>
      </w:r>
    </w:p>
    <w:p>
      <w:pPr>
        <w:pStyle w:val="P60"/>
        <w:rPr>
          <w:color w:val="000000" w:themeColor="text1"/>
          <w:shd w:val="clear" w:color="auto" w:fill="FFFFFF"/>
        </w:rPr>
      </w:pPr>
      <w:r>
        <w:rPr>
          <w:color w:val="000000" w:themeColor="text1"/>
          <w:shd w:val="clear" w:color="auto" w:fill="FFFFFF"/>
        </w:rPr>
        <w:t xml:space="preserve">Figur 29: Översiktlig stabilitetsanalys visar att väster om linjen bedöms det möjligt att avjämna ytan med 0,2–0,3 m jord och öster om linjen bedöms det möjligt att föra på ytterligare massor. Karta från Geoteknisk PM. </w:t>
      </w:r>
      <w:r>
        <w:rPr>
          <w:color w:val="000000" w:themeColor="text1"/>
        </w:rPr>
        <w:t>Kartan är schematisk (Bjerking).</w:t>
      </w:r>
    </w:p>
    <w:p>
      <w:pPr>
        <w:rPr>
          <w:shd w:val="clear" w:color="auto" w:fill="FFFFFF"/>
        </w:rPr>
      </w:pPr>
      <w:r>
        <w:rPr>
          <w:shd w:val="clear" w:color="auto" w:fill="FFFFFF"/>
        </w:rPr>
        <w:t xml:space="preserve">Dagvattendammen inom lerområdet väster om parken anpassa till landskapet med flacka slänter som behöver utredas stabilitetsmässigt med anledning av den ökade lasten på kohesionsjorden och med hänsyn till risk för skred. I samband med detta rekommenderas ytterligare geotekniska fältundersökningar. Se vidare under avsnitt </w:t>
      </w:r>
      <w:r>
        <w:rPr>
          <w:i w:val="1"/>
          <w:iCs w:val="1"/>
          <w:shd w:val="clear" w:color="auto" w:fill="FFFFFF"/>
        </w:rPr>
        <w:t>Konsekvenser – Dagvatten.</w:t>
      </w:r>
      <w:bookmarkEnd w:id="241"/>
      <w:bookmarkEnd w:id="242"/>
      <w:bookmarkEnd w:id="243"/>
    </w:p>
    <w:p>
      <w:pPr>
        <w:pStyle w:val="P3"/>
        <w:rPr>
          <w:rFonts w:eastAsia="Arial"/>
          <w:color w:val="000000" w:themeColor="text1"/>
        </w:rPr>
      </w:pPr>
      <w:bookmarkStart w:id="244" w:name="ko_dagvatten01"/>
      <w:r>
        <w:rPr>
          <w:rFonts w:eastAsia="Arial"/>
          <w:color w:val="000000" w:themeColor="text1"/>
        </w:rPr>
        <w:t>Dagvatten</w:t>
      </w:r>
    </w:p>
    <w:p>
      <w:pPr>
        <w:rPr>
          <w:shd w:val="clear" w:color="auto" w:fill="FFFFFF"/>
        </w:rPr>
      </w:pPr>
      <w:r>
        <w:rPr>
          <w:shd w:val="clear" w:color="auto" w:fill="FFFFFF"/>
        </w:rPr>
        <w:t>Föreslagna anläggningar inom Myrberget har dimensionerats för ett maximalt utflöde som motsvarar flöde vid 10-årsregn med befintlig markanvändning med klimatfaktor. För att klara fördröjningskravet behöver 1560 m</w:t>
      </w:r>
      <w:r>
        <w:rPr>
          <w:shd w:val="clear" w:color="auto" w:fill="FFFFFF"/>
          <w:vertAlign w:val="superscript"/>
        </w:rPr>
        <w:t>3</w:t>
      </w:r>
      <w:r>
        <w:rPr>
          <w:shd w:val="clear" w:color="auto" w:fill="FFFFFF"/>
        </w:rPr>
        <w:t xml:space="preserve"> omhändertas innan vidare avledning från planområdet till naturmarken via utlopp A och B (se figur nedan). Inom verksamhetsområdet behöver 390 m3 fördröjas innan anslutning mot naturmarken. </w:t>
      </w:r>
    </w:p>
    <w:p>
      <w:pPr>
        <w:rPr>
          <w:shd w:val="clear" w:color="auto" w:fill="FFFFFF"/>
        </w:rPr>
      </w:pPr>
      <w:r>
        <w:rPr>
          <w:shd w:val="clear" w:color="auto" w:fill="FFFFFF"/>
        </w:rPr>
        <w:t xml:space="preserve">Markavvattningsföretaget Sättra - Brännkärr – Träfallet, nedströms planområdet, är ursprungligen dimensionerat för 0,8 l/s och hektar. Utredning av markavvattningsföretaget visar på att vattenanläggningen kan ha en dimensionerade återkomsttid på cirka 2 år för ursprungliga förhållanden. Reglering av mindre flöden föreslås i föreslagna anläggningar åstadkommas genom ”gradvis strypning”, så att även mindre flöden, exempelvis 2-årsregnet fördröjs. </w:t>
      </w:r>
    </w:p>
    <w:p>
      <w:pPr>
        <w:pStyle w:val="P60"/>
        <w:rPr>
          <w:color w:val="000000" w:themeColor="text1"/>
          <w:shd w:val="clear" w:color="auto" w:fill="FFFFFF"/>
        </w:rPr>
      </w:pPr>
      <w:r>
        <w:rPr>
          <w:noProof w:val="1"/>
        </w:rPr>
        <w:drawing>
          <wp:inline xmlns:wp="http://schemas.openxmlformats.org/drawingml/2006/wordprocessingDrawing" distT="0" distB="0" distL="0" distR="0">
            <wp:extent cx="2889250" cy="2955925"/>
            <wp:effectExtent l="0" t="0" r="6350" b="0"/>
            <wp:docPr id="1520806767" name="Bildobjekt 8" descr="P5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806767" name="Bildobjekt 8" descr="P566#yIS1"/>
                    <pic:cNvPicPr/>
                  </pic:nvPicPr>
                  <pic:blipFill dpi="0">
                    <a:blip xmlns:r="http://schemas.openxmlformats.org/officeDocument/2006/relationships" r:embed="Relimage36"/>
                    <a:srcRect l="10770" t="13581" r="31918" b="44964"/>
                    <a:stretch>
                      <a:fillRect/>
                    </a:stretch>
                  </pic:blipFill>
                  <pic:spPr bwMode="auto">
                    <a:xfrm>
                      <a:off x="0" y="0"/>
                      <a:ext cx="2889250" cy="2955925"/>
                    </a:xfrm>
                    <a:prstGeom prst="rect"/>
                    <a:ln>
                      <a:noFill/>
                    </a:ln>
                  </pic:spPr>
                </pic:pic>
              </a:graphicData>
            </a:graphic>
          </wp:inline>
        </w:drawing>
      </w:r>
      <w:r>
        <w:rPr>
          <w:noProof w:val="1"/>
        </w:rPr>
        <w:drawing>
          <wp:inline xmlns:wp="http://schemas.openxmlformats.org/drawingml/2006/wordprocessingDrawing" distT="0" distB="0" distL="0" distR="0">
            <wp:extent cx="1638300" cy="501650"/>
            <wp:effectExtent l="0" t="0" r="0" b="0"/>
            <wp:docPr id="294972203" name="Bildobjekt 8" descr="P566#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972203" name="Bildobjekt 8" descr="P566#yIS2"/>
                    <pic:cNvPicPr/>
                  </pic:nvPicPr>
                  <pic:blipFill dpi="0">
                    <a:blip xmlns:r="http://schemas.openxmlformats.org/officeDocument/2006/relationships" r:embed="Relimage36"/>
                    <a:srcRect l="7684" t="59266" r="59818" b="33699"/>
                    <a:stretch>
                      <a:fillRect/>
                    </a:stretch>
                  </pic:blipFill>
                  <pic:spPr bwMode="auto">
                    <a:xfrm>
                      <a:off x="0" y="0"/>
                      <a:ext cx="1638300" cy="501650"/>
                    </a:xfrm>
                    <a:prstGeom prst="rect"/>
                    <a:ln>
                      <a:noFill/>
                    </a:ln>
                  </pic:spPr>
                </pic:pic>
              </a:graphicData>
            </a:graphic>
          </wp:inline>
        </w:drawing>
      </w:r>
    </w:p>
    <w:p>
      <w:pPr>
        <w:pStyle w:val="P60"/>
        <w:rPr>
          <w:color w:val="000000" w:themeColor="text1"/>
          <w:shd w:val="clear" w:color="auto" w:fill="FFFFFF"/>
        </w:rPr>
      </w:pPr>
      <w:r>
        <w:rPr>
          <w:color w:val="000000" w:themeColor="text1"/>
          <w:shd w:val="clear" w:color="auto" w:fill="FFFFFF"/>
        </w:rPr>
        <w:t>Figur 30: Systemlösning för hantering av flöden inom utredningsområde. Flöde via ledning i västra delen av figuren visar endast att dagvatten transporteras via ledning mellan dammarna, men inte hur ledningen är dragen under marken.</w:t>
      </w:r>
      <w:r>
        <w:rPr>
          <w:color w:val="000000" w:themeColor="text1"/>
        </w:rPr>
        <w:t xml:space="preserve"> (Sweco)</w:t>
      </w:r>
    </w:p>
    <w:p>
      <w:pPr>
        <w:rPr>
          <w:rFonts w:eastAsia="Arial"/>
        </w:rPr>
      </w:pPr>
      <w:r>
        <w:rPr>
          <w:rFonts w:eastAsia="Arial"/>
        </w:rPr>
        <w:t>Planområdet planeras byggas ut med kommunalt ledningsnät för dagvatten. Kvartersmark för bostäder kommer att förses med servisanslutning till dagvattenledningsnät i gata för möjlighet till avledning av dag- och dränvatten. Den i dagvattenutredningen föreslagna systemlösningen för en samlad dagvattenhantering i planområdet, innefattar en dagvattendamm dit dagvatten från planerad bostadsbebyggelse och tillhörande lokalgator leds för rening och fördröjning. Dammen utformas som en våt damm med en permanent vattenspegel. Den beräknade reningseffekten för fosfor är 80%. Dammen ansluts norrut mot befintlig bäck, genom anläggning av ett nytt dike ut från planområdet.</w:t>
      </w:r>
    </w:p>
    <w:p>
      <w:pPr>
        <w:rPr>
          <w:rFonts w:eastAsia="Arial"/>
        </w:rPr>
      </w:pPr>
      <w:r>
        <w:rPr>
          <w:rFonts w:eastAsia="Arial"/>
        </w:rPr>
        <w:t xml:space="preserve">Lokalgatorna i planområdet utformas med växtzon mellan körbana och gc-bana. Växtzonen föreslås utformas som en nedsänkt växtbädd där dagvatten från kör- och gc-bana lokalt kan hanteras. Eventuellt överskottsvatten och dräneringsvatten leds via dagvattenledningsnätet i gatan vidare till dammen. Utmed lokalgatan (infartsgatan) som leder in till planområdet via Brunbyvägen anläggs öppna diken. Dikena ansluter till Brunnbyvägens befintliga vägdiken och via dem mot kommunens befintliga damm. </w:t>
      </w:r>
    </w:p>
    <w:p>
      <w:pPr>
        <w:rPr>
          <w:rFonts w:eastAsia="Arial"/>
        </w:rPr>
      </w:pPr>
      <w:r>
        <w:rPr>
          <w:rFonts w:eastAsia="Arial"/>
        </w:rPr>
        <w:t xml:space="preserve">Dagvatten som uppkommer inom verksamhetsområdet hanteras lokalt inne på respektive fastighet. Dagvattenhanteringen bör ske i öppna lösningar så som makadamdiken eller nedsänkta växtbäddar som renar dagvattnet. Fördröjnings- och renings behovet per fastighet är 20 mm vilket motsvarar ca 10 m3 per 1000 m2 fastighetsyta. Dagvatten rekommenderas i första hand sedan avledas mot naturmarken i nordost, via samlad lösning i form av svackdike, utformad för flödesutjämning innan vidare ytlig avledning till Sättra-Brännkärr-Träfallet dikningsföretag och därefter Lövstaån och Valloxen. Om del av verksamhetsområdet ansluts till Roslagsvattens dagvattenledning i Mejselgatan (med </w:t>
      </w:r>
      <w:r>
        <w:rPr>
          <w:shd w:val="clear" w:color="auto" w:fill="FFFFFF"/>
        </w:rPr>
        <w:t xml:space="preserve">förhållandevis god kapacitet) </w:t>
      </w:r>
      <w:r>
        <w:rPr>
          <w:rFonts w:eastAsia="Arial"/>
        </w:rPr>
        <w:t>behöver dagvattnet renas och fördröjas med hänsyn till Gredelby vattenavledningsföretag och Knivstaån.</w:t>
      </w:r>
      <w:r>
        <w:rPr>
          <w:shd w:val="clear" w:color="auto" w:fill="FFFFFF"/>
        </w:rPr>
        <w:t xml:space="preserve"> </w:t>
      </w:r>
    </w:p>
    <w:p>
      <w:pPr>
        <w:rPr>
          <w:rFonts w:eastAsia="Arial"/>
        </w:rPr>
      </w:pPr>
      <w:r>
        <w:rPr>
          <w:rFonts w:eastAsia="Arial"/>
        </w:rPr>
        <w:t xml:space="preserve">Resultatet från dagvattenutredningens föroreningsberäkning indikerar att belastningen av några ämnen, jämfört med nuläget, blir likvärdig eller minskar efter rening i föreslagna anläggningar, samt att för vissa ämnen kommer belastningen att öka något, även efter rening. Det bedöms dock finnas gott om utrymme för att föreslagna anläggningar ska kunna anläggas inom planområdets naturmark i sydväst. Föreslagen dagvattendamm består av två delar, varav en fördamm (djup del) med en särskild försedimentationsdel och en huvuddamm med en grundare del. Det finns även gott om utrymme för rening av dagvatten i den föreslagna gatustrukturen samt viss möjlighet till lokalt omhändertagande av dagvatten på kvartersmark för bostäder, men effekten av rening i gata och kvartersmark har inte beaktats i beräkningarna. Om rening i gata och inom kvartersmark för bostäder tillskapas kan det förväntas ge ett positivt utslag på dagvattnets kvalitet. </w:t>
      </w:r>
    </w:p>
    <w:p>
      <w:pPr>
        <w:rPr>
          <w:rFonts w:eastAsia="Arial"/>
        </w:rPr>
      </w:pPr>
      <w:r>
        <w:rPr>
          <w:rFonts w:eastAsia="Arial"/>
        </w:rPr>
        <w:t>För att vid planens genomförande inte öka föroreningsmängden till recipienterna, studeras, parallellt med planarbetet, en nedströms reningsåtgärd i angränsande planområde Träfallet. Som kompensation kommer åtgärden även att rena dagvatten från befintlig bebyggelse i Alsike som idag går orenat ut i naturmarken. Enligt (LÅP) för Lövstaån och Valloxen beräknas 5 kg fosfor från befintlig bebyggelse kunna avskiljas i en dagvattendamm. Om åtgärden genomförs kommer denna att ge ett positivt utslag genom en minskad belastning från dagvatten på Lövstaån och Valloxen.</w:t>
      </w:r>
    </w:p>
    <w:p>
      <w:pPr>
        <w:rPr>
          <w:rFonts w:eastAsia="Arial"/>
        </w:rPr>
      </w:pPr>
      <w:r>
        <w:rPr>
          <w:rFonts w:eastAsia="Arial"/>
        </w:rPr>
        <w:t>Sammantaget bedöms det inom planen finnas goda förutsättningar för att vid exploatering anpassa dagvattenanläggningen för att minimera belastningen av näringsämnen, metaller och andra miljöföroreningar efter exploatering. Genomförandet av planen bedöms därför inte medföra att uppfyllandet av MKN för Lövstaån och Valloxen försvåras.</w:t>
      </w:r>
    </w:p>
    <w:p>
      <w:pPr>
        <w:pStyle w:val="P3"/>
        <w:rPr>
          <w:rFonts w:eastAsia="Arial"/>
          <w:color w:val="000000" w:themeColor="text1"/>
          <w:lang w:eastAsia="sv-SE"/>
        </w:rPr>
      </w:pPr>
      <w:bookmarkEnd w:id="244"/>
      <w:bookmarkStart w:id="245" w:name="ko_förorenadmark01"/>
      <w:r>
        <w:rPr>
          <w:rFonts w:eastAsia="Arial"/>
          <w:color w:val="000000" w:themeColor="text1"/>
          <w:lang w:eastAsia="sv-SE"/>
        </w:rPr>
        <w:t>Förorenad mark</w:t>
      </w:r>
    </w:p>
    <w:p>
      <w:pPr>
        <w:rPr>
          <w:color w:val="auto"/>
        </w:rPr>
      </w:pPr>
      <w:r>
        <w:rPr>
          <w:lang w:eastAsia="sv-SE"/>
        </w:rPr>
        <w:t>Utförda undersökningar av i området för den tidigare sten- och schaktmass</w:t>
      </w:r>
      <w:r>
        <w:t xml:space="preserve">deponin </w:t>
      </w:r>
      <w:r>
        <w:rPr>
          <w:lang w:eastAsia="sv-SE"/>
        </w:rPr>
        <w:t xml:space="preserve">visar generellt låga halter föroreningar i schaktmassorna och under riktvärden för Känslig Markanvändning (KM), undantaget enstaka halter över KM, eller ett prov över Mindre Känslig Markanvändning (MKM). Volymen förorenade massor bedöms utifrån resultaten vara liten och miljö- och hälsoriskerna bedöms därför vara mindre än ringa risk och föranleder inga åtgärder. </w:t>
      </w:r>
    </w:p>
    <w:p>
      <w:r>
        <w:t xml:space="preserve">En deponi anses enligt deponiförordningen vara avslutad när en sluttäckning inspekterats och godkänts av tillsynsmyndigheten, eller när verksamhetsutövaren före den 16 juli 2001 vidtagit åtgärder för avslutning (exempelvis kompaktering, sluttäckning m.m.) som krävts enligt tillstånd eller annat beslut som meddelats av tillsynsmyndigheten före den tidpunkten. Även i fall där krav på åtgärder inte meddelats och deponering inte skett efter den 15 juli 2001, bör en deponi anses vara avslutad. Enligt övergångsbestämmelserna ska förordningen inte tillämpas på deponier där verksamheten med tippning av avfall upphörde före 16 juli 2001, och vid samma tidpunkt att åtgärder vidtagits som krävdes för att avsluta den. Det finns inget dokumenterat beslut från tillsynsmyndigheten med föreläggande om krav på åtgärder för sluttäckning efter att verksamheten med tippning av schaktmassor på Vrå 3:1 upphörde i slutet av 1990-talet, dvs före den 16 juli 2001. </w:t>
      </w:r>
    </w:p>
    <w:p>
      <w:pPr>
        <w:rPr>
          <w:lang w:eastAsia="sv-SE"/>
        </w:rPr>
      </w:pPr>
      <w:r>
        <w:t>Städning av deponiområdet genomfördes 2019 och avjämning samt täckningar av ett delområde genomfördes år 2022-2023. Inför iordningställande av marken för park och natur, och därmed säkerställandet av att marken uppfyller kraven motsvarande känslig markanvändning (KM) bedöms en r</w:t>
      </w:r>
      <w:r>
        <w:rPr>
          <w:lang w:eastAsia="sv-SE"/>
        </w:rPr>
        <w:t>iskreducerande åtgärd av tillförsel med nya massor för avjämning och täckning lämplig på de områden som ännu inte åtgärdats. Som stöd för planerade täckningsåtgärder kan avjämningsskiktet mäktighet vara åtminstone 0,5 meter som utgångspunkt. Ambitionen är att använda rena överskottsmassor från utbyggnaden av övriga planområdet till att fylla upp marken i deponiområdet.</w:t>
      </w:r>
    </w:p>
    <w:p>
      <w:pPr>
        <w:rPr>
          <w:lang w:eastAsia="sv-SE"/>
        </w:rPr>
      </w:pPr>
      <w:r>
        <w:rPr>
          <w:lang w:eastAsia="sv-SE"/>
        </w:rPr>
        <w:t>Efter utförda arbeten med avjämning och täckning är det lämpligt att tillsynsmyndigheten inspekterar och godkänner åtgärden inför det fortsatta planarbetet och anläggning av parkmark.</w:t>
      </w:r>
    </w:p>
    <w:p>
      <w:pPr>
        <w:rPr>
          <w:lang w:eastAsia="sv-SE"/>
        </w:rPr>
      </w:pPr>
      <w:r>
        <w:rPr>
          <w:lang w:eastAsia="sv-SE"/>
        </w:rPr>
        <w:t>Vid grävning i deponin för till exempel fundament, belysningsstolpar och ledningar kan det inte uteslutas att förorenad jord ställvis kan påträffas och som kan behöva hanteras. Om förorening påträffas ska tillsynsmyndigheten kontaktas för samråd om korrekt masshantering samt massor kan återanvändas beroende på halt.</w:t>
      </w:r>
      <w:bookmarkEnd w:id="245"/>
    </w:p>
    <w:p>
      <w:pPr>
        <w:pStyle w:val="P3"/>
        <w:rPr>
          <w:color w:val="000000" w:themeColor="text1"/>
        </w:rPr>
      </w:pPr>
      <w:bookmarkStart w:id="246" w:name="ko_brandutrymning01"/>
      <w:r>
        <w:rPr>
          <w:color w:val="000000" w:themeColor="text1"/>
        </w:rPr>
        <w:t xml:space="preserve">Brandutrymning </w:t>
      </w:r>
    </w:p>
    <w:p>
      <w:pPr>
        <w:rPr>
          <w:lang w:eastAsia="sv-SE"/>
        </w:rPr>
      </w:pPr>
      <w:r>
        <w:rPr>
          <w:lang w:eastAsia="sv-SE"/>
        </w:rPr>
        <w:t>Åtkomligheten för räddningstjänstens fordon säkerställs i planen. Avståndet mellan uppställningsplatser och angreppsvägar får inte överstiga 50 meter vilket säkerställs längs gata och angöringsyta på kvartersmark. Brandvattenförsörjning föreslås utgöras av brandposter längs lokalgata.</w:t>
      </w:r>
    </w:p>
    <w:p>
      <w:pPr>
        <w:pStyle w:val="P2"/>
        <w:rPr>
          <w:rFonts w:eastAsia="Arial"/>
          <w:color w:val="000000" w:themeColor="text1"/>
          <w:lang w:eastAsia="sv-SE"/>
        </w:rPr>
      </w:pPr>
      <w:bookmarkEnd w:id="246"/>
      <w:bookmarkStart w:id="247" w:name="_Toc685967200"/>
      <w:bookmarkStart w:id="248" w:name="ko_service01"/>
      <w:r>
        <w:rPr>
          <w:rFonts w:eastAsia="Arial"/>
          <w:color w:val="000000" w:themeColor="text1"/>
          <w:lang w:eastAsia="sv-SE"/>
        </w:rPr>
        <w:t>Service</w:t>
      </w:r>
      <w:bookmarkEnd w:id="235"/>
      <w:bookmarkEnd w:id="247"/>
    </w:p>
    <w:p>
      <w:pPr>
        <w:rPr>
          <w:color w:val="auto"/>
          <w:shd w:val="clear" w:color="auto" w:fill="FFFFFF"/>
        </w:rPr>
      </w:pPr>
      <w:r>
        <w:rPr>
          <w:shd w:val="clear" w:color="auto" w:fill="FFFFFF"/>
        </w:rPr>
        <w:t xml:space="preserve">Planförslaget möjliggör för fler bostäder och arbetsplatser </w:t>
      </w:r>
      <w:r>
        <w:rPr>
          <w:color w:val="auto"/>
          <w:shd w:val="clear" w:color="auto" w:fill="FFFFFF"/>
        </w:rPr>
        <w:t>och därmed fler invånare som bedöms ge något bättre förutsättningar för service i Alsike. Planen möjliggör även för verksamheter som har förutsättningar att bidra med ökad service i Alsike.</w:t>
      </w:r>
      <w:bookmarkEnd w:id="248"/>
    </w:p>
    <w:p>
      <w:pPr>
        <w:pStyle w:val="P2"/>
        <w:rPr>
          <w:rFonts w:eastAsia="Arial"/>
          <w:lang w:eastAsia="sv-SE"/>
        </w:rPr>
      </w:pPr>
      <w:bookmarkStart w:id="249" w:name="_Toc153284682"/>
      <w:bookmarkStart w:id="250" w:name="_Toc548187639"/>
      <w:bookmarkStart w:id="251" w:name="ko_tekniskinfrastruktur01"/>
      <w:r>
        <w:rPr>
          <w:rFonts w:eastAsia="Arial"/>
          <w:lang w:eastAsia="sv-SE"/>
        </w:rPr>
        <w:t>Teknisk infrastruktur</w:t>
      </w:r>
      <w:bookmarkEnd w:id="249"/>
      <w:bookmarkEnd w:id="250"/>
    </w:p>
    <w:p>
      <w:pPr>
        <w:rPr>
          <w:shd w:val="clear" w:color="auto" w:fill="FFFFFF"/>
        </w:rPr>
      </w:pPr>
      <w:r>
        <w:rPr>
          <w:shd w:val="clear" w:color="auto" w:fill="FFFFFF"/>
        </w:rPr>
        <w:t>Planområdet kan anslutas till befintligt tekniskt nät. Kapaciteten i Knivsta avloppsreningsverk är begränsad, men aktuell detaljplan är prioriterad för återstående kapacitet. Utbyggnad av kapaciteten genom anslutning till Käppalaverket planeras preliminärt ske under 2028.</w:t>
      </w:r>
    </w:p>
    <w:p>
      <w:pPr>
        <w:pStyle w:val="P2"/>
        <w:rPr>
          <w:rFonts w:eastAsia="Arial"/>
          <w:color w:val="000000" w:themeColor="text1"/>
          <w:lang w:eastAsia="sv-SE"/>
        </w:rPr>
      </w:pPr>
      <w:bookmarkEnd w:id="251"/>
      <w:bookmarkStart w:id="252" w:name="_Toc153284683"/>
      <w:bookmarkStart w:id="253" w:name="_Toc1905917519"/>
      <w:bookmarkStart w:id="254" w:name="ko_trafik01"/>
      <w:r>
        <w:rPr>
          <w:rFonts w:eastAsia="Arial"/>
          <w:color w:val="000000" w:themeColor="text1"/>
          <w:lang w:eastAsia="sv-SE"/>
        </w:rPr>
        <w:t>Trafik</w:t>
      </w:r>
      <w:bookmarkEnd w:id="252"/>
      <w:bookmarkEnd w:id="253"/>
      <w:r>
        <w:rPr>
          <w:rFonts w:eastAsia="Arial"/>
          <w:color w:val="000000" w:themeColor="text1"/>
          <w:lang w:eastAsia="sv-SE"/>
        </w:rPr>
        <w:t xml:space="preserve"> </w:t>
      </w:r>
    </w:p>
    <w:p>
      <w:pPr>
        <w:rPr>
          <w:shd w:val="clear" w:color="auto" w:fill="FFFFFF"/>
        </w:rPr>
      </w:pPr>
      <w:r>
        <w:rPr>
          <w:shd w:val="clear" w:color="auto" w:fill="FFFFFF"/>
        </w:rPr>
        <w:t xml:space="preserve">Den föreslagna detaljplanen möjliggör för nya bostäder och verksamheter och bedöms ge en viss påverkan med mer motortrafik i närområdet. </w:t>
      </w:r>
    </w:p>
    <w:p>
      <w:pPr>
        <w:rPr>
          <w:shd w:val="clear" w:color="auto" w:fill="FFFFFF"/>
        </w:rPr>
      </w:pPr>
      <w:r>
        <w:rPr>
          <w:shd w:val="clear" w:color="auto" w:fill="FFFFFF"/>
        </w:rPr>
        <w:t>En infartsgata anläggs i samma läge som befintlig infartsväg till området. Infartsgatan övergår sedan i en rundslinga runt området och har även en koppling till det planerade bostadsområdet nordväst om Myrberget (detaljplan för Träfallet) och vidare till Gränsgatan vilket ger</w:t>
      </w:r>
      <w:r>
        <w:rPr>
          <w:rFonts w:eastAsia="Arial"/>
          <w:lang w:eastAsia="sv-SE"/>
        </w:rPr>
        <w:t xml:space="preserve"> ökad kapacitet i lokalgatunätet.</w:t>
      </w:r>
      <w:r>
        <w:rPr>
          <w:shd w:val="clear" w:color="auto" w:fill="FFFFFF"/>
        </w:rPr>
        <w:t xml:space="preserve"> Längs infartsvägen planeras en gång- och cykelbana på den västra sidan samt längs den del av rundslingan som ansluter till Träfallet. Runt resterande slinga planeras gångbana på ena sidan om körbanan och cykel i blandtrafik.</w:t>
      </w:r>
    </w:p>
    <w:p>
      <w:pPr>
        <w:rPr>
          <w:shd w:val="clear" w:color="auto" w:fill="FFFFFF"/>
        </w:rPr>
      </w:pPr>
      <w:r>
        <w:rPr>
          <w:shd w:val="clear" w:color="auto" w:fill="FFFFFF"/>
        </w:rPr>
        <w:t>Från Myrberget till verksamhetsområdet Ar anläggs ingen bilväg, däremot föreslås en gång- och cykelväg. En gång- och cykelväg planeras också genom naturområdet till befintlig bostadsbebyggelse i väst för en genare koppling mot skolor.</w:t>
      </w:r>
    </w:p>
    <w:p>
      <w:pPr>
        <w:rPr>
          <w:color w:val="auto"/>
          <w:shd w:val="clear" w:color="auto" w:fill="FFFFFF"/>
        </w:rPr>
      </w:pPr>
      <w:r>
        <w:rPr>
          <w:shd w:val="clear" w:color="auto" w:fill="FFFFFF"/>
        </w:rPr>
        <w:t xml:space="preserve">Den totala mängden trafik som alstras av detaljplanen (bostadsbebyggelsen i Myrberget och verksamhetsområdet) beräknas vara 1225 ÅDT (årsmedeldygnstrafik) baserat på 200 bostäder och 25 000 kvm verksamhetsmark. Myrberget kommer troligen att belastas av genomfartstrafik från Träfallet genom föreslagen anslutningsväg. Det är dock inte troligt att all alstrad trafik från Träfallet kommer att trafikera via Myrberget men det ökar trafikmängderna i området med omkring 200 fordon. Den totala ÅDT som alstras av dessa projekt blir då 1 677. För samtlig exploatering väntas 80 % av den alstrade trafiken belasta Brunnbyvägen mot E4 och </w:t>
      </w:r>
      <w:r>
        <w:rPr>
          <w:color w:val="auto"/>
          <w:shd w:val="clear" w:color="auto" w:fill="FFFFFF"/>
        </w:rPr>
        <w:t>20% belastar Brunnbyvägen mot Alsike. Fördelningen grundar sig på vägkapacitet och förväntade målpunkter för resenärer så som arbetsplatser och service samt befintliga trafikmängder. Beräknade trafikmängder gäller när detaljplanerna är utbyggda och trafikmängderna på Brunnbyvägen är inte uppräknade.</w:t>
      </w:r>
    </w:p>
    <w:p>
      <w:pPr>
        <w:rPr>
          <w:shd w:val="clear" w:color="auto" w:fill="FFFFFF"/>
        </w:rPr>
      </w:pPr>
      <w:r>
        <w:rPr>
          <w:color w:val="auto"/>
          <w:shd w:val="clear" w:color="auto" w:fill="FFFFFF"/>
        </w:rPr>
        <w:t xml:space="preserve">En kapacitetsutredning för korsningen infartsvägen/Brunnbyvägen har genomförts med hjälp av CapCal. Kapacitetsutredningen är räknad på ett scenario där all trafik från både Myrberget och Träfallet kör via infartsvägen. I kapacitetsutredningen har trafiken under maxtimmen analyserats. Maxtimmen bedöms uppgå till 10% av ÅDT. Resultatet av kapacitetsutredningen redovisas i form av belastningsgrad och kölängd. Enligt VGU (Vägars och gator utformning, regelverk </w:t>
      </w:r>
      <w:r>
        <w:rPr>
          <w:shd w:val="clear" w:color="auto" w:fill="FFFFFF"/>
        </w:rPr>
        <w:t>Trafikverket) bör denna typ av korsning ha en belastningsgrad under eller lika med 0,6. Resultatet visar att kapaciteten i korsningen är god.</w:t>
      </w:r>
    </w:p>
    <w:p>
      <w:pPr>
        <w:pStyle w:val="P60"/>
        <w:rPr>
          <w:color w:val="000000" w:themeColor="text1"/>
        </w:rPr>
      </w:pPr>
      <w:r>
        <w:rPr>
          <w:noProof w:val="1"/>
        </w:rPr>
        <w:drawing>
          <wp:inline xmlns:wp="http://schemas.openxmlformats.org/drawingml/2006/wordprocessingDrawing" distT="0" distB="0" distL="0" distR="0">
            <wp:extent cx="4259580" cy="957580"/>
            <wp:effectExtent l="0" t="0" r="0" b="0"/>
            <wp:docPr id="1171561830" name="Bildobjekt 5" descr="P59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561830" name="Bildobjekt 5" descr="P592#yIS1"/>
                    <pic:cNvPicPr/>
                  </pic:nvPicPr>
                  <pic:blipFill dpi="0">
                    <a:blip xmlns:r="http://schemas.openxmlformats.org/officeDocument/2006/relationships" r:embed="Relimage37"/>
                    <a:srcRect l="14099" t="15775" r="32472" b="75726"/>
                    <a:stretch>
                      <a:fillRect/>
                    </a:stretch>
                  </pic:blipFill>
                  <pic:spPr bwMode="auto">
                    <a:xfrm>
                      <a:off x="0" y="0"/>
                      <a:ext cx="4322154" cy="972211"/>
                    </a:xfrm>
                    <a:prstGeom prst="rect"/>
                    <a:ln>
                      <a:noFill/>
                    </a:ln>
                  </pic:spPr>
                </pic:pic>
              </a:graphicData>
            </a:graphic>
          </wp:inline>
        </w:drawing>
      </w:r>
      <w:r>
        <w:rPr>
          <w:noProof w:val="1"/>
        </w:rPr>
        <w:drawing>
          <wp:inline xmlns:wp="http://schemas.openxmlformats.org/drawingml/2006/wordprocessingDrawing" distT="0" distB="0" distL="0" distR="0">
            <wp:extent cx="4269740" cy="3651250"/>
            <wp:effectExtent l="0" t="0" r="0" b="6350"/>
            <wp:docPr id="178957970" name="Bildobjekt 5" descr="P592#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57970" name="Bildobjekt 5" descr="P592#yIS2"/>
                    <pic:cNvPicPr/>
                  </pic:nvPicPr>
                  <pic:blipFill dpi="0">
                    <a:blip xmlns:r="http://schemas.openxmlformats.org/officeDocument/2006/relationships" r:embed="Relimage37"/>
                    <a:srcRect l="29403" t="30257" r="19835" b="39042"/>
                    <a:stretch>
                      <a:fillRect/>
                    </a:stretch>
                  </pic:blipFill>
                  <pic:spPr bwMode="auto">
                    <a:xfrm>
                      <a:off x="0" y="0"/>
                      <a:ext cx="4269834" cy="3651829"/>
                    </a:xfrm>
                    <a:prstGeom prst="rect"/>
                    <a:ln>
                      <a:noFill/>
                    </a:ln>
                  </pic:spPr>
                </pic:pic>
              </a:graphicData>
            </a:graphic>
          </wp:inline>
        </w:drawing>
      </w:r>
    </w:p>
    <w:p>
      <w:pPr>
        <w:pStyle w:val="P60"/>
        <w:rPr>
          <w:color w:val="000000" w:themeColor="text1"/>
          <w:shd w:val="clear" w:color="auto" w:fill="FFFFFF"/>
        </w:rPr>
      </w:pPr>
      <w:r>
        <w:rPr>
          <w:color w:val="000000" w:themeColor="text1"/>
          <w:shd w:val="clear" w:color="auto" w:fill="FFFFFF"/>
        </w:rPr>
        <w:t>Figur 32: Resultat från kapacitetsutredning. Belastningsgrad och kölängd i CapCal. Resultatet visar att kapaciteten i korsningen är god. Förkortningarna anger körfältens färdriktning, RV = rakt fram eller vänstersväng, HV = högersväng eller vänstersväng, HR = högersväng eller rakt fram (Bjerking).</w:t>
      </w:r>
    </w:p>
    <w:p>
      <w:pPr>
        <w:rPr>
          <w:shd w:val="clear" w:color="auto" w:fill="FFFFFF"/>
        </w:rPr>
      </w:pPr>
      <w:r>
        <w:rPr>
          <w:shd w:val="clear" w:color="auto" w:fill="FFFFFF"/>
        </w:rPr>
        <w:t>I och med den nya bostadsbebyggelsen kommer antalet utfarter i korsningen infartsvägen/Brunnbyvägen att öka. Då dagens utformning av Brunnbyvägen uppmuntrar till höga hastigheter bör någon form av hastighetsdämpande åtgärd genomföras på sträckan för att höja trafiksäkerheten. Med anledning av den goda kapaciteten i korsningen samt trafikflödena på vägen föreslås ett vänstersvängskörfält samt refuger vilket kommer att utredas vidare i den fortsatta processen.</w:t>
      </w:r>
    </w:p>
    <w:p>
      <w:pPr>
        <w:rPr>
          <w:shd w:val="clear" w:color="auto" w:fill="FFFFFF"/>
        </w:rPr>
      </w:pPr>
      <w:r>
        <w:rPr>
          <w:shd w:val="clear" w:color="auto" w:fill="FFFFFF"/>
        </w:rPr>
        <w:t xml:space="preserve">De föreslagna gång- och cykelpassagerna skapar bra förutsättningar för att ta sig till skola, förskola och samhällsservice utan bil. Trafiksäkerheten för oskyddade trafikanter inom planområdet bedöms som god då gång- och cykelvägar som separeras från bilvägarna finns längs alla vägar. </w:t>
      </w:r>
    </w:p>
    <w:p>
      <w:pPr>
        <w:pStyle w:val="P1"/>
        <w:rPr>
          <w:b w:val="1"/>
          <w:color w:val="000000" w:themeColor="text1"/>
        </w:rPr>
      </w:pPr>
      <w:bookmarkEnd w:id="254"/>
      <w:bookmarkStart w:id="255" w:name="_Toc153284684"/>
      <w:bookmarkStart w:id="256" w:name="_Toc1978090216"/>
      <w:r>
        <w:rPr>
          <w:b w:val="1"/>
          <w:color w:val="000000" w:themeColor="text1"/>
        </w:rPr>
        <w:t>Genomförande</w:t>
      </w:r>
      <w:bookmarkEnd w:id="255"/>
      <w:bookmarkEnd w:id="256"/>
    </w:p>
    <w:p>
      <w:bookmarkStart w:id="257" w:name="_Toc89446139"/>
      <w:bookmarkStart w:id="258" w:name="_Toc132874046"/>
      <w:bookmarkStart w:id="259" w:name="_Toc153284685"/>
      <w:bookmarkStart w:id="260" w:name="_Toc90561297"/>
      <w:r>
        <w:t>Genomförandebeskrivningen redovisar de organisatoriska, tekniska, fastighetsrättsliga och ekonomiska åtgärder som behövs för ett ändamålsenligt och i övrigt samordnat plangenomförande. Genomförandebeskrivningen har inte någon självständig rättsverkan utan ska fungera som en vägledning till de olika genomförandeåtgärderna. Avgörande i frågor som rör fastighetsbildning, vatten- och avloppsanläggningar, vägar med mera regleras genom respektive speciallag.</w:t>
      </w:r>
    </w:p>
    <w:p>
      <w:pPr>
        <w:pStyle w:val="P2"/>
        <w:rPr>
          <w:rFonts w:eastAsia="Arial"/>
          <w:color w:val="000000" w:themeColor="text1"/>
          <w:lang w:eastAsia="sv-SE"/>
        </w:rPr>
      </w:pPr>
      <w:bookmarkStart w:id="261" w:name="_Toc552978076"/>
      <w:bookmarkStart w:id="262" w:name="gf_markochutrymmesförvärv01"/>
      <w:r>
        <w:rPr>
          <w:rFonts w:eastAsia="Arial"/>
          <w:color w:val="000000" w:themeColor="text1"/>
          <w:lang w:eastAsia="sv-SE"/>
        </w:rPr>
        <w:t>Mark- och utrymmesförvärv</w:t>
      </w:r>
      <w:bookmarkEnd w:id="257"/>
      <w:bookmarkEnd w:id="258"/>
      <w:bookmarkEnd w:id="259"/>
      <w:bookmarkEnd w:id="260"/>
      <w:bookmarkEnd w:id="261"/>
    </w:p>
    <w:p>
      <w:r>
        <w:t xml:space="preserve">Inga mark och utrymmesförvärv behöver göras inom planområdet. </w:t>
      </w:r>
    </w:p>
    <w:p>
      <w:r>
        <w:t>Kommunen kan komma genomföra markbyte eller försäljning för delar som innehåller fastighetsgräns i kvartersmark, dock är det inget krav för planens genomförande.</w:t>
      </w:r>
    </w:p>
    <w:p>
      <w:r>
        <w:t>Enligt 6 kap. 13- § plan- och bygglagen (2010:900) (PBL) har kommunen rätt att lösa in mark som ska användas för allmän plats med kommunalt huvudmannaskap, samt mark som enligt detaljplanen ska användas för annat än enskilt byggande, om markens användning för det avsedda ändamålet inte kan anses säkerställd ändå. Kommunen avser genom exploateringsavtal säkerställa rätt att lösa in mark som ska användas för allmän plats med kommunalt huvudmannaskap.</w:t>
      </w:r>
    </w:p>
    <w:p>
      <w:pPr>
        <w:spacing w:after="200" w:beforeAutospacing="0" w:afterAutospacing="0"/>
        <w:rPr>
          <w:rFonts w:ascii="Times New Roman" w:hAnsi="Times New Roman"/>
          <w:i w:val="1"/>
          <w:iCs w:val="1"/>
          <w:sz w:val="18"/>
          <w:szCs w:val="18"/>
        </w:rPr>
      </w:pPr>
      <w:r>
        <w:rPr>
          <w:noProof w:val="1"/>
        </w:rPr>
        <w:drawing>
          <wp:inline xmlns:wp="http://schemas.openxmlformats.org/drawingml/2006/wordprocessingDrawing" distT="0" distB="0" distL="0" distR="0">
            <wp:extent cx="4956175" cy="3157855"/>
            <wp:effectExtent l="0" t="0" r="0" b="4445"/>
            <wp:docPr id="191858443" name="drawing" descr="P60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8443" name="drawing" descr="P602#yIS1"/>
                    <pic:cNvPicPr/>
                  </pic:nvPicPr>
                  <pic:blipFill dpi="0">
                    <a:blip xmlns:r="http://schemas.openxmlformats.org/officeDocument/2006/relationships" r:embed="Relimage38">
                      <a:extLst>
                        <a:ext uri="{28A0092B-C50C-407E-A947-70E740481C1C}">
                          <a14:useLocalDpi xmlns:a14="http://schemas.microsoft.com/office/drawing/2010/main" val="0"/>
                        </a:ext>
                      </a:extLst>
                    </a:blip>
                    <a:srcRect/>
                    <a:stretch>
                      <a:fillRect/>
                    </a:stretch>
                  </pic:blipFill>
                  <pic:spPr>
                    <a:xfrm>
                      <a:off x="0" y="0"/>
                      <a:ext cx="4956478" cy="3158002"/>
                    </a:xfrm>
                    <a:prstGeom prst="rect"/>
                  </pic:spPr>
                </pic:pic>
              </a:graphicData>
            </a:graphic>
          </wp:inline>
        </w:drawing>
      </w:r>
      <w:r>
        <w:rPr>
          <w:rFonts w:ascii="Times New Roman" w:hAnsi="Times New Roman"/>
          <w:i w:val="1"/>
          <w:iCs w:val="1"/>
          <w:sz w:val="18"/>
          <w:szCs w:val="18"/>
        </w:rPr>
        <w:t>Figur 33: Orienteringskarta över befintlig fastighetsindelning. Ungefärlig planområdesgräns markeras med heldragen röd linje.</w:t>
      </w:r>
    </w:p>
    <w:p>
      <w:pPr>
        <w:pStyle w:val="P2"/>
        <w:rPr>
          <w:rFonts w:eastAsia="Arial"/>
          <w:color w:val="000000" w:themeColor="text1"/>
          <w:lang w:eastAsia="sv-SE"/>
        </w:rPr>
      </w:pPr>
      <w:bookmarkEnd w:id="262"/>
      <w:bookmarkStart w:id="263" w:name="_Toc89446144"/>
      <w:bookmarkStart w:id="264" w:name="_Toc132874047"/>
      <w:bookmarkStart w:id="265" w:name="_Toc90561302"/>
      <w:bookmarkStart w:id="266" w:name="_Toc75476712"/>
      <w:bookmarkStart w:id="267" w:name="_Toc153284686"/>
      <w:bookmarkStart w:id="268" w:name="gf_fastighetsrättsligafrågor01"/>
      <w:r>
        <w:rPr>
          <w:rFonts w:eastAsia="Arial"/>
          <w:color w:val="000000" w:themeColor="text1"/>
          <w:lang w:eastAsia="sv-SE"/>
        </w:rPr>
        <w:t>Fastighetsrättsliga frågor</w:t>
      </w:r>
      <w:bookmarkEnd w:id="263"/>
      <w:bookmarkEnd w:id="264"/>
      <w:bookmarkEnd w:id="265"/>
      <w:bookmarkEnd w:id="266"/>
      <w:bookmarkEnd w:id="267"/>
    </w:p>
    <w:p>
      <w:pPr>
        <w:rPr>
          <w:lang w:eastAsia="sv-SE"/>
        </w:rPr>
      </w:pPr>
      <w:bookmarkStart w:id="269" w:name="_Toc89446146"/>
      <w:bookmarkStart w:id="270" w:name="_Toc90561304"/>
      <w:r>
        <w:rPr>
          <w:lang w:eastAsia="sv-SE"/>
        </w:rPr>
        <w:t>Rätt till inlösen föreligger.</w:t>
      </w:r>
    </w:p>
    <w:p>
      <w:pPr>
        <w:pStyle w:val="P3"/>
        <w:rPr>
          <w:rFonts w:eastAsia="Arial"/>
          <w:color w:val="000000" w:themeColor="text1"/>
        </w:rPr>
      </w:pPr>
      <w:bookmarkStart w:id="271" w:name="_Toc89446145"/>
      <w:bookmarkStart w:id="272" w:name="_Toc90561303"/>
      <w:r>
        <w:rPr>
          <w:rFonts w:eastAsia="Arial"/>
          <w:color w:val="000000" w:themeColor="text1"/>
        </w:rPr>
        <w:t>Fastighetsindelningsbestämmelser</w:t>
      </w:r>
      <w:bookmarkEnd w:id="271"/>
      <w:bookmarkEnd w:id="272"/>
    </w:p>
    <w:p>
      <w:r>
        <w:t xml:space="preserve">Fastighetsindelningsbestämmelser tillämpas inte i denna detaljplan. </w:t>
      </w:r>
    </w:p>
    <w:p>
      <w:pPr>
        <w:pStyle w:val="P3"/>
        <w:rPr>
          <w:rFonts w:eastAsia="Arial"/>
          <w:color w:val="000000" w:themeColor="text1"/>
        </w:rPr>
      </w:pPr>
      <w:bookmarkEnd w:id="268"/>
      <w:bookmarkEnd w:id="269"/>
      <w:bookmarkEnd w:id="270"/>
      <w:bookmarkStart w:id="273" w:name="gf_förändradfastighetsindelning01"/>
      <w:r>
        <w:rPr>
          <w:rFonts w:eastAsia="Arial"/>
          <w:color w:val="000000" w:themeColor="text1"/>
        </w:rPr>
        <w:t>Förändrad fastighetsindelning</w:t>
      </w:r>
    </w:p>
    <w:p>
      <w:r>
        <w:t xml:space="preserve">I detaljplanen är delar av privatägda fastigheter utlagda som allmän plats. Enligt PBL har kommunen som huvudman för allmän plats rätt och skyldighet att lösa in den allmänna platsmark som kommunen är huvudman för. Kommunens avsikt är att det ska ske genom fastighetsreglering. </w:t>
      </w:r>
    </w:p>
    <w:p>
      <w:r>
        <w:t xml:space="preserve">För att genomföra fastighetsregleringen ska kommunen ansöka om fastighetsreglering hos lantmäterimyndigheten övriga ansvar regleras i exploateringsavtal. Den allmänna platsmarken regleras till lämplig kommunalägd fastighet. </w:t>
      </w:r>
    </w:p>
    <w:p>
      <w:r>
        <w:t>E-områden för tekniska anläggningar på kvartersmark för transformatorstation eller annan teknisk anläggning ska regleras till kommunen.</w:t>
      </w:r>
    </w:p>
    <w:p>
      <w:pPr>
        <w:pStyle w:val="P3"/>
        <w:rPr>
          <w:rFonts w:eastAsia="Arial"/>
          <w:color w:val="000000" w:themeColor="text1"/>
        </w:rPr>
      </w:pPr>
      <w:bookmarkEnd w:id="273"/>
      <w:bookmarkStart w:id="274" w:name="gf_rättigheter01"/>
      <w:r>
        <w:rPr>
          <w:rFonts w:eastAsia="Arial"/>
          <w:color w:val="000000" w:themeColor="text1"/>
        </w:rPr>
        <w:t>Rättigheter</w:t>
      </w:r>
    </w:p>
    <w:p>
      <w:pPr>
        <w:pStyle w:val="P4"/>
        <w:rPr>
          <w:rFonts w:asciiTheme="minorHAnsi" w:hAnsiTheme="minorHAnsi"/>
          <w:b w:val="0"/>
          <w:i w:val="1"/>
          <w:bCs w:val="0"/>
          <w:sz w:val="24"/>
        </w:rPr>
      </w:pPr>
      <w:r>
        <w:rPr>
          <w:rFonts w:asciiTheme="minorHAnsi" w:hAnsiTheme="minorHAnsi"/>
          <w:b w:val="0"/>
          <w:i w:val="1"/>
          <w:bCs w:val="0"/>
          <w:sz w:val="24"/>
        </w:rPr>
        <w:t>Rättigheter som belastar allmän plats</w:t>
      </w:r>
    </w:p>
    <w:p>
      <w:pPr>
        <w:rPr>
          <w:b w:val="1"/>
          <w:bCs w:val="1"/>
        </w:rPr>
      </w:pPr>
      <w:r>
        <w:t>Inga rättigheter så som servitut, ledningsrätt eller gemensamhetsanläggning finns inom planområdet i allmän plats, förutom en ledningsrätt inom Vrå 1:137. Denna ledningsrätt bedöms ej behöva omprövas.</w:t>
      </w:r>
    </w:p>
    <w:p>
      <w:r>
        <w:t xml:space="preserve">Knivstavattens Va-anläggning förläggs inom allmän plats, vilket beskrivs i detalj i kommunens och VA-huvudmannens övergripande markavtal för allmän plats. </w:t>
      </w:r>
    </w:p>
    <w:p>
      <w:r>
        <w:t>Inga rättigheter har noterats som behöver inrättas vid genomförandet av detaljplanen.</w:t>
      </w:r>
    </w:p>
    <w:p>
      <w:pPr>
        <w:pStyle w:val="P4"/>
        <w:rPr>
          <w:rFonts w:asciiTheme="minorHAnsi" w:hAnsiTheme="minorHAnsi"/>
          <w:b w:val="0"/>
          <w:i w:val="1"/>
          <w:bCs w:val="0"/>
          <w:sz w:val="24"/>
        </w:rPr>
      </w:pPr>
      <w:r>
        <w:rPr>
          <w:rFonts w:asciiTheme="minorHAnsi" w:hAnsiTheme="minorHAnsi"/>
          <w:b w:val="0"/>
          <w:i w:val="1"/>
          <w:bCs w:val="0"/>
          <w:sz w:val="24"/>
        </w:rPr>
        <w:t>Rättigheter som belastar kvartersmark</w:t>
      </w:r>
    </w:p>
    <w:p>
      <w:r>
        <w:t xml:space="preserve">Inga rättigheter så som servitut, ledningsrätt eller gemensamhetsanläggning finns inom planområdets kommande kvartersmark. </w:t>
      </w:r>
    </w:p>
    <w:p>
      <w:r>
        <w:t>Ett markreservat för allmännyttiga underjordiska ledningar regleras inom kvartersmark för ny verksamhetsmark. Detta utrymme möjliggör för att vid behov bortleda dagvatten till dike och kan även bli rättighet för en gemensamhetsanläggning eller VA-huvudmannen.</w:t>
      </w:r>
    </w:p>
    <w:p>
      <w:pPr>
        <w:pStyle w:val="P3"/>
        <w:rPr>
          <w:rFonts w:eastAsia="Arial"/>
          <w:color w:val="000000" w:themeColor="text1"/>
        </w:rPr>
      </w:pPr>
      <w:bookmarkEnd w:id="274"/>
      <w:bookmarkStart w:id="275" w:name="gf_markägoförhållanden01"/>
      <w:r>
        <w:rPr>
          <w:rFonts w:eastAsia="Arial"/>
          <w:color w:val="000000" w:themeColor="text1"/>
        </w:rPr>
        <w:t xml:space="preserve">Markägoförhållanden </w:t>
      </w:r>
    </w:p>
    <w:p>
      <w:r>
        <w:t>Planområdet är ca 30 hektar stort och omfattar hela fastigheten Vrå 3:1 och Vrå 3:2 som är privatägd samt del av Gredelby 1:3 och del av Vrå 1:137, Gredelby 1:157 och Gredelby 1:158 som är kommunalägda.</w:t>
      </w:r>
    </w:p>
    <w:p>
      <w:pPr>
        <w:pStyle w:val="P3"/>
        <w:rPr>
          <w:rFonts w:eastAsia="Arial"/>
          <w:color w:val="000000" w:themeColor="text1"/>
        </w:rPr>
      </w:pPr>
      <w:bookmarkEnd w:id="275"/>
      <w:r>
        <w:rPr>
          <w:rFonts w:eastAsia="Arial"/>
          <w:color w:val="000000" w:themeColor="text1"/>
        </w:rPr>
        <w:t xml:space="preserve">Fastighetsbildning </w:t>
      </w:r>
    </w:p>
    <w:p>
      <w:r>
        <w:t>Fastighetsbildning krävs för att genomföra detaljplanen och möjliggörs när planen vinner laga kraft. Nedan följer en beskrivning av vilken fastighetsbildning som behöver vidtas och hur denna kan genomföras. Beskrivningen är dock inte bindande för lantmäterimyndigheten vid prövning i kommande lantmäteriförrättningar och det kan i vissa fall finnas andra möjliga åtgärder att vidta för att genomföra en viss del av planen.</w:t>
      </w:r>
    </w:p>
    <w:p>
      <w:pPr>
        <w:pStyle w:val="P4"/>
        <w:rPr>
          <w:rFonts w:asciiTheme="minorHAnsi" w:hAnsiTheme="minorHAnsi"/>
          <w:b w:val="0"/>
          <w:i w:val="1"/>
          <w:bCs w:val="0"/>
          <w:sz w:val="24"/>
        </w:rPr>
      </w:pPr>
      <w:r>
        <w:rPr>
          <w:rFonts w:asciiTheme="minorHAnsi" w:hAnsiTheme="minorHAnsi"/>
          <w:b w:val="0"/>
          <w:i w:val="1"/>
          <w:bCs w:val="0"/>
          <w:sz w:val="24"/>
        </w:rPr>
        <w:t>Avstyckning</w:t>
      </w:r>
    </w:p>
    <w:p>
      <w:r>
        <w:rPr>
          <w:lang w:eastAsia="sv-SE"/>
        </w:rPr>
        <w:t xml:space="preserve">De nya byggrätterna för bostäder som möjliggörs inom </w:t>
      </w:r>
      <w:r>
        <w:t>Vrå 3:1 planeras som exploateringsfastigheter och kan styckas av, vilket innebär nybildning av flertalet nya bostadsfastigheter. Lantmäteriförrättning ansöks och bekostas av ägaren till Vrå 3:1 eller av ny fastighetsägare genom kommande köpekontrakt.</w:t>
      </w:r>
    </w:p>
    <w:p>
      <w:r>
        <w:t>Inom privatägda fastigheten Vrå 3:1 och kommunalägda fastigheten Gredelby 1:3, planeras genom planläggningen för ett område inom kvartersmark för verksamheter. Denna kvartersmark blir föremål för avstyckning till egen fastighet och detaljer kring detta beskrivs i exploateringsavtal.</w:t>
      </w:r>
    </w:p>
    <w:p>
      <w:r>
        <w:t>Tidigare planlagda fastigheterna Vrå 3:2 (privat) och kommunens Gredelby 1:157 och Gredelby 1:158, planeras genom planläggningen för ändrad användning av kvartersmark. Från industri, handel och kontor (J, H K) till verksamhet, handel och kontor (Z, H, K). Dessa är idag indelade i fastigheter och fastighetsbildnings-åtgärd behövs inte.</w:t>
      </w:r>
    </w:p>
    <w:p>
      <w:pPr>
        <w:pStyle w:val="P4"/>
        <w:rPr>
          <w:rFonts w:asciiTheme="minorHAnsi" w:hAnsiTheme="minorHAnsi"/>
          <w:b w:val="0"/>
          <w:i w:val="1"/>
          <w:bCs w:val="0"/>
          <w:sz w:val="24"/>
        </w:rPr>
      </w:pPr>
      <w:r>
        <w:rPr>
          <w:rFonts w:asciiTheme="minorHAnsi" w:hAnsiTheme="minorHAnsi"/>
          <w:b w:val="0"/>
          <w:i w:val="1"/>
          <w:bCs w:val="0"/>
          <w:sz w:val="24"/>
        </w:rPr>
        <w:t>Fastighetsreglering - marköverföring</w:t>
      </w:r>
    </w:p>
    <w:p>
      <w:r>
        <w:t xml:space="preserve">Från det privata markområdet Vrå 3:1 överförs allmän plats (gata, park och natur) till kommunen som blivande huvudman. För detta krävs fastighetsbildning och allmän platsmark ska regleras från Vrå 3:1 till kommunens fastighet, exempelvis Vrå 1:137.  Lantmäteriförrättning betalas av ägaren till Vrå 3:1.  </w:t>
      </w:r>
    </w:p>
    <w:p>
      <w:pPr>
        <w:pStyle w:val="P4"/>
        <w:rPr>
          <w:rFonts w:asciiTheme="minorHAnsi" w:hAnsiTheme="minorHAnsi"/>
          <w:b w:val="0"/>
          <w:i w:val="1"/>
          <w:bCs w:val="0"/>
          <w:sz w:val="24"/>
        </w:rPr>
      </w:pPr>
      <w:r>
        <w:rPr>
          <w:rFonts w:asciiTheme="minorHAnsi" w:hAnsiTheme="minorHAnsi"/>
          <w:b w:val="0"/>
          <w:i w:val="1"/>
          <w:bCs w:val="0"/>
          <w:sz w:val="24"/>
        </w:rPr>
        <w:t>Gemensamhetsanläggningar och servitut</w:t>
      </w:r>
    </w:p>
    <w:p>
      <w:pPr>
        <w:rPr>
          <w:shd w:val="clear" w:color="auto" w:fill="FFFFFF"/>
        </w:rPr>
      </w:pPr>
      <w:r>
        <w:rPr>
          <w:shd w:val="clear" w:color="auto" w:fill="FFFFFF"/>
        </w:rPr>
        <w:t xml:space="preserve">För nya ledningar och tillhörande anordningar inom planområdet kan avtal upprättas mellan ledningsägare och fastighetsägare. </w:t>
      </w:r>
    </w:p>
    <w:p>
      <w:pPr>
        <w:rPr>
          <w:shd w:val="clear" w:color="auto" w:fill="FFFFFF"/>
        </w:rPr>
      </w:pPr>
      <w:r>
        <w:rPr>
          <w:shd w:val="clear" w:color="auto" w:fill="FFFFFF"/>
        </w:rPr>
        <w:t xml:space="preserve">Gemensamhetsanläggningar för exempelvis bostadsgård, angöring och parkering kan bildas vid behov men regleras inte i detaljplanen. </w:t>
      </w:r>
    </w:p>
    <w:p>
      <w:pPr>
        <w:rPr>
          <w:rFonts w:ascii="Times New Roman" w:hAnsi="Times New Roman"/>
        </w:rPr>
      </w:pPr>
      <w:r>
        <w:t>Gemensamhetsanläggning för bortledning av dagvatten via svackdike kan bildas inom ny verksamhetsmark, eller kvartersmark. Behov av gemensamhetsanläggning regleras inte i detaljplanen utan kommer hanteras i exploateringsavtal. Tillgänglighet för drift av dike ska säkerställas i genomförandet.</w:t>
      </w:r>
      <w:r>
        <w:rPr>
          <w:rFonts w:ascii="Times New Roman" w:hAnsi="Times New Roman"/>
        </w:rPr>
        <w:t xml:space="preserve"> Gemensamhetsanläggningen ska säkerställa att vattnet leds till av Knivstavatten anvisad punkt. Knivstavatten kan även komma behöva åtkomst via fastighet (servitut), beroende av utformning av svackdike.</w:t>
      </w:r>
    </w:p>
    <w:p>
      <w:pPr>
        <w:rPr>
          <w:shd w:val="clear" w:color="auto" w:fill="FFFFFF"/>
        </w:rPr>
      </w:pPr>
      <w:r>
        <w:rPr>
          <w:shd w:val="clear" w:color="auto" w:fill="FFFFFF"/>
        </w:rPr>
        <w:t>Ansvarsfördelning och avtal kommer och kan hanteras i exploateringsavtal.</w:t>
      </w:r>
      <w:r>
        <w:rPr>
          <w:rFonts w:ascii="Times New Roman" w:hAnsi="Times New Roman"/>
          <w:color w:val="auto"/>
          <w:lang w:eastAsia="sv-SE"/>
        </w:rPr>
        <w:t xml:space="preserve"> </w:t>
      </w:r>
      <w:r>
        <w:rPr>
          <w:shd w:val="clear" w:color="auto" w:fill="FFFFFF"/>
        </w:rPr>
        <w:t>Det kan bli aktuellt med gemensamhetsanläggningar för dag-, vatten- och spillvatten. De fastigheter som ansluts till dessa gemensamhetsanläggningar förvaltar och bekostar anläggningarna gemensamt.</w:t>
      </w:r>
    </w:p>
    <w:p>
      <w:pPr>
        <w:rPr>
          <w:shd w:val="clear" w:color="auto" w:fill="FFFFFF"/>
        </w:rPr>
      </w:pPr>
    </w:p>
    <w:p>
      <w:pPr>
        <w:pStyle w:val="P3"/>
        <w:rPr>
          <w:rFonts w:eastAsia="Arial"/>
          <w:color w:val="000000" w:themeColor="text1"/>
        </w:rPr>
      </w:pPr>
      <w:r>
        <w:rPr>
          <w:rFonts w:eastAsia="Arial"/>
          <w:color w:val="000000" w:themeColor="text1"/>
        </w:rPr>
        <w:t xml:space="preserve">Fastighetsrättsliga konsekvenser </w:t>
      </w:r>
    </w:p>
    <w:p>
      <w:pPr>
        <w:rPr>
          <w:shd w:val="clear" w:color="auto" w:fill="FFFFFF"/>
        </w:rPr>
      </w:pPr>
      <w:r>
        <w:rPr>
          <w:shd w:val="clear" w:color="auto" w:fill="FFFFFF"/>
        </w:rPr>
        <w:t>Nedan redogörs för de fastighetsrättsliga konsekvenserna som genomförandet av planen kommer medföra.</w:t>
      </w:r>
    </w:p>
    <w:p>
      <w:pPr>
        <w:rPr>
          <w:i w:val="1"/>
          <w:iCs w:val="1"/>
          <w:shd w:val="clear" w:color="auto" w:fill="FFFFFF"/>
        </w:rPr>
      </w:pPr>
    </w:p>
    <w:tbl>
      <w:tblPr>
        <w:tblStyle w:val="T2"/>
        <w:tblW w:w="0" w:type="auto"/>
        <w:tblLayout w:type="fixed"/>
        <w:tblLook w:val="04A0"/>
      </w:tblPr>
      <w:tblGrid>
        <w:gridCol w:w="1696"/>
        <w:gridCol w:w="2977"/>
        <w:gridCol w:w="3256"/>
      </w:tblGrid>
      <w:tr>
        <w:trPr>
          <w:cantSplit/>
        </w:trPr>
        <w:tc>
          <w:tcPr>
            <w:tcW w:w="1696" w:type="dxa"/>
            <w:tcBorders>
              <w:bottom w:val="single" w:sz="4" w:space="0" w:shadow="0" w:frame="0"/>
            </w:tcBorders>
          </w:tcPr>
          <w:p>
            <w:pPr>
              <w:pStyle w:val="P67"/>
            </w:pPr>
            <w:r>
              <w:rPr>
                <w:rFonts w:ascii="ZWAdobeF" w:hAnsi="ZWAdobeF" w:cs="ZWAdobeF"/>
                <w:b w:val="0"/>
                <w:color w:val="auto"/>
                <w:sz w:val="2"/>
                <w:szCs w:val="2"/>
              </w:rPr>
              <w:t>0B</w:t>
            </w:r>
            <w:r>
              <w:t>Fastighet inom planområdet</w:t>
            </w:r>
          </w:p>
        </w:tc>
        <w:tc>
          <w:tcPr>
            <w:tcW w:w="2977" w:type="dxa"/>
            <w:tcBorders>
              <w:bottom w:val="single" w:sz="4" w:space="0" w:shadow="0" w:frame="0"/>
            </w:tcBorders>
          </w:tcPr>
          <w:p>
            <w:pPr>
              <w:pStyle w:val="P67"/>
            </w:pPr>
            <w:r>
              <w:rPr>
                <w:rFonts w:ascii="ZWAdobeF" w:hAnsi="ZWAdobeF" w:cs="ZWAdobeF"/>
                <w:b w:val="0"/>
                <w:color w:val="auto"/>
                <w:sz w:val="2"/>
                <w:szCs w:val="2"/>
              </w:rPr>
              <w:t>1B</w:t>
            </w:r>
            <w:r>
              <w:t>Fastighetsrättslig konsekvens</w:t>
            </w:r>
          </w:p>
        </w:tc>
        <w:tc>
          <w:tcPr>
            <w:tcW w:w="3256" w:type="dxa"/>
            <w:tcBorders>
              <w:bottom w:val="single" w:sz="4" w:space="0" w:shadow="0" w:frame="0"/>
            </w:tcBorders>
          </w:tcPr>
          <w:p>
            <w:pPr>
              <w:pStyle w:val="P67"/>
            </w:pPr>
            <w:r>
              <w:rPr>
                <w:rFonts w:ascii="ZWAdobeF" w:hAnsi="ZWAdobeF" w:cs="ZWAdobeF"/>
                <w:b w:val="0"/>
                <w:color w:val="auto"/>
                <w:sz w:val="2"/>
                <w:szCs w:val="2"/>
              </w:rPr>
              <w:t>2B</w:t>
            </w:r>
            <w:r>
              <w:t xml:space="preserve">Planens </w:t>
            </w:r>
            <w:r>
              <w:br w:type="textWrapping"/>
            </w:r>
            <w:r>
              <w:t xml:space="preserve">konsekvens </w:t>
            </w:r>
          </w:p>
        </w:tc>
      </w:tr>
      <w:tr>
        <w:trPr>
          <w:cantSplit/>
        </w:trPr>
        <w:tc>
          <w:tcPr>
            <w:tcW w:w="1696" w:type="dxa"/>
            <w:vMerge w:val="restart"/>
            <w:tcBorders>
              <w:top w:val="single" w:sz="4" w:space="0" w:shadow="0" w:frame="0"/>
              <w:left w:val="single" w:sz="4" w:space="0" w:shadow="0" w:frame="0"/>
              <w:right w:val="single" w:sz="4" w:space="0" w:shadow="0" w:frame="0"/>
            </w:tcBorders>
          </w:tcPr>
          <w:p>
            <w:r>
              <w:t>Vrå 3:1</w:t>
            </w:r>
          </w:p>
          <w:p>
            <w:pPr>
              <w:rPr>
                <w:i w:val="1"/>
                <w:iCs w:val="1"/>
                <w:shd w:val="clear" w:color="auto" w:fill="FFFFFF"/>
              </w:rPr>
            </w:pPr>
            <w:r>
              <w:rPr>
                <w:i w:val="1"/>
                <w:iCs w:val="1"/>
              </w:rPr>
              <w:t>Privat fastighet</w:t>
            </w:r>
          </w:p>
        </w:tc>
        <w:tc>
          <w:tcPr>
            <w:tcW w:w="2977" w:type="dxa"/>
            <w:tcBorders>
              <w:top w:val="single" w:sz="4" w:space="0" w:shadow="0" w:frame="0"/>
              <w:left w:val="single" w:sz="4" w:space="0" w:shadow="0" w:frame="0"/>
              <w:bottom w:val="nil"/>
              <w:right w:val="single" w:sz="4" w:space="0" w:shadow="0" w:frame="0"/>
            </w:tcBorders>
          </w:tcPr>
          <w:p>
            <w:pPr>
              <w:rPr>
                <w:shd w:val="clear" w:color="auto" w:fill="FFFFFF"/>
              </w:rPr>
            </w:pPr>
            <w:r>
              <w:rPr>
                <w:shd w:val="clear" w:color="auto" w:fill="FFFFFF"/>
              </w:rPr>
              <w:t>Fastighetsrättsliga åtgärder behöver vidtas.</w:t>
            </w:r>
          </w:p>
        </w:tc>
        <w:tc>
          <w:tcPr>
            <w:tcW w:w="3256" w:type="dxa"/>
            <w:tcBorders>
              <w:top w:val="single" w:sz="4" w:space="0" w:shadow="0" w:frame="0"/>
              <w:left w:val="single" w:sz="4" w:space="0" w:shadow="0" w:frame="0"/>
              <w:bottom w:val="nil"/>
              <w:right w:val="single" w:sz="4" w:space="0" w:shadow="0" w:frame="0"/>
            </w:tcBorders>
          </w:tcPr>
          <w:p>
            <w:pPr>
              <w:rPr>
                <w:shd w:val="clear" w:color="auto" w:fill="FFFFFF"/>
              </w:rPr>
            </w:pPr>
            <w:r>
              <w:rPr>
                <w:shd w:val="clear" w:color="auto" w:fill="FFFFFF"/>
              </w:rPr>
              <w:t>Hela fastigheten planläggs.</w:t>
            </w:r>
          </w:p>
          <w:p>
            <w:pPr>
              <w:rPr>
                <w:shd w:val="clear" w:color="auto" w:fill="FFFFFF"/>
              </w:rPr>
            </w:pPr>
            <w:r>
              <w:rPr>
                <w:shd w:val="clear" w:color="auto" w:fill="FFFFFF"/>
              </w:rPr>
              <w:t>Mark planläggs som allmän plats och kvartersmark.</w:t>
            </w:r>
          </w:p>
        </w:tc>
      </w:tr>
      <w:tr>
        <w:trPr>
          <w:cantSplit/>
        </w:trPr>
        <w:tc>
          <w:tcPr>
            <w:tcW w:w="1696" w:type="dxa"/>
            <w:vMerge w:val="continue"/>
          </w:tcPr>
          <w:p/>
        </w:tc>
        <w:tc>
          <w:tcPr>
            <w:tcW w:w="2977" w:type="dxa"/>
            <w:tcBorders>
              <w:top w:val="nil"/>
              <w:left w:val="single" w:sz="4" w:space="0" w:shadow="0" w:frame="0"/>
              <w:bottom w:val="nil"/>
              <w:right w:val="single" w:sz="4" w:space="0" w:shadow="0" w:frame="0"/>
            </w:tcBorders>
          </w:tcPr>
          <w:p>
            <w:pPr>
              <w:rPr>
                <w:shd w:val="clear" w:color="auto" w:fill="FFFFFF"/>
              </w:rPr>
            </w:pPr>
            <w:r>
              <w:rPr>
                <w:shd w:val="clear" w:color="auto" w:fill="FFFFFF"/>
              </w:rPr>
              <w:t>Allmän plats överlåts och kan regleras in i en intilliggande kommunal fastighet.</w:t>
            </w:r>
          </w:p>
        </w:tc>
        <w:tc>
          <w:tcPr>
            <w:tcW w:w="3256" w:type="dxa"/>
            <w:tcBorders>
              <w:top w:val="nil"/>
              <w:left w:val="single" w:sz="4" w:space="0" w:shadow="0" w:frame="0"/>
              <w:bottom w:val="nil"/>
              <w:right w:val="single" w:sz="4" w:space="0" w:shadow="0" w:frame="0"/>
            </w:tcBorders>
          </w:tcPr>
          <w:p>
            <w:pPr>
              <w:rPr>
                <w:shd w:val="clear" w:color="auto" w:fill="FFFFFF"/>
              </w:rPr>
            </w:pPr>
            <w:r>
              <w:rPr>
                <w:shd w:val="clear" w:color="auto" w:fill="FFFFFF"/>
              </w:rPr>
              <w:t>Allmän plats ges kommunalt huvudmannaskap.</w:t>
            </w:r>
          </w:p>
        </w:tc>
      </w:tr>
      <w:tr>
        <w:trPr>
          <w:cantSplit/>
        </w:trPr>
        <w:tc>
          <w:tcPr>
            <w:tcW w:w="1696" w:type="dxa"/>
            <w:vMerge w:val="continue"/>
          </w:tcPr>
          <w:p/>
        </w:tc>
        <w:tc>
          <w:tcPr>
            <w:tcW w:w="2977" w:type="dxa"/>
            <w:vMerge w:val="restart"/>
            <w:tcBorders>
              <w:top w:val="nil"/>
              <w:left w:val="single" w:sz="4" w:space="0" w:shadow="0" w:frame="0"/>
              <w:bottom w:val="single" w:sz="4" w:space="0" w:shadow="0" w:frame="0"/>
              <w:right w:val="single" w:sz="4" w:space="0" w:shadow="0" w:frame="0"/>
            </w:tcBorders>
          </w:tcPr>
          <w:p>
            <w:pPr>
              <w:rPr>
                <w:shd w:val="clear" w:color="auto" w:fill="FFFFFF"/>
              </w:rPr>
            </w:pPr>
            <w:r>
              <w:rPr>
                <w:shd w:val="clear" w:color="auto" w:fill="FFFFFF"/>
              </w:rPr>
              <w:t>Kvartersmark indelas i fastigheter genom avstyckning eller fastighetsreglering.</w:t>
            </w:r>
          </w:p>
          <w:p>
            <w:pPr>
              <w:rPr>
                <w:shd w:val="clear" w:color="auto" w:fill="FFFFFF"/>
              </w:rPr>
            </w:pPr>
          </w:p>
        </w:tc>
        <w:tc>
          <w:tcPr>
            <w:tcW w:w="3256" w:type="dxa"/>
            <w:tcBorders>
              <w:top w:val="nil"/>
              <w:left w:val="single" w:sz="4" w:space="0" w:shadow="0" w:frame="0"/>
              <w:bottom w:val="nil"/>
              <w:right w:val="single" w:sz="4" w:space="0" w:shadow="0" w:frame="0"/>
            </w:tcBorders>
          </w:tcPr>
          <w:p>
            <w:pPr>
              <w:rPr>
                <w:shd w:val="clear" w:color="auto" w:fill="FFFFFF"/>
              </w:rPr>
            </w:pPr>
            <w:r>
              <w:rPr>
                <w:shd w:val="clear" w:color="auto" w:fill="FFFFFF"/>
              </w:rPr>
              <w:t>Kvartersmark planeras för bostäder.</w:t>
            </w:r>
          </w:p>
        </w:tc>
      </w:tr>
      <w:tr>
        <w:trPr>
          <w:cantSplit/>
        </w:trPr>
        <w:tc>
          <w:tcPr>
            <w:tcW w:w="1696" w:type="dxa"/>
            <w:vMerge w:val="continue"/>
          </w:tcPr>
          <w:p/>
        </w:tc>
        <w:tc>
          <w:tcPr>
            <w:tcW w:w="2977" w:type="dxa"/>
            <w:vMerge w:val="continue"/>
          </w:tcPr>
          <w:p>
            <w:pPr>
              <w:rPr>
                <w:shd w:val="clear" w:color="auto" w:fill="FFFFFF"/>
              </w:rPr>
            </w:pPr>
          </w:p>
        </w:tc>
        <w:tc>
          <w:tcPr>
            <w:tcW w:w="3256" w:type="dxa"/>
            <w:tcBorders>
              <w:top w:val="nil"/>
              <w:left w:val="single" w:sz="4" w:space="0" w:shadow="0" w:frame="0"/>
              <w:bottom w:val="nil"/>
              <w:right w:val="single" w:sz="4" w:space="0" w:shadow="0" w:frame="0"/>
            </w:tcBorders>
          </w:tcPr>
          <w:p>
            <w:pPr>
              <w:rPr>
                <w:shd w:val="clear" w:color="auto" w:fill="FFFFFF"/>
              </w:rPr>
            </w:pPr>
            <w:r>
              <w:rPr>
                <w:shd w:val="clear" w:color="auto" w:fill="FFFFFF"/>
              </w:rPr>
              <w:t>Kvartersmark planeras för verksamheter.</w:t>
            </w:r>
          </w:p>
        </w:tc>
      </w:tr>
      <w:tr>
        <w:trPr>
          <w:cantSplit/>
        </w:trPr>
        <w:tc>
          <w:tcPr>
            <w:tcW w:w="1696" w:type="dxa"/>
            <w:vMerge w:val="continue"/>
          </w:tcPr>
          <w:p/>
        </w:tc>
        <w:tc>
          <w:tcPr>
            <w:tcW w:w="2977" w:type="dxa"/>
            <w:vMerge w:val="continue"/>
          </w:tcPr>
          <w:p>
            <w:pPr>
              <w:rPr>
                <w:shd w:val="clear" w:color="auto" w:fill="FFFFFF"/>
              </w:rPr>
            </w:pPr>
          </w:p>
        </w:tc>
        <w:tc>
          <w:tcPr>
            <w:tcW w:w="3256" w:type="dxa"/>
            <w:tcBorders>
              <w:top w:val="nil"/>
              <w:left w:val="single" w:sz="4" w:space="0" w:shadow="0" w:frame="0"/>
              <w:bottom w:val="single" w:sz="4" w:space="0" w:shadow="0" w:frame="0"/>
              <w:right w:val="single" w:sz="4" w:space="0" w:shadow="0" w:frame="0"/>
            </w:tcBorders>
          </w:tcPr>
          <w:p>
            <w:pPr>
              <w:rPr>
                <w:shd w:val="clear" w:color="auto" w:fill="FFFFFF"/>
              </w:rPr>
            </w:pPr>
            <w:r>
              <w:rPr>
                <w:shd w:val="clear" w:color="auto" w:fill="FFFFFF"/>
              </w:rPr>
              <w:t>Kvartersmark planeras för tekniska anläggningar.</w:t>
            </w:r>
          </w:p>
        </w:tc>
      </w:tr>
      <w:tr>
        <w:trPr>
          <w:cantSplit/>
        </w:trPr>
        <w:tc>
          <w:tcPr>
            <w:tcW w:w="1696" w:type="dxa"/>
            <w:tcBorders>
              <w:top w:val="single" w:sz="4" w:space="0" w:shadow="0" w:frame="0"/>
            </w:tcBorders>
          </w:tcPr>
          <w:p>
            <w:pPr>
              <w:rPr>
                <w:i w:val="1"/>
                <w:iCs w:val="1"/>
              </w:rPr>
            </w:pPr>
            <w:r>
              <w:t xml:space="preserve">Vrå 3:2 </w:t>
            </w:r>
            <w:r>
              <w:rPr>
                <w:i w:val="1"/>
                <w:iCs w:val="1"/>
                <w:shd w:val="clear" w:color="auto" w:fill="FFFFFF"/>
              </w:rPr>
              <w:t>Privat fastighet.</w:t>
            </w:r>
          </w:p>
        </w:tc>
        <w:tc>
          <w:tcPr>
            <w:tcW w:w="2977" w:type="dxa"/>
            <w:tcBorders>
              <w:top w:val="single" w:sz="4" w:space="0" w:shadow="0" w:frame="0"/>
              <w:bottom w:val="single" w:sz="4" w:space="0" w:shadow="0" w:frame="0"/>
            </w:tcBorders>
          </w:tcPr>
          <w:p>
            <w:pPr>
              <w:rPr>
                <w:shd w:val="clear" w:color="auto" w:fill="FFFFFF"/>
              </w:rPr>
            </w:pPr>
            <w:r>
              <w:rPr>
                <w:shd w:val="clear" w:color="auto" w:fill="FFFFFF"/>
              </w:rPr>
              <w:t>Inga fastighetsrättsliga åtgärder behöver vidtas.</w:t>
            </w:r>
          </w:p>
          <w:p>
            <w:pPr>
              <w:rPr>
                <w:shd w:val="clear" w:color="auto" w:fill="FFFFFF"/>
              </w:rPr>
            </w:pPr>
          </w:p>
        </w:tc>
        <w:tc>
          <w:tcPr>
            <w:tcW w:w="3256" w:type="dxa"/>
            <w:tcBorders>
              <w:top w:val="single" w:sz="4" w:space="0" w:shadow="0" w:frame="0"/>
              <w:bottom w:val="single" w:sz="4" w:space="0" w:shadow="0" w:frame="0"/>
            </w:tcBorders>
          </w:tcPr>
          <w:p>
            <w:pPr>
              <w:rPr>
                <w:shd w:val="clear" w:color="auto" w:fill="FFFFFF"/>
              </w:rPr>
            </w:pPr>
            <w:r>
              <w:rPr>
                <w:shd w:val="clear" w:color="auto" w:fill="FFFFFF"/>
              </w:rPr>
              <w:t>Hela fastigheten planläggs.</w:t>
            </w:r>
          </w:p>
          <w:p>
            <w:pPr>
              <w:rPr>
                <w:shd w:val="clear" w:color="auto" w:fill="FFFFFF"/>
              </w:rPr>
            </w:pPr>
            <w:r>
              <w:rPr>
                <w:shd w:val="clear" w:color="auto" w:fill="FFFFFF"/>
              </w:rPr>
              <w:t>Mark planläggs som kvartersmark för verksamheter.</w:t>
            </w:r>
          </w:p>
        </w:tc>
      </w:tr>
      <w:tr>
        <w:trPr>
          <w:cantSplit/>
        </w:trPr>
        <w:tc>
          <w:tcPr>
            <w:tcW w:w="1696" w:type="dxa"/>
            <w:vMerge w:val="restart"/>
            <w:tcBorders>
              <w:right w:val="single" w:sz="4" w:space="0" w:shadow="0" w:frame="0"/>
            </w:tcBorders>
          </w:tcPr>
          <w:p>
            <w:r>
              <w:t>Vrå 1:137</w:t>
            </w:r>
          </w:p>
          <w:p>
            <w:pPr>
              <w:rPr>
                <w:i w:val="1"/>
                <w:iCs w:val="1"/>
                <w:shd w:val="clear" w:color="auto" w:fill="FFFFFF"/>
              </w:rPr>
            </w:pPr>
            <w:r>
              <w:rPr>
                <w:i w:val="1"/>
                <w:iCs w:val="1"/>
              </w:rPr>
              <w:t>Kommun fastighet.</w:t>
            </w:r>
          </w:p>
        </w:tc>
        <w:tc>
          <w:tcPr>
            <w:tcW w:w="2977" w:type="dxa"/>
            <w:tcBorders>
              <w:top w:val="single" w:sz="4" w:space="0" w:shadow="0" w:frame="0"/>
              <w:left w:val="single" w:sz="4" w:space="0" w:shadow="0" w:frame="0"/>
              <w:bottom w:val="nil"/>
              <w:right w:val="single" w:sz="4" w:space="0" w:shadow="0" w:frame="0"/>
            </w:tcBorders>
          </w:tcPr>
          <w:p>
            <w:pPr>
              <w:rPr>
                <w:shd w:val="clear" w:color="auto" w:fill="FFFFFF"/>
              </w:rPr>
            </w:pPr>
            <w:r>
              <w:rPr>
                <w:shd w:val="clear" w:color="auto" w:fill="FFFFFF"/>
              </w:rPr>
              <w:t>Fastighetsrättsliga åtgärder behöver vidtas.</w:t>
            </w:r>
          </w:p>
        </w:tc>
        <w:tc>
          <w:tcPr>
            <w:tcW w:w="3256" w:type="dxa"/>
            <w:tcBorders>
              <w:top w:val="single" w:sz="4" w:space="0" w:shadow="0" w:frame="0"/>
              <w:left w:val="single" w:sz="4" w:space="0" w:shadow="0" w:frame="0"/>
              <w:bottom w:val="nil"/>
              <w:right w:val="single" w:sz="4" w:space="0" w:shadow="0" w:frame="0"/>
            </w:tcBorders>
          </w:tcPr>
          <w:p>
            <w:pPr>
              <w:rPr>
                <w:shd w:val="clear" w:color="auto" w:fill="FFFFFF"/>
              </w:rPr>
            </w:pPr>
            <w:r>
              <w:rPr>
                <w:shd w:val="clear" w:color="auto" w:fill="FFFFFF"/>
              </w:rPr>
              <w:t xml:space="preserve">Del av fastigheten planläggs. </w:t>
            </w:r>
          </w:p>
        </w:tc>
      </w:tr>
      <w:tr>
        <w:trPr>
          <w:cantSplit/>
        </w:trPr>
        <w:tc>
          <w:tcPr>
            <w:tcW w:w="1696" w:type="dxa"/>
            <w:vMerge w:val="continue"/>
          </w:tcPr>
          <w:p/>
        </w:tc>
        <w:tc>
          <w:tcPr>
            <w:tcW w:w="2977" w:type="dxa"/>
            <w:tcBorders>
              <w:top w:val="nil"/>
              <w:left w:val="single" w:sz="4" w:space="0" w:shadow="0" w:frame="0"/>
              <w:bottom w:val="single" w:sz="4" w:space="0" w:shadow="0" w:frame="0"/>
              <w:right w:val="single" w:sz="4" w:space="0" w:shadow="0" w:frame="0"/>
            </w:tcBorders>
          </w:tcPr>
          <w:p>
            <w:pPr>
              <w:rPr>
                <w:shd w:val="clear" w:color="auto" w:fill="FFFFFF"/>
              </w:rPr>
            </w:pPr>
            <w:r>
              <w:rPr>
                <w:shd w:val="clear" w:color="auto" w:fill="FFFFFF"/>
              </w:rPr>
              <w:t>Kan användas för att överföra mark till.</w:t>
            </w:r>
          </w:p>
        </w:tc>
        <w:tc>
          <w:tcPr>
            <w:tcW w:w="3256" w:type="dxa"/>
            <w:tcBorders>
              <w:top w:val="nil"/>
              <w:left w:val="single" w:sz="4" w:space="0" w:shadow="0" w:frame="0"/>
              <w:bottom w:val="single" w:sz="4" w:space="0" w:shadow="0" w:frame="0"/>
              <w:right w:val="single" w:sz="4" w:space="0" w:shadow="0" w:frame="0"/>
            </w:tcBorders>
          </w:tcPr>
          <w:p>
            <w:pPr>
              <w:rPr>
                <w:shd w:val="clear" w:color="auto" w:fill="FFFFFF"/>
              </w:rPr>
            </w:pPr>
            <w:r>
              <w:rPr>
                <w:shd w:val="clear" w:color="auto" w:fill="FFFFFF"/>
              </w:rPr>
              <w:t>Mark planläggs som allmän plats med kommunalt huvudmannaskap.</w:t>
            </w:r>
          </w:p>
        </w:tc>
      </w:tr>
      <w:tr>
        <w:trPr>
          <w:cantSplit/>
        </w:trPr>
        <w:tc>
          <w:tcPr>
            <w:tcW w:w="1696" w:type="dxa"/>
            <w:tcBorders>
              <w:top w:val="single" w:sz="4" w:space="0" w:shadow="0" w:frame="0"/>
              <w:left w:val="single" w:sz="4" w:space="0" w:shadow="0" w:frame="0"/>
              <w:bottom w:val="nil"/>
              <w:right w:val="single" w:sz="4" w:space="0" w:shadow="0" w:frame="0"/>
            </w:tcBorders>
          </w:tcPr>
          <w:p>
            <w:r>
              <w:t>Gredelby 1:3</w:t>
            </w:r>
          </w:p>
          <w:p>
            <w:pPr>
              <w:rPr>
                <w:shd w:val="clear" w:color="auto" w:fill="FFFFFF"/>
              </w:rPr>
            </w:pPr>
            <w:r>
              <w:rPr>
                <w:i w:val="1"/>
                <w:iCs w:val="1"/>
              </w:rPr>
              <w:t>Kommun fastighet.</w:t>
            </w:r>
          </w:p>
        </w:tc>
        <w:tc>
          <w:tcPr>
            <w:tcW w:w="2977" w:type="dxa"/>
            <w:tcBorders>
              <w:top w:val="single" w:sz="4" w:space="0" w:shadow="0" w:frame="0"/>
              <w:left w:val="single" w:sz="4" w:space="0" w:shadow="0" w:frame="0"/>
              <w:bottom w:val="nil"/>
              <w:right w:val="single" w:sz="4" w:space="0" w:shadow="0" w:frame="0"/>
            </w:tcBorders>
          </w:tcPr>
          <w:p>
            <w:pPr>
              <w:rPr>
                <w:shd w:val="clear" w:color="auto" w:fill="FFFFFF"/>
              </w:rPr>
            </w:pPr>
            <w:r>
              <w:rPr>
                <w:shd w:val="clear" w:color="auto" w:fill="FFFFFF"/>
              </w:rPr>
              <w:t>Fastighetsrättsliga åtgärder behöver vidtas.</w:t>
            </w:r>
          </w:p>
          <w:p>
            <w:pPr>
              <w:rPr>
                <w:shd w:val="clear" w:color="auto" w:fill="FFFFFF"/>
              </w:rPr>
            </w:pPr>
            <w:r>
              <w:rPr>
                <w:shd w:val="clear" w:color="auto" w:fill="FFFFFF"/>
              </w:rPr>
              <w:t xml:space="preserve">Kan användas för att överföra mark till. </w:t>
            </w:r>
          </w:p>
        </w:tc>
        <w:tc>
          <w:tcPr>
            <w:tcW w:w="3256" w:type="dxa"/>
            <w:tcBorders>
              <w:top w:val="single" w:sz="4" w:space="0" w:shadow="0" w:frame="0"/>
              <w:left w:val="single" w:sz="4" w:space="0" w:shadow="0" w:frame="0"/>
              <w:bottom w:val="nil"/>
              <w:right w:val="single" w:sz="4" w:space="0" w:shadow="0" w:frame="0"/>
            </w:tcBorders>
          </w:tcPr>
          <w:p>
            <w:pPr>
              <w:rPr>
                <w:shd w:val="clear" w:color="auto" w:fill="FFFFFF"/>
              </w:rPr>
            </w:pPr>
            <w:r>
              <w:rPr>
                <w:shd w:val="clear" w:color="auto" w:fill="FFFFFF"/>
              </w:rPr>
              <w:t xml:space="preserve">Del av fastigheten planläggs. </w:t>
            </w:r>
          </w:p>
          <w:p>
            <w:pPr>
              <w:rPr>
                <w:shd w:val="clear" w:color="auto" w:fill="FFFFFF"/>
              </w:rPr>
            </w:pPr>
            <w:r>
              <w:rPr>
                <w:shd w:val="clear" w:color="auto" w:fill="FFFFFF"/>
              </w:rPr>
              <w:t>Mark planläggs som allmän plats och som kvartersmark.</w:t>
            </w:r>
          </w:p>
        </w:tc>
      </w:tr>
      <w:tr>
        <w:trPr>
          <w:cantSplit/>
        </w:trPr>
        <w:tc>
          <w:tcPr>
            <w:tcW w:w="1696" w:type="dxa"/>
            <w:tcBorders>
              <w:top w:val="nil"/>
              <w:left w:val="single" w:sz="4" w:space="0" w:shadow="0" w:frame="0"/>
              <w:bottom w:val="nil"/>
              <w:right w:val="single" w:sz="4" w:space="0" w:shadow="0" w:frame="0"/>
            </w:tcBorders>
          </w:tcPr>
          <w:p/>
        </w:tc>
        <w:tc>
          <w:tcPr>
            <w:tcW w:w="2977" w:type="dxa"/>
            <w:tcBorders>
              <w:top w:val="nil"/>
              <w:left w:val="single" w:sz="4" w:space="0" w:shadow="0" w:frame="0"/>
              <w:bottom w:val="nil"/>
              <w:right w:val="single" w:sz="4" w:space="0" w:shadow="0" w:frame="0"/>
            </w:tcBorders>
          </w:tcPr>
          <w:p>
            <w:pPr>
              <w:rPr>
                <w:shd w:val="clear" w:color="auto" w:fill="FFFFFF"/>
              </w:rPr>
            </w:pPr>
            <w:r>
              <w:rPr>
                <w:shd w:val="clear" w:color="auto" w:fill="FFFFFF"/>
              </w:rPr>
              <w:t>Fastighetsreglering kan ske.</w:t>
            </w:r>
          </w:p>
        </w:tc>
        <w:tc>
          <w:tcPr>
            <w:tcW w:w="3256" w:type="dxa"/>
            <w:tcBorders>
              <w:top w:val="nil"/>
              <w:left w:val="single" w:sz="4" w:space="0" w:shadow="0" w:frame="0"/>
              <w:bottom w:val="nil"/>
              <w:right w:val="single" w:sz="4" w:space="0" w:shadow="0" w:frame="0"/>
            </w:tcBorders>
          </w:tcPr>
          <w:p>
            <w:pPr>
              <w:rPr>
                <w:shd w:val="clear" w:color="auto" w:fill="FFFFFF"/>
              </w:rPr>
            </w:pPr>
            <w:r>
              <w:rPr>
                <w:shd w:val="clear" w:color="auto" w:fill="FFFFFF"/>
              </w:rPr>
              <w:t>Mark planläggs som allmän plats med kommunalt huvudmannaskap.</w:t>
            </w:r>
          </w:p>
        </w:tc>
      </w:tr>
      <w:tr>
        <w:trPr>
          <w:cantSplit/>
        </w:trPr>
        <w:tc>
          <w:tcPr>
            <w:tcW w:w="1696" w:type="dxa"/>
            <w:tcBorders>
              <w:top w:val="nil"/>
              <w:left w:val="single" w:sz="4" w:space="0" w:shadow="0" w:frame="0"/>
              <w:bottom w:val="single" w:sz="4" w:space="0" w:shadow="0" w:frame="0"/>
              <w:right w:val="single" w:sz="4" w:space="0" w:shadow="0" w:frame="0"/>
            </w:tcBorders>
          </w:tcPr>
          <w:p/>
        </w:tc>
        <w:tc>
          <w:tcPr>
            <w:tcW w:w="2977" w:type="dxa"/>
            <w:tcBorders>
              <w:top w:val="nil"/>
              <w:left w:val="single" w:sz="4" w:space="0" w:shadow="0" w:frame="0"/>
              <w:bottom w:val="single" w:sz="4" w:space="0" w:shadow="0" w:frame="0"/>
              <w:right w:val="single" w:sz="4" w:space="0" w:shadow="0" w:frame="0"/>
            </w:tcBorders>
          </w:tcPr>
          <w:p>
            <w:pPr>
              <w:rPr>
                <w:shd w:val="clear" w:color="auto" w:fill="FFFFFF"/>
              </w:rPr>
            </w:pPr>
            <w:r>
              <w:rPr>
                <w:shd w:val="clear" w:color="auto" w:fill="FFFFFF"/>
              </w:rPr>
              <w:t>Kan styckas av eller regleras in i annan fastighet.</w:t>
            </w:r>
          </w:p>
        </w:tc>
        <w:tc>
          <w:tcPr>
            <w:tcW w:w="3256" w:type="dxa"/>
            <w:tcBorders>
              <w:top w:val="nil"/>
              <w:left w:val="single" w:sz="4" w:space="0" w:shadow="0" w:frame="0"/>
              <w:bottom w:val="single" w:sz="4" w:space="0" w:shadow="0" w:frame="0"/>
              <w:right w:val="single" w:sz="4" w:space="0" w:shadow="0" w:frame="0"/>
            </w:tcBorders>
          </w:tcPr>
          <w:p>
            <w:pPr>
              <w:rPr>
                <w:shd w:val="clear" w:color="auto" w:fill="FFFFFF"/>
              </w:rPr>
            </w:pPr>
            <w:r>
              <w:rPr>
                <w:shd w:val="clear" w:color="auto" w:fill="FFFFFF"/>
              </w:rPr>
              <w:t>Mark planläggs som kvartersmark för verksamheter.</w:t>
            </w:r>
          </w:p>
        </w:tc>
      </w:tr>
      <w:tr>
        <w:trPr>
          <w:cantSplit/>
        </w:trPr>
        <w:tc>
          <w:tcPr>
            <w:tcW w:w="1696" w:type="dxa"/>
            <w:tcBorders>
              <w:top w:val="single" w:sz="4" w:space="0" w:shadow="0" w:frame="0"/>
            </w:tcBorders>
          </w:tcPr>
          <w:p>
            <w:r>
              <w:t xml:space="preserve">Gredelby 1:157 </w:t>
            </w:r>
          </w:p>
          <w:p>
            <w:pPr>
              <w:rPr>
                <w:i w:val="1"/>
                <w:iCs w:val="1"/>
              </w:rPr>
            </w:pPr>
            <w:r>
              <w:rPr>
                <w:i w:val="1"/>
                <w:iCs w:val="1"/>
              </w:rPr>
              <w:t>Kommun fastighet.</w:t>
            </w:r>
          </w:p>
          <w:p>
            <w:pPr>
              <w:rPr>
                <w:shd w:val="clear" w:color="auto" w:fill="FFFFFF"/>
              </w:rPr>
            </w:pPr>
          </w:p>
        </w:tc>
        <w:tc>
          <w:tcPr>
            <w:tcW w:w="2977" w:type="dxa"/>
            <w:tcBorders>
              <w:top w:val="single" w:sz="4" w:space="0" w:shadow="0" w:frame="0"/>
            </w:tcBorders>
          </w:tcPr>
          <w:p>
            <w:pPr>
              <w:rPr>
                <w:shd w:val="clear" w:color="auto" w:fill="FFFFFF"/>
              </w:rPr>
            </w:pPr>
            <w:r>
              <w:rPr>
                <w:shd w:val="clear" w:color="auto" w:fill="FFFFFF"/>
              </w:rPr>
              <w:t>Inga fastighetsrättsliga åtgärder behöver vidtas.</w:t>
            </w:r>
          </w:p>
          <w:p>
            <w:pPr>
              <w:rPr>
                <w:shd w:val="clear" w:color="auto" w:fill="FFFFFF"/>
              </w:rPr>
            </w:pPr>
          </w:p>
        </w:tc>
        <w:tc>
          <w:tcPr>
            <w:tcW w:w="3256" w:type="dxa"/>
            <w:tcBorders>
              <w:top w:val="single" w:sz="4" w:space="0" w:shadow="0" w:frame="0"/>
            </w:tcBorders>
          </w:tcPr>
          <w:p>
            <w:pPr>
              <w:rPr>
                <w:shd w:val="clear" w:color="auto" w:fill="FFFFFF"/>
              </w:rPr>
            </w:pPr>
            <w:r>
              <w:rPr>
                <w:shd w:val="clear" w:color="auto" w:fill="FFFFFF"/>
              </w:rPr>
              <w:t>Del av fastigheten planläggs.</w:t>
            </w:r>
          </w:p>
          <w:p>
            <w:pPr>
              <w:rPr>
                <w:shd w:val="clear" w:color="auto" w:fill="FFFFFF"/>
              </w:rPr>
            </w:pPr>
            <w:r>
              <w:rPr>
                <w:shd w:val="clear" w:color="auto" w:fill="FFFFFF"/>
              </w:rPr>
              <w:t>Mark planläggs som kvartersmark för verksamheter.</w:t>
            </w:r>
          </w:p>
        </w:tc>
      </w:tr>
      <w:tr>
        <w:trPr>
          <w:cantSplit/>
        </w:trPr>
        <w:tc>
          <w:tcPr>
            <w:tcW w:w="1696" w:type="dxa"/>
          </w:tcPr>
          <w:p>
            <w:r>
              <w:t>Gredelby 1:158</w:t>
            </w:r>
          </w:p>
          <w:p>
            <w:pPr>
              <w:rPr>
                <w:shd w:val="clear" w:color="auto" w:fill="FFFFFF"/>
              </w:rPr>
            </w:pPr>
            <w:r>
              <w:rPr>
                <w:i w:val="1"/>
                <w:iCs w:val="1"/>
              </w:rPr>
              <w:t>Kommun fastighet.</w:t>
            </w:r>
          </w:p>
        </w:tc>
        <w:tc>
          <w:tcPr>
            <w:tcW w:w="2977" w:type="dxa"/>
          </w:tcPr>
          <w:p>
            <w:pPr>
              <w:rPr>
                <w:shd w:val="clear" w:color="auto" w:fill="FFFFFF"/>
              </w:rPr>
            </w:pPr>
            <w:r>
              <w:rPr>
                <w:shd w:val="clear" w:color="auto" w:fill="FFFFFF"/>
              </w:rPr>
              <w:t>Inga fastighetsrättsliga åtgärder behöver vidtas.</w:t>
            </w:r>
          </w:p>
          <w:p>
            <w:pPr>
              <w:rPr>
                <w:shd w:val="clear" w:color="auto" w:fill="FFFFFF"/>
              </w:rPr>
            </w:pPr>
          </w:p>
        </w:tc>
        <w:tc>
          <w:tcPr>
            <w:tcW w:w="3256" w:type="dxa"/>
          </w:tcPr>
          <w:p>
            <w:pPr>
              <w:rPr>
                <w:shd w:val="clear" w:color="auto" w:fill="FFFFFF"/>
              </w:rPr>
            </w:pPr>
            <w:r>
              <w:rPr>
                <w:shd w:val="clear" w:color="auto" w:fill="FFFFFF"/>
              </w:rPr>
              <w:t>Del av fastigheten planläggs.</w:t>
            </w:r>
          </w:p>
          <w:p>
            <w:pPr>
              <w:rPr>
                <w:shd w:val="clear" w:color="auto" w:fill="FFFFFF"/>
              </w:rPr>
            </w:pPr>
            <w:r>
              <w:rPr>
                <w:shd w:val="clear" w:color="auto" w:fill="FFFFFF"/>
              </w:rPr>
              <w:t>Mark planläggs som kvartersmark för verksamheter.</w:t>
            </w:r>
          </w:p>
        </w:tc>
      </w:tr>
    </w:tbl>
    <w:p>
      <w:pPr>
        <w:rPr>
          <w:shd w:val="clear" w:color="auto" w:fill="FFFFFF"/>
        </w:rPr>
      </w:pPr>
      <w:bookmarkStart w:id="276" w:name="_Toc89446148"/>
      <w:bookmarkStart w:id="277" w:name="_Toc132874048"/>
      <w:bookmarkStart w:id="278" w:name="_Toc153284687"/>
      <w:bookmarkStart w:id="279" w:name="_Toc90561306"/>
    </w:p>
    <w:p>
      <w:pPr>
        <w:pStyle w:val="P2"/>
        <w:rPr>
          <w:rFonts w:eastAsia="Arial"/>
          <w:color w:val="000000" w:themeColor="text1"/>
          <w:lang w:eastAsia="sv-SE"/>
        </w:rPr>
      </w:pPr>
      <w:bookmarkEnd w:id="276"/>
      <w:bookmarkEnd w:id="277"/>
      <w:bookmarkEnd w:id="278"/>
      <w:bookmarkEnd w:id="279"/>
      <w:bookmarkStart w:id="280" w:name="_Toc187410614"/>
      <w:bookmarkStart w:id="281" w:name="_Toc92588268"/>
      <w:bookmarkStart w:id="282" w:name="gf_tekniskafrågor01"/>
      <w:r>
        <w:rPr>
          <w:rFonts w:eastAsia="Arial"/>
          <w:color w:val="000000" w:themeColor="text1"/>
          <w:lang w:eastAsia="sv-SE"/>
        </w:rPr>
        <w:t>Tekniska frågor</w:t>
      </w:r>
      <w:bookmarkEnd w:id="280"/>
      <w:bookmarkEnd w:id="281"/>
    </w:p>
    <w:p>
      <w:pPr>
        <w:rPr>
          <w:shd w:val="clear" w:color="auto" w:fill="FFFFFF"/>
        </w:rPr>
      </w:pPr>
      <w:r>
        <w:rPr>
          <w:shd w:val="clear" w:color="auto" w:fill="FFFFFF"/>
        </w:rPr>
        <w:t xml:space="preserve">Anordnande av hushållsnära avfallshantering ska ske inom kvartersmarken av fastighetsägare. Plats och metod för hämtning av avfall bestäms i samråd med kommunens avfallsenhet. </w:t>
      </w:r>
    </w:p>
    <w:p>
      <w:pPr>
        <w:rPr>
          <w:shd w:val="clear" w:color="auto" w:fill="FFFFFF"/>
        </w:rPr>
      </w:pPr>
      <w:r>
        <w:rPr>
          <w:shd w:val="clear" w:color="auto" w:fill="FFFFFF"/>
        </w:rPr>
        <w:t xml:space="preserve">Knivstavatten </w:t>
      </w:r>
      <w:r>
        <w:t>AB</w:t>
      </w:r>
      <w:r>
        <w:rPr>
          <w:shd w:val="clear" w:color="auto" w:fill="FFFFFF"/>
        </w:rPr>
        <w:t xml:space="preserve"> ansvarar för utbyggnad av brandposter. Behovet av detta studeras fortsatt i projektering av allmänna anläggningar.</w:t>
      </w:r>
    </w:p>
    <w:p>
      <w:pPr>
        <w:rPr>
          <w:shd w:val="clear" w:color="auto" w:fill="FFFFFF"/>
        </w:rPr>
      </w:pPr>
      <w:r>
        <w:rPr>
          <w:shd w:val="clear" w:color="auto" w:fill="FFFFFF"/>
        </w:rPr>
        <w:t xml:space="preserve">Nya in- och utfarter utmed fastighetsgränsen, mot omkringliggande gator som kan påverkas av den kommande byggnationen studeras vidare i projekteringen av allmänna anläggningar och regleras i exploateringsavtal. </w:t>
      </w:r>
    </w:p>
    <w:p>
      <w:pPr>
        <w:rPr>
          <w:shd w:val="clear" w:color="auto" w:fill="FFFFFF"/>
        </w:rPr>
      </w:pPr>
      <w:r>
        <w:rPr>
          <w:shd w:val="clear" w:color="auto" w:fill="FFFFFF"/>
        </w:rPr>
        <w:t>Plats och metod för post bestäms i samråd med Postnord.</w:t>
      </w:r>
    </w:p>
    <w:p>
      <w:pPr>
        <w:rPr>
          <w:shd w:val="clear" w:color="auto" w:fill="FFFFFF"/>
        </w:rPr>
      </w:pPr>
      <w:r>
        <w:rPr>
          <w:shd w:val="clear" w:color="auto" w:fill="FFFFFF"/>
        </w:rPr>
        <w:t>Skyddsåtgärder för skyddsvärda träd kommer studeras och säkerställas i fortsatt projektering av allmän plats och kvartersmark.</w:t>
      </w:r>
      <w:bookmarkEnd w:id="282"/>
    </w:p>
    <w:p>
      <w:pPr>
        <w:pStyle w:val="P3"/>
        <w:rPr>
          <w:rFonts w:eastAsia="Arial"/>
          <w:color w:val="000000" w:themeColor="text1"/>
        </w:rPr>
      </w:pPr>
      <w:bookmarkStart w:id="283" w:name="_Toc89446150"/>
      <w:bookmarkStart w:id="284" w:name="_Toc90561308"/>
      <w:bookmarkStart w:id="285" w:name="gf_utbyggnadallmänplats01"/>
      <w:r>
        <w:rPr>
          <w:rFonts w:eastAsia="Arial"/>
          <w:color w:val="000000" w:themeColor="text1"/>
        </w:rPr>
        <w:t>Utbyggnad allmän plats</w:t>
      </w:r>
      <w:bookmarkEnd w:id="283"/>
      <w:bookmarkEnd w:id="284"/>
    </w:p>
    <w:p>
      <w:pPr>
        <w:rPr>
          <w:shd w:val="clear" w:color="auto" w:fill="FFFFFF"/>
        </w:rPr>
      </w:pPr>
      <w:r>
        <w:rPr>
          <w:shd w:val="clear" w:color="auto" w:fill="FFFFFF"/>
        </w:rPr>
        <w:t xml:space="preserve">Kommunen ansvarar för projektering, upphandling, projekt-/byggledning, anläggande samt anpassning, anslutning och återställning av allmän plats med kommunalt huvudmannaskap. </w:t>
      </w:r>
    </w:p>
    <w:p>
      <w:pPr>
        <w:rPr>
          <w:shd w:val="clear" w:color="auto" w:fill="FFFFFF"/>
        </w:rPr>
      </w:pPr>
      <w:r>
        <w:rPr>
          <w:shd w:val="clear" w:color="auto" w:fill="FFFFFF"/>
        </w:rPr>
        <w:t xml:space="preserve">Kommunen ansvarar för utbyggnad av gator, gång- och cykelvägar i området. </w:t>
      </w:r>
    </w:p>
    <w:p>
      <w:pPr>
        <w:rPr>
          <w:shd w:val="clear" w:color="auto" w:fill="FFFFFF"/>
        </w:rPr>
      </w:pPr>
      <w:r>
        <w:rPr>
          <w:shd w:val="clear" w:color="auto" w:fill="FFFFFF"/>
        </w:rPr>
        <w:t xml:space="preserve">Det finns två områden markerade som PARK i planhandlingen. Inom det ena området ska massor läggas upp för att delvis höja marken för att anordna en allmän pulkabacke med tillhörande åtgärder så som grillplats. Inom det andra området finns idag en befintlig lekplats som ska rustas upp och genom planläggandet får en bestämd och större yta. Kommunen ansvarar för anläggandet av dessa områden. </w:t>
      </w:r>
    </w:p>
    <w:p>
      <w:pPr>
        <w:rPr>
          <w:shd w:val="clear" w:color="auto" w:fill="FFFFFF"/>
        </w:rPr>
      </w:pPr>
      <w:r>
        <w:rPr>
          <w:shd w:val="clear" w:color="auto" w:fill="FFFFFF"/>
        </w:rPr>
        <w:t>Mark som planeras som NATUR kommer att innehålla hantering av dagvatten i dagvattendammar och cykelbanor. Dessa platser kommer att iordningsställas och anläggas inom exploateringsområdet. Röjning vid stigar kommer att ske i samband med exploatering. Ansvarsfördelning av dessa områden hanteras i exploateringsavtal.</w:t>
      </w:r>
    </w:p>
    <w:p>
      <w:pPr>
        <w:pStyle w:val="P3"/>
        <w:rPr>
          <w:rFonts w:eastAsia="Arial"/>
          <w:color w:val="000000" w:themeColor="text1"/>
        </w:rPr>
      </w:pPr>
      <w:bookmarkEnd w:id="285"/>
      <w:bookmarkStart w:id="286" w:name="_Toc89446151"/>
      <w:bookmarkStart w:id="287" w:name="_Toc90561309"/>
      <w:bookmarkStart w:id="288" w:name="gf_utbyggnadvattenochavlopp01"/>
      <w:bookmarkStart w:id="289" w:name="_Hlk192600657"/>
      <w:r>
        <w:rPr>
          <w:rFonts w:eastAsia="Arial"/>
          <w:color w:val="000000" w:themeColor="text1"/>
        </w:rPr>
        <w:t xml:space="preserve">Utbyggnad </w:t>
      </w:r>
      <w:bookmarkEnd w:id="286"/>
      <w:bookmarkEnd w:id="287"/>
      <w:r>
        <w:rPr>
          <w:rFonts w:eastAsia="Arial"/>
          <w:color w:val="000000" w:themeColor="text1"/>
        </w:rPr>
        <w:t xml:space="preserve">av vatten- och avlopp </w:t>
      </w:r>
    </w:p>
    <w:p>
      <w:pPr>
        <w:rPr>
          <w:lang w:eastAsia="sv-SE"/>
        </w:rPr>
      </w:pPr>
      <w:r>
        <w:rPr>
          <w:lang w:eastAsia="sv-SE"/>
        </w:rPr>
        <w:t xml:space="preserve">Området kommer att ingå i det kommunala verksamhetsområdet för vatten- och spillvatten. </w:t>
      </w:r>
    </w:p>
    <w:p>
      <w:pPr>
        <w:rPr>
          <w:lang w:eastAsia="sv-SE"/>
        </w:rPr>
      </w:pPr>
      <w:r>
        <w:rPr>
          <w:lang w:eastAsia="sv-SE"/>
        </w:rPr>
        <w:t>Roslagsvatten AB:s dotterbolag Knivstavatten AB är kommunens VA-huvudman och ansvarar för utbyggnad samt drift och underhåll av det allmänna vatten-, dagvatten- och spillvattensystemet. Benämns i skriften som Knivstavatten AB.</w:t>
      </w:r>
    </w:p>
    <w:p>
      <w:pPr>
        <w:rPr>
          <w:lang w:eastAsia="sv-SE"/>
        </w:rPr>
      </w:pPr>
      <w:r>
        <w:rPr>
          <w:lang w:eastAsia="sv-SE"/>
        </w:rPr>
        <w:t xml:space="preserve">Genom att Knivsta ansluts till Käppalaverket för rening av spillvatten möjliggörs utbyggnaden i området. Utbyggnad av överföringsledningen till Käppala kommer pågå 2026–2028. Området kommer anslutas succesivt utefter det byggs ut och hela Knivstas ledningssystem förväntas kunna anslutas i sin helhet från år 2028. </w:t>
      </w:r>
    </w:p>
    <w:p>
      <w:pPr>
        <w:rPr>
          <w:lang w:eastAsia="sv-SE"/>
        </w:rPr>
      </w:pPr>
      <w:r>
        <w:rPr>
          <w:lang w:eastAsia="sv-SE"/>
        </w:rPr>
        <w:t>Knivstavatten AB anvisar anslutningspunkter. Inom kvartersmarken ansvarar respektive fastighetsägare för utbyggnad av vatten, spill- och dagvattenledningar vilka ska ansluta till det kommunala ledningsnätet i anvisad anslutningspunkt.</w:t>
      </w:r>
    </w:p>
    <w:p>
      <w:pPr>
        <w:rPr>
          <w:lang w:eastAsia="sv-SE"/>
        </w:rPr>
      </w:pPr>
      <w:r>
        <w:rPr>
          <w:lang w:eastAsia="sv-SE"/>
        </w:rPr>
        <w:t>Separat exploateringsavtal tecknas mellan Knivstavatten och exploatören.</w:t>
      </w:r>
    </w:p>
    <w:p>
      <w:pPr>
        <w:pStyle w:val="P3"/>
        <w:rPr>
          <w:color w:val="000000" w:themeColor="text1"/>
        </w:rPr>
      </w:pPr>
      <w:bookmarkEnd w:id="288"/>
      <w:bookmarkStart w:id="290" w:name="gf_dagvatten01"/>
      <w:r>
        <w:rPr>
          <w:rFonts w:eastAsia="Arial"/>
          <w:color w:val="000000" w:themeColor="text1"/>
        </w:rPr>
        <w:t>Dagvatten</w:t>
      </w:r>
    </w:p>
    <w:p>
      <w:pPr>
        <w:rPr>
          <w:lang w:eastAsia="sv-SE"/>
        </w:rPr>
      </w:pPr>
      <w:r>
        <w:rPr>
          <w:lang w:eastAsia="sv-SE"/>
        </w:rPr>
        <w:t>Området kommer att ingå i det kommunala verksamhetsområdet för dagvatten. Områdets dagvatten hanteras genom fördröjning och bortledning dels genom dagvattendammar och öppna diken, dels genom ingåendet i markavvattnings-företaget Sättra-Brännkärr-Träfallet dikningsföretag år 1955 för att sedan ledas vidare till Valloxen.</w:t>
      </w:r>
    </w:p>
    <w:p>
      <w:pPr>
        <w:rPr>
          <w:lang w:eastAsia="sv-SE"/>
        </w:rPr>
      </w:pPr>
      <w:r>
        <w:rPr>
          <w:lang w:eastAsia="sv-SE"/>
        </w:rPr>
        <w:t xml:space="preserve">En ny dagvattenstrategi är under framtagande för Knivsta kommun. I strategin kommer en generell ansvarsfördelning för dagvattenanläggningar inkluderas.   Därutöver kommer ett exploateringsavtal att tecknas mellan Knivstavatten och Knivsta kommun. </w:t>
      </w:r>
    </w:p>
    <w:p>
      <w:pPr>
        <w:pStyle w:val="P6"/>
        <w:rPr>
          <w:lang w:eastAsia="sv-SE"/>
        </w:rPr>
      </w:pPr>
      <w:r>
        <w:rPr>
          <w:lang w:eastAsia="sv-SE"/>
        </w:rPr>
        <w:t>Dagvattendammar</w:t>
      </w:r>
    </w:p>
    <w:p>
      <w:pPr>
        <w:rPr>
          <w:lang w:eastAsia="sv-SE"/>
        </w:rPr>
      </w:pPr>
      <w:r>
        <w:rPr>
          <w:lang w:eastAsia="sv-SE"/>
        </w:rPr>
        <w:t>Dagvattendammar anläggs inom allmän platsmark, NATUR. Knivstavatten AB ansvarar för utbyggnad samt drift och underhåll av det allmänna dagvattensystemet.</w:t>
      </w:r>
    </w:p>
    <w:p>
      <w:pPr>
        <w:rPr>
          <w:lang w:eastAsia="sv-SE"/>
        </w:rPr>
      </w:pPr>
      <w:r>
        <w:rPr>
          <w:lang w:eastAsia="sv-SE"/>
        </w:rPr>
        <w:t>Kommunen sköter och ansvarar för intilliggande anläggningar eller gräsyta som inte ingår i dammens rening eller funktion och som ska skötas av VA-huvudmannen. Detaljer kring detta regleras i exploateringsavtal mellan parterna.</w:t>
      </w:r>
    </w:p>
    <w:p>
      <w:pPr>
        <w:pStyle w:val="P6"/>
        <w:rPr>
          <w:lang w:eastAsia="sv-SE"/>
        </w:rPr>
      </w:pPr>
      <w:r>
        <w:rPr>
          <w:lang w:eastAsia="sv-SE"/>
        </w:rPr>
        <w:t>Markavvattningsföretag</w:t>
      </w:r>
    </w:p>
    <w:p>
      <w:pPr>
        <w:rPr>
          <w:lang w:eastAsia="sv-SE"/>
        </w:rPr>
      </w:pPr>
      <w:r>
        <w:t>Dagvatten kommer att ledas bort via markavvattningsföretaget Sättra-Brännkärr-Träfallet dikningsföretag år 1955. Framtagande av en kostnadsfördelning för framtida drift och underhåll samfällighetsföreningen pågår parallellt med planarbetet.</w:t>
      </w:r>
    </w:p>
    <w:p>
      <w:pPr>
        <w:pStyle w:val="P3"/>
        <w:rPr>
          <w:rFonts w:eastAsia="Arial"/>
          <w:color w:val="000000" w:themeColor="text1"/>
        </w:rPr>
      </w:pPr>
      <w:bookmarkEnd w:id="289"/>
      <w:bookmarkEnd w:id="290"/>
      <w:bookmarkStart w:id="291" w:name="gf_elförsörjningochfibernät01"/>
      <w:r>
        <w:rPr>
          <w:rFonts w:eastAsia="Arial"/>
          <w:color w:val="000000" w:themeColor="text1"/>
        </w:rPr>
        <w:t>Elförsörjning och fibernät</w:t>
      </w:r>
    </w:p>
    <w:p>
      <w:r>
        <w:t>Vattenfall eldistribution AB är huvudman för elnätet och lämplig anslutningspunkt för den nya bebyggelsen anvisas av nätägaren. Nätägaren ansvarar för att nödvändiga ledningsrätter, servitut med mera säkerställs.</w:t>
      </w:r>
      <w:r>
        <w:br w:type="textWrapping"/>
      </w:r>
      <w:r>
        <w:rPr>
          <w:shd w:val="clear" w:color="auto" w:fill="FFFFFF"/>
        </w:rPr>
        <w:t>Yta för transformatorstationer finns inom planen.</w:t>
      </w:r>
    </w:p>
    <w:p>
      <w:r>
        <w:rPr>
          <w:shd w:val="clear" w:color="auto" w:fill="FFFFFF"/>
        </w:rPr>
        <w:t>Området kan komma ansluta sig till fibernät. L</w:t>
      </w:r>
      <w:r>
        <w:t>ämplig anslutningspunkt anvisas av nätägaren som också ansvarar för att nödvändiga ledningsrätter, servitut med mera säkerställs.</w:t>
      </w:r>
    </w:p>
    <w:p>
      <w:r>
        <w:t>Eventuell flyttning/ombyggnad/rivning/deponering eller andra ändringar av befintliga ledningsnät bekostas av exploatören.</w:t>
      </w:r>
    </w:p>
    <w:p>
      <w:pPr>
        <w:pStyle w:val="P3"/>
        <w:rPr>
          <w:rFonts w:eastAsia="Arial"/>
          <w:color w:val="000000" w:themeColor="text1"/>
        </w:rPr>
      </w:pPr>
      <w:bookmarkEnd w:id="291"/>
      <w:bookmarkStart w:id="292" w:name="gf_fjärrvärme01"/>
      <w:r>
        <w:rPr>
          <w:rFonts w:eastAsia="Arial"/>
          <w:color w:val="000000" w:themeColor="text1"/>
        </w:rPr>
        <w:t>Fjärrvärme</w:t>
      </w:r>
    </w:p>
    <w:p>
      <w:pPr>
        <w:rPr>
          <w:shd w:val="clear" w:color="auto" w:fill="FFFFFF"/>
        </w:rPr>
      </w:pPr>
      <w:r>
        <w:rPr>
          <w:shd w:val="clear" w:color="auto" w:fill="FFFFFF"/>
        </w:rPr>
        <w:t xml:space="preserve">Vattenfall AB HEAT är fjärrvärmeleverantör i Knivsta och området kan anslutas till nätet. Anslutningspunkt anvisas av nätägaren </w:t>
      </w:r>
      <w:r>
        <w:t>som också ansvarar för att nödvändiga ledningsrätter, servitut med mera säkerställs</w:t>
      </w:r>
      <w:r>
        <w:rPr>
          <w:shd w:val="clear" w:color="auto" w:fill="FFFFFF"/>
        </w:rPr>
        <w:t>.</w:t>
      </w:r>
    </w:p>
    <w:p>
      <w:r>
        <w:t>Eventuell flyttning/ombyggnad/rivning/deponering eller andra ändringar av befintliga fjärrvärmeledningar bekostas av exploatören.</w:t>
      </w:r>
    </w:p>
    <w:p>
      <w:pPr>
        <w:pStyle w:val="P3"/>
        <w:rPr>
          <w:rFonts w:eastAsia="Arial"/>
          <w:color w:val="000000" w:themeColor="text1"/>
        </w:rPr>
      </w:pPr>
      <w:bookmarkEnd w:id="292"/>
      <w:bookmarkStart w:id="293" w:name="gf_kvartersmark01"/>
      <w:r>
        <w:rPr>
          <w:rFonts w:eastAsia="Arial"/>
          <w:color w:val="000000" w:themeColor="text1"/>
        </w:rPr>
        <w:t>Kvartersmark</w:t>
      </w:r>
    </w:p>
    <w:p>
      <w:r>
        <w:t xml:space="preserve">För utbyggnad på kvartersmark ansvarar respektive fastighetsägare. Fastighetsägare ansvarar för utbyggnad, drift och underhåll av dagvattensystemet samt vatten- och spillvattensystem inom kvartersmarken. </w:t>
      </w:r>
    </w:p>
    <w:p>
      <w:r>
        <w:t>Fastighetsägare ansvarar för att vidta nödvändiga åtgärder inom kvartersmark. Så som för buller, brand, radon, lokalt omhändertagande av dagvatten.</w:t>
      </w:r>
    </w:p>
    <w:p>
      <w:r>
        <w:t>Fastighetsägare ansvarar för att följa föreskrifter och skydda mark av särskilt värdefull karaktär inom kvartersmark och som har markerats på plankartan. Fastighetsägare får inte göra ingrepp på intilliggande allmän plats.</w:t>
      </w:r>
    </w:p>
    <w:p>
      <w:pPr>
        <w:pStyle w:val="P2"/>
        <w:rPr>
          <w:rFonts w:eastAsia="Arial"/>
          <w:color w:val="000000" w:themeColor="text1"/>
          <w:lang w:eastAsia="sv-SE"/>
        </w:rPr>
      </w:pPr>
      <w:bookmarkEnd w:id="293"/>
      <w:bookmarkStart w:id="294" w:name="_Toc89446152"/>
      <w:bookmarkStart w:id="295" w:name="_Toc187410615"/>
      <w:bookmarkStart w:id="296" w:name="_Toc132874049"/>
      <w:bookmarkStart w:id="297" w:name="_Toc71768824"/>
      <w:bookmarkStart w:id="298" w:name="_Toc90561310"/>
      <w:bookmarkStart w:id="299" w:name="_Toc153284688"/>
      <w:r>
        <w:rPr>
          <w:rFonts w:eastAsia="Arial"/>
          <w:color w:val="000000" w:themeColor="text1"/>
          <w:lang w:eastAsia="sv-SE"/>
        </w:rPr>
        <w:t>Ekonomiska frågor</w:t>
      </w:r>
      <w:bookmarkEnd w:id="294"/>
      <w:bookmarkEnd w:id="295"/>
      <w:bookmarkEnd w:id="296"/>
      <w:bookmarkEnd w:id="297"/>
      <w:bookmarkEnd w:id="298"/>
      <w:bookmarkEnd w:id="299"/>
    </w:p>
    <w:p>
      <w:pPr>
        <w:pStyle w:val="P3"/>
        <w:rPr>
          <w:rFonts w:eastAsia="Arial"/>
          <w:color w:val="000000" w:themeColor="text1"/>
        </w:rPr>
      </w:pPr>
      <w:bookmarkStart w:id="300" w:name="_Toc89446153"/>
      <w:bookmarkStart w:id="301" w:name="_Toc90561311"/>
      <w:bookmarkStart w:id="302" w:name="gf_planekonomiskbedömning01"/>
      <w:r>
        <w:rPr>
          <w:color w:val="000000" w:themeColor="text1"/>
        </w:rPr>
        <w:t>Planekonomisk</w:t>
      </w:r>
      <w:r>
        <w:rPr>
          <w:rFonts w:eastAsia="Arial"/>
          <w:color w:val="000000" w:themeColor="text1"/>
        </w:rPr>
        <w:t xml:space="preserve"> bedömning</w:t>
      </w:r>
      <w:bookmarkEnd w:id="300"/>
      <w:bookmarkEnd w:id="301"/>
      <w:bookmarkEnd w:id="302"/>
      <w:bookmarkStart w:id="303" w:name="_Toc89446154"/>
      <w:bookmarkStart w:id="304" w:name="_Toc90561312"/>
    </w:p>
    <w:p>
      <w:pPr>
        <w:pStyle w:val="P3"/>
        <w:rPr>
          <w:rFonts w:eastAsia="Arial"/>
          <w:color w:val="000000" w:themeColor="text1"/>
        </w:rPr>
      </w:pPr>
      <w:bookmarkStart w:id="305" w:name="gf_planavgift01"/>
      <w:r>
        <w:rPr>
          <w:rFonts w:eastAsia="Arial"/>
          <w:color w:val="000000" w:themeColor="text1"/>
        </w:rPr>
        <w:t>Planavgift</w:t>
      </w:r>
      <w:bookmarkEnd w:id="303"/>
      <w:bookmarkEnd w:id="304"/>
    </w:p>
    <w:p>
      <w:r>
        <w:t xml:space="preserve">Detaljplanen bekostas av exploatören utifrån kommunens fastställda taxa och plankostnadsavtal har tecknats med exploatören. </w:t>
      </w:r>
    </w:p>
    <w:p>
      <w:pPr>
        <w:pStyle w:val="P3"/>
        <w:rPr>
          <w:rFonts w:eastAsia="Arial"/>
          <w:color w:val="000000" w:themeColor="text1"/>
        </w:rPr>
      </w:pPr>
      <w:bookmarkEnd w:id="305"/>
      <w:bookmarkStart w:id="306" w:name="_Toc89446155"/>
      <w:bookmarkStart w:id="307" w:name="_Toc90561313"/>
      <w:bookmarkStart w:id="308" w:name="gf_ersättningsanspråk01"/>
      <w:r>
        <w:rPr>
          <w:rFonts w:eastAsia="Arial"/>
          <w:color w:val="000000" w:themeColor="text1"/>
        </w:rPr>
        <w:t>Ersättningsanspråk</w:t>
      </w:r>
      <w:bookmarkEnd w:id="306"/>
      <w:bookmarkEnd w:id="307"/>
    </w:p>
    <w:p>
      <w:r>
        <w:t>Inga kända ersättningsanspråk finns.</w:t>
      </w:r>
    </w:p>
    <w:p>
      <w:pPr>
        <w:pStyle w:val="P3"/>
        <w:rPr>
          <w:rFonts w:eastAsia="Arial"/>
          <w:color w:val="000000" w:themeColor="text1"/>
        </w:rPr>
      </w:pPr>
      <w:bookmarkEnd w:id="308"/>
      <w:bookmarkStart w:id="309" w:name="_Toc89446156"/>
      <w:bookmarkStart w:id="310" w:name="_Toc90561314"/>
      <w:bookmarkStart w:id="311" w:name="gf_inlösen01"/>
      <w:r>
        <w:rPr>
          <w:rFonts w:eastAsia="Arial"/>
          <w:color w:val="000000" w:themeColor="text1"/>
        </w:rPr>
        <w:t>Inlösen</w:t>
      </w:r>
      <w:bookmarkEnd w:id="309"/>
      <w:bookmarkEnd w:id="310"/>
    </w:p>
    <w:p>
      <w:r>
        <w:t>Inlösen är inte aktuellt då allmän plats överlåts enligt exploateringsavtal.</w:t>
      </w:r>
      <w:bookmarkEnd w:id="311"/>
    </w:p>
    <w:p>
      <w:pPr>
        <w:pStyle w:val="P3"/>
        <w:rPr>
          <w:rFonts w:eastAsia="Arial"/>
          <w:color w:val="000000" w:themeColor="text1"/>
        </w:rPr>
      </w:pPr>
      <w:bookmarkStart w:id="312" w:name="gf_gatukostnader01"/>
      <w:r>
        <w:rPr>
          <w:rFonts w:eastAsia="Arial"/>
          <w:color w:val="000000" w:themeColor="text1"/>
        </w:rPr>
        <w:t>Gatukostnader</w:t>
      </w:r>
    </w:p>
    <w:p>
      <w:pPr>
        <w:rPr>
          <w:shd w:val="clear" w:color="auto" w:fill="FFFFFF"/>
        </w:rPr>
      </w:pPr>
      <w:r>
        <w:rPr>
          <w:shd w:val="clear" w:color="auto" w:fill="FFFFFF"/>
        </w:rPr>
        <w:t>Exploatören bekostar utbyggnaden av allmän plats genom erläggande av exploateringsbidrag vilket beskrivs närmare i exploateringsavtal.</w:t>
      </w:r>
    </w:p>
    <w:p>
      <w:pPr>
        <w:pStyle w:val="P3"/>
        <w:rPr>
          <w:rFonts w:eastAsia="Arial"/>
          <w:color w:val="000000" w:themeColor="text1"/>
        </w:rPr>
      </w:pPr>
      <w:bookmarkEnd w:id="312"/>
      <w:bookmarkStart w:id="313" w:name="gf_gemensamhetsanläggningar01"/>
      <w:r>
        <w:rPr>
          <w:rFonts w:eastAsia="Arial"/>
          <w:color w:val="000000" w:themeColor="text1"/>
        </w:rPr>
        <w:t>Samfälligheter och gemensamhetsanläggningar</w:t>
      </w:r>
    </w:p>
    <w:p>
      <w:r>
        <w:t>Områdets dagvatten kommer ledas via markavvattningsföretag och kommer att innebära förändrade andelstal och driftskostnader för medlemmarna och för kommunen och Knivstavatten.</w:t>
      </w:r>
      <w:bookmarkStart w:id="314" w:name="_Toc89446158"/>
      <w:bookmarkStart w:id="315" w:name="_Toc90561316"/>
    </w:p>
    <w:p>
      <w:r>
        <w:t>Samfälligheter och gemensamhetsanläggningar kan komma bildas inom kvartersmark för bostäder. Eventuell anläggningsåtgärd ansöks och bekostas av exploatören.</w:t>
      </w:r>
    </w:p>
    <w:p>
      <w:pPr>
        <w:pStyle w:val="P3"/>
        <w:rPr>
          <w:rFonts w:eastAsia="Arial"/>
          <w:color w:val="000000" w:themeColor="text1"/>
        </w:rPr>
      </w:pPr>
      <w:bookmarkEnd w:id="313"/>
      <w:bookmarkStart w:id="316" w:name="gf_driftallmänplats01"/>
      <w:r>
        <w:rPr>
          <w:rFonts w:eastAsia="Arial"/>
          <w:color w:val="000000" w:themeColor="text1"/>
        </w:rPr>
        <w:t>Drift av allmän plats</w:t>
      </w:r>
      <w:bookmarkEnd w:id="314"/>
      <w:bookmarkEnd w:id="315"/>
    </w:p>
    <w:p>
      <w:pPr>
        <w:rPr>
          <w:shd w:val="clear" w:color="auto" w:fill="FFFFFF"/>
        </w:rPr>
      </w:pPr>
      <w:r>
        <w:rPr>
          <w:shd w:val="clear" w:color="auto" w:fill="FFFFFF"/>
        </w:rPr>
        <w:t>När kommunen övertar allmän plats övergår ansvar och kostnader för drift och underhåll till kommunen.</w:t>
      </w:r>
    </w:p>
    <w:p>
      <w:pPr>
        <w:rPr>
          <w:rFonts w:cstheme="minorBidi"/>
          <w:shd w:val="clear" w:color="auto" w:fill="FFFFFF"/>
        </w:rPr>
      </w:pPr>
      <w:r>
        <w:rPr>
          <w:shd w:val="clear" w:color="auto" w:fill="FFFFFF"/>
        </w:rPr>
        <w:t>Dagvattendammar anläggs inom allmän plats med kommunalt huvudmannaskap genom Va-huvudman.</w:t>
      </w:r>
    </w:p>
    <w:p>
      <w:pPr>
        <w:pStyle w:val="P3"/>
        <w:rPr>
          <w:rFonts w:eastAsia="Arial"/>
          <w:color w:val="000000" w:themeColor="text1"/>
        </w:rPr>
      </w:pPr>
      <w:bookmarkEnd w:id="316"/>
      <w:bookmarkStart w:id="317" w:name="_Toc89446159"/>
      <w:bookmarkStart w:id="318" w:name="_Toc90561317"/>
      <w:bookmarkStart w:id="319" w:name="gf_driftvattenochavlopp01"/>
      <w:r>
        <w:rPr>
          <w:rFonts w:eastAsia="Arial"/>
          <w:color w:val="000000" w:themeColor="text1"/>
        </w:rPr>
        <w:t>Drift av vatten och avlopp</w:t>
      </w:r>
      <w:bookmarkEnd w:id="317"/>
      <w:bookmarkEnd w:id="318"/>
      <w:r>
        <w:rPr>
          <w:rFonts w:eastAsia="Arial"/>
          <w:color w:val="000000" w:themeColor="text1"/>
        </w:rPr>
        <w:t xml:space="preserve"> och dagvattendammar</w:t>
      </w:r>
    </w:p>
    <w:p>
      <w:pPr>
        <w:rPr>
          <w:shd w:val="clear" w:color="auto" w:fill="FFFFFF"/>
        </w:rPr>
      </w:pPr>
      <w:r>
        <w:rPr>
          <w:shd w:val="clear" w:color="auto" w:fill="FFFFFF"/>
        </w:rPr>
        <w:t>Exploatören betalar faktiskt kostnad för utbyggnaden av vatten och avlopp enligt gällande Va-taxa och exploateringsavtal mellan Va-huvudman och</w:t>
      </w:r>
      <w:r>
        <w:t xml:space="preserve"> exploatör. </w:t>
      </w:r>
    </w:p>
    <w:p>
      <w:pPr>
        <w:rPr>
          <w:shd w:val="clear" w:color="auto" w:fill="FFFFFF"/>
        </w:rPr>
      </w:pPr>
      <w:r>
        <w:rPr>
          <w:shd w:val="clear" w:color="auto" w:fill="FFFFFF"/>
        </w:rPr>
        <w:t xml:space="preserve">Exploatören bekostar samtliga åtgärder och utbyggnad för hantering av dagvatten till följd av exploateringen. Dagvattenanläggningarnas kostnader för drift och underhåll fördelas övergripande utifrån funktion/tekniska delar på Knivstavatten AB och markområden som ej är en del av funktionen på kommunen. Detaljer kring detta hanteras i exploateringsavtal mellan kommunen och Knivstavatten AB. </w:t>
      </w:r>
      <w:bookmarkEnd w:id="319"/>
    </w:p>
    <w:p>
      <w:pPr>
        <w:pStyle w:val="P2"/>
        <w:rPr>
          <w:rFonts w:eastAsia="Arial"/>
          <w:color w:val="000000" w:themeColor="text1"/>
          <w:lang w:eastAsia="sv-SE"/>
        </w:rPr>
      </w:pPr>
      <w:bookmarkStart w:id="320" w:name="_Toc89446161"/>
      <w:bookmarkStart w:id="321" w:name="_Toc132874050"/>
      <w:bookmarkStart w:id="322" w:name="_Toc187410616"/>
      <w:bookmarkStart w:id="323" w:name="_Toc711018554"/>
      <w:bookmarkStart w:id="324" w:name="_Toc90561319"/>
      <w:bookmarkStart w:id="325" w:name="_Toc153284689"/>
      <w:bookmarkStart w:id="326" w:name="gf_organisatoriskafrågor01"/>
      <w:r>
        <w:rPr>
          <w:rFonts w:eastAsia="Arial"/>
          <w:color w:val="000000" w:themeColor="text1"/>
          <w:lang w:eastAsia="sv-SE"/>
        </w:rPr>
        <w:t>Organisatoriska frågor</w:t>
      </w:r>
      <w:bookmarkEnd w:id="320"/>
      <w:bookmarkEnd w:id="321"/>
      <w:bookmarkEnd w:id="322"/>
      <w:bookmarkEnd w:id="323"/>
      <w:bookmarkEnd w:id="324"/>
      <w:bookmarkEnd w:id="325"/>
    </w:p>
    <w:p>
      <w:pPr>
        <w:pStyle w:val="P3"/>
        <w:rPr>
          <w:rFonts w:eastAsia="Arial"/>
          <w:color w:val="000000" w:themeColor="text1"/>
        </w:rPr>
      </w:pPr>
      <w:bookmarkEnd w:id="326"/>
      <w:bookmarkStart w:id="327" w:name="_Toc89446162"/>
      <w:bookmarkStart w:id="328" w:name="_Toc90561320"/>
      <w:bookmarkStart w:id="329" w:name="gf_exploateringsavtal01"/>
      <w:r>
        <w:rPr>
          <w:rFonts w:eastAsia="Arial"/>
          <w:color w:val="000000" w:themeColor="text1"/>
        </w:rPr>
        <w:t>Exploateringsavtal</w:t>
      </w:r>
      <w:bookmarkEnd w:id="327"/>
      <w:bookmarkEnd w:id="328"/>
    </w:p>
    <w:p>
      <w:pPr>
        <w:rPr>
          <w:shd w:val="clear" w:color="auto" w:fill="FFFFFF"/>
        </w:rPr>
      </w:pPr>
      <w:r>
        <w:rPr>
          <w:shd w:val="clear" w:color="auto" w:fill="FFFFFF"/>
        </w:rPr>
        <w:t xml:space="preserve">Ett ramavtal har tecknats mellan exploatören och kommunen, vilket utgör ett föravtal till parternas kommande exploateringsavtal. </w:t>
      </w:r>
    </w:p>
    <w:p>
      <w:pPr>
        <w:rPr>
          <w:shd w:val="clear" w:color="auto" w:fill="FFFFFF"/>
        </w:rPr>
      </w:pPr>
      <w:r>
        <w:rPr>
          <w:shd w:val="clear" w:color="auto" w:fill="FFFFFF"/>
        </w:rPr>
        <w:t>Exploateringsavtalet ska beslutas i samband med beslut om antagande av detaljplan. Exploateringsavtalet fastställer kravställningar och reglerar ansvars- och kostnadsfördelning för genomförandet av detaljplanen.</w:t>
      </w:r>
    </w:p>
    <w:p>
      <w:pPr>
        <w:rPr>
          <w:shd w:val="clear" w:color="auto" w:fill="FFFFFF"/>
        </w:rPr>
      </w:pPr>
      <w:r>
        <w:rPr>
          <w:shd w:val="clear" w:color="auto" w:fill="FFFFFF"/>
        </w:rPr>
        <w:t>Exploateringsavtalet ska grunda sig på kommunens gällande riktlinjer för exploateringsavtal och kommer för genomförandet reglera fastighetsrättsliga åtgärder, allmän plats och kvartersmark, andra åtgärder och övriga villkor. Avtale</w:t>
      </w:r>
      <w:r>
        <w:t xml:space="preserve">t klargör förutsättningarna för markexploatering genom att bland annat reglera rättigheter och skyldigheter samt risk-, kostnads- och ansvarsfördelning mellan Parterna för genomförandet av Detaljplanen. </w:t>
      </w:r>
    </w:p>
    <w:p>
      <w:pPr>
        <w:rPr>
          <w:i w:val="1"/>
          <w:iCs w:val="1"/>
          <w:shd w:val="clear" w:color="auto" w:fill="FFFFFF"/>
        </w:rPr>
      </w:pPr>
      <w:r>
        <w:rPr>
          <w:shd w:val="clear" w:color="auto" w:fill="FFFFFF"/>
        </w:rPr>
        <w:t>De allmänna Va-anläggningarna regleras i ett separat exploateringsavtal</w:t>
      </w:r>
      <w:r>
        <w:t xml:space="preserve"> mellan exploatör och Knivstavatten AB.</w:t>
      </w:r>
    </w:p>
    <w:p>
      <w:pPr>
        <w:pStyle w:val="P3"/>
        <w:rPr>
          <w:rFonts w:eastAsia="Arial"/>
          <w:color w:val="000000" w:themeColor="text1"/>
        </w:rPr>
      </w:pPr>
      <w:bookmarkEnd w:id="329"/>
      <w:bookmarkStart w:id="330" w:name="gf_huvudmannaskap01"/>
      <w:r>
        <w:rPr>
          <w:rFonts w:eastAsia="Arial"/>
          <w:color w:val="000000" w:themeColor="text1"/>
        </w:rPr>
        <w:t>Huvudmannaskap</w:t>
      </w:r>
    </w:p>
    <w:p>
      <w:r>
        <w:t xml:space="preserve">Med huvudman för allmän plats menas den som ansvarar för och bekostar drift och underhåll av det område som den allmänna platsen avser. Vad som i detaljplanen är allmän plats framgår av plankartan. </w:t>
      </w:r>
    </w:p>
    <w:p>
      <w:r>
        <w:t>Kommunen är huvudman för allmän plats (GATA, PARK, NATUR).</w:t>
      </w:r>
    </w:p>
    <w:p>
      <w:r>
        <w:t>Va-anläggningar ingår i kommunalt huvudmannaskap och Knivstavatten är Va-huvudman. I detta ingår dagvattendammar på allmän plats.</w:t>
      </w:r>
    </w:p>
    <w:p>
      <w:pPr>
        <w:pStyle w:val="P3"/>
        <w:rPr>
          <w:rFonts w:eastAsia="Arial"/>
          <w:color w:val="000000" w:themeColor="text1"/>
        </w:rPr>
      </w:pPr>
      <w:bookmarkEnd w:id="330"/>
      <w:bookmarkStart w:id="331" w:name="_Toc89446164"/>
      <w:bookmarkStart w:id="332" w:name="_Toc90561322"/>
      <w:bookmarkStart w:id="333" w:name="gf_tidplan01"/>
      <w:r>
        <w:rPr>
          <w:rFonts w:eastAsia="Arial"/>
          <w:color w:val="000000" w:themeColor="text1"/>
        </w:rPr>
        <w:t>Tidplan</w:t>
      </w:r>
      <w:bookmarkEnd w:id="331"/>
      <w:bookmarkEnd w:id="332"/>
    </w:p>
    <w:p>
      <w:r>
        <w:t>Nedan redovisas tidplaner för detaljplanearbetet och genomförande av detaljplanen.</w:t>
      </w:r>
    </w:p>
    <w:p>
      <w:pPr>
        <w:pStyle w:val="P6"/>
        <w:rPr>
          <w:lang w:eastAsia="sv-SE"/>
        </w:rPr>
      </w:pPr>
      <w:r>
        <w:rPr>
          <w:lang w:eastAsia="sv-SE"/>
        </w:rPr>
        <w:t>Planarbete</w:t>
      </w:r>
    </w:p>
    <w:p>
      <w:pPr>
        <w:rPr>
          <w:i w:val="1"/>
          <w:iCs w:val="1"/>
        </w:rPr>
      </w:pPr>
      <w:r>
        <w:t>Samråd:</w:t>
      </w:r>
      <w:r>
        <w:rPr>
          <w:i w:val="1"/>
          <w:iCs w:val="1"/>
        </w:rPr>
        <w:t xml:space="preserve"> </w:t>
      </w:r>
      <w:r>
        <w:tab/>
        <w:tab/>
        <w:t>maj-juni 2025</w:t>
      </w:r>
    </w:p>
    <w:p>
      <w:r>
        <w:t xml:space="preserve">Granskning: </w:t>
        <w:tab/>
        <w:tab/>
        <w:t xml:space="preserve">januari-februari 2026 </w:t>
      </w:r>
    </w:p>
    <w:p>
      <w:r>
        <w:t xml:space="preserve">Antagande: </w:t>
        <w:tab/>
        <w:tab/>
        <w:t>juni 2026</w:t>
      </w:r>
    </w:p>
    <w:p>
      <w:pPr>
        <w:pStyle w:val="P6"/>
        <w:rPr>
          <w:lang w:eastAsia="sv-SE"/>
        </w:rPr>
      </w:pPr>
      <w:r>
        <w:rPr>
          <w:lang w:eastAsia="sv-SE"/>
        </w:rPr>
        <w:t>Genomförande</w:t>
      </w:r>
    </w:p>
    <w:p>
      <w:pPr>
        <w:rPr>
          <w:lang w:eastAsia="sv-SE"/>
        </w:rPr>
      </w:pPr>
      <w:r>
        <w:rPr>
          <w:lang w:eastAsia="sv-SE"/>
        </w:rPr>
        <w:t>Genomförandet regleras i detalj i två olika exploateringsavtal mellan kommunen och exploatören samt mellan Knivstavatten och exploatören.</w:t>
      </w:r>
    </w:p>
    <w:p>
      <w:pPr>
        <w:rPr>
          <w:lang w:eastAsia="sv-SE"/>
        </w:rPr>
      </w:pPr>
      <w:r>
        <w:rPr>
          <w:lang w:eastAsia="sv-SE"/>
        </w:rPr>
        <w:t>Förutsättningar för genomförandet:</w:t>
      </w:r>
    </w:p>
    <w:p>
      <w:pPr>
        <w:pStyle w:val="P17"/>
        <w:numPr>
          <w:ilvl w:val="0"/>
          <w:numId w:val="41"/>
        </w:numPr>
        <w:rPr>
          <w:lang w:eastAsia="sv-SE"/>
        </w:rPr>
      </w:pPr>
      <w:r>
        <w:rPr>
          <w:lang w:eastAsia="sv-SE"/>
        </w:rPr>
        <w:t xml:space="preserve">Utbyggnad av allmän platsmark enligt detaljplanen kan ske efter att detaljplanen vunnit laga kraft. Kommunen anlägger allmän plats inklusive Djungellekparken och iordningsställande av naturmark. </w:t>
      </w:r>
    </w:p>
    <w:p>
      <w:pPr>
        <w:pStyle w:val="P17"/>
        <w:numPr>
          <w:ilvl w:val="0"/>
          <w:numId w:val="41"/>
        </w:numPr>
        <w:rPr>
          <w:lang w:eastAsia="sv-SE"/>
        </w:rPr>
      </w:pPr>
      <w:r>
        <w:rPr>
          <w:lang w:eastAsia="sv-SE"/>
        </w:rPr>
        <w:t xml:space="preserve">Byggstart på kvartersmark kan ske etappvis tidigast efter att gata och tillhörande teknisk infrastruktur har utförts i den omfattning som överenskommits. </w:t>
      </w:r>
    </w:p>
    <w:p>
      <w:pPr>
        <w:pStyle w:val="P17"/>
        <w:numPr>
          <w:ilvl w:val="0"/>
          <w:numId w:val="41"/>
        </w:numPr>
        <w:rPr>
          <w:lang w:eastAsia="sv-SE"/>
        </w:rPr>
      </w:pPr>
      <w:r>
        <w:rPr>
          <w:lang w:eastAsia="sv-SE"/>
        </w:rPr>
        <w:t xml:space="preserve">För att kunna ansluta bostadskvarteren till spillvattennätet krävs utbyggnad av spillvattennätet samt en ny överföringsledning till Käppalaverket. </w:t>
      </w:r>
    </w:p>
    <w:p>
      <w:pPr>
        <w:pStyle w:val="P17"/>
        <w:numPr>
          <w:ilvl w:val="0"/>
          <w:numId w:val="41"/>
        </w:numPr>
        <w:rPr>
          <w:lang w:eastAsia="sv-SE"/>
        </w:rPr>
      </w:pPr>
      <w:r>
        <w:rPr>
          <w:lang w:eastAsia="sv-SE"/>
        </w:rPr>
        <w:t>I och i angränsning till planområdet ska ledningsnät för vatten och spillvatten byggas ut och lämnas över i anslutningspunkt av VA-huvudmannen.</w:t>
      </w:r>
    </w:p>
    <w:p>
      <w:pPr>
        <w:pStyle w:val="P6"/>
        <w:rPr>
          <w:lang w:eastAsia="sv-SE"/>
        </w:rPr>
      </w:pPr>
      <w:r>
        <w:rPr>
          <w:lang w:eastAsia="sv-SE"/>
        </w:rPr>
        <w:t>Genomförandetid</w:t>
      </w:r>
    </w:p>
    <w:p>
      <w:pPr>
        <w:rPr>
          <w:rFonts w:eastAsia="Arial"/>
          <w:shd w:val="clear" w:color="auto" w:fill="FFFFFF"/>
          <w:lang w:eastAsia="sv-SE"/>
        </w:rPr>
      </w:pPr>
      <w:r>
        <w:rPr>
          <w:lang w:eastAsia="sv-SE"/>
        </w:rPr>
        <w:t xml:space="preserve">Genomförandetiden för detaljplanen är 10 år. </w:t>
      </w:r>
      <w:r>
        <w:rPr>
          <w:rFonts w:eastAsia="Arial"/>
          <w:shd w:val="clear" w:color="auto" w:fill="FFFFFF"/>
          <w:lang w:eastAsia="sv-SE"/>
        </w:rPr>
        <w:t>Genomförandetiden för avgränsad del av planområdet markerad med administrativ bestämmelse är 5 år. Genomförandetiden gäller från det datum detaljplanen vinner laga kraft.</w:t>
      </w:r>
      <w:r>
        <w:rPr>
          <w:lang w:eastAsia="sv-SE"/>
        </w:rPr>
        <w:t xml:space="preserve"> Efter genomförandetidens slut fortsätter detaljplanen att gälla tills den ändras, ersätts eller upphävs.</w:t>
      </w:r>
    </w:p>
    <w:p>
      <w:pPr>
        <w:pStyle w:val="P2"/>
        <w:rPr>
          <w:rFonts w:eastAsia="Arial"/>
          <w:color w:val="000000" w:themeColor="text1"/>
          <w:lang w:eastAsia="sv-SE"/>
        </w:rPr>
      </w:pPr>
      <w:bookmarkEnd w:id="333"/>
      <w:bookmarkStart w:id="334" w:name="_Toc89446168"/>
      <w:bookmarkStart w:id="335" w:name="_Toc132874052"/>
      <w:bookmarkStart w:id="336" w:name="_Toc187410618"/>
      <w:bookmarkStart w:id="337" w:name="_Toc838238064"/>
      <w:bookmarkStart w:id="338" w:name="_Toc90561326"/>
      <w:bookmarkStart w:id="339" w:name="_Toc153284691"/>
      <w:bookmarkStart w:id="340" w:name="gf_prövningenlannanlagstiftning01"/>
      <w:r>
        <w:rPr>
          <w:rFonts w:eastAsia="Arial"/>
          <w:color w:val="000000" w:themeColor="text1"/>
          <w:lang w:eastAsia="sv-SE"/>
        </w:rPr>
        <w:t>Prövning enligt annan lagstiftning</w:t>
      </w:r>
      <w:bookmarkEnd w:id="334"/>
      <w:bookmarkEnd w:id="335"/>
      <w:bookmarkEnd w:id="336"/>
      <w:bookmarkEnd w:id="337"/>
      <w:bookmarkEnd w:id="338"/>
      <w:bookmarkEnd w:id="339"/>
    </w:p>
    <w:p>
      <w:r>
        <w:t>Efter att planen vunnit laga kraft kan Markavvattningsföretaget komma prövas inom ramen för Miljöbalken.</w:t>
      </w:r>
    </w:p>
    <w:p>
      <w:r>
        <w:t>För planens genomförande kan samfälligheter och gemensamhetsanläggningar prövas enligt anläggningslagen eller ledningsrättslagen. Miljöbalken kan komma pröva arbete i förorenat område.</w:t>
      </w:r>
    </w:p>
    <w:p>
      <w:pPr>
        <w:rPr>
          <w:rFonts w:asciiTheme="majorHAnsi" w:hAnsiTheme="majorHAnsi" w:cs="Arial" w:eastAsiaTheme="majorEastAsia"/>
          <w:sz w:val="32"/>
          <w:szCs w:val="32"/>
        </w:rPr>
      </w:pPr>
      <w:bookmarkEnd w:id="340"/>
      <w:r>
        <w:t xml:space="preserve"> </w:t>
      </w:r>
    </w:p>
    <w:p/>
    <w:p>
      <w:pPr>
        <w:rPr>
          <w:rFonts w:asciiTheme="majorHAnsi" w:hAnsiTheme="majorHAnsi" w:cs="Arial" w:eastAsiaTheme="majorEastAsia"/>
          <w:b w:val="1"/>
          <w:bCs w:val="1"/>
          <w:sz w:val="32"/>
          <w:szCs w:val="32"/>
        </w:rPr>
      </w:pPr>
      <w:bookmarkStart w:id="341" w:name="_Toc153284693"/>
      <w:r>
        <w:rPr>
          <w:b w:val="1"/>
          <w:bCs w:val="1"/>
        </w:rPr>
        <w:br w:type="page"/>
      </w:r>
    </w:p>
    <w:p>
      <w:pPr>
        <w:pStyle w:val="P1"/>
        <w:rPr>
          <w:b w:val="1"/>
          <w:color w:val="000000" w:themeColor="text1"/>
        </w:rPr>
      </w:pPr>
      <w:bookmarkStart w:id="342" w:name="_Toc393846906"/>
      <w:r>
        <w:rPr>
          <w:b w:val="1"/>
          <w:color w:val="000000" w:themeColor="text1"/>
        </w:rPr>
        <w:t>Planeringsunderlag</w:t>
      </w:r>
      <w:bookmarkEnd w:id="341"/>
      <w:bookmarkEnd w:id="342"/>
    </w:p>
    <w:p>
      <w:pPr>
        <w:pStyle w:val="P2"/>
        <w:rPr>
          <w:rFonts w:eastAsia="Arial"/>
          <w:color w:val="000000" w:themeColor="text1"/>
        </w:rPr>
      </w:pPr>
      <w:bookmarkStart w:id="343" w:name="_Toc153284695"/>
      <w:bookmarkStart w:id="344" w:name="_Toc484474765"/>
      <w:bookmarkStart w:id="345" w:name="pu_regionala01"/>
      <w:bookmarkStart w:id="346" w:name="_Toc132874013"/>
      <w:bookmarkStart w:id="347" w:name="_Toc89446059"/>
      <w:bookmarkStart w:id="348" w:name="_Toc90561214"/>
      <w:r>
        <w:rPr>
          <w:rFonts w:eastAsia="Arial"/>
          <w:color w:val="000000" w:themeColor="text1"/>
        </w:rPr>
        <w:t>Regionala planeringsunderlag</w:t>
      </w:r>
      <w:bookmarkEnd w:id="343"/>
      <w:bookmarkEnd w:id="344"/>
    </w:p>
    <w:p>
      <w:pPr>
        <w:pStyle w:val="P3"/>
        <w:rPr>
          <w:rFonts w:eastAsia="Arial"/>
          <w:color w:val="000000" w:themeColor="text1"/>
        </w:rPr>
      </w:pPr>
      <w:r>
        <w:rPr>
          <w:rFonts w:eastAsia="Arial"/>
          <w:color w:val="000000" w:themeColor="text1"/>
        </w:rPr>
        <w:t>Regional utvecklingsstrategi</w:t>
      </w:r>
    </w:p>
    <w:p>
      <w:pPr>
        <w:rPr>
          <w:shd w:val="clear" w:color="auto" w:fill="FFFFFF"/>
        </w:rPr>
      </w:pPr>
      <w:bookmarkStart w:id="349" w:name="_Toc153284696"/>
      <w:r>
        <w:rPr>
          <w:shd w:val="clear" w:color="auto" w:fill="FFFFFF"/>
        </w:rPr>
        <w:t>Regional utvecklingsstrategi (rus) för Uppsala län, beslutad av Region Uppsalas regionfullmäktige i mars 2021.</w:t>
      </w:r>
    </w:p>
    <w:p>
      <w:pPr>
        <w:pStyle w:val="P2"/>
        <w:rPr>
          <w:rFonts w:eastAsia="Arial"/>
          <w:color w:val="000000" w:themeColor="text1"/>
          <w:lang w:eastAsia="sv-SE"/>
        </w:rPr>
      </w:pPr>
      <w:bookmarkEnd w:id="345"/>
      <w:bookmarkStart w:id="350" w:name="_Toc198716659"/>
      <w:bookmarkStart w:id="351" w:name="pu_kommunala01"/>
      <w:r>
        <w:rPr>
          <w:rFonts w:eastAsia="Arial"/>
          <w:color w:val="000000" w:themeColor="text1"/>
          <w:lang w:eastAsia="sv-SE"/>
        </w:rPr>
        <w:t>Kommunala planeringsunderlag</w:t>
      </w:r>
      <w:bookmarkEnd w:id="346"/>
      <w:bookmarkEnd w:id="349"/>
      <w:bookmarkEnd w:id="350"/>
    </w:p>
    <w:p>
      <w:pPr>
        <w:pStyle w:val="P3"/>
        <w:rPr>
          <w:rFonts w:eastAsia="Arial"/>
          <w:color w:val="000000" w:themeColor="text1"/>
        </w:rPr>
      </w:pPr>
      <w:bookmarkEnd w:id="351"/>
      <w:bookmarkStart w:id="352" w:name="pu_detaljplan01"/>
      <w:r>
        <w:rPr>
          <w:rFonts w:eastAsia="Arial"/>
          <w:color w:val="000000" w:themeColor="text1"/>
        </w:rPr>
        <w:t>D</w:t>
      </w:r>
      <w:bookmarkEnd w:id="347"/>
      <w:bookmarkEnd w:id="348"/>
      <w:r>
        <w:rPr>
          <w:rFonts w:eastAsia="Arial"/>
          <w:color w:val="000000" w:themeColor="text1"/>
        </w:rPr>
        <w:t>etaljplan</w:t>
      </w:r>
    </w:p>
    <w:p>
      <w:pPr>
        <w:rPr>
          <w:shd w:val="clear" w:color="auto" w:fill="FFFFFF"/>
        </w:rPr>
      </w:pPr>
      <w:r>
        <w:rPr>
          <w:shd w:val="clear" w:color="auto" w:fill="FFFFFF"/>
        </w:rPr>
        <w:t xml:space="preserve">Detaljplanen för Boängsåsen; vann laga kraft 30 augusti 2005 </w:t>
      </w:r>
    </w:p>
    <w:p>
      <w:pPr>
        <w:rPr>
          <w:shd w:val="clear" w:color="auto" w:fill="FFFFFF"/>
        </w:rPr>
      </w:pPr>
      <w:r>
        <w:rPr>
          <w:shd w:val="clear" w:color="auto" w:fill="FFFFFF"/>
        </w:rPr>
        <w:t xml:space="preserve">Detaljplan för Ar företagspark, Norra delen; vann laga kraft den 3 december 2010 </w:t>
      </w:r>
    </w:p>
    <w:p>
      <w:pPr>
        <w:rPr>
          <w:shd w:val="clear" w:color="auto" w:fill="FFFFFF"/>
        </w:rPr>
      </w:pPr>
      <w:r>
        <w:rPr>
          <w:shd w:val="clear" w:color="auto" w:fill="FFFFFF"/>
        </w:rPr>
        <w:t>Pågående detaljplan för Träfallet, Vrå 1:3; samrådshandling 2020-12-14, samt granskningshandling.</w:t>
      </w:r>
    </w:p>
    <w:p>
      <w:pPr>
        <w:pStyle w:val="P3"/>
        <w:rPr>
          <w:rFonts w:eastAsia="Arial"/>
          <w:color w:val="000000" w:themeColor="text1"/>
        </w:rPr>
      </w:pPr>
      <w:bookmarkEnd w:id="352"/>
      <w:bookmarkStart w:id="353" w:name="_Toc89446060"/>
      <w:bookmarkStart w:id="354" w:name="_Toc90561215"/>
      <w:bookmarkStart w:id="355" w:name="pu_planprogram01"/>
      <w:r>
        <w:rPr>
          <w:rFonts w:eastAsia="Arial"/>
          <w:color w:val="000000" w:themeColor="text1"/>
        </w:rPr>
        <w:t>P</w:t>
      </w:r>
      <w:bookmarkEnd w:id="353"/>
      <w:bookmarkEnd w:id="354"/>
      <w:r>
        <w:rPr>
          <w:rFonts w:eastAsia="Arial"/>
          <w:color w:val="000000" w:themeColor="text1"/>
        </w:rPr>
        <w:t>lanprogram</w:t>
      </w:r>
    </w:p>
    <w:p>
      <w:pPr>
        <w:rPr>
          <w:shd w:val="clear" w:color="auto" w:fill="FFFFFF"/>
        </w:rPr>
      </w:pPr>
      <w:r>
        <w:rPr>
          <w:shd w:val="clear" w:color="auto" w:fill="FFFFFF"/>
        </w:rPr>
        <w:t>Planprogram för Myrberget, Vrå 3:1, Knivsta kommun, Uppsala län; samrådshandling 2021-04-26, samt tillhörande utredningar och inkomna synpunkter från programsamrådet:</w:t>
      </w:r>
    </w:p>
    <w:p>
      <w:pPr>
        <w:numPr>
          <w:ilvl w:val="0"/>
          <w:numId w:val="8"/>
        </w:numPr>
        <w:ind w:hanging="567" w:left="567"/>
        <w:rPr>
          <w:shd w:val="clear" w:color="auto" w:fill="FFFFFF"/>
        </w:rPr>
      </w:pPr>
      <w:r>
        <w:rPr>
          <w:shd w:val="clear" w:color="auto" w:fill="FFFFFF"/>
        </w:rPr>
        <w:t xml:space="preserve">Naturvärdesinventering Vrå 3:1, Alsike, Knivsta kommun, NVI enligt SIS 199000:2014, med tillägg naturvärdesklass 4, 2020-11-27, Ekologigruppen </w:t>
      </w:r>
    </w:p>
    <w:p>
      <w:pPr>
        <w:numPr>
          <w:ilvl w:val="0"/>
          <w:numId w:val="8"/>
        </w:numPr>
        <w:ind w:hanging="567" w:left="567"/>
        <w:rPr>
          <w:shd w:val="clear" w:color="auto" w:fill="FFFFFF"/>
        </w:rPr>
      </w:pPr>
      <w:r>
        <w:rPr>
          <w:shd w:val="clear" w:color="auto" w:fill="FFFFFF"/>
        </w:rPr>
        <w:t xml:space="preserve">Rapport 20116 A, Vrå 3:1, Knivsta, Bullerutredning för planprogram, 2020-10-21, Åkerlöf Hallin Akustikkonsult AB </w:t>
      </w:r>
    </w:p>
    <w:p>
      <w:pPr>
        <w:numPr>
          <w:ilvl w:val="0"/>
          <w:numId w:val="8"/>
        </w:numPr>
        <w:ind w:hanging="567" w:left="567"/>
        <w:rPr>
          <w:shd w:val="clear" w:color="auto" w:fill="FFFFFF"/>
        </w:rPr>
      </w:pPr>
      <w:r>
        <w:rPr>
          <w:shd w:val="clear" w:color="auto" w:fill="FFFFFF"/>
        </w:rPr>
        <w:t xml:space="preserve">Ekosystemtjänster och naturvärden i Dp Alsike Vrå 3:1 m.fl. ”Söder om Träfallet”, 2020-11-26, Knivsta kommun </w:t>
      </w:r>
    </w:p>
    <w:p>
      <w:pPr>
        <w:numPr>
          <w:ilvl w:val="0"/>
          <w:numId w:val="8"/>
        </w:numPr>
        <w:ind w:hanging="567" w:left="567"/>
        <w:rPr>
          <w:shd w:val="clear" w:color="auto" w:fill="FFFFFF"/>
        </w:rPr>
      </w:pPr>
      <w:r>
        <w:rPr>
          <w:shd w:val="clear" w:color="auto" w:fill="FFFFFF"/>
        </w:rPr>
        <w:t xml:space="preserve">Myrberget – Vrå 3:1 Dagvattenutredning, 30022719 DVU Vrå 3:1, 2021-03-18, Sweco Sverige AB </w:t>
      </w:r>
    </w:p>
    <w:p>
      <w:pPr>
        <w:numPr>
          <w:ilvl w:val="0"/>
          <w:numId w:val="8"/>
        </w:numPr>
        <w:ind w:hanging="567" w:left="567"/>
        <w:rPr>
          <w:shd w:val="clear" w:color="auto" w:fill="FFFFFF"/>
        </w:rPr>
      </w:pPr>
      <w:r>
        <w:rPr>
          <w:shd w:val="clear" w:color="auto" w:fill="FFFFFF"/>
        </w:rPr>
        <w:t>Miljöteknisk undersökning av fastigheten Vrå 3:1, Geosigma, Juni 2015</w:t>
      </w:r>
    </w:p>
    <w:p>
      <w:pPr>
        <w:numPr>
          <w:ilvl w:val="0"/>
          <w:numId w:val="9"/>
        </w:numPr>
        <w:ind w:hanging="567" w:left="567"/>
        <w:rPr>
          <w:shd w:val="clear" w:color="auto" w:fill="FFFFFF"/>
        </w:rPr>
      </w:pPr>
      <w:r>
        <w:rPr>
          <w:shd w:val="clear" w:color="auto" w:fill="FFFFFF"/>
        </w:rPr>
        <w:t>Detaljplan för Planärende Detaljplan Vrå 3:1, Undersökning av betydande miljöpåverkan, 2020- 11-17, Knivsta kommun</w:t>
      </w:r>
    </w:p>
    <w:p>
      <w:pPr>
        <w:numPr>
          <w:ilvl w:val="0"/>
          <w:numId w:val="9"/>
        </w:numPr>
        <w:ind w:hanging="567" w:left="567"/>
        <w:rPr>
          <w:shd w:val="clear" w:color="auto" w:fill="FFFFFF"/>
        </w:rPr>
      </w:pPr>
      <w:r>
        <w:rPr>
          <w:shd w:val="clear" w:color="auto" w:fill="FFFFFF"/>
        </w:rPr>
        <w:t xml:space="preserve">Samråd om undersökning gällande betydande miljöpåverkan för detaljplan Vrå 3:1, Knivsta kommun, Uppsala län, 2020-12-11, Länsstyrelsen Uppsala län </w:t>
      </w:r>
    </w:p>
    <w:p>
      <w:pPr>
        <w:numPr>
          <w:ilvl w:val="0"/>
          <w:numId w:val="9"/>
        </w:numPr>
        <w:ind w:hanging="567" w:left="567"/>
        <w:rPr>
          <w:shd w:val="clear" w:color="auto" w:fill="FFFFFF"/>
        </w:rPr>
      </w:pPr>
      <w:r>
        <w:rPr>
          <w:shd w:val="clear" w:color="auto" w:fill="FFFFFF"/>
        </w:rPr>
        <w:t>Utökad Medborgardialog för Myrberget, 2021-03-26, Utopia Arkitekter AB</w:t>
      </w:r>
    </w:p>
    <w:p>
      <w:pPr>
        <w:pStyle w:val="P3"/>
        <w:rPr>
          <w:rFonts w:eastAsia="Arial"/>
          <w:color w:val="000000" w:themeColor="text1"/>
        </w:rPr>
      </w:pPr>
      <w:bookmarkEnd w:id="355"/>
      <w:bookmarkStart w:id="356" w:name="pu_grundkarta01"/>
      <w:r>
        <w:rPr>
          <w:rFonts w:eastAsia="Arial"/>
          <w:color w:val="000000" w:themeColor="text1"/>
        </w:rPr>
        <w:t>Primärkarta</w:t>
      </w:r>
    </w:p>
    <w:p>
      <w:r>
        <w:t>Primärkarta, levererad 2024-11-07 av Knivsta kommun, Plan- och geodataenheten, Samhällsbyggnadskontoret, Knivsta kommun</w:t>
      </w:r>
    </w:p>
    <w:p>
      <w:pPr>
        <w:pStyle w:val="P3"/>
        <w:rPr>
          <w:color w:val="000000" w:themeColor="text1"/>
        </w:rPr>
      </w:pPr>
      <w:r>
        <w:rPr>
          <w:rFonts w:eastAsia="Arial"/>
          <w:color w:val="000000" w:themeColor="text1"/>
        </w:rPr>
        <w:t>Grundkarta</w:t>
      </w:r>
    </w:p>
    <w:p>
      <w:pPr>
        <w:spacing w:before="210" w:after="210" w:beforeAutospacing="0" w:afterAutospacing="0"/>
      </w:pPr>
      <w:r>
        <w:t>Grundkarta, upprättad 2025-09-26 av Knivsta kommun, Plan- och geodataenheten, Samhällsbyggnadskontoret, Knivsta kommun</w:t>
      </w:r>
    </w:p>
    <w:p>
      <w:pPr>
        <w:pStyle w:val="P3"/>
        <w:rPr>
          <w:rFonts w:eastAsia="Arial"/>
        </w:rPr>
      </w:pPr>
      <w:bookmarkEnd w:id="356"/>
      <w:bookmarkStart w:id="357" w:name="pu_översiktsplan01"/>
      <w:r>
        <w:rPr>
          <w:rFonts w:eastAsia="Arial"/>
        </w:rPr>
        <w:t xml:space="preserve">Översiktsplan </w:t>
      </w:r>
    </w:p>
    <w:p>
      <w:pPr>
        <w:rPr>
          <w:color w:val="auto"/>
          <w:shd w:val="clear" w:color="auto" w:fill="FFFFFF"/>
        </w:rPr>
      </w:pPr>
      <w:r>
        <w:rPr>
          <w:color w:val="auto"/>
          <w:shd w:val="clear" w:color="auto" w:fill="FFFFFF"/>
        </w:rPr>
        <w:t>Översiktsplan 2017; antagandehandling 207-11-27</w:t>
      </w:r>
    </w:p>
    <w:p>
      <w:pPr>
        <w:rPr>
          <w:color w:val="auto"/>
          <w:shd w:val="clear" w:color="auto" w:fill="FFFFFF"/>
        </w:rPr>
      </w:pPr>
      <w:bookmarkStart w:id="358" w:name="_Toc89446063"/>
      <w:bookmarkStart w:id="359" w:name="_Toc90561218"/>
      <w:r>
        <w:rPr>
          <w:color w:val="auto"/>
          <w:shd w:val="clear" w:color="auto" w:fill="FFFFFF"/>
        </w:rPr>
        <w:t>Tidig dialog – Knivsta kommuns nya översiktsplan 2023</w:t>
      </w:r>
    </w:p>
    <w:p>
      <w:pPr>
        <w:pStyle w:val="P3"/>
        <w:rPr>
          <w:rFonts w:ascii="Open Sans" w:hAnsi="Open Sans" w:cs="Open Sans"/>
          <w:spacing w:val="-2"/>
        </w:rPr>
      </w:pPr>
      <w:bookmarkEnd w:id="357"/>
      <w:bookmarkStart w:id="360" w:name="pu_undersökningenl6kap6_mb01"/>
      <w:r>
        <w:rPr>
          <w:rFonts w:eastAsia="Arial"/>
        </w:rPr>
        <w:t xml:space="preserve">Undersökning </w:t>
      </w:r>
      <w:bookmarkEnd w:id="358"/>
      <w:bookmarkEnd w:id="359"/>
      <w:r>
        <w:rPr>
          <w:rFonts w:eastAsia="Arial"/>
        </w:rPr>
        <w:t>av betydande miljöpåverkan</w:t>
      </w:r>
    </w:p>
    <w:p>
      <w:pPr>
        <w:rPr>
          <w:rFonts w:eastAsia="Arial"/>
          <w:color w:val="auto"/>
        </w:rPr>
      </w:pPr>
      <w:r>
        <w:rPr>
          <w:rFonts w:eastAsia="Arial"/>
          <w:color w:val="auto"/>
        </w:rPr>
        <w:t>Undersökning av betydande miljöpåverkan enligt 6 kap. 5§ miljöbalken (1998:808); beslutsdatum 2026-05-25</w:t>
      </w:r>
    </w:p>
    <w:p>
      <w:pPr>
        <w:pStyle w:val="P3"/>
        <w:rPr>
          <w:rFonts w:ascii="Open Sans" w:hAnsi="Open Sans" w:cs="Open Sans"/>
          <w:color w:val="000000" w:themeColor="text1"/>
          <w:spacing w:val="-2"/>
        </w:rPr>
      </w:pPr>
      <w:bookmarkEnd w:id="360"/>
      <w:bookmarkStart w:id="361" w:name="pu_ekosystemtjänster01"/>
      <w:r>
        <w:rPr>
          <w:rFonts w:eastAsia="Arial"/>
        </w:rPr>
        <w:t>Ekosystemtjänster</w:t>
      </w:r>
    </w:p>
    <w:p>
      <w:pPr>
        <w:rPr>
          <w:rFonts w:eastAsia="Arial"/>
          <w:color w:val="auto"/>
        </w:rPr>
      </w:pPr>
      <w:bookmarkStart w:id="362" w:name="_Toc89446066"/>
      <w:bookmarkStart w:id="363" w:name="_Toc90561221"/>
      <w:bookmarkStart w:id="364" w:name="_Toc132874014"/>
      <w:bookmarkStart w:id="365" w:name="_Toc153284697"/>
      <w:r>
        <w:rPr>
          <w:color w:val="auto"/>
        </w:rPr>
        <w:t xml:space="preserve">Ekosystemtjänster och naturvärden i Dp Myrberget Vrå 3:1 m.fl. i Alsike, Knivsta kommun; </w:t>
      </w:r>
      <w:r>
        <w:rPr>
          <w:rFonts w:eastAsia="Arial"/>
          <w:color w:val="auto"/>
        </w:rPr>
        <w:t>daterad 2025-12-09</w:t>
      </w:r>
    </w:p>
    <w:p>
      <w:pPr>
        <w:pStyle w:val="P3"/>
        <w:rPr>
          <w:rFonts w:eastAsia="Arial"/>
        </w:rPr>
      </w:pPr>
      <w:bookmarkEnd w:id="361"/>
      <w:bookmarkStart w:id="366" w:name="pu_övrigakommunaladokument01"/>
      <w:r>
        <w:rPr>
          <w:rFonts w:eastAsia="Arial"/>
        </w:rPr>
        <w:t>Övriga kommunala dokument</w:t>
      </w:r>
    </w:p>
    <w:p>
      <w:pPr>
        <w:rPr>
          <w:color w:val="auto"/>
        </w:rPr>
      </w:pPr>
      <w:r>
        <w:rPr>
          <w:color w:val="auto"/>
        </w:rPr>
        <w:t>Grönstrukturplan 2016</w:t>
      </w:r>
    </w:p>
    <w:p>
      <w:pPr>
        <w:rPr>
          <w:color w:val="auto"/>
        </w:rPr>
      </w:pPr>
      <w:r>
        <w:rPr>
          <w:color w:val="auto"/>
        </w:rPr>
        <w:t>Näringslivsstrategi Knivsta kommun</w:t>
      </w:r>
    </w:p>
    <w:p>
      <w:pPr>
        <w:rPr>
          <w:color w:val="auto"/>
        </w:rPr>
      </w:pPr>
      <w:r>
        <w:rPr>
          <w:color w:val="auto"/>
        </w:rPr>
        <w:t>Knivsta vision 2040</w:t>
      </w:r>
    </w:p>
    <w:p>
      <w:pPr>
        <w:rPr>
          <w:color w:val="auto"/>
        </w:rPr>
      </w:pPr>
      <w:r>
        <w:rPr>
          <w:color w:val="auto"/>
        </w:rPr>
        <w:t>Miljöprogram Ar 2007</w:t>
      </w:r>
    </w:p>
    <w:p>
      <w:pPr>
        <w:pStyle w:val="P2"/>
        <w:rPr>
          <w:rFonts w:eastAsia="Arial"/>
          <w:lang w:eastAsia="sv-SE"/>
        </w:rPr>
      </w:pPr>
      <w:bookmarkEnd w:id="366"/>
      <w:bookmarkStart w:id="367" w:name="_Toc1227559298"/>
      <w:bookmarkStart w:id="368" w:name="pu_utredningar01"/>
      <w:r>
        <w:rPr>
          <w:rFonts w:eastAsia="Arial"/>
          <w:lang w:eastAsia="sv-SE"/>
        </w:rPr>
        <w:t>U</w:t>
      </w:r>
      <w:bookmarkEnd w:id="362"/>
      <w:bookmarkEnd w:id="363"/>
      <w:r>
        <w:rPr>
          <w:rFonts w:eastAsia="Arial"/>
          <w:lang w:eastAsia="sv-SE"/>
        </w:rPr>
        <w:t>tredningar</w:t>
      </w:r>
      <w:bookmarkEnd w:id="364"/>
      <w:bookmarkEnd w:id="365"/>
      <w:bookmarkEnd w:id="367"/>
    </w:p>
    <w:p>
      <w:pPr>
        <w:pStyle w:val="P3"/>
        <w:rPr>
          <w:rFonts w:eastAsia="Arial"/>
          <w:color w:val="000000" w:themeColor="text1"/>
        </w:rPr>
      </w:pPr>
      <w:bookmarkEnd w:id="368"/>
      <w:bookmarkStart w:id="369" w:name="_Toc89446068"/>
      <w:bookmarkStart w:id="370" w:name="_Toc90561223"/>
      <w:bookmarkStart w:id="371" w:name="pu_dagvattenutredning01"/>
      <w:r>
        <w:rPr>
          <w:rFonts w:eastAsia="Arial"/>
          <w:color w:val="000000" w:themeColor="text1"/>
        </w:rPr>
        <w:t>D</w:t>
      </w:r>
      <w:bookmarkEnd w:id="369"/>
      <w:bookmarkEnd w:id="370"/>
      <w:r>
        <w:rPr>
          <w:rFonts w:eastAsia="Arial"/>
          <w:color w:val="000000" w:themeColor="text1"/>
        </w:rPr>
        <w:t>agvattenutredning</w:t>
      </w:r>
    </w:p>
    <w:p>
      <w:pPr>
        <w:rPr>
          <w:shd w:val="clear" w:color="auto" w:fill="FFFFFF"/>
        </w:rPr>
      </w:pPr>
      <w:r>
        <w:rPr>
          <w:shd w:val="clear" w:color="auto" w:fill="FFFFFF"/>
        </w:rPr>
        <w:t>Dagvatten- och skyfallsutredning, Sweco 2025-10-22</w:t>
      </w:r>
    </w:p>
    <w:p>
      <w:pPr>
        <w:rPr>
          <w:rFonts w:eastAsia="Arial"/>
          <w:lang w:eastAsia="sv-SE"/>
        </w:rPr>
      </w:pPr>
      <w:r>
        <w:rPr>
          <w:rFonts w:eastAsia="Arial"/>
          <w:lang w:eastAsia="sv-SE"/>
        </w:rPr>
        <w:t>Inledande utredning av påverkan på Sättra – Brännkärr - Träfallet dikningsföretag år 1955, Tyréns 2025-01-21</w:t>
      </w:r>
    </w:p>
    <w:p>
      <w:pPr>
        <w:pStyle w:val="P3"/>
        <w:rPr>
          <w:rFonts w:eastAsia="Arial"/>
          <w:color w:val="000000" w:themeColor="text1"/>
        </w:rPr>
      </w:pPr>
      <w:bookmarkEnd w:id="371"/>
      <w:bookmarkStart w:id="372" w:name="pu_hydrogeologiskutredning01"/>
      <w:r>
        <w:rPr>
          <w:rFonts w:eastAsia="Arial"/>
          <w:color w:val="000000" w:themeColor="text1"/>
        </w:rPr>
        <w:t>Hydrogeologisk utredning</w:t>
      </w:r>
    </w:p>
    <w:p>
      <w:pPr>
        <w:rPr>
          <w:shd w:val="clear" w:color="auto" w:fill="FFFFFF"/>
        </w:rPr>
      </w:pPr>
      <w:r>
        <w:rPr>
          <w:shd w:val="clear" w:color="auto" w:fill="FFFFFF"/>
        </w:rPr>
        <w:t>Hydrogeologisk beskrivning, Sweco 2025-10-10</w:t>
      </w:r>
    </w:p>
    <w:p>
      <w:pPr>
        <w:pStyle w:val="P3"/>
        <w:rPr>
          <w:rFonts w:eastAsia="Arial"/>
          <w:color w:val="000000" w:themeColor="text1"/>
        </w:rPr>
      </w:pPr>
      <w:bookmarkEnd w:id="372"/>
      <w:bookmarkStart w:id="373" w:name="pu_geotekniskutredning01"/>
      <w:r>
        <w:rPr>
          <w:rFonts w:eastAsia="Arial"/>
          <w:color w:val="000000" w:themeColor="text1"/>
        </w:rPr>
        <w:t>Geoteknisk undersökning</w:t>
      </w:r>
    </w:p>
    <w:p>
      <w:pPr>
        <w:rPr>
          <w:shd w:val="clear" w:color="auto" w:fill="FFFFFF"/>
        </w:rPr>
      </w:pPr>
      <w:r>
        <w:rPr>
          <w:shd w:val="clear" w:color="auto" w:fill="FFFFFF"/>
        </w:rPr>
        <w:t>Marktekniska undersökningsrapport, Geoteknik inkl bilagor, Bjerking 2025-09-12</w:t>
      </w:r>
    </w:p>
    <w:p>
      <w:pPr>
        <w:rPr>
          <w:shd w:val="clear" w:color="auto" w:fill="FFFFFF"/>
        </w:rPr>
      </w:pPr>
      <w:r>
        <w:rPr>
          <w:shd w:val="clear" w:color="auto" w:fill="FFFFFF"/>
        </w:rPr>
        <w:t>PM Geoteknik, Bjerking 2025-09-12</w:t>
      </w:r>
    </w:p>
    <w:p>
      <w:pPr>
        <w:pStyle w:val="P3"/>
        <w:rPr>
          <w:rFonts w:eastAsia="Arial"/>
        </w:rPr>
      </w:pPr>
      <w:bookmarkEnd w:id="373"/>
      <w:bookmarkStart w:id="374" w:name="pu_naturinventering01"/>
      <w:r>
        <w:rPr>
          <w:rFonts w:eastAsia="Arial"/>
        </w:rPr>
        <w:t>Naturinventering</w:t>
      </w:r>
    </w:p>
    <w:p>
      <w:pPr>
        <w:rPr>
          <w:color w:val="auto"/>
          <w:shd w:val="clear" w:color="auto" w:fill="FFFFFF"/>
        </w:rPr>
      </w:pPr>
      <w:r>
        <w:rPr>
          <w:color w:val="auto"/>
          <w:shd w:val="clear" w:color="auto" w:fill="FFFFFF"/>
        </w:rPr>
        <w:t>Naturvärdesinventering Vrå 3:1, Alsike, Knivsta kommun, NVI enligt SIS 199000:2014, med tillägg naturvärdesklass 4, 2020-11-27, Ekologigruppen</w:t>
      </w:r>
    </w:p>
    <w:p>
      <w:pPr>
        <w:rPr>
          <w:color w:val="auto"/>
          <w:shd w:val="clear" w:color="auto" w:fill="FFFFFF"/>
        </w:rPr>
      </w:pPr>
      <w:r>
        <w:rPr>
          <w:color w:val="auto"/>
          <w:shd w:val="clear" w:color="auto" w:fill="FFFFFF"/>
        </w:rPr>
        <w:t>Inventering av groddjur, Ekologigruppen 2021-07-01</w:t>
      </w:r>
    </w:p>
    <w:p>
      <w:pPr>
        <w:pStyle w:val="P3"/>
        <w:rPr>
          <w:rFonts w:eastAsia="Arial"/>
        </w:rPr>
      </w:pPr>
      <w:bookmarkEnd w:id="374"/>
      <w:bookmarkStart w:id="375" w:name="_Toc89446072"/>
      <w:bookmarkStart w:id="376" w:name="_Toc90561227"/>
      <w:bookmarkStart w:id="377" w:name="pu_markmiljöutredning01"/>
      <w:r>
        <w:rPr>
          <w:rFonts w:eastAsia="Arial"/>
        </w:rPr>
        <w:t>M</w:t>
      </w:r>
      <w:bookmarkEnd w:id="375"/>
      <w:bookmarkEnd w:id="376"/>
      <w:r>
        <w:rPr>
          <w:rFonts w:eastAsia="Arial"/>
        </w:rPr>
        <w:t>arkmiljöutredning</w:t>
      </w:r>
    </w:p>
    <w:p>
      <w:pPr>
        <w:rPr>
          <w:shd w:val="clear" w:color="auto" w:fill="FFFFFF"/>
        </w:rPr>
      </w:pPr>
      <w:bookmarkStart w:id="378" w:name="_Toc89446073"/>
      <w:bookmarkStart w:id="379" w:name="_Toc90561228"/>
      <w:r>
        <w:rPr>
          <w:shd w:val="clear" w:color="auto" w:fill="FFFFFF"/>
        </w:rPr>
        <w:t>Miljöteknisk undersökning av fastigheten Vrå 3:1, Geosigma, Juni 2015</w:t>
      </w:r>
    </w:p>
    <w:p>
      <w:pPr>
        <w:rPr>
          <w:shd w:val="clear" w:color="auto" w:fill="FFFFFF"/>
        </w:rPr>
      </w:pPr>
      <w:r>
        <w:rPr>
          <w:shd w:val="clear" w:color="auto" w:fill="FFFFFF"/>
        </w:rPr>
        <w:t>Miljöutredning för känslig markanvändning (KM) inom deponiområde, DP Myrberget, Rejlers 2025-02-03</w:t>
      </w:r>
    </w:p>
    <w:p>
      <w:pPr>
        <w:pStyle w:val="P3"/>
        <w:rPr>
          <w:rFonts w:eastAsia="Arial"/>
          <w:color w:val="000000" w:themeColor="text1"/>
        </w:rPr>
      </w:pPr>
      <w:bookmarkEnd w:id="377"/>
      <w:bookmarkStart w:id="380" w:name="pu_bullerutredning01"/>
      <w:r>
        <w:rPr>
          <w:rFonts w:eastAsia="Arial"/>
          <w:color w:val="000000" w:themeColor="text1"/>
        </w:rPr>
        <w:t>B</w:t>
      </w:r>
      <w:bookmarkEnd w:id="378"/>
      <w:bookmarkEnd w:id="379"/>
      <w:r>
        <w:rPr>
          <w:rFonts w:eastAsia="Arial"/>
          <w:color w:val="000000" w:themeColor="text1"/>
        </w:rPr>
        <w:t>ullerutredning</w:t>
      </w:r>
    </w:p>
    <w:p>
      <w:pPr>
        <w:rPr>
          <w:rFonts w:eastAsia="Arial"/>
          <w:lang w:eastAsia="sv-SE"/>
        </w:rPr>
      </w:pPr>
      <w:r>
        <w:rPr>
          <w:shd w:val="clear" w:color="auto" w:fill="FFFFFF"/>
        </w:rPr>
        <w:t>20116 Rapport E Vrå 3:1, Åkerlöf Hallin 2025-09-24</w:t>
      </w:r>
    </w:p>
    <w:p>
      <w:pPr>
        <w:pStyle w:val="P3"/>
        <w:rPr>
          <w:rFonts w:eastAsia="Arial"/>
          <w:color w:val="000000" w:themeColor="text1"/>
        </w:rPr>
      </w:pPr>
      <w:bookmarkEnd w:id="380"/>
      <w:bookmarkStart w:id="381" w:name="_Toc89446075"/>
      <w:bookmarkStart w:id="382" w:name="_Toc90561230"/>
      <w:bookmarkStart w:id="383" w:name="pu_riskutredning01"/>
      <w:r>
        <w:rPr>
          <w:rFonts w:eastAsia="Arial"/>
          <w:color w:val="000000" w:themeColor="text1"/>
        </w:rPr>
        <w:t>R</w:t>
      </w:r>
      <w:bookmarkEnd w:id="381"/>
      <w:bookmarkEnd w:id="382"/>
      <w:r>
        <w:rPr>
          <w:rFonts w:eastAsia="Arial"/>
          <w:color w:val="000000" w:themeColor="text1"/>
        </w:rPr>
        <w:t>iskutredning</w:t>
      </w:r>
    </w:p>
    <w:p>
      <w:pPr>
        <w:rPr>
          <w:shd w:val="clear" w:color="auto" w:fill="FFFFFF"/>
        </w:rPr>
      </w:pPr>
      <w:bookmarkStart w:id="384" w:name="_Toc89446076"/>
      <w:bookmarkStart w:id="385" w:name="_Toc90561231"/>
      <w:r>
        <w:rPr>
          <w:shd w:val="clear" w:color="auto" w:fill="FFFFFF"/>
        </w:rPr>
        <w:t>Riskutredning Myrberget 2021-06-10 (version 1), Briab</w:t>
      </w:r>
    </w:p>
    <w:p>
      <w:pPr>
        <w:rPr>
          <w:shd w:val="clear" w:color="auto" w:fill="FFFFFF"/>
        </w:rPr>
      </w:pPr>
      <w:r>
        <w:rPr>
          <w:shd w:val="clear" w:color="auto" w:fill="FFFFFF"/>
        </w:rPr>
        <w:t>Risk-PM Myrberget, Briab 2025-10-22</w:t>
      </w:r>
    </w:p>
    <w:p>
      <w:pPr>
        <w:pStyle w:val="P3"/>
        <w:rPr>
          <w:rFonts w:eastAsia="Arial"/>
          <w:color w:val="000000" w:themeColor="text1"/>
        </w:rPr>
      </w:pPr>
      <w:bookmarkEnd w:id="383"/>
      <w:bookmarkStart w:id="386" w:name="pu_trafikutredning01"/>
      <w:r>
        <w:rPr>
          <w:rFonts w:eastAsia="Arial"/>
          <w:color w:val="000000" w:themeColor="text1"/>
        </w:rPr>
        <w:t>T</w:t>
      </w:r>
      <w:bookmarkEnd w:id="384"/>
      <w:bookmarkEnd w:id="385"/>
      <w:r>
        <w:rPr>
          <w:rFonts w:eastAsia="Arial"/>
          <w:color w:val="000000" w:themeColor="text1"/>
        </w:rPr>
        <w:t>rafikutredning</w:t>
      </w:r>
    </w:p>
    <w:p>
      <w:pPr>
        <w:rPr>
          <w:rFonts w:eastAsia="Arial"/>
          <w:lang w:eastAsia="sv-SE"/>
        </w:rPr>
      </w:pPr>
      <w:r>
        <w:rPr>
          <w:shd w:val="clear" w:color="auto" w:fill="FFFFFF"/>
        </w:rPr>
        <w:t>Trafikutredning, Bjerking 2025-10-22</w:t>
      </w:r>
    </w:p>
    <w:p>
      <w:pPr>
        <w:pStyle w:val="P3"/>
        <w:rPr>
          <w:rFonts w:eastAsia="Arial"/>
          <w:color w:val="000000" w:themeColor="text1"/>
        </w:rPr>
      </w:pPr>
      <w:bookmarkEnd w:id="386"/>
      <w:bookmarkStart w:id="387" w:name="_Toc89446078"/>
      <w:bookmarkStart w:id="388" w:name="_Toc90561233"/>
      <w:bookmarkStart w:id="389" w:name="pu_kulturmiljöutredning01"/>
      <w:r>
        <w:rPr>
          <w:rFonts w:eastAsia="Arial"/>
          <w:color w:val="000000" w:themeColor="text1"/>
        </w:rPr>
        <w:t>K</w:t>
      </w:r>
      <w:bookmarkEnd w:id="387"/>
      <w:bookmarkEnd w:id="388"/>
      <w:r>
        <w:rPr>
          <w:rFonts w:eastAsia="Arial"/>
          <w:color w:val="000000" w:themeColor="text1"/>
        </w:rPr>
        <w:t>ulturmiljöutredning</w:t>
      </w:r>
    </w:p>
    <w:p>
      <w:pPr>
        <w:rPr>
          <w:shd w:val="clear" w:color="auto" w:fill="FFFFFF"/>
        </w:rPr>
      </w:pPr>
      <w:r>
        <w:rPr>
          <w:shd w:val="clear" w:color="auto" w:fill="FFFFFF"/>
        </w:rPr>
        <w:t>Rapport från arkeologisk utredning (5841-2020-24), Arkeologerna</w:t>
      </w:r>
    </w:p>
    <w:p>
      <w:pPr>
        <w:pStyle w:val="P3"/>
        <w:rPr>
          <w:rFonts w:eastAsia="Arial"/>
          <w:color w:val="000000" w:themeColor="text1"/>
        </w:rPr>
      </w:pPr>
      <w:bookmarkEnd w:id="389"/>
      <w:bookmarkStart w:id="390" w:name="pu_förprojektering01"/>
      <w:r>
        <w:rPr>
          <w:rFonts w:eastAsia="Arial"/>
          <w:color w:val="000000" w:themeColor="text1"/>
        </w:rPr>
        <w:t>Förprojektering av VA, gata och mark</w:t>
      </w:r>
    </w:p>
    <w:p>
      <w:pPr>
        <w:rPr>
          <w:shd w:val="clear" w:color="auto" w:fill="FFFFFF"/>
        </w:rPr>
      </w:pPr>
      <w:r>
        <w:rPr>
          <w:shd w:val="clear" w:color="auto" w:fill="FFFFFF"/>
        </w:rPr>
        <w:t>Granskningshandling VAP 2025-10-22</w:t>
      </w:r>
    </w:p>
    <w:p>
      <w:pPr>
        <w:rPr>
          <w:rFonts w:eastAsia="Arial"/>
          <w:color w:val="auto"/>
          <w:lang w:eastAsia="sv-SE"/>
        </w:rPr>
      </w:pPr>
      <w:bookmarkEnd w:id="390"/>
    </w:p>
    <w:p>
      <w:pPr>
        <w:rPr>
          <w:color w:val="auto"/>
        </w:rPr>
      </w:pPr>
    </w:p>
    <w:sectPr>
      <w:headerReference w:type="first" r:id="RelHdr1"/>
      <w:headerReference w:type="default" r:id="RelHdr2"/>
      <w:footerReference w:type="first" r:id="RelFtr1"/>
      <w:footerReference w:type="default" r:id="RelFtr2"/>
      <w:footnotePr/>
      <w:endnotePr/>
      <w:type w:val="nextPage"/>
      <w:pgSz w:w="11909" w:h="16834" w:code="0"/>
      <w:pgMar w:left="1985" w:right="1985" w:top="1418" w:bottom="1701" w:header="567" w:footer="454" w:gutter="0"/>
      <w:cols w:equalWidth="1" w:space="720"/>
      <w:titlePg w:val="1"/>
    </w:sectPr>
  </w:body>
</w:document>
</file>

<file path=word/endnotes.xml><?xml version="1.0" encoding="utf-8"?>
<w:endnotes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pStyle w:val="P3"/>
        <w:rPr>
          <w:rFonts w:ascii="Times New Roman" w:hAnsi="Times New Roman" w:cs="Times New Roman" w:eastAsia="Times New Roman"/>
        </w:rPr>
      </w:pPr>
      <w:r>
        <w:separator/>
      </w:r>
    </w:p>
  </w:endnote>
  <w:endnote w:type="continuationSeparator" w:id="0">
    <w:p>
      <w:pPr>
        <w:pStyle w:val="P3"/>
        <w:rPr>
          <w:rFonts w:ascii="Times New Roman" w:hAnsi="Times New Roman" w:cs="Times New Roman" w:eastAsia="Times New Roman"/>
        </w:rPr>
      </w:pPr>
      <w:r>
        <w:continuationSeparator/>
      </w:r>
    </w:p>
  </w:endnote>
  <w:endnote w:type="continuationNotice" w:id="1">
    <w:p>
      <w:pPr>
        <w:spacing w:lineRule="auto" w:line="240" w:after="0" w:beforeAutospacing="0" w:afterAutospacing="0"/>
      </w:pPr>
    </w:p>
  </w:endnote>
</w:endnotes>
</file>

<file path=word/footer1.xml><?xml version="1.0" encoding="utf-8"?>
<w:ftr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2"/>
      <w:tblW w:w="9511" w:type="dxa"/>
      <w:tblInd w:w="-486" w:type="dxa"/>
      <w:tblBorders>
        <w:top w:val="single" w:sz="8" w:space="0" w:shadow="0" w:frame="0" w:color="EE712A"/>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CellMar>
        <w:top w:w="284" w:type="dxa"/>
        <w:left w:w="0" w:type="dxa"/>
        <w:right w:w="0" w:type="dxa"/>
      </w:tblCellMar>
      <w:tblLook w:val="04A0"/>
      <w:tblCaption w:val="Sidhuvud"/>
    </w:tblPr>
    <w:tblGrid>
      <w:gridCol w:w="5080"/>
      <w:gridCol w:w="4431"/>
    </w:tblGrid>
    <w:tr>
      <w:trPr>
        <w:trHeight w:hRule="exact" w:val="1757"/>
        <w:tblHeader/>
      </w:trPr>
      <w:tc>
        <w:tcPr>
          <w:tcW w:w="4876" w:type="dxa"/>
          <w:tcBorders>
            <w:top w:val="nil"/>
          </w:tcBorders>
          <w:vAlign w:val="bottom"/>
        </w:tcPr>
        <w:p>
          <w:pPr>
            <w:pStyle w:val="P55"/>
          </w:pPr>
        </w:p>
        <w:p>
          <w:pPr>
            <w:pStyle w:val="P55"/>
          </w:pPr>
          <w:r>
            <w:t>Beslutsdatum: 2026-06-04</w:t>
          </w:r>
        </w:p>
        <w:p>
          <w:pPr>
            <w:pStyle w:val="P55"/>
          </w:pPr>
          <w:r>
            <w:t>Dokumentansvarig: Plan- och geodataenheten</w:t>
          </w:r>
        </w:p>
        <w:p>
          <w:pPr>
            <w:pStyle w:val="P55"/>
          </w:pPr>
          <w:r>
            <w:t>Kontor: Samhällsbyggnadskontoret</w:t>
          </w:r>
        </w:p>
      </w:tc>
      <w:tc>
        <w:tcPr>
          <w:tcW w:w="4252" w:type="dxa"/>
          <w:tcBorders>
            <w:top w:val="nil"/>
          </w:tcBorders>
          <w:vAlign w:val="bottom"/>
        </w:tcPr>
        <w:p>
          <w:pPr>
            <w:spacing w:before="60" w:after="0" w:beforeAutospacing="0" w:afterAutospacing="0"/>
            <w:jc w:val="right"/>
          </w:pPr>
          <w:r>
            <w:rPr>
              <w:noProof w:val="1"/>
              <w:lang w:eastAsia="sv-SE"/>
            </w:rPr>
            <w:drawing>
              <wp:inline xmlns:wp="http://schemas.openxmlformats.org/drawingml/2006/wordprocessingDrawing" distT="0" distB="0" distL="0" distR="0">
                <wp:extent cx="1502410" cy="687070"/>
                <wp:effectExtent l="0" t="0" r="2540" b="0"/>
                <wp:docPr id="16" name="Bildobjekt 16" descr="Knivsta kommun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pic:cNvPicPr/>
                      </pic:nvPicPr>
                      <pic:blipFill dpi="0">
                        <a:blip xmlns:r="http://schemas.openxmlformats.org/officeDocument/2006/relationships" r:embed="Relimage40"/>
                        <a:srcRect/>
                        <a:stretch>
                          <a:fillRect/>
                        </a:stretch>
                      </pic:blipFill>
                      <pic:spPr>
                        <a:xfrm>
                          <a:off x="0" y="0"/>
                          <a:ext cx="1502533" cy="687600"/>
                        </a:xfrm>
                        <a:prstGeom prst="rect"/>
                      </pic:spPr>
                    </pic:pic>
                  </a:graphicData>
                </a:graphic>
              </wp:inline>
            </w:drawing>
          </w:r>
        </w:p>
      </w:tc>
    </w:tr>
  </w:tbl>
  <w:p>
    <w:pPr>
      <w:pStyle w:val="P12"/>
      <w:spacing w:before="480" w:beforeAutospacing="0" w:afterAutospacing="0"/>
      <w:rPr>
        <w:sz w:val="2"/>
        <w:szCs w:val="2"/>
      </w:rPr>
    </w:pPr>
  </w:p>
</w:ftr>
</file>

<file path=word/footer2.xml><?xml version="1.0" encoding="utf-8"?>
<w:ftr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2"/>
      <w:tblW w:w="6075" w:type="pct"/>
      <w:tblInd w:w="-851" w:type="dxa"/>
      <w:tblBorders>
        <w:top w:val="single" w:sz="4"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CellMar>
        <w:top w:w="57" w:type="dxa"/>
        <w:left w:w="0" w:type="dxa"/>
        <w:right w:w="0" w:type="dxa"/>
      </w:tblCellMar>
      <w:tblLook w:val="04A0"/>
      <w:tblCaption w:val="Sidhuvud"/>
    </w:tblPr>
    <w:tblGrid>
      <w:gridCol w:w="9828"/>
    </w:tblGrid>
    <w:tr>
      <w:trPr>
        <w:trHeight w:hRule="atLeast" w:val="567"/>
        <w:tblHeader/>
      </w:trPr>
      <w:tc>
        <w:tcPr>
          <w:tcW w:w="9646" w:type="dxa"/>
        </w:tcPr>
        <w:p>
          <w:pPr>
            <w:pStyle w:val="P12"/>
            <w:spacing w:before="80" w:beforeAutospacing="0" w:afterAutospacing="0"/>
          </w:pPr>
          <w:r>
            <w:fldChar w:fldCharType="begin"/>
          </w:r>
          <w:r>
            <w:instrText xml:space="preserve"> PAGE \* MERGEFORMAT </w:instrText>
          </w:r>
          <w:r>
            <w:fldChar w:fldCharType="separate"/>
          </w:r>
          <w:r>
            <w:rPr>
              <w:noProof w:val="1"/>
            </w:rPr>
            <w:t>#</w:t>
          </w:r>
          <w:r>
            <w:fldChar w:fldCharType="end"/>
          </w:r>
          <w:r>
            <w:t xml:space="preserve"> (</w:t>
          </w:r>
          <w:r>
            <w:fldChar w:fldCharType="begin"/>
          </w:r>
          <w:r>
            <w:instrText>NUMPAGES \* MERGEFORMAT</w:instrText>
          </w:r>
          <w:r>
            <w:fldChar w:fldCharType="separate"/>
          </w:r>
          <w:r>
            <w:rPr>
              <w:noProof w:val="1"/>
            </w:rPr>
            <w:t>#</w:t>
          </w:r>
          <w:r>
            <w:rPr>
              <w:noProof w:val="1"/>
            </w:rPr>
            <w:fldChar w:fldCharType="end"/>
          </w:r>
          <w:r>
            <w:t>)</w:t>
          </w:r>
        </w:p>
      </w:tc>
    </w:tr>
  </w:tbl>
  <w:p>
    <w:pPr>
      <w:pStyle w:val="P12"/>
      <w:rPr>
        <w:sz w:val="2"/>
        <w:szCs w:val="2"/>
      </w:rPr>
    </w:pPr>
  </w:p>
</w:ftr>
</file>

<file path=word/footnotes.xml><?xml version="1.0" encoding="utf-8"?>
<w:footnotes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pStyle w:val="P3"/>
        <w:rPr>
          <w:rFonts w:ascii="Times New Roman" w:hAnsi="Times New Roman" w:cs="Times New Roman" w:eastAsia="Times New Roman"/>
        </w:rPr>
      </w:pPr>
      <w:r>
        <w:separator/>
      </w:r>
    </w:p>
  </w:footnote>
  <w:footnote w:type="continuationSeparator" w:id="0">
    <w:p>
      <w:pPr>
        <w:pStyle w:val="P3"/>
        <w:rPr>
          <w:rFonts w:ascii="Times New Roman" w:hAnsi="Times New Roman" w:cs="Times New Roman" w:eastAsia="Times New Roman"/>
        </w:rPr>
      </w:pPr>
      <w:r>
        <w:continuationSeparator/>
      </w:r>
    </w:p>
  </w:footnote>
  <w:footnote w:type="continuationNotice" w:id="1">
    <w:p>
      <w:pPr>
        <w:spacing w:lineRule="auto" w:line="240" w:after="0" w:beforeAutospacing="0" w:afterAutospacing="0"/>
      </w:pPr>
    </w:p>
  </w:footnote>
</w:footnotes>
</file>

<file path=word/header1.xml><?xml version="1.0" encoding="utf-8"?>
<w:hdr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spacing w:after="1080" w:beforeAutospacing="0" w:afterAutospacing="0"/>
      <w:ind w:left="-851"/>
      <w:rPr>
        <w:sz w:val="2"/>
        <w:szCs w:val="2"/>
      </w:rPr>
    </w:pPr>
  </w:p>
  <w:p>
    <w:pPr>
      <w:jc w:val="right"/>
    </w:pPr>
  </w:p>
  <w:p>
    <w:pPr>
      <w:pStyle w:val="P11"/>
      <w:spacing w:lineRule="atLeast" w:line="20" w:beforeAutospacing="0" w:afterAutospacing="0"/>
      <w:ind w:left="-1077"/>
      <w:rPr>
        <w:sz w:val="2"/>
        <w:szCs w:val="2"/>
      </w:rPr>
    </w:pPr>
    <w:r>
      <w:rPr>
        <w:noProof w:val="1"/>
        <w:sz w:val="2"/>
        <w:szCs w:val="2"/>
      </w:rPr>
      <mc:AlternateContent>
        <mc:Choice Requires="wps">
          <w:drawing>
            <wp:inline xmlns:wp="http://schemas.openxmlformats.org/drawingml/2006/wordprocessingDrawing" distT="0" distB="0" distL="0" distR="0">
              <wp:extent cx="5798820" cy="4160520"/>
              <wp:effectExtent l="0" t="0" r="0" b="0"/>
              <wp:docPr id="2" name="Fotografi"/>
              <wp:cNvGraphicFramePr/>
              <a:graphic xmlns:a="http://schemas.openxmlformats.org/drawingml/2006/main">
                <a:graphicData uri="http://schemas.microsoft.com/office/word/2010/wordprocessingShape">
                  <wps:wsp>
                    <wps:cNvSpPr/>
                    <wps:spPr>
                      <a:xfrm>
                        <a:off x="0" y="0"/>
                        <a:ext cx="5798820" cy="4160520"/>
                      </a:xfrm>
                      <a:custGeom>
                        <a:gdLst>
                          <a:gd name="connsiteX0" fmla="*/ 0 w 5675406"/>
                          <a:gd name="connsiteY0" fmla="*/ 0 h 5111750"/>
                          <a:gd name="connsiteX1" fmla="*/ 5675406 w 5675406"/>
                          <a:gd name="connsiteY1" fmla="*/ 0 h 5111750"/>
                          <a:gd name="connsiteX2" fmla="*/ 5359000 w 5675406"/>
                          <a:gd name="connsiteY2" fmla="*/ 1121795 h 5111750"/>
                          <a:gd name="connsiteX3" fmla="*/ 5359048 w 5675406"/>
                          <a:gd name="connsiteY3" fmla="*/ 1121795 h 5111750"/>
                          <a:gd name="connsiteX4" fmla="*/ 5543051 w 5675406"/>
                          <a:gd name="connsiteY4" fmla="*/ 2996214 h 5111750"/>
                          <a:gd name="connsiteX5" fmla="*/ 4378518 w 5675406"/>
                          <a:gd name="connsiteY5" fmla="*/ 4720801 h 5111750"/>
                          <a:gd name="connsiteX6" fmla="*/ 4319788 w 5675406"/>
                          <a:gd name="connsiteY6" fmla="*/ 5036536 h 5111750"/>
                          <a:gd name="connsiteX7" fmla="*/ 4312604 w 5675406"/>
                          <a:gd name="connsiteY7" fmla="*/ 5111750 h 5111750"/>
                          <a:gd name="connsiteX8" fmla="*/ 0 w 5675406"/>
                          <a:gd name="connsiteY8" fmla="*/ 5111750 h 5111750"/>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675406" h="5111750">
                            <a:moveTo>
                              <a:pt x="0" y="0"/>
                            </a:moveTo>
                            <a:lnTo>
                              <a:pt x="5675406" y="0"/>
                            </a:lnTo>
                            <a:cubicBezTo>
                              <a:pt x="5446278" y="442908"/>
                              <a:pt x="5373339" y="822755"/>
                              <a:pt x="5359000" y="1121795"/>
                            </a:cubicBezTo>
                            <a:lnTo>
                              <a:pt x="5359048" y="1121795"/>
                            </a:lnTo>
                            <a:cubicBezTo>
                              <a:pt x="5314882" y="2043251"/>
                              <a:pt x="5820277" y="2335076"/>
                              <a:pt x="5543051" y="2996214"/>
                            </a:cubicBezTo>
                            <a:cubicBezTo>
                              <a:pt x="5275560" y="3634216"/>
                              <a:pt x="4615175" y="3815026"/>
                              <a:pt x="4378518" y="4720801"/>
                            </a:cubicBezTo>
                            <a:cubicBezTo>
                              <a:pt x="4346364" y="4843782"/>
                              <a:pt x="4329263" y="4952477"/>
                              <a:pt x="4319788" y="5036536"/>
                            </a:cubicBezTo>
                            <a:lnTo>
                              <a:pt x="4312604" y="5111750"/>
                            </a:lnTo>
                            <a:lnTo>
                              <a:pt x="0" y="5111750"/>
                            </a:lnTo>
                            <a:close/>
                          </a:path>
                        </a:pathLst>
                      </a:custGeom>
                      <a:blipFill dpi="0">
                        <a:blip xmlns:r="http://schemas.openxmlformats.org/officeDocument/2006/relationships" r:embed="Relimage39"/>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after="0" w:beforeAutospacing="0" w:afterAutospacing="0"/>
                            <w:rPr>
                              <w:color w:val="000000"/>
                              <w:sz w:val="2"/>
                              <w:szCs w:val="2"/>
                              <w:kern w:val="24"/>
                            </w:rPr>
                          </w:pPr>
                          <w:r>
                            <w:rPr>
                              <w:color w:val="000000"/>
                              <w:sz w:val="2"/>
                              <w:szCs w:val="2"/>
                              <w:kern w:val="24"/>
                            </w:rPr>
                            <w:t> </w:t>
                          </w:r>
                        </w:p>
                      </w:txbxContent>
                    </wps:txbx>
                    <wps:bodyPr rot="0" spcFirstLastPara="0" vert="horz" wrap="square" lIns="0" tIns="0" rIns="0" bIns="0" numCol="1" spcCol="0" rtlCol="0" fromWordArt="0" anchor="ctr" anchorCtr="0" forceAA="0" compatLnSpc="1">
                      <a:noAutofit/>
                    </wps:bodyPr>
                  </wps:wsp>
                </a:graphicData>
              </a:graphic>
            </wp:inline>
          </w:drawing>
        </mc:Choice>
        <mc:Fallback>
          <w:pict>
            <v:shape xmlns:o="urn:schemas-microsoft-com:office:office" id="Fotografi" o:spid="_x0000_s1028" style="width:456.6pt;height:327.6pt;mso-wrap-distance-left:0pt;mso-wrap-distance-top:0pt;mso-wrap-distance-right:0pt;mso-wrap-distance-bottom:0pt;margin-left:0pt;margin-top:0pt;mso-position-horizontal:absolute;mso-position-horizontal-relative:page;mso-position-vertical:absolute;mso-position-vertical-relative:page;v-text-anchor:middle" o:allowoverlap="f" fillcolor="#FFFFFF" strokeweight="2pt" stroked="f" coordsize="5675406,5111750" path="m0,0l5675406,c5446278,442908,5373339,822755,5359000,1121795,l5359048,1121795c5314882,2043251,5820277,2335076,5543051,2996214,5275560,3634216,4615175,3815026,4378518,4720801,4346364,4843782,4329263,4952477,4319788,5036536,l4312604,5111750,,5111750xe">
              <v:textbox inset="0mm,0mm,0mm,0mm">
                <w:txbxContent>
                  <w:p>
                    <w:pPr>
                      <w:spacing w:after="0" w:beforeAutospacing="0" w:afterAutospacing="0"/>
                      <w:rPr>
                        <w:color w:val="000000"/>
                        <w:sz w:val="2"/>
                        <w:szCs w:val="2"/>
                        <w:kern w:val="24"/>
                      </w:rPr>
                    </w:pPr>
                    <w:r>
                      <w:rPr>
                        <w:color w:val="000000"/>
                        <w:sz w:val="2"/>
                        <w:szCs w:val="2"/>
                        <w:kern w:val="24"/>
                      </w:rPr>
                      <w:t> </w:t>
                    </w:r>
                  </w:p>
                </w:txbxContent>
              </v:textbox>
            </v:shape>
          </w:pict>
        </mc:Fallback>
      </mc:AlternateContent>
    </w:r>
  </w:p>
</w:hdr>
</file>

<file path=word/header2.xml><?xml version="1.0" encoding="utf-8"?>
<w:hdr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spacing w:after="0" w:beforeAutospacing="0" w:afterAutospacing="0"/>
      <w:rPr>
        <w:sz w:val="2"/>
        <w:szCs w:val="2"/>
      </w:rPr>
    </w:pPr>
  </w:p>
  <w:p>
    <w:pPr>
      <w:pStyle w:val="P11"/>
      <w:rPr>
        <w:sz w:val="2"/>
        <w:szCs w:val="2"/>
      </w:rPr>
    </w:pPr>
  </w:p>
</w:hdr>
</file>

<file path=word/numbering.xml><?xml version="1.0" encoding="utf-8"?>
<w:numbering xmlns:w="http://schemas.openxmlformats.org/wordprocessingml/2006/main">
  <w:abstractNum w:abstractNumId="0">
    <w:nsid w:val="83BFE757"/>
    <w:multiLevelType w:val="hybridMultilevel"/>
    <w:lvl w:ilvl="0" w:tplc="FFFFFFFF">
      <w:start w:val="1"/>
      <w:numFmt w:val="bullet"/>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
    <w:nsid w:val="9C578855"/>
    <w:multiLevelType w:val="hybridMultilevel"/>
    <w:lvl w:ilvl="0" w:tplc="FFFFFFFF">
      <w:start w:val="1"/>
      <w:numFmt w:val="bullet"/>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2">
    <w:nsid w:val="FFFFFF7C"/>
    <w:multiLevelType w:val="hybridMultilevel"/>
    <w:lvl w:ilvl="0">
      <w:start w:val="1"/>
      <w:numFmt w:val="decimal"/>
      <w:pStyle w:val="P120"/>
      <w:suff w:val="tab"/>
      <w:lvlText w:val="%1."/>
      <w:lvlJc w:val="left"/>
      <w:pPr>
        <w:ind w:hanging="360" w:left="1492"/>
        <w:tabs>
          <w:tab w:val="num" w:pos="1492" w:leader="none"/>
        </w:tabs>
      </w:pPr>
      <w:rPr/>
    </w:lvl>
    <w:lvl w:ilvl="1" w:tplc="219DC4CC">
      <w:start w:val="1"/>
      <w:numFmt w:val="decimal"/>
      <w:suff w:val="tab"/>
      <w:lvlText w:val="%1."/>
      <w:lvlJc w:val="left"/>
      <w:pPr/>
      <w:rPr/>
    </w:lvl>
    <w:lvl w:ilvl="2" w:tplc="03603196">
      <w:start w:val="1"/>
      <w:numFmt w:val="decimal"/>
      <w:suff w:val="tab"/>
      <w:lvlText w:val="%1."/>
      <w:lvlJc w:val="left"/>
      <w:pPr/>
      <w:rPr/>
    </w:lvl>
    <w:lvl w:ilvl="3" w:tplc="05E005DF">
      <w:start w:val="1"/>
      <w:numFmt w:val="decimal"/>
      <w:suff w:val="tab"/>
      <w:lvlText w:val="%1."/>
      <w:lvlJc w:val="left"/>
      <w:pPr/>
      <w:rPr/>
    </w:lvl>
    <w:lvl w:ilvl="4" w:tplc="5E6F2192">
      <w:start w:val="1"/>
      <w:numFmt w:val="decimal"/>
      <w:suff w:val="tab"/>
      <w:lvlText w:val="%1."/>
      <w:lvlJc w:val="left"/>
      <w:pPr/>
      <w:rPr/>
    </w:lvl>
    <w:lvl w:ilvl="5" w:tplc="017CE2B0">
      <w:start w:val="1"/>
      <w:numFmt w:val="decimal"/>
      <w:suff w:val="tab"/>
      <w:lvlText w:val="%1."/>
      <w:lvlJc w:val="left"/>
      <w:pPr/>
      <w:rPr/>
    </w:lvl>
    <w:lvl w:ilvl="6" w:tplc="428A34BA">
      <w:start w:val="1"/>
      <w:numFmt w:val="decimal"/>
      <w:suff w:val="tab"/>
      <w:lvlText w:val="%1."/>
      <w:lvlJc w:val="left"/>
      <w:pPr/>
      <w:rPr/>
    </w:lvl>
    <w:lvl w:ilvl="7" w:tplc="4ACC8AC4">
      <w:start w:val="1"/>
      <w:numFmt w:val="decimal"/>
      <w:suff w:val="tab"/>
      <w:lvlText w:val="%1."/>
      <w:lvlJc w:val="left"/>
      <w:pPr/>
      <w:rPr/>
    </w:lvl>
    <w:lvl w:ilvl="8" w:tplc="2AABFA6C">
      <w:start w:val="1"/>
      <w:numFmt w:val="decimal"/>
      <w:suff w:val="tab"/>
      <w:lvlText w:val="%1."/>
      <w:lvlJc w:val="left"/>
      <w:pPr/>
      <w:rPr/>
    </w:lvl>
  </w:abstractNum>
  <w:abstractNum w:abstractNumId="3">
    <w:nsid w:val="FFFFFF7D"/>
    <w:multiLevelType w:val="hybridMultilevel"/>
    <w:lvl w:ilvl="0">
      <w:start w:val="1"/>
      <w:numFmt w:val="decimal"/>
      <w:pStyle w:val="P119"/>
      <w:suff w:val="tab"/>
      <w:lvlText w:val="%1."/>
      <w:lvlJc w:val="left"/>
      <w:pPr>
        <w:ind w:hanging="360" w:left="1209"/>
        <w:tabs>
          <w:tab w:val="num" w:pos="1209" w:leader="none"/>
        </w:tabs>
      </w:pPr>
      <w:rPr/>
    </w:lvl>
    <w:lvl w:ilvl="1" w:tplc="04DD5ACB">
      <w:start w:val="1"/>
      <w:numFmt w:val="decimal"/>
      <w:suff w:val="tab"/>
      <w:lvlText w:val="%1."/>
      <w:lvlJc w:val="left"/>
      <w:pPr/>
      <w:rPr/>
    </w:lvl>
    <w:lvl w:ilvl="2" w:tplc="49D7ECB4">
      <w:start w:val="1"/>
      <w:numFmt w:val="decimal"/>
      <w:suff w:val="tab"/>
      <w:lvlText w:val="%1."/>
      <w:lvlJc w:val="left"/>
      <w:pPr/>
      <w:rPr/>
    </w:lvl>
    <w:lvl w:ilvl="3" w:tplc="1538FE64">
      <w:start w:val="1"/>
      <w:numFmt w:val="decimal"/>
      <w:suff w:val="tab"/>
      <w:lvlText w:val="%1."/>
      <w:lvlJc w:val="left"/>
      <w:pPr/>
      <w:rPr/>
    </w:lvl>
    <w:lvl w:ilvl="4" w:tplc="2E5952C9">
      <w:start w:val="1"/>
      <w:numFmt w:val="decimal"/>
      <w:suff w:val="tab"/>
      <w:lvlText w:val="%1."/>
      <w:lvlJc w:val="left"/>
      <w:pPr/>
      <w:rPr/>
    </w:lvl>
    <w:lvl w:ilvl="5" w:tplc="3DFA574C">
      <w:start w:val="1"/>
      <w:numFmt w:val="decimal"/>
      <w:suff w:val="tab"/>
      <w:lvlText w:val="%1."/>
      <w:lvlJc w:val="left"/>
      <w:pPr/>
      <w:rPr/>
    </w:lvl>
    <w:lvl w:ilvl="6" w:tplc="23420DD2">
      <w:start w:val="1"/>
      <w:numFmt w:val="decimal"/>
      <w:suff w:val="tab"/>
      <w:lvlText w:val="%1."/>
      <w:lvlJc w:val="left"/>
      <w:pPr/>
      <w:rPr/>
    </w:lvl>
    <w:lvl w:ilvl="7" w:tplc="5CD2F279">
      <w:start w:val="1"/>
      <w:numFmt w:val="decimal"/>
      <w:suff w:val="tab"/>
      <w:lvlText w:val="%1."/>
      <w:lvlJc w:val="left"/>
      <w:pPr/>
      <w:rPr/>
    </w:lvl>
    <w:lvl w:ilvl="8" w:tplc="1B84F99B">
      <w:start w:val="1"/>
      <w:numFmt w:val="decimal"/>
      <w:suff w:val="tab"/>
      <w:lvlText w:val="%1."/>
      <w:lvlJc w:val="left"/>
      <w:pPr/>
      <w:rPr/>
    </w:lvl>
  </w:abstractNum>
  <w:abstractNum w:abstractNumId="4">
    <w:nsid w:val="FFFFFF7E"/>
    <w:multiLevelType w:val="hybridMultilevel"/>
    <w:lvl w:ilvl="0">
      <w:start w:val="1"/>
      <w:numFmt w:val="decimal"/>
      <w:pStyle w:val="P118"/>
      <w:suff w:val="tab"/>
      <w:lvlText w:val="%1."/>
      <w:lvlJc w:val="left"/>
      <w:pPr>
        <w:ind w:hanging="360" w:left="926"/>
        <w:tabs>
          <w:tab w:val="num" w:pos="926" w:leader="none"/>
        </w:tabs>
      </w:pPr>
      <w:rPr/>
    </w:lvl>
    <w:lvl w:ilvl="1" w:tplc="3FA045B5">
      <w:start w:val="1"/>
      <w:numFmt w:val="decimal"/>
      <w:suff w:val="tab"/>
      <w:lvlText w:val="%1."/>
      <w:lvlJc w:val="left"/>
      <w:pPr/>
      <w:rPr/>
    </w:lvl>
    <w:lvl w:ilvl="2" w:tplc="1C342A36">
      <w:start w:val="1"/>
      <w:numFmt w:val="decimal"/>
      <w:suff w:val="tab"/>
      <w:lvlText w:val="%1."/>
      <w:lvlJc w:val="left"/>
      <w:pPr/>
      <w:rPr/>
    </w:lvl>
    <w:lvl w:ilvl="3" w:tplc="0477AEA7">
      <w:start w:val="1"/>
      <w:numFmt w:val="decimal"/>
      <w:suff w:val="tab"/>
      <w:lvlText w:val="%1."/>
      <w:lvlJc w:val="left"/>
      <w:pPr/>
      <w:rPr/>
    </w:lvl>
    <w:lvl w:ilvl="4" w:tplc="7ADD7974">
      <w:start w:val="1"/>
      <w:numFmt w:val="decimal"/>
      <w:suff w:val="tab"/>
      <w:lvlText w:val="%1."/>
      <w:lvlJc w:val="left"/>
      <w:pPr/>
      <w:rPr/>
    </w:lvl>
    <w:lvl w:ilvl="5" w:tplc="2CE0195B">
      <w:start w:val="1"/>
      <w:numFmt w:val="decimal"/>
      <w:suff w:val="tab"/>
      <w:lvlText w:val="%1."/>
      <w:lvlJc w:val="left"/>
      <w:pPr/>
      <w:rPr/>
    </w:lvl>
    <w:lvl w:ilvl="6" w:tplc="551EB28C">
      <w:start w:val="1"/>
      <w:numFmt w:val="decimal"/>
      <w:suff w:val="tab"/>
      <w:lvlText w:val="%1."/>
      <w:lvlJc w:val="left"/>
      <w:pPr/>
      <w:rPr/>
    </w:lvl>
    <w:lvl w:ilvl="7" w:tplc="0784D228">
      <w:start w:val="1"/>
      <w:numFmt w:val="decimal"/>
      <w:suff w:val="tab"/>
      <w:lvlText w:val="%1."/>
      <w:lvlJc w:val="left"/>
      <w:pPr/>
      <w:rPr/>
    </w:lvl>
    <w:lvl w:ilvl="8" w:tplc="42002EE2">
      <w:start w:val="1"/>
      <w:numFmt w:val="decimal"/>
      <w:suff w:val="tab"/>
      <w:lvlText w:val="%1."/>
      <w:lvlJc w:val="left"/>
      <w:pPr/>
      <w:rPr/>
    </w:lvl>
  </w:abstractNum>
  <w:abstractNum w:abstractNumId="5">
    <w:nsid w:val="FFFFFF7F"/>
    <w:multiLevelType w:val="hybridMultilevel"/>
    <w:lvl w:ilvl="0">
      <w:start w:val="1"/>
      <w:numFmt w:val="decimal"/>
      <w:pStyle w:val="P117"/>
      <w:suff w:val="tab"/>
      <w:lvlText w:val="%1."/>
      <w:lvlJc w:val="left"/>
      <w:pPr>
        <w:ind w:hanging="360" w:left="643"/>
        <w:tabs>
          <w:tab w:val="num" w:pos="643" w:leader="none"/>
        </w:tabs>
      </w:pPr>
      <w:rPr/>
    </w:lvl>
    <w:lvl w:ilvl="1" w:tplc="4E4D8FC1">
      <w:start w:val="1"/>
      <w:numFmt w:val="decimal"/>
      <w:suff w:val="tab"/>
      <w:lvlText w:val="%1."/>
      <w:lvlJc w:val="left"/>
      <w:pPr/>
      <w:rPr/>
    </w:lvl>
    <w:lvl w:ilvl="2" w:tplc="022E4096">
      <w:start w:val="1"/>
      <w:numFmt w:val="decimal"/>
      <w:suff w:val="tab"/>
      <w:lvlText w:val="%1."/>
      <w:lvlJc w:val="left"/>
      <w:pPr/>
      <w:rPr/>
    </w:lvl>
    <w:lvl w:ilvl="3" w:tplc="52DA93C2">
      <w:start w:val="1"/>
      <w:numFmt w:val="decimal"/>
      <w:suff w:val="tab"/>
      <w:lvlText w:val="%1."/>
      <w:lvlJc w:val="left"/>
      <w:pPr/>
      <w:rPr/>
    </w:lvl>
    <w:lvl w:ilvl="4" w:tplc="3DFD2287">
      <w:start w:val="1"/>
      <w:numFmt w:val="decimal"/>
      <w:suff w:val="tab"/>
      <w:lvlText w:val="%1."/>
      <w:lvlJc w:val="left"/>
      <w:pPr/>
      <w:rPr/>
    </w:lvl>
    <w:lvl w:ilvl="5" w:tplc="2F8D2F48">
      <w:start w:val="1"/>
      <w:numFmt w:val="decimal"/>
      <w:suff w:val="tab"/>
      <w:lvlText w:val="%1."/>
      <w:lvlJc w:val="left"/>
      <w:pPr/>
      <w:rPr/>
    </w:lvl>
    <w:lvl w:ilvl="6" w:tplc="6A159365">
      <w:start w:val="1"/>
      <w:numFmt w:val="decimal"/>
      <w:suff w:val="tab"/>
      <w:lvlText w:val="%1."/>
      <w:lvlJc w:val="left"/>
      <w:pPr/>
      <w:rPr/>
    </w:lvl>
    <w:lvl w:ilvl="7" w:tplc="4E2B2BE9">
      <w:start w:val="1"/>
      <w:numFmt w:val="decimal"/>
      <w:suff w:val="tab"/>
      <w:lvlText w:val="%1."/>
      <w:lvlJc w:val="left"/>
      <w:pPr/>
      <w:rPr/>
    </w:lvl>
    <w:lvl w:ilvl="8" w:tplc="269D0BDA">
      <w:start w:val="1"/>
      <w:numFmt w:val="decimal"/>
      <w:suff w:val="tab"/>
      <w:lvlText w:val="%1."/>
      <w:lvlJc w:val="left"/>
      <w:pPr/>
      <w:rPr/>
    </w:lvl>
  </w:abstractNum>
  <w:abstractNum w:abstractNumId="6">
    <w:nsid w:val="FFFFFF80"/>
    <w:multiLevelType w:val="hybridMultilevel"/>
    <w:lvl w:ilvl="0">
      <w:start w:val="1"/>
      <w:numFmt w:val="bullet"/>
      <w:pStyle w:val="P125"/>
      <w:suff w:val="tab"/>
      <w:lvlText w:val=""/>
      <w:lvlJc w:val="left"/>
      <w:pPr>
        <w:ind w:hanging="360" w:left="1492"/>
        <w:tabs>
          <w:tab w:val="num" w:pos="1492" w:leader="none"/>
        </w:tabs>
      </w:pPr>
      <w:rPr>
        <w:rFonts w:ascii="Symbol" w:hAnsi="Symbol" w:hint="default"/>
      </w:rPr>
    </w:lvl>
    <w:lvl w:ilvl="1" w:tplc="293FC31D">
      <w:start w:val="1"/>
      <w:numFmt w:val="decimal"/>
      <w:suff w:val="tab"/>
      <w:lvlText w:val="%1."/>
      <w:lvlJc w:val="left"/>
      <w:pPr/>
      <w:rPr/>
    </w:lvl>
    <w:lvl w:ilvl="2" w:tplc="03F3BF04">
      <w:start w:val="1"/>
      <w:numFmt w:val="decimal"/>
      <w:suff w:val="tab"/>
      <w:lvlText w:val="%1."/>
      <w:lvlJc w:val="left"/>
      <w:pPr/>
      <w:rPr/>
    </w:lvl>
    <w:lvl w:ilvl="3" w:tplc="407DC1B4">
      <w:start w:val="1"/>
      <w:numFmt w:val="decimal"/>
      <w:suff w:val="tab"/>
      <w:lvlText w:val="%1."/>
      <w:lvlJc w:val="left"/>
      <w:pPr/>
      <w:rPr/>
    </w:lvl>
    <w:lvl w:ilvl="4" w:tplc="08D70F0E">
      <w:start w:val="1"/>
      <w:numFmt w:val="decimal"/>
      <w:suff w:val="tab"/>
      <w:lvlText w:val="%1."/>
      <w:lvlJc w:val="left"/>
      <w:pPr/>
      <w:rPr/>
    </w:lvl>
    <w:lvl w:ilvl="5" w:tplc="37AF7CD0">
      <w:start w:val="1"/>
      <w:numFmt w:val="decimal"/>
      <w:suff w:val="tab"/>
      <w:lvlText w:val="%1."/>
      <w:lvlJc w:val="left"/>
      <w:pPr/>
      <w:rPr/>
    </w:lvl>
    <w:lvl w:ilvl="6" w:tplc="5B34E165">
      <w:start w:val="1"/>
      <w:numFmt w:val="decimal"/>
      <w:suff w:val="tab"/>
      <w:lvlText w:val="%1."/>
      <w:lvlJc w:val="left"/>
      <w:pPr/>
      <w:rPr/>
    </w:lvl>
    <w:lvl w:ilvl="7" w:tplc="513ED2F3">
      <w:start w:val="1"/>
      <w:numFmt w:val="decimal"/>
      <w:suff w:val="tab"/>
      <w:lvlText w:val="%1."/>
      <w:lvlJc w:val="left"/>
      <w:pPr/>
      <w:rPr/>
    </w:lvl>
    <w:lvl w:ilvl="8" w:tplc="3B79BD2E">
      <w:start w:val="1"/>
      <w:numFmt w:val="decimal"/>
      <w:suff w:val="tab"/>
      <w:lvlText w:val="%1."/>
      <w:lvlJc w:val="left"/>
      <w:pPr/>
      <w:rPr/>
    </w:lvl>
  </w:abstractNum>
  <w:abstractNum w:abstractNumId="7">
    <w:nsid w:val="FFFFFF81"/>
    <w:multiLevelType w:val="hybridMultilevel"/>
    <w:lvl w:ilvl="0">
      <w:start w:val="1"/>
      <w:numFmt w:val="bullet"/>
      <w:pStyle w:val="P124"/>
      <w:suff w:val="tab"/>
      <w:lvlText w:val=""/>
      <w:lvlJc w:val="left"/>
      <w:pPr>
        <w:ind w:hanging="360" w:left="1209"/>
        <w:tabs>
          <w:tab w:val="num" w:pos="1209" w:leader="none"/>
        </w:tabs>
      </w:pPr>
      <w:rPr>
        <w:rFonts w:ascii="Symbol" w:hAnsi="Symbol" w:hint="default"/>
      </w:rPr>
    </w:lvl>
    <w:lvl w:ilvl="1" w:tplc="5D9733AF">
      <w:start w:val="1"/>
      <w:numFmt w:val="decimal"/>
      <w:suff w:val="tab"/>
      <w:lvlText w:val="%1."/>
      <w:lvlJc w:val="left"/>
      <w:pPr/>
      <w:rPr/>
    </w:lvl>
    <w:lvl w:ilvl="2" w:tplc="35141B14">
      <w:start w:val="1"/>
      <w:numFmt w:val="decimal"/>
      <w:suff w:val="tab"/>
      <w:lvlText w:val="%1."/>
      <w:lvlJc w:val="left"/>
      <w:pPr/>
      <w:rPr/>
    </w:lvl>
    <w:lvl w:ilvl="3" w:tplc="28C6A5B6">
      <w:start w:val="1"/>
      <w:numFmt w:val="decimal"/>
      <w:suff w:val="tab"/>
      <w:lvlText w:val="%1."/>
      <w:lvlJc w:val="left"/>
      <w:pPr/>
      <w:rPr/>
    </w:lvl>
    <w:lvl w:ilvl="4" w:tplc="02887F78">
      <w:start w:val="1"/>
      <w:numFmt w:val="decimal"/>
      <w:suff w:val="tab"/>
      <w:lvlText w:val="%1."/>
      <w:lvlJc w:val="left"/>
      <w:pPr/>
      <w:rPr/>
    </w:lvl>
    <w:lvl w:ilvl="5" w:tplc="432A3A28">
      <w:start w:val="1"/>
      <w:numFmt w:val="decimal"/>
      <w:suff w:val="tab"/>
      <w:lvlText w:val="%1."/>
      <w:lvlJc w:val="left"/>
      <w:pPr/>
      <w:rPr/>
    </w:lvl>
    <w:lvl w:ilvl="6" w:tplc="6B91BE6C">
      <w:start w:val="1"/>
      <w:numFmt w:val="decimal"/>
      <w:suff w:val="tab"/>
      <w:lvlText w:val="%1."/>
      <w:lvlJc w:val="left"/>
      <w:pPr/>
      <w:rPr/>
    </w:lvl>
    <w:lvl w:ilvl="7" w:tplc="2F878ED2">
      <w:start w:val="1"/>
      <w:numFmt w:val="decimal"/>
      <w:suff w:val="tab"/>
      <w:lvlText w:val="%1."/>
      <w:lvlJc w:val="left"/>
      <w:pPr/>
      <w:rPr/>
    </w:lvl>
    <w:lvl w:ilvl="8" w:tplc="180285E8">
      <w:start w:val="1"/>
      <w:numFmt w:val="decimal"/>
      <w:suff w:val="tab"/>
      <w:lvlText w:val="%1."/>
      <w:lvlJc w:val="left"/>
      <w:pPr/>
      <w:rPr/>
    </w:lvl>
  </w:abstractNum>
  <w:abstractNum w:abstractNumId="8">
    <w:nsid w:val="FFFFFF82"/>
    <w:multiLevelType w:val="hybridMultilevel"/>
    <w:lvl w:ilvl="0">
      <w:start w:val="1"/>
      <w:numFmt w:val="bullet"/>
      <w:pStyle w:val="P123"/>
      <w:suff w:val="tab"/>
      <w:lvlText w:val=""/>
      <w:lvlJc w:val="left"/>
      <w:pPr>
        <w:ind w:hanging="360" w:left="926"/>
        <w:tabs>
          <w:tab w:val="num" w:pos="926" w:leader="none"/>
        </w:tabs>
      </w:pPr>
      <w:rPr>
        <w:rFonts w:ascii="Symbol" w:hAnsi="Symbol" w:hint="default"/>
      </w:rPr>
    </w:lvl>
    <w:lvl w:ilvl="1" w:tplc="44FC503E">
      <w:start w:val="1"/>
      <w:numFmt w:val="decimal"/>
      <w:suff w:val="tab"/>
      <w:lvlText w:val="%1."/>
      <w:lvlJc w:val="left"/>
      <w:pPr/>
      <w:rPr/>
    </w:lvl>
    <w:lvl w:ilvl="2" w:tplc="26C04B57">
      <w:start w:val="1"/>
      <w:numFmt w:val="decimal"/>
      <w:suff w:val="tab"/>
      <w:lvlText w:val="%1."/>
      <w:lvlJc w:val="left"/>
      <w:pPr/>
      <w:rPr/>
    </w:lvl>
    <w:lvl w:ilvl="3" w:tplc="56801839">
      <w:start w:val="1"/>
      <w:numFmt w:val="decimal"/>
      <w:suff w:val="tab"/>
      <w:lvlText w:val="%1."/>
      <w:lvlJc w:val="left"/>
      <w:pPr/>
      <w:rPr/>
    </w:lvl>
    <w:lvl w:ilvl="4" w:tplc="30C15351">
      <w:start w:val="1"/>
      <w:numFmt w:val="decimal"/>
      <w:suff w:val="tab"/>
      <w:lvlText w:val="%1."/>
      <w:lvlJc w:val="left"/>
      <w:pPr/>
      <w:rPr/>
    </w:lvl>
    <w:lvl w:ilvl="5" w:tplc="56EA5069">
      <w:start w:val="1"/>
      <w:numFmt w:val="decimal"/>
      <w:suff w:val="tab"/>
      <w:lvlText w:val="%1."/>
      <w:lvlJc w:val="left"/>
      <w:pPr/>
      <w:rPr/>
    </w:lvl>
    <w:lvl w:ilvl="6" w:tplc="3F7CB3CC">
      <w:start w:val="1"/>
      <w:numFmt w:val="decimal"/>
      <w:suff w:val="tab"/>
      <w:lvlText w:val="%1."/>
      <w:lvlJc w:val="left"/>
      <w:pPr/>
      <w:rPr/>
    </w:lvl>
    <w:lvl w:ilvl="7" w:tplc="7E5A4562">
      <w:start w:val="1"/>
      <w:numFmt w:val="decimal"/>
      <w:suff w:val="tab"/>
      <w:lvlText w:val="%1."/>
      <w:lvlJc w:val="left"/>
      <w:pPr/>
      <w:rPr/>
    </w:lvl>
    <w:lvl w:ilvl="8" w:tplc="7C7EFB02">
      <w:start w:val="1"/>
      <w:numFmt w:val="decimal"/>
      <w:suff w:val="tab"/>
      <w:lvlText w:val="%1."/>
      <w:lvlJc w:val="left"/>
      <w:pPr/>
      <w:rPr/>
    </w:lvl>
  </w:abstractNum>
  <w:abstractNum w:abstractNumId="9">
    <w:nsid w:val="FFFFFF83"/>
    <w:multiLevelType w:val="hybridMultilevel"/>
    <w:lvl w:ilvl="0">
      <w:start w:val="1"/>
      <w:numFmt w:val="bullet"/>
      <w:pStyle w:val="P122"/>
      <w:suff w:val="tab"/>
      <w:lvlText w:val=""/>
      <w:lvlJc w:val="left"/>
      <w:pPr>
        <w:ind w:hanging="360" w:left="643"/>
        <w:tabs>
          <w:tab w:val="num" w:pos="643" w:leader="none"/>
        </w:tabs>
      </w:pPr>
      <w:rPr>
        <w:rFonts w:ascii="Symbol" w:hAnsi="Symbol" w:hint="default"/>
      </w:rPr>
    </w:lvl>
    <w:lvl w:ilvl="1" w:tplc="369D7886">
      <w:start w:val="1"/>
      <w:numFmt w:val="decimal"/>
      <w:suff w:val="tab"/>
      <w:lvlText w:val="%1."/>
      <w:lvlJc w:val="left"/>
      <w:pPr/>
      <w:rPr/>
    </w:lvl>
    <w:lvl w:ilvl="2" w:tplc="46E03843">
      <w:start w:val="1"/>
      <w:numFmt w:val="decimal"/>
      <w:suff w:val="tab"/>
      <w:lvlText w:val="%1."/>
      <w:lvlJc w:val="left"/>
      <w:pPr/>
      <w:rPr/>
    </w:lvl>
    <w:lvl w:ilvl="3" w:tplc="1A4ABE6B">
      <w:start w:val="1"/>
      <w:numFmt w:val="decimal"/>
      <w:suff w:val="tab"/>
      <w:lvlText w:val="%1."/>
      <w:lvlJc w:val="left"/>
      <w:pPr/>
      <w:rPr/>
    </w:lvl>
    <w:lvl w:ilvl="4" w:tplc="2B236AFD">
      <w:start w:val="1"/>
      <w:numFmt w:val="decimal"/>
      <w:suff w:val="tab"/>
      <w:lvlText w:val="%1."/>
      <w:lvlJc w:val="left"/>
      <w:pPr/>
      <w:rPr/>
    </w:lvl>
    <w:lvl w:ilvl="5" w:tplc="602E26DE">
      <w:start w:val="1"/>
      <w:numFmt w:val="decimal"/>
      <w:suff w:val="tab"/>
      <w:lvlText w:val="%1."/>
      <w:lvlJc w:val="left"/>
      <w:pPr/>
      <w:rPr/>
    </w:lvl>
    <w:lvl w:ilvl="6" w:tplc="175D4C71">
      <w:start w:val="1"/>
      <w:numFmt w:val="decimal"/>
      <w:suff w:val="tab"/>
      <w:lvlText w:val="%1."/>
      <w:lvlJc w:val="left"/>
      <w:pPr/>
      <w:rPr/>
    </w:lvl>
    <w:lvl w:ilvl="7" w:tplc="113F9A9C">
      <w:start w:val="1"/>
      <w:numFmt w:val="decimal"/>
      <w:suff w:val="tab"/>
      <w:lvlText w:val="%1."/>
      <w:lvlJc w:val="left"/>
      <w:pPr/>
      <w:rPr/>
    </w:lvl>
    <w:lvl w:ilvl="8" w:tplc="3393305B">
      <w:start w:val="1"/>
      <w:numFmt w:val="decimal"/>
      <w:suff w:val="tab"/>
      <w:lvlText w:val="%1."/>
      <w:lvlJc w:val="left"/>
      <w:pPr/>
      <w:rPr/>
    </w:lvl>
  </w:abstractNum>
  <w:abstractNum w:abstractNumId="10">
    <w:nsid w:val="FFFFFF88"/>
    <w:multiLevelType w:val="hybridMultilevel"/>
    <w:lvl w:ilvl="0">
      <w:start w:val="1"/>
      <w:numFmt w:val="decimal"/>
      <w:pStyle w:val="P116"/>
      <w:suff w:val="tab"/>
      <w:lvlText w:val="%1."/>
      <w:lvlJc w:val="left"/>
      <w:pPr>
        <w:ind w:hanging="360" w:left="360"/>
        <w:tabs>
          <w:tab w:val="num" w:pos="360" w:leader="none"/>
        </w:tabs>
      </w:pPr>
      <w:rPr/>
    </w:lvl>
    <w:lvl w:ilvl="1" w:tplc="69F87424">
      <w:start w:val="1"/>
      <w:numFmt w:val="decimal"/>
      <w:suff w:val="tab"/>
      <w:lvlText w:val="%1."/>
      <w:lvlJc w:val="left"/>
      <w:pPr/>
      <w:rPr/>
    </w:lvl>
    <w:lvl w:ilvl="2" w:tplc="36C937A7">
      <w:start w:val="1"/>
      <w:numFmt w:val="decimal"/>
      <w:suff w:val="tab"/>
      <w:lvlText w:val="%1."/>
      <w:lvlJc w:val="left"/>
      <w:pPr/>
      <w:rPr/>
    </w:lvl>
    <w:lvl w:ilvl="3" w:tplc="6484AD64">
      <w:start w:val="1"/>
      <w:numFmt w:val="decimal"/>
      <w:suff w:val="tab"/>
      <w:lvlText w:val="%1."/>
      <w:lvlJc w:val="left"/>
      <w:pPr/>
      <w:rPr/>
    </w:lvl>
    <w:lvl w:ilvl="4" w:tplc="2942CD40">
      <w:start w:val="1"/>
      <w:numFmt w:val="decimal"/>
      <w:suff w:val="tab"/>
      <w:lvlText w:val="%1."/>
      <w:lvlJc w:val="left"/>
      <w:pPr/>
      <w:rPr/>
    </w:lvl>
    <w:lvl w:ilvl="5" w:tplc="299EA780">
      <w:start w:val="1"/>
      <w:numFmt w:val="decimal"/>
      <w:suff w:val="tab"/>
      <w:lvlText w:val="%1."/>
      <w:lvlJc w:val="left"/>
      <w:pPr/>
      <w:rPr/>
    </w:lvl>
    <w:lvl w:ilvl="6" w:tplc="71665C2C">
      <w:start w:val="1"/>
      <w:numFmt w:val="decimal"/>
      <w:suff w:val="tab"/>
      <w:lvlText w:val="%1."/>
      <w:lvlJc w:val="left"/>
      <w:pPr/>
      <w:rPr/>
    </w:lvl>
    <w:lvl w:ilvl="7" w:tplc="42A104A3">
      <w:start w:val="1"/>
      <w:numFmt w:val="decimal"/>
      <w:suff w:val="tab"/>
      <w:lvlText w:val="%1."/>
      <w:lvlJc w:val="left"/>
      <w:pPr/>
      <w:rPr/>
    </w:lvl>
    <w:lvl w:ilvl="8" w:tplc="29ED9E78">
      <w:start w:val="1"/>
      <w:numFmt w:val="decimal"/>
      <w:suff w:val="tab"/>
      <w:lvlText w:val="%1."/>
      <w:lvlJc w:val="left"/>
      <w:pPr/>
      <w:rPr/>
    </w:lvl>
  </w:abstractNum>
  <w:abstractNum w:abstractNumId="11">
    <w:nsid w:val="FFFFFF89"/>
    <w:multiLevelType w:val="hybridMultilevel"/>
    <w:lvl w:ilvl="0">
      <w:start w:val="1"/>
      <w:numFmt w:val="bullet"/>
      <w:pStyle w:val="P10"/>
      <w:suff w:val="tab"/>
      <w:lvlText w:val=""/>
      <w:lvlJc w:val="left"/>
      <w:pPr>
        <w:ind w:hanging="360" w:left="360"/>
        <w:tabs>
          <w:tab w:val="num" w:pos="360" w:leader="none"/>
        </w:tabs>
      </w:pPr>
      <w:rPr>
        <w:rFonts w:ascii="Symbol" w:hAnsi="Symbol" w:hint="default"/>
      </w:rPr>
    </w:lvl>
    <w:lvl w:ilvl="1" w:tplc="1B694AA1">
      <w:start w:val="1"/>
      <w:numFmt w:val="decimal"/>
      <w:suff w:val="tab"/>
      <w:lvlText w:val="%1."/>
      <w:lvlJc w:val="left"/>
      <w:pPr/>
      <w:rPr/>
    </w:lvl>
    <w:lvl w:ilvl="2" w:tplc="4BC51148">
      <w:start w:val="1"/>
      <w:numFmt w:val="decimal"/>
      <w:suff w:val="tab"/>
      <w:lvlText w:val="%1."/>
      <w:lvlJc w:val="left"/>
      <w:pPr/>
      <w:rPr/>
    </w:lvl>
    <w:lvl w:ilvl="3" w:tplc="3F04066C">
      <w:start w:val="1"/>
      <w:numFmt w:val="decimal"/>
      <w:suff w:val="tab"/>
      <w:lvlText w:val="%1."/>
      <w:lvlJc w:val="left"/>
      <w:pPr/>
      <w:rPr/>
    </w:lvl>
    <w:lvl w:ilvl="4" w:tplc="6748D554">
      <w:start w:val="1"/>
      <w:numFmt w:val="decimal"/>
      <w:suff w:val="tab"/>
      <w:lvlText w:val="%1."/>
      <w:lvlJc w:val="left"/>
      <w:pPr/>
      <w:rPr/>
    </w:lvl>
    <w:lvl w:ilvl="5" w:tplc="0E7594B4">
      <w:start w:val="1"/>
      <w:numFmt w:val="decimal"/>
      <w:suff w:val="tab"/>
      <w:lvlText w:val="%1."/>
      <w:lvlJc w:val="left"/>
      <w:pPr/>
      <w:rPr/>
    </w:lvl>
    <w:lvl w:ilvl="6" w:tplc="178AAA5F">
      <w:start w:val="1"/>
      <w:numFmt w:val="decimal"/>
      <w:suff w:val="tab"/>
      <w:lvlText w:val="%1."/>
      <w:lvlJc w:val="left"/>
      <w:pPr/>
      <w:rPr/>
    </w:lvl>
    <w:lvl w:ilvl="7" w:tplc="7A0A7B7F">
      <w:start w:val="1"/>
      <w:numFmt w:val="decimal"/>
      <w:suff w:val="tab"/>
      <w:lvlText w:val="%1."/>
      <w:lvlJc w:val="left"/>
      <w:pPr/>
      <w:rPr/>
    </w:lvl>
    <w:lvl w:ilvl="8" w:tplc="092EDCAB">
      <w:start w:val="1"/>
      <w:numFmt w:val="decimal"/>
      <w:suff w:val="tab"/>
      <w:lvlText w:val="%1."/>
      <w:lvlJc w:val="left"/>
      <w:pPr/>
      <w:rPr/>
    </w:lvl>
  </w:abstractNum>
  <w:abstractNum w:abstractNumId="12">
    <w:nsid w:val="01952555"/>
    <w:multiLevelType w:val="hybridMultilevel"/>
    <w:lvl w:ilvl="0" w:tplc="FFFFFFFF">
      <w:start w:val="1"/>
      <w:numFmt w:val="bullet"/>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3">
    <w:nsid w:val="068F5B3A"/>
    <w:multiLevelType w:val="hybridMultilevel"/>
    <w:lvl w:ilvl="0" w:tplc="FFFFFFFF">
      <w:start w:val="1"/>
      <w:numFmt w:val="bullet"/>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4">
    <w:nsid w:val="0B0168E7"/>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5">
    <w:nsid w:val="0C1771B0"/>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16">
    <w:nsid w:val="0EE9340B"/>
    <w:multiLevelType w:val="hybridMultilevel"/>
    <w:lvl w:ilvl="0" w:tplc="A5FE93A2">
      <w:start w:val="1"/>
      <w:numFmt w:val="bullet"/>
      <w:suff w:val="tab"/>
      <w:lvlText w:val="•"/>
      <w:lvlJc w:val="left"/>
      <w:pPr>
        <w:ind w:hanging="360" w:left="720"/>
        <w:tabs>
          <w:tab w:val="num" w:pos="720" w:leader="none"/>
        </w:tabs>
      </w:pPr>
      <w:rPr>
        <w:rFonts w:ascii="Arial" w:hAnsi="Arial" w:hint="default"/>
      </w:rPr>
    </w:lvl>
    <w:lvl w:ilvl="1" w:tplc="3C06467C">
      <w:start w:val="1"/>
      <w:numFmt w:val="bullet"/>
      <w:suff w:val="tab"/>
      <w:lvlText w:val="•"/>
      <w:lvlJc w:val="left"/>
      <w:pPr>
        <w:ind w:hanging="360" w:left="1440"/>
        <w:tabs>
          <w:tab w:val="num" w:pos="1440" w:leader="none"/>
        </w:tabs>
      </w:pPr>
      <w:rPr>
        <w:rFonts w:ascii="Arial" w:hAnsi="Arial" w:hint="default"/>
      </w:rPr>
    </w:lvl>
    <w:lvl w:ilvl="2" w:tplc="53E26812">
      <w:start w:val="1"/>
      <w:numFmt w:val="bullet"/>
      <w:suff w:val="tab"/>
      <w:lvlText w:val="•"/>
      <w:lvlJc w:val="left"/>
      <w:pPr>
        <w:ind w:hanging="360" w:left="2160"/>
        <w:tabs>
          <w:tab w:val="num" w:pos="2160" w:leader="none"/>
        </w:tabs>
      </w:pPr>
      <w:rPr>
        <w:rFonts w:ascii="Arial" w:hAnsi="Arial" w:hint="default"/>
      </w:rPr>
    </w:lvl>
    <w:lvl w:ilvl="3" w:tplc="FD28AD80">
      <w:start w:val="1"/>
      <w:numFmt w:val="bullet"/>
      <w:suff w:val="tab"/>
      <w:lvlText w:val="•"/>
      <w:lvlJc w:val="left"/>
      <w:pPr>
        <w:ind w:hanging="360" w:left="2880"/>
        <w:tabs>
          <w:tab w:val="num" w:pos="2880" w:leader="none"/>
        </w:tabs>
      </w:pPr>
      <w:rPr>
        <w:rFonts w:ascii="Arial" w:hAnsi="Arial" w:hint="default"/>
      </w:rPr>
    </w:lvl>
    <w:lvl w:ilvl="4" w:tplc="AF026146">
      <w:start w:val="1"/>
      <w:numFmt w:val="bullet"/>
      <w:suff w:val="tab"/>
      <w:lvlText w:val="•"/>
      <w:lvlJc w:val="left"/>
      <w:pPr>
        <w:ind w:hanging="360" w:left="3600"/>
        <w:tabs>
          <w:tab w:val="num" w:pos="3600" w:leader="none"/>
        </w:tabs>
      </w:pPr>
      <w:rPr>
        <w:rFonts w:ascii="Arial" w:hAnsi="Arial" w:hint="default"/>
      </w:rPr>
    </w:lvl>
    <w:lvl w:ilvl="5" w:tplc="5972E8B2">
      <w:start w:val="1"/>
      <w:numFmt w:val="bullet"/>
      <w:suff w:val="tab"/>
      <w:lvlText w:val="•"/>
      <w:lvlJc w:val="left"/>
      <w:pPr>
        <w:ind w:hanging="360" w:left="4320"/>
        <w:tabs>
          <w:tab w:val="num" w:pos="4320" w:leader="none"/>
        </w:tabs>
      </w:pPr>
      <w:rPr>
        <w:rFonts w:ascii="Arial" w:hAnsi="Arial" w:hint="default"/>
      </w:rPr>
    </w:lvl>
    <w:lvl w:ilvl="6" w:tplc="922C3372">
      <w:start w:val="1"/>
      <w:numFmt w:val="bullet"/>
      <w:suff w:val="tab"/>
      <w:lvlText w:val="•"/>
      <w:lvlJc w:val="left"/>
      <w:pPr>
        <w:ind w:hanging="360" w:left="5040"/>
        <w:tabs>
          <w:tab w:val="num" w:pos="5040" w:leader="none"/>
        </w:tabs>
      </w:pPr>
      <w:rPr>
        <w:rFonts w:ascii="Arial" w:hAnsi="Arial" w:hint="default"/>
      </w:rPr>
    </w:lvl>
    <w:lvl w:ilvl="7" w:tplc="0EA89D3E">
      <w:start w:val="1"/>
      <w:numFmt w:val="bullet"/>
      <w:suff w:val="tab"/>
      <w:lvlText w:val="•"/>
      <w:lvlJc w:val="left"/>
      <w:pPr>
        <w:ind w:hanging="360" w:left="5760"/>
        <w:tabs>
          <w:tab w:val="num" w:pos="5760" w:leader="none"/>
        </w:tabs>
      </w:pPr>
      <w:rPr>
        <w:rFonts w:ascii="Arial" w:hAnsi="Arial" w:hint="default"/>
      </w:rPr>
    </w:lvl>
    <w:lvl w:ilvl="8" w:tplc="C05C38D2">
      <w:start w:val="1"/>
      <w:numFmt w:val="bullet"/>
      <w:suff w:val="tab"/>
      <w:lvlText w:val="•"/>
      <w:lvlJc w:val="left"/>
      <w:pPr>
        <w:ind w:hanging="360" w:left="6480"/>
        <w:tabs>
          <w:tab w:val="num" w:pos="6480" w:leader="none"/>
        </w:tabs>
      </w:pPr>
      <w:rPr>
        <w:rFonts w:ascii="Arial" w:hAnsi="Arial" w:hint="default"/>
      </w:rPr>
    </w:lvl>
  </w:abstractNum>
  <w:abstractNum w:abstractNumId="17">
    <w:nsid w:val="1504610A"/>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8">
    <w:nsid w:val="159E7061"/>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9">
    <w:nsid w:val="17FC54D6"/>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0">
    <w:nsid w:val="1CEE088C"/>
    <w:multiLevelType w:val="hybridMultilevel"/>
    <w:lvl w:ilvl="0" w:tplc="0428ABC4">
      <w:start w:val="1"/>
      <w:numFmt w:val="bullet"/>
      <w:suff w:val="tab"/>
      <w:lvlText w:val=""/>
      <w:lvlJc w:val="left"/>
      <w:pPr>
        <w:ind w:hanging="360" w:left="980"/>
      </w:pPr>
      <w:rPr>
        <w:rFonts w:ascii="Symbol" w:hAnsi="Symbol"/>
      </w:rPr>
    </w:lvl>
    <w:lvl w:ilvl="1" w:tplc="1DE418FE">
      <w:start w:val="1"/>
      <w:numFmt w:val="bullet"/>
      <w:suff w:val="tab"/>
      <w:lvlText w:val=""/>
      <w:lvlJc w:val="left"/>
      <w:pPr>
        <w:ind w:hanging="360" w:left="980"/>
      </w:pPr>
      <w:rPr>
        <w:rFonts w:ascii="Symbol" w:hAnsi="Symbol"/>
      </w:rPr>
    </w:lvl>
    <w:lvl w:ilvl="2" w:tplc="46AA4198">
      <w:start w:val="1"/>
      <w:numFmt w:val="bullet"/>
      <w:suff w:val="tab"/>
      <w:lvlText w:val=""/>
      <w:lvlJc w:val="left"/>
      <w:pPr>
        <w:ind w:hanging="360" w:left="980"/>
      </w:pPr>
      <w:rPr>
        <w:rFonts w:ascii="Symbol" w:hAnsi="Symbol"/>
      </w:rPr>
    </w:lvl>
    <w:lvl w:ilvl="3" w:tplc="F46696E8">
      <w:start w:val="1"/>
      <w:numFmt w:val="bullet"/>
      <w:suff w:val="tab"/>
      <w:lvlText w:val=""/>
      <w:lvlJc w:val="left"/>
      <w:pPr>
        <w:ind w:hanging="360" w:left="980"/>
      </w:pPr>
      <w:rPr>
        <w:rFonts w:ascii="Symbol" w:hAnsi="Symbol"/>
      </w:rPr>
    </w:lvl>
    <w:lvl w:ilvl="4" w:tplc="C7A0BD18">
      <w:start w:val="1"/>
      <w:numFmt w:val="bullet"/>
      <w:suff w:val="tab"/>
      <w:lvlText w:val=""/>
      <w:lvlJc w:val="left"/>
      <w:pPr>
        <w:ind w:hanging="360" w:left="980"/>
      </w:pPr>
      <w:rPr>
        <w:rFonts w:ascii="Symbol" w:hAnsi="Symbol"/>
      </w:rPr>
    </w:lvl>
    <w:lvl w:ilvl="5" w:tplc="B9D6E72E">
      <w:start w:val="1"/>
      <w:numFmt w:val="bullet"/>
      <w:suff w:val="tab"/>
      <w:lvlText w:val=""/>
      <w:lvlJc w:val="left"/>
      <w:pPr>
        <w:ind w:hanging="360" w:left="980"/>
      </w:pPr>
      <w:rPr>
        <w:rFonts w:ascii="Symbol" w:hAnsi="Symbol"/>
      </w:rPr>
    </w:lvl>
    <w:lvl w:ilvl="6" w:tplc="90B02698">
      <w:start w:val="1"/>
      <w:numFmt w:val="bullet"/>
      <w:suff w:val="tab"/>
      <w:lvlText w:val=""/>
      <w:lvlJc w:val="left"/>
      <w:pPr>
        <w:ind w:hanging="360" w:left="980"/>
      </w:pPr>
      <w:rPr>
        <w:rFonts w:ascii="Symbol" w:hAnsi="Symbol"/>
      </w:rPr>
    </w:lvl>
    <w:lvl w:ilvl="7" w:tplc="0DEC83B4">
      <w:start w:val="1"/>
      <w:numFmt w:val="bullet"/>
      <w:suff w:val="tab"/>
      <w:lvlText w:val=""/>
      <w:lvlJc w:val="left"/>
      <w:pPr>
        <w:ind w:hanging="360" w:left="980"/>
      </w:pPr>
      <w:rPr>
        <w:rFonts w:ascii="Symbol" w:hAnsi="Symbol"/>
      </w:rPr>
    </w:lvl>
    <w:lvl w:ilvl="8" w:tplc="31643C44">
      <w:start w:val="1"/>
      <w:numFmt w:val="bullet"/>
      <w:suff w:val="tab"/>
      <w:lvlText w:val=""/>
      <w:lvlJc w:val="left"/>
      <w:pPr>
        <w:ind w:hanging="360" w:left="980"/>
      </w:pPr>
      <w:rPr>
        <w:rFonts w:ascii="Symbol" w:hAnsi="Symbol"/>
      </w:rPr>
    </w:lvl>
  </w:abstractNum>
  <w:abstractNum w:abstractNumId="21">
    <w:nsid w:val="1DF02731"/>
    <w:multiLevelType w:val="hybridMultilevel"/>
    <w:lvl w:ilvl="0" w:tplc="5306662A">
      <w:start w:val="1"/>
      <w:numFmt w:val="bullet"/>
      <w:suff w:val="tab"/>
      <w:lvlText w:val="•"/>
      <w:lvlJc w:val="left"/>
      <w:pPr>
        <w:ind w:hanging="360" w:left="720"/>
        <w:tabs>
          <w:tab w:val="num" w:pos="720" w:leader="none"/>
        </w:tabs>
      </w:pPr>
      <w:rPr>
        <w:rFonts w:ascii="Arial" w:hAnsi="Arial" w:hint="default"/>
      </w:rPr>
    </w:lvl>
    <w:lvl w:ilvl="1" w:tplc="C13A7AD8">
      <w:start w:val="1"/>
      <w:numFmt w:val="bullet"/>
      <w:suff w:val="tab"/>
      <w:lvlText w:val="•"/>
      <w:lvlJc w:val="left"/>
      <w:pPr>
        <w:ind w:hanging="360" w:left="1440"/>
        <w:tabs>
          <w:tab w:val="num" w:pos="1440" w:leader="none"/>
        </w:tabs>
      </w:pPr>
      <w:rPr>
        <w:rFonts w:ascii="Arial" w:hAnsi="Arial" w:hint="default"/>
      </w:rPr>
    </w:lvl>
    <w:lvl w:ilvl="2" w:tplc="19985CD2">
      <w:start w:val="1"/>
      <w:numFmt w:val="bullet"/>
      <w:suff w:val="tab"/>
      <w:lvlText w:val="•"/>
      <w:lvlJc w:val="left"/>
      <w:pPr>
        <w:ind w:hanging="360" w:left="2160"/>
        <w:tabs>
          <w:tab w:val="num" w:pos="2160" w:leader="none"/>
        </w:tabs>
      </w:pPr>
      <w:rPr>
        <w:rFonts w:ascii="Arial" w:hAnsi="Arial" w:hint="default"/>
      </w:rPr>
    </w:lvl>
    <w:lvl w:ilvl="3" w:tplc="642687A4">
      <w:start w:val="1"/>
      <w:numFmt w:val="bullet"/>
      <w:suff w:val="tab"/>
      <w:lvlText w:val="•"/>
      <w:lvlJc w:val="left"/>
      <w:pPr>
        <w:ind w:hanging="360" w:left="2880"/>
        <w:tabs>
          <w:tab w:val="num" w:pos="2880" w:leader="none"/>
        </w:tabs>
      </w:pPr>
      <w:rPr>
        <w:rFonts w:ascii="Arial" w:hAnsi="Arial" w:hint="default"/>
      </w:rPr>
    </w:lvl>
    <w:lvl w:ilvl="4" w:tplc="2442730C">
      <w:start w:val="1"/>
      <w:numFmt w:val="bullet"/>
      <w:suff w:val="tab"/>
      <w:lvlText w:val="•"/>
      <w:lvlJc w:val="left"/>
      <w:pPr>
        <w:ind w:hanging="360" w:left="3600"/>
        <w:tabs>
          <w:tab w:val="num" w:pos="3600" w:leader="none"/>
        </w:tabs>
      </w:pPr>
      <w:rPr>
        <w:rFonts w:ascii="Arial" w:hAnsi="Arial" w:hint="default"/>
      </w:rPr>
    </w:lvl>
    <w:lvl w:ilvl="5" w:tplc="1BC814B8">
      <w:start w:val="1"/>
      <w:numFmt w:val="bullet"/>
      <w:suff w:val="tab"/>
      <w:lvlText w:val="•"/>
      <w:lvlJc w:val="left"/>
      <w:pPr>
        <w:ind w:hanging="360" w:left="4320"/>
        <w:tabs>
          <w:tab w:val="num" w:pos="4320" w:leader="none"/>
        </w:tabs>
      </w:pPr>
      <w:rPr>
        <w:rFonts w:ascii="Arial" w:hAnsi="Arial" w:hint="default"/>
      </w:rPr>
    </w:lvl>
    <w:lvl w:ilvl="6" w:tplc="5C3E1346">
      <w:start w:val="1"/>
      <w:numFmt w:val="bullet"/>
      <w:suff w:val="tab"/>
      <w:lvlText w:val="•"/>
      <w:lvlJc w:val="left"/>
      <w:pPr>
        <w:ind w:hanging="360" w:left="5040"/>
        <w:tabs>
          <w:tab w:val="num" w:pos="5040" w:leader="none"/>
        </w:tabs>
      </w:pPr>
      <w:rPr>
        <w:rFonts w:ascii="Arial" w:hAnsi="Arial" w:hint="default"/>
      </w:rPr>
    </w:lvl>
    <w:lvl w:ilvl="7" w:tplc="B8844E12">
      <w:start w:val="1"/>
      <w:numFmt w:val="bullet"/>
      <w:suff w:val="tab"/>
      <w:lvlText w:val="•"/>
      <w:lvlJc w:val="left"/>
      <w:pPr>
        <w:ind w:hanging="360" w:left="5760"/>
        <w:tabs>
          <w:tab w:val="num" w:pos="5760" w:leader="none"/>
        </w:tabs>
      </w:pPr>
      <w:rPr>
        <w:rFonts w:ascii="Arial" w:hAnsi="Arial" w:hint="default"/>
      </w:rPr>
    </w:lvl>
    <w:lvl w:ilvl="8" w:tplc="7B784A84">
      <w:start w:val="1"/>
      <w:numFmt w:val="bullet"/>
      <w:suff w:val="tab"/>
      <w:lvlText w:val="•"/>
      <w:lvlJc w:val="left"/>
      <w:pPr>
        <w:ind w:hanging="360" w:left="6480"/>
        <w:tabs>
          <w:tab w:val="num" w:pos="6480" w:leader="none"/>
        </w:tabs>
      </w:pPr>
      <w:rPr>
        <w:rFonts w:ascii="Arial" w:hAnsi="Arial" w:hint="default"/>
      </w:rPr>
    </w:lvl>
  </w:abstractNum>
  <w:abstractNum w:abstractNumId="22">
    <w:nsid w:val="1E4154D1"/>
    <w:multiLevelType w:val="hybridMultilevel"/>
    <w:lvl w:ilvl="0" w:tplc="5F1C3B42">
      <w:start w:val="4"/>
      <w:numFmt w:val="bullet"/>
      <w:suff w:val="tab"/>
      <w:lvlText w:val="-"/>
      <w:lvlJc w:val="left"/>
      <w:pPr>
        <w:ind w:hanging="360" w:left="720"/>
      </w:pPr>
      <w:rPr>
        <w:rFonts w:ascii="Times New Roman" w:hAnsi="Times New Roman" w:cs="Times New Roman" w:eastAsiaTheme="minorHAnsi" w:hint="default"/>
      </w:rPr>
    </w:lvl>
    <w:lvl w:ilvl="1" w:tplc="FFFFFFFF">
      <w:start w:val="1"/>
      <w:numFmt w:val="bullet"/>
      <w:suff w:val="tab"/>
      <w:lvlText w:val="o"/>
      <w:lvlJc w:val="left"/>
      <w:pPr>
        <w:ind w:hanging="360" w:left="1440"/>
      </w:pPr>
      <w:rPr>
        <w:rFonts w:ascii="Courier New" w:hAnsi="Courier New" w:cs="Courier New" w:hint="default"/>
      </w:rPr>
    </w:lvl>
    <w:lvl w:ilvl="2" w:tplc="FFFFFFFF">
      <w:start w:val="1"/>
      <w:numFmt w:val="bullet"/>
      <w:suff w:val="tab"/>
      <w:lvlText w:val=""/>
      <w:lvlJc w:val="left"/>
      <w:pPr>
        <w:ind w:hanging="360" w:left="2160"/>
      </w:pPr>
      <w:rPr>
        <w:rFonts w:ascii="Wingdings" w:hAnsi="Wingdings" w:hint="default"/>
      </w:rPr>
    </w:lvl>
    <w:lvl w:ilvl="3" w:tplc="FFFFFFFF">
      <w:start w:val="1"/>
      <w:numFmt w:val="bullet"/>
      <w:suff w:val="tab"/>
      <w:lvlText w:val=""/>
      <w:lvlJc w:val="left"/>
      <w:pPr>
        <w:ind w:hanging="360" w:left="2880"/>
      </w:pPr>
      <w:rPr>
        <w:rFonts w:ascii="Symbol" w:hAnsi="Symbol" w:hint="default"/>
      </w:rPr>
    </w:lvl>
    <w:lvl w:ilvl="4" w:tplc="FFFFFFFF">
      <w:start w:val="1"/>
      <w:numFmt w:val="bullet"/>
      <w:suff w:val="tab"/>
      <w:lvlText w:val="o"/>
      <w:lvlJc w:val="left"/>
      <w:pPr>
        <w:ind w:hanging="360" w:left="3600"/>
      </w:pPr>
      <w:rPr>
        <w:rFonts w:ascii="Courier New" w:hAnsi="Courier New" w:cs="Courier New" w:hint="default"/>
      </w:rPr>
    </w:lvl>
    <w:lvl w:ilvl="5" w:tplc="FFFFFFFF">
      <w:start w:val="1"/>
      <w:numFmt w:val="bullet"/>
      <w:suff w:val="tab"/>
      <w:lvlText w:val=""/>
      <w:lvlJc w:val="left"/>
      <w:pPr>
        <w:ind w:hanging="360" w:left="4320"/>
      </w:pPr>
      <w:rPr>
        <w:rFonts w:ascii="Wingdings" w:hAnsi="Wingdings" w:hint="default"/>
      </w:rPr>
    </w:lvl>
    <w:lvl w:ilvl="6" w:tplc="FFFFFFFF">
      <w:start w:val="1"/>
      <w:numFmt w:val="bullet"/>
      <w:suff w:val="tab"/>
      <w:lvlText w:val=""/>
      <w:lvlJc w:val="left"/>
      <w:pPr>
        <w:ind w:hanging="360" w:left="5040"/>
      </w:pPr>
      <w:rPr>
        <w:rFonts w:ascii="Symbol" w:hAnsi="Symbol" w:hint="default"/>
      </w:rPr>
    </w:lvl>
    <w:lvl w:ilvl="7" w:tplc="FFFFFFFF">
      <w:start w:val="1"/>
      <w:numFmt w:val="bullet"/>
      <w:suff w:val="tab"/>
      <w:lvlText w:val="o"/>
      <w:lvlJc w:val="left"/>
      <w:pPr>
        <w:ind w:hanging="360" w:left="5760"/>
      </w:pPr>
      <w:rPr>
        <w:rFonts w:ascii="Courier New" w:hAnsi="Courier New" w:cs="Courier New" w:hint="default"/>
      </w:rPr>
    </w:lvl>
    <w:lvl w:ilvl="8" w:tplc="FFFFFFFF">
      <w:start w:val="1"/>
      <w:numFmt w:val="bullet"/>
      <w:suff w:val="tab"/>
      <w:lvlText w:val=""/>
      <w:lvlJc w:val="left"/>
      <w:pPr>
        <w:ind w:hanging="360" w:left="6480"/>
      </w:pPr>
      <w:rPr>
        <w:rFonts w:ascii="Wingdings" w:hAnsi="Wingdings" w:hint="default"/>
      </w:rPr>
    </w:lvl>
  </w:abstractNum>
  <w:abstractNum w:abstractNumId="23">
    <w:nsid w:val="1FC74649"/>
    <w:multiLevelType w:val="hybridMultilevel"/>
    <w:lvl w:ilvl="0" w:tplc="E2BCD696">
      <w:start w:val="1"/>
      <w:numFmt w:val="bullet"/>
      <w:suff w:val="tab"/>
      <w:lvlText w:val="•"/>
      <w:lvlJc w:val="left"/>
      <w:pPr>
        <w:ind w:hanging="360" w:left="720"/>
        <w:tabs>
          <w:tab w:val="num" w:pos="720" w:leader="none"/>
        </w:tabs>
      </w:pPr>
      <w:rPr>
        <w:rFonts w:ascii="Arial" w:hAnsi="Arial" w:hint="default"/>
      </w:rPr>
    </w:lvl>
    <w:lvl w:ilvl="1" w:tplc="C6263FB0">
      <w:start w:val="1"/>
      <w:numFmt w:val="bullet"/>
      <w:suff w:val="tab"/>
      <w:lvlText w:val="•"/>
      <w:lvlJc w:val="left"/>
      <w:pPr>
        <w:ind w:hanging="360" w:left="1440"/>
        <w:tabs>
          <w:tab w:val="num" w:pos="1440" w:leader="none"/>
        </w:tabs>
      </w:pPr>
      <w:rPr>
        <w:rFonts w:ascii="Arial" w:hAnsi="Arial" w:hint="default"/>
      </w:rPr>
    </w:lvl>
    <w:lvl w:ilvl="2" w:tplc="9FB42D4A">
      <w:start w:val="1"/>
      <w:numFmt w:val="bullet"/>
      <w:suff w:val="tab"/>
      <w:lvlText w:val="•"/>
      <w:lvlJc w:val="left"/>
      <w:pPr>
        <w:ind w:hanging="360" w:left="2160"/>
        <w:tabs>
          <w:tab w:val="num" w:pos="2160" w:leader="none"/>
        </w:tabs>
      </w:pPr>
      <w:rPr>
        <w:rFonts w:ascii="Arial" w:hAnsi="Arial" w:hint="default"/>
      </w:rPr>
    </w:lvl>
    <w:lvl w:ilvl="3" w:tplc="EFF42848">
      <w:start w:val="1"/>
      <w:numFmt w:val="bullet"/>
      <w:suff w:val="tab"/>
      <w:lvlText w:val="•"/>
      <w:lvlJc w:val="left"/>
      <w:pPr>
        <w:ind w:hanging="360" w:left="2880"/>
        <w:tabs>
          <w:tab w:val="num" w:pos="2880" w:leader="none"/>
        </w:tabs>
      </w:pPr>
      <w:rPr>
        <w:rFonts w:ascii="Arial" w:hAnsi="Arial" w:hint="default"/>
      </w:rPr>
    </w:lvl>
    <w:lvl w:ilvl="4" w:tplc="D9647AC4">
      <w:start w:val="1"/>
      <w:numFmt w:val="bullet"/>
      <w:suff w:val="tab"/>
      <w:lvlText w:val="•"/>
      <w:lvlJc w:val="left"/>
      <w:pPr>
        <w:ind w:hanging="360" w:left="3600"/>
        <w:tabs>
          <w:tab w:val="num" w:pos="3600" w:leader="none"/>
        </w:tabs>
      </w:pPr>
      <w:rPr>
        <w:rFonts w:ascii="Arial" w:hAnsi="Arial" w:hint="default"/>
      </w:rPr>
    </w:lvl>
    <w:lvl w:ilvl="5" w:tplc="12081256">
      <w:start w:val="1"/>
      <w:numFmt w:val="bullet"/>
      <w:suff w:val="tab"/>
      <w:lvlText w:val="•"/>
      <w:lvlJc w:val="left"/>
      <w:pPr>
        <w:ind w:hanging="360" w:left="4320"/>
        <w:tabs>
          <w:tab w:val="num" w:pos="4320" w:leader="none"/>
        </w:tabs>
      </w:pPr>
      <w:rPr>
        <w:rFonts w:ascii="Arial" w:hAnsi="Arial" w:hint="default"/>
      </w:rPr>
    </w:lvl>
    <w:lvl w:ilvl="6" w:tplc="EB6C5430">
      <w:start w:val="1"/>
      <w:numFmt w:val="bullet"/>
      <w:suff w:val="tab"/>
      <w:lvlText w:val="•"/>
      <w:lvlJc w:val="left"/>
      <w:pPr>
        <w:ind w:hanging="360" w:left="5040"/>
        <w:tabs>
          <w:tab w:val="num" w:pos="5040" w:leader="none"/>
        </w:tabs>
      </w:pPr>
      <w:rPr>
        <w:rFonts w:ascii="Arial" w:hAnsi="Arial" w:hint="default"/>
      </w:rPr>
    </w:lvl>
    <w:lvl w:ilvl="7" w:tplc="191CB3CE">
      <w:start w:val="1"/>
      <w:numFmt w:val="bullet"/>
      <w:suff w:val="tab"/>
      <w:lvlText w:val="•"/>
      <w:lvlJc w:val="left"/>
      <w:pPr>
        <w:ind w:hanging="360" w:left="5760"/>
        <w:tabs>
          <w:tab w:val="num" w:pos="5760" w:leader="none"/>
        </w:tabs>
      </w:pPr>
      <w:rPr>
        <w:rFonts w:ascii="Arial" w:hAnsi="Arial" w:hint="default"/>
      </w:rPr>
    </w:lvl>
    <w:lvl w:ilvl="8" w:tplc="9AEE1A32">
      <w:start w:val="1"/>
      <w:numFmt w:val="bullet"/>
      <w:suff w:val="tab"/>
      <w:lvlText w:val="•"/>
      <w:lvlJc w:val="left"/>
      <w:pPr>
        <w:ind w:hanging="360" w:left="6480"/>
        <w:tabs>
          <w:tab w:val="num" w:pos="6480" w:leader="none"/>
        </w:tabs>
      </w:pPr>
      <w:rPr>
        <w:rFonts w:ascii="Arial" w:hAnsi="Arial" w:hint="default"/>
      </w:rPr>
    </w:lvl>
  </w:abstractNum>
  <w:abstractNum w:abstractNumId="24">
    <w:nsid w:val="20865C02"/>
    <w:multiLevelType w:val="hybridMultilevel"/>
    <w:lvl w:ilvl="0" w:tplc="A52031CE">
      <w:start w:val="1"/>
      <w:numFmt w:val="bullet"/>
      <w:suff w:val="tab"/>
      <w:lvlText w:val="•"/>
      <w:lvlJc w:val="left"/>
      <w:pPr>
        <w:ind w:hanging="360" w:left="720"/>
        <w:tabs>
          <w:tab w:val="num" w:pos="720" w:leader="none"/>
        </w:tabs>
      </w:pPr>
      <w:rPr>
        <w:rFonts w:ascii="Arial" w:hAnsi="Arial" w:hint="default"/>
      </w:rPr>
    </w:lvl>
    <w:lvl w:ilvl="1" w:tplc="0E401780">
      <w:start w:val="1"/>
      <w:numFmt w:val="bullet"/>
      <w:suff w:val="tab"/>
      <w:lvlText w:val="•"/>
      <w:lvlJc w:val="left"/>
      <w:pPr>
        <w:ind w:hanging="360" w:left="1440"/>
        <w:tabs>
          <w:tab w:val="num" w:pos="1440" w:leader="none"/>
        </w:tabs>
      </w:pPr>
      <w:rPr>
        <w:rFonts w:ascii="Arial" w:hAnsi="Arial" w:hint="default"/>
      </w:rPr>
    </w:lvl>
    <w:lvl w:ilvl="2" w:tplc="09F678CA">
      <w:start w:val="1"/>
      <w:numFmt w:val="bullet"/>
      <w:suff w:val="tab"/>
      <w:lvlText w:val="•"/>
      <w:lvlJc w:val="left"/>
      <w:pPr>
        <w:ind w:hanging="360" w:left="2160"/>
        <w:tabs>
          <w:tab w:val="num" w:pos="2160" w:leader="none"/>
        </w:tabs>
      </w:pPr>
      <w:rPr>
        <w:rFonts w:ascii="Arial" w:hAnsi="Arial" w:hint="default"/>
      </w:rPr>
    </w:lvl>
    <w:lvl w:ilvl="3" w:tplc="5F3AA120">
      <w:start w:val="1"/>
      <w:numFmt w:val="bullet"/>
      <w:suff w:val="tab"/>
      <w:lvlText w:val="•"/>
      <w:lvlJc w:val="left"/>
      <w:pPr>
        <w:ind w:hanging="360" w:left="2880"/>
        <w:tabs>
          <w:tab w:val="num" w:pos="2880" w:leader="none"/>
        </w:tabs>
      </w:pPr>
      <w:rPr>
        <w:rFonts w:ascii="Arial" w:hAnsi="Arial" w:hint="default"/>
      </w:rPr>
    </w:lvl>
    <w:lvl w:ilvl="4" w:tplc="B67EB8D8">
      <w:start w:val="1"/>
      <w:numFmt w:val="bullet"/>
      <w:suff w:val="tab"/>
      <w:lvlText w:val="•"/>
      <w:lvlJc w:val="left"/>
      <w:pPr>
        <w:ind w:hanging="360" w:left="3600"/>
        <w:tabs>
          <w:tab w:val="num" w:pos="3600" w:leader="none"/>
        </w:tabs>
      </w:pPr>
      <w:rPr>
        <w:rFonts w:ascii="Arial" w:hAnsi="Arial" w:hint="default"/>
      </w:rPr>
    </w:lvl>
    <w:lvl w:ilvl="5" w:tplc="C3CCDDBC">
      <w:start w:val="1"/>
      <w:numFmt w:val="bullet"/>
      <w:suff w:val="tab"/>
      <w:lvlText w:val="•"/>
      <w:lvlJc w:val="left"/>
      <w:pPr>
        <w:ind w:hanging="360" w:left="4320"/>
        <w:tabs>
          <w:tab w:val="num" w:pos="4320" w:leader="none"/>
        </w:tabs>
      </w:pPr>
      <w:rPr>
        <w:rFonts w:ascii="Arial" w:hAnsi="Arial" w:hint="default"/>
      </w:rPr>
    </w:lvl>
    <w:lvl w:ilvl="6" w:tplc="38D48FC8">
      <w:start w:val="1"/>
      <w:numFmt w:val="bullet"/>
      <w:suff w:val="tab"/>
      <w:lvlText w:val="•"/>
      <w:lvlJc w:val="left"/>
      <w:pPr>
        <w:ind w:hanging="360" w:left="5040"/>
        <w:tabs>
          <w:tab w:val="num" w:pos="5040" w:leader="none"/>
        </w:tabs>
      </w:pPr>
      <w:rPr>
        <w:rFonts w:ascii="Arial" w:hAnsi="Arial" w:hint="default"/>
      </w:rPr>
    </w:lvl>
    <w:lvl w:ilvl="7" w:tplc="55F647B0">
      <w:start w:val="1"/>
      <w:numFmt w:val="bullet"/>
      <w:suff w:val="tab"/>
      <w:lvlText w:val="•"/>
      <w:lvlJc w:val="left"/>
      <w:pPr>
        <w:ind w:hanging="360" w:left="5760"/>
        <w:tabs>
          <w:tab w:val="num" w:pos="5760" w:leader="none"/>
        </w:tabs>
      </w:pPr>
      <w:rPr>
        <w:rFonts w:ascii="Arial" w:hAnsi="Arial" w:hint="default"/>
      </w:rPr>
    </w:lvl>
    <w:lvl w:ilvl="8" w:tplc="C2163F6A">
      <w:start w:val="1"/>
      <w:numFmt w:val="bullet"/>
      <w:suff w:val="tab"/>
      <w:lvlText w:val="•"/>
      <w:lvlJc w:val="left"/>
      <w:pPr>
        <w:ind w:hanging="360" w:left="6480"/>
        <w:tabs>
          <w:tab w:val="num" w:pos="6480" w:leader="none"/>
        </w:tabs>
      </w:pPr>
      <w:rPr>
        <w:rFonts w:ascii="Arial" w:hAnsi="Arial" w:hint="default"/>
      </w:rPr>
    </w:lvl>
  </w:abstractNum>
  <w:abstractNum w:abstractNumId="25">
    <w:nsid w:val="224C07A8"/>
    <w:multiLevelType w:val="hybridMultilevel"/>
    <w:lvl w:ilvl="0" w:tplc="376E060E">
      <w:start w:val="0"/>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6">
    <w:nsid w:val="226C43BE"/>
    <w:multiLevelType w:val="hybridMultilevel"/>
    <w:lvl w:ilvl="0" w:tplc="041D0001">
      <w:start w:val="1"/>
      <w:numFmt w:val="bullet"/>
      <w:suff w:val="tab"/>
      <w:lvlText w:val=""/>
      <w:lvlJc w:val="left"/>
      <w:pPr>
        <w:ind w:hanging="360" w:left="720"/>
      </w:pPr>
      <w:rPr>
        <w:rFonts w:ascii="Symbol" w:hAnsi="Symbol" w:hint="default"/>
      </w:rPr>
    </w:lvl>
    <w:lvl w:ilvl="1" w:tplc="FFFFFFFF">
      <w:start w:val="1"/>
      <w:numFmt w:val="bullet"/>
      <w:suff w:val="tab"/>
      <w:lvlText w:val="o"/>
      <w:lvlJc w:val="left"/>
      <w:pPr>
        <w:ind w:hanging="360" w:left="1440"/>
      </w:pPr>
      <w:rPr>
        <w:rFonts w:ascii="Courier New" w:hAnsi="Courier New" w:cs="Courier New" w:hint="default"/>
      </w:rPr>
    </w:lvl>
    <w:lvl w:ilvl="2" w:tplc="FFFFFFFF">
      <w:start w:val="1"/>
      <w:numFmt w:val="bullet"/>
      <w:suff w:val="tab"/>
      <w:lvlText w:val=""/>
      <w:lvlJc w:val="left"/>
      <w:pPr>
        <w:ind w:hanging="360" w:left="2160"/>
      </w:pPr>
      <w:rPr>
        <w:rFonts w:ascii="Wingdings" w:hAnsi="Wingdings" w:hint="default"/>
      </w:rPr>
    </w:lvl>
    <w:lvl w:ilvl="3" w:tplc="FFFFFFFF">
      <w:start w:val="1"/>
      <w:numFmt w:val="bullet"/>
      <w:suff w:val="tab"/>
      <w:lvlText w:val=""/>
      <w:lvlJc w:val="left"/>
      <w:pPr>
        <w:ind w:hanging="360" w:left="2880"/>
      </w:pPr>
      <w:rPr>
        <w:rFonts w:ascii="Symbol" w:hAnsi="Symbol" w:hint="default"/>
      </w:rPr>
    </w:lvl>
    <w:lvl w:ilvl="4" w:tplc="FFFFFFFF">
      <w:start w:val="1"/>
      <w:numFmt w:val="bullet"/>
      <w:suff w:val="tab"/>
      <w:lvlText w:val="o"/>
      <w:lvlJc w:val="left"/>
      <w:pPr>
        <w:ind w:hanging="360" w:left="3600"/>
      </w:pPr>
      <w:rPr>
        <w:rFonts w:ascii="Courier New" w:hAnsi="Courier New" w:cs="Courier New" w:hint="default"/>
      </w:rPr>
    </w:lvl>
    <w:lvl w:ilvl="5" w:tplc="FFFFFFFF">
      <w:start w:val="1"/>
      <w:numFmt w:val="bullet"/>
      <w:suff w:val="tab"/>
      <w:lvlText w:val=""/>
      <w:lvlJc w:val="left"/>
      <w:pPr>
        <w:ind w:hanging="360" w:left="4320"/>
      </w:pPr>
      <w:rPr>
        <w:rFonts w:ascii="Wingdings" w:hAnsi="Wingdings" w:hint="default"/>
      </w:rPr>
    </w:lvl>
    <w:lvl w:ilvl="6" w:tplc="FFFFFFFF">
      <w:start w:val="1"/>
      <w:numFmt w:val="bullet"/>
      <w:suff w:val="tab"/>
      <w:lvlText w:val=""/>
      <w:lvlJc w:val="left"/>
      <w:pPr>
        <w:ind w:hanging="360" w:left="5040"/>
      </w:pPr>
      <w:rPr>
        <w:rFonts w:ascii="Symbol" w:hAnsi="Symbol" w:hint="default"/>
      </w:rPr>
    </w:lvl>
    <w:lvl w:ilvl="7" w:tplc="FFFFFFFF">
      <w:start w:val="1"/>
      <w:numFmt w:val="bullet"/>
      <w:suff w:val="tab"/>
      <w:lvlText w:val="o"/>
      <w:lvlJc w:val="left"/>
      <w:pPr>
        <w:ind w:hanging="360" w:left="5760"/>
      </w:pPr>
      <w:rPr>
        <w:rFonts w:ascii="Courier New" w:hAnsi="Courier New" w:cs="Courier New" w:hint="default"/>
      </w:rPr>
    </w:lvl>
    <w:lvl w:ilvl="8" w:tplc="FFFFFFFF">
      <w:start w:val="1"/>
      <w:numFmt w:val="bullet"/>
      <w:suff w:val="tab"/>
      <w:lvlText w:val=""/>
      <w:lvlJc w:val="left"/>
      <w:pPr>
        <w:ind w:hanging="360" w:left="6480"/>
      </w:pPr>
      <w:rPr>
        <w:rFonts w:ascii="Wingdings" w:hAnsi="Wingdings" w:hint="default"/>
      </w:rPr>
    </w:lvl>
  </w:abstractNum>
  <w:abstractNum w:abstractNumId="27">
    <w:nsid w:val="2A7B60A1"/>
    <w:multiLevelType w:val="hybridMultilevel"/>
    <w:lvl w:ilvl="0" w:tplc="86364CA6">
      <w:start w:val="1"/>
      <w:numFmt w:val="bullet"/>
      <w:suff w:val="tab"/>
      <w:lvlText w:val="•"/>
      <w:lvlJc w:val="left"/>
      <w:pPr>
        <w:ind w:hanging="360" w:left="720"/>
        <w:tabs>
          <w:tab w:val="num" w:pos="720" w:leader="none"/>
        </w:tabs>
      </w:pPr>
      <w:rPr>
        <w:rFonts w:ascii="Arial" w:hAnsi="Arial" w:hint="default"/>
      </w:rPr>
    </w:lvl>
    <w:lvl w:ilvl="1" w:tplc="DD2682AA">
      <w:start w:val="1"/>
      <w:numFmt w:val="bullet"/>
      <w:suff w:val="tab"/>
      <w:lvlText w:val="•"/>
      <w:lvlJc w:val="left"/>
      <w:pPr>
        <w:ind w:hanging="360" w:left="1440"/>
        <w:tabs>
          <w:tab w:val="num" w:pos="1440" w:leader="none"/>
        </w:tabs>
      </w:pPr>
      <w:rPr>
        <w:rFonts w:ascii="Arial" w:hAnsi="Arial" w:hint="default"/>
      </w:rPr>
    </w:lvl>
    <w:lvl w:ilvl="2" w:tplc="5B428A98">
      <w:start w:val="1"/>
      <w:numFmt w:val="bullet"/>
      <w:suff w:val="tab"/>
      <w:lvlText w:val="•"/>
      <w:lvlJc w:val="left"/>
      <w:pPr>
        <w:ind w:hanging="360" w:left="2160"/>
        <w:tabs>
          <w:tab w:val="num" w:pos="2160" w:leader="none"/>
        </w:tabs>
      </w:pPr>
      <w:rPr>
        <w:rFonts w:ascii="Arial" w:hAnsi="Arial" w:hint="default"/>
      </w:rPr>
    </w:lvl>
    <w:lvl w:ilvl="3" w:tplc="604E1ED8">
      <w:start w:val="1"/>
      <w:numFmt w:val="bullet"/>
      <w:suff w:val="tab"/>
      <w:lvlText w:val="•"/>
      <w:lvlJc w:val="left"/>
      <w:pPr>
        <w:ind w:hanging="360" w:left="2880"/>
        <w:tabs>
          <w:tab w:val="num" w:pos="2880" w:leader="none"/>
        </w:tabs>
      </w:pPr>
      <w:rPr>
        <w:rFonts w:ascii="Arial" w:hAnsi="Arial" w:hint="default"/>
      </w:rPr>
    </w:lvl>
    <w:lvl w:ilvl="4" w:tplc="B78E6BFC">
      <w:start w:val="1"/>
      <w:numFmt w:val="bullet"/>
      <w:suff w:val="tab"/>
      <w:lvlText w:val="•"/>
      <w:lvlJc w:val="left"/>
      <w:pPr>
        <w:ind w:hanging="360" w:left="3600"/>
        <w:tabs>
          <w:tab w:val="num" w:pos="3600" w:leader="none"/>
        </w:tabs>
      </w:pPr>
      <w:rPr>
        <w:rFonts w:ascii="Arial" w:hAnsi="Arial" w:hint="default"/>
      </w:rPr>
    </w:lvl>
    <w:lvl w:ilvl="5" w:tplc="0A7EEA06">
      <w:start w:val="1"/>
      <w:numFmt w:val="bullet"/>
      <w:suff w:val="tab"/>
      <w:lvlText w:val="•"/>
      <w:lvlJc w:val="left"/>
      <w:pPr>
        <w:ind w:hanging="360" w:left="4320"/>
        <w:tabs>
          <w:tab w:val="num" w:pos="4320" w:leader="none"/>
        </w:tabs>
      </w:pPr>
      <w:rPr>
        <w:rFonts w:ascii="Arial" w:hAnsi="Arial" w:hint="default"/>
      </w:rPr>
    </w:lvl>
    <w:lvl w:ilvl="6" w:tplc="78C4982E">
      <w:start w:val="1"/>
      <w:numFmt w:val="bullet"/>
      <w:suff w:val="tab"/>
      <w:lvlText w:val="•"/>
      <w:lvlJc w:val="left"/>
      <w:pPr>
        <w:ind w:hanging="360" w:left="5040"/>
        <w:tabs>
          <w:tab w:val="num" w:pos="5040" w:leader="none"/>
        </w:tabs>
      </w:pPr>
      <w:rPr>
        <w:rFonts w:ascii="Arial" w:hAnsi="Arial" w:hint="default"/>
      </w:rPr>
    </w:lvl>
    <w:lvl w:ilvl="7" w:tplc="9E14EC34">
      <w:start w:val="1"/>
      <w:numFmt w:val="bullet"/>
      <w:suff w:val="tab"/>
      <w:lvlText w:val="•"/>
      <w:lvlJc w:val="left"/>
      <w:pPr>
        <w:ind w:hanging="360" w:left="5760"/>
        <w:tabs>
          <w:tab w:val="num" w:pos="5760" w:leader="none"/>
        </w:tabs>
      </w:pPr>
      <w:rPr>
        <w:rFonts w:ascii="Arial" w:hAnsi="Arial" w:hint="default"/>
      </w:rPr>
    </w:lvl>
    <w:lvl w:ilvl="8" w:tplc="04603D92">
      <w:start w:val="1"/>
      <w:numFmt w:val="bullet"/>
      <w:suff w:val="tab"/>
      <w:lvlText w:val="•"/>
      <w:lvlJc w:val="left"/>
      <w:pPr>
        <w:ind w:hanging="360" w:left="6480"/>
        <w:tabs>
          <w:tab w:val="num" w:pos="6480" w:leader="none"/>
        </w:tabs>
      </w:pPr>
      <w:rPr>
        <w:rFonts w:ascii="Arial" w:hAnsi="Arial" w:hint="default"/>
      </w:rPr>
    </w:lvl>
  </w:abstractNum>
  <w:abstractNum w:abstractNumId="28">
    <w:nsid w:val="33562309"/>
    <w:multiLevelType w:val="multilevel"/>
    <w:tmpl w:val="0409001D"/>
    <w:styleLink w:val="N2"/>
    <w:lvl w:ilvl="0">
      <w:start w:val="1"/>
      <w:numFmt w:val="bullet"/>
      <w:suff w:val="tab"/>
      <w:lvlText w:val="•"/>
      <w:lvlJc w:val="left"/>
      <w:pPr>
        <w:ind w:hanging="340" w:left="340"/>
        <w:tabs>
          <w:tab w:val="num" w:pos="340" w:leader="none"/>
        </w:tabs>
      </w:pPr>
      <w:rPr>
        <w:rFonts w:ascii="Calibri" w:hAnsi="Calibri" w:hint="default"/>
      </w:rPr>
    </w:lvl>
    <w:lvl w:ilvl="1">
      <w:start w:val="1"/>
      <w:numFmt w:val="bullet"/>
      <w:suff w:val="tab"/>
      <w:lvlText w:val="˗"/>
      <w:lvlJc w:val="left"/>
      <w:pPr>
        <w:ind w:hanging="340" w:left="680"/>
        <w:tabs>
          <w:tab w:val="num" w:pos="680" w:leader="none"/>
        </w:tabs>
      </w:pPr>
      <w:rPr>
        <w:rFonts w:ascii="Calibri" w:hAnsi="Calibri" w:hint="default"/>
        <w:sz w:val="24"/>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29">
    <w:nsid w:val="33FA3548"/>
    <w:multiLevelType w:val="hybridMultilevel"/>
    <w:lvl w:ilvl="0" w:tplc="041D0001">
      <w:start w:val="1"/>
      <w:numFmt w:val="bullet"/>
      <w:suff w:val="tab"/>
      <w:lvlText w:val=""/>
      <w:lvlJc w:val="left"/>
      <w:pPr/>
      <w:rPr>
        <w:rFonts w:ascii="Symbol" w:hAnsi="Symbol" w:hint="default"/>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30">
    <w:nsid w:val="3BB9573B"/>
    <w:multiLevelType w:val="hybridMultilevel"/>
    <w:lvl w:ilvl="0" w:tplc="5F1C3B42">
      <w:start w:val="4"/>
      <w:numFmt w:val="bullet"/>
      <w:suff w:val="tab"/>
      <w:lvlText w:val="-"/>
      <w:lvlJc w:val="left"/>
      <w:pPr>
        <w:ind w:hanging="360" w:left="720"/>
      </w:pPr>
      <w:rPr>
        <w:rFonts w:ascii="Times New Roman" w:hAnsi="Times New Roman" w:cs="Times New Roman" w:eastAsiaTheme="minorHAnsi"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31">
    <w:nsid w:val="3BD81B03"/>
    <w:multiLevelType w:val="multilevel"/>
    <w:lvl w:ilvl="0">
      <w:start w:val="1"/>
      <w:numFmt w:val="decimal"/>
      <w:pStyle w:val="P26"/>
      <w:suff w:val="space"/>
      <w:lvlText w:val="%1"/>
      <w:lvlJc w:val="left"/>
      <w:pPr>
        <w:ind w:firstLine="0" w:left="0"/>
      </w:pPr>
      <w:rPr>
        <w:rFonts w:hint="default"/>
      </w:rPr>
    </w:lvl>
    <w:lvl w:ilvl="1">
      <w:start w:val="1"/>
      <w:numFmt w:val="decimal"/>
      <w:pStyle w:val="P27"/>
      <w:suff w:val="space"/>
      <w:lvlText w:val="%1.%2"/>
      <w:lvlJc w:val="left"/>
      <w:pPr>
        <w:ind w:firstLine="0" w:left="0"/>
      </w:pPr>
      <w:rPr>
        <w:rFonts w:hint="default"/>
      </w:rPr>
    </w:lvl>
    <w:lvl w:ilvl="2">
      <w:start w:val="1"/>
      <w:numFmt w:val="decimal"/>
      <w:pStyle w:val="P28"/>
      <w:suff w:val="space"/>
      <w:lvlText w:val="%1.%2.%3"/>
      <w:lvlJc w:val="left"/>
      <w:pPr>
        <w:ind w:firstLine="0" w:left="0"/>
      </w:pPr>
      <w:rPr>
        <w:rFonts w:hint="default"/>
      </w:rPr>
    </w:lvl>
    <w:lvl w:ilvl="3">
      <w:start w:val="1"/>
      <w:numFmt w:val="decimal"/>
      <w:pStyle w:val="P29"/>
      <w:suff w:val="space"/>
      <w:lvlText w:val="%1.%2.%3.%4"/>
      <w:lvlJc w:val="left"/>
      <w:pPr>
        <w:ind w:firstLine="0" w:left="0"/>
      </w:pPr>
      <w:rPr>
        <w:rFonts w:hint="default"/>
      </w:rPr>
    </w:lvl>
    <w:lvl w:ilvl="4">
      <w:start w:val="1"/>
      <w:numFmt w:val="decimal"/>
      <w:lvlRestart w:val="3"/>
      <w:pStyle w:val="P30"/>
      <w:suff w:val="space"/>
      <w:lvlText w:val="%1.%2.%3.%4.%5"/>
      <w:lvlJc w:val="left"/>
      <w:pPr>
        <w:ind w:firstLine="0" w:left="0"/>
      </w:pPr>
      <w:rPr>
        <w:rFonts w:hint="default"/>
      </w:rPr>
    </w:lvl>
    <w:lvl w:ilvl="5">
      <w:start w:val="1"/>
      <w:numFmt w:val="decimal"/>
      <w:suff w:val="space"/>
      <w:lvlText w:val="%1.%2.%3.%4.%5.%6"/>
      <w:lvlJc w:val="left"/>
      <w:pPr>
        <w:ind w:firstLine="0" w:left="0"/>
      </w:pPr>
      <w:rPr>
        <w:rFonts w:hint="default"/>
      </w:rPr>
    </w:lvl>
    <w:lvl w:ilvl="6">
      <w:start w:val="1"/>
      <w:numFmt w:val="decimal"/>
      <w:pStyle w:val="P7"/>
      <w:suff w:val="space"/>
      <w:lvlText w:val="%1.%2.%3.%4.%5.%6.%7"/>
      <w:lvlJc w:val="left"/>
      <w:pPr>
        <w:ind w:firstLine="0" w:left="0"/>
      </w:pPr>
      <w:rPr>
        <w:rFonts w:hint="default"/>
      </w:rPr>
    </w:lvl>
    <w:lvl w:ilvl="7">
      <w:start w:val="1"/>
      <w:numFmt w:val="decimal"/>
      <w:pStyle w:val="P8"/>
      <w:suff w:val="space"/>
      <w:lvlText w:val="%1.%2.%3.%4.%5.%6.%7.%8"/>
      <w:lvlJc w:val="left"/>
      <w:pPr>
        <w:ind w:firstLine="0" w:left="0"/>
      </w:pPr>
      <w:rPr>
        <w:rFonts w:hint="default"/>
      </w:rPr>
    </w:lvl>
    <w:lvl w:ilvl="8">
      <w:start w:val="1"/>
      <w:numFmt w:val="decimal"/>
      <w:pStyle w:val="P9"/>
      <w:suff w:val="space"/>
      <w:lvlText w:val="%1.%2.%3.%4.%5.%6.%7.%8.%9"/>
      <w:lvlJc w:val="left"/>
      <w:pPr>
        <w:ind w:firstLine="0" w:left="0"/>
      </w:pPr>
      <w:rPr>
        <w:rFonts w:hint="default"/>
      </w:rPr>
    </w:lvl>
  </w:abstractNum>
  <w:abstractNum w:abstractNumId="32">
    <w:nsid w:val="3DE24D9D"/>
    <w:multiLevelType w:val="hybridMultilevel"/>
    <w:lvl w:ilvl="0" w:tplc="9F8406E6">
      <w:start w:val="1"/>
      <w:numFmt w:val="bullet"/>
      <w:suff w:val="tab"/>
      <w:lvlText w:val="•"/>
      <w:lvlJc w:val="left"/>
      <w:pPr>
        <w:ind w:hanging="360" w:left="720"/>
        <w:tabs>
          <w:tab w:val="num" w:pos="720" w:leader="none"/>
        </w:tabs>
      </w:pPr>
      <w:rPr>
        <w:rFonts w:ascii="Arial" w:hAnsi="Arial" w:hint="default"/>
      </w:rPr>
    </w:lvl>
    <w:lvl w:ilvl="1" w:tplc="13F64334">
      <w:start w:val="1"/>
      <w:numFmt w:val="bullet"/>
      <w:suff w:val="tab"/>
      <w:lvlText w:val="•"/>
      <w:lvlJc w:val="left"/>
      <w:pPr>
        <w:ind w:hanging="360" w:left="1440"/>
        <w:tabs>
          <w:tab w:val="num" w:pos="1440" w:leader="none"/>
        </w:tabs>
      </w:pPr>
      <w:rPr>
        <w:rFonts w:ascii="Arial" w:hAnsi="Arial" w:hint="default"/>
      </w:rPr>
    </w:lvl>
    <w:lvl w:ilvl="2" w:tplc="731A1B0E">
      <w:start w:val="1"/>
      <w:numFmt w:val="bullet"/>
      <w:suff w:val="tab"/>
      <w:lvlText w:val="•"/>
      <w:lvlJc w:val="left"/>
      <w:pPr>
        <w:ind w:hanging="360" w:left="2160"/>
        <w:tabs>
          <w:tab w:val="num" w:pos="2160" w:leader="none"/>
        </w:tabs>
      </w:pPr>
      <w:rPr>
        <w:rFonts w:ascii="Arial" w:hAnsi="Arial" w:hint="default"/>
      </w:rPr>
    </w:lvl>
    <w:lvl w:ilvl="3" w:tplc="4588FD2A">
      <w:start w:val="1"/>
      <w:numFmt w:val="bullet"/>
      <w:suff w:val="tab"/>
      <w:lvlText w:val="•"/>
      <w:lvlJc w:val="left"/>
      <w:pPr>
        <w:ind w:hanging="360" w:left="2880"/>
        <w:tabs>
          <w:tab w:val="num" w:pos="2880" w:leader="none"/>
        </w:tabs>
      </w:pPr>
      <w:rPr>
        <w:rFonts w:ascii="Arial" w:hAnsi="Arial" w:hint="default"/>
      </w:rPr>
    </w:lvl>
    <w:lvl w:ilvl="4" w:tplc="EE62A900">
      <w:start w:val="1"/>
      <w:numFmt w:val="bullet"/>
      <w:suff w:val="tab"/>
      <w:lvlText w:val="•"/>
      <w:lvlJc w:val="left"/>
      <w:pPr>
        <w:ind w:hanging="360" w:left="3600"/>
        <w:tabs>
          <w:tab w:val="num" w:pos="3600" w:leader="none"/>
        </w:tabs>
      </w:pPr>
      <w:rPr>
        <w:rFonts w:ascii="Arial" w:hAnsi="Arial" w:hint="default"/>
      </w:rPr>
    </w:lvl>
    <w:lvl w:ilvl="5" w:tplc="F3A24088">
      <w:start w:val="1"/>
      <w:numFmt w:val="bullet"/>
      <w:suff w:val="tab"/>
      <w:lvlText w:val="•"/>
      <w:lvlJc w:val="left"/>
      <w:pPr>
        <w:ind w:hanging="360" w:left="4320"/>
        <w:tabs>
          <w:tab w:val="num" w:pos="4320" w:leader="none"/>
        </w:tabs>
      </w:pPr>
      <w:rPr>
        <w:rFonts w:ascii="Arial" w:hAnsi="Arial" w:hint="default"/>
      </w:rPr>
    </w:lvl>
    <w:lvl w:ilvl="6" w:tplc="F0EE7F6E">
      <w:start w:val="1"/>
      <w:numFmt w:val="bullet"/>
      <w:suff w:val="tab"/>
      <w:lvlText w:val="•"/>
      <w:lvlJc w:val="left"/>
      <w:pPr>
        <w:ind w:hanging="360" w:left="5040"/>
        <w:tabs>
          <w:tab w:val="num" w:pos="5040" w:leader="none"/>
        </w:tabs>
      </w:pPr>
      <w:rPr>
        <w:rFonts w:ascii="Arial" w:hAnsi="Arial" w:hint="default"/>
      </w:rPr>
    </w:lvl>
    <w:lvl w:ilvl="7" w:tplc="0D12BEB6">
      <w:start w:val="1"/>
      <w:numFmt w:val="bullet"/>
      <w:suff w:val="tab"/>
      <w:lvlText w:val="•"/>
      <w:lvlJc w:val="left"/>
      <w:pPr>
        <w:ind w:hanging="360" w:left="5760"/>
        <w:tabs>
          <w:tab w:val="num" w:pos="5760" w:leader="none"/>
        </w:tabs>
      </w:pPr>
      <w:rPr>
        <w:rFonts w:ascii="Arial" w:hAnsi="Arial" w:hint="default"/>
      </w:rPr>
    </w:lvl>
    <w:lvl w:ilvl="8" w:tplc="BF78DC24">
      <w:start w:val="1"/>
      <w:numFmt w:val="bullet"/>
      <w:suff w:val="tab"/>
      <w:lvlText w:val="•"/>
      <w:lvlJc w:val="left"/>
      <w:pPr>
        <w:ind w:hanging="360" w:left="6480"/>
        <w:tabs>
          <w:tab w:val="num" w:pos="6480" w:leader="none"/>
        </w:tabs>
      </w:pPr>
      <w:rPr>
        <w:rFonts w:ascii="Arial" w:hAnsi="Arial" w:hint="default"/>
      </w:rPr>
    </w:lvl>
  </w:abstractNum>
  <w:abstractNum w:abstractNumId="33">
    <w:nsid w:val="5655329C"/>
    <w:multiLevelType w:val="hybridMultilevel"/>
    <w:lvl w:ilvl="0" w:tplc="EA8212CC">
      <w:start w:val="1"/>
      <w:numFmt w:val="bullet"/>
      <w:suff w:val="tab"/>
      <w:lvlText w:val="•"/>
      <w:lvlJc w:val="left"/>
      <w:pPr>
        <w:ind w:hanging="360" w:left="720"/>
        <w:tabs>
          <w:tab w:val="num" w:pos="720" w:leader="none"/>
        </w:tabs>
      </w:pPr>
      <w:rPr>
        <w:rFonts w:ascii="Arial" w:hAnsi="Arial" w:hint="default"/>
      </w:rPr>
    </w:lvl>
    <w:lvl w:ilvl="1" w:tplc="6D524FC2">
      <w:start w:val="1"/>
      <w:numFmt w:val="bullet"/>
      <w:suff w:val="tab"/>
      <w:lvlText w:val="•"/>
      <w:lvlJc w:val="left"/>
      <w:pPr>
        <w:ind w:hanging="360" w:left="1440"/>
        <w:tabs>
          <w:tab w:val="num" w:pos="1440" w:leader="none"/>
        </w:tabs>
      </w:pPr>
      <w:rPr>
        <w:rFonts w:ascii="Arial" w:hAnsi="Arial" w:hint="default"/>
      </w:rPr>
    </w:lvl>
    <w:lvl w:ilvl="2" w:tplc="2F58BEBE">
      <w:start w:val="1"/>
      <w:numFmt w:val="bullet"/>
      <w:suff w:val="tab"/>
      <w:lvlText w:val="•"/>
      <w:lvlJc w:val="left"/>
      <w:pPr>
        <w:ind w:hanging="360" w:left="2160"/>
        <w:tabs>
          <w:tab w:val="num" w:pos="2160" w:leader="none"/>
        </w:tabs>
      </w:pPr>
      <w:rPr>
        <w:rFonts w:ascii="Arial" w:hAnsi="Arial" w:hint="default"/>
      </w:rPr>
    </w:lvl>
    <w:lvl w:ilvl="3" w:tplc="F65E2486">
      <w:start w:val="1"/>
      <w:numFmt w:val="bullet"/>
      <w:suff w:val="tab"/>
      <w:lvlText w:val="•"/>
      <w:lvlJc w:val="left"/>
      <w:pPr>
        <w:ind w:hanging="360" w:left="2880"/>
        <w:tabs>
          <w:tab w:val="num" w:pos="2880" w:leader="none"/>
        </w:tabs>
      </w:pPr>
      <w:rPr>
        <w:rFonts w:ascii="Arial" w:hAnsi="Arial" w:hint="default"/>
      </w:rPr>
    </w:lvl>
    <w:lvl w:ilvl="4" w:tplc="B1464034">
      <w:start w:val="1"/>
      <w:numFmt w:val="bullet"/>
      <w:suff w:val="tab"/>
      <w:lvlText w:val="•"/>
      <w:lvlJc w:val="left"/>
      <w:pPr>
        <w:ind w:hanging="360" w:left="3600"/>
        <w:tabs>
          <w:tab w:val="num" w:pos="3600" w:leader="none"/>
        </w:tabs>
      </w:pPr>
      <w:rPr>
        <w:rFonts w:ascii="Arial" w:hAnsi="Arial" w:hint="default"/>
      </w:rPr>
    </w:lvl>
    <w:lvl w:ilvl="5" w:tplc="85B87FF8">
      <w:start w:val="1"/>
      <w:numFmt w:val="bullet"/>
      <w:suff w:val="tab"/>
      <w:lvlText w:val="•"/>
      <w:lvlJc w:val="left"/>
      <w:pPr>
        <w:ind w:hanging="360" w:left="4320"/>
        <w:tabs>
          <w:tab w:val="num" w:pos="4320" w:leader="none"/>
        </w:tabs>
      </w:pPr>
      <w:rPr>
        <w:rFonts w:ascii="Arial" w:hAnsi="Arial" w:hint="default"/>
      </w:rPr>
    </w:lvl>
    <w:lvl w:ilvl="6" w:tplc="CEE81E02">
      <w:start w:val="1"/>
      <w:numFmt w:val="bullet"/>
      <w:suff w:val="tab"/>
      <w:lvlText w:val="•"/>
      <w:lvlJc w:val="left"/>
      <w:pPr>
        <w:ind w:hanging="360" w:left="5040"/>
        <w:tabs>
          <w:tab w:val="num" w:pos="5040" w:leader="none"/>
        </w:tabs>
      </w:pPr>
      <w:rPr>
        <w:rFonts w:ascii="Arial" w:hAnsi="Arial" w:hint="default"/>
      </w:rPr>
    </w:lvl>
    <w:lvl w:ilvl="7" w:tplc="7BB2F752">
      <w:start w:val="1"/>
      <w:numFmt w:val="bullet"/>
      <w:suff w:val="tab"/>
      <w:lvlText w:val="•"/>
      <w:lvlJc w:val="left"/>
      <w:pPr>
        <w:ind w:hanging="360" w:left="5760"/>
        <w:tabs>
          <w:tab w:val="num" w:pos="5760" w:leader="none"/>
        </w:tabs>
      </w:pPr>
      <w:rPr>
        <w:rFonts w:ascii="Arial" w:hAnsi="Arial" w:hint="default"/>
      </w:rPr>
    </w:lvl>
    <w:lvl w:ilvl="8" w:tplc="C4F0E158">
      <w:start w:val="1"/>
      <w:numFmt w:val="bullet"/>
      <w:suff w:val="tab"/>
      <w:lvlText w:val="•"/>
      <w:lvlJc w:val="left"/>
      <w:pPr>
        <w:ind w:hanging="360" w:left="6480"/>
        <w:tabs>
          <w:tab w:val="num" w:pos="6480" w:leader="none"/>
        </w:tabs>
      </w:pPr>
      <w:rPr>
        <w:rFonts w:ascii="Arial" w:hAnsi="Arial" w:hint="default"/>
      </w:rPr>
    </w:lvl>
  </w:abstractNum>
  <w:abstractNum w:abstractNumId="34">
    <w:nsid w:val="5BA46BBE"/>
    <w:multiLevelType w:val="hybridMultilevel"/>
    <w:lvl w:ilvl="0" w:tplc="F79E21D8">
      <w:start w:val="2025"/>
      <w:numFmt w:val="bullet"/>
      <w:suff w:val="tab"/>
      <w:lvlText w:val="-"/>
      <w:lvlJc w:val="left"/>
      <w:pPr>
        <w:ind w:hanging="360" w:left="720"/>
      </w:pPr>
      <w:rPr>
        <w:rFonts w:ascii="Times New Roman" w:hAnsi="Times New Roman" w:cs="Times New Roman" w:eastAsia="Aria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35">
    <w:nsid w:val="5EFF3093"/>
    <w:multiLevelType w:val="hybridMultilevel"/>
    <w:lvl w:ilvl="0" w:tplc="50A431B4">
      <w:start w:val="1"/>
      <w:numFmt w:val="bullet"/>
      <w:suff w:val="tab"/>
      <w:lvlText w:val="•"/>
      <w:lvlJc w:val="left"/>
      <w:pPr>
        <w:ind w:hanging="360" w:left="720"/>
        <w:tabs>
          <w:tab w:val="num" w:pos="720" w:leader="none"/>
        </w:tabs>
      </w:pPr>
      <w:rPr>
        <w:rFonts w:ascii="Arial" w:hAnsi="Arial" w:hint="default"/>
      </w:rPr>
    </w:lvl>
    <w:lvl w:ilvl="1" w:tplc="1FE4DF8E">
      <w:start w:val="1"/>
      <w:numFmt w:val="bullet"/>
      <w:suff w:val="tab"/>
      <w:lvlText w:val="•"/>
      <w:lvlJc w:val="left"/>
      <w:pPr>
        <w:ind w:hanging="360" w:left="1440"/>
        <w:tabs>
          <w:tab w:val="num" w:pos="1440" w:leader="none"/>
        </w:tabs>
      </w:pPr>
      <w:rPr>
        <w:rFonts w:ascii="Arial" w:hAnsi="Arial" w:hint="default"/>
      </w:rPr>
    </w:lvl>
    <w:lvl w:ilvl="2" w:tplc="D9CE4E92">
      <w:start w:val="1"/>
      <w:numFmt w:val="bullet"/>
      <w:suff w:val="tab"/>
      <w:lvlText w:val="•"/>
      <w:lvlJc w:val="left"/>
      <w:pPr>
        <w:ind w:hanging="360" w:left="2160"/>
        <w:tabs>
          <w:tab w:val="num" w:pos="2160" w:leader="none"/>
        </w:tabs>
      </w:pPr>
      <w:rPr>
        <w:rFonts w:ascii="Arial" w:hAnsi="Arial" w:hint="default"/>
      </w:rPr>
    </w:lvl>
    <w:lvl w:ilvl="3" w:tplc="BD62EF8A">
      <w:start w:val="1"/>
      <w:numFmt w:val="bullet"/>
      <w:suff w:val="tab"/>
      <w:lvlText w:val="•"/>
      <w:lvlJc w:val="left"/>
      <w:pPr>
        <w:ind w:hanging="360" w:left="2880"/>
        <w:tabs>
          <w:tab w:val="num" w:pos="2880" w:leader="none"/>
        </w:tabs>
      </w:pPr>
      <w:rPr>
        <w:rFonts w:ascii="Arial" w:hAnsi="Arial" w:hint="default"/>
      </w:rPr>
    </w:lvl>
    <w:lvl w:ilvl="4" w:tplc="16181140">
      <w:start w:val="1"/>
      <w:numFmt w:val="bullet"/>
      <w:suff w:val="tab"/>
      <w:lvlText w:val="•"/>
      <w:lvlJc w:val="left"/>
      <w:pPr>
        <w:ind w:hanging="360" w:left="3600"/>
        <w:tabs>
          <w:tab w:val="num" w:pos="3600" w:leader="none"/>
        </w:tabs>
      </w:pPr>
      <w:rPr>
        <w:rFonts w:ascii="Arial" w:hAnsi="Arial" w:hint="default"/>
      </w:rPr>
    </w:lvl>
    <w:lvl w:ilvl="5" w:tplc="107E2AC0">
      <w:start w:val="1"/>
      <w:numFmt w:val="bullet"/>
      <w:suff w:val="tab"/>
      <w:lvlText w:val="•"/>
      <w:lvlJc w:val="left"/>
      <w:pPr>
        <w:ind w:hanging="360" w:left="4320"/>
        <w:tabs>
          <w:tab w:val="num" w:pos="4320" w:leader="none"/>
        </w:tabs>
      </w:pPr>
      <w:rPr>
        <w:rFonts w:ascii="Arial" w:hAnsi="Arial" w:hint="default"/>
      </w:rPr>
    </w:lvl>
    <w:lvl w:ilvl="6" w:tplc="8B8AA414">
      <w:start w:val="1"/>
      <w:numFmt w:val="bullet"/>
      <w:suff w:val="tab"/>
      <w:lvlText w:val="•"/>
      <w:lvlJc w:val="left"/>
      <w:pPr>
        <w:ind w:hanging="360" w:left="5040"/>
        <w:tabs>
          <w:tab w:val="num" w:pos="5040" w:leader="none"/>
        </w:tabs>
      </w:pPr>
      <w:rPr>
        <w:rFonts w:ascii="Arial" w:hAnsi="Arial" w:hint="default"/>
      </w:rPr>
    </w:lvl>
    <w:lvl w:ilvl="7" w:tplc="14AEAC92">
      <w:start w:val="1"/>
      <w:numFmt w:val="bullet"/>
      <w:suff w:val="tab"/>
      <w:lvlText w:val="•"/>
      <w:lvlJc w:val="left"/>
      <w:pPr>
        <w:ind w:hanging="360" w:left="5760"/>
        <w:tabs>
          <w:tab w:val="num" w:pos="5760" w:leader="none"/>
        </w:tabs>
      </w:pPr>
      <w:rPr>
        <w:rFonts w:ascii="Arial" w:hAnsi="Arial" w:hint="default"/>
      </w:rPr>
    </w:lvl>
    <w:lvl w:ilvl="8" w:tplc="EE68CFFE">
      <w:start w:val="1"/>
      <w:numFmt w:val="bullet"/>
      <w:suff w:val="tab"/>
      <w:lvlText w:val="•"/>
      <w:lvlJc w:val="left"/>
      <w:pPr>
        <w:ind w:hanging="360" w:left="6480"/>
        <w:tabs>
          <w:tab w:val="num" w:pos="6480" w:leader="none"/>
        </w:tabs>
      </w:pPr>
      <w:rPr>
        <w:rFonts w:ascii="Arial" w:hAnsi="Arial" w:hint="default"/>
      </w:rPr>
    </w:lvl>
  </w:abstractNum>
  <w:abstractNum w:abstractNumId="36">
    <w:nsid w:val="631B3E77"/>
    <w:multiLevelType w:val="hybridMultilevel"/>
    <w:lvl w:ilvl="0" w:tplc="D8724B32">
      <w:start w:val="1"/>
      <w:numFmt w:val="bullet"/>
      <w:suff w:val="tab"/>
      <w:lvlText w:val="•"/>
      <w:lvlJc w:val="left"/>
      <w:pPr>
        <w:ind w:hanging="360" w:left="720"/>
        <w:tabs>
          <w:tab w:val="num" w:pos="720" w:leader="none"/>
        </w:tabs>
      </w:pPr>
      <w:rPr>
        <w:rFonts w:ascii="Arial" w:hAnsi="Arial" w:hint="default"/>
      </w:rPr>
    </w:lvl>
    <w:lvl w:ilvl="1" w:tplc="1AAE0758">
      <w:start w:val="1"/>
      <w:numFmt w:val="bullet"/>
      <w:suff w:val="tab"/>
      <w:lvlText w:val="•"/>
      <w:lvlJc w:val="left"/>
      <w:pPr>
        <w:ind w:hanging="360" w:left="1440"/>
        <w:tabs>
          <w:tab w:val="num" w:pos="1440" w:leader="none"/>
        </w:tabs>
      </w:pPr>
      <w:rPr>
        <w:rFonts w:ascii="Arial" w:hAnsi="Arial" w:hint="default"/>
      </w:rPr>
    </w:lvl>
    <w:lvl w:ilvl="2" w:tplc="2B12D7EE">
      <w:start w:val="1"/>
      <w:numFmt w:val="bullet"/>
      <w:suff w:val="tab"/>
      <w:lvlText w:val="•"/>
      <w:lvlJc w:val="left"/>
      <w:pPr>
        <w:ind w:hanging="360" w:left="2160"/>
        <w:tabs>
          <w:tab w:val="num" w:pos="2160" w:leader="none"/>
        </w:tabs>
      </w:pPr>
      <w:rPr>
        <w:rFonts w:ascii="Arial" w:hAnsi="Arial" w:hint="default"/>
      </w:rPr>
    </w:lvl>
    <w:lvl w:ilvl="3" w:tplc="5CCA4722">
      <w:start w:val="1"/>
      <w:numFmt w:val="bullet"/>
      <w:suff w:val="tab"/>
      <w:lvlText w:val="•"/>
      <w:lvlJc w:val="left"/>
      <w:pPr>
        <w:ind w:hanging="360" w:left="2880"/>
        <w:tabs>
          <w:tab w:val="num" w:pos="2880" w:leader="none"/>
        </w:tabs>
      </w:pPr>
      <w:rPr>
        <w:rFonts w:ascii="Arial" w:hAnsi="Arial" w:hint="default"/>
      </w:rPr>
    </w:lvl>
    <w:lvl w:ilvl="4" w:tplc="3BF4809E">
      <w:start w:val="1"/>
      <w:numFmt w:val="bullet"/>
      <w:suff w:val="tab"/>
      <w:lvlText w:val="•"/>
      <w:lvlJc w:val="left"/>
      <w:pPr>
        <w:ind w:hanging="360" w:left="3600"/>
        <w:tabs>
          <w:tab w:val="num" w:pos="3600" w:leader="none"/>
        </w:tabs>
      </w:pPr>
      <w:rPr>
        <w:rFonts w:ascii="Arial" w:hAnsi="Arial" w:hint="default"/>
      </w:rPr>
    </w:lvl>
    <w:lvl w:ilvl="5" w:tplc="B4ACB4CA">
      <w:start w:val="1"/>
      <w:numFmt w:val="bullet"/>
      <w:suff w:val="tab"/>
      <w:lvlText w:val="•"/>
      <w:lvlJc w:val="left"/>
      <w:pPr>
        <w:ind w:hanging="360" w:left="4320"/>
        <w:tabs>
          <w:tab w:val="num" w:pos="4320" w:leader="none"/>
        </w:tabs>
      </w:pPr>
      <w:rPr>
        <w:rFonts w:ascii="Arial" w:hAnsi="Arial" w:hint="default"/>
      </w:rPr>
    </w:lvl>
    <w:lvl w:ilvl="6" w:tplc="52BA3F04">
      <w:start w:val="1"/>
      <w:numFmt w:val="bullet"/>
      <w:suff w:val="tab"/>
      <w:lvlText w:val="•"/>
      <w:lvlJc w:val="left"/>
      <w:pPr>
        <w:ind w:hanging="360" w:left="5040"/>
        <w:tabs>
          <w:tab w:val="num" w:pos="5040" w:leader="none"/>
        </w:tabs>
      </w:pPr>
      <w:rPr>
        <w:rFonts w:ascii="Arial" w:hAnsi="Arial" w:hint="default"/>
      </w:rPr>
    </w:lvl>
    <w:lvl w:ilvl="7" w:tplc="FA5C53FE">
      <w:start w:val="1"/>
      <w:numFmt w:val="bullet"/>
      <w:suff w:val="tab"/>
      <w:lvlText w:val="•"/>
      <w:lvlJc w:val="left"/>
      <w:pPr>
        <w:ind w:hanging="360" w:left="5760"/>
        <w:tabs>
          <w:tab w:val="num" w:pos="5760" w:leader="none"/>
        </w:tabs>
      </w:pPr>
      <w:rPr>
        <w:rFonts w:ascii="Arial" w:hAnsi="Arial" w:hint="default"/>
      </w:rPr>
    </w:lvl>
    <w:lvl w:ilvl="8" w:tplc="8E5AA8A6">
      <w:start w:val="1"/>
      <w:numFmt w:val="bullet"/>
      <w:suff w:val="tab"/>
      <w:lvlText w:val="•"/>
      <w:lvlJc w:val="left"/>
      <w:pPr>
        <w:ind w:hanging="360" w:left="6480"/>
        <w:tabs>
          <w:tab w:val="num" w:pos="6480" w:leader="none"/>
        </w:tabs>
      </w:pPr>
      <w:rPr>
        <w:rFonts w:ascii="Arial" w:hAnsi="Arial" w:hint="default"/>
      </w:rPr>
    </w:lvl>
  </w:abstractNum>
  <w:abstractNum w:abstractNumId="37">
    <w:nsid w:val="64C074BE"/>
    <w:multiLevelType w:val="hybridMultilevel"/>
    <w:lvl w:ilvl="0" w:tplc="B7DAC9AE">
      <w:start w:val="1"/>
      <w:numFmt w:val="bullet"/>
      <w:suff w:val="tab"/>
      <w:lvlText w:val="•"/>
      <w:lvlJc w:val="left"/>
      <w:pPr>
        <w:ind w:hanging="360" w:left="720"/>
        <w:tabs>
          <w:tab w:val="num" w:pos="720" w:leader="none"/>
        </w:tabs>
      </w:pPr>
      <w:rPr>
        <w:rFonts w:ascii="Arial" w:hAnsi="Arial" w:hint="default"/>
      </w:rPr>
    </w:lvl>
    <w:lvl w:ilvl="1" w:tplc="8CE0EA0C">
      <w:start w:val="1"/>
      <w:numFmt w:val="bullet"/>
      <w:suff w:val="tab"/>
      <w:lvlText w:val="•"/>
      <w:lvlJc w:val="left"/>
      <w:pPr>
        <w:ind w:hanging="360" w:left="1440"/>
        <w:tabs>
          <w:tab w:val="num" w:pos="1440" w:leader="none"/>
        </w:tabs>
      </w:pPr>
      <w:rPr>
        <w:rFonts w:ascii="Arial" w:hAnsi="Arial" w:hint="default"/>
      </w:rPr>
    </w:lvl>
    <w:lvl w:ilvl="2" w:tplc="8B14F142">
      <w:start w:val="1"/>
      <w:numFmt w:val="bullet"/>
      <w:suff w:val="tab"/>
      <w:lvlText w:val="•"/>
      <w:lvlJc w:val="left"/>
      <w:pPr>
        <w:ind w:hanging="360" w:left="2160"/>
        <w:tabs>
          <w:tab w:val="num" w:pos="2160" w:leader="none"/>
        </w:tabs>
      </w:pPr>
      <w:rPr>
        <w:rFonts w:ascii="Arial" w:hAnsi="Arial" w:hint="default"/>
      </w:rPr>
    </w:lvl>
    <w:lvl w:ilvl="3" w:tplc="3662BBD4">
      <w:start w:val="1"/>
      <w:numFmt w:val="bullet"/>
      <w:suff w:val="tab"/>
      <w:lvlText w:val="•"/>
      <w:lvlJc w:val="left"/>
      <w:pPr>
        <w:ind w:hanging="360" w:left="2880"/>
        <w:tabs>
          <w:tab w:val="num" w:pos="2880" w:leader="none"/>
        </w:tabs>
      </w:pPr>
      <w:rPr>
        <w:rFonts w:ascii="Arial" w:hAnsi="Arial" w:hint="default"/>
      </w:rPr>
    </w:lvl>
    <w:lvl w:ilvl="4" w:tplc="26F83D0C">
      <w:start w:val="1"/>
      <w:numFmt w:val="bullet"/>
      <w:suff w:val="tab"/>
      <w:lvlText w:val="•"/>
      <w:lvlJc w:val="left"/>
      <w:pPr>
        <w:ind w:hanging="360" w:left="3600"/>
        <w:tabs>
          <w:tab w:val="num" w:pos="3600" w:leader="none"/>
        </w:tabs>
      </w:pPr>
      <w:rPr>
        <w:rFonts w:ascii="Arial" w:hAnsi="Arial" w:hint="default"/>
      </w:rPr>
    </w:lvl>
    <w:lvl w:ilvl="5" w:tplc="5B80A69E">
      <w:start w:val="1"/>
      <w:numFmt w:val="bullet"/>
      <w:suff w:val="tab"/>
      <w:lvlText w:val="•"/>
      <w:lvlJc w:val="left"/>
      <w:pPr>
        <w:ind w:hanging="360" w:left="4320"/>
        <w:tabs>
          <w:tab w:val="num" w:pos="4320" w:leader="none"/>
        </w:tabs>
      </w:pPr>
      <w:rPr>
        <w:rFonts w:ascii="Arial" w:hAnsi="Arial" w:hint="default"/>
      </w:rPr>
    </w:lvl>
    <w:lvl w:ilvl="6" w:tplc="8D2C448C">
      <w:start w:val="1"/>
      <w:numFmt w:val="bullet"/>
      <w:suff w:val="tab"/>
      <w:lvlText w:val="•"/>
      <w:lvlJc w:val="left"/>
      <w:pPr>
        <w:ind w:hanging="360" w:left="5040"/>
        <w:tabs>
          <w:tab w:val="num" w:pos="5040" w:leader="none"/>
        </w:tabs>
      </w:pPr>
      <w:rPr>
        <w:rFonts w:ascii="Arial" w:hAnsi="Arial" w:hint="default"/>
      </w:rPr>
    </w:lvl>
    <w:lvl w:ilvl="7" w:tplc="33AE2B5C">
      <w:start w:val="1"/>
      <w:numFmt w:val="bullet"/>
      <w:suff w:val="tab"/>
      <w:lvlText w:val="•"/>
      <w:lvlJc w:val="left"/>
      <w:pPr>
        <w:ind w:hanging="360" w:left="5760"/>
        <w:tabs>
          <w:tab w:val="num" w:pos="5760" w:leader="none"/>
        </w:tabs>
      </w:pPr>
      <w:rPr>
        <w:rFonts w:ascii="Arial" w:hAnsi="Arial" w:hint="default"/>
      </w:rPr>
    </w:lvl>
    <w:lvl w:ilvl="8" w:tplc="DCBA4BA2">
      <w:start w:val="1"/>
      <w:numFmt w:val="bullet"/>
      <w:suff w:val="tab"/>
      <w:lvlText w:val="•"/>
      <w:lvlJc w:val="left"/>
      <w:pPr>
        <w:ind w:hanging="360" w:left="6480"/>
        <w:tabs>
          <w:tab w:val="num" w:pos="6480" w:leader="none"/>
        </w:tabs>
      </w:pPr>
      <w:rPr>
        <w:rFonts w:ascii="Arial" w:hAnsi="Arial" w:hint="default"/>
      </w:rPr>
    </w:lvl>
  </w:abstractNum>
  <w:abstractNum w:abstractNumId="38">
    <w:nsid w:val="65D74766"/>
    <w:multiLevelType w:val="hybridMultilevel"/>
    <w:lvl w:ilvl="0" w:tplc="E2C2E602">
      <w:start w:val="1"/>
      <w:numFmt w:val="bullet"/>
      <w:suff w:val="tab"/>
      <w:lvlText w:val="•"/>
      <w:lvlJc w:val="left"/>
      <w:pPr>
        <w:ind w:hanging="360" w:left="720"/>
        <w:tabs>
          <w:tab w:val="num" w:pos="720" w:leader="none"/>
        </w:tabs>
      </w:pPr>
      <w:rPr>
        <w:rFonts w:ascii="Arial" w:hAnsi="Arial" w:hint="default"/>
      </w:rPr>
    </w:lvl>
    <w:lvl w:ilvl="1" w:tplc="84F2C100">
      <w:start w:val="1"/>
      <w:numFmt w:val="bullet"/>
      <w:suff w:val="tab"/>
      <w:lvlText w:val="•"/>
      <w:lvlJc w:val="left"/>
      <w:pPr>
        <w:ind w:hanging="360" w:left="1440"/>
        <w:tabs>
          <w:tab w:val="num" w:pos="1440" w:leader="none"/>
        </w:tabs>
      </w:pPr>
      <w:rPr>
        <w:rFonts w:ascii="Arial" w:hAnsi="Arial" w:hint="default"/>
      </w:rPr>
    </w:lvl>
    <w:lvl w:ilvl="2" w:tplc="B52279BA">
      <w:start w:val="1"/>
      <w:numFmt w:val="bullet"/>
      <w:suff w:val="tab"/>
      <w:lvlText w:val="•"/>
      <w:lvlJc w:val="left"/>
      <w:pPr>
        <w:ind w:hanging="360" w:left="2160"/>
        <w:tabs>
          <w:tab w:val="num" w:pos="2160" w:leader="none"/>
        </w:tabs>
      </w:pPr>
      <w:rPr>
        <w:rFonts w:ascii="Arial" w:hAnsi="Arial" w:hint="default"/>
      </w:rPr>
    </w:lvl>
    <w:lvl w:ilvl="3" w:tplc="3578CDA8">
      <w:start w:val="1"/>
      <w:numFmt w:val="bullet"/>
      <w:suff w:val="tab"/>
      <w:lvlText w:val="•"/>
      <w:lvlJc w:val="left"/>
      <w:pPr>
        <w:ind w:hanging="360" w:left="2880"/>
        <w:tabs>
          <w:tab w:val="num" w:pos="2880" w:leader="none"/>
        </w:tabs>
      </w:pPr>
      <w:rPr>
        <w:rFonts w:ascii="Arial" w:hAnsi="Arial" w:hint="default"/>
      </w:rPr>
    </w:lvl>
    <w:lvl w:ilvl="4" w:tplc="4A8C2F00">
      <w:start w:val="1"/>
      <w:numFmt w:val="bullet"/>
      <w:suff w:val="tab"/>
      <w:lvlText w:val="•"/>
      <w:lvlJc w:val="left"/>
      <w:pPr>
        <w:ind w:hanging="360" w:left="3600"/>
        <w:tabs>
          <w:tab w:val="num" w:pos="3600" w:leader="none"/>
        </w:tabs>
      </w:pPr>
      <w:rPr>
        <w:rFonts w:ascii="Arial" w:hAnsi="Arial" w:hint="default"/>
      </w:rPr>
    </w:lvl>
    <w:lvl w:ilvl="5" w:tplc="9EA809A8">
      <w:start w:val="1"/>
      <w:numFmt w:val="bullet"/>
      <w:suff w:val="tab"/>
      <w:lvlText w:val="•"/>
      <w:lvlJc w:val="left"/>
      <w:pPr>
        <w:ind w:hanging="360" w:left="4320"/>
        <w:tabs>
          <w:tab w:val="num" w:pos="4320" w:leader="none"/>
        </w:tabs>
      </w:pPr>
      <w:rPr>
        <w:rFonts w:ascii="Arial" w:hAnsi="Arial" w:hint="default"/>
      </w:rPr>
    </w:lvl>
    <w:lvl w:ilvl="6" w:tplc="B4883BD6">
      <w:start w:val="1"/>
      <w:numFmt w:val="bullet"/>
      <w:suff w:val="tab"/>
      <w:lvlText w:val="•"/>
      <w:lvlJc w:val="left"/>
      <w:pPr>
        <w:ind w:hanging="360" w:left="5040"/>
        <w:tabs>
          <w:tab w:val="num" w:pos="5040" w:leader="none"/>
        </w:tabs>
      </w:pPr>
      <w:rPr>
        <w:rFonts w:ascii="Arial" w:hAnsi="Arial" w:hint="default"/>
      </w:rPr>
    </w:lvl>
    <w:lvl w:ilvl="7" w:tplc="0E029D2A">
      <w:start w:val="1"/>
      <w:numFmt w:val="bullet"/>
      <w:suff w:val="tab"/>
      <w:lvlText w:val="•"/>
      <w:lvlJc w:val="left"/>
      <w:pPr>
        <w:ind w:hanging="360" w:left="5760"/>
        <w:tabs>
          <w:tab w:val="num" w:pos="5760" w:leader="none"/>
        </w:tabs>
      </w:pPr>
      <w:rPr>
        <w:rFonts w:ascii="Arial" w:hAnsi="Arial" w:hint="default"/>
      </w:rPr>
    </w:lvl>
    <w:lvl w:ilvl="8" w:tplc="FA66AA88">
      <w:start w:val="1"/>
      <w:numFmt w:val="bullet"/>
      <w:suff w:val="tab"/>
      <w:lvlText w:val="•"/>
      <w:lvlJc w:val="left"/>
      <w:pPr>
        <w:ind w:hanging="360" w:left="6480"/>
        <w:tabs>
          <w:tab w:val="num" w:pos="6480" w:leader="none"/>
        </w:tabs>
      </w:pPr>
      <w:rPr>
        <w:rFonts w:ascii="Arial" w:hAnsi="Arial" w:hint="default"/>
      </w:rPr>
    </w:lvl>
  </w:abstractNum>
  <w:abstractNum w:abstractNumId="39">
    <w:nsid w:val="690370C8"/>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
      <w:lvlJc w:val="left"/>
      <w:pPr>
        <w:ind w:hanging="360" w:left="1440"/>
        <w:tabs>
          <w:tab w:val="num" w:pos="1440" w:leader="none"/>
        </w:tabs>
      </w:pPr>
      <w:rPr>
        <w:rFonts w:ascii="Symbol" w:hAnsi="Symbol" w:hint="default"/>
        <w:sz w:val="20"/>
      </w:rPr>
    </w:lvl>
    <w:lvl w:ilvl="2">
      <w:start w:val="1"/>
      <w:numFmt w:val="bullet"/>
      <w:suff w:val="tab"/>
      <w:lvlText w:val=""/>
      <w:lvlJc w:val="left"/>
      <w:pPr>
        <w:ind w:hanging="360" w:left="2160"/>
        <w:tabs>
          <w:tab w:val="num" w:pos="2160" w:leader="none"/>
        </w:tabs>
      </w:pPr>
      <w:rPr>
        <w:rFonts w:ascii="Symbol" w:hAnsi="Symbol" w:hint="default"/>
        <w:sz w:val="20"/>
      </w:rPr>
    </w:lvl>
    <w:lvl w:ilvl="3">
      <w:start w:val="1"/>
      <w:numFmt w:val="bullet"/>
      <w:suff w:val="tab"/>
      <w:lvlText w:val=""/>
      <w:lvlJc w:val="left"/>
      <w:pPr>
        <w:ind w:hanging="360" w:left="2880"/>
        <w:tabs>
          <w:tab w:val="num" w:pos="2880" w:leader="none"/>
        </w:tabs>
      </w:pPr>
      <w:rPr>
        <w:rFonts w:ascii="Symbol" w:hAnsi="Symbol" w:hint="default"/>
        <w:sz w:val="20"/>
      </w:rPr>
    </w:lvl>
    <w:lvl w:ilvl="4">
      <w:start w:val="1"/>
      <w:numFmt w:val="bullet"/>
      <w:suff w:val="tab"/>
      <w:lvlText w:val=""/>
      <w:lvlJc w:val="left"/>
      <w:pPr>
        <w:ind w:hanging="360" w:left="3600"/>
        <w:tabs>
          <w:tab w:val="num" w:pos="3600" w:leader="none"/>
        </w:tabs>
      </w:pPr>
      <w:rPr>
        <w:rFonts w:ascii="Symbol" w:hAnsi="Symbol" w:hint="default"/>
        <w:sz w:val="20"/>
      </w:rPr>
    </w:lvl>
    <w:lvl w:ilvl="5">
      <w:start w:val="1"/>
      <w:numFmt w:val="bullet"/>
      <w:suff w:val="tab"/>
      <w:lvlText w:val=""/>
      <w:lvlJc w:val="left"/>
      <w:pPr>
        <w:ind w:hanging="360" w:left="4320"/>
        <w:tabs>
          <w:tab w:val="num" w:pos="4320" w:leader="none"/>
        </w:tabs>
      </w:pPr>
      <w:rPr>
        <w:rFonts w:ascii="Symbol" w:hAnsi="Symbol" w:hint="default"/>
        <w:sz w:val="20"/>
      </w:rPr>
    </w:lvl>
    <w:lvl w:ilvl="6">
      <w:start w:val="1"/>
      <w:numFmt w:val="bullet"/>
      <w:suff w:val="tab"/>
      <w:lvlText w:val=""/>
      <w:lvlJc w:val="left"/>
      <w:pPr>
        <w:ind w:hanging="360" w:left="5040"/>
        <w:tabs>
          <w:tab w:val="num" w:pos="5040" w:leader="none"/>
        </w:tabs>
      </w:pPr>
      <w:rPr>
        <w:rFonts w:ascii="Symbol" w:hAnsi="Symbol" w:hint="default"/>
        <w:sz w:val="20"/>
      </w:rPr>
    </w:lvl>
    <w:lvl w:ilvl="7">
      <w:start w:val="1"/>
      <w:numFmt w:val="bullet"/>
      <w:suff w:val="tab"/>
      <w:lvlText w:val=""/>
      <w:lvlJc w:val="left"/>
      <w:pPr>
        <w:ind w:hanging="360" w:left="5760"/>
        <w:tabs>
          <w:tab w:val="num" w:pos="5760" w:leader="none"/>
        </w:tabs>
      </w:pPr>
      <w:rPr>
        <w:rFonts w:ascii="Symbol" w:hAnsi="Symbol" w:hint="default"/>
        <w:sz w:val="20"/>
      </w:rPr>
    </w:lvl>
    <w:lvl w:ilvl="8">
      <w:start w:val="1"/>
      <w:numFmt w:val="bullet"/>
      <w:suff w:val="tab"/>
      <w:lvlText w:val=""/>
      <w:lvlJc w:val="left"/>
      <w:pPr>
        <w:ind w:hanging="360" w:left="6480"/>
        <w:tabs>
          <w:tab w:val="num" w:pos="6480" w:leader="none"/>
        </w:tabs>
      </w:pPr>
      <w:rPr>
        <w:rFonts w:ascii="Symbol" w:hAnsi="Symbol" w:hint="default"/>
        <w:sz w:val="20"/>
      </w:rPr>
    </w:lvl>
  </w:abstractNum>
  <w:abstractNum w:abstractNumId="40">
    <w:nsid w:val="6B14196E"/>
    <w:multiLevelType w:val="hybridMultilevel"/>
    <w:lvl w:ilvl="0" w:tplc="3D94CCCC">
      <w:start w:val="1"/>
      <w:numFmt w:val="bullet"/>
      <w:suff w:val="tab"/>
      <w:lvlText w:val="•"/>
      <w:lvlJc w:val="left"/>
      <w:pPr>
        <w:ind w:hanging="360" w:left="720"/>
        <w:tabs>
          <w:tab w:val="num" w:pos="720" w:leader="none"/>
        </w:tabs>
      </w:pPr>
      <w:rPr>
        <w:rFonts w:ascii="Arial" w:hAnsi="Arial" w:hint="default"/>
      </w:rPr>
    </w:lvl>
    <w:lvl w:ilvl="1" w:tplc="41B2AB1E">
      <w:start w:val="1"/>
      <w:numFmt w:val="bullet"/>
      <w:suff w:val="tab"/>
      <w:lvlText w:val="•"/>
      <w:lvlJc w:val="left"/>
      <w:pPr>
        <w:ind w:hanging="360" w:left="1440"/>
        <w:tabs>
          <w:tab w:val="num" w:pos="1440" w:leader="none"/>
        </w:tabs>
      </w:pPr>
      <w:rPr>
        <w:rFonts w:ascii="Arial" w:hAnsi="Arial" w:hint="default"/>
      </w:rPr>
    </w:lvl>
    <w:lvl w:ilvl="2" w:tplc="3DB0D6FE">
      <w:start w:val="1"/>
      <w:numFmt w:val="bullet"/>
      <w:suff w:val="tab"/>
      <w:lvlText w:val="•"/>
      <w:lvlJc w:val="left"/>
      <w:pPr>
        <w:ind w:hanging="360" w:left="2160"/>
        <w:tabs>
          <w:tab w:val="num" w:pos="2160" w:leader="none"/>
        </w:tabs>
      </w:pPr>
      <w:rPr>
        <w:rFonts w:ascii="Arial" w:hAnsi="Arial" w:hint="default"/>
      </w:rPr>
    </w:lvl>
    <w:lvl w:ilvl="3" w:tplc="7BFE606A">
      <w:start w:val="1"/>
      <w:numFmt w:val="bullet"/>
      <w:suff w:val="tab"/>
      <w:lvlText w:val="•"/>
      <w:lvlJc w:val="left"/>
      <w:pPr>
        <w:ind w:hanging="360" w:left="2880"/>
        <w:tabs>
          <w:tab w:val="num" w:pos="2880" w:leader="none"/>
        </w:tabs>
      </w:pPr>
      <w:rPr>
        <w:rFonts w:ascii="Arial" w:hAnsi="Arial" w:hint="default"/>
      </w:rPr>
    </w:lvl>
    <w:lvl w:ilvl="4" w:tplc="44A03416">
      <w:start w:val="1"/>
      <w:numFmt w:val="bullet"/>
      <w:suff w:val="tab"/>
      <w:lvlText w:val="•"/>
      <w:lvlJc w:val="left"/>
      <w:pPr>
        <w:ind w:hanging="360" w:left="3600"/>
        <w:tabs>
          <w:tab w:val="num" w:pos="3600" w:leader="none"/>
        </w:tabs>
      </w:pPr>
      <w:rPr>
        <w:rFonts w:ascii="Arial" w:hAnsi="Arial" w:hint="default"/>
      </w:rPr>
    </w:lvl>
    <w:lvl w:ilvl="5" w:tplc="8CFAF18E">
      <w:start w:val="1"/>
      <w:numFmt w:val="bullet"/>
      <w:suff w:val="tab"/>
      <w:lvlText w:val="•"/>
      <w:lvlJc w:val="left"/>
      <w:pPr>
        <w:ind w:hanging="360" w:left="4320"/>
        <w:tabs>
          <w:tab w:val="num" w:pos="4320" w:leader="none"/>
        </w:tabs>
      </w:pPr>
      <w:rPr>
        <w:rFonts w:ascii="Arial" w:hAnsi="Arial" w:hint="default"/>
      </w:rPr>
    </w:lvl>
    <w:lvl w:ilvl="6" w:tplc="72AA41A4">
      <w:start w:val="1"/>
      <w:numFmt w:val="bullet"/>
      <w:suff w:val="tab"/>
      <w:lvlText w:val="•"/>
      <w:lvlJc w:val="left"/>
      <w:pPr>
        <w:ind w:hanging="360" w:left="5040"/>
        <w:tabs>
          <w:tab w:val="num" w:pos="5040" w:leader="none"/>
        </w:tabs>
      </w:pPr>
      <w:rPr>
        <w:rFonts w:ascii="Arial" w:hAnsi="Arial" w:hint="default"/>
      </w:rPr>
    </w:lvl>
    <w:lvl w:ilvl="7" w:tplc="928C7CC4">
      <w:start w:val="1"/>
      <w:numFmt w:val="bullet"/>
      <w:suff w:val="tab"/>
      <w:lvlText w:val="•"/>
      <w:lvlJc w:val="left"/>
      <w:pPr>
        <w:ind w:hanging="360" w:left="5760"/>
        <w:tabs>
          <w:tab w:val="num" w:pos="5760" w:leader="none"/>
        </w:tabs>
      </w:pPr>
      <w:rPr>
        <w:rFonts w:ascii="Arial" w:hAnsi="Arial" w:hint="default"/>
      </w:rPr>
    </w:lvl>
    <w:lvl w:ilvl="8" w:tplc="049043E4">
      <w:start w:val="1"/>
      <w:numFmt w:val="bullet"/>
      <w:suff w:val="tab"/>
      <w:lvlText w:val="•"/>
      <w:lvlJc w:val="left"/>
      <w:pPr>
        <w:ind w:hanging="360" w:left="6480"/>
        <w:tabs>
          <w:tab w:val="num" w:pos="6480" w:leader="none"/>
        </w:tabs>
      </w:pPr>
      <w:rPr>
        <w:rFonts w:ascii="Arial" w:hAnsi="Arial" w:hint="default"/>
      </w:rPr>
    </w:lvl>
  </w:abstractNum>
  <w:abstractNum w:abstractNumId="41">
    <w:nsid w:val="6B3A4D82"/>
    <w:multiLevelType w:val="hybridMultilevel"/>
    <w:lvl w:ilvl="0" w:tplc="51440E18">
      <w:start w:val="1"/>
      <w:numFmt w:val="lowerLetter"/>
      <w:suff w:val="tab"/>
      <w:lvlText w:val="%1-"/>
      <w:lvlJc w:val="left"/>
      <w:pPr>
        <w:ind w:hanging="360" w:left="720"/>
      </w:pPr>
      <w:rPr>
        <w:rFonts w:hint="default"/>
        <w:i w:val="0"/>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42">
    <w:nsid w:val="6E1A2E51"/>
    <w:multiLevelType w:val="multilevel"/>
    <w:tmpl w:val="0409001D"/>
    <w:styleLink w:val="N1"/>
    <w:lvl w:ilvl="0">
      <w:start w:val="1"/>
      <w:numFmt w:val="decimal"/>
      <w:suff w:val="tab"/>
      <w:lvlText w:val="%1."/>
      <w:lvlJc w:val="left"/>
      <w:pPr>
        <w:ind w:hanging="340" w:left="340"/>
        <w:tabs>
          <w:tab w:val="num" w:pos="340" w:leader="none"/>
        </w:tabs>
      </w:pPr>
      <w:rPr/>
    </w:lvl>
    <w:lvl w:ilvl="1">
      <w:start w:val="1"/>
      <w:numFmt w:val="lowerLetter"/>
      <w:suff w:val="tab"/>
      <w:lvlText w:val="%2)"/>
      <w:lvlJc w:val="left"/>
      <w:pPr>
        <w:ind w:hanging="340" w:left="680"/>
        <w:tabs>
          <w:tab w:val="num" w:pos="680" w:leader="none"/>
        </w:tabs>
      </w:pPr>
      <w:rPr/>
    </w:lvl>
    <w:lvl w:ilvl="2">
      <w:start w:val="1"/>
      <w:numFmt w:val="lowerRoman"/>
      <w:suff w:val="tab"/>
      <w:lvlText w:val="%3)"/>
      <w:lvlJc w:val="left"/>
      <w:pPr>
        <w:ind w:hanging="340" w:left="1020"/>
        <w:tabs>
          <w:tab w:val="num" w:pos="1020" w:leader="none"/>
        </w:tabs>
      </w:pPr>
      <w:rPr/>
    </w:lvl>
    <w:lvl w:ilvl="3">
      <w:start w:val="1"/>
      <w:numFmt w:val="decimal"/>
      <w:suff w:val="tab"/>
      <w:lvlText w:val="%4"/>
      <w:lvlJc w:val="left"/>
      <w:pPr>
        <w:ind w:hanging="340" w:left="1360"/>
        <w:tabs>
          <w:tab w:val="num" w:pos="1360" w:leader="none"/>
        </w:tabs>
      </w:pPr>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43">
    <w:nsid w:val="6E586D49"/>
    <w:multiLevelType w:val="multilevel"/>
    <w:lvl w:ilvl="0">
      <w:start w:val="1"/>
      <w:numFmt w:val="decimal"/>
      <w:pStyle w:val="P33"/>
      <w:suff w:val="tab"/>
      <w:lvlText w:val="%1"/>
      <w:lvlJc w:val="left"/>
      <w:pPr>
        <w:ind w:hanging="432" w:left="432"/>
      </w:pPr>
      <w:rPr/>
    </w:lvl>
    <w:lvl w:ilvl="1">
      <w:start w:val="1"/>
      <w:numFmt w:val="decimal"/>
      <w:pStyle w:val="P34"/>
      <w:suff w:val="tab"/>
      <w:lvlText w:val="%1.%2"/>
      <w:lvlJc w:val="left"/>
      <w:pPr>
        <w:ind w:hanging="576" w:left="576"/>
      </w:pPr>
      <w:rPr/>
    </w:lvl>
    <w:lvl w:ilvl="2">
      <w:start w:val="1"/>
      <w:numFmt w:val="decimal"/>
      <w:pStyle w:val="P35"/>
      <w:suff w:val="tab"/>
      <w:lvlText w:val="%1.%2.%3"/>
      <w:lvlJc w:val="left"/>
      <w:pPr>
        <w:ind w:hanging="720" w:left="720"/>
      </w:pPr>
      <w:rPr/>
    </w:lvl>
    <w:lvl w:ilvl="3">
      <w:start w:val="1"/>
      <w:numFmt w:val="decimal"/>
      <w:pStyle w:val="P36"/>
      <w:suff w:val="tab"/>
      <w:lvlText w:val="%1.%2.%3.%4"/>
      <w:lvlJc w:val="left"/>
      <w:pPr>
        <w:ind w:hanging="864" w:left="864"/>
      </w:pPr>
      <w:rPr/>
    </w:lvl>
    <w:lvl w:ilvl="4">
      <w:start w:val="1"/>
      <w:numFmt w:val="decimal"/>
      <w:pStyle w:val="P37"/>
      <w:suff w:val="tab"/>
      <w:lvlText w:val="%1.%2.%3.%4.%5"/>
      <w:lvlJc w:val="left"/>
      <w:pPr>
        <w:ind w:hanging="1008" w:left="1008"/>
      </w:pPr>
      <w:rPr/>
    </w:lvl>
    <w:lvl w:ilvl="5">
      <w:start w:val="1"/>
      <w:numFmt w:val="decimal"/>
      <w:pStyle w:val="P38"/>
      <w:suff w:val="tab"/>
      <w:lvlText w:val="%1.%2.%3.%4.%5.%6"/>
      <w:lvlJc w:val="left"/>
      <w:pPr>
        <w:ind w:hanging="1152" w:left="1152"/>
      </w:pPr>
      <w:rPr/>
    </w:lvl>
    <w:lvl w:ilvl="6">
      <w:start w:val="1"/>
      <w:numFmt w:val="decimal"/>
      <w:pStyle w:val="P39"/>
      <w:suff w:val="tab"/>
      <w:lvlText w:val="%1.%2.%3.%4.%5.%6.%7"/>
      <w:lvlJc w:val="left"/>
      <w:pPr>
        <w:ind w:hanging="1296" w:left="1296"/>
      </w:pPr>
      <w:rPr/>
    </w:lvl>
    <w:lvl w:ilvl="7">
      <w:start w:val="1"/>
      <w:numFmt w:val="decimal"/>
      <w:pStyle w:val="P40"/>
      <w:suff w:val="tab"/>
      <w:lvlText w:val="%1.%2.%3.%4.%5.%6.%7.%8"/>
      <w:lvlJc w:val="left"/>
      <w:pPr>
        <w:ind w:hanging="1440" w:left="1440"/>
      </w:pPr>
      <w:rPr/>
    </w:lvl>
    <w:lvl w:ilvl="8">
      <w:start w:val="1"/>
      <w:numFmt w:val="decimal"/>
      <w:pStyle w:val="P41"/>
      <w:suff w:val="tab"/>
      <w:lvlText w:val="%1.%2.%3.%4.%5.%6.%7.%8.%9"/>
      <w:lvlJc w:val="left"/>
      <w:pPr>
        <w:ind w:hanging="1584" w:left="1584"/>
      </w:pPr>
      <w:rPr/>
    </w:lvl>
  </w:abstractNum>
  <w:abstractNum w:abstractNumId="44">
    <w:nsid w:val="71EF89BD"/>
    <w:multiLevelType w:val="hybridMultilevel"/>
    <w:lvl w:ilvl="0" w:tplc="FFFFFFFF">
      <w:start w:val="1"/>
      <w:numFmt w:val="bullet"/>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45">
    <w:nsid w:val="77B06F99"/>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46">
    <w:nsid w:val="7D10201F"/>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47">
    <w:nsid w:val="7E3E6582"/>
    <w:multiLevelType w:val="hybridMultilevel"/>
    <w:lvl w:ilvl="0" w:tplc="BA68D7A0">
      <w:start w:val="1"/>
      <w:numFmt w:val="bullet"/>
      <w:suff w:val="tab"/>
      <w:lvlText w:val="•"/>
      <w:lvlJc w:val="left"/>
      <w:pPr>
        <w:ind w:hanging="360" w:left="720"/>
        <w:tabs>
          <w:tab w:val="num" w:pos="720" w:leader="none"/>
        </w:tabs>
      </w:pPr>
      <w:rPr>
        <w:rFonts w:ascii="Arial" w:hAnsi="Arial" w:hint="default"/>
      </w:rPr>
    </w:lvl>
    <w:lvl w:ilvl="1" w:tplc="C14E6E92">
      <w:start w:val="1"/>
      <w:numFmt w:val="bullet"/>
      <w:suff w:val="tab"/>
      <w:lvlText w:val="•"/>
      <w:lvlJc w:val="left"/>
      <w:pPr>
        <w:ind w:hanging="360" w:left="1440"/>
        <w:tabs>
          <w:tab w:val="num" w:pos="1440" w:leader="none"/>
        </w:tabs>
      </w:pPr>
      <w:rPr>
        <w:rFonts w:ascii="Arial" w:hAnsi="Arial" w:hint="default"/>
      </w:rPr>
    </w:lvl>
    <w:lvl w:ilvl="2" w:tplc="6DCA6A02">
      <w:start w:val="1"/>
      <w:numFmt w:val="bullet"/>
      <w:suff w:val="tab"/>
      <w:lvlText w:val="•"/>
      <w:lvlJc w:val="left"/>
      <w:pPr>
        <w:ind w:hanging="360" w:left="2160"/>
        <w:tabs>
          <w:tab w:val="num" w:pos="2160" w:leader="none"/>
        </w:tabs>
      </w:pPr>
      <w:rPr>
        <w:rFonts w:ascii="Arial" w:hAnsi="Arial" w:hint="default"/>
      </w:rPr>
    </w:lvl>
    <w:lvl w:ilvl="3" w:tplc="66B485A0">
      <w:start w:val="1"/>
      <w:numFmt w:val="bullet"/>
      <w:suff w:val="tab"/>
      <w:lvlText w:val="•"/>
      <w:lvlJc w:val="left"/>
      <w:pPr>
        <w:ind w:hanging="360" w:left="2880"/>
        <w:tabs>
          <w:tab w:val="num" w:pos="2880" w:leader="none"/>
        </w:tabs>
      </w:pPr>
      <w:rPr>
        <w:rFonts w:ascii="Arial" w:hAnsi="Arial" w:hint="default"/>
      </w:rPr>
    </w:lvl>
    <w:lvl w:ilvl="4" w:tplc="E878C0B2">
      <w:start w:val="1"/>
      <w:numFmt w:val="bullet"/>
      <w:suff w:val="tab"/>
      <w:lvlText w:val="•"/>
      <w:lvlJc w:val="left"/>
      <w:pPr>
        <w:ind w:hanging="360" w:left="3600"/>
        <w:tabs>
          <w:tab w:val="num" w:pos="3600" w:leader="none"/>
        </w:tabs>
      </w:pPr>
      <w:rPr>
        <w:rFonts w:ascii="Arial" w:hAnsi="Arial" w:hint="default"/>
      </w:rPr>
    </w:lvl>
    <w:lvl w:ilvl="5" w:tplc="0B4A9248">
      <w:start w:val="1"/>
      <w:numFmt w:val="bullet"/>
      <w:suff w:val="tab"/>
      <w:lvlText w:val="•"/>
      <w:lvlJc w:val="left"/>
      <w:pPr>
        <w:ind w:hanging="360" w:left="4320"/>
        <w:tabs>
          <w:tab w:val="num" w:pos="4320" w:leader="none"/>
        </w:tabs>
      </w:pPr>
      <w:rPr>
        <w:rFonts w:ascii="Arial" w:hAnsi="Arial" w:hint="default"/>
      </w:rPr>
    </w:lvl>
    <w:lvl w:ilvl="6" w:tplc="5260B81A">
      <w:start w:val="1"/>
      <w:numFmt w:val="bullet"/>
      <w:suff w:val="tab"/>
      <w:lvlText w:val="•"/>
      <w:lvlJc w:val="left"/>
      <w:pPr>
        <w:ind w:hanging="360" w:left="5040"/>
        <w:tabs>
          <w:tab w:val="num" w:pos="5040" w:leader="none"/>
        </w:tabs>
      </w:pPr>
      <w:rPr>
        <w:rFonts w:ascii="Arial" w:hAnsi="Arial" w:hint="default"/>
      </w:rPr>
    </w:lvl>
    <w:lvl w:ilvl="7" w:tplc="2FC8502C">
      <w:start w:val="1"/>
      <w:numFmt w:val="bullet"/>
      <w:suff w:val="tab"/>
      <w:lvlText w:val="•"/>
      <w:lvlJc w:val="left"/>
      <w:pPr>
        <w:ind w:hanging="360" w:left="5760"/>
        <w:tabs>
          <w:tab w:val="num" w:pos="5760" w:leader="none"/>
        </w:tabs>
      </w:pPr>
      <w:rPr>
        <w:rFonts w:ascii="Arial" w:hAnsi="Arial" w:hint="default"/>
      </w:rPr>
    </w:lvl>
    <w:lvl w:ilvl="8" w:tplc="FA0E9F8E">
      <w:start w:val="1"/>
      <w:numFmt w:val="bullet"/>
      <w:suff w:val="tab"/>
      <w:lvlText w:val="•"/>
      <w:lvlJc w:val="left"/>
      <w:pPr>
        <w:ind w:hanging="360" w:left="6480"/>
        <w:tabs>
          <w:tab w:val="num" w:pos="6480" w:leader="none"/>
        </w:tabs>
      </w:pPr>
      <w:rPr>
        <w:rFonts w:ascii="Arial" w:hAnsi="Arial" w:hint="default"/>
      </w:rPr>
    </w:lvl>
  </w:abstractNum>
  <w:abstractNum w:abstractNumId="48">
    <w:nsid w:val="7EA83BAB"/>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
      <w:lvlJc w:val="left"/>
      <w:pPr>
        <w:ind w:hanging="360" w:left="1440"/>
        <w:tabs>
          <w:tab w:val="num" w:pos="1440" w:leader="none"/>
        </w:tabs>
      </w:pPr>
      <w:rPr>
        <w:rFonts w:ascii="Symbol" w:hAnsi="Symbol" w:hint="default"/>
        <w:sz w:val="20"/>
      </w:rPr>
    </w:lvl>
    <w:lvl w:ilvl="2">
      <w:start w:val="1"/>
      <w:numFmt w:val="bullet"/>
      <w:suff w:val="tab"/>
      <w:lvlText w:val=""/>
      <w:lvlJc w:val="left"/>
      <w:pPr>
        <w:ind w:hanging="360" w:left="2160"/>
        <w:tabs>
          <w:tab w:val="num" w:pos="2160" w:leader="none"/>
        </w:tabs>
      </w:pPr>
      <w:rPr>
        <w:rFonts w:ascii="Symbol" w:hAnsi="Symbol" w:hint="default"/>
        <w:sz w:val="20"/>
      </w:rPr>
    </w:lvl>
    <w:lvl w:ilvl="3">
      <w:start w:val="1"/>
      <w:numFmt w:val="bullet"/>
      <w:suff w:val="tab"/>
      <w:lvlText w:val=""/>
      <w:lvlJc w:val="left"/>
      <w:pPr>
        <w:ind w:hanging="360" w:left="2880"/>
        <w:tabs>
          <w:tab w:val="num" w:pos="2880" w:leader="none"/>
        </w:tabs>
      </w:pPr>
      <w:rPr>
        <w:rFonts w:ascii="Symbol" w:hAnsi="Symbol" w:hint="default"/>
        <w:sz w:val="20"/>
      </w:rPr>
    </w:lvl>
    <w:lvl w:ilvl="4">
      <w:start w:val="1"/>
      <w:numFmt w:val="bullet"/>
      <w:suff w:val="tab"/>
      <w:lvlText w:val=""/>
      <w:lvlJc w:val="left"/>
      <w:pPr>
        <w:ind w:hanging="360" w:left="3600"/>
        <w:tabs>
          <w:tab w:val="num" w:pos="3600" w:leader="none"/>
        </w:tabs>
      </w:pPr>
      <w:rPr>
        <w:rFonts w:ascii="Symbol" w:hAnsi="Symbol" w:hint="default"/>
        <w:sz w:val="20"/>
      </w:rPr>
    </w:lvl>
    <w:lvl w:ilvl="5">
      <w:start w:val="1"/>
      <w:numFmt w:val="bullet"/>
      <w:suff w:val="tab"/>
      <w:lvlText w:val=""/>
      <w:lvlJc w:val="left"/>
      <w:pPr>
        <w:ind w:hanging="360" w:left="4320"/>
        <w:tabs>
          <w:tab w:val="num" w:pos="4320" w:leader="none"/>
        </w:tabs>
      </w:pPr>
      <w:rPr>
        <w:rFonts w:ascii="Symbol" w:hAnsi="Symbol" w:hint="default"/>
        <w:sz w:val="20"/>
      </w:rPr>
    </w:lvl>
    <w:lvl w:ilvl="6">
      <w:start w:val="1"/>
      <w:numFmt w:val="bullet"/>
      <w:suff w:val="tab"/>
      <w:lvlText w:val=""/>
      <w:lvlJc w:val="left"/>
      <w:pPr>
        <w:ind w:hanging="360" w:left="5040"/>
        <w:tabs>
          <w:tab w:val="num" w:pos="5040" w:leader="none"/>
        </w:tabs>
      </w:pPr>
      <w:rPr>
        <w:rFonts w:ascii="Symbol" w:hAnsi="Symbol" w:hint="default"/>
        <w:sz w:val="20"/>
      </w:rPr>
    </w:lvl>
    <w:lvl w:ilvl="7">
      <w:start w:val="1"/>
      <w:numFmt w:val="bullet"/>
      <w:suff w:val="tab"/>
      <w:lvlText w:val=""/>
      <w:lvlJc w:val="left"/>
      <w:pPr>
        <w:ind w:hanging="360" w:left="5760"/>
        <w:tabs>
          <w:tab w:val="num" w:pos="5760" w:leader="none"/>
        </w:tabs>
      </w:pPr>
      <w:rPr>
        <w:rFonts w:ascii="Symbol" w:hAnsi="Symbol" w:hint="default"/>
        <w:sz w:val="20"/>
      </w:rPr>
    </w:lvl>
    <w:lvl w:ilvl="8">
      <w:start w:val="1"/>
      <w:numFmt w:val="bullet"/>
      <w:suff w:val="tab"/>
      <w:lvlText w:val=""/>
      <w:lvlJc w:val="left"/>
      <w:pPr>
        <w:ind w:hanging="360" w:left="6480"/>
        <w:tabs>
          <w:tab w:val="num" w:pos="6480" w:leader="none"/>
        </w:tabs>
      </w:pPr>
      <w:rPr>
        <w:rFonts w:ascii="Symbol" w:hAnsi="Symbol" w:hint="default"/>
        <w:sz w:val="20"/>
      </w:rPr>
    </w:lvl>
  </w:abstractNum>
  <w:abstractNum w:abstractNumId="49">
    <w:nsid w:val="7EC469DF"/>
    <w:multiLevelType w:val="hybridMultilevel"/>
    <w:lvl w:ilvl="0" w:tplc="041D0001">
      <w:start w:val="1"/>
      <w:numFmt w:val="bullet"/>
      <w:suff w:val="tab"/>
      <w:lvlText w:val=""/>
      <w:lvlJc w:val="left"/>
      <w:pPr/>
      <w:rPr>
        <w:rFonts w:ascii="Symbol" w:hAnsi="Symbol" w:hint="default"/>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num w:numId="1">
    <w:abstractNumId w:val="11"/>
  </w:num>
  <w:num w:numId="2">
    <w:abstractNumId w:val="43"/>
  </w:num>
  <w:num w:numId="3">
    <w:abstractNumId w:val="42"/>
  </w:num>
  <w:num w:numId="4">
    <w:abstractNumId w:val="31"/>
  </w:num>
  <w:num w:numId="5">
    <w:abstractNumId w:val="28"/>
  </w:num>
  <w:num w:numId="6">
    <w:abstractNumId w:val="17"/>
  </w:num>
  <w:num w:numId="7">
    <w:abstractNumId w:val="45"/>
  </w:num>
  <w:num w:numId="8">
    <w:abstractNumId w:val="29"/>
  </w:num>
  <w:num w:numId="9">
    <w:abstractNumId w:val="49"/>
  </w:num>
  <w:num w:numId="10">
    <w:abstractNumId w:val="13"/>
  </w:num>
  <w:num w:numId="11">
    <w:abstractNumId w:val="18"/>
  </w:num>
  <w:num w:numId="12">
    <w:abstractNumId w:val="14"/>
  </w:num>
  <w:num w:numId="13">
    <w:abstractNumId w:val="41"/>
  </w:num>
  <w:num w:numId="14">
    <w:abstractNumId w:val="30"/>
  </w:num>
  <w:num w:numId="15">
    <w:abstractNumId w:val="12"/>
  </w:num>
  <w:num w:numId="16">
    <w:abstractNumId w:val="27"/>
  </w:num>
  <w:num w:numId="17">
    <w:abstractNumId w:val="23"/>
  </w:num>
  <w:num w:numId="18">
    <w:abstractNumId w:val="37"/>
  </w:num>
  <w:num w:numId="19">
    <w:abstractNumId w:val="32"/>
  </w:num>
  <w:num w:numId="20">
    <w:abstractNumId w:val="38"/>
  </w:num>
  <w:num w:numId="21">
    <w:abstractNumId w:val="36"/>
  </w:num>
  <w:num w:numId="22">
    <w:abstractNumId w:val="21"/>
  </w:num>
  <w:num w:numId="23">
    <w:abstractNumId w:val="47"/>
  </w:num>
  <w:num w:numId="24">
    <w:abstractNumId w:val="35"/>
  </w:num>
  <w:num w:numId="25">
    <w:abstractNumId w:val="46"/>
  </w:num>
  <w:num w:numId="26">
    <w:abstractNumId w:val="33"/>
  </w:num>
  <w:num w:numId="27">
    <w:abstractNumId w:val="24"/>
  </w:num>
  <w:num w:numId="28">
    <w:abstractNumId w:val="16"/>
  </w:num>
  <w:num w:numId="29">
    <w:abstractNumId w:val="40"/>
  </w:num>
  <w:num w:numId="30">
    <w:abstractNumId w:val="15"/>
  </w:num>
  <w:num w:numId="31">
    <w:abstractNumId w:val="34"/>
  </w:num>
  <w:num w:numId="32">
    <w:abstractNumId w:val="26"/>
  </w:num>
  <w:num w:numId="33">
    <w:abstractNumId w:val="0"/>
  </w:num>
  <w:num w:numId="34">
    <w:abstractNumId w:val="1"/>
  </w:num>
  <w:num w:numId="35">
    <w:abstractNumId w:val="44"/>
  </w:num>
  <w:num w:numId="36">
    <w:abstractNumId w:val="48"/>
  </w:num>
  <w:num w:numId="37">
    <w:abstractNumId w:val="39"/>
  </w:num>
  <w:num w:numId="38">
    <w:abstractNumId w:val="25"/>
  </w:num>
  <w:num w:numId="39">
    <w:abstractNumId w:val="22"/>
  </w:num>
  <w:num w:numId="40">
    <w:abstractNumId w:val="20"/>
  </w:num>
  <w:num w:numId="41">
    <w:abstractNumId w:val="19"/>
  </w:num>
  <w:num w:numId="42">
    <w:abstractNumId w:val="10"/>
  </w:num>
  <w:num w:numId="43">
    <w:abstractNumId w:val="5"/>
  </w:num>
  <w:num w:numId="44">
    <w:abstractNumId w:val="4"/>
  </w:num>
  <w:num w:numId="45">
    <w:abstractNumId w:val="3"/>
  </w:num>
  <w:num w:numId="46">
    <w:abstractNumId w:val="2"/>
  </w:num>
  <w:num w:numId="47">
    <w:abstractNumId w:val="9"/>
  </w:num>
  <w:num w:numId="48">
    <w:abstractNumId w:val="8"/>
  </w:num>
  <w:num w:numId="49">
    <w:abstractNumId w:val="7"/>
  </w:num>
  <w:num w:numId="50">
    <w:abstractNumId w:val="6"/>
  </w:num>
</w:numbering>
</file>

<file path=word/settings.xml><?xml version="1.0" encoding="utf-8"?>
<w:settings xmlns:r="http://schemas.openxmlformats.org/officeDocument/2006/relationships" xmlns:w="http://schemas.openxmlformats.org/wordprocessingml/2006/main">
  <w:displayBackgroundShape w:val="0"/>
  <w:attachedTemplate r:id="rId1"/>
  <w:defaultTabStop w:val="720"/>
  <w:autoHyphenation w:val="0"/>
  <w:hyphenationZone w:val="425"/>
  <w:evenAndOddHeaders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xmlns:m="http://schemas.openxmlformats.org/officeDocument/2006/math">
    <m:brkBin m:val="before"/>
    <m:brkBinSub m:val="--"/>
    <m:defJc m:val="centerGroup"/>
    <m:dispDef/>
    <m:interSp m:val="0"/>
    <m:intLim m:val="subSup"/>
    <m:intraSp m:val="0"/>
    <m:lMargin m:val="0"/>
    <m:mathFont m:val="Cambria Math"/>
    <m:naryLim m:val="undOvr"/>
    <m:postSp m:val="0"/>
    <m:preSp m:val="0"/>
    <m:rMargin m:val="0"/>
    <m:smallFrac/>
    <m:wrapIndent m:val="1440"/>
    <m:wrapRight m:val="0"/>
  </m:mathPr>
  <w:docVars>
    <w:docVar w:name="DVarDocumentPathInserted" w:val="No"/>
    <w:docVar w:name="DVarLanguage" w:val="Sv"/>
    <w:docVar w:name="DVarLogotype" w:val="Färg"/>
    <w:docVar w:name="DVarLogotypeName" w:val="Färg"/>
    <w:docVar w:name="DVarPageNumberInserted" w:val="Yes"/>
    <w:docVar w:name="DVarStart" w:val="Bild"/>
  </w:docVars>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heme="minorHAnsi" w:hAnsiTheme="minorHAnsi" w:cs="Times New Roman" w:eastAsia="Times New Roman"/>
        <w:color w:val="000000" w:themeColor="text1"/>
        <w:sz w:val="24"/>
        <w:szCs w:val="24"/>
        <w:lang w:val="en-US" w:bidi="ar-SA" w:eastAsia="en-US"/>
      </w:rPr>
    </w:rPrDefault>
    <w:pPrDefault>
      <w:pPr>
        <w:keepNext w:val="0"/>
        <w:keepLines w:val="0"/>
        <w:pageBreakBefore w:val="0"/>
        <w:widowControl w:val="1"/>
        <w:suppressLineNumbers w:val="0"/>
        <w:shd w:val="clear" w:fill="auto"/>
        <w:suppressAutoHyphens w:val="0"/>
        <w:spacing w:lineRule="auto" w:line="240" w:before="0" w:after="120" w:beforeAutospacing="0" w:afterAutospacing="0"/>
        <w:ind w:firstLine="0" w:left="0" w:right="0"/>
        <w:contextualSpacing w:val="0"/>
        <w:bidi w:val="0"/>
        <w:jc w:val="left"/>
        <w:outlineLvl w:val="9"/>
      </w:pPr>
    </w:pPrDefault>
  </w:docDefaults>
  <w:style w:type="paragraph" w:styleId="P0" w:default="1">
    <w:name w:val="Normal"/>
    <w:qFormat/>
    <w:pPr>
      <w:spacing w:lineRule="auto" w:line="276" w:beforeAutospacing="0" w:afterAutospacing="0"/>
    </w:pPr>
    <w:rPr>
      <w:lang w:val="sv-SE"/>
    </w:rPr>
  </w:style>
  <w:style w:type="paragraph" w:styleId="P1">
    <w:name w:val="Heading 1"/>
    <w:basedOn w:val="P0"/>
    <w:next w:val="P0"/>
    <w:link w:val="C3"/>
    <w:qFormat/>
    <w:pPr>
      <w:keepNext w:val="1"/>
      <w:spacing w:lineRule="auto" w:line="240" w:before="520" w:after="200" w:beforeAutospacing="0" w:afterAutospacing="0"/>
      <w:outlineLvl w:val="0"/>
    </w:pPr>
    <w:rPr>
      <w:rFonts w:asciiTheme="majorHAnsi" w:hAnsiTheme="majorHAnsi" w:cs="Arial" w:eastAsiaTheme="majorEastAsia"/>
      <w:bCs w:val="1"/>
      <w:color w:val="auto"/>
      <w:sz w:val="32"/>
      <w:szCs w:val="28"/>
    </w:rPr>
  </w:style>
  <w:style w:type="paragraph" w:styleId="P2">
    <w:name w:val="Heading 2"/>
    <w:basedOn w:val="P0"/>
    <w:next w:val="P0"/>
    <w:link w:val="C4"/>
    <w:qFormat/>
    <w:pPr>
      <w:keepNext w:val="1"/>
      <w:spacing w:lineRule="auto" w:line="240" w:before="280" w:beforeAutospacing="0" w:afterAutospacing="0"/>
      <w:outlineLvl w:val="1"/>
    </w:pPr>
    <w:rPr>
      <w:rFonts w:asciiTheme="majorHAnsi" w:hAnsiTheme="majorHAnsi" w:cs="Arial" w:eastAsiaTheme="majorEastAsia"/>
      <w:bCs w:val="1"/>
      <w:color w:val="auto"/>
      <w:sz w:val="26"/>
      <w:szCs w:val="44"/>
    </w:rPr>
  </w:style>
  <w:style w:type="paragraph" w:styleId="P3">
    <w:name w:val="Heading 3"/>
    <w:basedOn w:val="P0"/>
    <w:next w:val="P0"/>
    <w:link w:val="C5"/>
    <w:qFormat/>
    <w:pPr>
      <w:keepNext w:val="1"/>
      <w:spacing w:lineRule="auto" w:line="240" w:before="240" w:after="60" w:beforeAutospacing="0" w:afterAutospacing="0"/>
      <w:outlineLvl w:val="2"/>
    </w:pPr>
    <w:rPr>
      <w:rFonts w:asciiTheme="majorHAnsi" w:hAnsiTheme="majorHAnsi" w:cs="Arial" w:eastAsiaTheme="majorEastAsia"/>
      <w:bCs w:val="1"/>
      <w:color w:val="auto"/>
      <w:sz w:val="22"/>
      <w:szCs w:val="34"/>
    </w:rPr>
  </w:style>
  <w:style w:type="paragraph" w:styleId="P4">
    <w:name w:val="Heading 4"/>
    <w:basedOn w:val="P0"/>
    <w:next w:val="P0"/>
    <w:link w:val="C6"/>
    <w:pPr>
      <w:keepNext w:val="1"/>
      <w:spacing w:lineRule="auto" w:line="240" w:before="240" w:after="60" w:beforeAutospacing="0" w:afterAutospacing="0"/>
      <w:outlineLvl w:val="3"/>
    </w:pPr>
    <w:rPr>
      <w:rFonts w:asciiTheme="majorHAnsi" w:hAnsiTheme="majorHAnsi"/>
      <w:b w:val="1"/>
      <w:bCs w:val="1"/>
      <w:iCs w:val="1"/>
      <w:sz w:val="20"/>
      <w:lang w:eastAsia="sv-SE"/>
    </w:rPr>
  </w:style>
  <w:style w:type="paragraph" w:styleId="P5">
    <w:name w:val="Heading 5"/>
    <w:basedOn w:val="P0"/>
    <w:next w:val="P0"/>
    <w:link w:val="C7"/>
    <w:semiHidden/>
    <w:pPr>
      <w:keepNext w:val="1"/>
      <w:spacing w:before="240" w:beforeAutospacing="0" w:afterAutospacing="0"/>
      <w:outlineLvl w:val="4"/>
    </w:pPr>
    <w:rPr>
      <w:b w:val="1"/>
      <w:lang w:eastAsia="sv-SE"/>
    </w:rPr>
  </w:style>
  <w:style w:type="paragraph" w:styleId="P6">
    <w:name w:val="Heading 6"/>
    <w:basedOn w:val="P0"/>
    <w:next w:val="P0"/>
    <w:link w:val="C8"/>
    <w:semiHidden/>
    <w:pPr>
      <w:keepNext w:val="1"/>
      <w:spacing w:before="240" w:beforeAutospacing="0" w:afterAutospacing="0"/>
      <w:outlineLvl w:val="5"/>
    </w:pPr>
    <w:rPr>
      <w:i w:val="1"/>
      <w:iCs w:val="1"/>
    </w:rPr>
  </w:style>
  <w:style w:type="paragraph" w:styleId="P7">
    <w:name w:val="Heading 7"/>
    <w:basedOn w:val="P0"/>
    <w:next w:val="P0"/>
    <w:link w:val="C11"/>
    <w:semiHidden/>
    <w:qFormat/>
    <w:pPr>
      <w:keepNext w:val="1"/>
      <w:keepLines w:val="1"/>
      <w:numPr>
        <w:ilvl w:val="6"/>
        <w:numId w:val="4"/>
      </w:numPr>
      <w:spacing w:before="200" w:beforeAutospacing="0" w:afterAutospacing="0"/>
      <w:outlineLvl w:val="6"/>
    </w:pPr>
    <w:rPr>
      <w:rFonts w:asciiTheme="majorHAnsi" w:hAnsiTheme="majorHAnsi" w:cstheme="majorBidi" w:eastAsiaTheme="majorEastAsia"/>
      <w:i w:val="1"/>
      <w:iCs w:val="1"/>
      <w:color w:val="404040" w:themeColor="text1" w:themeTint="BF"/>
    </w:rPr>
  </w:style>
  <w:style w:type="paragraph" w:styleId="P8">
    <w:name w:val="Heading 8"/>
    <w:basedOn w:val="P0"/>
    <w:next w:val="P0"/>
    <w:link w:val="C12"/>
    <w:semiHidden/>
    <w:qFormat/>
    <w:pPr>
      <w:keepNext w:val="1"/>
      <w:keepLines w:val="1"/>
      <w:numPr>
        <w:ilvl w:val="7"/>
        <w:numId w:val="4"/>
      </w:numPr>
      <w:spacing w:before="200" w:beforeAutospacing="0" w:afterAutospacing="0"/>
      <w:outlineLvl w:val="7"/>
    </w:pPr>
    <w:rPr>
      <w:rFonts w:asciiTheme="majorHAnsi" w:hAnsiTheme="majorHAnsi" w:cstheme="majorBidi" w:eastAsiaTheme="majorEastAsia"/>
      <w:color w:val="404040" w:themeColor="text1" w:themeTint="BF"/>
    </w:rPr>
  </w:style>
  <w:style w:type="paragraph" w:styleId="P9">
    <w:name w:val="Heading 9"/>
    <w:basedOn w:val="P0"/>
    <w:next w:val="P0"/>
    <w:link w:val="C19"/>
    <w:semiHidden/>
    <w:qFormat/>
    <w:pPr>
      <w:keepNext w:val="1"/>
      <w:keepLines w:val="1"/>
      <w:numPr>
        <w:ilvl w:val="8"/>
        <w:numId w:val="4"/>
      </w:numPr>
      <w:spacing w:before="40" w:beforeAutospacing="0" w:afterAutospacing="0"/>
      <w:outlineLvl w:val="8"/>
    </w:pPr>
    <w:rPr>
      <w:rFonts w:asciiTheme="majorHAnsi" w:hAnsiTheme="majorHAnsi" w:cstheme="majorBidi" w:eastAsiaTheme="majorEastAsia"/>
      <w:i w:val="1"/>
      <w:iCs w:val="1"/>
      <w:color w:val="272727" w:themeColor="text1" w:themeTint="D8"/>
      <w:sz w:val="21"/>
      <w:szCs w:val="21"/>
    </w:rPr>
  </w:style>
  <w:style w:type="paragraph" w:styleId="P10">
    <w:name w:val="List Bullet"/>
    <w:basedOn w:val="P0"/>
    <w:semiHidden/>
    <w:pPr>
      <w:numPr>
        <w:numId w:val="1"/>
      </w:numPr>
      <w:contextualSpacing w:val="1"/>
    </w:pPr>
    <w:rPr/>
  </w:style>
  <w:style w:type="paragraph" w:styleId="P11">
    <w:name w:val="Header"/>
    <w:basedOn w:val="P0"/>
    <w:link w:val="C9"/>
    <w:pPr>
      <w:tabs>
        <w:tab w:val="center" w:pos="4536" w:leader="none"/>
        <w:tab w:val="right" w:pos="9072" w:leader="none"/>
      </w:tabs>
      <w:spacing w:after="0" w:beforeAutospacing="0" w:afterAutospacing="0"/>
    </w:pPr>
    <w:rPr>
      <w:rFonts w:asciiTheme="majorHAnsi" w:hAnsiTheme="majorHAnsi" w:cs="Arial"/>
      <w:sz w:val="16"/>
      <w:lang w:eastAsia="sv-SE"/>
    </w:rPr>
  </w:style>
  <w:style w:type="paragraph" w:styleId="P12">
    <w:name w:val="Footer"/>
    <w:basedOn w:val="P0"/>
    <w:link w:val="C10"/>
    <w:pPr>
      <w:tabs>
        <w:tab w:val="left" w:pos="1418" w:leader="none"/>
      </w:tabs>
      <w:spacing w:after="0" w:beforeAutospacing="0" w:afterAutospacing="0"/>
      <w:jc w:val="center"/>
    </w:pPr>
    <w:rPr>
      <w:rFonts w:cs="Arial"/>
      <w:sz w:val="20"/>
    </w:rPr>
  </w:style>
  <w:style w:type="paragraph" w:styleId="P13">
    <w:name w:val="TOC 1"/>
    <w:basedOn w:val="P0"/>
    <w:next w:val="P0"/>
    <w:autoRedefine w:val="1"/>
    <w:pPr>
      <w:tabs>
        <w:tab w:val="right" w:pos="9071" w:leader="dot"/>
      </w:tabs>
      <w:spacing w:before="200" w:beforeAutospacing="0" w:afterAutospacing="0"/>
    </w:pPr>
    <w:rPr>
      <w:rFonts w:asciiTheme="majorHAnsi" w:hAnsiTheme="majorHAnsi" w:cs="Arial"/>
      <w:noProof w:val="1"/>
      <w:sz w:val="28"/>
    </w:rPr>
  </w:style>
  <w:style w:type="paragraph" w:styleId="P14">
    <w:name w:val="TOC 2"/>
    <w:basedOn w:val="P0"/>
    <w:next w:val="P0"/>
    <w:autoRedefine w:val="1"/>
    <w:pPr>
      <w:tabs>
        <w:tab w:val="right" w:pos="9071" w:leader="dot"/>
      </w:tabs>
      <w:spacing w:before="60" w:after="60" w:beforeAutospacing="0" w:afterAutospacing="0"/>
      <w:ind w:left="454"/>
    </w:pPr>
    <w:rPr>
      <w:rFonts w:asciiTheme="majorHAnsi" w:hAnsiTheme="majorHAnsi" w:cs="Arial"/>
      <w:noProof w:val="1"/>
      <w:sz w:val="22"/>
    </w:rPr>
  </w:style>
  <w:style w:type="paragraph" w:styleId="P15">
    <w:name w:val="TOC 3"/>
    <w:basedOn w:val="P0"/>
    <w:next w:val="P0"/>
    <w:autoRedefine w:val="1"/>
    <w:pPr>
      <w:tabs>
        <w:tab w:val="right" w:pos="9071" w:leader="dot"/>
      </w:tabs>
      <w:spacing w:before="60" w:after="60" w:beforeAutospacing="0" w:afterAutospacing="0"/>
      <w:ind w:left="907"/>
    </w:pPr>
    <w:rPr>
      <w:rFonts w:asciiTheme="majorHAnsi" w:hAnsiTheme="majorHAnsi" w:cs="Arial"/>
      <w:noProof w:val="1"/>
      <w:sz w:val="22"/>
    </w:rPr>
  </w:style>
  <w:style w:type="paragraph" w:styleId="P16">
    <w:name w:val="TOC 4"/>
    <w:basedOn w:val="P0"/>
    <w:next w:val="P0"/>
    <w:autoRedefine w:val="1"/>
    <w:pPr>
      <w:tabs>
        <w:tab w:val="right" w:pos="8781" w:leader="dot"/>
      </w:tabs>
      <w:spacing w:lineRule="atLeast" w:line="400" w:before="200" w:beforeAutospacing="0" w:afterAutospacing="0"/>
      <w:ind w:left="709"/>
    </w:pPr>
    <w:rPr>
      <w:rFonts w:asciiTheme="majorHAnsi" w:hAnsiTheme="majorHAnsi" w:cs="Arial"/>
      <w:noProof w:val="1"/>
    </w:rPr>
  </w:style>
  <w:style w:type="paragraph" w:styleId="P17">
    <w:name w:val="List Paragraph"/>
    <w:basedOn w:val="P0"/>
    <w:qFormat/>
    <w:pPr>
      <w:ind w:left="720"/>
      <w:contextualSpacing w:val="1"/>
    </w:pPr>
    <w:rPr/>
  </w:style>
  <w:style w:type="paragraph" w:styleId="P18">
    <w:name w:val="Profile"/>
    <w:basedOn w:val="P0"/>
    <w:semiHidden/>
    <w:pPr/>
    <w:rPr/>
  </w:style>
  <w:style w:type="paragraph" w:styleId="P19">
    <w:name w:val="Tillägg"/>
    <w:basedOn w:val="P12"/>
    <w:semiHidden/>
    <w:pPr/>
    <w:rPr/>
  </w:style>
  <w:style w:type="paragraph" w:styleId="P20">
    <w:name w:val="Normal utan avstånd"/>
    <w:basedOn w:val="P0"/>
    <w:semiHidden/>
    <w:pPr/>
    <w:rPr/>
  </w:style>
  <w:style w:type="paragraph" w:styleId="P21">
    <w:name w:val="Sidhuvud förstasida"/>
    <w:basedOn w:val="P11"/>
    <w:semiHidden/>
    <w:pPr/>
    <w:rPr/>
  </w:style>
  <w:style w:type="paragraph" w:styleId="P22">
    <w:name w:val="Dold rad"/>
    <w:basedOn w:val="P21"/>
    <w:semiHidden/>
    <w:pPr/>
    <w:rPr>
      <w:sz w:val="2"/>
    </w:rPr>
  </w:style>
  <w:style w:type="paragraph" w:styleId="P23">
    <w:name w:val="Dokumentinfo huvud"/>
    <w:basedOn w:val="P0"/>
    <w:semiHidden/>
    <w:pPr>
      <w:spacing w:lineRule="atLeast" w:line="190" w:beforeAutospacing="0" w:afterAutospacing="0"/>
      <w:ind w:left="-765"/>
    </w:pPr>
    <w:rPr>
      <w:rFonts w:ascii="Verdana" w:hAnsi="Verdana"/>
      <w:sz w:val="12"/>
    </w:rPr>
  </w:style>
  <w:style w:type="paragraph" w:styleId="P24">
    <w:name w:val="Balloon Text"/>
    <w:basedOn w:val="P0"/>
    <w:link w:val="C13"/>
    <w:semiHidden/>
    <w:pPr/>
    <w:rPr>
      <w:rFonts w:ascii="Tahoma" w:hAnsi="Tahoma" w:cs="Tahoma"/>
      <w:sz w:val="16"/>
      <w:szCs w:val="16"/>
    </w:rPr>
  </w:style>
  <w:style w:type="paragraph" w:styleId="P25">
    <w:name w:val="Default"/>
    <w:pPr/>
    <w:rPr>
      <w:rFonts w:ascii="Arial" w:hAnsi="Arial" w:cs="Arial"/>
      <w:color w:val="000000"/>
      <w:lang w:val="sv-SE"/>
    </w:rPr>
  </w:style>
  <w:style w:type="paragraph" w:styleId="P26">
    <w:name w:val="Rubrik 1 Nr"/>
    <w:basedOn w:val="P0"/>
    <w:next w:val="P0"/>
    <w:link w:val="C14"/>
    <w:pPr>
      <w:keepNext w:val="1"/>
      <w:numPr>
        <w:numId w:val="4"/>
      </w:numPr>
      <w:spacing w:lineRule="auto" w:line="240" w:before="520" w:after="200" w:beforeAutospacing="0" w:afterAutospacing="0"/>
      <w:outlineLvl w:val="0"/>
    </w:pPr>
    <w:rPr>
      <w:rFonts w:asciiTheme="majorHAnsi" w:hAnsiTheme="majorHAnsi" w:cs="Arial"/>
      <w:color w:val="auto"/>
      <w:sz w:val="32"/>
      <w:szCs w:val="36"/>
    </w:rPr>
  </w:style>
  <w:style w:type="paragraph" w:styleId="P27">
    <w:name w:val="Rubrik 2 Nr"/>
    <w:basedOn w:val="P0"/>
    <w:next w:val="P0"/>
    <w:link w:val="C15"/>
    <w:pPr>
      <w:keepNext w:val="1"/>
      <w:numPr>
        <w:ilvl w:val="1"/>
        <w:numId w:val="4"/>
      </w:numPr>
      <w:spacing w:lineRule="auto" w:line="240" w:before="280" w:beforeAutospacing="0" w:afterAutospacing="0"/>
      <w:outlineLvl w:val="1"/>
    </w:pPr>
    <w:rPr>
      <w:rFonts w:asciiTheme="majorHAnsi" w:hAnsiTheme="majorHAnsi" w:cs="Arial"/>
      <w:color w:val="auto"/>
      <w:sz w:val="26"/>
    </w:rPr>
  </w:style>
  <w:style w:type="paragraph" w:styleId="P28">
    <w:name w:val="Rubrik 3 Nr"/>
    <w:basedOn w:val="P3"/>
    <w:next w:val="P0"/>
    <w:link w:val="C16"/>
    <w:pPr>
      <w:numPr>
        <w:ilvl w:val="2"/>
        <w:numId w:val="4"/>
      </w:numPr>
    </w:pPr>
    <w:rPr/>
  </w:style>
  <w:style w:type="paragraph" w:styleId="P29">
    <w:name w:val="Rubrik 4 Nr"/>
    <w:basedOn w:val="P0"/>
    <w:next w:val="P0"/>
    <w:link w:val="C17"/>
    <w:pPr>
      <w:keepNext w:val="1"/>
      <w:numPr>
        <w:ilvl w:val="3"/>
        <w:numId w:val="4"/>
      </w:numPr>
      <w:spacing w:lineRule="auto" w:line="240" w:before="240" w:after="60" w:beforeAutospacing="0" w:afterAutospacing="0"/>
      <w:outlineLvl w:val="3"/>
    </w:pPr>
    <w:rPr>
      <w:rFonts w:asciiTheme="majorHAnsi" w:hAnsiTheme="majorHAnsi"/>
      <w:b w:val="1"/>
      <w:sz w:val="20"/>
    </w:rPr>
  </w:style>
  <w:style w:type="paragraph" w:styleId="P30">
    <w:name w:val="Heading_5 No"/>
    <w:basedOn w:val="P0"/>
    <w:next w:val="P0"/>
    <w:link w:val="C18"/>
    <w:semiHidden/>
    <w:pPr>
      <w:keepNext w:val="1"/>
      <w:numPr>
        <w:ilvl w:val="4"/>
        <w:numId w:val="4"/>
      </w:numPr>
      <w:spacing w:before="360" w:beforeAutospacing="0" w:afterAutospacing="0"/>
      <w:outlineLvl w:val="4"/>
    </w:pPr>
    <w:rPr>
      <w:i w:val="1"/>
      <w:lang w:val="en-GB"/>
    </w:rPr>
  </w:style>
  <w:style w:type="paragraph" w:styleId="P31">
    <w:name w:val="Etikett"/>
    <w:basedOn w:val="P0"/>
    <w:semiHidden/>
    <w:pPr/>
    <w:rPr>
      <w:rFonts w:asciiTheme="majorHAnsi" w:hAnsiTheme="majorHAnsi"/>
      <w:b w:val="1"/>
      <w:sz w:val="14"/>
    </w:rPr>
  </w:style>
  <w:style w:type="paragraph" w:styleId="P32">
    <w:name w:val="Logotyp"/>
    <w:semiHidden/>
    <w:pPr/>
    <w:rPr/>
  </w:style>
  <w:style w:type="paragraph" w:styleId="P33">
    <w:name w:val="Rubrik 11"/>
    <w:basedOn w:val="P0"/>
    <w:semiHidden/>
    <w:pPr>
      <w:numPr>
        <w:numId w:val="2"/>
      </w:numPr>
    </w:pPr>
    <w:rPr/>
  </w:style>
  <w:style w:type="paragraph" w:styleId="P34">
    <w:name w:val="Rubrik 21"/>
    <w:basedOn w:val="P0"/>
    <w:semiHidden/>
    <w:pPr>
      <w:numPr>
        <w:ilvl w:val="1"/>
        <w:numId w:val="2"/>
      </w:numPr>
    </w:pPr>
    <w:rPr/>
  </w:style>
  <w:style w:type="paragraph" w:styleId="P35">
    <w:name w:val="Rubrik 31"/>
    <w:basedOn w:val="P0"/>
    <w:semiHidden/>
    <w:pPr>
      <w:numPr>
        <w:ilvl w:val="2"/>
        <w:numId w:val="2"/>
      </w:numPr>
    </w:pPr>
    <w:rPr/>
  </w:style>
  <w:style w:type="paragraph" w:styleId="P36">
    <w:name w:val="Rubrik 41"/>
    <w:basedOn w:val="P0"/>
    <w:semiHidden/>
    <w:pPr>
      <w:numPr>
        <w:ilvl w:val="3"/>
        <w:numId w:val="2"/>
      </w:numPr>
    </w:pPr>
    <w:rPr/>
  </w:style>
  <w:style w:type="paragraph" w:styleId="P37">
    <w:name w:val="Rubrik 51"/>
    <w:basedOn w:val="P0"/>
    <w:semiHidden/>
    <w:pPr>
      <w:numPr>
        <w:ilvl w:val="4"/>
        <w:numId w:val="2"/>
      </w:numPr>
    </w:pPr>
    <w:rPr/>
  </w:style>
  <w:style w:type="paragraph" w:styleId="P38">
    <w:name w:val="Rubrik 61"/>
    <w:basedOn w:val="P0"/>
    <w:semiHidden/>
    <w:pPr>
      <w:numPr>
        <w:ilvl w:val="5"/>
        <w:numId w:val="2"/>
      </w:numPr>
    </w:pPr>
    <w:rPr/>
  </w:style>
  <w:style w:type="paragraph" w:styleId="P39">
    <w:name w:val="Rubrik 71"/>
    <w:basedOn w:val="P0"/>
    <w:semiHidden/>
    <w:pPr>
      <w:numPr>
        <w:ilvl w:val="6"/>
        <w:numId w:val="2"/>
      </w:numPr>
    </w:pPr>
    <w:rPr/>
  </w:style>
  <w:style w:type="paragraph" w:styleId="P40">
    <w:name w:val="Rubrik 81"/>
    <w:basedOn w:val="P0"/>
    <w:semiHidden/>
    <w:pPr>
      <w:numPr>
        <w:ilvl w:val="7"/>
        <w:numId w:val="2"/>
      </w:numPr>
    </w:pPr>
    <w:rPr/>
  </w:style>
  <w:style w:type="paragraph" w:styleId="P41">
    <w:name w:val="Rubrik 91"/>
    <w:basedOn w:val="P0"/>
    <w:semiHidden/>
    <w:pPr>
      <w:numPr>
        <w:ilvl w:val="8"/>
        <w:numId w:val="2"/>
      </w:numPr>
    </w:pPr>
    <w:rPr/>
  </w:style>
  <w:style w:type="paragraph" w:styleId="P42">
    <w:name w:val="TOC Heading"/>
    <w:basedOn w:val="P13"/>
    <w:next w:val="P0"/>
    <w:qFormat/>
    <w:pPr>
      <w:keepNext w:val="1"/>
      <w:keepLines w:val="1"/>
      <w:spacing w:lineRule="auto" w:line="240" w:before="240" w:after="200" w:beforeAutospacing="0" w:afterAutospacing="0"/>
    </w:pPr>
    <w:rPr>
      <w:b w:val="1"/>
      <w:sz w:val="32"/>
      <w:szCs w:val="40"/>
    </w:rPr>
  </w:style>
  <w:style w:type="paragraph" w:styleId="P43">
    <w:name w:val="Label"/>
    <w:basedOn w:val="P0"/>
    <w:semiHidden/>
    <w:pPr/>
    <w:rPr>
      <w:rFonts w:asciiTheme="majorHAnsi" w:hAnsiTheme="majorHAnsi"/>
      <w:b w:val="1"/>
      <w:sz w:val="14"/>
    </w:rPr>
  </w:style>
  <w:style w:type="paragraph" w:styleId="P44">
    <w:name w:val="TOC 6"/>
    <w:basedOn w:val="P0"/>
    <w:next w:val="P0"/>
    <w:autoRedefine w:val="1"/>
    <w:pPr>
      <w:tabs>
        <w:tab w:val="right" w:pos="8781" w:leader="dot"/>
      </w:tabs>
      <w:ind w:left="1000"/>
    </w:pPr>
    <w:rPr>
      <w:noProof w:val="1"/>
    </w:rPr>
  </w:style>
  <w:style w:type="paragraph" w:styleId="P45">
    <w:name w:val="TOC 5"/>
    <w:basedOn w:val="P0"/>
    <w:next w:val="P0"/>
    <w:autoRedefine w:val="1"/>
    <w:pPr>
      <w:tabs>
        <w:tab w:val="right" w:pos="8781" w:leader="dot"/>
      </w:tabs>
      <w:ind w:left="851"/>
    </w:pPr>
    <w:rPr>
      <w:noProof w:val="1"/>
    </w:rPr>
  </w:style>
  <w:style w:type="paragraph" w:styleId="P46">
    <w:name w:val="Address"/>
    <w:basedOn w:val="P0"/>
    <w:semiHidden/>
    <w:pPr>
      <w:spacing w:lineRule="atLeast" w:line="180" w:beforeAutospacing="0" w:afterAutospacing="0"/>
    </w:pPr>
    <w:rPr>
      <w:rFonts w:asciiTheme="majorHAnsi" w:hAnsiTheme="majorHAnsi"/>
      <w:sz w:val="14"/>
    </w:rPr>
  </w:style>
  <w:style w:type="paragraph" w:styleId="P47">
    <w:name w:val="Huvudrubrik - Framsida"/>
    <w:basedOn w:val="P0"/>
    <w:next w:val="P54"/>
    <w:pPr>
      <w:spacing w:lineRule="auto" w:line="216" w:after="0" w:beforeAutospacing="0" w:afterAutospacing="0"/>
    </w:pPr>
    <w:rPr>
      <w:rFonts w:asciiTheme="majorHAnsi" w:hAnsiTheme="majorHAnsi"/>
      <w:b w:val="1"/>
      <w:color w:val="186E7E" w:themeColor="accent1"/>
      <w:sz w:val="62"/>
    </w:rPr>
  </w:style>
  <w:style w:type="paragraph" w:styleId="P48">
    <w:name w:val="Draft"/>
    <w:basedOn w:val="P0"/>
    <w:semiHidden/>
    <w:pPr>
      <w:jc w:val="center"/>
    </w:pPr>
    <w:rPr/>
  </w:style>
  <w:style w:type="paragraph" w:styleId="P49">
    <w:name w:val="Confidential"/>
    <w:basedOn w:val="P0"/>
    <w:semiHidden/>
    <w:pPr>
      <w:jc w:val="center"/>
    </w:pPr>
    <w:rPr>
      <w:color w:val="186E7E" w:themeColor="accent1"/>
    </w:rPr>
  </w:style>
  <w:style w:type="paragraph" w:styleId="P50">
    <w:name w:val="Sender"/>
    <w:basedOn w:val="P0"/>
    <w:semiHidden/>
    <w:pPr/>
    <w:rPr/>
  </w:style>
  <w:style w:type="paragraph" w:styleId="P51">
    <w:name w:val="Ingress"/>
    <w:basedOn w:val="P0"/>
    <w:next w:val="P0"/>
    <w:pPr>
      <w:spacing w:lineRule="auto" w:line="240" w:after="240" w:beforeAutospacing="0" w:afterAutospacing="0"/>
    </w:pPr>
    <w:rPr>
      <w:rFonts w:asciiTheme="majorHAnsi" w:hAnsiTheme="majorHAnsi"/>
      <w:sz w:val="22"/>
    </w:rPr>
  </w:style>
  <w:style w:type="paragraph" w:styleId="P52">
    <w:name w:val="Sidfot - Adressrubrik"/>
    <w:basedOn w:val="P12"/>
    <w:pPr>
      <w:tabs>
        <w:tab w:val="clear" w:pos="1418" w:leader="none"/>
        <w:tab w:val="center" w:pos="4513" w:leader="none"/>
        <w:tab w:val="right" w:pos="9026" w:leader="none"/>
      </w:tabs>
      <w:spacing w:before="80" w:after="80" w:beforeAutospacing="0" w:afterAutospacing="0"/>
    </w:pPr>
    <w:rPr>
      <w:rFonts w:asciiTheme="majorHAnsi" w:hAnsiTheme="majorHAnsi" w:cstheme="minorBidi" w:eastAsiaTheme="minorHAnsi"/>
      <w:b w:val="1"/>
      <w:color w:val="auto"/>
      <w:szCs w:val="22"/>
    </w:rPr>
  </w:style>
  <w:style w:type="paragraph" w:styleId="P53">
    <w:name w:val="Adressmottagare"/>
    <w:basedOn w:val="P0"/>
    <w:next w:val="P0"/>
    <w:semiHidden/>
    <w:pPr>
      <w:spacing w:after="0" w:beforeAutospacing="0" w:afterAutospacing="0"/>
      <w:ind w:left="5103"/>
    </w:pPr>
    <w:rPr/>
  </w:style>
  <w:style w:type="paragraph" w:styleId="P54">
    <w:name w:val="Underrubrik - Framsida"/>
    <w:basedOn w:val="P47"/>
    <w:pPr>
      <w:spacing w:before="240" w:beforeAutospacing="0" w:afterAutospacing="0"/>
    </w:pPr>
    <w:rPr>
      <w:b w:val="0"/>
      <w:color w:val="auto"/>
      <w:sz w:val="34"/>
    </w:rPr>
  </w:style>
  <w:style w:type="paragraph" w:styleId="P55">
    <w:name w:val="Dokumentinformation"/>
    <w:basedOn w:val="P0"/>
    <w:pPr>
      <w:spacing w:lineRule="auto" w:line="240" w:after="0" w:beforeAutospacing="0" w:afterAutospacing="0"/>
    </w:pPr>
    <w:rPr>
      <w:rFonts w:asciiTheme="majorHAnsi" w:hAnsiTheme="majorHAnsi" w:cs="Arial"/>
      <w:sz w:val="20"/>
      <w:szCs w:val="22"/>
    </w:rPr>
  </w:style>
  <w:style w:type="paragraph" w:styleId="P56">
    <w:name w:val="Diarienummer"/>
    <w:basedOn w:val="P55"/>
    <w:pPr>
      <w:framePr w:hSpace="142" w:wrap="around" w:vAnchor="page" w:hAnchor="page" w:x="1135" w:y="483"/>
    </w:pPr>
    <w:rPr/>
  </w:style>
  <w:style w:type="paragraph" w:styleId="P57">
    <w:name w:val="Tom rad"/>
    <w:basedOn w:val="P0"/>
    <w:semiHidden/>
    <w:pPr>
      <w:spacing w:after="0" w:beforeAutospacing="0" w:afterAutospacing="0"/>
      <w:ind w:left="-295" w:right="3402"/>
    </w:pPr>
    <w:rPr>
      <w:sz w:val="2"/>
      <w:szCs w:val="2"/>
    </w:rPr>
  </w:style>
  <w:style w:type="paragraph" w:styleId="P58">
    <w:name w:val="annotation text"/>
    <w:basedOn w:val="P0"/>
    <w:link w:val="C21"/>
    <w:pPr>
      <w:spacing w:lineRule="auto" w:line="240" w:beforeAutospacing="0" w:afterAutospacing="0"/>
    </w:pPr>
    <w:rPr>
      <w:sz w:val="20"/>
      <w:szCs w:val="20"/>
    </w:rPr>
  </w:style>
  <w:style w:type="paragraph" w:styleId="P59">
    <w:name w:val="annotation subject"/>
    <w:basedOn w:val="P58"/>
    <w:next w:val="P58"/>
    <w:link w:val="C22"/>
    <w:semiHidden/>
    <w:pPr/>
    <w:rPr>
      <w:b w:val="1"/>
      <w:bCs w:val="1"/>
    </w:rPr>
  </w:style>
  <w:style w:type="paragraph" w:styleId="P60">
    <w:name w:val="Caption"/>
    <w:basedOn w:val="P0"/>
    <w:next w:val="P0"/>
    <w:qFormat/>
    <w:pPr>
      <w:spacing w:lineRule="auto" w:line="240" w:after="200" w:beforeAutospacing="0" w:afterAutospacing="0"/>
    </w:pPr>
    <w:rPr>
      <w:i w:val="1"/>
      <w:iCs w:val="1"/>
      <w:color w:val="00D884" w:themeColor="text2"/>
      <w:sz w:val="18"/>
      <w:szCs w:val="18"/>
    </w:rPr>
  </w:style>
  <w:style w:type="paragraph" w:styleId="P61">
    <w:name w:val="No Spacing"/>
    <w:link w:val="C23"/>
    <w:qFormat/>
    <w:pPr>
      <w:spacing w:after="0" w:beforeAutospacing="0" w:afterAutospacing="0"/>
    </w:pPr>
    <w:rPr>
      <w:rFonts w:ascii="Calibri" w:hAnsi="Calibri" w:eastAsia="Calibri"/>
    </w:rPr>
  </w:style>
  <w:style w:type="paragraph" w:styleId="P62">
    <w:name w:val="Normal (Web)"/>
    <w:basedOn w:val="P0"/>
    <w:pPr>
      <w:spacing w:lineRule="auto" w:line="240" w:before="100" w:after="100" w:beforeAutospacing="1" w:afterAutospacing="1"/>
    </w:pPr>
    <w:rPr>
      <w:rFonts w:ascii="Times New Roman" w:hAnsi="Times New Roman"/>
      <w:color w:val="auto"/>
      <w:lang w:eastAsia="sv-SE"/>
    </w:rPr>
  </w:style>
  <w:style w:type="paragraph" w:styleId="P63">
    <w:name w:val="TOC 7"/>
    <w:basedOn w:val="P0"/>
    <w:next w:val="P0"/>
    <w:autoRedefine w:val="1"/>
    <w:pPr>
      <w:spacing w:lineRule="auto" w:line="259" w:after="100" w:beforeAutospacing="0" w:afterAutospacing="0"/>
      <w:ind w:left="1320"/>
    </w:pPr>
    <w:rPr>
      <w:rFonts w:cstheme="minorBidi" w:eastAsiaTheme="minorEastAsia"/>
      <w:color w:val="auto"/>
      <w:sz w:val="22"/>
      <w:szCs w:val="22"/>
      <w:lang w:eastAsia="sv-SE"/>
    </w:rPr>
  </w:style>
  <w:style w:type="paragraph" w:styleId="P64">
    <w:name w:val="TOC 8"/>
    <w:basedOn w:val="P0"/>
    <w:next w:val="P0"/>
    <w:autoRedefine w:val="1"/>
    <w:pPr>
      <w:spacing w:lineRule="auto" w:line="259" w:after="100" w:beforeAutospacing="0" w:afterAutospacing="0"/>
      <w:ind w:left="1540"/>
    </w:pPr>
    <w:rPr>
      <w:rFonts w:cstheme="minorBidi" w:eastAsiaTheme="minorEastAsia"/>
      <w:color w:val="auto"/>
      <w:sz w:val="22"/>
      <w:szCs w:val="22"/>
      <w:lang w:eastAsia="sv-SE"/>
    </w:rPr>
  </w:style>
  <w:style w:type="paragraph" w:styleId="P65">
    <w:name w:val="TOC 9"/>
    <w:basedOn w:val="P0"/>
    <w:next w:val="P0"/>
    <w:autoRedefine w:val="1"/>
    <w:pPr>
      <w:spacing w:lineRule="auto" w:line="259" w:after="100" w:beforeAutospacing="0" w:afterAutospacing="0"/>
      <w:ind w:left="1760"/>
    </w:pPr>
    <w:rPr>
      <w:rFonts w:cstheme="minorBidi" w:eastAsiaTheme="minorEastAsia"/>
      <w:color w:val="auto"/>
      <w:sz w:val="22"/>
      <w:szCs w:val="22"/>
      <w:lang w:eastAsia="sv-SE"/>
    </w:rPr>
  </w:style>
  <w:style w:type="paragraph" w:styleId="P66">
    <w:name w:val="Revision"/>
    <w:hidden/>
    <w:semiHidden/>
    <w:pPr>
      <w:spacing w:after="0" w:beforeAutospacing="0" w:afterAutospacing="0"/>
    </w:pPr>
    <w:rPr>
      <w:lang w:val="sv-SE"/>
    </w:rPr>
  </w:style>
  <w:style w:type="paragraph" w:styleId="P67">
    <w:name w:val="Formatmall1"/>
    <w:basedOn w:val="P4"/>
    <w:link w:val="C27"/>
    <w:qFormat/>
    <w:pPr/>
    <w:rPr>
      <w:shd w:val="clear" w:color="auto" w:fill="FFFFFF"/>
    </w:rPr>
  </w:style>
  <w:style w:type="paragraph" w:styleId="P68">
    <w:name w:val="Envelope Address"/>
    <w:basedOn w:val="P0"/>
    <w:semiHidden/>
    <w:pPr>
      <w:framePr w:w="7938" w:h="1984" w:hRule="exact" w:hSpace="141" w:wrap="auto" w:vAnchor="margin" w:hAnchor="page" w:xAlign="center" w:yAlign="bottom"/>
      <w:spacing w:lineRule="auto" w:line="240" w:after="0" w:beforeAutospacing="0" w:afterAutospacing="0"/>
      <w:ind w:left="2880"/>
    </w:pPr>
    <w:rPr>
      <w:rFonts w:asciiTheme="majorHAnsi" w:hAnsiTheme="majorHAnsi" w:cstheme="majorBidi" w:eastAsiaTheme="majorEastAsia"/>
    </w:rPr>
  </w:style>
  <w:style w:type="paragraph" w:styleId="P69">
    <w:name w:val="Note Heading"/>
    <w:basedOn w:val="P0"/>
    <w:next w:val="P0"/>
    <w:link w:val="C30"/>
    <w:semiHidden/>
    <w:pPr>
      <w:spacing w:lineRule="auto" w:line="240" w:after="0" w:beforeAutospacing="0" w:afterAutospacing="0"/>
    </w:pPr>
    <w:rPr/>
  </w:style>
  <w:style w:type="paragraph" w:styleId="P70">
    <w:name w:val="Closing"/>
    <w:basedOn w:val="P0"/>
    <w:link w:val="C31"/>
    <w:semiHidden/>
    <w:pPr>
      <w:spacing w:lineRule="auto" w:line="240" w:after="0" w:beforeAutospacing="0" w:afterAutospacing="0"/>
      <w:ind w:left="4252"/>
    </w:pPr>
    <w:rPr/>
  </w:style>
  <w:style w:type="paragraph" w:styleId="P71">
    <w:name w:val="Envelope Return"/>
    <w:basedOn w:val="P0"/>
    <w:semiHidden/>
    <w:pPr>
      <w:spacing w:lineRule="auto" w:line="240" w:after="0" w:beforeAutospacing="0" w:afterAutospacing="0"/>
    </w:pPr>
    <w:rPr>
      <w:rFonts w:asciiTheme="majorHAnsi" w:hAnsiTheme="majorHAnsi" w:cstheme="majorBidi" w:eastAsiaTheme="majorEastAsia"/>
      <w:sz w:val="20"/>
      <w:szCs w:val="20"/>
    </w:rPr>
  </w:style>
  <w:style w:type="paragraph" w:styleId="P72">
    <w:name w:val="Body Text"/>
    <w:basedOn w:val="P0"/>
    <w:link w:val="C32"/>
    <w:semiHidden/>
    <w:pPr/>
    <w:rPr/>
  </w:style>
  <w:style w:type="paragraph" w:styleId="P73">
    <w:name w:val="Body Text 2"/>
    <w:basedOn w:val="P0"/>
    <w:link w:val="C33"/>
    <w:semiHidden/>
    <w:pPr>
      <w:spacing w:lineRule="auto" w:line="480" w:beforeAutospacing="0" w:afterAutospacing="0"/>
    </w:pPr>
    <w:rPr/>
  </w:style>
  <w:style w:type="paragraph" w:styleId="P74">
    <w:name w:val="Body Text 3"/>
    <w:basedOn w:val="P0"/>
    <w:link w:val="C34"/>
    <w:semiHidden/>
    <w:pPr/>
    <w:rPr>
      <w:sz w:val="16"/>
      <w:szCs w:val="16"/>
    </w:rPr>
  </w:style>
  <w:style w:type="paragraph" w:styleId="P75">
    <w:name w:val="Body Text First Indent"/>
    <w:basedOn w:val="P72"/>
    <w:link w:val="C35"/>
    <w:semiHidden/>
    <w:pPr>
      <w:ind w:firstLine="360"/>
    </w:pPr>
    <w:rPr/>
  </w:style>
  <w:style w:type="paragraph" w:styleId="P76">
    <w:name w:val="Body Text Indent"/>
    <w:basedOn w:val="P0"/>
    <w:link w:val="C36"/>
    <w:semiHidden/>
    <w:pPr>
      <w:ind w:left="283"/>
    </w:pPr>
    <w:rPr/>
  </w:style>
  <w:style w:type="paragraph" w:styleId="P77">
    <w:name w:val="Body Text First Indent 2"/>
    <w:basedOn w:val="P76"/>
    <w:link w:val="C37"/>
    <w:semiHidden/>
    <w:pPr>
      <w:ind w:firstLine="360" w:left="360"/>
    </w:pPr>
    <w:rPr/>
  </w:style>
  <w:style w:type="paragraph" w:styleId="P78">
    <w:name w:val="Body Text Indent 2"/>
    <w:basedOn w:val="P0"/>
    <w:link w:val="C38"/>
    <w:semiHidden/>
    <w:pPr>
      <w:spacing w:lineRule="auto" w:line="480" w:beforeAutospacing="0" w:afterAutospacing="0"/>
      <w:ind w:left="283"/>
    </w:pPr>
    <w:rPr/>
  </w:style>
  <w:style w:type="paragraph" w:styleId="P79">
    <w:name w:val="Body Text Indent 3"/>
    <w:basedOn w:val="P0"/>
    <w:link w:val="C39"/>
    <w:semiHidden/>
    <w:pPr>
      <w:ind w:left="283"/>
    </w:pPr>
    <w:rPr>
      <w:sz w:val="16"/>
      <w:szCs w:val="16"/>
    </w:rPr>
  </w:style>
  <w:style w:type="paragraph" w:styleId="P80">
    <w:name w:val="Quote"/>
    <w:basedOn w:val="P0"/>
    <w:next w:val="P0"/>
    <w:link w:val="C40"/>
    <w:semiHidden/>
    <w:pPr>
      <w:spacing w:before="200" w:after="160" w:beforeAutospacing="0" w:afterAutospacing="0"/>
      <w:ind w:left="864" w:right="864"/>
      <w:jc w:val="center"/>
    </w:pPr>
    <w:rPr>
      <w:i w:val="1"/>
      <w:iCs w:val="1"/>
      <w:color w:val="404040" w:themeColor="text1" w:themeTint="BF"/>
    </w:rPr>
  </w:style>
  <w:style w:type="paragraph" w:styleId="P81">
    <w:name w:val="Table of Authorities"/>
    <w:basedOn w:val="P0"/>
    <w:next w:val="P0"/>
    <w:semiHidden/>
    <w:pPr>
      <w:spacing w:after="0" w:beforeAutospacing="0" w:afterAutospacing="0"/>
      <w:ind w:hanging="240" w:left="240"/>
    </w:pPr>
    <w:rPr/>
  </w:style>
  <w:style w:type="paragraph" w:styleId="P82">
    <w:name w:val="TOA Heading"/>
    <w:basedOn w:val="P0"/>
    <w:next w:val="P0"/>
    <w:semiHidden/>
    <w:pPr>
      <w:spacing w:before="120" w:beforeAutospacing="0" w:afterAutospacing="0"/>
    </w:pPr>
    <w:rPr>
      <w:rFonts w:asciiTheme="majorHAnsi" w:hAnsiTheme="majorHAnsi" w:cstheme="majorBidi" w:eastAsiaTheme="majorEastAsia"/>
      <w:b w:val="1"/>
      <w:bCs w:val="1"/>
    </w:rPr>
  </w:style>
  <w:style w:type="paragraph" w:styleId="P83">
    <w:name w:val="Date"/>
    <w:basedOn w:val="P0"/>
    <w:next w:val="P0"/>
    <w:link w:val="C41"/>
    <w:semiHidden/>
    <w:pPr/>
    <w:rPr/>
  </w:style>
  <w:style w:type="paragraph" w:styleId="P84">
    <w:name w:val="Document Map"/>
    <w:basedOn w:val="P0"/>
    <w:link w:val="C42"/>
    <w:semiHidden/>
    <w:pPr>
      <w:spacing w:lineRule="auto" w:line="240" w:after="0" w:beforeAutospacing="0" w:afterAutospacing="0"/>
    </w:pPr>
    <w:rPr>
      <w:rFonts w:ascii="Segoe UI" w:hAnsi="Segoe UI" w:cs="Segoe UI"/>
      <w:sz w:val="16"/>
      <w:szCs w:val="16"/>
    </w:rPr>
  </w:style>
  <w:style w:type="paragraph" w:styleId="P85">
    <w:name w:val="E-mail Signature"/>
    <w:basedOn w:val="P0"/>
    <w:link w:val="C43"/>
    <w:semiHidden/>
    <w:pPr>
      <w:spacing w:lineRule="auto" w:line="240" w:after="0" w:beforeAutospacing="0" w:afterAutospacing="0"/>
    </w:pPr>
    <w:rPr/>
  </w:style>
  <w:style w:type="paragraph" w:styleId="P86">
    <w:name w:val="Table of Figures"/>
    <w:basedOn w:val="P0"/>
    <w:next w:val="P0"/>
    <w:semiHidden/>
    <w:pPr>
      <w:spacing w:after="0" w:beforeAutospacing="0" w:afterAutospacing="0"/>
    </w:pPr>
    <w:rPr/>
  </w:style>
  <w:style w:type="paragraph" w:styleId="P87">
    <w:name w:val="Footnote Text"/>
    <w:basedOn w:val="P0"/>
    <w:link w:val="C44"/>
    <w:semiHidden/>
    <w:pPr>
      <w:spacing w:lineRule="auto" w:line="240" w:after="0" w:beforeAutospacing="0" w:afterAutospacing="0"/>
    </w:pPr>
    <w:rPr>
      <w:sz w:val="20"/>
      <w:szCs w:val="20"/>
    </w:rPr>
  </w:style>
  <w:style w:type="paragraph" w:styleId="P88">
    <w:name w:val="HTML Address"/>
    <w:basedOn w:val="P0"/>
    <w:link w:val="C45"/>
    <w:semiHidden/>
    <w:pPr>
      <w:spacing w:lineRule="auto" w:line="240" w:after="0" w:beforeAutospacing="0" w:afterAutospacing="0"/>
    </w:pPr>
    <w:rPr>
      <w:i w:val="1"/>
      <w:iCs w:val="1"/>
    </w:rPr>
  </w:style>
  <w:style w:type="paragraph" w:styleId="P89">
    <w:name w:val="HTML Preformatted"/>
    <w:basedOn w:val="P0"/>
    <w:link w:val="C46"/>
    <w:semiHidden/>
    <w:pPr>
      <w:spacing w:lineRule="auto" w:line="240" w:after="0" w:beforeAutospacing="0" w:afterAutospacing="0"/>
    </w:pPr>
    <w:rPr>
      <w:rFonts w:ascii="Consolas" w:hAnsi="Consolas"/>
      <w:sz w:val="20"/>
      <w:szCs w:val="20"/>
    </w:rPr>
  </w:style>
  <w:style w:type="paragraph" w:styleId="P90">
    <w:name w:val="Index 1"/>
    <w:basedOn w:val="P0"/>
    <w:next w:val="P0"/>
    <w:autoRedefine w:val="1"/>
    <w:semiHidden/>
    <w:pPr>
      <w:spacing w:lineRule="auto" w:line="240" w:after="0" w:beforeAutospacing="0" w:afterAutospacing="0"/>
      <w:ind w:hanging="240" w:left="240"/>
    </w:pPr>
    <w:rPr/>
  </w:style>
  <w:style w:type="paragraph" w:styleId="P91">
    <w:name w:val="Index 2"/>
    <w:basedOn w:val="P0"/>
    <w:next w:val="P0"/>
    <w:autoRedefine w:val="1"/>
    <w:semiHidden/>
    <w:pPr>
      <w:spacing w:lineRule="auto" w:line="240" w:after="0" w:beforeAutospacing="0" w:afterAutospacing="0"/>
      <w:ind w:hanging="240" w:left="480"/>
    </w:pPr>
    <w:rPr/>
  </w:style>
  <w:style w:type="paragraph" w:styleId="P92">
    <w:name w:val="Index 3"/>
    <w:basedOn w:val="P0"/>
    <w:next w:val="P0"/>
    <w:autoRedefine w:val="1"/>
    <w:semiHidden/>
    <w:pPr>
      <w:spacing w:lineRule="auto" w:line="240" w:after="0" w:beforeAutospacing="0" w:afterAutospacing="0"/>
      <w:ind w:hanging="240" w:left="720"/>
    </w:pPr>
    <w:rPr/>
  </w:style>
  <w:style w:type="paragraph" w:styleId="P93">
    <w:name w:val="Index 4"/>
    <w:basedOn w:val="P0"/>
    <w:next w:val="P0"/>
    <w:autoRedefine w:val="1"/>
    <w:semiHidden/>
    <w:pPr>
      <w:spacing w:lineRule="auto" w:line="240" w:after="0" w:beforeAutospacing="0" w:afterAutospacing="0"/>
      <w:ind w:hanging="240" w:left="960"/>
    </w:pPr>
    <w:rPr/>
  </w:style>
  <w:style w:type="paragraph" w:styleId="P94">
    <w:name w:val="Index 5"/>
    <w:basedOn w:val="P0"/>
    <w:next w:val="P0"/>
    <w:autoRedefine w:val="1"/>
    <w:semiHidden/>
    <w:pPr>
      <w:spacing w:lineRule="auto" w:line="240" w:after="0" w:beforeAutospacing="0" w:afterAutospacing="0"/>
      <w:ind w:hanging="240" w:left="1200"/>
    </w:pPr>
    <w:rPr/>
  </w:style>
  <w:style w:type="paragraph" w:styleId="P95">
    <w:name w:val="Index 6"/>
    <w:basedOn w:val="P0"/>
    <w:next w:val="P0"/>
    <w:autoRedefine w:val="1"/>
    <w:semiHidden/>
    <w:pPr>
      <w:spacing w:lineRule="auto" w:line="240" w:after="0" w:beforeAutospacing="0" w:afterAutospacing="0"/>
      <w:ind w:hanging="240" w:left="1440"/>
    </w:pPr>
    <w:rPr/>
  </w:style>
  <w:style w:type="paragraph" w:styleId="P96">
    <w:name w:val="Index 7"/>
    <w:basedOn w:val="P0"/>
    <w:next w:val="P0"/>
    <w:autoRedefine w:val="1"/>
    <w:semiHidden/>
    <w:pPr>
      <w:spacing w:lineRule="auto" w:line="240" w:after="0" w:beforeAutospacing="0" w:afterAutospacing="0"/>
      <w:ind w:hanging="240" w:left="1680"/>
    </w:pPr>
    <w:rPr/>
  </w:style>
  <w:style w:type="paragraph" w:styleId="P97">
    <w:name w:val="Index 8"/>
    <w:basedOn w:val="P0"/>
    <w:next w:val="P0"/>
    <w:autoRedefine w:val="1"/>
    <w:semiHidden/>
    <w:pPr>
      <w:spacing w:lineRule="auto" w:line="240" w:after="0" w:beforeAutospacing="0" w:afterAutospacing="0"/>
      <w:ind w:hanging="240" w:left="1920"/>
    </w:pPr>
    <w:rPr/>
  </w:style>
  <w:style w:type="paragraph" w:styleId="P98">
    <w:name w:val="Index 9"/>
    <w:basedOn w:val="P0"/>
    <w:next w:val="P0"/>
    <w:autoRedefine w:val="1"/>
    <w:semiHidden/>
    <w:pPr>
      <w:spacing w:lineRule="auto" w:line="240" w:after="0" w:beforeAutospacing="0" w:afterAutospacing="0"/>
      <w:ind w:hanging="240" w:left="2160"/>
    </w:pPr>
    <w:rPr/>
  </w:style>
  <w:style w:type="paragraph" w:styleId="P99">
    <w:name w:val="Index Heading"/>
    <w:basedOn w:val="P0"/>
    <w:next w:val="P90"/>
    <w:semiHidden/>
    <w:pPr/>
    <w:rPr>
      <w:rFonts w:asciiTheme="majorHAnsi" w:hAnsiTheme="majorHAnsi" w:cstheme="majorBidi" w:eastAsiaTheme="majorEastAsia"/>
      <w:b w:val="1"/>
      <w:bCs w:val="1"/>
    </w:rPr>
  </w:style>
  <w:style w:type="paragraph" w:styleId="P100">
    <w:name w:val="Block Text"/>
    <w:basedOn w:val="P0"/>
    <w:semiHidden/>
    <w:pPr>
      <w:pBdr>
        <w:top w:val="single" w:sz="2" w:space="10" w:shadow="0" w:frame="0" w:color="186E7E" w:themeColor="accent1"/>
        <w:left w:val="single" w:sz="2" w:space="10" w:shadow="0" w:frame="0" w:color="186E7E" w:themeColor="accent1"/>
        <w:bottom w:val="single" w:sz="2" w:space="10" w:shadow="0" w:frame="0" w:color="186E7E" w:themeColor="accent1"/>
        <w:right w:val="single" w:sz="2" w:space="10" w:shadow="0" w:frame="0" w:color="186E7E" w:themeColor="accent1"/>
        <w:between w:val="none" w:sz="0" w:space="0" w:shadow="0" w:frame="0" w:color="auto"/>
      </w:pBdr>
      <w:ind w:left="1152" w:right="1152"/>
    </w:pPr>
    <w:rPr>
      <w:rFonts w:cstheme="minorBidi" w:eastAsiaTheme="minorEastAsia"/>
      <w:i w:val="1"/>
      <w:iCs w:val="1"/>
      <w:color w:val="186E7E" w:themeColor="accent1"/>
    </w:rPr>
  </w:style>
  <w:style w:type="paragraph" w:styleId="P101">
    <w:name w:val="Salutation"/>
    <w:basedOn w:val="P0"/>
    <w:next w:val="P0"/>
    <w:link w:val="C47"/>
    <w:semiHidden/>
    <w:pPr/>
    <w:rPr/>
  </w:style>
  <w:style w:type="paragraph" w:styleId="P102">
    <w:name w:val="List"/>
    <w:basedOn w:val="P0"/>
    <w:semiHidden/>
    <w:pPr>
      <w:ind w:hanging="283" w:left="283"/>
      <w:contextualSpacing w:val="1"/>
    </w:pPr>
    <w:rPr/>
  </w:style>
  <w:style w:type="paragraph" w:styleId="P103">
    <w:name w:val="List 2"/>
    <w:basedOn w:val="P0"/>
    <w:semiHidden/>
    <w:pPr>
      <w:ind w:hanging="283" w:left="566"/>
      <w:contextualSpacing w:val="1"/>
    </w:pPr>
    <w:rPr/>
  </w:style>
  <w:style w:type="paragraph" w:styleId="P104">
    <w:name w:val="List 3"/>
    <w:basedOn w:val="P0"/>
    <w:semiHidden/>
    <w:pPr>
      <w:ind w:hanging="283" w:left="849"/>
      <w:contextualSpacing w:val="1"/>
    </w:pPr>
    <w:rPr/>
  </w:style>
  <w:style w:type="paragraph" w:styleId="P105">
    <w:name w:val="List 4"/>
    <w:basedOn w:val="P0"/>
    <w:semiHidden/>
    <w:pPr>
      <w:ind w:hanging="283" w:left="1132"/>
      <w:contextualSpacing w:val="1"/>
    </w:pPr>
    <w:rPr/>
  </w:style>
  <w:style w:type="paragraph" w:styleId="P106">
    <w:name w:val="List 5"/>
    <w:basedOn w:val="P0"/>
    <w:semiHidden/>
    <w:pPr>
      <w:ind w:hanging="283" w:left="1415"/>
      <w:contextualSpacing w:val="1"/>
    </w:pPr>
    <w:rPr/>
  </w:style>
  <w:style w:type="paragraph" w:styleId="P107">
    <w:name w:val="List Continue"/>
    <w:basedOn w:val="P0"/>
    <w:semiHidden/>
    <w:pPr>
      <w:ind w:left="283"/>
      <w:contextualSpacing w:val="1"/>
    </w:pPr>
    <w:rPr/>
  </w:style>
  <w:style w:type="paragraph" w:styleId="P108">
    <w:name w:val="List Continue 2"/>
    <w:basedOn w:val="P0"/>
    <w:semiHidden/>
    <w:pPr>
      <w:ind w:left="566"/>
      <w:contextualSpacing w:val="1"/>
    </w:pPr>
    <w:rPr/>
  </w:style>
  <w:style w:type="paragraph" w:styleId="P109">
    <w:name w:val="List Continue 3"/>
    <w:basedOn w:val="P0"/>
    <w:semiHidden/>
    <w:pPr>
      <w:ind w:left="849"/>
      <w:contextualSpacing w:val="1"/>
    </w:pPr>
    <w:rPr/>
  </w:style>
  <w:style w:type="paragraph" w:styleId="P110">
    <w:name w:val="List Continue 4"/>
    <w:basedOn w:val="P0"/>
    <w:semiHidden/>
    <w:pPr>
      <w:ind w:left="1132"/>
      <w:contextualSpacing w:val="1"/>
    </w:pPr>
    <w:rPr/>
  </w:style>
  <w:style w:type="paragraph" w:styleId="P111">
    <w:name w:val="List Continue 5"/>
    <w:basedOn w:val="P0"/>
    <w:semiHidden/>
    <w:pPr>
      <w:ind w:left="1415"/>
      <w:contextualSpacing w:val="1"/>
    </w:pPr>
    <w:rPr/>
  </w:style>
  <w:style w:type="paragraph" w:styleId="P112">
    <w:name w:val="Bibliography"/>
    <w:basedOn w:val="P0"/>
    <w:next w:val="P0"/>
    <w:semiHidden/>
    <w:pPr/>
    <w:rPr/>
  </w:style>
  <w:style w:type="paragraph" w:styleId="P113">
    <w:name w:val="macro"/>
    <w:link w:val="C48"/>
    <w:semiHidden/>
    <w:pPr>
      <w:tabs>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pacing w:lineRule="auto" w:line="276" w:after="0" w:beforeAutospacing="0" w:afterAutospacing="0"/>
    </w:pPr>
    <w:rPr>
      <w:rFonts w:ascii="Consolas" w:hAnsi="Consolas"/>
      <w:sz w:val="20"/>
      <w:szCs w:val="20"/>
      <w:lang w:val="sv-SE"/>
    </w:rPr>
  </w:style>
  <w:style w:type="paragraph" w:styleId="P114">
    <w:name w:val="Message Header"/>
    <w:basedOn w:val="P0"/>
    <w:link w:val="C49"/>
    <w:semiHidden/>
    <w:pPr>
      <w:pBdr>
        <w:top w:val="single" w:sz="6" w:space="1" w:shadow="0" w:frame="0" w:color="auto"/>
        <w:left w:val="single" w:sz="6" w:space="1" w:shadow="0" w:frame="0" w:color="auto"/>
        <w:bottom w:val="single" w:sz="6" w:space="1" w:shadow="0" w:frame="0" w:color="auto"/>
        <w:right w:val="single" w:sz="6" w:space="1" w:shadow="0" w:frame="0" w:color="auto"/>
        <w:between w:val="none" w:sz="0" w:space="0" w:shadow="0" w:frame="0" w:color="auto"/>
      </w:pBdr>
      <w:shd w:val="pct20" w:fill="auto"/>
      <w:spacing w:lineRule="auto" w:line="240" w:after="0" w:beforeAutospacing="0" w:afterAutospacing="0"/>
      <w:ind w:hanging="1134" w:left="1134"/>
    </w:pPr>
    <w:rPr>
      <w:rFonts w:asciiTheme="majorHAnsi" w:hAnsiTheme="majorHAnsi" w:cstheme="majorBidi" w:eastAsiaTheme="majorEastAsia"/>
    </w:rPr>
  </w:style>
  <w:style w:type="paragraph" w:styleId="P115">
    <w:name w:val="Normal Indent"/>
    <w:basedOn w:val="P0"/>
    <w:semiHidden/>
    <w:pPr>
      <w:ind w:left="1304"/>
    </w:pPr>
    <w:rPr/>
  </w:style>
  <w:style w:type="paragraph" w:styleId="P116">
    <w:name w:val="List Number"/>
    <w:basedOn w:val="P0"/>
    <w:pPr>
      <w:numPr>
        <w:numId w:val="42"/>
      </w:numPr>
      <w:contextualSpacing w:val="1"/>
    </w:pPr>
    <w:rPr/>
  </w:style>
  <w:style w:type="paragraph" w:styleId="P117">
    <w:name w:val="List Number 2"/>
    <w:basedOn w:val="P0"/>
    <w:semiHidden/>
    <w:pPr>
      <w:numPr>
        <w:numId w:val="43"/>
      </w:numPr>
      <w:contextualSpacing w:val="1"/>
    </w:pPr>
    <w:rPr/>
  </w:style>
  <w:style w:type="paragraph" w:styleId="P118">
    <w:name w:val="List Number 3"/>
    <w:basedOn w:val="P0"/>
    <w:semiHidden/>
    <w:pPr>
      <w:numPr>
        <w:numId w:val="44"/>
      </w:numPr>
      <w:contextualSpacing w:val="1"/>
    </w:pPr>
    <w:rPr/>
  </w:style>
  <w:style w:type="paragraph" w:styleId="P119">
    <w:name w:val="List Number 4"/>
    <w:basedOn w:val="P0"/>
    <w:semiHidden/>
    <w:pPr>
      <w:numPr>
        <w:numId w:val="45"/>
      </w:numPr>
      <w:contextualSpacing w:val="1"/>
    </w:pPr>
    <w:rPr/>
  </w:style>
  <w:style w:type="paragraph" w:styleId="P120">
    <w:name w:val="List Number 5"/>
    <w:basedOn w:val="P0"/>
    <w:semiHidden/>
    <w:pPr>
      <w:numPr>
        <w:numId w:val="46"/>
      </w:numPr>
      <w:contextualSpacing w:val="1"/>
    </w:pPr>
    <w:rPr/>
  </w:style>
  <w:style w:type="paragraph" w:styleId="P121">
    <w:name w:val="Plain Text"/>
    <w:basedOn w:val="P0"/>
    <w:link w:val="C50"/>
    <w:semiHidden/>
    <w:pPr>
      <w:spacing w:lineRule="auto" w:line="240" w:after="0" w:beforeAutospacing="0" w:afterAutospacing="0"/>
    </w:pPr>
    <w:rPr>
      <w:rFonts w:ascii="Consolas" w:hAnsi="Consolas"/>
      <w:sz w:val="21"/>
      <w:szCs w:val="21"/>
    </w:rPr>
  </w:style>
  <w:style w:type="paragraph" w:styleId="P122">
    <w:name w:val="List Bullet 2"/>
    <w:basedOn w:val="P0"/>
    <w:semiHidden/>
    <w:pPr>
      <w:numPr>
        <w:numId w:val="47"/>
      </w:numPr>
      <w:contextualSpacing w:val="1"/>
    </w:pPr>
    <w:rPr/>
  </w:style>
  <w:style w:type="paragraph" w:styleId="P123">
    <w:name w:val="List Bullet 3"/>
    <w:basedOn w:val="P0"/>
    <w:semiHidden/>
    <w:pPr>
      <w:numPr>
        <w:numId w:val="48"/>
      </w:numPr>
      <w:contextualSpacing w:val="1"/>
    </w:pPr>
    <w:rPr/>
  </w:style>
  <w:style w:type="paragraph" w:styleId="P124">
    <w:name w:val="List Bullet 4"/>
    <w:basedOn w:val="P0"/>
    <w:semiHidden/>
    <w:pPr>
      <w:numPr>
        <w:numId w:val="49"/>
      </w:numPr>
      <w:contextualSpacing w:val="1"/>
    </w:pPr>
    <w:rPr/>
  </w:style>
  <w:style w:type="paragraph" w:styleId="P125">
    <w:name w:val="List Bullet 5"/>
    <w:basedOn w:val="P0"/>
    <w:semiHidden/>
    <w:pPr>
      <w:numPr>
        <w:numId w:val="50"/>
      </w:numPr>
      <w:contextualSpacing w:val="1"/>
    </w:pPr>
    <w:rPr/>
  </w:style>
  <w:style w:type="paragraph" w:styleId="P126">
    <w:name w:val="Title"/>
    <w:basedOn w:val="P0"/>
    <w:next w:val="P0"/>
    <w:link w:val="C51"/>
    <w:semiHidden/>
    <w:pPr>
      <w:spacing w:lineRule="auto" w:line="240" w:after="0" w:beforeAutospacing="0" w:afterAutospacing="0"/>
      <w:contextualSpacing w:val="1"/>
    </w:pPr>
    <w:rPr>
      <w:rFonts w:asciiTheme="majorHAnsi" w:hAnsiTheme="majorHAnsi" w:cstheme="majorBidi" w:eastAsiaTheme="majorEastAsia"/>
      <w:color w:val="auto"/>
      <w:sz w:val="56"/>
      <w:szCs w:val="56"/>
      <w:spacing w:val="-10"/>
      <w:kern w:val="28"/>
    </w:rPr>
  </w:style>
  <w:style w:type="paragraph" w:styleId="P127">
    <w:name w:val="Signature"/>
    <w:basedOn w:val="P0"/>
    <w:link w:val="C52"/>
    <w:semiHidden/>
    <w:pPr>
      <w:spacing w:lineRule="auto" w:line="240" w:after="0" w:beforeAutospacing="0" w:afterAutospacing="0"/>
      <w:ind w:left="4252"/>
    </w:pPr>
    <w:rPr/>
  </w:style>
  <w:style w:type="paragraph" w:styleId="P128">
    <w:name w:val="Endnote Text"/>
    <w:basedOn w:val="P0"/>
    <w:link w:val="C53"/>
    <w:semiHidden/>
    <w:pPr>
      <w:spacing w:lineRule="auto" w:line="240" w:after="0" w:beforeAutospacing="0" w:afterAutospacing="0"/>
    </w:pPr>
    <w:rPr>
      <w:sz w:val="20"/>
      <w:szCs w:val="20"/>
    </w:rPr>
  </w:style>
  <w:style w:type="paragraph" w:styleId="P129">
    <w:name w:val="Intense Quote"/>
    <w:basedOn w:val="P0"/>
    <w:next w:val="P0"/>
    <w:link w:val="C54"/>
    <w:semiHidden/>
    <w:pPr>
      <w:pBdr>
        <w:top w:val="single" w:sz="4" w:space="10" w:shadow="0" w:frame="0" w:color="186E7E" w:themeColor="accent1"/>
        <w:left w:val="none" w:sz="0" w:space="0" w:shadow="0" w:frame="0" w:color="auto"/>
        <w:bottom w:val="single" w:sz="4" w:space="10" w:shadow="0" w:frame="0" w:color="186E7E" w:themeColor="accent1"/>
        <w:right w:val="none" w:sz="0" w:space="0" w:shadow="0" w:frame="0" w:color="auto"/>
        <w:between w:val="none" w:sz="0" w:space="0" w:shadow="0" w:frame="0" w:color="auto"/>
      </w:pBdr>
      <w:spacing w:before="360" w:after="360" w:beforeAutospacing="0" w:afterAutospacing="0"/>
      <w:ind w:left="864" w:right="864"/>
      <w:jc w:val="center"/>
    </w:pPr>
    <w:rPr>
      <w:i w:val="1"/>
      <w:iCs w:val="1"/>
      <w:color w:val="186E7E" w:themeColor="accent1"/>
    </w:rPr>
  </w:style>
  <w:style w:type="paragraph" w:styleId="P130">
    <w:name w:val="Subtitle"/>
    <w:basedOn w:val="P0"/>
    <w:next w:val="P0"/>
    <w:link w:val="C55"/>
    <w:semiHidden/>
    <w:pPr>
      <w:spacing w:after="160" w:beforeAutospacing="0" w:afterAutospacing="0"/>
    </w:pPr>
    <w:rPr>
      <w:rFonts w:cstheme="minorBidi" w:eastAsiaTheme="minorEastAsia"/>
      <w:color w:val="5A5A5A" w:themeColor="text1" w:themeTint="A5"/>
      <w:sz w:val="22"/>
      <w:szCs w:val="22"/>
      <w:spacing w:val="15"/>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0B5D6" w:themeColor="hyperlink"/>
      <w:u w:val="single"/>
    </w:rPr>
  </w:style>
  <w:style w:type="character" w:styleId="C3">
    <w:name w:val="Rubrik 1 Char"/>
    <w:link w:val="P1"/>
    <w:rPr>
      <w:rFonts w:asciiTheme="majorHAnsi" w:hAnsiTheme="majorHAnsi" w:cs="Arial" w:eastAsiaTheme="majorEastAsia"/>
      <w:bCs w:val="1"/>
      <w:color w:val="auto"/>
      <w:sz w:val="32"/>
      <w:szCs w:val="28"/>
      <w:lang w:val="sv-SE"/>
    </w:rPr>
  </w:style>
  <w:style w:type="character" w:styleId="C4">
    <w:name w:val="Rubrik 2 Char"/>
    <w:link w:val="P2"/>
    <w:rPr>
      <w:rFonts w:asciiTheme="majorHAnsi" w:hAnsiTheme="majorHAnsi" w:cs="Arial" w:eastAsiaTheme="majorEastAsia"/>
      <w:bCs w:val="1"/>
      <w:color w:val="auto"/>
      <w:sz w:val="26"/>
      <w:szCs w:val="44"/>
      <w:lang w:val="sv-SE"/>
    </w:rPr>
  </w:style>
  <w:style w:type="character" w:styleId="C5">
    <w:name w:val="Rubrik 3 Char"/>
    <w:link w:val="P3"/>
    <w:rPr>
      <w:rFonts w:asciiTheme="majorHAnsi" w:hAnsiTheme="majorHAnsi" w:cs="Arial" w:eastAsiaTheme="majorEastAsia"/>
      <w:bCs w:val="1"/>
      <w:color w:val="auto"/>
      <w:sz w:val="22"/>
      <w:szCs w:val="34"/>
      <w:lang w:val="sv-SE"/>
    </w:rPr>
  </w:style>
  <w:style w:type="character" w:styleId="C6">
    <w:name w:val="Rubrik 4 Char"/>
    <w:link w:val="P4"/>
    <w:rPr>
      <w:rFonts w:asciiTheme="majorHAnsi" w:hAnsiTheme="majorHAnsi"/>
      <w:b w:val="1"/>
      <w:bCs w:val="1"/>
      <w:iCs w:val="1"/>
      <w:sz w:val="20"/>
      <w:lang w:val="sv-SE" w:eastAsia="sv-SE"/>
    </w:rPr>
  </w:style>
  <w:style w:type="character" w:styleId="C7">
    <w:name w:val="Rubrik 5 Char"/>
    <w:link w:val="P5"/>
    <w:semiHidden/>
    <w:rPr>
      <w:b w:val="1"/>
      <w:lang w:val="sv-SE" w:eastAsia="sv-SE"/>
    </w:rPr>
  </w:style>
  <w:style w:type="character" w:styleId="C8">
    <w:name w:val="Rubrik 6 Char"/>
    <w:link w:val="P6"/>
    <w:semiHidden/>
    <w:rPr>
      <w:i w:val="1"/>
      <w:iCs w:val="1"/>
      <w:lang w:val="sv-SE"/>
    </w:rPr>
  </w:style>
  <w:style w:type="character" w:styleId="C9">
    <w:name w:val="Sidhuvud Char"/>
    <w:link w:val="P11"/>
    <w:rPr>
      <w:rFonts w:asciiTheme="majorHAnsi" w:hAnsiTheme="majorHAnsi" w:cs="Arial"/>
      <w:sz w:val="16"/>
      <w:lang w:val="sv-SE" w:eastAsia="sv-SE"/>
    </w:rPr>
  </w:style>
  <w:style w:type="character" w:styleId="C10">
    <w:name w:val="Sidfot Char"/>
    <w:link w:val="P12"/>
    <w:rPr>
      <w:rFonts w:cs="Arial"/>
      <w:sz w:val="20"/>
      <w:lang w:val="sv-SE"/>
    </w:rPr>
  </w:style>
  <w:style w:type="character" w:styleId="C11">
    <w:name w:val="Rubrik 7 Char"/>
    <w:basedOn w:val="C0"/>
    <w:link w:val="P7"/>
    <w:semiHidden/>
    <w:rPr>
      <w:rFonts w:asciiTheme="majorHAnsi" w:hAnsiTheme="majorHAnsi" w:cstheme="majorBidi" w:eastAsiaTheme="majorEastAsia"/>
      <w:i w:val="1"/>
      <w:iCs w:val="1"/>
      <w:color w:val="404040" w:themeColor="text1" w:themeTint="BF"/>
      <w:lang w:val="sv-SE"/>
    </w:rPr>
  </w:style>
  <w:style w:type="character" w:styleId="C12">
    <w:name w:val="Rubrik 8 Char"/>
    <w:basedOn w:val="C0"/>
    <w:link w:val="P8"/>
    <w:semiHidden/>
    <w:rPr>
      <w:rFonts w:asciiTheme="majorHAnsi" w:hAnsiTheme="majorHAnsi" w:cstheme="majorBidi" w:eastAsiaTheme="majorEastAsia"/>
      <w:color w:val="404040" w:themeColor="text1" w:themeTint="BF"/>
      <w:lang w:val="sv-SE"/>
    </w:rPr>
  </w:style>
  <w:style w:type="character" w:styleId="C13">
    <w:name w:val="Ballongtext Char"/>
    <w:basedOn w:val="C0"/>
    <w:link w:val="P24"/>
    <w:semiHidden/>
    <w:rPr>
      <w:rFonts w:ascii="Tahoma" w:hAnsi="Tahoma" w:cs="Tahoma"/>
      <w:sz w:val="16"/>
      <w:szCs w:val="16"/>
    </w:rPr>
  </w:style>
  <w:style w:type="character" w:styleId="C14">
    <w:name w:val="Rubrik 1 Nr Char"/>
    <w:basedOn w:val="C0"/>
    <w:link w:val="P26"/>
    <w:rPr>
      <w:rFonts w:asciiTheme="majorHAnsi" w:hAnsiTheme="majorHAnsi" w:cs="Arial"/>
      <w:color w:val="auto"/>
      <w:sz w:val="32"/>
      <w:szCs w:val="36"/>
      <w:lang w:val="sv-SE"/>
    </w:rPr>
  </w:style>
  <w:style w:type="character" w:styleId="C15">
    <w:name w:val="Rubrik 2 Nr Char"/>
    <w:basedOn w:val="C0"/>
    <w:link w:val="P27"/>
    <w:rPr>
      <w:rFonts w:asciiTheme="majorHAnsi" w:hAnsiTheme="majorHAnsi" w:cs="Arial"/>
      <w:color w:val="auto"/>
      <w:sz w:val="26"/>
      <w:lang w:val="sv-SE"/>
    </w:rPr>
  </w:style>
  <w:style w:type="character" w:styleId="C16">
    <w:name w:val="Rubrik 3 Nr Char"/>
    <w:basedOn w:val="C0"/>
    <w:link w:val="P28"/>
    <w:rPr>
      <w:rFonts w:asciiTheme="majorHAnsi" w:hAnsiTheme="majorHAnsi" w:cs="Arial" w:eastAsiaTheme="majorEastAsia"/>
      <w:bCs w:val="1"/>
      <w:color w:val="auto"/>
      <w:sz w:val="22"/>
      <w:szCs w:val="34"/>
      <w:lang w:val="sv-SE"/>
    </w:rPr>
  </w:style>
  <w:style w:type="character" w:styleId="C17">
    <w:name w:val="Rubrik 4 Nr Char"/>
    <w:basedOn w:val="C0"/>
    <w:link w:val="P29"/>
    <w:rPr>
      <w:rFonts w:asciiTheme="majorHAnsi" w:hAnsiTheme="majorHAnsi"/>
      <w:b w:val="1"/>
      <w:sz w:val="20"/>
      <w:lang w:val="sv-SE"/>
    </w:rPr>
  </w:style>
  <w:style w:type="character" w:styleId="C18">
    <w:name w:val="Heading_5 No Char"/>
    <w:basedOn w:val="C0"/>
    <w:link w:val="P30"/>
    <w:semiHidden/>
    <w:rPr>
      <w:i w:val="1"/>
      <w:lang w:val="en-GB"/>
    </w:rPr>
  </w:style>
  <w:style w:type="character" w:styleId="C19">
    <w:name w:val="Rubrik 9 Char"/>
    <w:basedOn w:val="C0"/>
    <w:link w:val="P9"/>
    <w:semiHidden/>
    <w:rPr>
      <w:rFonts w:asciiTheme="majorHAnsi" w:hAnsiTheme="majorHAnsi" w:cstheme="majorBidi" w:eastAsiaTheme="majorEastAsia"/>
      <w:i w:val="1"/>
      <w:iCs w:val="1"/>
      <w:color w:val="272727" w:themeColor="text1" w:themeTint="D8"/>
      <w:sz w:val="21"/>
      <w:szCs w:val="21"/>
      <w:lang w:val="sv-SE"/>
    </w:rPr>
  </w:style>
  <w:style w:type="character" w:styleId="C20">
    <w:name w:val="annotation reference"/>
    <w:basedOn w:val="C0"/>
    <w:semiHidden/>
    <w:rPr>
      <w:sz w:val="16"/>
      <w:szCs w:val="16"/>
    </w:rPr>
  </w:style>
  <w:style w:type="character" w:styleId="C21">
    <w:name w:val="Kommentarer Char"/>
    <w:basedOn w:val="C0"/>
    <w:link w:val="P58"/>
    <w:rPr>
      <w:sz w:val="20"/>
      <w:szCs w:val="20"/>
      <w:lang w:val="sv-SE"/>
    </w:rPr>
  </w:style>
  <w:style w:type="character" w:styleId="C22">
    <w:name w:val="Kommentarsämne Char"/>
    <w:basedOn w:val="C21"/>
    <w:link w:val="P59"/>
    <w:semiHidden/>
    <w:rPr>
      <w:b w:val="1"/>
      <w:bCs w:val="1"/>
      <w:sz w:val="20"/>
      <w:szCs w:val="20"/>
      <w:lang w:val="sv-SE"/>
    </w:rPr>
  </w:style>
  <w:style w:type="character" w:styleId="C23">
    <w:name w:val="Inget avstånd Char"/>
    <w:basedOn w:val="C0"/>
    <w:link w:val="P61"/>
    <w:rPr>
      <w:rFonts w:ascii="Calibri" w:hAnsi="Calibri" w:eastAsia="Calibri"/>
    </w:rPr>
  </w:style>
  <w:style w:type="character" w:styleId="C24">
    <w:name w:val="Olöst omnämnande1"/>
    <w:basedOn w:val="C0"/>
    <w:semiHidden/>
    <w:rPr>
      <w:color w:val="605E5C"/>
      <w:shd w:val="clear" w:color="auto" w:fill="E1DFDD"/>
    </w:rPr>
  </w:style>
  <w:style w:type="character" w:styleId="C25">
    <w:name w:val="cf01"/>
    <w:basedOn w:val="C0"/>
    <w:rPr>
      <w:rFonts w:ascii="Segoe UI" w:hAnsi="Segoe UI" w:cs="Segoe UI" w:hint="default"/>
      <w:i w:val="1"/>
      <w:iCs w:val="1"/>
      <w:sz w:val="18"/>
      <w:szCs w:val="18"/>
    </w:rPr>
  </w:style>
  <w:style w:type="character" w:styleId="C26">
    <w:name w:val="FollowedHyperlink"/>
    <w:basedOn w:val="C0"/>
    <w:semiHidden/>
    <w:rPr>
      <w:color w:val="949690" w:themeColor="followedHyperlink"/>
      <w:u w:val="single"/>
    </w:rPr>
  </w:style>
  <w:style w:type="character" w:styleId="C27">
    <w:name w:val="Formatmall1 Char"/>
    <w:basedOn w:val="C6"/>
    <w:link w:val="P67"/>
    <w:rPr>
      <w:rFonts w:asciiTheme="majorHAnsi" w:hAnsiTheme="majorHAnsi"/>
      <w:b w:val="1"/>
      <w:bCs w:val="1"/>
      <w:iCs w:val="1"/>
      <w:sz w:val="20"/>
      <w:lang w:val="sv-SE" w:eastAsia="sv-SE"/>
    </w:rPr>
  </w:style>
  <w:style w:type="character" w:styleId="C28">
    <w:name w:val="Olöst omnämnande2"/>
    <w:basedOn w:val="C0"/>
    <w:semiHidden/>
    <w:rPr>
      <w:color w:val="605E5C"/>
      <w:shd w:val="clear" w:color="auto" w:fill="E1DFDD"/>
    </w:rPr>
  </w:style>
  <w:style w:type="character" w:styleId="C29">
    <w:name w:val="Unresolved Mention1"/>
    <w:basedOn w:val="C0"/>
    <w:semiHidden/>
    <w:rPr>
      <w:color w:val="605E5C"/>
      <w:shd w:val="clear" w:color="auto" w:fill="E1DFDD"/>
    </w:rPr>
  </w:style>
  <w:style w:type="character" w:styleId="C30">
    <w:name w:val="Anteckningsrubrik Char"/>
    <w:basedOn w:val="C0"/>
    <w:link w:val="P69"/>
    <w:semiHidden/>
    <w:rPr>
      <w:lang w:val="sv-SE"/>
    </w:rPr>
  </w:style>
  <w:style w:type="character" w:styleId="C31">
    <w:name w:val="Avslutande text Char"/>
    <w:basedOn w:val="C0"/>
    <w:link w:val="P70"/>
    <w:semiHidden/>
    <w:rPr>
      <w:lang w:val="sv-SE"/>
    </w:rPr>
  </w:style>
  <w:style w:type="character" w:styleId="C32">
    <w:name w:val="Brödtext Char"/>
    <w:basedOn w:val="C0"/>
    <w:link w:val="P72"/>
    <w:semiHidden/>
    <w:rPr>
      <w:lang w:val="sv-SE"/>
    </w:rPr>
  </w:style>
  <w:style w:type="character" w:styleId="C33">
    <w:name w:val="Brödtext 2 Char"/>
    <w:basedOn w:val="C0"/>
    <w:link w:val="P73"/>
    <w:semiHidden/>
    <w:rPr>
      <w:lang w:val="sv-SE"/>
    </w:rPr>
  </w:style>
  <w:style w:type="character" w:styleId="C34">
    <w:name w:val="Brödtext 3 Char"/>
    <w:basedOn w:val="C0"/>
    <w:link w:val="P74"/>
    <w:semiHidden/>
    <w:rPr>
      <w:sz w:val="16"/>
      <w:szCs w:val="16"/>
      <w:lang w:val="sv-SE"/>
    </w:rPr>
  </w:style>
  <w:style w:type="character" w:styleId="C35">
    <w:name w:val="Brödtext med första indrag Char"/>
    <w:basedOn w:val="C32"/>
    <w:link w:val="P75"/>
    <w:semiHidden/>
    <w:rPr>
      <w:lang w:val="sv-SE"/>
    </w:rPr>
  </w:style>
  <w:style w:type="character" w:styleId="C36">
    <w:name w:val="Brödtext med indrag Char"/>
    <w:basedOn w:val="C0"/>
    <w:link w:val="P76"/>
    <w:semiHidden/>
    <w:rPr>
      <w:lang w:val="sv-SE"/>
    </w:rPr>
  </w:style>
  <w:style w:type="character" w:styleId="C37">
    <w:name w:val="Brödtext med första indrag 2 Char"/>
    <w:basedOn w:val="C36"/>
    <w:link w:val="P77"/>
    <w:semiHidden/>
    <w:rPr>
      <w:lang w:val="sv-SE"/>
    </w:rPr>
  </w:style>
  <w:style w:type="character" w:styleId="C38">
    <w:name w:val="Brödtext med indrag 2 Char"/>
    <w:basedOn w:val="C0"/>
    <w:link w:val="P78"/>
    <w:semiHidden/>
    <w:rPr>
      <w:lang w:val="sv-SE"/>
    </w:rPr>
  </w:style>
  <w:style w:type="character" w:styleId="C39">
    <w:name w:val="Brödtext med indrag 3 Char"/>
    <w:basedOn w:val="C0"/>
    <w:link w:val="P79"/>
    <w:semiHidden/>
    <w:rPr>
      <w:sz w:val="16"/>
      <w:szCs w:val="16"/>
      <w:lang w:val="sv-SE"/>
    </w:rPr>
  </w:style>
  <w:style w:type="character" w:styleId="C40">
    <w:name w:val="Citat Char"/>
    <w:basedOn w:val="C0"/>
    <w:link w:val="P80"/>
    <w:semiHidden/>
    <w:rPr>
      <w:i w:val="1"/>
      <w:iCs w:val="1"/>
      <w:color w:val="404040" w:themeColor="text1" w:themeTint="BF"/>
      <w:lang w:val="sv-SE"/>
    </w:rPr>
  </w:style>
  <w:style w:type="character" w:styleId="C41">
    <w:name w:val="Datum Char"/>
    <w:basedOn w:val="C0"/>
    <w:link w:val="P83"/>
    <w:semiHidden/>
    <w:rPr>
      <w:lang w:val="sv-SE"/>
    </w:rPr>
  </w:style>
  <w:style w:type="character" w:styleId="C42">
    <w:name w:val="Dokumentöversikt Char"/>
    <w:basedOn w:val="C0"/>
    <w:link w:val="P84"/>
    <w:semiHidden/>
    <w:rPr>
      <w:rFonts w:ascii="Segoe UI" w:hAnsi="Segoe UI" w:cs="Segoe UI"/>
      <w:sz w:val="16"/>
      <w:szCs w:val="16"/>
      <w:lang w:val="sv-SE"/>
    </w:rPr>
  </w:style>
  <w:style w:type="character" w:styleId="C43">
    <w:name w:val="E-postsignatur Char"/>
    <w:basedOn w:val="C0"/>
    <w:link w:val="P85"/>
    <w:semiHidden/>
    <w:rPr>
      <w:lang w:val="sv-SE"/>
    </w:rPr>
  </w:style>
  <w:style w:type="character" w:styleId="C44">
    <w:name w:val="Fotnotstext Char"/>
    <w:basedOn w:val="C0"/>
    <w:link w:val="P87"/>
    <w:semiHidden/>
    <w:rPr>
      <w:sz w:val="20"/>
      <w:szCs w:val="20"/>
      <w:lang w:val="sv-SE"/>
    </w:rPr>
  </w:style>
  <w:style w:type="character" w:styleId="C45">
    <w:name w:val="HTML - adress Char"/>
    <w:basedOn w:val="C0"/>
    <w:link w:val="P88"/>
    <w:semiHidden/>
    <w:rPr>
      <w:i w:val="1"/>
      <w:iCs w:val="1"/>
      <w:lang w:val="sv-SE"/>
    </w:rPr>
  </w:style>
  <w:style w:type="character" w:styleId="C46">
    <w:name w:val="HTML - förformaterad Char"/>
    <w:basedOn w:val="C0"/>
    <w:link w:val="P89"/>
    <w:semiHidden/>
    <w:rPr>
      <w:rFonts w:ascii="Consolas" w:hAnsi="Consolas"/>
      <w:sz w:val="20"/>
      <w:szCs w:val="20"/>
      <w:lang w:val="sv-SE"/>
    </w:rPr>
  </w:style>
  <w:style w:type="character" w:styleId="C47">
    <w:name w:val="Inledning Char"/>
    <w:basedOn w:val="C0"/>
    <w:link w:val="P101"/>
    <w:semiHidden/>
    <w:rPr>
      <w:lang w:val="sv-SE"/>
    </w:rPr>
  </w:style>
  <w:style w:type="character" w:styleId="C48">
    <w:name w:val="Makrotext Char"/>
    <w:basedOn w:val="C0"/>
    <w:link w:val="P113"/>
    <w:semiHidden/>
    <w:rPr>
      <w:rFonts w:ascii="Consolas" w:hAnsi="Consolas"/>
      <w:sz w:val="20"/>
      <w:szCs w:val="20"/>
      <w:lang w:val="sv-SE"/>
    </w:rPr>
  </w:style>
  <w:style w:type="character" w:styleId="C49">
    <w:name w:val="Meddelanderubrik Char"/>
    <w:basedOn w:val="C0"/>
    <w:link w:val="P114"/>
    <w:semiHidden/>
    <w:rPr>
      <w:rFonts w:asciiTheme="majorHAnsi" w:hAnsiTheme="majorHAnsi" w:cstheme="majorBidi" w:eastAsiaTheme="majorEastAsia"/>
      <w:shd w:val="pct20" w:color="auto" w:fill="auto"/>
      <w:lang w:val="sv-SE"/>
    </w:rPr>
  </w:style>
  <w:style w:type="character" w:styleId="C50">
    <w:name w:val="Oformaterad text Char"/>
    <w:basedOn w:val="C0"/>
    <w:link w:val="P121"/>
    <w:semiHidden/>
    <w:rPr>
      <w:rFonts w:ascii="Consolas" w:hAnsi="Consolas"/>
      <w:sz w:val="21"/>
      <w:szCs w:val="21"/>
      <w:lang w:val="sv-SE"/>
    </w:rPr>
  </w:style>
  <w:style w:type="character" w:styleId="C51">
    <w:name w:val="Rubrik Char"/>
    <w:basedOn w:val="C0"/>
    <w:link w:val="P126"/>
    <w:semiHidden/>
    <w:rPr>
      <w:rFonts w:asciiTheme="majorHAnsi" w:hAnsiTheme="majorHAnsi" w:cstheme="majorBidi" w:eastAsiaTheme="majorEastAsia"/>
      <w:color w:val="auto"/>
      <w:sz w:val="56"/>
      <w:szCs w:val="56"/>
      <w:spacing w:val="-10"/>
      <w:kern w:val="28"/>
      <w:lang w:val="sv-SE"/>
    </w:rPr>
  </w:style>
  <w:style w:type="character" w:styleId="C52">
    <w:name w:val="Signatur Char"/>
    <w:basedOn w:val="C0"/>
    <w:link w:val="P127"/>
    <w:semiHidden/>
    <w:rPr>
      <w:lang w:val="sv-SE"/>
    </w:rPr>
  </w:style>
  <w:style w:type="character" w:styleId="C53">
    <w:name w:val="Slutnotstext Char"/>
    <w:basedOn w:val="C0"/>
    <w:link w:val="P128"/>
    <w:semiHidden/>
    <w:rPr>
      <w:sz w:val="20"/>
      <w:szCs w:val="20"/>
      <w:lang w:val="sv-SE"/>
    </w:rPr>
  </w:style>
  <w:style w:type="character" w:styleId="C54">
    <w:name w:val="Starkt citat Char"/>
    <w:basedOn w:val="C0"/>
    <w:link w:val="P129"/>
    <w:semiHidden/>
    <w:rPr>
      <w:i w:val="1"/>
      <w:iCs w:val="1"/>
      <w:color w:val="186E7E" w:themeColor="accent1"/>
      <w:lang w:val="sv-SE"/>
    </w:rPr>
  </w:style>
  <w:style w:type="character" w:styleId="C55">
    <w:name w:val="Underrubrik Char"/>
    <w:basedOn w:val="C0"/>
    <w:link w:val="P130"/>
    <w:semiHidden/>
    <w:rPr>
      <w:rFonts w:cstheme="minorBidi" w:eastAsiaTheme="minorEastAsia"/>
      <w:color w:val="5A5A5A" w:themeColor="text1" w:themeTint="A5"/>
      <w:sz w:val="22"/>
      <w:szCs w:val="22"/>
      <w:spacing w:val="15"/>
      <w:lang w:val="sv-SE"/>
    </w:rPr>
  </w:style>
  <w:style w:type="character" w:styleId="C56">
    <w:name w:val="Footnote Reference"/>
    <w:semiHidden/>
    <w:rPr>
      <w:vertAlign w:val="superscript"/>
    </w:rPr>
  </w:style>
  <w:style w:type="character" w:styleId="C57">
    <w:name w:val="Footnote Text Char"/>
    <w:semiHidden/>
    <w:rPr>
      <w:sz w:val="20"/>
      <w:szCs w:val="20"/>
    </w:rPr>
  </w:style>
  <w:style w:type="character" w:styleId="C58">
    <w:name w:val="Endnote Reference"/>
    <w:semiHidden/>
    <w:rPr>
      <w:vertAlign w:val="superscript"/>
    </w:rPr>
  </w:style>
  <w:style w:type="character" w:styleId="C59">
    <w:name w:val="Endnote Text Char"/>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tblPr>
      <w:tblBorders>
        <w:top w:val="single" w:sz="4" w:space="0" w:shadow="0" w:frame="0" w:color="000000" w:themeColor="text1"/>
        <w:left w:val="single" w:sz="4" w:space="0" w:shadow="0" w:frame="0" w:color="000000" w:themeColor="text1"/>
        <w:bottom w:val="single" w:sz="4" w:space="0" w:shadow="0" w:frame="0" w:color="000000" w:themeColor="text1"/>
        <w:right w:val="single" w:sz="4" w:space="0" w:shadow="0" w:frame="0" w:color="000000" w:themeColor="text1"/>
        <w:insideH w:val="single" w:sz="4" w:space="0" w:shadow="0" w:frame="0" w:color="000000" w:themeColor="text1"/>
        <w:insideV w:val="single" w:sz="4" w:space="0" w:shadow="0" w:frame="0" w:color="000000" w:themeColor="text1"/>
      </w:tblBorders>
    </w:tblPr>
    <w:trPr/>
    <w:tcPr/>
  </w:style>
  <w:style w:type="table" w:styleId="T3">
    <w:name w:val="Light List Accent 1"/>
    <w:aliases w:val="Region Örebro - Blå"/>
    <w:basedOn w:val="T0"/>
    <w:pPr>
      <w:spacing w:before="40" w:after="40" w:beforeAutospacing="0" w:afterAutospacing="0"/>
    </w:pPr>
    <w:rPr>
      <w:rFonts w:asciiTheme="majorHAnsi" w:hAnsiTheme="majorHAnsi"/>
    </w:rPr>
    <w:tblPr>
      <w:tblStyleRowBandSize w:val="1"/>
      <w:tblStyleColBandSize w:val="1"/>
      <w:tblBorders>
        <w:top w:val="single" w:sz="4" w:space="0" w:shadow="0" w:frame="0" w:color="186E7E" w:themeColor="accent1"/>
        <w:left w:val="single" w:sz="4" w:space="0" w:shadow="0" w:frame="0" w:color="186E7E" w:themeColor="accent1"/>
        <w:bottom w:val="single" w:sz="4" w:space="0" w:shadow="0" w:frame="0" w:color="186E7E" w:themeColor="accent1"/>
        <w:right w:val="single" w:sz="4" w:space="0" w:shadow="0" w:frame="0" w:color="186E7E" w:themeColor="accent1"/>
        <w:insideH w:val="single" w:sz="4" w:space="0" w:shadow="0" w:frame="0" w:color="186E7E" w:themeColor="accent1"/>
        <w:insideV w:val="single" w:sz="4" w:space="0" w:shadow="0" w:frame="0" w:color="186E7E" w:themeColor="accent1"/>
      </w:tblBorders>
    </w:tblPr>
    <w:trPr/>
    <w:tcPr/>
    <w:tblStylePr w:type="band1Horz">
      <w:tblPr/>
      <w:trPr/>
      <w:tcPr>
        <w:tcBorders>
          <w:top w:val="single" w:sz="8" w:space="0" w:shadow="0" w:frame="0" w:color="186E7E" w:themeColor="accent1"/>
          <w:left w:val="single" w:sz="8" w:space="0" w:shadow="0" w:frame="0" w:color="186E7E" w:themeColor="accent1"/>
          <w:bottom w:val="single" w:sz="8" w:space="0" w:shadow="0" w:frame="0" w:color="186E7E" w:themeColor="accent1"/>
          <w:right w:val="single" w:sz="8" w:space="0" w:shadow="0" w:frame="0" w:color="186E7E" w:themeColor="accent1"/>
        </w:tcBorders>
      </w:tcPr>
    </w:tblStylePr>
    <w:tblStylePr w:type="band1Vert">
      <w:tblPr/>
      <w:trPr/>
      <w:tcPr>
        <w:tcBorders>
          <w:top w:val="single" w:sz="8" w:space="0" w:shadow="0" w:frame="0" w:color="186E7E" w:themeColor="accent1"/>
          <w:left w:val="single" w:sz="8" w:space="0" w:shadow="0" w:frame="0" w:color="186E7E" w:themeColor="accent1"/>
          <w:bottom w:val="single" w:sz="8" w:space="0" w:shadow="0" w:frame="0" w:color="186E7E" w:themeColor="accent1"/>
          <w:right w:val="single" w:sz="8" w:space="0" w:shadow="0" w:frame="0" w:color="186E7E" w:themeColor="accent1"/>
        </w:tcBorders>
      </w:tcPr>
    </w:tblStylePr>
    <w:tblStylePr w:type="lastCol">
      <w:rPr>
        <w:b w:val="0"/>
        <w:bCs w:val="1"/>
      </w:rPr>
      <w:tblPr/>
      <w:trPr/>
      <w:tcPr/>
    </w:tblStylePr>
    <w:tblStylePr w:type="firstCol">
      <w:rPr>
        <w:b w:val="0"/>
        <w:bCs w:val="1"/>
      </w:rPr>
      <w:tblPr/>
      <w:trPr/>
      <w:tcPr/>
    </w:tblStylePr>
    <w:tblStylePr w:type="lastRow">
      <w:pPr>
        <w:spacing w:lineRule="auto" w:line="240" w:before="0" w:after="0" w:beforeAutospacing="0" w:afterAutospacing="0"/>
      </w:pPr>
      <w:rPr>
        <w:b w:val="0"/>
        <w:bCs w:val="1"/>
      </w:rPr>
      <w:tblPr/>
      <w:trPr/>
      <w:tcPr>
        <w:tcBorders>
          <w:top w:val="nil"/>
          <w:left w:val="single" w:sz="4" w:space="0" w:shadow="0" w:frame="0" w:color="186E7E" w:themeColor="accent1"/>
          <w:bottom w:val="single" w:sz="4" w:space="0" w:shadow="0" w:frame="0" w:color="186E7E" w:themeColor="accent1"/>
          <w:right w:val="single" w:sz="4" w:space="0" w:shadow="0" w:frame="0" w:color="186E7E" w:themeColor="accent1"/>
        </w:tcBorders>
      </w:tcPr>
    </w:tblStylePr>
    <w:tblStylePr w:type="firstRow">
      <w:pPr>
        <w:spacing w:lineRule="auto" w:line="240" w:before="100" w:after="100" w:beforeAutospacing="1" w:afterAutospacing="1"/>
      </w:pPr>
      <w:rPr>
        <w:b w:val="1"/>
        <w:bCs w:val="1"/>
        <w:color w:val="FFFFFF" w:themeColor="background1"/>
      </w:rPr>
      <w:tblPr/>
      <w:trPr/>
      <w:tcPr>
        <w:shd w:val="clear" w:color="auto" w:fill="186E7E" w:themeFill="accent1"/>
      </w:tcPr>
    </w:tblStylePr>
  </w:style>
  <w:style w:type="table" w:styleId="T4">
    <w:name w:val="Light List Accent 2"/>
    <w:aliases w:val="Region Örebro - Grön"/>
    <w:basedOn w:val="T0"/>
    <w:pPr>
      <w:spacing w:before="40" w:after="40" w:beforeAutospacing="0" w:afterAutospacing="0"/>
    </w:pPr>
    <w:rPr>
      <w:rFonts w:asciiTheme="majorHAnsi" w:hAnsiTheme="majorHAnsi"/>
    </w:rPr>
    <w:tblPr>
      <w:tblStyleRowBandSize w:val="1"/>
      <w:tblStyleColBandSize w:val="1"/>
      <w:tblBorders>
        <w:top w:val="single" w:sz="4" w:space="0" w:shadow="0" w:frame="0" w:color="B4EBFF" w:themeColor="accent2"/>
        <w:left w:val="single" w:sz="4" w:space="0" w:shadow="0" w:frame="0" w:color="B4EBFF" w:themeColor="accent2"/>
        <w:bottom w:val="single" w:sz="4" w:space="0" w:shadow="0" w:frame="0" w:color="B4EBFF" w:themeColor="accent2"/>
        <w:right w:val="single" w:sz="4" w:space="0" w:shadow="0" w:frame="0" w:color="B4EBFF" w:themeColor="accent2"/>
        <w:insideH w:val="single" w:sz="4" w:space="0" w:shadow="0" w:frame="0" w:color="B4EBFF" w:themeColor="accent2"/>
        <w:insideV w:val="single" w:sz="4" w:space="0" w:shadow="0" w:frame="0" w:color="B4EBFF" w:themeColor="accent2"/>
      </w:tblBorders>
    </w:tblPr>
    <w:trPr/>
    <w:tcPr/>
    <w:tblStylePr w:type="band1Horz">
      <w:tblPr/>
      <w:trPr/>
      <w:tcPr>
        <w:tcBorders>
          <w:top w:val="single" w:sz="8" w:space="0" w:shadow="0" w:frame="0" w:color="B4EBFF" w:themeColor="accent2"/>
          <w:left w:val="single" w:sz="8" w:space="0" w:shadow="0" w:frame="0" w:color="B4EBFF" w:themeColor="accent2"/>
          <w:bottom w:val="single" w:sz="8" w:space="0" w:shadow="0" w:frame="0" w:color="B4EBFF" w:themeColor="accent2"/>
          <w:right w:val="single" w:sz="8" w:space="0" w:shadow="0" w:frame="0" w:color="B4EBFF" w:themeColor="accent2"/>
        </w:tcBorders>
      </w:tcPr>
    </w:tblStylePr>
    <w:tblStylePr w:type="band1Vert">
      <w:tblPr/>
      <w:trPr/>
      <w:tcPr>
        <w:tcBorders>
          <w:top w:val="single" w:sz="8" w:space="0" w:shadow="0" w:frame="0" w:color="B4EBFF" w:themeColor="accent2"/>
          <w:left w:val="single" w:sz="8" w:space="0" w:shadow="0" w:frame="0" w:color="B4EBFF" w:themeColor="accent2"/>
          <w:bottom w:val="single" w:sz="8" w:space="0" w:shadow="0" w:frame="0" w:color="B4EBFF" w:themeColor="accent2"/>
          <w:right w:val="single" w:sz="8" w:space="0" w:shadow="0" w:frame="0" w:color="B4EBFF" w:themeColor="accent2"/>
        </w:tcBorders>
      </w:tcPr>
    </w:tblStylePr>
    <w:tblStylePr w:type="lastCol">
      <w:rPr>
        <w:b w:val="0"/>
        <w:bCs w:val="1"/>
      </w:rPr>
      <w:tblPr/>
      <w:trPr/>
      <w:tcPr/>
    </w:tblStylePr>
    <w:tblStylePr w:type="firstCol">
      <w:rPr>
        <w:b w:val="0"/>
        <w:bCs w:val="1"/>
      </w:rPr>
      <w:tblPr/>
      <w:trPr/>
      <w:tcPr/>
    </w:tblStylePr>
    <w:tblStylePr w:type="lastRow">
      <w:pPr>
        <w:spacing w:lineRule="auto" w:line="240" w:before="0" w:after="0" w:beforeAutospacing="0" w:afterAutospacing="0"/>
      </w:pPr>
      <w:rPr>
        <w:b w:val="0"/>
        <w:bCs w:val="1"/>
      </w:rPr>
      <w:tblPr/>
      <w:trPr/>
      <w:tcPr>
        <w:tcBorders>
          <w:top w:val="single" w:sz="4" w:space="0" w:shadow="0" w:frame="0" w:color="B4EBFF" w:themeColor="accent2"/>
          <w:left w:val="single" w:sz="4" w:space="0" w:shadow="0" w:frame="0" w:color="B4EBFF" w:themeColor="accent2"/>
          <w:bottom w:val="single" w:sz="4" w:space="0" w:shadow="0" w:frame="0" w:color="B4EBFF" w:themeColor="accent2"/>
          <w:right w:val="single" w:sz="4" w:space="0" w:shadow="0" w:frame="0" w:color="B4EBFF" w:themeColor="accent2"/>
        </w:tcBorders>
      </w:tcPr>
    </w:tblStylePr>
    <w:tblStylePr w:type="firstRow">
      <w:pPr>
        <w:spacing w:lineRule="auto" w:line="240" w:before="100" w:after="100" w:beforeAutospacing="1" w:afterAutospacing="1"/>
      </w:pPr>
      <w:rPr>
        <w:b w:val="1"/>
        <w:bCs w:val="1"/>
        <w:color w:val="FFFFFF" w:themeColor="background1"/>
      </w:rPr>
      <w:tblPr/>
      <w:trPr/>
      <w:tcPr>
        <w:shd w:val="clear" w:color="auto" w:fill="B4EBFF" w:themeFill="accent2"/>
      </w:tcPr>
    </w:tblStylePr>
  </w:style>
  <w:style w:type="table" w:styleId="T5">
    <w:name w:val="Grid Table 4 Accent 1"/>
    <w:basedOn w:val="T0"/>
    <w:tblPr>
      <w:tblStyleRowBandSize w:val="1"/>
      <w:tblStyleColBandSize w:val="1"/>
      <w:tblBorders>
        <w:top w:val="single" w:sz="4" w:space="0" w:shadow="0" w:frame="0" w:color="4AC5DC" w:themeColor="accent1" w:themeTint="99"/>
        <w:left w:val="single" w:sz="4" w:space="0" w:shadow="0" w:frame="0" w:color="4AC5DC" w:themeColor="accent1" w:themeTint="99"/>
        <w:bottom w:val="single" w:sz="4" w:space="0" w:shadow="0" w:frame="0" w:color="4AC5DC" w:themeColor="accent1" w:themeTint="99"/>
        <w:right w:val="single" w:sz="4" w:space="0" w:shadow="0" w:frame="0" w:color="4AC5DC" w:themeColor="accent1" w:themeTint="99"/>
        <w:insideH w:val="single" w:sz="4" w:space="0" w:shadow="0" w:frame="0" w:color="4AC5DC" w:themeColor="accent1" w:themeTint="99"/>
        <w:insideV w:val="single" w:sz="4" w:space="0" w:shadow="0" w:frame="0" w:color="4AC5DC" w:themeColor="accent1" w:themeTint="99"/>
      </w:tblBorders>
    </w:tblPr>
    <w:trPr/>
    <w:tcPr/>
    <w:tblStylePr w:type="band1Horz">
      <w:tblPr/>
      <w:trPr/>
      <w:tcPr>
        <w:shd w:val="clear" w:color="auto" w:fill="C6EDF4" w:themeFill="accent1" w:themeFillTint="30"/>
      </w:tcPr>
    </w:tblStylePr>
    <w:tblStylePr w:type="band1Vert">
      <w:tblPr/>
      <w:trPr/>
      <w:tcPr>
        <w:shd w:val="clear" w:color="auto" w:fill="C6EDF4" w:themeFill="accent1" w:themeFillTint="30"/>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186E7E" w:themeColor="accent1"/>
        </w:tcBorders>
      </w:tcPr>
    </w:tblStylePr>
    <w:tblStylePr w:type="firstRow">
      <w:rPr>
        <w:b w:val="1"/>
        <w:bCs w:val="1"/>
        <w:color w:val="FFFFFF" w:themeColor="background1"/>
      </w:rPr>
      <w:tblPr/>
      <w:trPr/>
      <w:tcPr>
        <w:tcBorders>
          <w:top w:val="single" w:sz="4" w:space="0" w:shadow="0" w:frame="0" w:color="186E7E" w:themeColor="accent1"/>
          <w:left w:val="single" w:sz="4" w:space="0" w:shadow="0" w:frame="0" w:color="186E7E" w:themeColor="accent1"/>
          <w:bottom w:val="single" w:sz="4" w:space="0" w:shadow="0" w:frame="0" w:color="186E7E" w:themeColor="accent1"/>
          <w:right w:val="single" w:sz="4" w:space="0" w:shadow="0" w:frame="0" w:color="186E7E" w:themeColor="accent1"/>
          <w:insideH w:val="nil"/>
          <w:insideV w:val="nil"/>
        </w:tcBorders>
        <w:shd w:val="clear" w:color="auto" w:fill="186E7E" w:themeFill="accent1"/>
      </w:tcPr>
    </w:tblStylePr>
  </w:style>
  <w:style w:type="table" w:styleId="T6">
    <w:name w:val="Grid Table 4 Accent 2"/>
    <w:aliases w:val="Gränges - Blue"/>
    <w:basedOn w:val="T0"/>
    <w:tblPr>
      <w:tblStyleRowBandSize w:val="1"/>
      <w:tblStyleColBandSize w:val="1"/>
      <w:tblBorders>
        <w:top w:val="single" w:sz="4" w:space="0" w:shadow="0" w:frame="0" w:color="D2F3FF" w:themeColor="accent2" w:themeTint="99"/>
        <w:left w:val="single" w:sz="4" w:space="0" w:shadow="0" w:frame="0" w:color="D2F3FF" w:themeColor="accent2" w:themeTint="99"/>
        <w:bottom w:val="single" w:sz="4" w:space="0" w:shadow="0" w:frame="0" w:color="D2F3FF" w:themeColor="accent2" w:themeTint="99"/>
        <w:right w:val="single" w:sz="4" w:space="0" w:shadow="0" w:frame="0" w:color="D2F3FF" w:themeColor="accent2" w:themeTint="99"/>
        <w:insideH w:val="single" w:sz="4" w:space="0" w:shadow="0" w:frame="0" w:color="D2F3FF" w:themeColor="accent2" w:themeTint="99"/>
        <w:insideV w:val="single" w:sz="4" w:space="0" w:shadow="0" w:frame="0" w:color="D2F3FF" w:themeColor="accent2" w:themeTint="99"/>
      </w:tblBorders>
    </w:tblPr>
    <w:trPr/>
    <w:tcPr/>
    <w:tblStylePr w:type="band1Horz">
      <w:tblPr/>
      <w:trPr/>
      <w:tcPr>
        <w:shd w:val="clear" w:color="auto" w:fill="F1FBFF" w:themeFill="accent2" w:themeFillTint="30"/>
      </w:tcPr>
    </w:tblStylePr>
    <w:tblStylePr w:type="band1Vert">
      <w:tblPr/>
      <w:trPr/>
      <w:tcPr>
        <w:shd w:val="clear" w:color="auto" w:fill="F1FBFF" w:themeFill="accent2" w:themeFillTint="30"/>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B4EBFF" w:themeColor="accent2"/>
        </w:tcBorders>
      </w:tcPr>
    </w:tblStylePr>
    <w:tblStylePr w:type="firstRow">
      <w:rPr>
        <w:b w:val="1"/>
        <w:bCs w:val="1"/>
        <w:color w:val="FFFFFF" w:themeColor="background1"/>
      </w:rPr>
      <w:tblPr/>
      <w:trPr/>
      <w:tcPr>
        <w:tcBorders>
          <w:top w:val="single" w:sz="4" w:space="0" w:shadow="0" w:frame="0" w:color="B4EBFF" w:themeColor="accent2"/>
          <w:left w:val="single" w:sz="4" w:space="0" w:shadow="0" w:frame="0" w:color="B4EBFF" w:themeColor="accent2"/>
          <w:bottom w:val="single" w:sz="4" w:space="0" w:shadow="0" w:frame="0" w:color="B4EBFF" w:themeColor="accent2"/>
          <w:right w:val="single" w:sz="4" w:space="0" w:shadow="0" w:frame="0" w:color="B4EBFF" w:themeColor="accent2"/>
          <w:insideH w:val="nil"/>
          <w:insideV w:val="nil"/>
        </w:tcBorders>
        <w:shd w:val="clear" w:color="auto" w:fill="B4EBFF" w:themeFill="accent2"/>
      </w:tcPr>
    </w:tblStylePr>
  </w:style>
  <w:style w:type="table" w:styleId="T7">
    <w:name w:val="Grid Table Light"/>
    <w:basedOn w:val="T0"/>
    <w:tblPr>
      <w:tblBorders>
        <w:top w:val="single" w:sz="4" w:space="0" w:shadow="0" w:frame="0" w:color="BFBFBF" w:themeColor="background1" w:themeShade="BF"/>
        <w:left w:val="single" w:sz="4" w:space="0" w:shadow="0" w:frame="0" w:color="BFBFBF" w:themeColor="background1" w:themeShade="BF"/>
        <w:bottom w:val="single" w:sz="4" w:space="0" w:shadow="0" w:frame="0" w:color="BFBFBF" w:themeColor="background1" w:themeShade="BF"/>
        <w:right w:val="single" w:sz="4" w:space="0" w:shadow="0" w:frame="0" w:color="BFBFBF" w:themeColor="background1" w:themeShade="BF"/>
        <w:insideH w:val="single" w:sz="4" w:space="0" w:shadow="0" w:frame="0" w:color="BFBFBF" w:themeColor="background1" w:themeShade="BF"/>
        <w:insideV w:val="single" w:sz="4" w:space="0" w:shadow="0" w:frame="0" w:color="BFBFBF" w:themeColor="background1" w:themeShade="BF"/>
      </w:tblBorders>
    </w:tblPr>
    <w:trPr/>
    <w:tcPr/>
  </w:style>
  <w:style w:type="table" w:styleId="T8">
    <w:name w:val="Plain Table 11"/>
    <w:basedOn w:val="T0"/>
    <w:tblPr>
      <w:tblStyleRowBandSize w:val="1"/>
      <w:tblStyleColBandSize w:val="1"/>
      <w:tblBorders>
        <w:top w:val="single" w:sz="4" w:space="0" w:shadow="0" w:frame="0" w:color="BFBFBF" w:themeColor="background1" w:themeShade="BF"/>
        <w:left w:val="single" w:sz="4" w:space="0" w:shadow="0" w:frame="0" w:color="BFBFBF" w:themeColor="background1" w:themeShade="BF"/>
        <w:bottom w:val="single" w:sz="4" w:space="0" w:shadow="0" w:frame="0" w:color="BFBFBF" w:themeColor="background1" w:themeShade="BF"/>
        <w:right w:val="single" w:sz="4" w:space="0" w:shadow="0" w:frame="0" w:color="BFBFBF" w:themeColor="background1" w:themeShade="BF"/>
        <w:insideH w:val="single" w:sz="4" w:space="0" w:shadow="0" w:frame="0" w:color="BFBFBF" w:themeColor="background1" w:themeShade="BF"/>
        <w:insideV w:val="single" w:sz="4" w:space="0" w:shadow="0" w:frame="0" w:color="BFBFBF" w:themeColor="background1" w:themeShade="BF"/>
      </w:tblBorders>
    </w:tblPr>
    <w:trPr/>
    <w:tcPr/>
    <w:tblStylePr w:type="band1Horz">
      <w:tblPr/>
      <w:trPr/>
      <w:tcPr>
        <w:shd w:val="clear" w:color="auto" w:fill="F2F2F2" w:themeFill="background1" w:themeFillShade="F2"/>
      </w:tcPr>
    </w:tblStylePr>
    <w:tblStylePr w:type="band1Vert">
      <w:tblPr/>
      <w:trPr/>
      <w:tcPr>
        <w:shd w:val="clear" w:color="auto" w:fill="F2F2F2" w:themeFill="background1" w:themeFillShade="F2"/>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BFBFBF" w:themeColor="background1" w:themeShade="BF"/>
        </w:tcBorders>
      </w:tcPr>
    </w:tblStylePr>
    <w:tblStylePr w:type="firstRow">
      <w:rPr>
        <w:b w:val="1"/>
        <w:bCs w:val="1"/>
      </w:rPr>
      <w:tblPr/>
      <w:trPr/>
      <w:tcPr/>
    </w:tblStylePr>
  </w:style>
  <w:style w:type="table" w:styleId="T9">
    <w:name w:val="List Table 3 Accent 1"/>
    <w:basedOn w:val="T0"/>
    <w:pPr>
      <w:spacing w:after="0" w:beforeAutospacing="0" w:afterAutospacing="0"/>
    </w:pPr>
    <w:tblPr>
      <w:tblStyleRowBandSize w:val="1"/>
      <w:tblStyleColBandSize w:val="1"/>
      <w:tblBorders>
        <w:top w:val="single" w:sz="4" w:space="0" w:shadow="0" w:frame="0" w:color="186E7E" w:themeColor="accent1"/>
        <w:left w:val="single" w:sz="4" w:space="0" w:shadow="0" w:frame="0" w:color="186E7E" w:themeColor="accent1"/>
        <w:bottom w:val="single" w:sz="4" w:space="0" w:shadow="0" w:frame="0" w:color="186E7E" w:themeColor="accent1"/>
        <w:right w:val="single" w:sz="4" w:space="0" w:shadow="0" w:frame="0" w:color="186E7E" w:themeColor="accent1"/>
      </w:tblBorders>
    </w:tblPr>
    <w:trPr/>
    <w:tcPr/>
    <w:tblStylePr w:type="swCell">
      <w:tblPr/>
      <w:trPr/>
      <w:tcPr>
        <w:tcBorders>
          <w:top w:val="double" w:sz="4" w:space="0" w:shadow="0" w:frame="0" w:color="186E7E" w:themeColor="accent1"/>
          <w:right w:val="nil"/>
        </w:tcBorders>
      </w:tcPr>
    </w:tblStylePr>
    <w:tblStylePr w:type="seCell">
      <w:tblPr/>
      <w:trPr/>
      <w:tcPr>
        <w:tcBorders>
          <w:top w:val="double" w:sz="4" w:space="0" w:shadow="0" w:frame="0" w:color="186E7E" w:themeColor="accent1"/>
          <w:left w:val="nil"/>
        </w:tcBorders>
      </w:tcPr>
    </w:tblStylePr>
    <w:tblStylePr w:type="nwCell">
      <w:tblPr/>
      <w:trPr/>
      <w:tcPr>
        <w:tcBorders>
          <w:bottom w:val="nil"/>
          <w:right w:val="nil"/>
        </w:tcBorders>
      </w:tcPr>
    </w:tblStylePr>
    <w:tblStylePr w:type="neCell">
      <w:tblPr/>
      <w:trPr/>
      <w:tcPr>
        <w:tcBorders>
          <w:left w:val="nil"/>
          <w:bottom w:val="nil"/>
        </w:tcBorders>
      </w:tcPr>
    </w:tblStylePr>
    <w:tblStylePr w:type="band1Horz">
      <w:tblPr/>
      <w:trPr/>
      <w:tcPr>
        <w:tcBorders>
          <w:top w:val="single" w:sz="4" w:space="0" w:shadow="0" w:frame="0" w:color="186E7E" w:themeColor="accent1"/>
          <w:bottom w:val="single" w:sz="4" w:space="0" w:shadow="0" w:frame="0" w:color="186E7E" w:themeColor="accent1"/>
          <w:insideH w:val="nil"/>
        </w:tcBorders>
      </w:tcPr>
    </w:tblStylePr>
    <w:tblStylePr w:type="band1Vert">
      <w:tblPr/>
      <w:trPr/>
      <w:tcPr>
        <w:tcBorders>
          <w:left w:val="single" w:sz="4" w:space="0" w:shadow="0" w:frame="0" w:color="186E7E" w:themeColor="accent1"/>
          <w:right w:val="single" w:sz="4" w:space="0" w:shadow="0" w:frame="0" w:color="186E7E" w:themeColor="accent1"/>
        </w:tcBorders>
      </w:tcPr>
    </w:tblStylePr>
    <w:tblStylePr w:type="lastCol">
      <w:rPr>
        <w:b w:val="1"/>
        <w:bCs w:val="1"/>
      </w:rPr>
      <w:tblPr/>
      <w:trPr/>
      <w:tcPr>
        <w:tcBorders>
          <w:left w:val="nil"/>
        </w:tcBorders>
        <w:shd w:val="clear" w:color="auto" w:fill="FFFFFF" w:themeFill="background1"/>
      </w:tcPr>
    </w:tblStylePr>
    <w:tblStylePr w:type="firstCol">
      <w:rPr>
        <w:b w:val="1"/>
        <w:bCs w:val="1"/>
      </w:rPr>
      <w:tblPr/>
      <w:trPr/>
      <w:tcPr>
        <w:tcBorders>
          <w:right w:val="nil"/>
        </w:tcBorders>
        <w:shd w:val="clear" w:color="auto" w:fill="FFFFFF" w:themeFill="background1"/>
      </w:tcPr>
    </w:tblStylePr>
    <w:tblStylePr w:type="lastRow">
      <w:rPr>
        <w:b w:val="1"/>
        <w:bCs w:val="1"/>
      </w:rPr>
      <w:tblPr/>
      <w:trPr/>
      <w:tcPr>
        <w:tcBorders>
          <w:top w:val="double" w:sz="4" w:space="0" w:shadow="0" w:frame="0" w:color="186E7E" w:themeColor="accent1"/>
        </w:tcBorders>
        <w:shd w:val="clear" w:color="auto" w:fill="FFFFFF" w:themeFill="background1"/>
      </w:tcPr>
    </w:tblStylePr>
    <w:tblStylePr w:type="firstRow">
      <w:rPr>
        <w:b w:val="1"/>
        <w:bCs w:val="1"/>
        <w:color w:val="FFFFFF" w:themeColor="background1"/>
      </w:rPr>
      <w:tblPr/>
      <w:trPr/>
      <w:tcPr>
        <w:shd w:val="clear" w:color="auto" w:fill="186E7E" w:themeFill="accent1"/>
      </w:tcPr>
    </w:tblStylePr>
  </w:style>
  <w:style w:type="table" w:styleId="T10">
    <w:name w:val="Knivsta kommun"/>
    <w:basedOn w:val="T0"/>
    <w:pPr>
      <w:spacing w:after="0" w:beforeAutospacing="0" w:afterAutospacing="0"/>
    </w:pPr>
    <w:rPr>
      <w:rFonts w:ascii="Arial" w:hAnsi="Arial"/>
      <w:sz w:val="20"/>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CellMar>
        <w:top w:w="57" w:type="dxa"/>
        <w:bottom w:w="57" w:type="dxa"/>
      </w:tblCellMar>
    </w:tblPr>
    <w:trPr/>
    <w:tcPr/>
    <w:tblStylePr w:type="firstRow">
      <w:rPr>
        <w:b w:val="1"/>
        <w:color w:val="auto"/>
      </w:rPr>
      <w:tblPr/>
      <w:trPr/>
      <w:tcPr>
        <w:shd w:val="clear" w:color="auto" w:fill="F5A053"/>
      </w:tcPr>
    </w:tblStylePr>
  </w:style>
  <w:style w:type="numbering" w:styleId="N0">
    <w:name w:val="No List"/>
  </w:style>
  <w:style w:type="numbering" w:styleId="N1">
    <w:name w:val="Company_List"/>
    <w:pPr>
      <w:numPr>
        <w:numId w:val="3"/>
      </w:numPr>
    </w:pPr>
  </w:style>
  <w:style w:type="numbering" w:styleId="N2">
    <w:name w:val="Company_ListBullet"/>
    <w:pPr>
      <w:numPr>
        <w:numId w:val="5"/>
      </w:numPr>
    </w:pPr>
  </w:style>
</w:styles>
</file>

<file path=word/webSettings.xml><?xml version="1.0" encoding="utf-8"?>
<w:webSettings xmlns:w="http://schemas.openxmlformats.org/wordprocessingml/2006/main">
  <w:divs>
    <w:div w:id="2121219773">
      <w:bodyDiv w:val="1"/>
      <w:marLeft w:val="446"/>
      <w:marRight w:val="0"/>
      <w:marTop w:val="0"/>
      <w:marBottom w:val="160"/>
    </w:div>
  </w:divs>
</w:webSetting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jpg" /><Relationship Id="Relimage3" Type="http://schemas.openxmlformats.org/officeDocument/2006/relationships/image" Target="/media/image3.jpg" /><Relationship Id="Relimage4" Type="http://schemas.openxmlformats.org/officeDocument/2006/relationships/image" Target="/media/image4.jpg" /><Relationship Id="Relimage5" Type="http://schemas.openxmlformats.org/officeDocument/2006/relationships/image" Target="/media/image5.jpg" /><Relationship Id="Relimage6" Type="http://schemas.openxmlformats.org/officeDocument/2006/relationships/image" Target="/media/image6.jpg" /><Relationship Id="Relimage7" Type="http://schemas.openxmlformats.org/officeDocument/2006/relationships/image" Target="/media/image7.jpg" /><Relationship Id="Relimage8" Type="http://schemas.openxmlformats.org/officeDocument/2006/relationships/image" Target="/media/image8.jpg" /><Relationship Id="Relimage9" Type="http://schemas.openxmlformats.org/officeDocument/2006/relationships/image" Target="/media/image9.jpg" /><Relationship Id="Relimage10" Type="http://schemas.openxmlformats.org/officeDocument/2006/relationships/image" Target="/media/image10.jpg" /><Relationship Id="Relimage11" Type="http://schemas.openxmlformats.org/officeDocument/2006/relationships/image" Target="/media/image11.jpg" /><Relationship Id="Relimage12" Type="http://schemas.openxmlformats.org/officeDocument/2006/relationships/image" Target="/media/image12.jpg" /><Relationship Id="Relimage13" Type="http://schemas.openxmlformats.org/officeDocument/2006/relationships/image" Target="/media/image13.jpg" /><Relationship Id="Relimage14" Type="http://schemas.openxmlformats.org/officeDocument/2006/relationships/image" Target="/media/image14.jpg" /><Relationship Id="Relimage15" Type="http://schemas.openxmlformats.org/officeDocument/2006/relationships/image" Target="/media/image15.jpg" /><Relationship Id="Relimage16" Type="http://schemas.openxmlformats.org/officeDocument/2006/relationships/image" Target="/media/image16.jpg" /><Relationship Id="Relimage17" Type="http://schemas.openxmlformats.org/officeDocument/2006/relationships/image" Target="/media/image17.png" /><Relationship Id="Relimage18" Type="http://schemas.openxmlformats.org/officeDocument/2006/relationships/image" Target="/media/image18.jpg" /><Relationship Id="Relimage19" Type="http://schemas.openxmlformats.org/officeDocument/2006/relationships/image" Target="/media/image19.jpg" /><Relationship Id="Relimage20" Type="http://schemas.openxmlformats.org/officeDocument/2006/relationships/image" Target="/media/image20.jpg" /><Relationship Id="Relimage21" Type="http://schemas.openxmlformats.org/officeDocument/2006/relationships/image" Target="/media/image21.png" /><Relationship Id="Relimage22" Type="http://schemas.openxmlformats.org/officeDocument/2006/relationships/image" Target="/media/image22.jpg" /><Relationship Id="Relimage23" Type="http://schemas.openxmlformats.org/officeDocument/2006/relationships/image" Target="/media/image23.jpg" /><Relationship Id="Relimage24" Type="http://schemas.openxmlformats.org/officeDocument/2006/relationships/image" Target="/media/image24.jpg" /><Relationship Id="Relimage25" Type="http://schemas.openxmlformats.org/officeDocument/2006/relationships/image" Target="/media/image25.jpg" /><Relationship Id="Relimage26" Type="http://schemas.openxmlformats.org/officeDocument/2006/relationships/image" Target="/media/image26.jpg" /><Relationship Id="Relimage27" Type="http://schemas.openxmlformats.org/officeDocument/2006/relationships/image" Target="/media/image27.jpg" /><Relationship Id="Relimage28" Type="http://schemas.openxmlformats.org/officeDocument/2006/relationships/image" Target="/media/image28.jpg" /><Relationship Id="Relimage29" Type="http://schemas.openxmlformats.org/officeDocument/2006/relationships/image" Target="/media/image29.png" /><Relationship Id="Relimage30" Type="http://schemas.openxmlformats.org/officeDocument/2006/relationships/image" Target="/media/image30.png" /><Relationship Id="Relimage31" Type="http://schemas.openxmlformats.org/officeDocument/2006/relationships/image" Target="/media/image31.jpg" /><Relationship Id="Relimage32" Type="http://schemas.openxmlformats.org/officeDocument/2006/relationships/image" Target="/media/image32.jpg" /><Relationship Id="Relimage33" Type="http://schemas.openxmlformats.org/officeDocument/2006/relationships/image" Target="/media/image33.jpg" /><Relationship Id="Relimage34" Type="http://schemas.openxmlformats.org/officeDocument/2006/relationships/image" Target="/media/image34.jpg" /><Relationship Id="Relimage35" Type="http://schemas.openxmlformats.org/officeDocument/2006/relationships/image" Target="/media/image35.jpg" /><Relationship Id="Relimage36" Type="http://schemas.openxmlformats.org/officeDocument/2006/relationships/image" Target="/media/image36.jpg" /><Relationship Id="Relimage37" Type="http://schemas.openxmlformats.org/officeDocument/2006/relationships/image" Target="/media/image37.jpg" /><Relationship Id="Relimage38" Type="http://schemas.openxmlformats.org/officeDocument/2006/relationships/image" Target="/media/image38.pn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WebSettings1" Type="http://schemas.openxmlformats.org/officeDocument/2006/relationships/webSettings" Target="webSetting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s>
</file>

<file path=word/_rels/footer1.xml.rels>&#65279;<?xml version="1.0" encoding="utf-8"?><Relationships xmlns="http://schemas.openxmlformats.org/package/2006/relationships"><Relationship Id="Relimage40" Type="http://schemas.openxmlformats.org/officeDocument/2006/relationships/image" Target="/media/image40.jpg" /></Relationships>
</file>

<file path=word/_rels/header1.xml.rels>&#65279;<?xml version="1.0" encoding="utf-8"?><Relationships xmlns="http://schemas.openxmlformats.org/package/2006/relationships"><Relationship Id="Relimage39" Type="http://schemas.openxmlformats.org/officeDocument/2006/relationships/image" Target="/media/image39.jpg" /></Relationships>
</file>

<file path=word/_rels/settings.xml.rels>&#65279;<?xml version="1.0" encoding="utf-8"?><Relationships xmlns="http://schemas.openxmlformats.org/package/2006/relationships"><Relationship Id="rId1" Type="http://schemas.openxmlformats.org/officeDocument/2006/relationships/attachedTemplate" Target="file:///C:\Program%20Files\RabarberTools\Word\Rapport.dotm" TargetMode="External" /><Relationship Id="rId1" Type="http://schemas.openxmlformats.org/officeDocument/2006/relationships/attachedTemplate" Target="file:///C:\Program%20Files\RabarberTools\Word\Rapport.dotm" TargetMode="External" /><Relationship Id="rId1" Type="http://schemas.openxmlformats.org/officeDocument/2006/relationships/attachedTemplate" Target="file:///C:\Program%20Files\RabarberTools\Word\Rapport.dotm" TargetMode="External" /><Relationship Id="rId1" Type="http://schemas.openxmlformats.org/officeDocument/2006/relationships/attachedTemplate" Target="file:///C:\Program%20Files\RabarberTools\Word\Rapport.dotm" TargetMode="External" /></Relationships>
</file>

<file path=word/theme/theme1.xml><?xml version="1.0" encoding="utf-8"?>
<a:theme xmlns:a="http://schemas.openxmlformats.org/drawingml/2006/main" name="Office-tema">
  <a:themeElements>
    <a:clrScheme name="Knivsta kommun ny färgpalett">
      <a:dk1>
        <a:sysClr val="windowText" lastClr="000000"/>
      </a:dk1>
      <a:lt1>
        <a:srgbClr val="FFFFFF"/>
      </a:lt1>
      <a:dk2>
        <a:srgbClr val="00D884"/>
      </a:dk2>
      <a:lt2>
        <a:srgbClr val="00B5D6"/>
      </a:lt2>
      <a:accent1>
        <a:srgbClr val="186E7E"/>
      </a:accent1>
      <a:accent2>
        <a:srgbClr val="B4EBFF"/>
      </a:accent2>
      <a:accent3>
        <a:srgbClr val="7E1846"/>
      </a:accent3>
      <a:accent4>
        <a:srgbClr val="FFB4D0"/>
      </a:accent4>
      <a:accent5>
        <a:srgbClr val="187E58"/>
      </a:accent5>
      <a:accent6>
        <a:srgbClr val="D2F0B1"/>
      </a:accent6>
      <a:hlink>
        <a:srgbClr val="00B5D6"/>
      </a:hlink>
      <a:folHlink>
        <a:srgbClr val="949690"/>
      </a:folHlink>
    </a:clrScheme>
    <a:fontScheme name="Knivsta kommun - Poppins">
      <a:majorFont>
        <a:latin typeface="Poppins"/>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F62E4CF23633AA46BE771AD5113CB63A" ma:contentTypeVersion="12" ma:contentTypeDescription="Skapa ett nytt dokument." ma:contentTypeScope="" ma:versionID="f18fefc56f6fa0f60665274bab852f2e">
  <xsd:schema xmlns:xsd="http://www.w3.org/2001/XMLSchema" xmlns:xs="http://www.w3.org/2001/XMLSchema" xmlns:p="http://schemas.microsoft.com/office/2006/metadata/properties" xmlns:ns2="f68a40db-94f2-426f-a851-0437321b46aa" xmlns:ns3="1c2fb423-22f5-431c-a57f-5133e1860464" targetNamespace="http://schemas.microsoft.com/office/2006/metadata/properties" ma:root="true" ma:fieldsID="5d0f6670eee03be480316ffab9d17d24" ns2:_="" ns3:_="">
    <xsd:import namespace="f68a40db-94f2-426f-a851-0437321b46aa"/>
    <xsd:import namespace="1c2fb423-22f5-431c-a57f-5133e1860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8a40db-94f2-426f-a851-0437321b46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73ea9023-6430-4f4d-887f-816c85cdae1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2fb423-22f5-431c-a57f-5133e1860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760f70-fa0c-4bfb-895e-1f0e0ab9f907}" ma:internalName="TaxCatchAll" ma:showField="CatchAllData" ma:web="1c2fb423-22f5-431c-a57f-5133e1860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8a40db-94f2-426f-a851-0437321b46aa">
      <Terms xmlns="http://schemas.microsoft.com/office/infopath/2007/PartnerControls"/>
    </lcf76f155ced4ddcb4097134ff3c332f>
    <TaxCatchAll xmlns="1c2fb423-22f5-431c-a57f-5133e186046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lanbeskrivning xmlns:lmg="http://namespace.lantmateriet.se/distribution/geometri/v2" xmlns:gml="http://www.opengis.net/gml/3.2" xmlns="http://namespace.lantmateriet.se/distribution/geodatakatalog/planbeskrivning/v2">
  <versionGiltigFran>2026-07-09T16:48:35.6901931+02:00</versionGiltigFran>
  <detaljplansreferens>d1c78ab5-6567-49ce-9e82-be8562e6828e</detaljplansreferens>
  <Objektmetadata>
    <programvara>GEOSECMA</programvara>
    <programvaruversion>20.7</programvaruversion>
  </Objektmetadata>
  <Omfattning>
    <identitet>sy_syfte01</identitet>
    <Lage>
      <planomrade>true</planomrade>
    </Lage>
    <Indelning>
      <tema>Detaljplanens syfte</tema>
      <grupp>Syfte</grupp>
    </Indelning>
  </Omfattning>
  <Omfattning>
    <identitet>pf_regionplan01</identitet>
    <Lage>
      <planomrade>true</planomrade>
    </Lage>
    <Indelning>
      <tema>Planeringsförutsättningar</tema>
      <grupp>Regionala</grupp>
      <undergrupp>Regionplan</undergrupp>
    </Indelning>
  </Omfattning>
  <Omfattning>
    <identitet>pf_regionalutvecklingsstrategi01</identitet>
    <Lage>
      <planomrade>true</planomrade>
    </Lage>
    <Indelning>
      <tema>Planeringsförutsättningar</tema>
      <grupp>Regionala</grupp>
      <undergrupp>Regional utvecklingsstrategi</undergrupp>
    </Indelning>
  </Omfattning>
  <Omfattning>
    <identitet>pf_projektfyraspåruppsala01</identitet>
    <Lage>
      <planomrade>true</planomrade>
    </Lage>
    <Indelning>
      <tema>Planeringsförutsättningar</tema>
      <grupp>Mellankommunala intressen</grupp>
      <undergrupp>Projekt fyra spår Uppsala</undergrupp>
    </Indelning>
  </Omfattning>
  <Omfattning>
    <identitet>pf_kraftledningmellanplenningeodensala01</identitet>
    <Lage>
      <planomrade>true</planomrade>
    </Lage>
    <Indelning>
      <tema>Planeringsförutsättningar</tema>
      <grupp>Mellankommunala intressen</grupp>
      <undergrupp>Kraftledning mellan Plenninge-Odensala</undergrupp>
    </Indelning>
  </Omfattning>
  <Omfattning>
    <identitet>pf_riksintressen01</identitet>
    <Lage>
      <planomrade>true</planomrade>
    </Lage>
    <Indelning>
      <tema>Planeringsförutsättningar</tema>
      <grupp>Riksintressen</grupp>
    </Indelning>
  </Omfattning>
  <Omfattning>
    <identitet>pf_miljökvalitetsnormer01</identitet>
    <Lage>
      <planomrade>true</planomrade>
    </Lage>
    <Indelning>
      <tema>Planeringsförutsättningar</tema>
      <grupp>Miljökvalitetsnormer</grupp>
    </Indelning>
  </Omfattning>
  <Omfattning>
    <identitet>pf_luft01</identitet>
    <Lage>
      <planomrade>true</planomrade>
    </Lage>
    <Indelning>
      <tema>Planeringsförutsättningar</tema>
      <grupp>Miljökvalitetsnormer</grupp>
      <undergrupp>Luft</undergrupp>
    </Indelning>
  </Omfattning>
  <Omfattning>
    <identitet>pf_vatten01</identitet>
    <Lage>
      <planomrade>true</planomrade>
    </Lage>
    <Indelning>
      <tema>Planeringsförutsättningar</tema>
      <grupp>Miljökvalitetsnormer</grupp>
      <undergrupp>Vatten</undergrupp>
    </Indelning>
  </Omfattning>
  <Omfattning>
    <identitet>pf_buller01</identitet>
    <Lage>
      <planomrade>true</planomrade>
    </Lage>
    <Indelning>
      <tema>Planeringsförutsättningar</tema>
      <grupp>Miljökvalitetsnormer</grupp>
      <undergrupp>Buller</undergrupp>
    </Indelning>
  </Omfattning>
  <Omfattning>
    <identitet>pf_översiktsplan01</identitet>
    <Lage>
      <planomrade>true</planomrade>
    </Lage>
    <Indelning>
      <tema>Planeringsförutsättningar</tema>
      <grupp>Kommunala</grupp>
      <undergrupp>Översiktsplan</undergrupp>
    </Indelning>
  </Omfattning>
  <Omfattning>
    <identitet>pf_skogsbruk01</identitet>
    <Lage>
      <planomrade>true</planomrade>
    </Lage>
    <Indelning>
      <tema>Planeringsförutsättningar</tema>
      <grupp>Hushållningsbestämmelser enligt 3 kap. miljöbalken</grupp>
      <undergrupp>Skogsbruk</undergrupp>
    </Indelning>
  </Omfattning>
  <Omfattning>
    <identitet>pf_fornlämningar01</identitet>
    <Lage>
      <planomrade>true</planomrade>
    </Lage>
    <Indelning>
      <tema>Planeringsförutsättningar</tema>
      <grupp>Kulturmiljö</grupp>
      <undergrupp>Fornlämningar</undergrupp>
    </Indelning>
  </Omfattning>
  <Omfattning>
    <identitet>pf_kulturmiljö01</identitet>
    <Lage>
      <planomrade>true</planomrade>
    </Lage>
    <Indelning>
      <tema>Planeringsförutsättningar</tema>
      <grupp>Kulturmiljö</grupp>
    </Indelning>
  </Omfattning>
  <Omfattning>
    <identitet>pf_sociala01</identitet>
    <Lage>
      <planomrade>true</planomrade>
    </Lage>
    <Indelning>
      <tema>Planeringsförutsättningar</tema>
      <grupp>Sociala</grupp>
    </Indelning>
  </Omfattning>
  <Omfattning>
    <identitet>pf_tillgänglighetochtrygghet01</identitet>
    <Lage>
      <planomrade>true</planomrade>
    </Lage>
    <Indelning>
      <tema>Planeringsförutsättningar</tema>
      <grupp>Sociala</grupp>
      <undergrupp>Tillgänglighet och trygghet</undergrupp>
    </Indelning>
  </Omfattning>
  <Omfattning>
    <identitet>pf_barn01</identitet>
    <Lage>
      <planomrade>true</planomrade>
    </Lage>
    <Indelning>
      <tema>Planeringsförutsättningar</tema>
      <grupp>Sociala</grupp>
      <undergrupp>Barn</undergrupp>
    </Indelning>
  </Omfattning>
  <Omfattning>
    <identitet>pf_geotekniskaförhållanden01</identitet>
    <Lage>
      <planomrade>true</planomrade>
    </Lage>
    <Indelning>
      <tema>Planeringsförutsättningar</tema>
      <grupp>Geotekniska förhållanden</grupp>
    </Indelning>
  </Omfattning>
  <Omfattning>
    <identitet>pf_hydrologiskaförhållanden01</identitet>
    <Lage>
      <planomrade>true</planomrade>
    </Lage>
    <Indelning>
      <tema>Planeringsförutsättningar</tema>
      <grupp>Hydrologiska förhållanden</grupp>
    </Indelning>
  </Omfattning>
  <Omfattning>
    <identitet>pf_hushållningsbestämmelserenl3kap_mb01</identitet>
    <Lage>
      <planomrade>true</planomrade>
    </Lage>
    <Indelning>
      <tema>Planeringsförutsättningar</tema>
      <grupp>Hushållningsbestämmelser enligt 3 kap. miljöbalken</grupp>
    </Indelning>
  </Omfattning>
  <Omfattning>
    <identitet>sy_detaljplanenshuvuddrag01</identitet>
    <Lage>
      <planomrade>true</planomrade>
    </Lage>
    <Indelning>
      <tema>Detaljplanens syfte</tema>
      <grupp>Syfte</grupp>
      <undergrupp>Detaljplanens huvuddrag</undergrupp>
    </Indelning>
  </Omfattning>
  <Omfattning>
    <identitet>pf_platsen01</identitet>
    <Lage>
      <planomrade>true</planomrade>
    </Lage>
    <Indelning>
      <tema>Planeringsförutsättningar</tema>
      <grupp>Annat</grupp>
      <undergrupp>Platsen</undergrupp>
    </Indelning>
  </Omfattning>
  <Omfattning>
    <identitet>pf_kommunala01</identitet>
    <Lage>
      <planomrade>true</planomrade>
    </Lage>
    <Indelning>
      <tema>Planeringsförutsättningar</tema>
      <grupp>Kommunala</grupp>
    </Indelning>
  </Omfattning>
  <Omfattning>
    <identitet>pf_detaljplan01</identitet>
    <Lage>
      <planomrade>true</planomrade>
    </Lage>
    <Indelning>
      <tema>Planeringsförutsättningar</tema>
      <grupp>Kommunala</grupp>
      <undergrupp>Detaljplan</undergrupp>
    </Indelning>
  </Omfattning>
  <Omfattning>
    <identitet>pf_beslutomförorenadmark01</identitet>
    <Lage>
      <planomrade>true</planomrade>
    </Lage>
    <Indelning>
      <tema>Planeringsförutsättningar</tema>
      <grupp>Kommunala</grupp>
      <undergrupp>Beslut om förorenad mark</undergrupp>
    </Indelning>
  </Omfattning>
  <Omfattning>
    <identitet>pf_planbesked01</identitet>
    <Lage>
      <planomrade>true</planomrade>
    </Lage>
    <Indelning>
      <tema>Planeringsförutsättningar</tema>
      <grupp>Kommunala</grupp>
      <undergrupp>Planbesked</undergrupp>
    </Indelning>
  </Omfattning>
  <Omfattning>
    <identitet>pf_planprogram01</identitet>
    <Lage>
      <planomrade>true</planomrade>
    </Lage>
    <Indelning>
      <tema>Planeringsförutsättningar</tema>
      <grupp>Kommunala</grupp>
      <undergrupp>Planprogram</undergrupp>
    </Indelning>
  </Omfattning>
  <Omfattning>
    <identitet>pf_vaanslutningtillkäppalaförbundet01</identitet>
    <Lage>
      <planomrade>true</planomrade>
    </Lage>
    <Indelning>
      <tema>Planeringsförutsättningar</tema>
      <grupp>Kommunala</grupp>
      <undergrupp>VA-anslutning till Käppalaförbundet</undergrupp>
    </Indelning>
  </Omfattning>
  <Omfattning>
    <identitet>pf_knivstavision204001</identitet>
    <Lage>
      <planomrade>true</planomrade>
    </Lage>
    <Indelning>
      <tema>Planeringsförutsättningar</tema>
      <grupp>Kommunala</grupp>
      <undergrupp>Knivsta vision 2040</undergrupp>
    </Indelning>
  </Omfattning>
  <Omfattning>
    <identitet>pf_regionala01</identitet>
    <Lage>
      <planomrade>true</planomrade>
    </Lage>
    <Indelning>
      <tema>Planeringsförutsättningar</tema>
      <grupp>Regionala</grupp>
    </Indelning>
  </Omfattning>
  <Omfattning>
    <identitet>pf_mellankommunalaintressen01</identitet>
    <Lage>
      <planomrade>true</planomrade>
    </Lage>
    <Indelning>
      <tema>Planeringsförutsättningar</tema>
      <grupp>Mellankommunala intressen</grupp>
    </Indelning>
  </Omfattning>
  <Omfattning>
    <identitet>pf_hälsaochsäkerhet01</identitet>
    <Lage>
      <planomrade>true</planomrade>
    </Lage>
    <Indelning>
      <tema>Planeringsförutsättningar</tema>
      <grupp>Hälsa och säkerhet</grupp>
    </Indelning>
  </Omfattning>
  <Omfattning>
    <identitet>pf_omgivningsbuller01</identitet>
    <Lage>
      <planomrade>true</planomrade>
    </Lage>
    <Indelning>
      <tema>Planeringsförutsättningar</tema>
      <grupp>Hälsa och säkerhet</grupp>
      <undergrupp>Omgivningsbuller</undergrupp>
    </Indelning>
  </Omfattning>
  <Omfattning>
    <identitet>pf_radon01</identitet>
    <Lage>
      <planomrade>true</planomrade>
    </Lage>
    <Indelning>
      <tema>Planeringsförutsättningar</tema>
      <grupp>Hälsa och säkerhet</grupp>
      <undergrupp>Radon</undergrupp>
    </Indelning>
  </Omfattning>
  <Omfattning>
    <identitet>pf_riskförolyckor01</identitet>
    <Lage>
      <planomrade>true</planomrade>
    </Lage>
    <Indelning>
      <tema>Planeringsförutsättningar</tema>
      <grupp>Hälsa och säkerhet</grupp>
      <undergrupp>Risk för olyckor</undergrupp>
    </Indelning>
  </Omfattning>
  <Omfattning>
    <identitet>pf_elektromagnetiskstrålning01</identitet>
    <Lage>
      <planomrade>true</planomrade>
    </Lage>
    <Indelning>
      <tema>Planeringsförutsättningar</tema>
      <grupp>Hälsa och säkerhet</grupp>
      <undergrupp>Elektromagnetisk strålning</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pf_riskförerosion01</identitet>
    <Lage>
      <planomrade>true</planomrade>
    </Lage>
    <Indelning>
      <tema>Planeringsförutsättningar</tema>
      <grupp>Hälsa och säkerhet</grupp>
      <undergrupp>Risk för erosion</undergrupp>
    </Indelning>
  </Omfattning>
  <Omfattning>
    <identitet>pf_riskförras01</identitet>
    <Lage>
      <planomrade>true</planomrade>
    </Lage>
    <Indelning>
      <tema>Planeringsförutsättningar</tema>
      <grupp>Hälsa och säkerhet</grupp>
      <undergrupp>Risk för ras</undergrupp>
    </Indelning>
  </Omfattning>
  <Omfattning>
    <identitet>pf_riskförskred01</identitet>
    <Lage>
      <planomrade>true</planomrade>
    </Lage>
    <Indelning>
      <tema>Planeringsförutsättningar</tema>
      <grupp>Hälsa och säkerhet</grupp>
      <undergrupp>Risk för skred</undergrupp>
    </Indelning>
  </Omfattning>
  <Omfattning>
    <identitet>pf_dagvatten01</identitet>
    <Lage>
      <planomrade>true</planomrade>
    </Lage>
    <Indelning>
      <tema>Planeringsförutsättningar</tema>
      <grupp>Miljö</grupp>
      <undergrupp>Dagvatten</undergrupp>
    </Indelning>
  </Omfattning>
  <Omfattning>
    <identitet>pf_förorenadmark01</identitet>
    <Lage>
      <planomrade>true</planomrade>
    </Lage>
    <Indelning>
      <tema>Planeringsförutsättningar</tema>
      <grupp>Hälsa och säkerhet</grupp>
      <undergrupp>Förorenad mark</undergrupp>
    </Indelning>
  </Omfattning>
  <Omfattning>
    <identitet>pf_brandutrymning01</identitet>
    <Lage>
      <planomrade>true</planomrade>
    </Lage>
    <Indelning>
      <tema>Planeringsförutsättningar</tema>
      <grupp>Hälsa och säkerhet</grupp>
      <undergrupp>Brandutrymning</undergrupp>
    </Indelning>
  </Omfattning>
  <Omfattning>
    <identitet>pf_service01</identitet>
    <Lage>
      <planomrade>true</planomrade>
    </Lage>
    <Indelning>
      <tema>Planeringsförutsättningar</tema>
      <grupp>Service</grupp>
    </Indelning>
  </Omfattning>
  <Omfattning>
    <identitet>pf_teknik01</identitet>
    <Lage>
      <planomrade>true</planomrade>
    </Lage>
    <Indelning>
      <tema>Planeringsförutsättningar</tema>
      <grupp>Teknik</grupp>
    </Indelning>
  </Omfattning>
  <Omfattning>
    <identitet>pf_trafik01</identitet>
    <Lage>
      <planomrade>true</planomrade>
    </Lage>
    <Indelning>
      <tema>Planeringsförutsättningar</tema>
      <grupp>Trafik</grupp>
    </Indelning>
  </Omfattning>
  <Omfattning>
    <identitet>be_möjligutformning01</identitet>
    <Lage>
      <planomrade>true</planomrade>
    </Lage>
    <Indelning>
      <tema>Beskrivning av detaljplanen</tema>
      <grupp>Annat</grupp>
      <undergrupp>Möjlig utformning</undergrupp>
    </Indelning>
  </Omfattning>
  <Omfattning>
    <identitet>be_avvägningar01</identitet>
    <Lage>
      <planomrade>true</planomrade>
    </Lage>
    <Indelning>
      <tema>Beskrivning av detaljplanen</tema>
      <grupp>Annat</grupp>
      <undergrupp>Avvägningar</undergrupp>
    </Indelning>
  </Omfattning>
  <Omfattning>
    <identitet>be_befintligavärdensombevaras01</identitet>
    <Lage>
      <planomrade>true</planomrade>
    </Lage>
    <Indelning>
      <tema>Beskrivning av detaljplanen</tema>
      <grupp>Annat</grupp>
      <undergrupp>Befintliga värden som bevaras</undergrupp>
    </Indelning>
  </Omfattning>
  <Omfattning>
    <identitet>be_allmänplats01</identitet>
    <Lage>
      <planomrade>true</planomrade>
    </Lage>
    <Indelning>
      <tema>Beskrivning av detaljplanen</tema>
      <grupp>Allmän plats</grupp>
    </Indelning>
  </Omfattning>
  <Omfattning>
    <identitet>be_huvudmannaskap01</identitet>
    <Lage>
      <planomrade>true</planomrade>
    </Lage>
    <Indelning>
      <tema>Beskrivning av detaljplanen</tema>
      <grupp>Allmän plats</grupp>
      <undergrupp>Huvudmannaskap</undergrupp>
    </Indelning>
  </Omfattning>
  <Omfattning>
    <identitet>be_kvartersmark01</identitet>
    <Lage>
      <planomrade>true</planomrade>
    </Lage>
    <Indelning>
      <tema>Beskrivning av detaljplanen</tema>
      <grupp>Kvartersmark</grupp>
    </Indelning>
  </Omfattning>
  <Omfattning>
    <identitet>be_genomförandetid01</identitet>
    <Lage>
      <planomrade>true</planomrade>
    </Lage>
    <Indelning>
      <tema>Beskrivning av detaljplanen</tema>
      <grupp>Genomförandetid</grupp>
    </Indelning>
  </Omfattning>
  <Omfattning>
    <identitet>ko_platsen01</identitet>
    <Lage>
      <planomrade>true</planomrade>
    </Lage>
    <Indelning>
      <tema>Konsekvenser</tema>
      <grupp>Annat</grupp>
      <undergrupp>Platsen</undergrupp>
    </Indelning>
  </Omfattning>
  <Omfattning>
    <identitet>ko_fastigheterochrättigheter01</identitet>
    <Lage>
      <planomrade>true</planomrade>
    </Lage>
    <Indelning>
      <tema>Konsekvenser</tema>
      <grupp>Fastigheter och rättigheter</grupp>
    </Indelning>
  </Omfattning>
  <Omfattning>
    <identitet>ko_tidigarekommunalaställningstaganden01</identitet>
    <Lage>
      <planomrade>true</planomrade>
    </Lage>
    <Indelning>
      <tema>Konsekvenser</tema>
      <grupp>Annat</grupp>
      <undergrupp>Tidigare kommunala ställningstaganden</undergrupp>
    </Indelning>
  </Omfattning>
  <Omfattning>
    <identitet>ko_miljöbedömning01</identitet>
    <Lage>
      <planomrade>true</planomrade>
    </Lage>
    <Indelning>
      <tema>Konsekvenser</tema>
      <grupp>Miljö</grupp>
      <undergrupp>Miljöbedömning</undergrupp>
    </Indelning>
  </Omfattning>
  <Omfattning>
    <identitet>ko_riksintresse01</identitet>
    <Lage>
      <planomrade>true</planomrade>
    </Lage>
    <Indelning>
      <tema>Konsekvenser</tema>
      <grupp>Riksintresse</grupp>
    </Indelning>
  </Omfattning>
  <Omfattning>
    <identitet>ko_skogsbruk01</identitet>
    <Lage>
      <planomrade>true</planomrade>
    </Lage>
    <Indelning>
      <tema>Konsekvenser</tema>
      <grupp>Hushållningsbestämmelser enligt 3 kap. miljöbalken</grupp>
      <undergrupp>Skogsbruk</undergrupp>
    </Indelning>
  </Omfattning>
  <Omfattning>
    <identitet>ko_miljökvalitetsnormer01</identitet>
    <Lage>
      <planomrade>true</planomrade>
    </Lage>
    <Indelning>
      <tema>Konsekvenser</tema>
      <grupp>Miljökvalitetsnormer</grupp>
    </Indelning>
  </Omfattning>
  <Omfattning>
    <identitet>ko_luft01</identitet>
    <Lage>
      <planomrade>true</planomrade>
    </Lage>
    <Indelning>
      <tema>Konsekvenser</tema>
      <grupp>Miljökvalitetsnormer</grupp>
      <undergrupp>Luft</undergrupp>
    </Indelning>
  </Omfattning>
  <Omfattning>
    <identitet>ko_vatten01</identitet>
    <Lage>
      <planomrade>true</planomrade>
    </Lage>
    <Indelning>
      <tema>Konsekvenser</tema>
      <grupp>Miljökvalitetsnormer</grupp>
      <undergrupp>Vatten</undergrupp>
    </Indelning>
  </Omfattning>
  <Omfattning>
    <identitet>ko_buller01</identitet>
    <Lage>
      <planomrade>true</planomrade>
    </Lage>
    <Indelning>
      <tema>Konsekvenser</tema>
      <grupp>Miljökvalitetsnormer</grupp>
      <undergrupp>Buller</undergrupp>
    </Indelning>
  </Omfattning>
  <Omfattning>
    <identitet>ko_natur01</identitet>
    <Lage>
      <planomrade>true</planomrade>
    </Lage>
    <Indelning>
      <tema>Konsekvenser</tema>
      <grupp>Natur</grupp>
    </Indelning>
  </Omfattning>
  <Omfattning>
    <identitet>ko_sociala01</identitet>
    <Lage>
      <planomrade>true</planomrade>
    </Lage>
    <Indelning>
      <tema>Konsekvenser</tema>
      <grupp>Sociala</grupp>
    </Indelning>
  </Omfattning>
  <Omfattning>
    <identitet>ko_tillgänglighetochtrygghet01</identitet>
    <Lage>
      <planomrade>true</planomrade>
    </Lage>
    <Indelning>
      <tema>Konsekvenser</tema>
      <grupp>Sociala</grupp>
      <undergrupp>Tillgänglighet och trygghet</undergrupp>
    </Indelning>
  </Omfattning>
  <Omfattning>
    <identitet>ko_barn01</identitet>
    <Lage>
      <planomrade>true</planomrade>
    </Lage>
    <Indelning>
      <tema>Konsekvenser</tema>
      <grupp>Sociala</grupp>
      <undergrupp>Barn</undergrupp>
    </Indelning>
  </Omfattning>
  <Omfattning>
    <identitet>ko_kulturvärden01</identitet>
    <Lage>
      <planomrade>true</planomrade>
    </Lage>
    <Indelning>
      <tema>Konsekvenser</tema>
      <grupp>Annat</grupp>
      <undergrupp>Kulturvärden</undergrupp>
    </Indelning>
  </Omfattning>
  <Omfattning>
    <identitet>ko_geotekniskaförhållanden01</identitet>
    <Lage>
      <planomrade>true</planomrade>
    </Lage>
    <Indelning>
      <tema>Konsekvenser</tema>
      <grupp>Annat</grupp>
      <undergrupp>Geotekniska förhållanden</undergrupp>
    </Indelning>
  </Omfattning>
  <Omfattning>
    <identitet>ko_hydrogeologiskaförhållanden01</identitet>
    <Lage>
      <planomrade>true</planomrade>
    </Lage>
    <Indelning>
      <tema>Konsekvenser</tema>
      <grupp>Annat</grupp>
      <undergrupp>Hydrogeologiska förhållanden</undergrupp>
    </Indelning>
  </Omfattning>
  <Omfattning>
    <identitet>ko_hälsaochsäkerhet01</identitet>
    <Lage>
      <planomrade>true</planomrade>
    </Lage>
    <Indelning>
      <tema>Konsekvenser</tema>
      <grupp>Hälsa och säkerhet</grupp>
    </Indelning>
  </Omfattning>
  <Omfattning>
    <identitet>ko_beräkningavomgivningsbuller01</identitet>
    <Lage>
      <planomrade>true</planomrade>
    </Lage>
    <Indelning>
      <tema>Konsekvenser</tema>
      <grupp>Hälsa och säkerhet</grupp>
      <undergrupp>Beräkning av omgivningsbuller</undergrupp>
    </Indelning>
  </Omfattning>
  <Omfattning>
    <identitet>ko_radon01</identitet>
    <Lage>
      <planomrade>true</planomrade>
    </Lage>
    <Indelning>
      <tema>Konsekvenser</tema>
      <grupp>Hälsa och säkerhet</grupp>
      <undergrupp>Radon</undergrupp>
    </Indelning>
  </Omfattning>
  <Omfattning>
    <identitet>ko_olyckor01</identitet>
    <Lage>
      <planomrade>true</planomrade>
    </Lage>
    <Indelning>
      <tema>Konsekvenser</tema>
      <grupp>Hälsa och säkerhet</grupp>
      <undergrupp>Olyckor</undergrupp>
    </Indelning>
  </Omfattning>
  <Omfattning>
    <identitet>ko_riskförelektromagnetiskstrålning01</identitet>
    <Lage>
      <planomrade>true</planomrade>
    </Lage>
    <Indelning>
      <tema>Konsekvenser</tema>
      <grupp>Hälsa och säkerhet</grupp>
      <undergrupp>Risk för elektromagnetisk strålning</undergrupp>
    </Indelning>
  </Omfattning>
  <Omfattning>
    <identitet>ko_översvämning01</identitet>
    <Lage>
      <planomrade>true</planomrade>
    </Lage>
    <Indelning>
      <tema>Konsekvenser</tema>
      <grupp>Hälsa och säkerhet</grupp>
      <undergrupp>Översvämning</undergrupp>
    </Indelning>
  </Omfattning>
  <Omfattning>
    <identitet>ko_erosion01</identitet>
    <Lage>
      <planomrade>true</planomrade>
    </Lage>
    <Indelning>
      <tema>Konsekvenser</tema>
      <grupp>Hälsa och säkerhet</grupp>
      <undergrupp>Erosion</undergrupp>
    </Indelning>
  </Omfattning>
  <Omfattning>
    <identitet>ko_ras01</identitet>
    <Lage>
      <planomrade>true</planomrade>
    </Lage>
    <Indelning>
      <tema>Konsekvenser</tema>
      <grupp>Hälsa och säkerhet</grupp>
      <undergrupp>Ras</undergrupp>
    </Indelning>
  </Omfattning>
  <Omfattning>
    <identitet>ko_skred01</identitet>
    <Lage>
      <planomrade>true</planomrade>
    </Lage>
    <Indelning>
      <tema>Konsekvenser</tema>
      <grupp>Hälsa och säkerhet</grupp>
      <undergrupp>Skred</undergrupp>
    </Indelning>
  </Omfattning>
  <Omfattning>
    <identitet>ko_dagvatten01</identitet>
    <Lage>
      <planomrade>true</planomrade>
    </Lage>
    <Indelning>
      <tema>Konsekvenser</tema>
      <grupp>Miljö</grupp>
      <undergrupp>Dagvatten</undergrupp>
    </Indelning>
  </Omfattning>
  <Omfattning>
    <identitet>ko_förorenadmark01</identitet>
    <Lage>
      <planomrade>true</planomrade>
    </Lage>
    <Indelning>
      <tema>Konsekvenser</tema>
      <grupp>Hälsa och säkerhet</grupp>
      <undergrupp>Förorenad mark</undergrupp>
    </Indelning>
  </Omfattning>
  <Omfattning>
    <identitet>ko_brandutrymning01</identitet>
    <Lage>
      <planomrade>true</planomrade>
    </Lage>
    <Indelning>
      <tema>Konsekvenser</tema>
      <grupp>Hälsa och säkerhet</grupp>
      <undergrupp>Brandutrymning</undergrupp>
    </Indelning>
  </Omfattning>
  <Omfattning>
    <identitet>ko_service01</identitet>
    <Lage>
      <planomrade>true</planomrade>
    </Lage>
    <Indelning>
      <tema>Konsekvenser</tema>
      <grupp>Annat</grupp>
      <undergrupp>Service</undergrupp>
    </Indelning>
  </Omfattning>
  <Omfattning>
    <identitet>ko_tekniskinfrastruktur01</identitet>
    <Lage>
      <planomrade>true</planomrade>
    </Lage>
    <Indelning>
      <tema>Konsekvenser</tema>
      <grupp>Annat</grupp>
      <undergrupp>Teknisk infrastruktur</undergrupp>
    </Indelning>
  </Omfattning>
  <Omfattning>
    <identitet>ko_trafik01</identitet>
    <Lage>
      <planomrade>true</planomrade>
    </Lage>
    <Indelning>
      <tema>Konsekvenser</tema>
      <grupp>Trafik</grupp>
    </Indelning>
  </Omfattning>
  <Omfattning>
    <identitet>gf_markochutrymmesförvärv01</identitet>
    <Lage>
      <planomrade>true</planomrade>
    </Lage>
    <Indelning>
      <tema>Genomförandefrågor</tema>
      <grupp>Mark- och utrymmesförvärv</grupp>
    </Indelning>
  </Omfattning>
  <Omfattning>
    <identitet>gf_fastighetsrättsligafrågor01</identitet>
    <Lage>
      <planomrade>true</planomrade>
    </Lage>
    <Indelning>
      <tema>Genomförandefrågor</tema>
      <grupp>Fastighetsrättsliga frågor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gf_rättigheter01</identitet>
    <Lage>
      <planomrade>true</planomrade>
    </Lage>
    <Indelning>
      <tema>Genomförandefrågor</tema>
      <grupp>Fastighetsrättsliga frågor</grupp>
      <undergrupp>Rättigheter</undergrupp>
    </Indelning>
  </Omfattning>
  <Omfattning>
    <identitet>gf_markägoförhållanden01</identitet>
    <Lage>
      <planomrade>true</planomrade>
    </Lage>
    <Indelning>
      <tema>Genomförandefrågor</tema>
      <grupp>Fastighetsrättsliga frågor</grupp>
      <undergrupp>Markägoförhållanden</undergrupp>
    </Indelning>
  </Omfattning>
  <Omfattning>
    <identitet>gf_tekniskafrågor01</identitet>
    <Lage>
      <planomrade>true</planomrade>
    </Lage>
    <Indelning>
      <tema>Genomförandefrågor</tema>
      <grupp>Tekniska frågor</grupp>
    </Indelning>
  </Omfattning>
  <Omfattning>
    <identitet>gf_utbyggnadallmänplats01</identitet>
    <Lage>
      <planomrade>true</planomrade>
    </Lage>
    <Indelning>
      <tema>Genomförandefrågor</tema>
      <grupp>Tekniska frågor</grupp>
      <undergrupp>Utbyggnad allmän plats</und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gf_dagvatten01</identitet>
    <Lage>
      <planomrade>true</planomrade>
    </Lage>
    <Indelning>
      <tema>Genomförandefrågor</tema>
      <grupp>Tekniska frågor</grupp>
      <undergrupp>Dagvatten</undergrupp>
    </Indelning>
  </Omfattning>
  <Omfattning>
    <identitet>gf_elförsörjningochfibernät01</identitet>
    <Lage>
      <planomrade>true</planomrade>
    </Lage>
    <Indelning>
      <tema>Genomförandefrågor</tema>
      <grupp>Tekniska frågor</grupp>
      <undergrupp>Elförsörjning och fibernät</undergrupp>
    </Indelning>
  </Omfattning>
  <Omfattning>
    <identitet>gf_fjärrvärme01</identitet>
    <Lage>
      <planomrade>true</planomrade>
    </Lage>
    <Indelning>
      <tema>Genomförandefrågor</tema>
      <grupp>Tekniska frågor</grupp>
      <undergrupp>Fjärrvärme</undergrupp>
    </Indelning>
  </Omfattning>
  <Omfattning>
    <identitet>gf_kvartersmark01</identitet>
    <Lage>
      <planomrade>true</planomrade>
    </Lage>
    <Indelning>
      <tema>Genomförandefrågor</tema>
      <grupp>Tekniska frågor</grupp>
      <undergrupp>Kvartersmark</undergrupp>
    </Indelning>
  </Omfattning>
  <Omfattning>
    <identitet>gf_planekonomiskbedömning01</identitet>
    <Lage>
      <planomrade>true</planomrade>
    </Lage>
    <Indelning>
      <tema>Genomförandefrågor</tema>
      <grupp>Ekonomiska frågor</grupp>
      <undergrupp>Planekonomisk bedömning</undergrupp>
    </Indelning>
  </Omfattning>
  <Omfattning>
    <identitet>gf_planavgift01</identitet>
    <Lage>
      <planomrade>true</planomrade>
    </Lage>
    <Indelning>
      <tema>Genomförandefrågor</tema>
      <grupp>Ekonomiska frågor</grupp>
      <undergrupp>Planavgift</undergrupp>
    </Indelning>
  </Omfattning>
  <Omfattning>
    <identitet>gf_ersättningsanspråk01</identitet>
    <Lage>
      <planomrade>true</planomrade>
    </Lage>
    <Indelning>
      <tema>Genomförandefrågor</tema>
      <grupp>Ekonomiska frågor</grupp>
      <undergrupp>Ersättningsanspråk</undergrupp>
    </Indelning>
  </Omfattning>
  <Omfattning>
    <identitet>gf_inlösen01</identitet>
    <Lage>
      <planomrade>true</planomrade>
    </Lage>
    <Indelning>
      <tema>Genomförandefrågor</tema>
      <grupp>Ekonomiska frågor</grupp>
      <undergrupp>Inlösen</undergrupp>
    </Indelning>
  </Omfattning>
  <Omfattning>
    <identitet>gf_gatukostnader01</identitet>
    <Lage>
      <planomrade>true</planomrade>
    </Lage>
    <Indelning>
      <tema>Genomförandefrågor</tema>
      <grupp>Ekonomiska frågor</grupp>
      <undergrupp>Gatukostnader</undergrupp>
    </Indelning>
  </Omfattning>
  <Omfattning>
    <identitet>gf_gemensamhetsanläggningar01</identitet>
    <Lage>
      <planomrade>true</planomrade>
    </Lage>
    <Indelning>
      <tema>Genomförandefrågor</tema>
      <grupp>Ekonomiska frågor</grupp>
      <undergrupp>Gemensamhetsanläggningar</undergrupp>
    </Indelning>
  </Omfattning>
  <Omfattning>
    <identitet>gf_driftallmänplats01</identitet>
    <Lage>
      <planomrade>true</planomrade>
    </Lage>
    <Indelning>
      <tema>Genomförandefrågor</tema>
      <grupp>Ekonomiska frågor</grupp>
      <undergrupp>Drift allmän plats</undergrupp>
    </Indelning>
  </Omfattning>
  <Omfattning>
    <identitet>gf_driftvattenochavlopp01</identitet>
    <Lage>
      <planomrade>true</planomrade>
    </Lage>
    <Indelning>
      <tema>Genomförandefrågor</tema>
      <grupp>Ekonomiska frågor</grupp>
      <undergrupp>Drift vatten och avlopp</undergrupp>
    </Indelning>
  </Omfattning>
  <Omfattning>
    <identitet>gf_organisatoriskafrågor01</identitet>
    <Lage>
      <planomrade>true</planomrade>
    </Lage>
    <Indelning>
      <tema>Genomförandefrågor</tema>
      <grupp>Organisatoriska frågor</grupp>
    </Indelning>
  </Omfattning>
  <Omfattning>
    <identitet>gf_exploateringsavtal01</identitet>
    <Lage>
      <planomrade>true</planomrade>
    </Lage>
    <Indelning>
      <tema>Genomförandefrågor</tema>
      <grupp>Organisatoriska frågor</grupp>
      <undergrupp>Exploateringsavtal</undergrupp>
    </Indelning>
  </Omfattning>
  <Omfattning>
    <identitet>gf_huvudmannaskap01</identitet>
    <Lage>
      <planomrade>true</planomrade>
    </Lage>
    <Indelning>
      <tema>Genomförandefrågor</tema>
      <grupp>Organisatoriska frågor</grupp>
      <undergrupp>Huvudmannaskap</undergrupp>
    </Indelning>
  </Omfattning>
  <Omfattning>
    <identitet>gf_tidplan01</identitet>
    <Lage>
      <planomrade>true</planomrade>
    </Lage>
    <Indelning>
      <tema>Genomförandefrågor</tema>
      <grupp>Organisatoriska frågor</grupp>
      <undergrupp>Tidplan</undergrupp>
    </Indelning>
  </Omfattning>
  <Omfattning>
    <identitet>gf_prövningenlannanlagstiftning01</identitet>
    <Lage>
      <planomrade>true</planomrade>
    </Lage>
    <Indelning>
      <tema>Genomförandefrågor</tema>
      <grupp>Prövning enligt annan lagstiftning</grupp>
    </Indelning>
  </Omfattning>
  <Omfattning>
    <identitet>pu_regionala01</identitet>
    <Lage>
      <planomrade>true</planomrade>
    </Lage>
    <Indelning>
      <tema>Planeringsunderlag</tema>
      <grupp>Regionala</grupp>
    </Indelning>
  </Omfattning>
  <Omfattning>
    <identitet>pu_detaljplan01</identitet>
    <Lage>
      <planomrade>true</planomrade>
    </Lage>
    <Indelning>
      <tema>Planeringsunderlag</tema>
      <grupp>Kommunala</grupp>
      <undergrupp>Detaljplan</undergrupp>
    </Indelning>
  </Omfattning>
  <Omfattning>
    <identitet>pu_kommunala01</identitet>
    <Lage>
      <planomrade>true</planomrade>
    </Lage>
    <Indelning>
      <tema>Planeringsunderlag</tema>
      <grupp>Kommunala</grupp>
    </Indelning>
  </Omfattning>
  <Omfattning>
    <identitet>pu_planprogram01</identitet>
    <Lage>
      <planomrade>true</planomrade>
    </Lage>
    <Indelning>
      <tema>Planeringsunderlag</tema>
      <grupp>Kommunala</grupp>
      <undergrupp>Planprogram</undergrupp>
    </Indelning>
  </Omfattning>
  <Omfattning>
    <identitet>pu_grundkarta01</identitet>
    <Lage>
      <planomrade>true</planomrade>
    </Lage>
    <Indelning>
      <tema>Planeringsunderlag</tema>
      <grupp>Kommunala</grupp>
      <undergrupp>Grundkarta</undergrupp>
    </Indelning>
  </Omfattning>
  <Omfattning>
    <identitet>pu_översiktsplan01</identitet>
    <Lage>
      <planomrade>true</planomrade>
    </Lage>
    <Indelning>
      <tema>Planeringsunderlag</tema>
      <grupp>Kommunala</grupp>
      <undergrupp>Översiktsplan</under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pu_ekosystemtjänster01</identitet>
    <Lage>
      <planomrade>true</planomrade>
    </Lage>
    <Indelning>
      <tema>Planeringsunderlag</tema>
      <grupp>Utredningar</grupp>
      <undergrupp>Ekosystemtjänster</undergrupp>
    </Indelning>
  </Omfattning>
  <Omfattning>
    <identitet>pu_övrigakommunaladokument01</identitet>
    <Lage>
      <planomrade>true</planomrade>
    </Lage>
    <Indelning>
      <tema>Planeringsunderlag</tema>
      <grupp>Kommunala</grupp>
      <undergrupp>Övriga kommunala dokument</undergrupp>
    </Indelning>
  </Omfattning>
  <Omfattning>
    <identitet>pu_utredningar01</identitet>
    <Lage>
      <planomrade>true</planomrade>
    </Lage>
    <Indelning>
      <tema>Planeringsunderlag</tema>
      <grupp>Utredningar</grupp>
    </Indelning>
  </Omfattning>
  <Omfattning>
    <identitet>pu_dagvattenutredning01</identitet>
    <Lage>
      <planomrade>true</planomrade>
    </Lage>
    <Indelning>
      <tema>Planeringsunderlag</tema>
      <grupp>Utredningar</grupp>
      <undergrupp>Dagvattenutredning</undergrupp>
    </Indelning>
  </Omfattning>
  <Omfattning>
    <identitet>pu_hydrogeologiskutredning01</identitet>
    <Lage>
      <planomrade>true</planomrade>
    </Lage>
    <Indelning>
      <tema>Planeringsunderlag</tema>
      <grupp>Utredningar</grupp>
      <undergrupp>Hydrogeologisk utredning</undergrupp>
    </Indelning>
  </Omfattning>
  <Omfattning>
    <identitet>pu_geotekniskutredning01</identitet>
    <Lage>
      <planomrade>true</planomrade>
    </Lage>
    <Indelning>
      <tema>Planeringsunderlag</tema>
      <grupp>Utredningar</grupp>
      <undergrupp>Geoteknisk utredning</undergrupp>
    </Indelning>
  </Omfattning>
  <Omfattning>
    <identitet>pu_naturinventering01</identitet>
    <Lage>
      <planomrade>true</planomrade>
    </Lage>
    <Indelning>
      <tema>Planeringsunderlag</tema>
      <grupp>Utredningar</grupp>
      <undergrupp>Naturinventering</undergrupp>
    </Indelning>
  </Omfattning>
  <Omfattning>
    <identitet>pu_markmiljöutredning01</identitet>
    <Lage>
      <planomrade>true</planomrade>
    </Lage>
    <Indelning>
      <tema>Planeringsunderlag</tema>
      <grupp>Utredningar</grupp>
      <undergrupp>Markmiljöutredning</undergrupp>
    </Indelning>
  </Omfattning>
  <Omfattning>
    <identitet>pu_bullerutredning01</identitet>
    <Lage>
      <planomrade>true</planomrade>
    </Lage>
    <Indelning>
      <tema>Planeringsunderlag</tema>
      <grupp>Utredningar</grupp>
      <undergrupp>Bullerutredning</undergrupp>
    </Indelning>
  </Omfattning>
  <Omfattning>
    <identitet>pu_riskutredning01</identitet>
    <Lage>
      <planomrade>true</planomrade>
    </Lage>
    <Indelning>
      <tema>Planeringsunderlag</tema>
      <grupp>Utredningar</grupp>
      <undergrupp>Riskutredning</undergrupp>
    </Indelning>
  </Omfattning>
  <Omfattning>
    <identitet>pu_trafikutredning01</identitet>
    <Lage>
      <planomrade>true</planomrade>
    </Lage>
    <Indelning>
      <tema>Planeringsunderlag</tema>
      <grupp>Utredningar</grupp>
      <undergrupp>Trafikutredning</undergrupp>
    </Indelning>
  </Omfattning>
  <Omfattning>
    <identitet>pu_kulturmiljöutredning01</identitet>
    <Lage>
      <planomrade>true</planomrade>
    </Lage>
    <Indelning>
      <tema>Planeringsunderlag</tema>
      <grupp>Utredningar</grupp>
      <undergrupp>Kulturmiljöutredning</undergrupp>
    </Indelning>
  </Omfattning>
  <Omfattning>
    <identitet>pu_förprojektering01</identitet>
    <Lage>
      <planomrade>true</planomrade>
    </Lage>
    <Indelning>
      <tema>Planeringsunderlag</tema>
      <grupp>Utredningar</grupp>
      <undergrupp>Förprojektering</undergrupp>
    </Indelning>
  </Omfattning>
  <Omfattning>
    <identitet>pf_naturvärden01</identitet>
    <Lage>
      <planomrade>true</planomrade>
    </Lage>
    <Indelning>
      <tema>Planeringsförutsättningar</tema>
      <grupp>Fysisk miljö</grupp>
      <undergrupp>Naturvärden</undergrupp>
    </Indelning>
  </Omfattning>
  <Omfattning>
    <identitet>pf_grönområden01</identitet>
    <Lage>
      <planomrade>true</planomrade>
    </Lage>
    <Indelning>
      <tema>Planeringsförutsättningar</tema>
      <grupp>Sociala</grupp>
      <undergrupp>Grönområden</undergrupp>
    </Indelning>
  </Omfattning>
  <Omfattning>
    <identitet>mo_motivtillreglering01</identitet>
    <Lage>
      <lmg:Yta>
        <lmg:absolutLagesosakerhetPlan>0</lmg:absolutLagesosakerhetPlan>
        <lmg:absolutLagesosakerhetHojd>0</lmg:absolutLagesosakerhetHojd>
        <lmg:hojdsystem>RH 2000</lmg:hojdsystem>
        <gml:Polygon gml:id="ID_561e9c2b-2cd6-4271-b8b0-e4f28207e118" srsName="EPSG:3011" srsDimension="2">
          <gml:exterior>
            <gml:LinearRing gml:id="ID_2829ca08-c29b-4752-b1dd-99127cad0737">
              <gml:posList>6626271.549 138729.706 6626261.245 138721.19 6626261.246 138721.185 6626256.336 138717.127 6626251.677 138713.276 6626231.621 138696.7 6626231.031 138696.212 6626229.589 138695.02 6626229.569 138695.003 6626229.563 138694.998 6626222.138 138677.825 6626210.969 138651.991 6626210.521 138650.956 6626209.976 138649.696 6626209.529 138648.661 6626199.741 138652.594 6626166.819 138665.825 6626163.373 138660.613 6626161.194 138657.316 6626179.979 138649.698 6626196.387 138642.97 6626198.399 138642.146 6626203.681 138639.981 6626207.743 138638.315 6626210.02 138637.382 6626210.444 138634.931 6626210.527 138634.454 6626211.113 138626.003 6626211.902 138623.399 6626213.205 138621.009 6626214.932 138618.968 6626217.033 138617.313 6626219.422 138616.113 6626222.004 138615.415 6626225.252 138615.283 6626226.841 138615.512 6626226.868 138615.517 6626226.882 138615.519 6626226.897 138615.523 6626228.45 138615.948 6626228.744 138616.082 6626230.331 138616.809 6626230.895 138617.067 6626232.525 138618.262 6626233.071 138618.662 6626234.879 138620.66 6626236.246 138622.981 6626236.247 138622.984 6626237.121 138625.547 6626237.122 138625.552 6626237.123 138625.557 6626237.457 138628.241 6626237.458 138628.244 6626237.458 138628.248 6626237.458 138628.253 6626237.167 138631.311 6626237.166 138631.317 6626237.164 138631.323 6626236.178 138634.231 6626236.176 138634.236 6626236.173 138634.241 6626234.542 138636.845 6626234.539 138636.849 6626234.536 138636.853 6626232.349 138639.012 6626232.346 138639.014 6626232.34 138639.019 6626230.794 138640.058 6626230.788 138640.062 6626229.802 138640.519 6626218.814 138644.931 6626219.057 138645.492 6626219.796 138647.201 6626219.807 138647.227 6626231.496 138674.262 6626233.413 138678.697 6626236.362 138685.516 6626240.574 138691.125 6626253.919 138702.155 6626259.472 138706.745 6626267.617 138713.477 6626267.616 138713.482 6626274.912 138719.512 6626279.323 138723.158 6626292.868 138734.353 6626293.766 138735.095 6626293.991 138735.281 6626297.584 138738.25 6626314.116 138751.914 6626315.12 138752.744 6626317.528 138754.735 6626317.896 138755.039 6626321.73 138758.207 6626322.25 138759.189 6626323.346 138761.256 6626324.059 138762.601 6626324.529 138767.551 6626323.069 138772.305 6626321.486 138774.222 6626319.901 138776.138 6626315.507 138778.467 6626315.071 138778.509 6626310.557 138778.938 6626305.803 138777.478 6626301.97 138774.309 6626301.45 138771.402 6626300.699 138767.201 6626297.889 138751.476 6626295.902 138749.833 6626291.028 138745.806 6626280.305 138736.943 6626273.169 138731.045 6626271.549 138729.706</gml:posList>
            </gml:LinearRing>
          </gml:exterior>
        </gml:Polygon>
      </lmg:Yta>
      <planbestammelsereferens>86c751d0-913c-4d5b-b3fe-5ced6643a661</planbestammelsereferens>
    </Lage>
    <Lage>
      <lmg:Yta>
        <lmg:absolutLagesosakerhetPlan>0</lmg:absolutLagesosakerhetPlan>
        <lmg:absolutLagesosakerhetHojd>0</lmg:absolutLagesosakerhetHojd>
        <lmg:hojdsystem>RH 2000</lmg:hojdsystem>
        <gml:Polygon gml:id="ID_fe0abe98-7129-484f-9c68-a52078b0f2aa" srsName="EPSG:3011" srsDimension="2">
          <gml:exterior>
            <gml:LinearRing gml:id="ID_5f0b31d0-0db0-4598-82b1-fc945f763a73">
              <gml:posList>6626412.838 138358.84 6626412.749 138363.704 6626412.863 138368.567 6626413.18 138373.423 6626413.649 138378.336 6626414.216 138383.238 6626415.644 138393.004 6626416.776 138398.358 6626416.962 138399.232 6626422.786 138397.36 6626423.366 138397.173 6626425.793 138396.717 6626431.719 138395.602 6626432.568 138395.442 6626433.702 138395.333 6626439.94 138394.737 6626443.263 138394.419 6626454.062 138394.437 6626459.584 138395.058 6626461.532 138395.278 6626464.741 138395.639 6626467.049 138396.323 6626468.921 138396.878 6626474.053 138398.4 6626478.366 138400.688 6626478.657 138400.842 6626479.187 138401.123 6626480.124 138401.787 6626481.548 138402.798 6626483.91 138404.472 6626484.234 138404.798 6626486.836 138407.408 6626488.819 138409.543 6626492.345 138414.181 6626494.445 138417.571 6626495.446 138419.185 6626495.769 138419.879 6626496.527 138421.511 6626497.884 138424.433 6626498.43 138425.915 6626498.537 138426.204 6626499.896 138429.888 6626500.455 138432.161 6626501.234 138435.333 6626502.261 138440.556 6626503.089 138445.828 6626503.694 138451.13 6626503.975 138455.045 6626504.076 138456.452 6626504.234 138461.796 6626504.188 138467.123 6626503.717 138474.763 6626503.53 138476.353 6626503.002 138480.305 6626501.75 138490.226 6626501.232 138494.331 6626500.584 138499.063 6626500.508 138499.706 6626499.829 138505.443 6626499.799 138505.796 6626499.392 138509.692 6626499.167 138514.248 6626499.167 138514.386 6626499.175 138515.845 6626499.191 138518.809 6626499.466 138523.361 6626499.989 138527.892 6626500.76 138532.388 6626501.617 138536.141 6626501.775 138536.834 6626501.988 138537.534 6626502.19 138538.2 6626502.422 138538.96 6626503.656 138543.018 6626504.451 138545.634 6626504.55 138545.957 6626507.036 138553.722 6626507.092 138553.899 6626507.599 138555.481 6626509.078 138560.288 6626509.166 138560.575 6626509.794 138562.858 6626509.914 138563.293 6626510.266 138565.123 6626510.451 138566.081 6626510.977 138568.813 6626511.628 138574.417 6626511.815 138580.04 6626511.529 138585.433 6626510.98 138590.262 6626510.869 138591.243 6626510.07 138595.145 6626509.916 138595.9 6626509.746 138596.732 6626508.994 138599.352 6626507.998 138602.822 6626507.478 138604.636 6626506.481 138607.197 6626505.697 138609.211 6626503.499 138614.858 6626501.012 138619.21 6626499.079 138622.592 6626498.056 138624.382 6626497.714 138624.871 6626491.976 138633.081 6626491.692 138633.446 6626490.032 138635.574 6626489.751 138635.868 6626487.067 138638.676 6626480.254 138644.787 6626474.191 138650.226 6626470.152 138653.559 6626468.311 138655.079 6626466.335 138656.377 6626463.161 138658.461 6626460.023 138660.523 6626457.067 138661.646 6626454.744 138662.529 6626452.62 138663.336 6626451.712 138663.53 6626449.579 138663.988 6626447.34 138664.469 6626446.516 138664.646 6626444.989 138664.973 6626440.143 138664.972 6626438.982 138664.971 6626434.846 138664.97 6626434.62 138664.909 6626431.129 138663.968 6626429.526 138663.536 6626423.892 138662.017 6626422.677 138661.495 6626419.206 138660.003 6626413.003 138657.337 6626406.717 138653.72 6626406.24 138653.411 6626399.338 138648.938 6626391.102 138643.264 6626386.956 138640.47 6626386.517 138640.157 6626382.718 138637.453 6626374.225 138631.379 6626366.415 138625.134 6626358.463 138618.612 6626357.555 138617.83 6626354.672 138615.352 6626346.609 138608.418 6626346.598 138608.408 6626345.001 138607.035 6626343.603 138605.649 6626335.895 138598.009 6626335.168 138597.274 6626333.384 138595.467 6626328.598 138590.355 6626321.924 138582.139 6626315.876 138573.455 6626310.456 138564.47 6626305.573 138554.856 6626304.245 138551.257 6626302.577 138546.74 6626301.322 138543.342 6626299.742 138536.49 6626298.644 138527.725 6626299.438 138516.171 6626300.937 138510.577 6626301.873 138507.259 6626304.083 138501.428 6626304.781 138499.588 6626304.382 138499.384 6626302.708 138498.528 6626298.314 138496.444 6626293.851 138494.626 6626289.292 138493.068 6626287.015 138492.421 6626284.617 138491.739 6626279.786 138490.45 6626274.955 138489.162 6626272.201 138488.427 6626270.124 138487.873 6626268.59 138487.461 6626264.75 138486.429 6626261.364 138485.526 6626257.706 138484.557 6626255.631 138484.007 6626250.802 138482.709 6626241.14 138480.132 6626236.496 138478.888 6626233.806 138478.167 6626231.631 138477.459 6626228.932 138476.58 6626224.101 138474.867 6626219.362 138472.915 6626218.191 138472.395 6626214.677 138470.835 6626210.092 138468.542 6626205.59 138466.091 6626201.206 138463.436 6626196.895 138460.663 6626192.727 138457.679 6626188.642 138454.583 6626188.281 138454.282 6626185.207 138451.722 6626184.704 138451.302 6626180.885 138447.883 6626177.203 138444.316 6626173.676 138440.597 6626171.972 138438.685 6626168.662 138435.083 6626165.241 138431.588 6626161.705 138428.208 6626158.059 138424.947 6626154.307 138421.811 6626150.452 138418.801 6626146.498 138415.921 6626142.451 138413.174 6626138.32 138410.555 6626134.093 138408.093 6626129.814 138405.764 6626127.923 138404.825 6626126.132 138403.936 6626125.416 138403.58 6626121.189 138401.636 6626120.923 138401.513 6626120.554 138401.355 6626119.114 138400.739 6626118.724 138400.572 6626116.511 138399.667 6626111.887 138397.912 6626107.259 138396.328 6626102.581 138394.901 6626097.858 138393.629 6626093.094 138392.516 6626088.297 138391.562 6626083.545 138390.781 6626078.603 138390.131 6626073.554 138389.53 6626057.076 138387.571 6626019.023 138383.045 6626006.543 138381.559 6626001.499 138380.749 6625996.478 138379.805 6625991.498 138378.661 6625986.552 138377.384 6625981.661 138375.906 6625976.807 138374.312 6625972.028 138372.507 6625967.291 138370.593 6625962.634 138368.492 6625958.046 138366.243 6625953.545 138363.827 6625949.109 138361.292 6625946.949 138359.94 6625942.697 138357.31 6625923.562 138345.474 6625919.493 138342.986 6625918.806 138342.566 6625917.163 138341.561 6625915.473 138340.661 6625914.952 138340.384 6625913.573 138339.743 6625912.597 138341.31 6625911.664 138342.808 6625910.753 138344.272 6625910.276 138345.036 6625910.07 138344.906 6625907.555 138343.332 6625905.592 138342.103 6625905.266 138341.899 6625899.594 138338.348 6625894.033 138334.866 6625888.505 138331.406 6625886.87 138330.382 6625887.314 138329.639 6625889.291 138326.334 6625896.281 138315.104 6625901.19 138307.668 6625901.82 138306.713 6625903.238 138307.659 6625908.799 138311.368 6625914.128 138314.923 6625919.873 138318.756 6625922.293 138320.37 6625924.7 138321.976 6625924.978 138322.162 6625922.511 138325.861 6625921.758 138326.989 6625921.783 138327.099 6625922.11 138328.543 6625922.152 138328.728 6625925.393 138330.733 6625926.214 138331.241 6625949.798 138345.829 6625954.051 138348.459 6625958.065 138350.861 6625962.14 138353.118 6625966.287 138355.238 6625970.503 138357.219 6625974.783 138359.058 6625979.122 138360.754 6625983.514 138362.304 6625987.956 138363.706 6625992.442 138364.96 6625996.968 138366.064 6626001.528 138367.016 6626006.116 138367.816 6626010.73 138368.462 6626020.617 138369.639 6626075.232 138376.135 6626082.794 138377.034 6626088.082 138377.788 6626093.339 138378.746 6626098.56 138379.875 6626103.737 138381.194 6626108.877 138382.651 6626113.96 138384.296 6626118.985 138386.109 6626123.947 138388.088 6626128.841 138390.232 6626129.103 138390.359 6626129.42 138390.512 6626131.96 138391.737 6626132.059 138391.785 6626133.652 138392.554 6626135.906 138393.717 6626136.026 138393.778 6626136.147 138393.875 6626136.964 138394.527 6626138.147 138395.47 6626140.232 138397.193 6626142.281 138398.946 6626144.294 138400.729 6626146.536 138402.118 6626148.72 138403.521 6626151.136 138404.732 6626153.503 138405.96 6626155.853 138407.233 6626157.704 138408.276 6626158.186 138408.547 6626160.501 138409.904 6626162.797 138411.302 6626164.861 138412.998 6626165.154 138413.247 6626168.931 138416.458 6626172.832 138420.108 6626176.644 138423.851 6626180.317 138427.731 6626183.625 138431.449 6626185.2 138433.129 6626188.445 138436.397 6626191.814 138439.537 6626195.3 138442.546 6626198.9 138445.418 6626202.608 138448.15 6626206.418 138450.738 6626210.325 138453.176 6626214.323 138455.463 6626218.405 138457.595 6626221.335 138458.984 6626222.567 138459.568 6626226.801 138461.379 6626231.102 138463.026 6626235.463 138464.507 6626239.878 138465.818 6626242.544 138466.532 6626242.547 138466.533 6626244.619 138467.088 6626268.774 138473.531 6626273.89 138474.895 6626273.896 138474.897 6626283.268 138477.396 6626289.285 138479.001 6626290.664 138479.369 6626295.993 138480.993 6626301.198 138482.98 6626303.774 138484.041 6626305.991 138485.105 6626307.296 138485.732 6626308.88 138485.184 6626311.164 138481.129 6626313.426 138477.941 6626316.661 138473.566 6626319.309 138470.546 6626322.332 138467.098 6626323.502 138465.764 6626325.25 138464.092 6626326.062 138463.315 6626327.941 138461.517 6626329.675 138459.858 6626329.744 138459.791 6626331.683 138457.936 6626331.99 138457.643 6626332.155 138457.501 6626339.558 138451.138 6626350.015 138442.109 6626350.474 138441.713 6626351.697 138440.728 6626351.699 138440.726 6626356.661 138436.733 6626366.919 138428.484 6626386.636 138413.114 6626388.206 138411.87 6626392.879 138408.165 6626393.573 138407.732 6626400.899 138403.165 6626404.894 138401.049 6626404.325 138397.98 6626404.022 138396.34 6626402.957 138389.871 6626402.675 138387.653 6626401.654 138379.603 6626400.808 138369.475 6626400.777 138369.102 6626400.776 138368.82 6626400.72 138359.502 6626400.713 138358.368 6626400.855 138356.907 6626401.328 138352.044 6626401.618 138349.067 6626401.818 138347.015 6626402.798 138343.805 6626405.051 138336.422 6626405.17 138336.035 6626405.327 138335.69 6626409.324 138326.952 6626412.811 138321.237 6626414.978 138317.687 6626415.461 138316.896 6626416.569 138315.439 6626420.996 138309.622 6626421.178 138309.383 6626421.296 138309.243 6626428.305 138300.969 6626428.893 138300.275 6626439.218 138288.83 6626439.334 138288.941 6626440.112 138288.144 6626445.659 138282.459 6626446.509 138281.588 6626447.057 138281.071 6626452.571 138275.877 6626454.02 138274.512 6626462.412 138267.427 6626465.266 138265.664 6626471.755 138261.655 6626479.315 138257.729 6626479.489 138257.638 6626479.738 138257.55 6626484.679 138255.809 6626486.022 138255.335 6626491.74 138253.77 6626492.064 138253.699 6626494.972 138253.061 6626501.82 138251.975 6626502.9 138251.804 6626504.549 138251.679 6626510.721 138251.214 6626514.056 138250.962 6626521.651 138250.761 6626521.816 138250.757 6626521.821 138250.757 6626522.007 138250.752 6626522.012 138250.779 6626522.04 138250.913 6626524.375 138262.009 6626524.523 138262.713 6626524.524 138262.717 6626524.03 138262.727 6626519.613 138262.82 6626514.67 138263.022 6626513.097 138263.118 6626509.745 138263.323 6626504.896 138263.756 6626500.087 138264.404 6626495.332 138265.277 6626490.747 138266.432 6626486.276 138267.973 6626481.1 138270.304 6626477.711 138272.142 6626473.583 138274.629 6626469.61 138277.356 6626465.782 138280.284 6626462.128 138283.427 6626458.521 138286.791 6626454.956 138290.224 6626451.445 138293.712 6626447.989 138297.255 6626444.588 138300.851 6626441.244 138304.499 6626437.958 138308.2 6626434.729 138311.951 6626431.56 138315.752 6626428.51 138319.57 6626425.67 138323.486 6626423.028 138327.539 6626420.592 138331.718 6626418.382 138335.994 6626416.523 138340.342 6626415.03 138344.829 6626413.914 138349.425 6626413.184 138354.097 6626412.838 138358.84</gml:posList>
            </gml:LinearRing>
          </gml:exterior>
          <gml:interior>
            <gml:LinearRing gml:id="ID_0e3e6030-896c-45e9-9963-45d782f7a6fa">
              <gml:posList>6626406.933 138415.312 6626402.72 138417.937 6626398.88 138420.688 6626394.99 138423.719 6626390.993 138426.836 6626383.106 138432.983 6626375.22 138439.13 6626375.206 138439.141 6626367.463 138445.369 6626361.135 138450.462 6626359.673 138451.638 6626359.667 138451.643 6626352.166 138458.087 6626344.598 138464.623 6626337.318 138471.228 6626335.821 138472.779 6626330.566 138478.221 6626327.344 138481.966 6626324.439 138485.749 6626321.829 138489.743 6626319.53 138493.923 6626317.759 138497.557 6626317.442 138498.209 6626317.356 138498.385 6626316.545 138500.139 6626315.374 138502.675 6626313 138508.94 6626311.544 138513.494 6626310.564 138518.026 6626310.218 138520.978 6626310.217 138520.985 6626310.142 138521.621 6626310.02 138522.965 6626310.004 138523.234 6626309.92 138527.41 6626310.265 138531.926 6626310.363 138532.588 6626310.441 138533.036 6626310.864 138535.453 6626311.089 138536.742 6626311.534 138538.354 6626311.69 138538.917 6626312.074 138540.309 6626312.343 138541.281 6626312.474 138541.622 6626312.894 138542.716 6626315.823 138550.34 6626319.953 138558.61 6626320.024 138558.752 6626320.16 138559.024 6626320.409 138559.439 6626320.542 138559.659 6626322.521 138562.95 6626323.731 138564.961 6626325.219 138567.436 6626330.809 138575.463 6626336.963 138583.066 6626340.587 138586.938 6626343.649 138590.207 6626350.749 138597.242 6626358.053 138603.751 6626362.298 138607.401 6626364.609 138609.389 6626365.635 138610.271 6626373.285 138616.542 6626378.136 138620.417 6626381.098 138622.783 6626381.667 138623.19 6626383.239 138624.311 6626386.043 138626.312 6626389.103 138628.495 6626390.93 138629.762 6626397.296 138634.174 6626405.546 138639.745 6626412.477 138644.213 6626413.318 138644.756 6626413.775 138645.05 6626414.41 138645.397 6626418.774 138647.777 6626418.946 138647.871 6626422.376 138649.392 6626422.65 138649.501 6626426.859 138651.162 6626429.179 138651.922 6626430.281 138652.283 6626431.44 138652.662 6626431.874 138652.757 6626433.637 138653.145 6626433.763 138653.172 6626433.845 138653.19 6626434.227 138653.274 6626435.903 138653.642 6626438.684 138653.844 6626440.112 138653.947 6626440.455 138653.972 6626445.008 138653.645 6626445.28 138653.586 6626448.664 138652.845 6626449.467 138652.669 6626453.479 138651.162 6626453.566 138651.129 6626453.74 138651.064 6626453.976 138650.934 6626454.184 138650.819 6626457.726 138648.87 6626465.507 138643.131 6626472.909 138636.599 6626476.631 138633.26 6626480.123 138630.021 6626483.041 138626.419 6626485.992 138622.444 6626488.691 138618.451 6626491.148 138614.303 6626493.352 138610.017 6626494.413 138607.612 6626494.574 138607.248 6626494.576 138607.243 6626494.578 138607.236 6626495.297 138605.606 6626495.445 138605.209 6626495.566 138604.884 6626496.552 138602.229 6626496.693 138601.848 6626496.976 138601.088 6626497.112 138600.641 6626497.23 138600.252 6626498.31 138596.713 6626498.337 138596.623 6626498.338 138596.62 6626498.381 138596.477 6626498.429 138596.279 6626498.469 138596.111 6626499.462 138591.982 6626499.501 138591.817 6626499.504 138591.803 6626500.276 138587.103 6626500.397 138585.673 6626500.407 138585.554 6626500.632 138582.896 6626500.677 138582.356 6626500.681 138581.813 6626500.705 138577.593 6626500.36 138572.842 6626499.644 138568.133 6626498.912 138565.014 6626498.904 138564.983 6626498.556 138563.495 6626498.471 138563.221 6626498.417 138563.044 6626497.123 138558.835 6626495.581 138554.021 6626494.073 138549.311 6626490.985 138539.663 6626490.882 138539.144 6626490.44 138536.918 6626489.319 138531.272 6626488.962 138529.473 6626488.181 138520.698 6626488.135 138520.186 6626488.045 138519.174 6626488.121 138516.247 6626488.125 138516.025 6626488.186 138513.742 6626488.312 138508.839 6626488.811 138504.892 6626488.918 138504.047 6626489.584 138498.769 6626490.326 138492.895 6626490.836 138488.848 6626491.108 138486.701 6626492.089 138478.927 6626493.026 138469.187 6626493.148 138459.443 6626492.754 138453.957 6626492.645 138452.433 6626492.451 138449.724 6626491.935 138446.44 6626491.575 138444.152 6626491.054 138440.83 6626490.938 138440.098 6626490.912 138439.974 6626490.876 138439.816 6626489.881 138435.345 6626489.757 138434.935 6626489.577 138434.337 6626488.528 138430.853 6626488.294 138430.293 6626487.078 138427.375 6626486.723 138426.524 6626486.658 138426.406 6626484.917 138423.199 6626484.484 138422.403 6626481.835 138418.532 6626479.765 138416.089 6626479.565 138415.853 6626478.803 138414.953 6626475.753 138412.221 6626475.47 138411.968 6626475.051 138411.707 6626472.106 138409.875 6626471.673 138409.605 6626471.069 138409.362 6626467.523 138407.935 6626462.932 138406.775 6626458.236 138405.974 6626454.011 138405.591 6626453.941 138405.585 6626453.492 138405.544 6626452.526 138405.545 6626452.48 138405.545 6626443.791 138405.555 6626435.565 138406.326 6626434.113 138406.461 6626426.595 138407.81 6626426.13 138407.894 6626425.748 138407.962 6626425.628 138408.001 6626421.441 138409.347 6626420.05 138409.794 6626420.046 138409.795 6626418.003 138410.539 6626415.553 138411.431 6626406.933 138415.312</gml:posList>
            </gml:LinearRing>
          </gml:interior>
        </gml:Polygon>
      </lmg:Yta>
      <planbestammelsereferens>f867934e-e05b-4b48-9d1f-e2238fcf8b82</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8f13cf43-2388-4499-9d63-7bfa3dd85a8f" srsName="EPSG:3011" srsDimension="2">
          <gml:exterior>
            <gml:LinearRing gml:id="ID_2ba2f383-dea8-468f-802c-a1fa7d76df5a">
              <gml:posList>6626331.47 138362.444 6626309.162 138367.849 6626309.249 138376.624 6626309.282 138379.999 6626309.857 138438.21 6626309.931 138445.696 6626317.33 138453.778 6626319.281 138455.909 6626313.239 138461.44 6626312.628 138461.999 6626312.479 138462.136 6626311.996 138462.578 6626314.462 138465.278 6626319.122 138470.378 6626319.179 138470.44 6626319.309 138470.546 6626316.661 138473.566 6626313.426 138477.941 6626311.164 138481.129 6626308.88 138485.184 6626307.296 138485.732 6626305.991 138485.105 6626303.774 138484.041 6626301.198 138482.98 6626295.993 138480.993 6626290.664 138479.369 6626289.285 138479.001 6626283.268 138477.396 6626273.896 138474.897 6626273.89 138474.895 6626268.774 138473.531 6626244.619 138467.088 6626242.547 138466.533 6626242.544 138466.532 6626239.878 138465.818 6626235.463 138464.507 6626231.102 138463.026 6626226.801 138461.379 6626222.567 138459.568 6626221.335 138458.984 6626218.405 138457.595 6626214.323 138455.463 6626210.325 138453.176 6626206.418 138450.738 6626202.608 138448.15 6626198.9 138445.418 6626195.3 138442.546 6626191.814 138439.537 6626188.445 138436.397 6626185.2 138433.129 6626183.625 138431.449 6626180.317 138427.731 6626176.644 138423.851 6626172.832 138420.108 6626168.931 138416.458 6626165.154 138413.247 6626164.861 138412.998 6626162.797 138411.302 6626160.501 138409.904 6626158.186 138408.547 6626157.704 138408.276 6626155.853 138407.233 6626153.503 138405.96 6626151.136 138404.732 6626148.72 138403.521 6626146.536 138402.118 6626144.294 138400.729 6626142.281 138398.946 6626140.232 138397.193 6626138.147 138395.47 6626136.964 138394.527 6626136.147 138393.875 6626136.026 138393.778 6626135.906 138393.717 6626136.152 138393.463 6626139.012 138390.513 6626141.524 138387.92 6626144.566 138384.781 6626147.937 138381.304 6626154.587 138374.441 6626175.58 138352.78 6626194.562 138333.194 6626214.589 138312.528 6626227.118 138299.601 6626234.092 138292.404 6626247.753 138278.309 6626248.013 138278.04 6626248.018 138278.044 6626248.27 138278.297 6626277.004 138307.175 6626323.34 138353.742 6626331.735 138362.179 6626331.895 138362.34 6626331.47 138362.444</gml:posList>
            </gml:LinearRing>
          </gml:exterior>
        </gml:Polygon>
      </lmg:Yta>
      <planbestammelsereferens>1c8b17b7-f859-435f-a3d4-70dd58483f49</planbestammelsereferens>
    </Lage>
    <Lage>
      <lmg:Yta>
        <lmg:absolutLagesosakerhetPlan>0</lmg:absolutLagesosakerhetPlan>
        <lmg:absolutLagesosakerhetHojd>0</lmg:absolutLagesosakerhetHojd>
        <lmg:hojdsystem>RH 2000</lmg:hojdsystem>
        <gml:Polygon gml:id="ID_02b14eaa-ea2b-42f7-bb53-661960ee0e51" srsName="EPSG:3011" srsDimension="2">
          <gml:exterior>
            <gml:LinearRing gml:id="ID_c068751b-5c31-41bb-9c88-4afd2c5c9e3b">
              <gml:posList>6626314.776 138180.696 6626314.737 138180.637 6626315.041 138180.431 6626323.085 138174.998 6626342.699 138161.736 6626347.872 138158.406 6626370.127 138144.468 6626378.989 138139.219 6626403.383 138177.957 6626416.253 138198.395 6626416.303 138198.474 6626415.989 138198.66 6626406.55 138204.252 6626385.397 138217.5 6626381.255 138220.167 6626354.018 138238.583 6626337.037 138213.534 6626314.776 138180.696</gml:posList>
            </gml:LinearRing>
          </gml:exterior>
        </gml:Polygon>
      </lmg:Yta>
      <planbestammelsereferens>43b8ec44-7e38-411d-8809-45ee83158953</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37164132-2faf-401c-9376-f06d1b81080c" srsName="EPSG:3011" srsDimension="2">
          <gml:exterior>
            <gml:LinearRing gml:id="ID_52341e30-adb4-4708-be70-b528db5ef959">
              <gml:posList>6626416.569 138315.439 6626415.461 138316.896 6626414.978 138317.687 6626412.811 138321.237 6626409.324 138326.952 6626405.327 138335.69 6626405.17 138336.035 6626405.051 138336.422 6626402.798 138343.805 6626401.818 138347.015 6626401.618 138349.067 6626401.502 138349.043 6626393.58 138347.395 6626345.975 138358.929 6626331.895 138362.34 6626331.735 138362.179 6626323.34 138353.742 6626277.004 138307.175 6626248.27 138278.297 6626248.018 138278.044 6626248.013 138278.04 6626247.753 138278.309 6626234.092 138292.404 6626227.118 138299.601 6626214.589 138312.528 6626194.562 138333.194 6626175.58 138352.78 6626154.587 138374.441 6626147.937 138381.304 6626144.566 138384.781 6626141.524 138387.92 6626139.012 138390.513 6626136.152 138393.463 6626135.906 138393.717 6626133.652 138392.554 6626132.059 138391.785 6626131.96 138391.737 6626129.42 138390.512 6626129.103 138390.359 6626128.841 138390.232 6626123.947 138388.088 6626118.985 138386.109 6626113.96 138384.296 6626108.877 138382.651 6626103.737 138381.194 6626098.56 138379.875 6626093.339 138378.746 6626088.082 138377.788 6626082.794 138377.034 6626075.232 138376.135 6626020.617 138369.639 6626010.73 138368.462 6626006.116 138367.816 6626001.528 138367.016 6625996.968 138366.064 6625992.442 138364.96 6625987.956 138363.706 6625983.514 138362.304 6625979.122 138360.754 6625974.783 138359.058 6625970.503 138357.219 6625966.287 138355.238 6625962.14 138353.118 6625958.065 138350.861 6625954.051 138348.459 6625949.798 138345.829 6625926.214 138331.241 6625925.393 138330.733 6625922.152 138328.728 6625922.11 138328.543 6625921.783 138327.099 6625921.758 138326.989 6625922.511 138325.861 6625924.978 138322.162 6625925.073 138322.225 6625925.129 138322.263 6625925.338 138321.961 6625925.658 138321.498 6625938.859 138302.415 6625948.289 138288.783 6625992.162 138225.364 6625992.373 138225.059 6625992.426 138225.099 6626081.068 138293.087 6626123 138325.199 6626154.231 138295.331 6626155.134 138294.469 6626163.521 138302.204 6626157.068 138309.216 6626156.75 138309.563 6626169.248 138321.09 6626169.258 138321.099 6626169.512 138320.825 6626169.572 138320.762 6626176.072 138313.781 6626176.327 138313.507 6626178.458 138311.219 6626157.677 138292.054 6626157.671 138292.048 6626157.942 138291.789 6626176.747 138273.83 6626196.671 138254.795 6626218.355 138234.092 6626218.59 138233.867 6626218.62 138233.827 6626229.424 138219.109 6626229.651 138218.8 6626229.689 138218.845 6626240.817 138231.957 6626240.842 138231.986 6626240.553 138232.222 6626233.389 138238.073 6626233.384 138238.077 6626233.096 138238.313 6626233.12 138238.342 6626246.039 138253.565 6626246.434 138253.242 6626253.633 138247.362 6626253.785 138247.237 6626258.147 138243.675 6626258.436 138243.439 6626258.411 138243.41 6626234.279 138214.98 6626234.249 138214.945 6626234.544 138214.716 6626253.174 138200.252 6626272.386 138185.868 6626291.861 138171.843 6626311.801 138158.485 6626331.683 138145.042 6626337.15 138141.522 6626359.72 138127.387 6626382.605 138113.829 6626405.886 138100.883 6626423.25 138091.74 6626429.787 138089.12 6626430.633 138088.786 6626430.822 138088.711 6626439.042 138085.464 6626461.307 138077.021 6626465.267 138075.52 6626478.401 138070.558 6626483.56 138068.609 6626483.638 138068.58 6626483.683 138068.563 6626507.058 138179.689 6626507.549 138182.021 6626520.188 138242.104 6626522.007 138250.752 6626521.821 138250.757 6626521.816 138250.757 6626521.651 138250.761 6626514.056 138250.962 6626510.721 138251.214 6626504.549 138251.679 6626502.9 138251.804 6626501.82 138251.975 6626494.972 138253.061 6626492.064 138253.699 6626491.74 138253.77 6626486.022 138255.335 6626484.679 138255.809 6626479.738 138257.55 6626479.489 138257.638 6626479.315 138257.729 6626471.755 138261.655 6626465.266 138265.664 6626462.412 138267.427 6626454.02 138274.512 6626452.571 138275.877 6626447.057 138281.071 6626446.509 138281.588 6626445.659 138282.459 6626440.112 138288.144 6626439.334 138288.941 6626439.218 138288.83 6626428.893 138300.275 6626428.305 138300.969 6626421.296 138309.243 6626421.178 138309.383 6626420.996 138309.622 6626416.569 138315.439</gml:posList>
            </gml:LinearRing>
          </gml:exterior>
          <gml:interior>
            <gml:LinearRing gml:id="ID_9a0c15c5-4147-4c1a-abba-610111a8514f">
              <gml:posList>6626315.041 138180.431 6626314.737 138180.637 6626314.776 138180.696 6626337.037 138213.534 6626354.018 138238.583 6626381.255 138220.167 6626385.397 138217.5 6626406.55 138204.252 6626415.989 138198.66 6626416.303 138198.474 6626416.253 138198.395 6626403.383 138177.957 6626378.989 138139.219 6626370.127 138144.468 6626347.872 138158.406 6626342.699 138161.736 6626323.085 138174.998 6626315.041 138180.431</gml:posList>
            </gml:LinearRing>
          </gml:interior>
        </gml:Polygon>
      </lmg:Yta>
      <planbestammelsereferens>17099792-8a2e-4642-811f-630dfe6c75ef</planbestammelsereferens>
    </Lage>
    <Lage>
      <lmg:Yta>
        <lmg:absolutLagesosakerhetPlan>0</lmg:absolutLagesosakerhetPlan>
        <lmg:absolutLagesosakerhetHojd>0</lmg:absolutLagesosakerhetHojd>
        <lmg:hojdsystem>RH 2000</lmg:hojdsystem>
        <gml:Polygon gml:id="ID_3622537a-f809-4456-a422-c6b455aa4cca" srsName="EPSG:3011" srsDimension="2">
          <gml:exterior>
            <gml:LinearRing gml:id="ID_e384a6e6-ae1d-4215-b575-ec44962c50ad">
              <gml:posList>6626606.846 138655.202 6626529.776 138715.254 6626523.766 138719.931 6626388.853 138824.901 6626384.085 138828.611 6626351.935 138853.626 6626319.919 138878.537 6626300.4 138893.724 6626274.263 138911.058 6626251.934 138868.539 6626283.267 138859.004 6626297.178 138854.771 6626345.31 138840.125 6626383.666 138828.227 6626383.81 138828.182 6626385.271 138819.395 6626395.433 138758.291 6626396.972 138749.041 6626357.558 138716.469 6626352.933 138712.647 6626304.187 138672.365 6626289.188 138659.97 6626279.083 138651.619 6626253.823 138630.745 6626244.75 138623.247 6626241.165 138620.271 6626239.736 138619.085 6626239.729 138619.094 6626236.722 138622.45 6626236.316 138622.904 6626236.246 138622.981 6626234.879 138620.66 6626233.071 138618.662 6626232.525 138618.262 6626230.895 138617.067 6626230.331 138616.809 6626228.744 138616.082 6626228.45 138615.948 6626228.546 138615.84 6626228.646 138615.729 6626228.744 138615.619 6626229.536 138614.736 6626231.413 138612.64 6626231.651 138612.375 6626231.413 138612.177 6626224.083 138606.094 6626149.644 138544.334 6626134.262 138535.064 6626067.083 138494.578 6626002.593 138453.171 6625983.348 138440.815 6625983.17 138440.701 6625983.348 138440.352 6625984.2 138438.689 6625984.384 138438.328 6625984.2 138438.226 6625956.751 138423.043 6625886.272 138384.058 6625886.057 138383.939 6625886.272 138383.595 6625908.926 138347.207 6625910.07 138345.37 6625910.276 138345.036 6625910.753 138344.272 6625911.664 138342.808 6625912.597 138341.31 6625913.573 138339.743 6625914.952 138340.384 6625915.473 138340.661 6625917.163 138341.561 6625918.806 138342.566 6625919.493 138342.986 6625923.562 138345.474 6625942.697 138357.31 6625946.949 138359.94 6625949.109 138361.292 6625953.545 138363.827 6625958.046 138366.243 6625962.634 138368.492 6625967.291 138370.593 6625972.028 138372.507 6625976.807 138374.312 6625981.661 138375.906 6625986.552 138377.384 6625991.498 138378.661 6625996.478 138379.805 6626001.499 138380.749 6626006.543 138381.559 6626019.023 138383.045 6626057.076 138387.571 6626073.554 138389.53 6626078.603 138390.131 6626083.545 138390.781 6626088.297 138391.562 6626093.094 138392.516 6626097.858 138393.629 6626102.581 138394.901 6626107.259 138396.328 6626111.887 138397.912 6626116.511 138399.667 6626118.724 138400.572 6626119.114 138400.739 6626120.554 138401.355 6626120.923 138401.513 6626121.189 138401.636 6626125.416 138403.58 6626126.132 138403.936 6626125.843 138404.234 6626086.16 138445.181 6626085.9 138445.449 6626086.159 138445.645 6626096.159 138453.169 6626178.674 138503.452 6626212.366 138531.405 6626241.699 138539.871 6626255.401 138492.52 6626257.435 138485.493 6626257.539 138485.132 6626257.664 138484.701 6626257.706 138484.557 6626261.364 138485.526 6626264.75 138486.429 6626268.59 138487.461 6626270.124 138487.873 6626272.201 138488.427 6626272.091 138488.808 6626271.659 138490.299 6626268.312 138501.866 6626265.326 138557.448 6626264.431 138574.114 6626264.407 138574.558 6626264.43 138574.577 6626265.7 138575.633 6626278.108 138585.949 6626278.347 138586.147 6626278.693 138586.435 6626422.88 138706.062 6626438.163 138708.015 6626438.183 138708.014 6626438.222 138708.011 6626438.183 138707.551 6626434.62 138664.909 6626434.846 138664.97 6626438.982 138664.971 6626440.143 138664.972 6626444.989 138664.973 6626446.516 138664.646 6626447.34 138664.469 6626449.579 138663.988 6626449.598 138664.026 6626449.636 138664.48 6626453.186 138706.965 6626464.325 138704.534 6626482.163 138694.836 6626500.59 138680.949 6626504.645 138677.893 6626523.892 138657.306 6626529.451 138648.309 6626538.748 138633.262 6626548.487 138606.629 6626552.055 138578.416 6626552.817 138572.395 6626552.859 138572.061 6626552.817 138571.933 6626548.525 138558.882 6626546.113 138551.547 6626528.986 138552.502 6626521.955 138552.894 6626507.104 138553.718 6626507.036 138553.722 6626504.55 138545.957 6626504.451 138545.634 6626503.656 138543.018 6626502.422 138538.96 6626502.509 138538.955 6626528.913 138537.483 6626553.865 138536.092 6626560.676 138535.712 6626562.797 138535.593 6626563.713 138535.402 6626571.357 138533.805 6626573.734 138533.309 6626575.231 138532.996 6626577.846 138532.45 6626579.145 138532.179 6626579.188 138532.17 6626576.028 138517.226 6626575.907 138516.653 6626575.496 138514.709 6626574.054 138507.89 6626573.879 138507.066 6626573.862 138506.984 6626573.769 138506.543 6626573.34 138504.501 6626572.748 138501.686 6626571.862 138497.477 6626571.838 138497.364 6626556.433 138424.126 6626555.756 138420.908 6626555.673 138420.515 6626549.482 138421.821 6626543.288 138423.127 6626539.699 138423.884 6626528.373 138426.273 6626502.883 138431.649 6626500.455 138432.161 6626499.896 138429.888 6626498.537 138426.204 6626498.43 138425.915 6626497.884 138424.433 6626496.527 138421.511 6626495.769 138419.879 6626495.446 138419.185 6626494.445 138417.571 6626492.345 138414.181 6626488.819 138409.543 6626486.836 138407.408 6626484.234 138404.798 6626483.91 138404.472 6626481.548 138402.798 6626480.124 138401.787 6626479.187 138401.123 6626478.657 138400.842 6626478.366 138400.688 6626488.454 138393.721 6626521.834 138370.667 6626528.082 138366.351 6626544.009 138355.351 6626573.778 138496.867 6626575.63 138505.674 6626575.836 138506.653 6626577.389 138513.997 6626577.905 138516.436 6626579.199 138522.555 6626581.146 138531.761 6626592.188 138583.973 6626605.371 138646.309 6626606.851 138654.345 6626606.988 138655.092 6626606.851 138655.199 6626606.846 138655.202</gml:posList>
            </gml:LinearRing>
          </gml:exterior>
        </gml:Polygon>
      </lmg:Yta>
      <planbestammelsereferens>8716bddc-c7e9-429d-afc2-90a088ed43be</planbestammelsereferens>
    </Lage>
    <Lage>
      <lmg:Yta>
        <lmg:absolutLagesosakerhetPlan>0</lmg:absolutLagesosakerhetPlan>
        <lmg:absolutLagesosakerhetHojd>0</lmg:absolutLagesosakerhetHojd>
        <lmg:hojdsystem>RH 2000</lmg:hojdsystem>
        <gml:Polygon gml:id="ID_b4b5fcc5-d408-4646-88e1-f587b5e2a1a1" srsName="EPSG:3011" srsDimension="2">
          <gml:exterior>
            <gml:LinearRing gml:id="ID_a35d8a5d-50e7-42b4-a715-328955028fdd">
              <gml:posList>6626450.233 138602.716 6626444.917 138607.997 6626448.664 138652.845 6626445.28 138653.586 6626445.008 138653.645 6626440.455 138653.972 6626440.112 138653.947 6626438.684 138653.844 6626435.903 138653.642 6626434.227 138653.274 6626433.845 138653.19 6626433.763 138653.172 6626433.637 138653.145 6626432.621 138640.991 6626432.24 138636.426 6626432.205 138636.009 6626429.15 138599.446 6626414.41 138553.931 6626353.148 138526.44 6626312.894 138542.716 6626312.474 138541.622 6626312.343 138541.281 6626312.074 138540.309 6626311.69 138538.917 6626311.534 138538.354 6626311.089 138536.742 6626310.864 138535.453 6626310.441 138533.036 6626310.363 138532.588 6626310.265 138531.926 6626309.92 138527.41 6626310.004 138523.234 6626310.02 138522.965 6626310.142 138521.621 6626310.217 138520.985 6626310.218 138520.978 6626310.564 138518.026 6626311.544 138513.494 6626313 138508.94 6626315.374 138502.675 6626316.545 138500.139 6626317.356 138498.385 6626317.442 138498.209 6626317.759 138497.557 6626319.53 138493.923 6626321.829 138489.743 6626324.439 138485.749 6626327.344 138481.966 6626330.566 138478.221 6626335.821 138472.779 6626341.946 138479.596 6626354.588 138493.667 6626363.871 138493.851 6626378.235 138481.321 6626397.137 138466.05 6626427.384 138442.496 6626428.572 138439.789 6626429.619 138437.406 6626418.96 138412.754 6626418.003 138410.539 6626420.046 138409.795 6626420.05 138409.794 6626421.441 138409.347 6626425.628 138408.001 6626425.748 138407.962 6626426.13 138407.894 6626426.595 138407.81 6626434.113 138406.461 6626435.565 138406.326 6626443.791 138405.555 6626452.48 138405.545 6626452.526 138405.545 6626453.492 138405.544 6626453.941 138405.585 6626454.011 138405.591 6626458.236 138405.974 6626462.932 138406.775 6626467.523 138407.935 6626471.069 138409.362 6626471.673 138409.605 6626472.106 138409.875 6626475.051 138411.707 6626475.47 138411.968 6626475.753 138412.221 6626478.803 138414.953 6626479.565 138415.853 6626449.821 138428.708 6626443.898 138442.196 6626416.068 138505.571 6626420.176 138516.111 6626473.194 138539.393 6626490.882 138539.144 6626490.985 138539.663 6626494.073 138549.311 6626495.581 138554.021 6626495.576 138554.022 6626462.784 138555.824 6626462.343 138576.552 6626458.029 138590.762 6626450.233 138602.716</gml:posList>
            </gml:LinearRing>
          </gml:exterior>
        </gml:Polygon>
      </lmg:Yta>
      <planbestammelsereferens>7e2d02c0-5b47-43dd-bfcf-d50ea6194cee</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45787b32-c6ad-4d9f-9fcd-6e9e6948f44e" srsName="EPSG:3011" srsDimension="2">
          <gml:exterior>
            <gml:LinearRing gml:id="ID_6eb7598b-0961-4988-9b8c-00fbc5f8a8e4">
              <gml:posList>6626086.159 138445.645 6626085.9 138445.449 6626086.16 138445.181 6626125.843 138404.234 6626126.132 138403.936 6626127.923 138404.825 6626129.814 138405.764 6626134.093 138408.093 6626138.32 138410.555 6626142.451 138413.174 6626146.498 138415.921 6626150.452 138418.801 6626154.307 138421.811 6626158.059 138424.947 6626161.705 138428.208 6626165.241 138431.588 6626168.662 138435.083 6626171.972 138438.685 6626173.676 138440.597 6626177.203 138444.316 6626180.885 138447.883 6626184.704 138451.302 6626185.207 138451.722 6626188.281 138454.282 6626188.642 138454.583 6626192.727 138457.679 6626196.895 138460.663 6626201.206 138463.436 6626205.59 138466.091 6626210.092 138468.542 6626214.677 138470.835 6626218.191 138472.395 6626219.362 138472.915 6626224.101 138474.867 6626228.932 138476.58 6626231.631 138477.459 6626233.806 138478.167 6626236.496 138478.888 6626241.14 138480.132 6626250.802 138482.709 6626255.631 138484.007 6626257.706 138484.557 6626257.664 138484.701 6626257.539 138485.132 6626257.435 138485.493 6626255.401 138492.52 6626241.699 138539.871 6626212.366 138531.405 6626178.674 138503.452 6626096.159 138453.169 6626086.159 138445.645</gml:posList>
            </gml:LinearRing>
          </gml:exterior>
        </gml:Polygon>
      </lmg:Yta>
      <planbestammelsereferens>a0f834e0-8a2d-402d-9897-9afb1e2572c5</planbestammelsereferens>
    </Lage>
    <Lage>
      <lmg:Yta>
        <lmg:absolutLagesosakerhetPlan>0</lmg:absolutLagesosakerhetPlan>
        <lmg:absolutLagesosakerhetHojd>0</lmg:absolutLagesosakerhetHojd>
        <lmg:hojdsystem>RH 2000</lmg:hojdsystem>
        <gml:Polygon gml:id="ID_788ba79d-9313-475e-8266-69bbebe0bc27" srsName="EPSG:3011" srsDimension="2">
          <gml:exterior>
            <gml:LinearRing gml:id="ID_4174c6c7-15fd-4f8d-a1da-48088e936a9a">
              <gml:posList>6626341.946 138479.596 6626335.821 138472.779 6626337.318 138471.228 6626344.598 138464.623 6626352.166 138458.087 6626359.667 138451.643 6626359.673 138451.638 6626361.135 138450.462 6626367.463 138445.369 6626375.206 138439.141 6626375.22 138439.13 6626383.106 138432.983 6626390.993 138426.836 6626394.99 138423.719 6626398.88 138420.688 6626402.72 138417.937 6626406.933 138415.312 6626415.553 138411.431 6626418.003 138410.539 6626418.96 138412.754 6626429.619 138437.406 6626428.572 138439.789 6626427.384 138442.496 6626397.137 138466.05 6626378.235 138481.321 6626363.871 138493.851 6626354.588 138493.667 6626341.946 138479.596</gml:posList>
            </gml:LinearRing>
          </gml:exterior>
        </gml:Polygon>
      </lmg:Yta>
      <planbestammelsereferens>749fa4d2-d1a0-4cc4-9cc5-2b0c66ee53c7</planbestammelsereferens>
    </Lage>
    <Lage>
      <lmg:Yta>
        <lmg:absolutLagesosakerhetPlan>0</lmg:absolutLagesosakerhetPlan>
        <lmg:absolutLagesosakerhetHojd>0</lmg:absolutLagesosakerhetHojd>
        <lmg:hojdsystem>RH 2000</lmg:hojdsystem>
        <gml:Polygon gml:id="ID_eb34253c-6841-46b4-a643-bfb7699805eb" srsName="EPSG:3011" srsDimension="2">
          <gml:exterior>
            <gml:LinearRing gml:id="ID_eb63031c-2001-4f35-8808-e5955195783c">
              <gml:posList>6626488.121 138516.247 6626488.045 138519.174 6626488.135 138520.186 6626488.181 138520.698 6626488.962 138529.473 6626489.319 138531.272 6626490.44 138536.918 6626490.882 138539.144 6626473.194 138539.393 6626420.176 138516.111 6626416.068 138505.571 6626443.898 138442.196 6626449.821 138428.708 6626479.565 138415.853 6626479.765 138416.089 6626481.835 138418.532 6626484.484 138422.403 6626484.917 138423.199 6626486.658 138426.406 6626486.723 138426.524 6626487.078 138427.375 6626488.294 138430.293 6626488.528 138430.853 6626489.577 138434.337 6626489.757 138434.935 6626489.881 138435.345 6626490.876 138439.816 6626490.912 138439.974 6626490.938 138440.098 6626491.054 138440.83 6626491.575 138444.152 6626491.935 138446.44 6626492.451 138449.724 6626492.645 138452.433 6626492.754 138453.957 6626493.148 138459.443 6626493.026 138469.187 6626492.089 138478.927 6626491.108 138486.701 6626490.836 138488.848 6626490.326 138492.895 6626489.584 138498.769 6626488.918 138504.047 6626488.811 138504.892 6626488.312 138508.839 6626488.186 138513.742 6626488.125 138516.025 6626488.121 138516.247</gml:posList>
            </gml:LinearRing>
          </gml:exterior>
        </gml:Polygon>
      </lmg:Yta>
      <planbestammelsereferens>5c2b0772-73a0-4a10-bbb4-58e91f1c32a9</planbestammelsereferens>
    </Lage>
    <Lage>
      <lmg:Yta>
        <lmg:absolutLagesosakerhetPlan>0</lmg:absolutLagesosakerhetPlan>
        <lmg:absolutLagesosakerhetHojd>0</lmg:absolutLagesosakerhetHojd>
        <lmg:hojdsystem>RH 2000</lmg:hojdsystem>
        <gml:Polygon gml:id="ID_cefc1efb-9500-4b2a-83a1-61bfbc9cb569" srsName="EPSG:3011" srsDimension="2">
          <gml:exterior>
            <gml:LinearRing gml:id="ID_393b8995-a516-4abf-92ab-6b1ba0a2938d">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4f4e4fdd-938d-490e-bb97-8838073a01ec</planbestammelsereferens>
    </Lage>
    <Lage>
      <lmg:Yta>
        <lmg:absolutLagesosakerhetPlan>0</lmg:absolutLagesosakerhetPlan>
        <lmg:absolutLagesosakerhetHojd>0</lmg:absolutLagesosakerhetHojd>
        <lmg:hojdsystem>RH 2000</lmg:hojdsystem>
        <gml:Polygon gml:id="ID_c47d6340-1333-49a6-b2b4-b7e13ca86611" srsName="EPSG:3011" srsDimension="2">
          <gml:exterior>
            <gml:LinearRing gml:id="ID_33ef171e-fbaa-46fc-af8e-736f2b9a82a6">
              <gml:posList>6626315.823 138550.34 6626312.894 138542.716 6626353.148 138526.44 6626414.41 138553.931 6626429.15 138599.446 6626432.205 138636.009 6626432.24 138636.426 6626432.621 138640.991 6626420.4 138642.013 6626418.946 138647.871 6626418.774 138647.777 6626414.41 138645.397 6626413.775 138645.05 6626413.318 138644.756 6626412.477 138644.213 6626405.546 138639.745 6626397.296 138634.174 6626390.93 138629.762 6626389.103 138628.495 6626386.043 138626.312 6626383.239 138624.311 6626381.667 138623.19 6626381.098 138622.783 6626378.136 138620.417 6626373.285 138616.542 6626365.635 138610.271 6626364.609 138609.389 6626362.298 138607.401 6626358.053 138603.751 6626350.749 138597.242 6626343.649 138590.207 6626340.587 138586.938 6626336.963 138583.066 6626330.809 138575.463 6626325.219 138567.436 6626323.731 138564.961 6626322.521 138562.95 6626320.542 138559.659 6626320.409 138559.439 6626320.16 138559.024 6626320.024 138558.752 6626319.953 138558.61 6626315.823 138550.34</gml:posList>
            </gml:LinearRing>
          </gml:exterior>
        </gml:Polygon>
      </lmg:Yta>
      <planbestammelsereferens>7eba3d90-6a4e-4811-a0e6-2b15b7f2bf33</planbestammelsereferens>
    </Lage>
    <Lage>
      <lmg:Yta>
        <lmg:absolutLagesosakerhetPlan>0</lmg:absolutLagesosakerhetPlan>
        <lmg:absolutLagesosakerhetHojd>0</lmg:absolutLagesosakerhetHojd>
        <lmg:hojdsystem>RH 2000</lmg:hojdsystem>
        <gml:Polygon gml:id="ID_35af311a-6d8b-4543-9e57-c20e86704458" srsName="EPSG:3011" srsDimension="2">
          <gml:exterior>
            <gml:LinearRing gml:id="ID_82d7df08-d8ad-442d-844f-573a6c223279">
              <gml:posList>6626528.913 138537.483 6626502.509 138538.955 6626502.422 138538.96 6626502.19 138538.2 6626501.988 138537.534 6626501.775 138536.834 6626501.617 138536.141 6626500.76 138532.388 6626499.989 138527.892 6626499.466 138523.361 6626499.191 138518.809 6626499.175 138515.845 6626499.167 138514.386 6626499.167 138514.248 6626499.392 138509.692 6626499.799 138505.796 6626499.829 138505.443 6626500.508 138499.706 6626500.584 138499.063 6626501.232 138494.331 6626501.75 138490.226 6626503.002 138480.305 6626503.53 138476.353 6626503.717 138474.763 6626504.188 138467.123 6626504.234 138461.796 6626504.076 138456.452 6626503.975 138455.045 6626503.694 138451.13 6626503.089 138445.828 6626502.261 138440.556 6626501.234 138435.333 6626500.455 138432.161 6626502.883 138431.649 6626528.373 138426.273 6626539.699 138423.884 6626543.288 138423.127 6626549.482 138421.821 6626555.673 138420.515 6626555.756 138420.908 6626556.433 138424.126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 6626571.357 138533.805 6626563.713 138535.402 6626562.797 138535.593 6626560.676 138535.712 6626553.865 138536.092 6626528.913 138537.483</gml:posList>
            </gml:LinearRing>
          </gml:exterior>
        </gml:Polygon>
      </lmg:Yta>
      <planbestammelsereferens>f024c10b-9989-410c-85f6-0b071bad2eb0</planbestammelsereferens>
    </Lage>
    <Lage>
      <lmg:Yta>
        <lmg:absolutLagesosakerhetPlan>0</lmg:absolutLagesosakerhetPlan>
        <lmg:absolutLagesosakerhetHojd>0</lmg:absolutLagesosakerhetHojd>
        <lmg:hojdsystem>RH 2000</lmg:hojdsystem>
        <gml:Polygon gml:id="ID_47cf97c1-215a-40ec-b6cb-569595e089c0" srsName="EPSG:3011" srsDimension="2">
          <gml:exterior>
            <gml:LinearRing gml:id="ID_3ead5baf-3b21-4c55-83b2-496d02fc485a">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lmg:Yta>
      <planbestammelsereferens>ebae091d-7d87-4c13-a307-6050249b2351</planbestammelsereferens>
    </Lage>
    <Lage>
      <lmg:Yta>
        <lmg:absolutLagesosakerhetPlan>0</lmg:absolutLagesosakerhetPlan>
        <lmg:absolutLagesosakerhetHojd>0</lmg:absolutLagesosakerhetHojd>
        <lmg:hojdsystem>RH 2000</lmg:hojdsystem>
        <gml:Polygon gml:id="ID_2ba419dc-7496-4e9c-b383-78fe98aef614" srsName="EPSG:3011" srsDimension="2">
          <gml:exterior>
            <gml:LinearRing gml:id="ID_9718f5d9-deea-4adc-929e-adea1bb6fee7">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6626326.033 138463.285 6626323.005 138459.976 6626321.419 138458.245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lmg:Yta>
      <planbestammelsereferens>b3b0a969-0e93-473a-b581-8f544e4f88e4</planbestammelsereferens>
    </Lage>
    <Indelning>
      <tema>Motiv till detaljplanens regleringar</tema>
      <grupp>Motiv till reglering</grupp>
    </Indelning>
  </Omfattning>
  <Omfattning>
    <identitet>mo_motivtillreglering05</identitet>
    <Lage>
      <lmg:Yta>
        <lmg:absolutLagesosakerhetPlan>0</lmg:absolutLagesosakerhetPlan>
        <lmg:absolutLagesosakerhetHojd>0</lmg:absolutLagesosakerhetHojd>
        <lmg:hojdsystem>RH 2000</lmg:hojdsystem>
        <gml:Polygon gml:id="ID_a17622bf-9566-49fc-8766-5cf8a837aa2d" srsName="EPSG:3011" srsDimension="2">
          <gml:exterior>
            <gml:LinearRing gml:id="ID_1939eef3-46f1-4944-80e6-b7e492b935fe">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87e4274f-40b0-439a-840f-e86d7bb4f262</planbestammelsereferens>
    </Lage>
    <Lage>
      <lmg:Yta>
        <lmg:absolutLagesosakerhetPlan>0</lmg:absolutLagesosakerhetPlan>
        <lmg:absolutLagesosakerhetHojd>0</lmg:absolutLagesosakerhetHojd>
        <lmg:hojdsystem>RH 2000</lmg:hojdsystem>
        <gml:Polygon gml:id="ID_403c4d30-9b8b-43fd-9545-45a7179d93b9" srsName="EPSG:3011" srsDimension="2">
          <gml:exterior>
            <gml:LinearRing gml:id="ID_4724df7d-1154-4d0f-b500-867cbfa5794f">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d99e4b78-0f10-4bb8-9fad-e95dacc025ac</planbestammelsereferens>
    </Lage>
    <Lage>
      <lmg:Yta>
        <lmg:absolutLagesosakerhetPlan>0</lmg:absolutLagesosakerhetPlan>
        <lmg:absolutLagesosakerhetHojd>0</lmg:absolutLagesosakerhetHojd>
        <lmg:hojdsystem>RH 2000</lmg:hojdsystem>
        <gml:Polygon gml:id="ID_785f17d3-c9ee-477b-8748-57928c52ecc2" srsName="EPSG:3011" srsDimension="2">
          <gml:exterior>
            <gml:LinearRing gml:id="ID_75e648f6-cd36-44f3-8df3-89a5ae00730a">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ae6da96d-d428-4c5e-af19-6a935be2b8a2</planbestammelsereferens>
    </Lage>
    <Lage>
      <lmg:Yta>
        <lmg:absolutLagesosakerhetPlan>0</lmg:absolutLagesosakerhetPlan>
        <lmg:absolutLagesosakerhetHojd>0</lmg:absolutLagesosakerhetHojd>
        <lmg:hojdsystem>RH 2000</lmg:hojdsystem>
        <gml:Polygon gml:id="ID_a60cd723-ae7b-4a9e-be52-9967e885e82b" srsName="EPSG:3011" srsDimension="2">
          <gml:exterior>
            <gml:LinearRing gml:id="ID_8eee1b15-6def-4cde-a8ad-59b45ef7ad4d">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3df531db-427d-4663-a77d-8510742557cc</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4ee68cd1-5172-482c-b7fb-3a3c8b61c6c8" srsName="EPSG:3011" srsDimension="2">
          <gml:exterior>
            <gml:LinearRing gml:id="ID_2844e41b-e89f-427d-b428-ffa44e36f267">
              <gml:posList>6626345.31 138840.125 6626297.178 138854.771 6626283.267 138859.004 6626251.934 138868.539 6626253.214 138863.446 6626264.09 138820.143 6626271.23 138791.373 6626247.878 138737.361 6626231.745 138700.045 6626229.983 138695.97 6626229.563 138694.998 6626229.569 138695.003 6626229.589 138695.02 6626231.031 138696.212 6626231.621 138696.7 6626251.677 138713.276 6626256.336 138717.127 6626261.246 138721.185 6626261.245 138721.19 6626271.549 138729.706 6626273.169 138731.045 6626280.305 138736.943 6626291.028 138745.806 6626295.902 138749.833 6626297.889 138751.476 6626300.699 138767.201 6626301.45 138771.402 6626301.97 138774.309 6626305.803 138777.478 6626310.557 138778.938 6626315.071 138778.509 6626315.507 138778.467 6626319.901 138776.138 6626321.486 138774.222 6626323.069 138772.305 6626324.529 138767.551 6626324.059 138762.601 6626323.346 138761.256 6626322.25 138759.189 6626321.73 138758.207 6626317.896 138755.039 6626317.528 138754.735 6626315.12 138752.744 6626314.116 138751.914 6626297.584 138738.25 6626293.991 138735.281 6626293.766 138735.095 6626292.868 138734.353 6626279.323 138723.158 6626274.912 138719.512 6626267.616 138713.482 6626267.617 138713.477 6626259.472 138706.745 6626253.919 138702.155 6626240.574 138691.125 6626236.362 138685.516 6626233.413 138678.697 6626231.496 138674.262 6626219.807 138647.227 6626219.796 138647.201 6626219.057 138645.492 6626218.814 138644.931 6626229.802 138640.519 6626230.788 138640.062 6626230.794 138640.058 6626232.34 138639.019 6626232.346 138639.014 6626232.349 138639.012 6626234.536 138636.853 6626234.539 138636.849 6626234.542 138636.845 6626236.173 138634.241 6626236.176 138634.236 6626236.178 138634.231 6626237.164 138631.323 6626237.166 138631.317 6626237.167 138631.311 6626237.458 138628.253 6626237.458 138628.248 6626237.458 138628.244 6626237.457 138628.241 6626237.123 138625.557 6626237.122 138625.552 6626237.121 138625.547 6626236.247 138622.984 6626236.246 138622.981 6626236.316 138622.904 6626236.722 138622.45 6626239.729 138619.094 6626239.736 138619.085 6626241.165 138620.271 6626244.75 138623.247 6626253.823 138630.745 6626279.083 138651.619 6626289.188 138659.97 6626304.187 138672.365 6626352.933 138712.647 6626357.558 138716.469 6626396.972 138749.041 6626395.433 138758.291 6626385.271 138819.395 6626383.81 138828.182 6626383.666 138828.227 6626345.31 138840.125</gml:posList>
            </gml:LinearRing>
          </gml:exterior>
        </gml:Polygon>
      </lmg:Yta>
      <planbestammelsereferens>768ca8f1-12d6-43f7-bb92-24660559df0e</planbestammelsereferens>
    </Lage>
    <Lage>
      <lmg:Yta>
        <lmg:absolutLagesosakerhetPlan>0</lmg:absolutLagesosakerhetPlan>
        <lmg:absolutLagesosakerhetHojd>0</lmg:absolutLagesosakerhetHojd>
        <lmg:hojdsystem>RH 2000</lmg:hojdsystem>
        <gml:Polygon gml:id="ID_9663641d-df88-4301-abb6-cfefd54bafbc" srsName="EPSG:3011" srsDimension="2">
          <gml:exterior>
            <gml:LinearRing gml:id="ID_147e6174-f11a-44b8-b318-20544992bc41">
              <gml:posList>6626140.076 138543.822 6626134.262 138535.064 6626149.644 138544.334 6626224.083 138606.094 6626231.413 138612.177 6626231.651 138612.375 6626231.413 138612.64 6626229.536 138614.736 6626228.744 138615.619 6626228.646 138615.729 6626228.546 138615.84 6626228.45 138615.948 6626226.897 138615.523 6626226.882 138615.519 6626226.868 138615.517 6626226.841 138615.512 6626225.252 138615.283 6626222.004 138615.415 6626219.422 138616.113 6626217.033 138617.313 6626214.932 138618.968 6626213.205 138621.009 6626211.902 138623.399 6626211.113 138626.003 6626210.527 138634.454 6626210.444 138634.931 6626210.02 138637.382 6626207.743 138638.315 6626203.681 138639.981 6626203.614 138639.879 6626202.276 138637.855 6626202.135 138637.641 6626199.69 138633.943 6626197.962 138631.329 6626195.846 138628.129 6626193.371 138624.384 6626191.877 138622.125 6626148.748 138556.884 6626145.425 138551.878 6626140.076 138543.822</gml:posList>
            </gml:LinearRing>
          </gml:exterior>
        </gml:Polygon>
      </lmg:Yta>
      <planbestammelsereferens>fb22c5fc-ce54-4c84-91c3-081622508b8d</planbestammelsereferens>
    </Lage>
    <Lage>
      <lmg:Yta>
        <lmg:absolutLagesosakerhetPlan>0</lmg:absolutLagesosakerhetPlan>
        <lmg:absolutLagesosakerhetHojd>0</lmg:absolutLagesosakerhetHojd>
        <lmg:hojdsystem>RH 2000</lmg:hojdsystem>
        <gml:Polygon gml:id="ID_9b438352-fb75-48ee-8c0d-473c315d710a" srsName="EPSG:3011" srsDimension="2">
          <gml:exterior>
            <gml:LinearRing gml:id="ID_f820d9ea-2a9c-4360-a1e1-15ba91898dc4">
              <gml:posList>6626345.31 138840.125 6626297.178 138854.771 6626283.267 138859.004 6626251.934 138868.539 6626253.214 138863.446 6626264.09 138820.143 6626271.23 138791.373 6626247.878 138737.361 6626231.745 138700.045 6626229.983 138695.97 6626229.563 138694.998 6626229.569 138695.003 6626229.589 138695.02 6626231.031 138696.212 6626231.621 138696.7 6626251.677 138713.276 6626256.336 138717.127 6626261.246 138721.185 6626261.245 138721.19 6626271.549 138729.706 6626273.169 138731.045 6626280.305 138736.943 6626291.028 138745.806 6626295.902 138749.833 6626297.889 138751.476 6626300.699 138767.201 6626301.45 138771.402 6626301.97 138774.309 6626305.803 138777.478 6626310.557 138778.938 6626315.071 138778.509 6626315.507 138778.467 6626319.901 138776.138 6626321.486 138774.222 6626323.069 138772.305 6626324.529 138767.551 6626324.059 138762.601 6626323.346 138761.256 6626322.25 138759.189 6626321.73 138758.207 6626317.896 138755.039 6626317.528 138754.735 6626315.12 138752.744 6626314.116 138751.914 6626297.584 138738.25 6626293.991 138735.281 6626293.766 138735.095 6626292.868 138734.353 6626279.323 138723.158 6626274.912 138719.512 6626267.616 138713.482 6626267.617 138713.477 6626259.472 138706.745 6626253.919 138702.155 6626240.574 138691.125 6626236.362 138685.516 6626233.413 138678.697 6626231.496 138674.262 6626219.807 138647.227 6626219.796 138647.201 6626219.057 138645.492 6626218.814 138644.931 6626229.802 138640.519 6626230.788 138640.062 6626230.794 138640.058 6626232.34 138639.019 6626232.346 138639.014 6626232.349 138639.012 6626234.536 138636.853 6626234.539 138636.849 6626234.542 138636.845 6626236.173 138634.241 6626236.176 138634.236 6626236.178 138634.231 6626237.164 138631.323 6626237.166 138631.317 6626237.167 138631.311 6626237.458 138628.253 6626237.458 138628.248 6626237.458 138628.244 6626237.457 138628.241 6626237.123 138625.557 6626237.122 138625.552 6626237.121 138625.547 6626236.247 138622.984 6626236.246 138622.981 6626236.316 138622.904 6626236.722 138622.45 6626239.729 138619.094 6626239.736 138619.085 6626241.165 138620.271 6626244.75 138623.247 6626253.823 138630.745 6626279.083 138651.619 6626289.188 138659.97 6626304.187 138672.365 6626352.933 138712.647 6626357.558 138716.469 6626396.972 138749.041 6626395.433 138758.291 6626385.271 138819.395 6626383.81 138828.182 6626383.666 138828.227 6626345.31 138840.125</gml:posList>
            </gml:LinearRing>
          </gml:exterior>
        </gml:Polygon>
      </lmg:Yta>
      <planbestammelsereferens>768ca8f1-12d6-43f7-bb92-24660559df0e</planbestammelsereferens>
    </Lage>
    <Lage>
      <lmg:Yta>
        <lmg:absolutLagesosakerhetPlan>0</lmg:absolutLagesosakerhetPlan>
        <lmg:absolutLagesosakerhetHojd>0</lmg:absolutLagesosakerhetHojd>
        <lmg:hojdsystem>RH 2000</lmg:hojdsystem>
        <gml:Polygon gml:id="ID_07fb2c66-5400-4b97-9217-a0f36587acc8" srsName="EPSG:3011" srsDimension="2">
          <gml:exterior>
            <gml:LinearRing gml:id="ID_182fd362-8d11-4ea1-baf3-496012a1010f">
              <gml:posList>6626140.076 138543.822 6626134.262 138535.064 6626149.644 138544.334 6626224.083 138606.094 6626231.413 138612.177 6626231.651 138612.375 6626231.413 138612.64 6626229.536 138614.736 6626228.744 138615.619 6626228.646 138615.729 6626228.546 138615.84 6626228.45 138615.948 6626226.897 138615.523 6626226.882 138615.519 6626226.868 138615.517 6626226.841 138615.512 6626225.252 138615.283 6626222.004 138615.415 6626219.422 138616.113 6626217.033 138617.313 6626214.932 138618.968 6626213.205 138621.009 6626211.902 138623.399 6626211.113 138626.003 6626210.527 138634.454 6626210.444 138634.931 6626210.02 138637.382 6626207.743 138638.315 6626203.681 138639.981 6626203.614 138639.879 6626202.276 138637.855 6626202.135 138637.641 6626199.69 138633.943 6626197.962 138631.329 6626195.846 138628.129 6626193.371 138624.384 6626191.877 138622.125 6626148.748 138556.884 6626145.425 138551.878 6626140.076 138543.822</gml:posList>
            </gml:LinearRing>
          </gml:exterior>
        </gml:Polygon>
      </lmg:Yta>
      <planbestammelsereferens>fb22c5fc-ce54-4c84-91c3-081622508b8d</planbestammelsereferens>
    </Lage>
    <Indelning>
      <tema>Motiv till detaljplanens regleringar</tema>
      <grupp>Motiv till reglering</grupp>
    </Indelning>
  </Omfattning>
  <Omfattning>
    <identitet>mo_motivtillreglering07</identitet>
    <Lage>
      <lmg:Yta>
        <lmg:absolutLagesosakerhetPlan>0</lmg:absolutLagesosakerhetPlan>
        <lmg:absolutLagesosakerhetHojd>0</lmg:absolutLagesosakerhetHojd>
        <lmg:hojdsystem>RH 2000</lmg:hojdsystem>
        <gml:Polygon gml:id="ID_2ee167cd-1ddb-4a9e-aaea-ceefbe161e6b" srsName="EPSG:3011" srsDimension="2">
          <gml:exterior>
            <gml:LinearRing gml:id="ID_101f151e-0c4b-4391-a825-c4f278dcd29c">
              <gml:posList>6626038.144 138534.662 6625963.743 138478.68 6625983.17 138440.701 6625983.348 138440.815 6626002.593 138453.171 6626067.083 138494.578 6626134.262 138535.064 6626140.076 138543.822 6626145.425 138551.878 6626148.748 138556.884 6626191.877 138622.125 6626193.371 138624.384 6626195.846 138628.129 6626197.962 138631.329 6626199.69 138633.943 6626202.135 138637.641 6626202.276 138637.855 6626203.614 138639.879 6626203.681 138639.981 6626198.399 138642.146 6626196.387 138642.97 6626179.979 138649.698 6626161.194 138657.316 6626159.787 138655.188 6626119.752 138594.623 6626114.098 138586.069 6626039.944 138536.017 6626038.144 138534.662</gml:posList>
            </gml:LinearRing>
          </gml:exterior>
        </gml:Polygon>
      </lmg:Yta>
      <planbestammelsereferens>a6afeb55-bad4-4c48-8ab9-300acde928e5</planbestammelsereferens>
    </Lage>
    <Lage>
      <lmg:Yta>
        <lmg:absolutLagesosakerhetPlan>0</lmg:absolutLagesosakerhetPlan>
        <lmg:absolutLagesosakerhetHojd>0</lmg:absolutLagesosakerhetHojd>
        <lmg:hojdsystem>RH 2000</lmg:hojdsystem>
        <gml:Polygon gml:id="ID_8ea606e3-887e-4c64-8a49-8d917c44daad" srsName="EPSG:3011" srsDimension="2">
          <gml:exterior>
            <gml:LinearRing gml:id="ID_c30ba4e8-1567-4d9a-ae4e-ad7b8ae1934c">
              <gml:posList>6626038.144 138534.662 6625963.743 138478.68 6625983.17 138440.701 6625983.348 138440.815 6626002.593 138453.171 6626067.083 138494.578 6626134.262 138535.064 6626140.076 138543.822 6626145.425 138551.878 6626148.748 138556.884 6626191.877 138622.125 6626193.371 138624.384 6626195.846 138628.129 6626197.962 138631.329 6626199.69 138633.943 6626202.135 138637.641 6626202.276 138637.855 6626203.614 138639.879 6626203.681 138639.981 6626198.399 138642.146 6626196.387 138642.97 6626179.979 138649.698 6626161.194 138657.316 6626159.787 138655.188 6626119.752 138594.623 6626114.098 138586.069 6626039.944 138536.017 6626038.144 138534.662</gml:posList>
            </gml:LinearRing>
          </gml:exterior>
        </gml:Polygon>
      </lmg:Yta>
      <planbestammelsereferens>1f2fceaa-65bf-482d-81e8-23550c907f61</planbestammelsereferens>
    </Lage>
    <Lage>
      <lmg:Yta>
        <lmg:absolutLagesosakerhetPlan>0</lmg:absolutLagesosakerhetPlan>
        <lmg:absolutLagesosakerhetHojd>0</lmg:absolutLagesosakerhetHojd>
        <lmg:hojdsystem>RH 2000</lmg:hojdsystem>
        <gml:Polygon gml:id="ID_ec21d551-43f1-409f-9911-08e8b8e15ac0" srsName="EPSG:3011" srsDimension="2">
          <gml:exterior>
            <gml:LinearRing gml:id="ID_998d9b80-d84f-4d2c-931a-80141d9a00b9">
              <gml:posList>6626038.144 138534.662 6625963.743 138478.68 6625983.17 138440.701 6625983.348 138440.815 6626002.593 138453.171 6626067.083 138494.578 6626134.262 138535.064 6626140.076 138543.822 6626145.425 138551.878 6626148.748 138556.884 6626191.877 138622.125 6626193.371 138624.384 6626195.846 138628.129 6626197.962 138631.329 6626199.69 138633.943 6626202.135 138637.641 6626202.276 138637.855 6626203.614 138639.879 6626203.681 138639.981 6626198.399 138642.146 6626196.387 138642.97 6626179.979 138649.698 6626161.194 138657.316 6626159.787 138655.188 6626119.752 138594.623 6626114.098 138586.069 6626039.944 138536.017 6626038.144 138534.662</gml:posList>
            </gml:LinearRing>
          </gml:exterior>
        </gml:Polygon>
      </lmg:Yta>
      <planbestammelsereferens>0f46c481-8e0c-4605-a5b6-d0e03badeb20</planbestammelsereferens>
    </Lage>
    <Lage>
      <lmg:Yta>
        <lmg:absolutLagesosakerhetPlan>0</lmg:absolutLagesosakerhetPlan>
        <lmg:absolutLagesosakerhetHojd>0</lmg:absolutLagesosakerhetHojd>
        <lmg:hojdsystem>RH 2000</lmg:hojdsystem>
        <gml:Polygon gml:id="ID_0ab7e350-57a1-499d-9ac7-b20e81821acd" srsName="EPSG:3011" srsDimension="2">
          <gml:exterior>
            <gml:LinearRing gml:id="ID_9bb8a60b-56c4-4643-b4f7-f25445e7339b">
              <gml:posList>6626038.144 138534.662 6625963.743 138478.68 6625983.17 138440.701 6625983.348 138440.815 6626002.593 138453.171 6626067.083 138494.578 6626134.262 138535.064 6626140.076 138543.822 6626145.425 138551.878 6626148.748 138556.884 6626191.877 138622.125 6626193.371 138624.384 6626195.846 138628.129 6626197.962 138631.329 6626199.69 138633.943 6626202.135 138637.641 6626202.276 138637.855 6626203.614 138639.879 6626203.681 138639.981 6626198.399 138642.146 6626196.387 138642.97 6626179.979 138649.698 6626161.194 138657.316 6626159.787 138655.188 6626119.752 138594.623 6626114.098 138586.069 6626039.944 138536.017 6626038.144 138534.662</gml:posList>
            </gml:LinearRing>
          </gml:exterior>
        </gml:Polygon>
      </lmg:Yta>
      <planbestammelsereferens>1ee2e7bf-0f23-4f71-9329-9770c0e21342</planbestammelsereferens>
    </Lage>
    <Indelning>
      <tema>Motiv till detaljplanens regleringar</tema>
      <grupp>Motiv till reglering</grupp>
    </Indelning>
  </Omfattning>
  <Omfattning>
    <identitet>mo_motivtillreglering08</identitet>
    <Lage>
      <lmg:Yta>
        <lmg:absolutLagesosakerhetPlan>0</lmg:absolutLagesosakerhetPlan>
        <lmg:absolutLagesosakerhetHojd>0</lmg:absolutLagesosakerhetHojd>
        <lmg:hojdsystem>RH 2000</lmg:hojdsystem>
        <gml:Polygon gml:id="ID_b8b646e5-29a5-4584-8504-9538434fc493" srsName="EPSG:3011" srsDimension="2">
          <gml:exterior>
            <gml:LinearRing gml:id="ID_74169127-0fba-4f58-98d2-01b62fbb211f">
              <gml:posList>6626233.12 138238.342 6626233.096 138238.313 6626233.384 138238.077 6626233.389 138238.073 6626240.553 138232.222 6626240.842 138231.986 6626253.785 138247.237 6626253.633 138247.362 6626246.434 138253.242 6626246.039 138253.565 6626233.12 138238.342</gml:posList>
            </gml:LinearRing>
          </gml:exterior>
        </gml:Polygon>
      </lmg:Yta>
      <planbestammelsereferens>3ec51450-a63b-4807-9845-b52895a8bb03</planbestammelsereferens>
    </Lage>
    <Lage>
      <lmg:Yta>
        <lmg:absolutLagesosakerhetPlan>0</lmg:absolutLagesosakerhetPlan>
        <lmg:absolutLagesosakerhetHojd>0</lmg:absolutLagesosakerhetHojd>
        <lmg:hojdsystem>RH 2000</lmg:hojdsystem>
        <gml:Polygon gml:id="ID_f1fa730f-84ee-4ce2-9e69-70eeda8dcfc8" srsName="EPSG:3011" srsDimension="2">
          <gml:exterior>
            <gml:LinearRing gml:id="ID_d2b1d2c0-44bb-4759-b96c-31555daa42a3">
              <gml:posList>6626169.248 138321.09 6626156.75 138309.563 6626157.068 138309.216 6626163.521 138302.204 6626176.063 138313.771 6626176.072 138313.781 6626169.572 138320.762 6626169.512 138320.825 6626169.258 138321.099 6626169.248 138321.09</gml:posList>
            </gml:LinearRing>
          </gml:exterior>
        </gml:Polygon>
      </lmg:Yta>
      <planbestammelsereferens>4b3d2b60-b4b9-4d7d-8c93-c03036ae6316</planbestammelsereferens>
    </Lage>
    <Lage>
      <lmg:Yta>
        <lmg:absolutLagesosakerhetPlan>0</lmg:absolutLagesosakerhetPlan>
        <lmg:absolutLagesosakerhetHojd>0</lmg:absolutLagesosakerhetHojd>
        <lmg:hojdsystem>RH 2000</lmg:hojdsystem>
        <gml:Polygon gml:id="ID_5b922839-b4f8-43dc-b85e-e65b520aa21d" srsName="EPSG:3011" srsDimension="2">
          <gml:exterior>
            <gml:LinearRing gml:id="ID_6139d4e7-5036-4d53-8a2a-f407143f6e65">
              <gml:posList>6626422.376 138649.392 6626418.946 138647.871 6626420.4 138642.013 6626432.621 138640.991 6626433.637 138653.145 6626431.874 138652.757 6626431.44 138652.662 6626430.281 138652.283 6626429.179 138651.922 6626426.859 138651.162 6626422.65 138649.501 6626422.376 138649.392</gml:posList>
            </gml:LinearRing>
          </gml:exterior>
        </gml:Polygon>
      </lmg:Yta>
      <planbestammelsereferens>4a8e1229-edcd-4b14-bc28-5420aac8bddf</planbestammelsereferens>
    </Lage>
    <Lage>
      <lmg:Yta>
        <lmg:absolutLagesosakerhetPlan>0</lmg:absolutLagesosakerhetPlan>
        <lmg:absolutLagesosakerhetHojd>0</lmg:absolutLagesosakerhetHojd>
        <lmg:hojdsystem>RH 2000</lmg:hojdsystem>
        <gml:Polygon gml:id="ID_5eafcefb-4816-46b0-b7d4-dfadca5c922b" srsName="EPSG:3011" srsDimension="2">
          <gml:exterior>
            <gml:LinearRing gml:id="ID_113c6fcf-759b-488d-80bc-5217cbf9adb0">
              <gml:posList>6626319.309 138470.546 6626319.179 138470.44 6626319.122 138470.378 6626314.462 138465.278 6626311.996 138462.578 6626312.479 138462.136 6626312.628 138461.999 6626313.239 138461.44 6626319.281 138455.909 6626321.419 138458.245 6626323.005 138459.976 6626326.033 138463.285 6626326.062 138463.315 6626325.25 138464.092 6626323.502 138465.764 6626322.332 138467.098 6626319.309 138470.546</gml:posList>
            </gml:LinearRing>
          </gml:exterior>
        </gml:Polygon>
      </lmg:Yta>
      <planbestammelsereferens>5ba76eee-d390-461f-b19e-9fc72f14b339</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a0f9aaf9-4ff6-4468-a091-777ef46bc1d2" srsName="EPSG:3011" srsDimension="2">
          <gml:exterior>
            <gml:LinearRing gml:id="ID_95e972ab-1c45-4c46-909f-c5088dc1ead1">
              <gml:posList>6626313.426 138477.941 6626311.164 138481.129 6626308.88 138485.184 6626307.296 138485.732 6626305.991 138485.105 6626303.774 138484.041 6626301.198 138482.98 6626295.993 138480.993 6626290.664 138479.369 6626289.285 138479.001 6626283.268 138477.396 6626273.896 138474.897 6626273.89 138474.895 6626268.774 138473.531 6626244.619 138467.088 6626242.547 138466.533 6626242.544 138466.532 6626239.878 138465.818 6626235.463 138464.507 6626231.102 138463.026 6626226.801 138461.379 6626222.567 138459.568 6626221.335 138458.984 6626218.405 138457.595 6626214.323 138455.463 6626210.325 138453.176 6626206.418 138450.738 6626202.608 138448.15 6626198.9 138445.418 6626195.3 138442.546 6626191.814 138439.537 6626188.445 138436.397 6626185.2 138433.129 6626183.625 138431.449 6626180.317 138427.731 6626176.644 138423.851 6626172.832 138420.108 6626168.931 138416.458 6626165.154 138413.247 6626164.861 138412.998 6626162.797 138411.302 6626160.501 138409.904 6626158.186 138408.547 6626157.704 138408.276 6626155.853 138407.233 6626153.503 138405.96 6626151.136 138404.732 6626148.72 138403.521 6626146.536 138402.118 6626144.294 138400.729 6626142.281 138398.946 6626140.232 138397.193 6626138.147 138395.47 6626136.964 138394.527 6626136.147 138393.875 6626136.026 138393.778 6626135.906 138393.717 6626136.152 138393.463 6626139.012 138390.513 6626141.524 138387.92 6626144.566 138384.781 6626147.937 138381.304 6626154.587 138374.441 6626190.258 138374.945 6626190.751 138374.952 6626198.289 138375.058 6626203.757 138375.135 6626211.78 138375.249 6626279.318 138376.202 6626291.571 138376.375 6626293.757 138376.406 6626304.671 138376.56 6626309.249 138376.624 6626309.282 138379.999 6626309.857 138438.21 6626309.931 138445.696 6626317.33 138453.778 6626319.281 138455.909 6626313.239 138461.44 6626312.628 138461.999 6626312.479 138462.136 6626311.996 138462.578 6626314.462 138465.278 6626319.122 138470.378 6626319.179 138470.44 6626319.309 138470.546 6626316.661 138473.566 6626313.426 138477.941</gml:posList>
            </gml:LinearRing>
          </gml:exterior>
        </gml:Polygon>
      </lmg:Yta>
      <planbestammelsereferens>ee69c460-b93a-4aae-ad94-28a1bf58c9eb</planbestammelsereferens>
    </Lage>
    <Indelning>
      <tema>Motiv till detaljplanens regleringar</tema>
      <grupp>Motiv till reglering</grupp>
    </Indelning>
  </Omfattning>
  <Omfattning>
    <identitet>mo_motivtillreglering10</identitet>
    <Lage>
      <lmg:Yta>
        <lmg:absolutLagesosakerhetPlan>0</lmg:absolutLagesosakerhetPlan>
        <lmg:absolutLagesosakerhetHojd>0</lmg:absolutLagesosakerhetHojd>
        <lmg:hojdsystem>RH 2000</lmg:hojdsystem>
        <gml:Polygon gml:id="ID_fe1e9242-e6c1-4f24-acbf-47bee4eee433" srsName="EPSG:3011" srsDimension="2">
          <gml:exterior>
            <gml:LinearRing gml:id="ID_c7f7ba3f-af63-4ec3-a4b9-d9cf57f81b1f">
              <gml:posList>6626279.318 138376.202 6626211.78 138375.249 6626203.757 138375.135 6626203.264 138348.953 6626210.019 138345.069 6626217.341 138340.857 6626235.932 138332.501 6626250.267 138331.111 6626263.139 138335.765 6626264.795 138336.364 6626281.661 138345.106 6626289.556 138358.164 6626289.681 138359.297 6626291.571 138376.375 6626279.318 138376.202</gml:posList>
            </gml:LinearRing>
          </gml:exterior>
        </gml:Polygon>
      </lmg:Yta>
      <planbestammelsereferens>5049ffba-dede-460d-b8ea-8e5999428685</planbestammelsereferens>
    </Lage>
    <Indelning>
      <tema>Motiv till detaljplanens regleringar</tema>
      <grupp>Motiv till reglering</grupp>
    </Indelning>
  </Omfattning>
  <Omfattning>
    <identitet>mo_motivtillreglering11</identitet>
    <Lage>
      <lmg:Yta>
        <lmg:absolutLagesosakerhetPlan>0</lmg:absolutLagesosakerhetPlan>
        <lmg:absolutLagesosakerhetHojd>0</lmg:absolutLagesosakerhetHojd>
        <lmg:hojdsystem>RH 2000</lmg:hojdsystem>
        <gml:Polygon gml:id="ID_c1fc3070-5ce6-4a8c-b66c-ed4559b72ffa" srsName="EPSG:3011" srsDimension="2">
          <gml:exterior>
            <gml:LinearRing gml:id="ID_e6d2b628-5181-4892-a3ea-cc313d6a0543">
              <gml:posList>6626291.571 138376.375 6626289.681 138359.297 6626289.556 138358.164 6626281.661 138345.106 6626264.795 138336.364 6626263.139 138335.765 6626250.267 138331.111 6626235.932 138332.501 6626217.341 138340.857 6626210.019 138345.069 6626203.264 138348.953 6626203.757 138375.135 6626198.289 138375.058 6626190.751 138374.952 6626190.258 138374.945 6626154.587 138374.441 6626175.58 138352.78 6626194.562 138333.194 6626209.144 138324.807 6626231.251 138314.871 6626252.57 138312.804 6626255.414 138313.832 6626272.028 138319.839 6626294.444 138331.458 6626307.01 138352.244 6626309.162 138367.849 6626309.249 138376.624 6626304.671 138376.56 6626293.757 138376.406 6626291.571 138376.375</gml:posList>
            </gml:LinearRing>
          </gml:exterior>
        </gml:Polygon>
      </lmg:Yta>
      <planbestammelsereferens>0fe7e24f-f903-4149-8ed4-81107ea83006</planbestammelsereferens>
    </Lage>
    <Indelning>
      <tema>Motiv till detaljplanens regleringar</tema>
      <grupp>Motiv till reglering</grupp>
    </Indelning>
  </Omfattning>
  <Omfattning>
    <identitet>mo_motivtillreglering12</identitet>
    <Lage>
      <lmg:Yta>
        <lmg:absolutLagesosakerhetPlan>0</lmg:absolutLagesosakerhetPlan>
        <lmg:absolutLagesosakerhetHojd>0</lmg:absolutLagesosakerhetHojd>
        <lmg:hojdsystem>RH 2000</lmg:hojdsystem>
        <gml:Polygon gml:id="ID_331b0603-7cb1-456e-b7aa-6bddb08de6f1" srsName="EPSG:3011" srsDimension="2">
          <gml:exterior>
            <gml:LinearRing gml:id="ID_e627f747-4d54-4fa1-ac3b-c650aaa01a8e">
              <gml:posList>6626271.722 138490.315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6626302.212 138500.643 6626300.856 138499.956 6626299.15 138499.137 6626297.328 138498.315 6626295.354 138497.482 6626293.195 138496.634 6626290.818 138495.769 6626288.191 138494.883 6626285.285 138493.976 6626282.061 138493.041 6626278.519 138492.074 6626274.692 138491.072 6626271.722 138490.315</gml:posList>
            </gml:LinearRing>
          </gml:exterior>
        </gml:Polygon>
      </lmg:Yta>
      <planbestammelsereferens>65949abe-0e9e-4b95-af4c-0b892e371824</planbestammelsereferens>
    </Lage>
    <Lage>
      <lmg:Yta>
        <lmg:absolutLagesosakerhetPlan>0</lmg:absolutLagesosakerhetPlan>
        <lmg:absolutLagesosakerhetHojd>0</lmg:absolutLagesosakerhetHojd>
        <lmg:hojdsystem>RH 2000</lmg:hojdsystem>
        <gml:Polygon gml:id="ID_ac9bdc2e-f3a2-48f6-b721-a6c843a9e6bb" srsName="EPSG:3011" srsDimension="2">
          <gml:exterior>
            <gml:LinearRing gml:id="ID_889e1d20-204a-4f62-8259-3a2ef559530d">
              <gml:posList>6626418.946 138647.871 6626418.774 138647.777 6626414.41 138645.397 6626416.411 138637.328 6626432.205 138636.009 6626432.24 138636.426 6626432.621 138640.991 6626420.4 138642.013 6626418.946 138647.871</gml:posList>
            </gml:LinearRing>
          </gml:exterior>
        </gml:Polygon>
      </lmg:Yta>
      <planbestammelsereferens>99fb79e3-f9ed-4c94-8231-a8d6361c777a</planbestammelsereferens>
    </Lage>
    <Lage>
      <lmg:Yta>
        <lmg:absolutLagesosakerhetPlan>0</lmg:absolutLagesosakerhetPlan>
        <lmg:absolutLagesosakerhetHojd>0</lmg:absolutLagesosakerhetHojd>
        <lmg:hojdsystem>RH 2000</lmg:hojdsystem>
        <gml:Polygon gml:id="ID_639b83d2-9361-43fd-9dc1-b7a40850b6c8" srsName="EPSG:3011" srsDimension="2">
          <gml:exterior>
            <gml:LinearRing gml:id="ID_37a99900-8bf9-429f-b743-51639c069831">
              <gml:posList>6626573.734 138533.309 6626571.357 138533.805 6626571.309 138533.58 6626568.42 138519.917 6626566.052 138508.722 6626566.023 138508.583 6626564.071 138499.354 6626568.953 138498.103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gml:posList>
            </gml:LinearRing>
          </gml:exterior>
        </gml:Polygon>
      </lmg:Yta>
      <planbestammelsereferens>507c2e0d-8034-4ac0-be14-b3345e3851e9</planbestammelsereferens>
    </Lage>
    <Lage>
      <lmg:Yta>
        <lmg:absolutLagesosakerhetPlan>0</lmg:absolutLagesosakerhetPlan>
        <lmg:absolutLagesosakerhetHojd>0</lmg:absolutLagesosakerhetHojd>
        <lmg:hojdsystem>RH 2000</lmg:hojdsystem>
        <gml:Polygon gml:id="ID_7d3fa4c8-4bb0-406d-ac0f-3d879ac7380c" srsName="EPSG:3011" srsDimension="2">
          <gml:exterior>
            <gml:LinearRing gml:id="ID_a81b66c1-8a55-40df-a509-54f722c60005">
              <gml:posList>6626265.7 138575.633 6626264.43 138574.577 6626264.407 138574.558 6626264.431 138574.114 6626265.326 138557.448 6626271.671 138571.207 6626278.347 138585.685 6626278.693 138586.435 6626278.347 138586.147 6626278.108 138585.949 6626265.7 138575.633</gml:posList>
            </gml:LinearRing>
          </gml:exterior>
        </gml:Polygon>
      </lmg:Yta>
      <planbestammelsereferens>22e4218c-561f-4132-a26d-69aaa0fd92ec</planbestammelsereferens>
    </Lage>
    <Lage>
      <lmg:Yta>
        <lmg:absolutLagesosakerhetPlan>0</lmg:absolutLagesosakerhetPlan>
        <lmg:absolutLagesosakerhetHojd>0</lmg:absolutLagesosakerhetHojd>
        <lmg:hojdsystem>RH 2000</lmg:hojdsystem>
        <gml:Polygon gml:id="ID_b8f912ba-7323-4a34-af8f-c08da6620907" srsName="EPSG:3011" srsDimension="2">
          <gml:exterior>
            <gml:LinearRing gml:id="ID_e1a8c7bf-831f-4f0c-9f73-bef8f3e149ac">
              <gml:posList>6626326.033 138463.285 6626323.005 138459.976 6626321.419 138458.245 6626319.281 138455.909 6626317.33 138453.778 6626309.931 138445.696 6626309.857 138438.21 6626313.619 138442.32 6626329.675 138459.858 6626327.941 138461.517 6626326.062 138463.315 6626326.033 138463.285</gml:posList>
            </gml:LinearRing>
          </gml:exterior>
        </gml:Polygon>
      </lmg:Yta>
      <planbestammelsereferens>fb0d256a-a745-4656-bbdf-79972cdb0dff</planbestammelsereferens>
    </Lage>
    <Lage>
      <lmg:Yta>
        <lmg:absolutLagesosakerhetPlan>0</lmg:absolutLagesosakerhetPlan>
        <lmg:absolutLagesosakerhetHojd>0</lmg:absolutLagesosakerhetHojd>
        <lmg:hojdsystem>RH 2000</lmg:hojdsystem>
        <gml:Polygon gml:id="ID_256af988-7b6f-4a65-a593-c76e91b0a1ed" srsName="EPSG:3011" srsDimension="2">
          <gml:exterior>
            <gml:LinearRing gml:id="ID_fc79d97a-e431-4177-98f2-35f9d3b84ad7">
              <gml:posList>6626347.518 138719.199 6626239.786 138630.172 6626239.485 138624.733 6626350.066 138716.116 6626347.518 138719.199</gml:posList>
            </gml:LinearRing>
          </gml:exterior>
        </gml:Polygon>
      </lmg:Yta>
      <planbestammelsereferens>6014693d-1c64-4fbf-9daf-44e760e11da6</planbestammelsereferens>
    </Lage>
    <Lage>
      <lmg:Yta>
        <lmg:absolutLagesosakerhetPlan>0</lmg:absolutLagesosakerhetPlan>
        <lmg:absolutLagesosakerhetHojd>0</lmg:absolutLagesosakerhetHojd>
        <lmg:hojdsystem>RH 2000</lmg:hojdsystem>
        <gml:Polygon gml:id="ID_ce9d5ffb-ef6b-407f-aa95-231be0106109" srsName="EPSG:3011" srsDimension="2">
          <gml:exterior>
            <gml:LinearRing gml:id="ID_a19e779f-fc78-4304-bab8-60f792406e53">
              <gml:posList>6626159.787 138655.188 6626160.254 138654.999 6626179.035 138647.383 6626202.276 138637.855 6626203.614 138639.879 6626203.681 138639.981 6626198.399 138642.146 6626196.387 138642.97 6626179.979 138649.698 6626161.194 138657.316 6626159.787 138655.188</gml:posList>
            </gml:LinearRing>
          </gml:exterior>
        </gml:Polygon>
      </lmg:Yta>
      <planbestammelsereferens>eb8dd431-0a15-4bb1-9c85-2c52089a7b5f</planbestammelsereferens>
    </Lage>
    <Lage>
      <lmg:Yta>
        <lmg:absolutLagesosakerhetPlan>0</lmg:absolutLagesosakerhetPlan>
        <lmg:absolutLagesosakerhetHojd>0</lmg:absolutLagesosakerhetHojd>
        <lmg:hojdsystem>RH 2000</lmg:hojdsystem>
        <gml:Polygon gml:id="ID_7be29dd0-2ebf-4ef3-b60f-0b24bda19022" srsName="EPSG:3011" srsDimension="2">
          <gml:exterior>
            <gml:LinearRing gml:id="ID_559dda43-e5bb-458a-9298-73d8d6a4d78e">
              <gml:posList>6626345.31 138840.125 6626297.178 138854.771 6626283.267 138859.004 6626251.934 138868.539 6626253.214 138863.446 6626281.249 138854.915 6626304.118 138847.956 6626343.988 138835.823 6626379.826 138824.706 6626388.228 138774.185 6626389.603 138765.917 6626389.981 138763.645 6626391.349 138755.421 6626392.107 138750.859 6626389.701 138748.87 6626354.691 138719.938 6626357.558 138716.469 6626396.972 138749.041 6626395.433 138758.291 6626385.271 138819.395 6626383.81 138828.182 6626383.666 138828.227 6626345.31 138840.125</gml:posList>
            </gml:LinearRing>
          </gml:exterior>
        </gml:Polygon>
      </lmg:Yta>
      <planbestammelsereferens>62f1ecb3-3d12-4408-9afa-07d6ffc4ffb4</planbestammelsereferens>
    </Lage>
    <Lage>
      <lmg:Yta>
        <lmg:absolutLagesosakerhetPlan>0</lmg:absolutLagesosakerhetPlan>
        <lmg:absolutLagesosakerhetHojd>0</lmg:absolutLagesosakerhetHojd>
        <lmg:hojdsystem>RH 2000</lmg:hojdsystem>
        <gml:Polygon gml:id="ID_055f2a2d-8268-4869-aaf2-54bd0e594df5" srsName="EPSG:3011" srsDimension="2">
          <gml:exterior>
            <gml:LinearRing gml:id="ID_1bbfb2ab-aabb-4f9e-8c3f-40ed5834305a">
              <gml:posList>6626321.73 138758.207 6626317.896 138755.039 6626319.489 138753.112 6626324.657 138746.859 6626347.518 138719.199 6626350.066 138716.116 6626352.933 138712.647 6626357.558 138716.469 6626354.691 138719.938 6626352.143 138723.021 6626323.974 138757.103 6626322.25 138759.189 6626321.73 138758.207</gml:posList>
            </gml:LinearRing>
          </gml:exterior>
        </gml:Polygon>
      </lmg:Yta>
      <planbestammelsereferens>295e8cd9-95f5-4a63-9417-4ef94528e2dc</planbestammelsereferens>
    </Lage>
    <Lage>
      <lmg:Yta>
        <lmg:absolutLagesosakerhetPlan>0</lmg:absolutLagesosakerhetPlan>
        <lmg:absolutLagesosakerhetHojd>0</lmg:absolutLagesosakerhetHojd>
        <lmg:hojdsystem>RH 2000</lmg:hojdsystem>
        <gml:Polygon gml:id="ID_88382ff0-073d-4113-aa24-378eab9c1357" srsName="EPSG:3011" srsDimension="2">
          <gml:exterior>
            <gml:LinearRing gml:id="ID_804c53bd-e6c6-42ff-9571-8eb46ca91571">
              <gml:posList>6626317.896 138755.039 6626240.574 138691.125 6626236.362 138685.516 6626218.814 138644.931 6626230.788 138640.062 6626234.539 138636.849 6626237.167 138631.311 6626236.722 138622.45 6626239.835 138626.547 6626238.369 138635.445 6626232.131 138642.172 6626222.113 138646.262 6626238.539 138684.252 6626242.395 138689.387 6626319.489 138753.112 6626317.896 138755.039</gml:posList>
            </gml:LinearRing>
          </gml:exterior>
        </gml:Polygon>
      </lmg:Yta>
      <planbestammelsereferens>175db41c-1ac8-4938-83a4-a1872674d33c</planbestammelsereferens>
    </Lage>
    <Lage>
      <lmg:Yta>
        <lmg:absolutLagesosakerhetPlan>0</lmg:absolutLagesosakerhetPlan>
        <lmg:absolutLagesosakerhetHojd>0</lmg:absolutLagesosakerhetHojd>
        <lmg:hojdsystem>RH 2000</lmg:hojdsystem>
        <gml:Polygon gml:id="ID_60c556cc-5a71-43b3-bcd8-2e7ccfcf5035" srsName="EPSG:3011" srsDimension="2">
          <gml:exterior>
            <gml:LinearRing gml:id="ID_7feaf0d0-80bc-48f2-894a-6e10ebbb2d57">
              <gml:posList>6626322.25 138759.189 6626323.974 138757.103 6626324.674 138758.423 6626326.501 138761.87 6626327.065 138767.81 6626325.313 138773.514 6626321.512 138778.114 6626316.239 138780.909 6626310.298 138781.473 6626304.594 138779.721 6626299.67 138775.652 6626299.063 138772.255 6626298.457 138768.862 6626295.59 138752.819 6626293.818 138751.354 6626289.389 138747.694 6626274.43 138735.331 6626271.631 138733.017 6626258.515 138722.177 6626258.516 138722.172 6626253.437 138717.974 6626249.728 138714.909 6626231.745 138700.045 6626229.983 138695.97 6626229.563 138694.998 6626229.569 138695.003 6626229.589 138695.02 6626231.031 138696.212 6626231.621 138696.7 6626251.677 138713.276 6626256.336 138717.127 6626261.246 138721.185 6626261.245 138721.19 6626271.549 138729.706 6626273.169 138731.045 6626280.305 138736.943 6626291.028 138745.806 6626295.902 138749.833 6626297.889 138751.476 6626300.699 138767.201 6626301.45 138771.402 6626301.97 138774.309 6626305.803 138777.478 6626310.557 138778.938 6626315.071 138778.509 6626315.507 138778.467 6626319.901 138776.138 6626321.486 138774.222 6626323.069 138772.305 6626324.529 138767.551 6626324.059 138762.601 6626323.346 138761.256 6626322.25 138759.189</gml:posList>
            </gml:LinearRing>
          </gml:exterior>
        </gml:Polygon>
      </lmg:Yta>
      <planbestammelsereferens>906526ac-9ded-4ca8-a79f-59555a75413f</planbestammelsereferens>
    </Lage>
    <Lage>
      <lmg:Yta>
        <lmg:absolutLagesosakerhetPlan>0</lmg:absolutLagesosakerhetPlan>
        <lmg:absolutLagesosakerhetHojd>0</lmg:absolutLagesosakerhetHojd>
        <lmg:hojdsystem>RH 2000</lmg:hojdsystem>
        <gml:Polygon gml:id="ID_11d7bf03-c6b9-407b-8747-bdb21f43cad3" srsName="EPSG:3011" srsDimension="2">
          <gml:exterior>
            <gml:LinearRing gml:id="ID_44494f2e-4ac3-434b-b29e-d600b407038d">
              <gml:posList>6626225.252 138615.283 6626219.422 138616.113 6626214.932 138618.968 6626211.113 138626.003 6626210.02 138637.382 6626203.681 138639.981 6626202.276 138637.855 6626207.792 138635.593 6626208.717 138625.238 6626211.221 138619.482 6626218.526 138613.766 6626225.101 138612.787 6626147.031 138548.013 6626140.076 138543.822 6626134.262 138535.064 6626149.644 138544.334 6626231.651 138612.375 6626228.45 138615.948 6626225.252 138615.283</gml:posList>
            </gml:LinearRing>
          </gml:exterior>
        </gml:Polygon>
      </lmg:Yta>
      <planbestammelsereferens>8caef866-1a52-4508-99d8-f13d0cc8bdf2</planbestammelsereferens>
    </Lage>
    <Lage>
      <lmg:Yta>
        <lmg:absolutLagesosakerhetPlan>0</lmg:absolutLagesosakerhetPlan>
        <lmg:absolutLagesosakerhetHojd>0</lmg:absolutLagesosakerhetHojd>
        <lmg:hojdsystem>RH 2000</lmg:hojdsystem>
        <gml:Polygon gml:id="ID_34637d81-9e91-4c80-9fcc-3c9a4088084b" srsName="EPSG:3011" srsDimension="2">
          <gml:exterior>
            <gml:LinearRing gml:id="ID_d48d0d9b-740c-4372-a797-f9d101855535">
              <gml:posList>6626271.722 138490.315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6626302.212 138500.643 6626300.856 138499.956 6626299.15 138499.137 6626297.328 138498.315 6626295.354 138497.482 6626293.195 138496.634 6626290.818 138495.769 6626288.191 138494.883 6626285.285 138493.976 6626282.061 138493.041 6626278.519 138492.074 6626274.692 138491.072 6626271.722 138490.315</gml:posList>
            </gml:LinearRing>
          </gml:exterior>
        </gml:Polygon>
      </lmg:Yta>
      <planbestammelsereferens>65949abe-0e9e-4b95-af4c-0b892e371824</planbestammelsereferens>
    </Lage>
    <Lage>
      <lmg:Yta>
        <lmg:absolutLagesosakerhetPlan>0</lmg:absolutLagesosakerhetPlan>
        <lmg:absolutLagesosakerhetHojd>0</lmg:absolutLagesosakerhetHojd>
        <lmg:hojdsystem>RH 2000</lmg:hojdsystem>
        <gml:Polygon gml:id="ID_4153d8ce-7640-44d9-a7cd-5d8fd2a8b958" srsName="EPSG:3011" srsDimension="2">
          <gml:exterior>
            <gml:LinearRing gml:id="ID_285ef4d1-6613-4509-a6e0-c3a75e8961c8">
              <gml:posList>6626418.946 138647.871 6626418.774 138647.777 6626414.41 138645.397 6626416.411 138637.328 6626432.205 138636.009 6626432.24 138636.426 6626432.621 138640.991 6626420.4 138642.013 6626418.946 138647.871</gml:posList>
            </gml:LinearRing>
          </gml:exterior>
        </gml:Polygon>
      </lmg:Yta>
      <planbestammelsereferens>99fb79e3-f9ed-4c94-8231-a8d6361c777a</planbestammelsereferens>
    </Lage>
    <Lage>
      <lmg:Yta>
        <lmg:absolutLagesosakerhetPlan>0</lmg:absolutLagesosakerhetPlan>
        <lmg:absolutLagesosakerhetHojd>0</lmg:absolutLagesosakerhetHojd>
        <lmg:hojdsystem>RH 2000</lmg:hojdsystem>
        <gml:Polygon gml:id="ID_eef5f233-4d3c-4648-98ae-94008bf705fe" srsName="EPSG:3011" srsDimension="2">
          <gml:exterior>
            <gml:LinearRing gml:id="ID_0bbcd822-8bba-4581-82b8-cc1942fca1e1">
              <gml:posList>6626573.734 138533.309 6626571.357 138533.805 6626571.309 138533.58 6626568.42 138519.917 6626566.052 138508.722 6626566.023 138508.583 6626564.071 138499.354 6626568.953 138498.103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gml:posList>
            </gml:LinearRing>
          </gml:exterior>
        </gml:Polygon>
      </lmg:Yta>
      <planbestammelsereferens>507c2e0d-8034-4ac0-be14-b3345e3851e9</planbestammelsereferens>
    </Lage>
    <Lage>
      <lmg:Yta>
        <lmg:absolutLagesosakerhetPlan>0</lmg:absolutLagesosakerhetPlan>
        <lmg:absolutLagesosakerhetHojd>0</lmg:absolutLagesosakerhetHojd>
        <lmg:hojdsystem>RH 2000</lmg:hojdsystem>
        <gml:Polygon gml:id="ID_c052e5cc-8061-4bf2-9706-b0d0e35deae0" srsName="EPSG:3011" srsDimension="2">
          <gml:exterior>
            <gml:LinearRing gml:id="ID_9c3fee2f-0b79-4c58-adb1-e00475db6a16">
              <gml:posList>6626265.7 138575.633 6626264.43 138574.577 6626264.407 138574.558 6626264.431 138574.114 6626265.326 138557.448 6626271.671 138571.207 6626278.347 138585.685 6626278.693 138586.435 6626278.347 138586.147 6626278.108 138585.949 6626265.7 138575.633</gml:posList>
            </gml:LinearRing>
          </gml:exterior>
        </gml:Polygon>
      </lmg:Yta>
      <planbestammelsereferens>22e4218c-561f-4132-a26d-69aaa0fd92ec</planbestammelsereferens>
    </Lage>
    <Lage>
      <lmg:Yta>
        <lmg:absolutLagesosakerhetPlan>0</lmg:absolutLagesosakerhetPlan>
        <lmg:absolutLagesosakerhetHojd>0</lmg:absolutLagesosakerhetHojd>
        <lmg:hojdsystem>RH 2000</lmg:hojdsystem>
        <gml:Polygon gml:id="ID_1b94ac61-acc2-4d61-92ea-a89dc10b1368" srsName="EPSG:3011" srsDimension="2">
          <gml:exterior>
            <gml:LinearRing gml:id="ID_d6ae472d-9c59-43ee-a8bf-f509453cfe84">
              <gml:posList>6626326.033 138463.285 6626323.005 138459.976 6626321.419 138458.245 6626319.281 138455.909 6626317.33 138453.778 6626309.931 138445.696 6626309.857 138438.21 6626313.619 138442.32 6626329.675 138459.858 6626327.941 138461.517 6626326.062 138463.315 6626326.033 138463.285</gml:posList>
            </gml:LinearRing>
          </gml:exterior>
        </gml:Polygon>
      </lmg:Yta>
      <planbestammelsereferens>fb0d256a-a745-4656-bbdf-79972cdb0dff</planbestammelsereferens>
    </Lage>
    <Lage>
      <lmg:Yta>
        <lmg:absolutLagesosakerhetPlan>0</lmg:absolutLagesosakerhetPlan>
        <lmg:absolutLagesosakerhetHojd>0</lmg:absolutLagesosakerhetHojd>
        <lmg:hojdsystem>RH 2000</lmg:hojdsystem>
        <gml:Polygon gml:id="ID_eca4ad62-150c-4b00-98b8-e27a24975660" srsName="EPSG:3011" srsDimension="2">
          <gml:exterior>
            <gml:LinearRing gml:id="ID_510bed2b-32b1-43a6-96c2-05ba7489f64c">
              <gml:posList>6626347.518 138719.199 6626239.786 138630.172 6626239.485 138624.733 6626350.066 138716.116 6626347.518 138719.199</gml:posList>
            </gml:LinearRing>
          </gml:exterior>
        </gml:Polygon>
      </lmg:Yta>
      <planbestammelsereferens>6014693d-1c64-4fbf-9daf-44e760e11da6</planbestammelsereferens>
    </Lage>
    <Lage>
      <lmg:Yta>
        <lmg:absolutLagesosakerhetPlan>0</lmg:absolutLagesosakerhetPlan>
        <lmg:absolutLagesosakerhetHojd>0</lmg:absolutLagesosakerhetHojd>
        <lmg:hojdsystem>RH 2000</lmg:hojdsystem>
        <gml:Polygon gml:id="ID_4cd20953-d38d-4f22-8152-8d287cc5473e" srsName="EPSG:3011" srsDimension="2">
          <gml:exterior>
            <gml:LinearRing gml:id="ID_1203cf09-10ee-4325-919a-95e6eeb1cb96">
              <gml:posList>6626159.787 138655.188 6626160.254 138654.999 6626179.035 138647.383 6626202.276 138637.855 6626203.614 138639.879 6626203.681 138639.981 6626198.399 138642.146 6626196.387 138642.97 6626179.979 138649.698 6626161.194 138657.316 6626159.787 138655.188</gml:posList>
            </gml:LinearRing>
          </gml:exterior>
        </gml:Polygon>
      </lmg:Yta>
      <planbestammelsereferens>eb8dd431-0a15-4bb1-9c85-2c52089a7b5f</planbestammelsereferens>
    </Lage>
    <Lage>
      <lmg:Yta>
        <lmg:absolutLagesosakerhetPlan>0</lmg:absolutLagesosakerhetPlan>
        <lmg:absolutLagesosakerhetHojd>0</lmg:absolutLagesosakerhetHojd>
        <lmg:hojdsystem>RH 2000</lmg:hojdsystem>
        <gml:Polygon gml:id="ID_21ec5b49-6630-403c-85eb-736cf09abf7e" srsName="EPSG:3011" srsDimension="2">
          <gml:exterior>
            <gml:LinearRing gml:id="ID_43696893-215f-425b-a893-ef5914cd7a21">
              <gml:posList>6626345.31 138840.125 6626297.178 138854.771 6626283.267 138859.004 6626251.934 138868.539 6626253.214 138863.446 6626281.249 138854.915 6626304.118 138847.956 6626343.988 138835.823 6626379.826 138824.706 6626388.228 138774.185 6626389.603 138765.917 6626389.981 138763.645 6626391.349 138755.421 6626392.107 138750.859 6626389.701 138748.87 6626354.691 138719.938 6626357.558 138716.469 6626396.972 138749.041 6626395.433 138758.291 6626385.271 138819.395 6626383.81 138828.182 6626383.666 138828.227 6626345.31 138840.125</gml:posList>
            </gml:LinearRing>
          </gml:exterior>
        </gml:Polygon>
      </lmg:Yta>
      <planbestammelsereferens>62f1ecb3-3d12-4408-9afa-07d6ffc4ffb4</planbestammelsereferens>
    </Lage>
    <Lage>
      <lmg:Yta>
        <lmg:absolutLagesosakerhetPlan>0</lmg:absolutLagesosakerhetPlan>
        <lmg:absolutLagesosakerhetHojd>0</lmg:absolutLagesosakerhetHojd>
        <lmg:hojdsystem>RH 2000</lmg:hojdsystem>
        <gml:Polygon gml:id="ID_81e1de62-dcd4-4555-bbe3-15b34621cf77" srsName="EPSG:3011" srsDimension="2">
          <gml:exterior>
            <gml:LinearRing gml:id="ID_d5c755f2-37b2-4a6d-9808-250165da343f">
              <gml:posList>6626321.73 138758.207 6626317.896 138755.039 6626319.489 138753.112 6626324.657 138746.859 6626347.518 138719.199 6626350.066 138716.116 6626352.933 138712.647 6626357.558 138716.469 6626354.691 138719.938 6626352.143 138723.021 6626323.974 138757.103 6626322.25 138759.189 6626321.73 138758.207</gml:posList>
            </gml:LinearRing>
          </gml:exterior>
        </gml:Polygon>
      </lmg:Yta>
      <planbestammelsereferens>295e8cd9-95f5-4a63-9417-4ef94528e2dc</planbestammelsereferens>
    </Lage>
    <Lage>
      <lmg:Yta>
        <lmg:absolutLagesosakerhetPlan>0</lmg:absolutLagesosakerhetPlan>
        <lmg:absolutLagesosakerhetHojd>0</lmg:absolutLagesosakerhetHojd>
        <lmg:hojdsystem>RH 2000</lmg:hojdsystem>
        <gml:Polygon gml:id="ID_63dcf6c5-61a9-4ef3-8fc7-ec00b61dbe35" srsName="EPSG:3011" srsDimension="2">
          <gml:exterior>
            <gml:LinearRing gml:id="ID_ca0df9e8-52c9-4697-97a9-bd7f6d597437">
              <gml:posList>6626317.896 138755.039 6626240.574 138691.125 6626236.362 138685.516 6626218.814 138644.931 6626230.788 138640.062 6626234.539 138636.849 6626237.167 138631.311 6626236.722 138622.45 6626239.835 138626.547 6626238.369 138635.445 6626232.131 138642.172 6626222.113 138646.262 6626238.539 138684.252 6626242.395 138689.387 6626319.489 138753.112 6626317.896 138755.039</gml:posList>
            </gml:LinearRing>
          </gml:exterior>
        </gml:Polygon>
      </lmg:Yta>
      <planbestammelsereferens>175db41c-1ac8-4938-83a4-a1872674d33c</planbestammelsereferens>
    </Lage>
    <Lage>
      <lmg:Yta>
        <lmg:absolutLagesosakerhetPlan>0</lmg:absolutLagesosakerhetPlan>
        <lmg:absolutLagesosakerhetHojd>0</lmg:absolutLagesosakerhetHojd>
        <lmg:hojdsystem>RH 2000</lmg:hojdsystem>
        <gml:Polygon gml:id="ID_87a004f2-7970-4888-9ede-394bf40c947a" srsName="EPSG:3011" srsDimension="2">
          <gml:exterior>
            <gml:LinearRing gml:id="ID_109141ee-8308-480f-993a-1d42591ba2c4">
              <gml:posList>6626322.25 138759.189 6626323.974 138757.103 6626324.674 138758.423 6626326.501 138761.87 6626327.065 138767.81 6626325.313 138773.514 6626321.512 138778.114 6626316.239 138780.909 6626310.298 138781.473 6626304.594 138779.721 6626299.67 138775.652 6626299.063 138772.255 6626298.457 138768.862 6626295.59 138752.819 6626293.818 138751.354 6626289.389 138747.694 6626274.43 138735.331 6626271.631 138733.017 6626258.515 138722.177 6626258.516 138722.172 6626253.437 138717.974 6626249.728 138714.909 6626231.745 138700.045 6626229.983 138695.97 6626229.563 138694.998 6626229.569 138695.003 6626229.589 138695.02 6626231.031 138696.212 6626231.621 138696.7 6626251.677 138713.276 6626256.336 138717.127 6626261.246 138721.185 6626261.245 138721.19 6626271.549 138729.706 6626273.169 138731.045 6626280.305 138736.943 6626291.028 138745.806 6626295.902 138749.833 6626297.889 138751.476 6626300.699 138767.201 6626301.45 138771.402 6626301.97 138774.309 6626305.803 138777.478 6626310.557 138778.938 6626315.071 138778.509 6626315.507 138778.467 6626319.901 138776.138 6626321.486 138774.222 6626323.069 138772.305 6626324.529 138767.551 6626324.059 138762.601 6626323.346 138761.256 6626322.25 138759.189</gml:posList>
            </gml:LinearRing>
          </gml:exterior>
        </gml:Polygon>
      </lmg:Yta>
      <planbestammelsereferens>906526ac-9ded-4ca8-a79f-59555a75413f</planbestammelsereferens>
    </Lage>
    <Indelning>
      <tema>Motiv till detaljplanens regleringar</tema>
      <grupp>Motiv till reglering</grupp>
    </Indelning>
  </Omfattning>
  <Omfattning>
    <identitet>mo_motivtillreglering13</identitet>
    <Lage>
      <lmg:Yta>
        <lmg:absolutLagesosakerhetPlan>0</lmg:absolutLagesosakerhetPlan>
        <lmg:absolutLagesosakerhetHojd>0</lmg:absolutLagesosakerhetHojd>
        <lmg:hojdsystem>RH 2000</lmg:hojdsystem>
        <gml:Polygon gml:id="ID_df04a5e5-0d38-477f-862e-17687c0ce196" srsName="EPSG:3011" srsDimension="2">
          <gml:exterior>
            <gml:LinearRing gml:id="ID_d43d4a56-38d0-4c87-88fe-0a5b7486994d">
              <gml:posList>6626219.65 138613.462 6626218.273 138612.32 6626216.392 138610.759 6626145.425 138551.878 6626140.076 138543.822 6626147.031 138548.013 6626222.396 138610.542 6626223.53 138611.484 6626225.101 138612.787 6626221.622 138612.928 6626219.65 138613.462</gml:posList>
            </gml:LinearRing>
          </gml:exterior>
        </gml:Polygon>
      </lmg:Yta>
      <planbestammelsereferens>388a3c48-f98f-49d2-8de0-28c0d9cafcb0</planbestammelsereferens>
    </Lage>
    <Lage>
      <lmg:Yta>
        <lmg:absolutLagesosakerhetPlan>0</lmg:absolutLagesosakerhetPlan>
        <lmg:absolutLagesosakerhetHojd>0</lmg:absolutLagesosakerhetHojd>
        <lmg:hojdsystem>RH 2000</lmg:hojdsystem>
        <gml:Polygon gml:id="ID_f1244486-f5a6-4503-b14f-0317b8da4440" srsName="EPSG:3011" srsDimension="2">
          <gml:exterior>
            <gml:LinearRing gml:id="ID_a2d47dbb-c40c-45c5-b01f-69c745a7e638">
              <gml:posList>6626347.518 138719.199 6626239.786 138630.172 6626239.485 138624.733 6626350.066 138716.116 6626347.518 138719.199</gml:posList>
            </gml:LinearRing>
          </gml:exterior>
        </gml:Polygon>
      </lmg:Yta>
      <planbestammelsereferens>161826d4-8614-4c19-860a-0e553bbb214b</planbestammelsereferens>
    </Lage>
    <Lage>
      <lmg:Yta>
        <lmg:absolutLagesosakerhetPlan>0</lmg:absolutLagesosakerhetPlan>
        <lmg:absolutLagesosakerhetHojd>0</lmg:absolutLagesosakerhetHojd>
        <lmg:hojdsystem>RH 2000</lmg:hojdsystem>
        <gml:Polygon gml:id="ID_bb1affa2-11a9-4302-a552-a8b734c8c067" srsName="EPSG:3011" srsDimension="2">
          <gml:exterior>
            <gml:LinearRing gml:id="ID_b841963a-050e-4243-98c6-a6770c15733a">
              <gml:posList>6626385.135 138768.404 6626389.981 138763.645 6626389.603 138765.917 6626388.228 138774.185 6626379.826 138824.706 6626343.988 138835.823 6626304.118 138847.956 6626334.508 138818.115 6626376.959 138776.431 6626385.135 138768.404</gml:posList>
            </gml:LinearRing>
          </gml:exterior>
        </gml:Polygon>
      </lmg:Yta>
      <planbestammelsereferens>e3aed065-0bf9-4b89-8799-6af5f51619d5</planbestammelsereferens>
    </Lage>
    <Lage>
      <lmg:Yta>
        <lmg:absolutLagesosakerhetPlan>0</lmg:absolutLagesosakerhetPlan>
        <lmg:absolutLagesosakerhetHojd>0</lmg:absolutLagesosakerhetHojd>
        <lmg:hojdsystem>RH 2000</lmg:hojdsystem>
        <gml:Polygon gml:id="ID_873d4e23-9fce-450c-a890-42f021671f48" srsName="EPSG:3011" srsDimension="2">
          <gml:exterior>
            <gml:LinearRing gml:id="ID_67cceba5-84b6-4bd5-9bd3-a9e6ff7f2600">
              <gml:posList>6626391.349 138755.421 6626389.559 138753.942 6626387.784 138752.474 6626385.77 138750.81 6626352.143 138723.021 6626354.691 138719.938 6626389.701 138748.87 6626392.107 138750.859 6626391.349 138755.421</gml:posList>
            </gml:LinearRing>
          </gml:exterior>
        </gml:Polygon>
      </lmg:Yta>
      <planbestammelsereferens>f5eb3ef7-7541-4cd1-9b0b-6dfd19bdca02</planbestammelsereferens>
    </Lage>
    <Indelning>
      <tema>Motiv till detaljplanens regleringar</tema>
      <grupp>Motiv till reglering</grupp>
    </Indelning>
  </Omfattning>
  <Omfattning>
    <identitet>mo_motivtillreglering14</identitet>
    <Lage>
      <lmg:Yta>
        <lmg:absolutLagesosakerhetPlan>0</lmg:absolutLagesosakerhetPlan>
        <lmg:absolutLagesosakerhetHojd>0</lmg:absolutLagesosakerhetHojd>
        <lmg:hojdsystem>RH 2000</lmg:hojdsystem>
        <gml:Polygon gml:id="ID_20f0b950-d483-4021-8c20-d0dbcb766926" srsName="EPSG:3011" srsDimension="2">
          <gml:exterior>
            <gml:LinearRing gml:id="ID_4459e453-af79-47b4-a376-5a40814b00f6">
              <gml:posList>6626202.276 138637.855 6626145.425 138551.878 6626219.65 138613.462 6626211.221 138619.482 6626208.717 138625.238 6626207.792 138635.593 6626202.276 138637.855</gml:posList>
            </gml:LinearRing>
          </gml:exterior>
        </gml:Polygon>
      </lmg:Yta>
      <planbestammelsereferens>d9b6ca9c-81cf-4422-849c-0cfead55546e</planbestammelsereferens>
    </Lage>
    <Lage>
      <lmg:Yta>
        <lmg:absolutLagesosakerhetPlan>0</lmg:absolutLagesosakerhetPlan>
        <lmg:absolutLagesosakerhetHojd>0</lmg:absolutLagesosakerhetHojd>
        <lmg:hojdsystem>RH 2000</lmg:hojdsystem>
        <gml:Polygon gml:id="ID_33a43434-2afc-47b8-82cd-62082e749f25" srsName="EPSG:3011" srsDimension="2">
          <gml:exterior>
            <gml:LinearRing gml:id="ID_e6b27677-7ec6-4791-9242-56e7cc22c111">
              <gml:posList>6626345.31 138840.125 6626297.178 138854.771 6626283.267 138859.004 6626251.934 138868.539 6626253.214 138863.446 6626264.09 138820.143 6626271.23 138791.373 6626247.878 138737.361 6626231.745 138700.045 6626229.983 138695.97 6626229.563 138694.998 6626229.569 138695.003 6626229.589 138695.02 6626231.031 138696.212 6626231.621 138696.7 6626251.677 138713.276 6626256.336 138717.127 6626261.246 138721.185 6626261.245 138721.19 6626271.549 138729.706 6626273.169 138731.045 6626280.305 138736.943 6626291.028 138745.806 6626295.902 138749.833 6626297.889 138751.476 6626300.699 138767.201 6626301.45 138771.402 6626301.97 138774.309 6626305.803 138777.478 6626310.557 138778.938 6626315.071 138778.509 6626315.507 138778.467 6626319.901 138776.138 6626321.486 138774.222 6626323.069 138772.305 6626324.529 138767.551 6626324.059 138762.601 6626323.346 138761.256 6626322.25 138759.189 6626321.73 138758.207 6626317.896 138755.039 6626317.528 138754.735 6626315.12 138752.744 6626314.116 138751.914 6626297.584 138738.25 6626293.991 138735.281 6626293.766 138735.095 6626292.868 138734.353 6626279.323 138723.158 6626274.912 138719.512 6626267.616 138713.482 6626267.617 138713.477 6626259.472 138706.745 6626253.919 138702.155 6626240.574 138691.125 6626236.362 138685.516 6626233.413 138678.697 6626231.496 138674.262 6626219.807 138647.227 6626219.796 138647.201 6626219.057 138645.492 6626218.814 138644.931 6626229.802 138640.519 6626230.788 138640.062 6626230.794 138640.058 6626232.34 138639.019 6626232.346 138639.014 6626232.349 138639.012 6626234.536 138636.853 6626234.539 138636.849 6626234.542 138636.845 6626236.173 138634.241 6626236.176 138634.236 6626236.178 138634.231 6626237.164 138631.323 6626237.166 138631.317 6626237.167 138631.311 6626237.458 138628.253 6626237.458 138628.248 6626237.458 138628.244 6626237.457 138628.241 6626237.123 138625.557 6626237.122 138625.552 6626237.121 138625.547 6626236.247 138622.984 6626236.246 138622.981 6626236.316 138622.904 6626236.722 138622.45 6626239.729 138619.094 6626239.736 138619.085 6626241.165 138620.271 6626244.75 138623.247 6626253.823 138630.745 6626279.083 138651.619 6626289.188 138659.97 6626304.187 138672.365 6626352.933 138712.647 6626357.558 138716.469 6626396.972 138749.041 6626395.433 138758.291 6626385.271 138819.395 6626383.81 138828.182 6626383.666 138828.227 6626345.31 138840.125</gml:posList>
            </gml:LinearRing>
          </gml:exterior>
        </gml:Polygon>
      </lmg:Yta>
      <planbestammelsereferens>3afb2004-cd39-49a7-a4bb-83ae2b826412</planbestammelsereferens>
    </Lage>
    <Lage>
      <lmg:Yta>
        <lmg:absolutLagesosakerhetPlan>0</lmg:absolutLagesosakerhetPlan>
        <lmg:absolutLagesosakerhetHojd>0</lmg:absolutLagesosakerhetHojd>
        <lmg:hojdsystem>RH 2000</lmg:hojdsystem>
        <gml:Polygon gml:id="ID_71b3236e-b631-4fba-9ef5-3b2bd3c60874" srsName="EPSG:3011" srsDimension="2">
          <gml:exterior>
            <gml:LinearRing gml:id="ID_bcde6f20-da7d-45f3-9665-b66b40a12484">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cc042879-f243-4e3f-9446-c2dcc4e3b7b9</planbestammelsereferens>
    </Lage>
    <Lage>
      <lmg:Yta>
        <lmg:absolutLagesosakerhetPlan>0</lmg:absolutLagesosakerhetPlan>
        <lmg:absolutLagesosakerhetHojd>0</lmg:absolutLagesosakerhetHojd>
        <lmg:hojdsystem>RH 2000</lmg:hojdsystem>
        <gml:Polygon gml:id="ID_e899237e-9f8b-4513-89bf-af6e482a8b29" srsName="EPSG:3011" srsDimension="2">
          <gml:exterior>
            <gml:LinearRing gml:id="ID_a1eca32f-87e0-4dd0-a7be-b5ef78de0b18">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2f730409-e25b-452a-96ba-d992719da3d0</planbestammelsereferens>
    </Lage>
    <Lage>
      <lmg:Yta>
        <lmg:absolutLagesosakerhetPlan>0</lmg:absolutLagesosakerhetPlan>
        <lmg:absolutLagesosakerhetHojd>0</lmg:absolutLagesosakerhetHojd>
        <lmg:hojdsystem>RH 2000</lmg:hojdsystem>
        <gml:Polygon gml:id="ID_245fb286-3efc-4d7a-a504-25f93ccc963d" srsName="EPSG:3011" srsDimension="2">
          <gml:exterior>
            <gml:LinearRing gml:id="ID_96864252-94e2-4917-863b-6293a9bd5324">
              <gml:posList>6626341.946 138479.596 6626335.821 138472.779 6626337.318 138471.228 6626344.598 138464.623 6626352.166 138458.087 6626359.667 138451.643 6626359.673 138451.638 6626361.135 138450.462 6626367.463 138445.369 6626375.206 138439.141 6626375.22 138439.13 6626383.106 138432.983 6626390.993 138426.836 6626394.99 138423.719 6626398.88 138420.688 6626402.72 138417.937 6626406.933 138415.312 6626415.553 138411.431 6626418.003 138410.539 6626418.96 138412.754 6626429.619 138437.406 6626428.572 138439.789 6626427.384 138442.496 6626397.137 138466.05 6626378.235 138481.321 6626363.871 138493.851 6626354.588 138493.667 6626341.946 138479.596</gml:posList>
            </gml:LinearRing>
          </gml:exterior>
        </gml:Polygon>
      </lmg:Yta>
      <planbestammelsereferens>6a126805-fdde-4349-b811-0dce1c3dd155</planbestammelsereferens>
    </Lage>
    <Lage>
      <lmg:Yta>
        <lmg:absolutLagesosakerhetPlan>0</lmg:absolutLagesosakerhetPlan>
        <lmg:absolutLagesosakerhetHojd>0</lmg:absolutLagesosakerhetHojd>
        <lmg:hojdsystem>RH 2000</lmg:hojdsystem>
        <gml:Polygon gml:id="ID_4f696a40-6cef-4952-98e3-6ae47e25aac0" srsName="EPSG:3011" srsDimension="2">
          <gml:exterior>
            <gml:LinearRing gml:id="ID_4334c451-2eac-4d59-a623-fca98827aac2">
              <gml:posList>6626086.159 138445.645 6626085.9 138445.449 6626086.16 138445.181 6626125.843 138404.234 6626126.132 138403.936 6626127.923 138404.825 6626129.814 138405.764 6626134.093 138408.093 6626138.32 138410.555 6626142.451 138413.174 6626146.498 138415.921 6626150.452 138418.801 6626154.307 138421.811 6626158.059 138424.947 6626161.705 138428.208 6626165.241 138431.588 6626168.662 138435.083 6626171.972 138438.685 6626173.676 138440.597 6626177.203 138444.316 6626180.885 138447.883 6626184.704 138451.302 6626185.207 138451.722 6626188.281 138454.282 6626188.642 138454.583 6626192.727 138457.679 6626196.895 138460.663 6626201.206 138463.436 6626205.59 138466.091 6626210.092 138468.542 6626214.677 138470.835 6626218.191 138472.395 6626219.362 138472.915 6626224.101 138474.867 6626228.932 138476.58 6626231.631 138477.459 6626233.806 138478.167 6626236.496 138478.888 6626241.14 138480.132 6626250.802 138482.709 6626255.631 138484.007 6626257.706 138484.557 6626257.664 138484.701 6626257.539 138485.132 6626257.435 138485.493 6626255.401 138492.52 6626241.699 138539.871 6626212.366 138531.405 6626178.674 138503.452 6626096.159 138453.169 6626086.159 138445.645</gml:posList>
            </gml:LinearRing>
          </gml:exterior>
        </gml:Polygon>
      </lmg:Yta>
      <planbestammelsereferens>99b6b48c-bd93-49e3-943f-156c0a9abcc2</planbestammelsereferens>
    </Lage>
    <Lage>
      <lmg:Yta>
        <lmg:absolutLagesosakerhetPlan>0</lmg:absolutLagesosakerhetPlan>
        <lmg:absolutLagesosakerhetHojd>0</lmg:absolutLagesosakerhetHojd>
        <lmg:hojdsystem>RH 2000</lmg:hojdsystem>
        <gml:Polygon gml:id="ID_54203763-fec5-44d3-98af-36fc1378cd93" srsName="EPSG:3011" srsDimension="2">
          <gml:exterior>
            <gml:LinearRing gml:id="ID_d96ade31-56f2-4324-83b8-eb38d7f1f9c7">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6626326.033 138463.285 6626323.005 138459.976 6626321.419 138458.245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lmg:Yta>
      <planbestammelsereferens>e6a91440-5167-4670-af29-6cce4cb25756</planbestammelsereferens>
    </Lage>
    <Lage>
      <lmg:Yta>
        <lmg:absolutLagesosakerhetPlan>0</lmg:absolutLagesosakerhetPlan>
        <lmg:absolutLagesosakerhetHojd>0</lmg:absolutLagesosakerhetHojd>
        <lmg:hojdsystem>RH 2000</lmg:hojdsystem>
        <gml:Polygon gml:id="ID_72693dc1-fcfe-4282-8fb9-1c2e81adb0de" srsName="EPSG:3011" srsDimension="2">
          <gml:exterior>
            <gml:LinearRing gml:id="ID_cae4a157-ffd8-4e74-a20f-271b8680ffd9">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lmg:Yta>
      <planbestammelsereferens>85120b0d-a916-4ed1-bcf9-047cc25c1d2f</planbestammelsereferens>
    </Lage>
    <Lage>
      <lmg:Yta>
        <lmg:absolutLagesosakerhetPlan>0</lmg:absolutLagesosakerhetPlan>
        <lmg:absolutLagesosakerhetHojd>0</lmg:absolutLagesosakerhetHojd>
        <lmg:hojdsystem>RH 2000</lmg:hojdsystem>
        <gml:Polygon gml:id="ID_259b44b7-2cbc-450f-bcb6-74265e5473c2" srsName="EPSG:3011" srsDimension="2">
          <gml:exterior>
            <gml:LinearRing gml:id="ID_a6e085ce-6e70-46a4-8913-d4c25cb50eef">
              <gml:posList>6626528.913 138537.483 6626502.509 138538.955 6626502.422 138538.96 6626502.19 138538.2 6626501.988 138537.534 6626501.775 138536.834 6626501.617 138536.141 6626500.76 138532.388 6626499.989 138527.892 6626499.466 138523.361 6626499.191 138518.809 6626499.175 138515.845 6626499.167 138514.386 6626499.167 138514.248 6626499.392 138509.692 6626499.799 138505.796 6626499.829 138505.443 6626500.508 138499.706 6626500.584 138499.063 6626501.232 138494.331 6626501.75 138490.226 6626503.002 138480.305 6626503.53 138476.353 6626503.717 138474.763 6626504.188 138467.123 6626504.234 138461.796 6626504.076 138456.452 6626503.975 138455.045 6626503.694 138451.13 6626503.089 138445.828 6626502.261 138440.556 6626501.234 138435.333 6626500.455 138432.161 6626502.883 138431.649 6626528.373 138426.273 6626539.699 138423.884 6626543.288 138423.127 6626549.482 138421.821 6626555.673 138420.515 6626555.756 138420.908 6626556.433 138424.126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 6626571.357 138533.805 6626563.713 138535.402 6626562.797 138535.593 6626560.676 138535.712 6626553.865 138536.092 6626528.913 138537.483</gml:posList>
            </gml:LinearRing>
          </gml:exterior>
        </gml:Polygon>
      </lmg:Yta>
      <planbestammelsereferens>18d0c3e7-7fe0-43e7-bd90-412933ab7c3a</planbestammelsereferens>
    </Lage>
    <Lage>
      <lmg:Yta>
        <lmg:absolutLagesosakerhetPlan>0</lmg:absolutLagesosakerhetPlan>
        <lmg:absolutLagesosakerhetHojd>0</lmg:absolutLagesosakerhetHojd>
        <lmg:hojdsystem>RH 2000</lmg:hojdsystem>
        <gml:Polygon gml:id="ID_1ff9431a-c366-4c6d-a4a2-7f1e9cb0c999" srsName="EPSG:3011" srsDimension="2">
          <gml:exterior>
            <gml:LinearRing gml:id="ID_dd1723a4-6f4e-4105-99c8-f6cc8a651544">
              <gml:posList>6626488.121 138516.247 6626488.045 138519.174 6626488.135 138520.186 6626488.181 138520.698 6626488.962 138529.473 6626489.319 138531.272 6626490.44 138536.918 6626490.882 138539.144 6626473.194 138539.393 6626420.176 138516.111 6626416.068 138505.571 6626443.898 138442.196 6626449.821 138428.708 6626479.565 138415.853 6626479.765 138416.089 6626481.835 138418.532 6626484.484 138422.403 6626484.917 138423.199 6626486.658 138426.406 6626486.723 138426.524 6626487.078 138427.375 6626488.294 138430.293 6626488.528 138430.853 6626489.577 138434.337 6626489.757 138434.935 6626489.881 138435.345 6626490.876 138439.816 6626490.912 138439.974 6626490.938 138440.098 6626491.054 138440.83 6626491.575 138444.152 6626491.935 138446.44 6626492.451 138449.724 6626492.645 138452.433 6626492.754 138453.957 6626493.148 138459.443 6626493.026 138469.187 6626492.089 138478.927 6626491.108 138486.701 6626490.836 138488.848 6626490.326 138492.895 6626489.584 138498.769 6626488.918 138504.047 6626488.811 138504.892 6626488.312 138508.839 6626488.186 138513.742 6626488.125 138516.025 6626488.121 138516.247</gml:posList>
            </gml:LinearRing>
          </gml:exterior>
        </gml:Polygon>
      </lmg:Yta>
      <planbestammelsereferens>2519a1ee-d9a8-467d-b5ff-f846e6ecd38e</planbestammelsereferens>
    </Lage>
    <Lage>
      <lmg:Yta>
        <lmg:absolutLagesosakerhetPlan>0</lmg:absolutLagesosakerhetPlan>
        <lmg:absolutLagesosakerhetHojd>0</lmg:absolutLagesosakerhetHojd>
        <lmg:hojdsystem>RH 2000</lmg:hojdsystem>
        <gml:Polygon gml:id="ID_22279aed-6144-4866-92d6-b1d273839218" srsName="EPSG:3011" srsDimension="2">
          <gml:exterior>
            <gml:LinearRing gml:id="ID_cbfdd7cd-2975-4333-aa7c-0c92788a5ed5">
              <gml:posList>6626315.823 138550.34 6626312.894 138542.716 6626353.148 138526.44 6626414.41 138553.931 6626429.15 138599.446 6626432.205 138636.009 6626432.24 138636.426 6626432.621 138640.991 6626420.4 138642.013 6626418.946 138647.871 6626418.774 138647.777 6626414.41 138645.397 6626413.775 138645.05 6626413.318 138644.756 6626412.477 138644.213 6626405.546 138639.745 6626397.296 138634.174 6626390.93 138629.762 6626389.103 138628.495 6626386.043 138626.312 6626383.239 138624.311 6626381.667 138623.19 6626381.098 138622.783 6626378.136 138620.417 6626373.285 138616.542 6626365.635 138610.271 6626364.609 138609.389 6626362.298 138607.401 6626358.053 138603.751 6626350.749 138597.242 6626343.649 138590.207 6626340.587 138586.938 6626336.963 138583.066 6626330.809 138575.463 6626325.219 138567.436 6626323.731 138564.961 6626322.521 138562.95 6626320.542 138559.659 6626320.409 138559.439 6626320.16 138559.024 6626320.024 138558.752 6626319.953 138558.61 6626315.823 138550.34</gml:posList>
            </gml:LinearRing>
          </gml:exterior>
        </gml:Polygon>
      </lmg:Yta>
      <planbestammelsereferens>3c4b1ae2-cc8e-4ecc-b6ef-7353074512a5</planbestammelsereferens>
    </Lage>
    <Lage>
      <lmg:Yta>
        <lmg:absolutLagesosakerhetPlan>0</lmg:absolutLagesosakerhetPlan>
        <lmg:absolutLagesosakerhetHojd>0</lmg:absolutLagesosakerhetHojd>
        <lmg:hojdsystem>RH 2000</lmg:hojdsystem>
        <gml:Polygon gml:id="ID_9809bcc2-ec9e-416f-9910-395b37194ecc" srsName="EPSG:3011" srsDimension="2">
          <gml:exterior>
            <gml:LinearRing gml:id="ID_6e4433bf-4fbb-45b9-a842-9b0e72dac8af">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5a4e7965-5956-4acd-a2c5-f1890ef10cb3</planbestammelsereferens>
    </Lage>
    <Lage>
      <lmg:Yta>
        <lmg:absolutLagesosakerhetPlan>0</lmg:absolutLagesosakerhetPlan>
        <lmg:absolutLagesosakerhetHojd>0</lmg:absolutLagesosakerhetHojd>
        <lmg:hojdsystem>RH 2000</lmg:hojdsystem>
        <gml:Polygon gml:id="ID_06274171-2a39-49c6-8112-9dbb41e231bf" srsName="EPSG:3011" srsDimension="2">
          <gml:exterior>
            <gml:LinearRing gml:id="ID_ccb7495a-7190-4b16-ba04-ece9e4be87ad">
              <gml:posList>6626345.31 138840.125 6626297.178 138854.771 6626283.267 138859.004 6626251.934 138868.539 6626253.214 138863.446 6626264.09 138820.143 6626271.23 138791.373 6626247.878 138737.361 6626231.745 138700.045 6626229.983 138695.97 6626229.563 138694.998 6626229.569 138695.003 6626229.589 138695.02 6626231.031 138696.212 6626231.621 138696.7 6626251.677 138713.276 6626256.336 138717.127 6626261.246 138721.185 6626261.245 138721.19 6626271.549 138729.706 6626273.169 138731.045 6626280.305 138736.943 6626291.028 138745.806 6626295.902 138749.833 6626297.889 138751.476 6626300.699 138767.201 6626301.45 138771.402 6626301.97 138774.309 6626305.803 138777.478 6626310.557 138778.938 6626315.071 138778.509 6626315.507 138778.467 6626319.901 138776.138 6626321.486 138774.222 6626323.069 138772.305 6626324.529 138767.551 6626324.059 138762.601 6626323.346 138761.256 6626322.25 138759.189 6626321.73 138758.207 6626317.896 138755.039 6626317.528 138754.735 6626315.12 138752.744 6626314.116 138751.914 6626297.584 138738.25 6626293.991 138735.281 6626293.766 138735.095 6626292.868 138734.353 6626279.323 138723.158 6626274.912 138719.512 6626267.616 138713.482 6626267.617 138713.477 6626259.472 138706.745 6626253.919 138702.155 6626240.574 138691.125 6626236.362 138685.516 6626233.413 138678.697 6626231.496 138674.262 6626219.807 138647.227 6626219.796 138647.201 6626219.057 138645.492 6626218.814 138644.931 6626229.802 138640.519 6626230.788 138640.062 6626230.794 138640.058 6626232.34 138639.019 6626232.346 138639.014 6626232.349 138639.012 6626234.536 138636.853 6626234.539 138636.849 6626234.542 138636.845 6626236.173 138634.241 6626236.176 138634.236 6626236.178 138634.231 6626237.164 138631.323 6626237.166 138631.317 6626237.167 138631.311 6626237.458 138628.253 6626237.458 138628.248 6626237.458 138628.244 6626237.457 138628.241 6626237.123 138625.557 6626237.122 138625.552 6626237.121 138625.547 6626236.247 138622.984 6626236.246 138622.981 6626236.316 138622.904 6626236.722 138622.45 6626239.729 138619.094 6626239.736 138619.085 6626241.165 138620.271 6626244.75 138623.247 6626253.823 138630.745 6626279.083 138651.619 6626289.188 138659.97 6626304.187 138672.365 6626352.933 138712.647 6626357.558 138716.469 6626396.972 138749.041 6626395.433 138758.291 6626385.271 138819.395 6626383.81 138828.182 6626383.666 138828.227 6626345.31 138840.125</gml:posList>
            </gml:LinearRing>
          </gml:exterior>
        </gml:Polygon>
      </lmg:Yta>
      <planbestammelsereferens>37cdeeab-52b0-4502-9140-7c139e3436d0</planbestammelsereferens>
    </Lage>
    <Indelning>
      <tema>Motiv till detaljplanens regleringar</tema>
      <grupp>Motiv till reglering</grupp>
    </Indelning>
  </Omfattning>
  <Omfattning>
    <identitet>mo_motivtillreglering15</identitet>
    <Lage>
      <lmg:Yta>
        <lmg:absolutLagesosakerhetPlan>0</lmg:absolutLagesosakerhetPlan>
        <lmg:absolutLagesosakerhetHojd>0</lmg:absolutLagesosakerhetHojd>
        <lmg:hojdsystem>RH 2000</lmg:hojdsystem>
        <gml:Polygon gml:id="ID_04af0523-e3e1-40d3-abe3-3301fc7bcd34" srsName="EPSG:3011" srsDimension="2">
          <gml:exterior>
            <gml:LinearRing gml:id="ID_c92f81b1-9e25-40f5-9134-460b2ac02620">
              <gml:posList>6626219.65 138613.462 6626218.273 138612.32 6626216.392 138610.759 6626145.425 138551.878 6626140.076 138543.822 6626147.031 138548.013 6626222.396 138610.542 6626223.53 138611.484 6626225.101 138612.787 6626221.622 138612.928 6626219.65 138613.462</gml:posList>
            </gml:LinearRing>
          </gml:exterior>
        </gml:Polygon>
      </lmg:Yta>
      <planbestammelsereferens>e5bbf86e-535c-4133-8965-20bc2dff366d</planbestammelsereferens>
    </Lage>
    <Lage>
      <lmg:Yta>
        <lmg:absolutLagesosakerhetPlan>0</lmg:absolutLagesosakerhetPlan>
        <lmg:absolutLagesosakerhetHojd>0</lmg:absolutLagesosakerhetHojd>
        <lmg:hojdsystem>RH 2000</lmg:hojdsystem>
        <gml:Polygon gml:id="ID_c57a0cb4-916c-4ebb-90e2-0656755af628" srsName="EPSG:3011" srsDimension="2">
          <gml:exterior>
            <gml:LinearRing gml:id="ID_9a0ef617-59ba-42fa-859d-a2a3ffa3b1bd">
              <gml:posList>6626347.518 138719.199 6626239.786 138630.172 6626239.485 138624.733 6626350.066 138716.116 6626347.518 138719.199</gml:posList>
            </gml:LinearRing>
          </gml:exterior>
        </gml:Polygon>
      </lmg:Yta>
      <planbestammelsereferens>217c7b5b-a0a1-42b8-b299-c8cf73015460</planbestammelsereferens>
    </Lage>
    <Lage>
      <lmg:Yta>
        <lmg:absolutLagesosakerhetPlan>0</lmg:absolutLagesosakerhetPlan>
        <lmg:absolutLagesosakerhetHojd>0</lmg:absolutLagesosakerhetHojd>
        <lmg:hojdsystem>RH 2000</lmg:hojdsystem>
        <gml:Polygon gml:id="ID_a036466e-6107-4ed1-b438-94fa3edc1f3e" srsName="EPSG:3011" srsDimension="2">
          <gml:exterior>
            <gml:LinearRing gml:id="ID_1bced123-1695-47af-9fb7-3426e5288cca">
              <gml:posList>6626385.135 138768.404 6626389.981 138763.645 6626389.603 138765.917 6626388.228 138774.185 6626379.826 138824.706 6626343.988 138835.823 6626304.118 138847.956 6626334.508 138818.115 6626376.959 138776.431 6626385.135 138768.404</gml:posList>
            </gml:LinearRing>
          </gml:exterior>
        </gml:Polygon>
      </lmg:Yta>
      <planbestammelsereferens>5395b8a7-8804-4c2b-84a9-5d6effea5476</planbestammelsereferens>
    </Lage>
    <Lage>
      <lmg:Yta>
        <lmg:absolutLagesosakerhetPlan>0</lmg:absolutLagesosakerhetPlan>
        <lmg:absolutLagesosakerhetHojd>0</lmg:absolutLagesosakerhetHojd>
        <lmg:hojdsystem>RH 2000</lmg:hojdsystem>
        <gml:Polygon gml:id="ID_f22398a4-5aed-4ab8-9dda-c5633932913b" srsName="EPSG:3011" srsDimension="2">
          <gml:exterior>
            <gml:LinearRing gml:id="ID_536d92f6-80cb-4541-8e46-30afce7db3b1">
              <gml:posList>6626391.349 138755.421 6626389.559 138753.942 6626387.784 138752.474 6626385.77 138750.81 6626352.143 138723.021 6626354.691 138719.938 6626389.701 138748.87 6626392.107 138750.859 6626391.349 138755.421</gml:posList>
            </gml:LinearRing>
          </gml:exterior>
        </gml:Polygon>
      </lmg:Yta>
      <planbestammelsereferens>d3239c0f-9e7e-4980-ad15-5059368beb13</planbestammelsereferens>
    </Lage>
    <Lage>
      <lmg:Yta>
        <lmg:absolutLagesosakerhetPlan>0</lmg:absolutLagesosakerhetPlan>
        <lmg:absolutLagesosakerhetHojd>0</lmg:absolutLagesosakerhetHojd>
        <lmg:hojdsystem>RH 2000</lmg:hojdsystem>
        <gml:Polygon gml:id="ID_061fa5e9-a607-4859-9a55-a4c39544b305" srsName="EPSG:3011" srsDimension="2">
          <gml:exterior>
            <gml:LinearRing gml:id="ID_a7f06ef0-7247-46ad-b4c9-faa5885ddf0e">
              <gml:posList>6626086.159 138445.645 6626085.9 138445.449 6626086.16 138445.181 6626125.843 138404.234 6626126.132 138403.936 6626127.923 138404.825 6626129.814 138405.764 6626134.093 138408.093 6626138.32 138410.555 6626142.451 138413.174 6626146.498 138415.921 6626150.452 138418.801 6626154.307 138421.811 6626158.059 138424.947 6626161.705 138428.208 6626165.241 138431.588 6626168.662 138435.083 6626171.972 138438.685 6626173.676 138440.597 6626177.203 138444.316 6626180.885 138447.883 6626184.704 138451.302 6626185.207 138451.722 6626188.281 138454.282 6626188.642 138454.583 6626192.727 138457.679 6626196.895 138460.663 6626201.206 138463.436 6626205.59 138466.091 6626210.092 138468.542 6626214.677 138470.835 6626218.191 138472.395 6626219.362 138472.915 6626224.101 138474.867 6626228.932 138476.58 6626231.631 138477.459 6626233.806 138478.167 6626236.496 138478.888 6626241.14 138480.132 6626250.802 138482.709 6626255.631 138484.007 6626257.706 138484.557 6626257.664 138484.701 6626257.539 138485.132 6626257.435 138485.493 6626255.401 138492.52 6626241.699 138539.871 6626212.366 138531.405 6626178.674 138503.452 6626096.159 138453.169 6626086.159 138445.645</gml:posList>
            </gml:LinearRing>
          </gml:exterior>
        </gml:Polygon>
      </lmg:Yta>
      <planbestammelsereferens>4ba9a1df-b14b-4994-8eb5-fb6f632e4abb</planbestammelsereferens>
    </Lage>
    <Lage>
      <lmg:Yta>
        <lmg:absolutLagesosakerhetPlan>0</lmg:absolutLagesosakerhetPlan>
        <lmg:absolutLagesosakerhetHojd>0</lmg:absolutLagesosakerhetHojd>
        <lmg:hojdsystem>RH 2000</lmg:hojdsystem>
        <gml:Polygon gml:id="ID_a74438c7-e008-451b-9cb0-e33f71b8031e" srsName="EPSG:3011" srsDimension="2">
          <gml:exterior>
            <gml:LinearRing gml:id="ID_9c36df21-4a92-448f-bca9-6746ff5eec6e">
              <gml:posList>6626315.823 138550.34 6626312.894 138542.716 6626353.148 138526.44 6626414.41 138553.931 6626429.15 138599.446 6626432.205 138636.009 6626432.24 138636.426 6626432.621 138640.991 6626420.4 138642.013 6626418.946 138647.871 6626418.774 138647.777 6626414.41 138645.397 6626413.775 138645.05 6626413.318 138644.756 6626412.477 138644.213 6626405.546 138639.745 6626397.296 138634.174 6626390.93 138629.762 6626389.103 138628.495 6626386.043 138626.312 6626383.239 138624.311 6626381.667 138623.19 6626381.098 138622.783 6626378.136 138620.417 6626373.285 138616.542 6626365.635 138610.271 6626364.609 138609.389 6626362.298 138607.401 6626358.053 138603.751 6626350.749 138597.242 6626343.649 138590.207 6626340.587 138586.938 6626336.963 138583.066 6626330.809 138575.463 6626325.219 138567.436 6626323.731 138564.961 6626322.521 138562.95 6626320.542 138559.659 6626320.409 138559.439 6626320.16 138559.024 6626320.024 138558.752 6626319.953 138558.61 6626315.823 138550.34</gml:posList>
            </gml:LinearRing>
          </gml:exterior>
        </gml:Polygon>
      </lmg:Yta>
      <planbestammelsereferens>6be03efe-b17e-41ef-8c7c-3eb0aafbb4f5</planbestammelsereferens>
    </Lage>
    <Lage>
      <lmg:Yta>
        <lmg:absolutLagesosakerhetPlan>0</lmg:absolutLagesosakerhetPlan>
        <lmg:absolutLagesosakerhetHojd>0</lmg:absolutLagesosakerhetHojd>
        <lmg:hojdsystem>RH 2000</lmg:hojdsystem>
        <gml:Polygon gml:id="ID_b4c65283-0f61-4605-b7b5-a9bf6a2a255f" srsName="EPSG:3011" srsDimension="2">
          <gml:exterior>
            <gml:LinearRing gml:id="ID_2b5c9384-1dc7-4498-90ba-19dcd0fd28a1">
              <gml:posList>6626341.946 138479.596 6626335.821 138472.779 6626337.318 138471.228 6626344.598 138464.623 6626352.166 138458.087 6626359.667 138451.643 6626359.673 138451.638 6626361.135 138450.462 6626367.463 138445.369 6626375.206 138439.141 6626375.22 138439.13 6626383.106 138432.983 6626390.993 138426.836 6626394.99 138423.719 6626398.88 138420.688 6626402.72 138417.937 6626406.933 138415.312 6626415.553 138411.431 6626418.003 138410.539 6626418.96 138412.754 6626429.619 138437.406 6626428.572 138439.789 6626427.384 138442.496 6626397.137 138466.05 6626378.235 138481.321 6626363.871 138493.851 6626354.588 138493.667 6626341.946 138479.596</gml:posList>
            </gml:LinearRing>
          </gml:exterior>
        </gml:Polygon>
      </lmg:Yta>
      <planbestammelsereferens>23cd3ce1-cd7e-4c29-a3aa-b59f52dedf99</planbestammelsereferens>
    </Lage>
    <Lage>
      <lmg:Yta>
        <lmg:absolutLagesosakerhetPlan>0</lmg:absolutLagesosakerhetPlan>
        <lmg:absolutLagesosakerhetHojd>0</lmg:absolutLagesosakerhetHojd>
        <lmg:hojdsystem>RH 2000</lmg:hojdsystem>
        <gml:Polygon gml:id="ID_9da388b2-f505-4ba2-9192-f02b7c7d0d51" srsName="EPSG:3011" srsDimension="2">
          <gml:exterior>
            <gml:LinearRing gml:id="ID_fac3ba89-4ff6-4273-95a7-d5d57f589b58">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6626326.033 138463.285 6626323.005 138459.976 6626321.419 138458.245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lmg:Yta>
      <planbestammelsereferens>3629b8b9-73ac-4c18-8d5d-675ee4e74d16</planbestammelsereferens>
    </Lage>
    <Lage>
      <lmg:Yta>
        <lmg:absolutLagesosakerhetPlan>0</lmg:absolutLagesosakerhetPlan>
        <lmg:absolutLagesosakerhetHojd>0</lmg:absolutLagesosakerhetHojd>
        <lmg:hojdsystem>RH 2000</lmg:hojdsystem>
        <gml:Polygon gml:id="ID_bbc0f4dc-4f09-40fb-b93a-b1ac6e8ad806" srsName="EPSG:3011" srsDimension="2">
          <gml:exterior>
            <gml:LinearRing gml:id="ID_1ef16cb2-7892-4fb5-b127-18e515721d93">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lmg:Yta>
      <planbestammelsereferens>9b010d4f-44cb-418c-b9e2-7f95bf06e3e5</planbestammelsereferens>
    </Lage>
    <Lage>
      <lmg:Yta>
        <lmg:absolutLagesosakerhetPlan>0</lmg:absolutLagesosakerhetPlan>
        <lmg:absolutLagesosakerhetHojd>0</lmg:absolutLagesosakerhetHojd>
        <lmg:hojdsystem>RH 2000</lmg:hojdsystem>
        <gml:Polygon gml:id="ID_d94df7df-0b75-472c-bb2b-1afa085fb7be" srsName="EPSG:3011" srsDimension="2">
          <gml:exterior>
            <gml:LinearRing gml:id="ID_cc0376f8-c5e5-462e-89b3-f4432d87a05d">
              <gml:posList>6626488.121 138516.247 6626488.045 138519.174 6626488.135 138520.186 6626488.181 138520.698 6626488.962 138529.473 6626489.319 138531.272 6626490.44 138536.918 6626490.882 138539.144 6626473.194 138539.393 6626420.176 138516.111 6626416.068 138505.571 6626443.898 138442.196 6626449.821 138428.708 6626479.565 138415.853 6626479.765 138416.089 6626481.835 138418.532 6626484.484 138422.403 6626484.917 138423.199 6626486.658 138426.406 6626486.723 138426.524 6626487.078 138427.375 6626488.294 138430.293 6626488.528 138430.853 6626489.577 138434.337 6626489.757 138434.935 6626489.881 138435.345 6626490.876 138439.816 6626490.912 138439.974 6626490.938 138440.098 6626491.054 138440.83 6626491.575 138444.152 6626491.935 138446.44 6626492.451 138449.724 6626492.645 138452.433 6626492.754 138453.957 6626493.148 138459.443 6626493.026 138469.187 6626492.089 138478.927 6626491.108 138486.701 6626490.836 138488.848 6626490.326 138492.895 6626489.584 138498.769 6626488.918 138504.047 6626488.811 138504.892 6626488.312 138508.839 6626488.186 138513.742 6626488.125 138516.025 6626488.121 138516.247</gml:posList>
            </gml:LinearRing>
          </gml:exterior>
        </gml:Polygon>
      </lmg:Yta>
      <planbestammelsereferens>b9ad1331-c776-4fa4-82a9-178d2d7ea004</planbestammelsereferens>
    </Lage>
    <Lage>
      <lmg:Yta>
        <lmg:absolutLagesosakerhetPlan>0</lmg:absolutLagesosakerhetPlan>
        <lmg:absolutLagesosakerhetHojd>0</lmg:absolutLagesosakerhetHojd>
        <lmg:hojdsystem>RH 2000</lmg:hojdsystem>
        <gml:Polygon gml:id="ID_44403d71-4a39-4044-9943-83049e53de6a" srsName="EPSG:3011" srsDimension="2">
          <gml:exterior>
            <gml:LinearRing gml:id="ID_2686d464-d590-4433-8417-02adb4df9300">
              <gml:posList>6626528.913 138537.483 6626502.509 138538.955 6626502.422 138538.96 6626502.19 138538.2 6626501.988 138537.534 6626501.775 138536.834 6626501.617 138536.141 6626500.76 138532.388 6626499.989 138527.892 6626499.466 138523.361 6626499.191 138518.809 6626499.175 138515.845 6626499.167 138514.386 6626499.167 138514.248 6626499.392 138509.692 6626499.799 138505.796 6626499.829 138505.443 6626500.508 138499.706 6626500.584 138499.063 6626501.232 138494.331 6626501.75 138490.226 6626503.002 138480.305 6626503.53 138476.353 6626503.717 138474.763 6626504.188 138467.123 6626504.234 138461.796 6626504.076 138456.452 6626503.975 138455.045 6626503.694 138451.13 6626503.089 138445.828 6626502.261 138440.556 6626501.234 138435.333 6626500.455 138432.161 6626502.883 138431.649 6626528.373 138426.273 6626539.699 138423.884 6626543.288 138423.127 6626549.482 138421.821 6626555.673 138420.515 6626555.756 138420.908 6626556.433 138424.126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 6626571.357 138533.805 6626563.713 138535.402 6626562.797 138535.593 6626560.676 138535.712 6626553.865 138536.092 6626528.913 138537.483</gml:posList>
            </gml:LinearRing>
          </gml:exterior>
        </gml:Polygon>
      </lmg:Yta>
      <planbestammelsereferens>2e06c4a5-88ba-44fa-8aac-2e95ed8ef61b</planbestammelsereferens>
    </Lage>
    <Lage>
      <lmg:Yta>
        <lmg:absolutLagesosakerhetPlan>0</lmg:absolutLagesosakerhetPlan>
        <lmg:absolutLagesosakerhetHojd>0</lmg:absolutLagesosakerhetHojd>
        <lmg:hojdsystem>RH 2000</lmg:hojdsystem>
        <gml:Polygon gml:id="ID_fbcd92ca-9d38-4d27-9a24-4390139d258d" srsName="EPSG:3011" srsDimension="2">
          <gml:exterior>
            <gml:LinearRing gml:id="ID_1d746dd9-bb7e-47c5-8464-247e0a4cb0d2">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91b90880-5157-4c16-850e-b97a4e80dbe3</planbestammelsereferens>
    </Lage>
    <Lage>
      <lmg:Yta>
        <lmg:absolutLagesosakerhetPlan>0</lmg:absolutLagesosakerhetPlan>
        <lmg:absolutLagesosakerhetHojd>0</lmg:absolutLagesosakerhetHojd>
        <lmg:hojdsystem>RH 2000</lmg:hojdsystem>
        <gml:Polygon gml:id="ID_f7166253-77a4-451d-915d-cfc77555c37b" srsName="EPSG:3011" srsDimension="2">
          <gml:exterior>
            <gml:LinearRing gml:id="ID_1b231529-5e57-486d-974c-bcac050859c2">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fab16a83-435f-4922-8b68-6cf52fe0a351</planbestammelsereferens>
    </Lage>
    <Lage>
      <lmg:Yta>
        <lmg:absolutLagesosakerhetPlan>0</lmg:absolutLagesosakerhetPlan>
        <lmg:absolutLagesosakerhetHojd>0</lmg:absolutLagesosakerhetHojd>
        <lmg:hojdsystem>RH 2000</lmg:hojdsystem>
        <gml:Polygon gml:id="ID_66ec9d63-4427-47ae-a5bc-40729313c679" srsName="EPSG:3011" srsDimension="2">
          <gml:exterior>
            <gml:LinearRing gml:id="ID_6b6a932f-5afa-4ee4-ba50-22b9a4b53435">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df53fd5e-75a9-4988-9fb9-2ac52776b96a</planbestammelsereferens>
    </Lage>
    <Indelning>
      <tema>Motiv till detaljplanens regleringar</tema>
      <grupp>Motiv till reglering</grupp>
    </Indelning>
  </Omfattning>
  <Omfattning>
    <identitet>mo_motivtillreglering16</identitet>
    <Lage>
      <lmg:Yta>
        <lmg:absolutLagesosakerhetPlan>0</lmg:absolutLagesosakerhetPlan>
        <lmg:absolutLagesosakerhetHojd>0</lmg:absolutLagesosakerhetHojd>
        <lmg:hojdsystem>RH 2000</lmg:hojdsystem>
        <gml:Polygon gml:id="ID_db3d0747-9138-499a-aea9-e2f742032f24" srsName="EPSG:3011" srsDimension="2">
          <gml:exterior>
            <gml:LinearRing gml:id="ID_0645c536-6848-4bc8-9b17-d6eddf085795">
              <gml:posList>6626341.946 138479.596 6626335.821 138472.779 6626337.318 138471.228 6626344.598 138464.623 6626352.166 138458.087 6626359.667 138451.643 6626359.673 138451.638 6626361.135 138450.462 6626367.463 138445.369 6626375.206 138439.141 6626375.22 138439.13 6626383.106 138432.983 6626390.993 138426.836 6626394.99 138423.719 6626398.88 138420.688 6626402.72 138417.937 6626406.933 138415.312 6626415.553 138411.431 6626418.003 138410.539 6626418.96 138412.754 6626429.619 138437.406 6626428.572 138439.789 6626427.384 138442.496 6626397.137 138466.05 6626378.235 138481.321 6626363.871 138493.851 6626354.588 138493.667 6626341.946 138479.596</gml:posList>
            </gml:LinearRing>
          </gml:exterior>
        </gml:Polygon>
      </lmg:Yta>
      <planbestammelsereferens>177ae304-39de-4c78-8212-9e84e2f4fcbb</planbestammelsereferens>
    </Lage>
    <Lage>
      <lmg:Yta>
        <lmg:absolutLagesosakerhetPlan>0</lmg:absolutLagesosakerhetPlan>
        <lmg:absolutLagesosakerhetHojd>0</lmg:absolutLagesosakerhetHojd>
        <lmg:hojdsystem>RH 2000</lmg:hojdsystem>
        <gml:Polygon gml:id="ID_c6cf2ad3-ffb5-4ff1-a8fd-903ed9e94345" srsName="EPSG:3011" srsDimension="2">
          <gml:exterior>
            <gml:LinearRing gml:id="ID_3b369cff-4c11-4ed0-ab99-b4dfa647d903">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72cc863d-30b9-4e3c-8224-082b1ccfe618</planbestammelsereferens>
    </Lage>
    <Lage>
      <lmg:Yta>
        <lmg:absolutLagesosakerhetPlan>0</lmg:absolutLagesosakerhetPlan>
        <lmg:absolutLagesosakerhetHojd>0</lmg:absolutLagesosakerhetHojd>
        <lmg:hojdsystem>RH 2000</lmg:hojdsystem>
        <gml:Polygon gml:id="ID_f9ab4bbb-7512-4078-b83e-a135fc20e7de" srsName="EPSG:3011" srsDimension="2">
          <gml:exterior>
            <gml:LinearRing gml:id="ID_80b9ce74-a1cf-4284-9ca2-52ef2d438d66">
              <gml:posList>6626086.159 138445.645 6626085.9 138445.449 6626086.16 138445.181 6626125.843 138404.234 6626126.132 138403.936 6626127.923 138404.825 6626129.814 138405.764 6626134.093 138408.093 6626138.32 138410.555 6626142.451 138413.174 6626146.498 138415.921 6626150.452 138418.801 6626154.307 138421.811 6626158.059 138424.947 6626161.705 138428.208 6626165.241 138431.588 6626168.662 138435.083 6626171.972 138438.685 6626173.676 138440.597 6626177.203 138444.316 6626180.885 138447.883 6626184.704 138451.302 6626185.207 138451.722 6626188.281 138454.282 6626188.642 138454.583 6626192.727 138457.679 6626196.895 138460.663 6626201.206 138463.436 6626205.59 138466.091 6626210.092 138468.542 6626214.677 138470.835 6626218.191 138472.395 6626219.362 138472.915 6626224.101 138474.867 6626228.932 138476.58 6626231.631 138477.459 6626233.806 138478.167 6626236.496 138478.888 6626241.14 138480.132 6626250.802 138482.709 6626255.631 138484.007 6626257.706 138484.557 6626257.664 138484.701 6626257.539 138485.132 6626257.435 138485.493 6626255.401 138492.52 6626241.699 138539.871 6626212.366 138531.405 6626178.674 138503.452 6626096.159 138453.169 6626086.159 138445.645</gml:posList>
            </gml:LinearRing>
          </gml:exterior>
        </gml:Polygon>
      </lmg:Yta>
      <planbestammelsereferens>c5f6c246-c421-49f1-b89f-f90ce086735b</planbestammelsereferens>
    </Lage>
    <Lage>
      <lmg:Yta>
        <lmg:absolutLagesosakerhetPlan>0</lmg:absolutLagesosakerhetPlan>
        <lmg:absolutLagesosakerhetHojd>0</lmg:absolutLagesosakerhetHojd>
        <lmg:hojdsystem>RH 2000</lmg:hojdsystem>
        <gml:Polygon gml:id="ID_0609bc64-0a91-498d-b13b-a358f4be94f4" srsName="EPSG:3011" srsDimension="2">
          <gml:exterior>
            <gml:LinearRing gml:id="ID_f602494c-e8f4-44e8-bb49-6cb153c66069">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32bf38f2-0b42-40ee-9773-b62e361affaa</planbestammelsereferens>
    </Lage>
    <Lage>
      <lmg:Yta>
        <lmg:absolutLagesosakerhetPlan>0</lmg:absolutLagesosakerhetPlan>
        <lmg:absolutLagesosakerhetHojd>0</lmg:absolutLagesosakerhetHojd>
        <lmg:hojdsystem>RH 2000</lmg:hojdsystem>
        <gml:Polygon gml:id="ID_8ce6b005-1a27-43f5-84ae-950ea29d6724" srsName="EPSG:3011" srsDimension="2">
          <gml:exterior>
            <gml:LinearRing gml:id="ID_9e1756e6-46e7-4825-93f5-064e99be1d51">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6626326.033 138463.285 6626323.005 138459.976 6626321.419 138458.245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lmg:Yta>
      <planbestammelsereferens>4071a44a-666d-49a8-92a5-e9e0f888f68d</planbestammelsereferens>
    </Lage>
    <Lage>
      <lmg:Yta>
        <lmg:absolutLagesosakerhetPlan>0</lmg:absolutLagesosakerhetPlan>
        <lmg:absolutLagesosakerhetHojd>0</lmg:absolutLagesosakerhetHojd>
        <lmg:hojdsystem>RH 2000</lmg:hojdsystem>
        <gml:Polygon gml:id="ID_7cc90013-27d6-4f17-a1ac-ac3932287a82" srsName="EPSG:3011" srsDimension="2">
          <gml:exterior>
            <gml:LinearRing gml:id="ID_48f02445-188a-407c-9d69-8b9e3b668ea6">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lmg:Yta>
      <planbestammelsereferens>c9748b48-5946-42f4-b210-d350ac1b70b0</planbestammelsereferens>
    </Lage>
    <Lage>
      <lmg:Yta>
        <lmg:absolutLagesosakerhetPlan>0</lmg:absolutLagesosakerhetPlan>
        <lmg:absolutLagesosakerhetHojd>0</lmg:absolutLagesosakerhetHojd>
        <lmg:hojdsystem>RH 2000</lmg:hojdsystem>
        <gml:Polygon gml:id="ID_a4113804-7826-421f-bba0-d26b6666654b" srsName="EPSG:3011" srsDimension="2">
          <gml:exterior>
            <gml:LinearRing gml:id="ID_e3a66a9e-7e55-4ce0-911d-87cf4e834869">
              <gml:posList>6626528.913 138537.483 6626502.509 138538.955 6626502.422 138538.96 6626502.19 138538.2 6626501.988 138537.534 6626501.775 138536.834 6626501.617 138536.141 6626500.76 138532.388 6626499.989 138527.892 6626499.466 138523.361 6626499.191 138518.809 6626499.175 138515.845 6626499.167 138514.386 6626499.167 138514.248 6626499.392 138509.692 6626499.799 138505.796 6626499.829 138505.443 6626500.508 138499.706 6626500.584 138499.063 6626501.232 138494.331 6626501.75 138490.226 6626503.002 138480.305 6626503.53 138476.353 6626503.717 138474.763 6626504.188 138467.123 6626504.234 138461.796 6626504.076 138456.452 6626503.975 138455.045 6626503.694 138451.13 6626503.089 138445.828 6626502.261 138440.556 6626501.234 138435.333 6626500.455 138432.161 6626502.883 138431.649 6626528.373 138426.273 6626539.699 138423.884 6626543.288 138423.127 6626549.482 138421.821 6626555.673 138420.515 6626555.756 138420.908 6626556.433 138424.126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 6626571.357 138533.805 6626563.713 138535.402 6626562.797 138535.593 6626560.676 138535.712 6626553.865 138536.092 6626528.913 138537.483</gml:posList>
            </gml:LinearRing>
          </gml:exterior>
        </gml:Polygon>
      </lmg:Yta>
      <planbestammelsereferens>4ba971a2-1bc3-4281-a1ac-948d067ed625</planbestammelsereferens>
    </Lage>
    <Lage>
      <lmg:Yta>
        <lmg:absolutLagesosakerhetPlan>0</lmg:absolutLagesosakerhetPlan>
        <lmg:absolutLagesosakerhetHojd>0</lmg:absolutLagesosakerhetHojd>
        <lmg:hojdsystem>RH 2000</lmg:hojdsystem>
        <gml:Polygon gml:id="ID_a040c5d3-ec0d-48eb-b70d-9710c18e638a" srsName="EPSG:3011" srsDimension="2">
          <gml:exterior>
            <gml:LinearRing gml:id="ID_25e93b19-ee0e-4d74-b263-627567742541">
              <gml:posList>6626488.121 138516.247 6626488.045 138519.174 6626488.135 138520.186 6626488.181 138520.698 6626488.962 138529.473 6626489.319 138531.272 6626490.44 138536.918 6626490.882 138539.144 6626473.194 138539.393 6626420.176 138516.111 6626416.068 138505.571 6626443.898 138442.196 6626449.821 138428.708 6626479.565 138415.853 6626479.765 138416.089 6626481.835 138418.532 6626484.484 138422.403 6626484.917 138423.199 6626486.658 138426.406 6626486.723 138426.524 6626487.078 138427.375 6626488.294 138430.293 6626488.528 138430.853 6626489.577 138434.337 6626489.757 138434.935 6626489.881 138435.345 6626490.876 138439.816 6626490.912 138439.974 6626490.938 138440.098 6626491.054 138440.83 6626491.575 138444.152 6626491.935 138446.44 6626492.451 138449.724 6626492.645 138452.433 6626492.754 138453.957 6626493.148 138459.443 6626493.026 138469.187 6626492.089 138478.927 6626491.108 138486.701 6626490.836 138488.848 6626490.326 138492.895 6626489.584 138498.769 6626488.918 138504.047 6626488.811 138504.892 6626488.312 138508.839 6626488.186 138513.742 6626488.125 138516.025 6626488.121 138516.247</gml:posList>
            </gml:LinearRing>
          </gml:exterior>
        </gml:Polygon>
      </lmg:Yta>
      <planbestammelsereferens>8335f61d-90a4-4d78-a063-e9fe6e342293</planbestammelsereferens>
    </Lage>
    <Lage>
      <lmg:Yta>
        <lmg:absolutLagesosakerhetPlan>0</lmg:absolutLagesosakerhetPlan>
        <lmg:absolutLagesosakerhetHojd>0</lmg:absolutLagesosakerhetHojd>
        <lmg:hojdsystem>RH 2000</lmg:hojdsystem>
        <gml:Polygon gml:id="ID_129ed012-ce65-4b4a-93da-b397075ddef3" srsName="EPSG:3011" srsDimension="2">
          <gml:exterior>
            <gml:LinearRing gml:id="ID_91fb8136-47dd-4e72-8d6c-58ce6a5a60ec">
              <gml:posList>6626315.823 138550.34 6626312.894 138542.716 6626353.148 138526.44 6626414.41 138553.931 6626429.15 138599.446 6626432.205 138636.009 6626432.24 138636.426 6626432.621 138640.991 6626420.4 138642.013 6626418.946 138647.871 6626418.774 138647.777 6626414.41 138645.397 6626413.775 138645.05 6626413.318 138644.756 6626412.477 138644.213 6626405.546 138639.745 6626397.296 138634.174 6626390.93 138629.762 6626389.103 138628.495 6626386.043 138626.312 6626383.239 138624.311 6626381.667 138623.19 6626381.098 138622.783 6626378.136 138620.417 6626373.285 138616.542 6626365.635 138610.271 6626364.609 138609.389 6626362.298 138607.401 6626358.053 138603.751 6626350.749 138597.242 6626343.649 138590.207 6626340.587 138586.938 6626336.963 138583.066 6626330.809 138575.463 6626325.219 138567.436 6626323.731 138564.961 6626322.521 138562.95 6626320.542 138559.659 6626320.409 138559.439 6626320.16 138559.024 6626320.024 138558.752 6626319.953 138558.61 6626315.823 138550.34</gml:posList>
            </gml:LinearRing>
          </gml:exterior>
        </gml:Polygon>
      </lmg:Yta>
      <planbestammelsereferens>9b66da8f-6918-448c-8084-cfb1b29091e1</planbestammelsereferens>
    </Lage>
    <Lage>
      <lmg:Yta>
        <lmg:absolutLagesosakerhetPlan>0</lmg:absolutLagesosakerhetPlan>
        <lmg:absolutLagesosakerhetHojd>0</lmg:absolutLagesosakerhetHojd>
        <lmg:hojdsystem>RH 2000</lmg:hojdsystem>
        <gml:Polygon gml:id="ID_c805c056-a83e-44d0-864a-dd4d6bd391cd" srsName="EPSG:3011" srsDimension="2">
          <gml:exterior>
            <gml:LinearRing gml:id="ID_2125d8eb-21cf-4aa1-880b-575e544e0621">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6910b18c-ba21-4eff-9f55-bfeabf4dc84c</planbestammelsereferens>
    </Lage>
    <Indelning>
      <tema>Motiv till detaljplanens regleringar</tema>
      <grupp>Motiv till reglering</grupp>
    </Indelning>
  </Omfattning>
  <Omfattning>
    <identitet>mo_motivtillreglering17</identitet>
    <Lage>
      <lmg:Yta>
        <lmg:absolutLagesosakerhetPlan>0</lmg:absolutLagesosakerhetPlan>
        <lmg:absolutLagesosakerhetHojd>0</lmg:absolutLagesosakerhetHojd>
        <lmg:hojdsystem>RH 2000</lmg:hojdsystem>
        <gml:Polygon gml:id="ID_8a35005c-ef9a-4409-9ea7-ea8e613ce0e4" srsName="EPSG:3011" srsDimension="2">
          <gml:exterior>
            <gml:LinearRing gml:id="ID_be91d58c-0c29-4ed8-8320-7686a1378c13">
              <gml:posList>6626086.159 138445.645 6626085.9 138445.449 6626086.16 138445.181 6626125.843 138404.234 6626126.132 138403.936 6626127.923 138404.825 6626129.814 138405.764 6626134.093 138408.093 6626138.32 138410.555 6626142.451 138413.174 6626146.498 138415.921 6626150.452 138418.801 6626154.307 138421.811 6626158.059 138424.947 6626161.705 138428.208 6626165.241 138431.588 6626168.662 138435.083 6626171.972 138438.685 6626173.676 138440.597 6626177.203 138444.316 6626180.885 138447.883 6626184.704 138451.302 6626185.207 138451.722 6626188.281 138454.282 6626188.642 138454.583 6626192.727 138457.679 6626196.895 138460.663 6626201.206 138463.436 6626205.59 138466.091 6626210.092 138468.542 6626214.677 138470.835 6626218.191 138472.395 6626219.362 138472.915 6626224.101 138474.867 6626228.932 138476.58 6626231.631 138477.459 6626233.806 138478.167 6626236.496 138478.888 6626241.14 138480.132 6626250.802 138482.709 6626255.631 138484.007 6626257.706 138484.557 6626257.664 138484.701 6626257.539 138485.132 6626257.435 138485.493 6626255.401 138492.52 6626241.699 138539.871 6626212.366 138531.405 6626178.674 138503.452 6626096.159 138453.169 6626086.159 138445.645</gml:posList>
            </gml:LinearRing>
          </gml:exterior>
        </gml:Polygon>
      </lmg:Yta>
      <planbestammelsereferens>9a487f5d-701a-4d35-bfb2-d90f7ac8b3d9</planbestammelsereferens>
    </Lage>
    <Lage>
      <lmg:Yta>
        <lmg:absolutLagesosakerhetPlan>0</lmg:absolutLagesosakerhetPlan>
        <lmg:absolutLagesosakerhetHojd>0</lmg:absolutLagesosakerhetHojd>
        <lmg:hojdsystem>RH 2000</lmg:hojdsystem>
        <gml:Polygon gml:id="ID_102f6af4-d89e-4b97-b32a-ba47a597269c" srsName="EPSG:3011" srsDimension="2">
          <gml:exterior>
            <gml:LinearRing gml:id="ID_8a7e3f0e-5cad-4977-8e1e-b3c7531d99ce">
              <gml:posList>6626341.946 138479.596 6626335.821 138472.779 6626337.318 138471.228 6626344.598 138464.623 6626352.166 138458.087 6626359.667 138451.643 6626359.673 138451.638 6626361.135 138450.462 6626367.463 138445.369 6626375.206 138439.141 6626375.22 138439.13 6626383.106 138432.983 6626390.993 138426.836 6626394.99 138423.719 6626398.88 138420.688 6626402.72 138417.937 6626406.933 138415.312 6626415.553 138411.431 6626418.003 138410.539 6626418.96 138412.754 6626429.619 138437.406 6626428.572 138439.789 6626427.384 138442.496 6626397.137 138466.05 6626378.235 138481.321 6626363.871 138493.851 6626354.588 138493.667 6626341.946 138479.596</gml:posList>
            </gml:LinearRing>
          </gml:exterior>
        </gml:Polygon>
      </lmg:Yta>
      <planbestammelsereferens>a270585c-03c0-47c1-856f-5952d9b90010</planbestammelsereferens>
    </Lage>
    <Lage>
      <lmg:Yta>
        <lmg:absolutLagesosakerhetPlan>0</lmg:absolutLagesosakerhetPlan>
        <lmg:absolutLagesosakerhetHojd>0</lmg:absolutLagesosakerhetHojd>
        <lmg:hojdsystem>RH 2000</lmg:hojdsystem>
        <gml:Polygon gml:id="ID_700f5fb3-e832-4b26-a671-9c7177a32789" srsName="EPSG:3011" srsDimension="2">
          <gml:exterior>
            <gml:LinearRing gml:id="ID_b49accb3-b7d9-4ef1-8842-c04dd97e87a9">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6626326.033 138463.285 6626323.005 138459.976 6626321.419 138458.245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lmg:Yta>
      <planbestammelsereferens>68a9b412-5ba9-4ef5-ba56-fc9e8bd5cdab</planbestammelsereferens>
    </Lage>
    <Lage>
      <lmg:Yta>
        <lmg:absolutLagesosakerhetPlan>0</lmg:absolutLagesosakerhetPlan>
        <lmg:absolutLagesosakerhetHojd>0</lmg:absolutLagesosakerhetHojd>
        <lmg:hojdsystem>RH 2000</lmg:hojdsystem>
        <gml:Polygon gml:id="ID_073d7566-6369-447c-995a-065be16e369b" srsName="EPSG:3011" srsDimension="2">
          <gml:exterior>
            <gml:LinearRing gml:id="ID_0b8d64f2-ecbe-4bd6-8c51-861de2f71c05">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lmg:Yta>
      <planbestammelsereferens>78ba4047-0261-4948-b323-dc64759ece4f</planbestammelsereferens>
    </Lage>
    <Lage>
      <lmg:Yta>
        <lmg:absolutLagesosakerhetPlan>0</lmg:absolutLagesosakerhetPlan>
        <lmg:absolutLagesosakerhetHojd>0</lmg:absolutLagesosakerhetHojd>
        <lmg:hojdsystem>RH 2000</lmg:hojdsystem>
        <gml:Polygon gml:id="ID_658c09ec-11b2-4c23-a02e-0715a44bc171" srsName="EPSG:3011" srsDimension="2">
          <gml:exterior>
            <gml:LinearRing gml:id="ID_47ed81a2-6959-4043-ae2d-1da5199fb2d2">
              <gml:posList>6626528.913 138537.483 6626502.509 138538.955 6626502.422 138538.96 6626502.19 138538.2 6626501.988 138537.534 6626501.775 138536.834 6626501.617 138536.141 6626500.76 138532.388 6626499.989 138527.892 6626499.466 138523.361 6626499.191 138518.809 6626499.175 138515.845 6626499.167 138514.386 6626499.167 138514.248 6626499.392 138509.692 6626499.799 138505.796 6626499.829 138505.443 6626500.508 138499.706 6626500.584 138499.063 6626501.232 138494.331 6626501.75 138490.226 6626503.002 138480.305 6626503.53 138476.353 6626503.717 138474.763 6626504.188 138467.123 6626504.234 138461.796 6626504.076 138456.452 6626503.975 138455.045 6626503.694 138451.13 6626503.089 138445.828 6626502.261 138440.556 6626501.234 138435.333 6626500.455 138432.161 6626502.883 138431.649 6626528.373 138426.273 6626539.699 138423.884 6626543.288 138423.127 6626549.482 138421.821 6626555.673 138420.515 6626555.756 138420.908 6626556.433 138424.126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 6626571.357 138533.805 6626563.713 138535.402 6626562.797 138535.593 6626560.676 138535.712 6626553.865 138536.092 6626528.913 138537.483</gml:posList>
            </gml:LinearRing>
          </gml:exterior>
        </gml:Polygon>
      </lmg:Yta>
      <planbestammelsereferens>5b3ddf22-63ea-4c0b-a86c-0a1439c95285</planbestammelsereferens>
    </Lage>
    <Lage>
      <lmg:Yta>
        <lmg:absolutLagesosakerhetPlan>0</lmg:absolutLagesosakerhetPlan>
        <lmg:absolutLagesosakerhetHojd>0</lmg:absolutLagesosakerhetHojd>
        <lmg:hojdsystem>RH 2000</lmg:hojdsystem>
        <gml:Polygon gml:id="ID_9bbf49b0-5ab3-4af8-a9d1-ebd6ed3b3ea3" srsName="EPSG:3011" srsDimension="2">
          <gml:exterior>
            <gml:LinearRing gml:id="ID_86677220-f4fd-4d64-9bcc-a540f7aca117">
              <gml:posList>6626488.121 138516.247 6626488.045 138519.174 6626488.135 138520.186 6626488.181 138520.698 6626488.962 138529.473 6626489.319 138531.272 6626490.44 138536.918 6626490.882 138539.144 6626473.194 138539.393 6626420.176 138516.111 6626416.068 138505.571 6626443.898 138442.196 6626449.821 138428.708 6626479.565 138415.853 6626479.765 138416.089 6626481.835 138418.532 6626484.484 138422.403 6626484.917 138423.199 6626486.658 138426.406 6626486.723 138426.524 6626487.078 138427.375 6626488.294 138430.293 6626488.528 138430.853 6626489.577 138434.337 6626489.757 138434.935 6626489.881 138435.345 6626490.876 138439.816 6626490.912 138439.974 6626490.938 138440.098 6626491.054 138440.83 6626491.575 138444.152 6626491.935 138446.44 6626492.451 138449.724 6626492.645 138452.433 6626492.754 138453.957 6626493.148 138459.443 6626493.026 138469.187 6626492.089 138478.927 6626491.108 138486.701 6626490.836 138488.848 6626490.326 138492.895 6626489.584 138498.769 6626488.918 138504.047 6626488.811 138504.892 6626488.312 138508.839 6626488.186 138513.742 6626488.125 138516.025 6626488.121 138516.247</gml:posList>
            </gml:LinearRing>
          </gml:exterior>
        </gml:Polygon>
      </lmg:Yta>
      <planbestammelsereferens>3db25fdf-8fa5-4d49-ba1f-4f892d7d4195</planbestammelsereferens>
    </Lage>
    <Lage>
      <lmg:Yta>
        <lmg:absolutLagesosakerhetPlan>0</lmg:absolutLagesosakerhetPlan>
        <lmg:absolutLagesosakerhetHojd>0</lmg:absolutLagesosakerhetHojd>
        <lmg:hojdsystem>RH 2000</lmg:hojdsystem>
        <gml:Polygon gml:id="ID_d0677fda-c996-453c-b0b4-065df7bd9359" srsName="EPSG:3011" srsDimension="2">
          <gml:exterior>
            <gml:LinearRing gml:id="ID_f5a5557a-51eb-4c73-8cd5-843c37cff882">
              <gml:posList>6626315.823 138550.34 6626312.894 138542.716 6626353.148 138526.44 6626414.41 138553.931 6626429.15 138599.446 6626432.205 138636.009 6626432.24 138636.426 6626432.621 138640.991 6626420.4 138642.013 6626418.946 138647.871 6626418.774 138647.777 6626414.41 138645.397 6626413.775 138645.05 6626413.318 138644.756 6626412.477 138644.213 6626405.546 138639.745 6626397.296 138634.174 6626390.93 138629.762 6626389.103 138628.495 6626386.043 138626.312 6626383.239 138624.311 6626381.667 138623.19 6626381.098 138622.783 6626378.136 138620.417 6626373.285 138616.542 6626365.635 138610.271 6626364.609 138609.389 6626362.298 138607.401 6626358.053 138603.751 6626350.749 138597.242 6626343.649 138590.207 6626340.587 138586.938 6626336.963 138583.066 6626330.809 138575.463 6626325.219 138567.436 6626323.731 138564.961 6626322.521 138562.95 6626320.542 138559.659 6626320.409 138559.439 6626320.16 138559.024 6626320.024 138558.752 6626319.953 138558.61 6626315.823 138550.34</gml:posList>
            </gml:LinearRing>
          </gml:exterior>
        </gml:Polygon>
      </lmg:Yta>
      <planbestammelsereferens>1328990b-7ab3-4a90-9847-27a89223fa7a</planbestammelsereferens>
    </Lage>
    <Indelning>
      <tema>Motiv till detaljplanens regleringar</tema>
      <grupp>Motiv till reglering</grupp>
    </Indelning>
  </Omfattning>
  <Omfattning>
    <identitet>mo_motivtillreglering18</identitet>
    <Lage>
      <lmg:Yta>
        <lmg:absolutLagesosakerhetPlan>0</lmg:absolutLagesosakerhetPlan>
        <lmg:absolutLagesosakerhetHojd>0</lmg:absolutLagesosakerhetHojd>
        <lmg:hojdsystem>RH 2000</lmg:hojdsystem>
        <gml:Polygon gml:id="ID_2af36699-bd15-41e3-9c36-677558e0cc97" srsName="EPSG:3011" srsDimension="2">
          <gml:exterior>
            <gml:LinearRing gml:id="ID_a334ccf1-70d4-4e6c-89eb-320e38526bad">
              <gml:posList>6626086.159 138445.645 6626085.9 138445.449 6626086.16 138445.181 6626125.843 138404.234 6626126.132 138403.936 6626127.923 138404.825 6626129.814 138405.764 6626134.093 138408.093 6626138.32 138410.555 6626142.451 138413.174 6626146.498 138415.921 6626150.452 138418.801 6626154.307 138421.811 6626158.059 138424.947 6626161.705 138428.208 6626165.241 138431.588 6626168.662 138435.083 6626171.972 138438.685 6626173.676 138440.597 6626177.203 138444.316 6626180.885 138447.883 6626184.704 138451.302 6626185.207 138451.722 6626188.281 138454.282 6626188.642 138454.583 6626192.727 138457.679 6626196.895 138460.663 6626201.206 138463.436 6626205.59 138466.091 6626210.092 138468.542 6626214.677 138470.835 6626218.191 138472.395 6626219.362 138472.915 6626224.101 138474.867 6626228.932 138476.58 6626231.631 138477.459 6626233.806 138478.167 6626236.496 138478.888 6626241.14 138480.132 6626250.802 138482.709 6626255.631 138484.007 6626257.706 138484.557 6626257.664 138484.701 6626257.539 138485.132 6626257.435 138485.493 6626255.401 138492.52 6626241.699 138539.871 6626212.366 138531.405 6626178.674 138503.452 6626096.159 138453.169 6626086.159 138445.645</gml:posList>
            </gml:LinearRing>
          </gml:exterior>
        </gml:Polygon>
      </lmg:Yta>
      <planbestammelsereferens>fbd71786-36f0-4f50-9aaf-7365c330f597</planbestammelsereferens>
    </Lage>
    <Lage>
      <lmg:Yta>
        <lmg:absolutLagesosakerhetPlan>0</lmg:absolutLagesosakerhetPlan>
        <lmg:absolutLagesosakerhetHojd>0</lmg:absolutLagesosakerhetHojd>
        <lmg:hojdsystem>RH 2000</lmg:hojdsystem>
        <gml:Polygon gml:id="ID_9dcd39ba-cb07-4cc4-b9e2-804905d6a62b" srsName="EPSG:3011" srsDimension="2">
          <gml:exterior>
            <gml:LinearRing gml:id="ID_34761b32-0826-4dd2-af1a-81a9f0aa8663">
              <gml:posList>6626341.946 138479.596 6626335.821 138472.779 6626337.318 138471.228 6626344.598 138464.623 6626352.166 138458.087 6626359.667 138451.643 6626359.673 138451.638 6626361.135 138450.462 6626367.463 138445.369 6626375.206 138439.141 6626375.22 138439.13 6626383.106 138432.983 6626390.993 138426.836 6626394.99 138423.719 6626398.88 138420.688 6626402.72 138417.937 6626406.933 138415.312 6626415.553 138411.431 6626418.003 138410.539 6626418.96 138412.754 6626429.619 138437.406 6626428.572 138439.789 6626427.384 138442.496 6626397.137 138466.05 6626378.235 138481.321 6626363.871 138493.851 6626354.588 138493.667 6626341.946 138479.596</gml:posList>
            </gml:LinearRing>
          </gml:exterior>
        </gml:Polygon>
      </lmg:Yta>
      <planbestammelsereferens>99cb5ecf-3e1c-42fd-adbc-06743c61595f</planbestammelsereferens>
    </Lage>
    <Lage>
      <lmg:Yta>
        <lmg:absolutLagesosakerhetPlan>0</lmg:absolutLagesosakerhetPlan>
        <lmg:absolutLagesosakerhetHojd>0</lmg:absolutLagesosakerhetHojd>
        <lmg:hojdsystem>RH 2000</lmg:hojdsystem>
        <gml:Polygon gml:id="ID_82c3ed7f-c285-4e3b-9e79-2a7df439e967" srsName="EPSG:3011" srsDimension="2">
          <gml:exterior>
            <gml:LinearRing gml:id="ID_b77ab29b-b724-4944-9b86-04e583cc3bc8">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6626326.033 138463.285 6626323.005 138459.976 6626321.419 138458.245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lmg:Yta>
      <planbestammelsereferens>66626db5-714a-417c-8a18-6d7aac56bd4f</planbestammelsereferens>
    </Lage>
    <Lage>
      <lmg:Yta>
        <lmg:absolutLagesosakerhetPlan>0</lmg:absolutLagesosakerhetPlan>
        <lmg:absolutLagesosakerhetHojd>0</lmg:absolutLagesosakerhetHojd>
        <lmg:hojdsystem>RH 2000</lmg:hojdsystem>
        <gml:Polygon gml:id="ID_a993f8d5-297f-451b-a797-874e2e9acd20" srsName="EPSG:3011" srsDimension="2">
          <gml:exterior>
            <gml:LinearRing gml:id="ID_a50a1656-817e-4791-81aa-b19fadfe6cd0">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lmg:Yta>
      <planbestammelsereferens>3c0830de-6f94-4c9b-96b6-654d0e9e84be</planbestammelsereferens>
    </Lage>
    <Lage>
      <lmg:Yta>
        <lmg:absolutLagesosakerhetPlan>0</lmg:absolutLagesosakerhetPlan>
        <lmg:absolutLagesosakerhetHojd>0</lmg:absolutLagesosakerhetHojd>
        <lmg:hojdsystem>RH 2000</lmg:hojdsystem>
        <gml:Polygon gml:id="ID_caba5d32-49c4-43bf-8316-837c48a5e081" srsName="EPSG:3011" srsDimension="2">
          <gml:exterior>
            <gml:LinearRing gml:id="ID_aa093729-adf0-4469-9548-9edb9ee0d84f">
              <gml:posList>6626528.913 138537.483 6626502.509 138538.955 6626502.422 138538.96 6626502.19 138538.2 6626501.988 138537.534 6626501.775 138536.834 6626501.617 138536.141 6626500.76 138532.388 6626499.989 138527.892 6626499.466 138523.361 6626499.191 138518.809 6626499.175 138515.845 6626499.167 138514.386 6626499.167 138514.248 6626499.392 138509.692 6626499.799 138505.796 6626499.829 138505.443 6626500.508 138499.706 6626500.584 138499.063 6626501.232 138494.331 6626501.75 138490.226 6626503.002 138480.305 6626503.53 138476.353 6626503.717 138474.763 6626504.188 138467.123 6626504.234 138461.796 6626504.076 138456.452 6626503.975 138455.045 6626503.694 138451.13 6626503.089 138445.828 6626502.261 138440.556 6626501.234 138435.333 6626500.455 138432.161 6626502.883 138431.649 6626528.373 138426.273 6626539.699 138423.884 6626543.288 138423.127 6626549.482 138421.821 6626555.673 138420.515 6626555.756 138420.908 6626556.433 138424.126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 6626571.357 138533.805 6626563.713 138535.402 6626562.797 138535.593 6626560.676 138535.712 6626553.865 138536.092 6626528.913 138537.483</gml:posList>
            </gml:LinearRing>
          </gml:exterior>
        </gml:Polygon>
      </lmg:Yta>
      <planbestammelsereferens>9e0530da-aca5-4090-8a55-467b24b65c4f</planbestammelsereferens>
    </Lage>
    <Lage>
      <lmg:Yta>
        <lmg:absolutLagesosakerhetPlan>0</lmg:absolutLagesosakerhetPlan>
        <lmg:absolutLagesosakerhetHojd>0</lmg:absolutLagesosakerhetHojd>
        <lmg:hojdsystem>RH 2000</lmg:hojdsystem>
        <gml:Polygon gml:id="ID_c3abae28-8feb-463c-8465-c038d369184b" srsName="EPSG:3011" srsDimension="2">
          <gml:exterior>
            <gml:LinearRing gml:id="ID_60b8ee74-41b7-4c43-843f-939d03a304aa">
              <gml:posList>6626488.121 138516.247 6626488.045 138519.174 6626488.135 138520.186 6626488.181 138520.698 6626488.962 138529.473 6626489.319 138531.272 6626490.44 138536.918 6626490.882 138539.144 6626473.194 138539.393 6626420.176 138516.111 6626416.068 138505.571 6626443.898 138442.196 6626449.821 138428.708 6626479.565 138415.853 6626479.765 138416.089 6626481.835 138418.532 6626484.484 138422.403 6626484.917 138423.199 6626486.658 138426.406 6626486.723 138426.524 6626487.078 138427.375 6626488.294 138430.293 6626488.528 138430.853 6626489.577 138434.337 6626489.757 138434.935 6626489.881 138435.345 6626490.876 138439.816 6626490.912 138439.974 6626490.938 138440.098 6626491.054 138440.83 6626491.575 138444.152 6626491.935 138446.44 6626492.451 138449.724 6626492.645 138452.433 6626492.754 138453.957 6626493.148 138459.443 6626493.026 138469.187 6626492.089 138478.927 6626491.108 138486.701 6626490.836 138488.848 6626490.326 138492.895 6626489.584 138498.769 6626488.918 138504.047 6626488.811 138504.892 6626488.312 138508.839 6626488.186 138513.742 6626488.125 138516.025 6626488.121 138516.247</gml:posList>
            </gml:LinearRing>
          </gml:exterior>
        </gml:Polygon>
      </lmg:Yta>
      <planbestammelsereferens>64fd714f-4bad-4ef3-b52c-4aeac295d7bc</planbestammelsereferens>
    </Lage>
    <Lage>
      <lmg:Yta>
        <lmg:absolutLagesosakerhetPlan>0</lmg:absolutLagesosakerhetPlan>
        <lmg:absolutLagesosakerhetHojd>0</lmg:absolutLagesosakerhetHojd>
        <lmg:hojdsystem>RH 2000</lmg:hojdsystem>
        <gml:Polygon gml:id="ID_8aec43f2-9567-451f-a5b5-79ccfb6c4923" srsName="EPSG:3011" srsDimension="2">
          <gml:exterior>
            <gml:LinearRing gml:id="ID_fdb1192b-5f7c-42fa-8da1-082a89e8f57e">
              <gml:posList>6626315.823 138550.34 6626312.894 138542.716 6626353.148 138526.44 6626414.41 138553.931 6626429.15 138599.446 6626432.205 138636.009 6626432.24 138636.426 6626432.621 138640.991 6626420.4 138642.013 6626418.946 138647.871 6626418.774 138647.777 6626414.41 138645.397 6626413.775 138645.05 6626413.318 138644.756 6626412.477 138644.213 6626405.546 138639.745 6626397.296 138634.174 6626390.93 138629.762 6626389.103 138628.495 6626386.043 138626.312 6626383.239 138624.311 6626381.667 138623.19 6626381.098 138622.783 6626378.136 138620.417 6626373.285 138616.542 6626365.635 138610.271 6626364.609 138609.389 6626362.298 138607.401 6626358.053 138603.751 6626350.749 138597.242 6626343.649 138590.207 6626340.587 138586.938 6626336.963 138583.066 6626330.809 138575.463 6626325.219 138567.436 6626323.731 138564.961 6626322.521 138562.95 6626320.542 138559.659 6626320.409 138559.439 6626320.16 138559.024 6626320.024 138558.752 6626319.953 138558.61 6626315.823 138550.34</gml:posList>
            </gml:LinearRing>
          </gml:exterior>
        </gml:Polygon>
      </lmg:Yta>
      <planbestammelsereferens>e8a73db7-cdaf-468b-961e-8de0d10ca49e</planbestammelsereferens>
    </Lage>
    <Indelning>
      <tema>Motiv till detaljplanens regleringar</tema>
      <grupp>Motiv till reglering</grupp>
    </Indelning>
  </Omfattning>
  <Omfattning>
    <identitet>mo_motivtillreglering19</identitet>
    <Lage>
      <lmg:Yta>
        <lmg:absolutLagesosakerhetPlan>0</lmg:absolutLagesosakerhetPlan>
        <lmg:absolutLagesosakerhetHojd>0</lmg:absolutLagesosakerhetHojd>
        <lmg:hojdsystem>RH 2000</lmg:hojdsystem>
        <gml:Polygon gml:id="ID_08e64a75-d319-45dc-bf76-4cf41b72b240" srsName="EPSG:3011" srsDimension="2">
          <gml:exterior>
            <gml:LinearRing gml:id="ID_b2dd49e8-8b4d-4afe-a994-f62797f598be">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61643bc2-ffff-409e-8647-7ccfe5f1dbf8</planbestammelsereferens>
    </Lage>
    <Lage>
      <lmg:Yta>
        <lmg:absolutLagesosakerhetPlan>0</lmg:absolutLagesosakerhetPlan>
        <lmg:absolutLagesosakerhetHojd>0</lmg:absolutLagesosakerhetHojd>
        <lmg:hojdsystem>RH 2000</lmg:hojdsystem>
        <gml:Polygon gml:id="ID_fd056710-f0bd-4df0-ab98-9319d822d3e6" srsName="EPSG:3011" srsDimension="2">
          <gml:exterior>
            <gml:LinearRing gml:id="ID_7492a40f-9ba2-4339-b5ab-a8c5722aac29">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24a2c9dc-9e04-49a1-b15f-97b563c1e80e</planbestammelsereferens>
    </Lage>
    <Lage>
      <lmg:Yta>
        <lmg:absolutLagesosakerhetPlan>0</lmg:absolutLagesosakerhetPlan>
        <lmg:absolutLagesosakerhetHojd>0</lmg:absolutLagesosakerhetHojd>
        <lmg:hojdsystem>RH 2000</lmg:hojdsystem>
        <gml:Polygon gml:id="ID_b6c2d25b-5dc5-4207-bf5a-4275032054ba" srsName="EPSG:3011" srsDimension="2">
          <gml:exterior>
            <gml:LinearRing gml:id="ID_37559db1-281b-47e4-ac82-29062471de2f">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d766cac8-c7a0-481e-9ef9-f396b4eb062a</planbestammelsereferens>
    </Lage>
    <Indelning>
      <tema>Motiv till detaljplanens regleringar</tema>
      <grupp>Motiv till reglering</grupp>
    </Indelning>
  </Omfattning>
  <Omfattning>
    <identitet>mo_motivtillreglering20</identitet>
    <Lage>
      <lmg:Yta>
        <lmg:absolutLagesosakerhetPlan>0</lmg:absolutLagesosakerhetPlan>
        <lmg:absolutLagesosakerhetHojd>0</lmg:absolutLagesosakerhetHojd>
        <lmg:hojdsystem>RH 2000</lmg:hojdsystem>
        <gml:Polygon gml:id="ID_2fd9cb9c-6889-4f7c-9c2c-644a0119a59e" srsName="EPSG:3011" srsDimension="2">
          <gml:exterior>
            <gml:LinearRing gml:id="ID_e36351f2-66e4-479e-9796-9b2ff884be2a">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55927a4a-38d3-45fb-8cc6-8cb0d6c0fa11</planbestammelsereferens>
    </Lage>
    <Lage>
      <lmg:Yta>
        <lmg:absolutLagesosakerhetPlan>0</lmg:absolutLagesosakerhetPlan>
        <lmg:absolutLagesosakerhetHojd>0</lmg:absolutLagesosakerhetHojd>
        <lmg:hojdsystem>RH 2000</lmg:hojdsystem>
        <gml:Polygon gml:id="ID_bdc392f2-a01e-4aef-a331-9ad79126cb2a" srsName="EPSG:3011" srsDimension="2">
          <gml:exterior>
            <gml:LinearRing gml:id="ID_13b83fb7-33ac-45a0-992c-6063a9ea5473">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5623b6c1-d318-4456-9c1c-c96d6a6ea43b</planbestammelsereferens>
    </Lage>
    <Lage>
      <lmg:Yta>
        <lmg:absolutLagesosakerhetPlan>0</lmg:absolutLagesosakerhetPlan>
        <lmg:absolutLagesosakerhetHojd>0</lmg:absolutLagesosakerhetHojd>
        <lmg:hojdsystem>RH 2000</lmg:hojdsystem>
        <gml:Polygon gml:id="ID_f5bbeda1-f8c0-46f2-a4e6-41c53beefd63" srsName="EPSG:3011" srsDimension="2">
          <gml:exterior>
            <gml:LinearRing gml:id="ID_435fc22c-d1eb-4b12-99c8-580b11970113">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521bff05-31a9-42e0-8d1e-6b3c405c9651</planbestammelsereferens>
    </Lage>
    <Indelning>
      <tema>Motiv till detaljplanens regleringar</tema>
      <grupp>Motiv till reglering</grupp>
    </Indelning>
  </Omfattning>
  <Omfattning>
    <identitet>mo_motivtillreglering21</identitet>
    <Lage>
      <lmg:Yta>
        <lmg:absolutLagesosakerhetPlan>0</lmg:absolutLagesosakerhetPlan>
        <lmg:absolutLagesosakerhetHojd>0</lmg:absolutLagesosakerhetHojd>
        <lmg:hojdsystem>RH 2000</lmg:hojdsystem>
        <gml:Polygon gml:id="ID_50cb23a1-f268-4b50-bbfc-ae5b84e9782f" srsName="EPSG:3011" srsDimension="2">
          <gml:exterior>
            <gml:LinearRing gml:id="ID_327a77b0-ee3e-4429-9686-62d22d2a6dc4">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2fe31bff-ae86-477d-8d7b-029f62068128</planbestammelsereferens>
    </Lage>
    <Lage>
      <lmg:Yta>
        <lmg:absolutLagesosakerhetPlan>0</lmg:absolutLagesosakerhetPlan>
        <lmg:absolutLagesosakerhetHojd>0</lmg:absolutLagesosakerhetHojd>
        <lmg:hojdsystem>RH 2000</lmg:hojdsystem>
        <gml:Polygon gml:id="ID_f22e7662-f1b1-4688-812a-fb90594ba168" srsName="EPSG:3011" srsDimension="2">
          <gml:exterior>
            <gml:LinearRing gml:id="ID_721952cf-b237-450f-b0ce-ca9c903fb85c">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dad52a8c-38de-494e-ace1-fb27e7280f38</planbestammelsereferens>
    </Lage>
    <Lage>
      <lmg:Yta>
        <lmg:absolutLagesosakerhetPlan>0</lmg:absolutLagesosakerhetPlan>
        <lmg:absolutLagesosakerhetHojd>0</lmg:absolutLagesosakerhetHojd>
        <lmg:hojdsystem>RH 2000</lmg:hojdsystem>
        <gml:Polygon gml:id="ID_9ad8ce87-ea8d-4b29-82f8-a654465d071e" srsName="EPSG:3011" srsDimension="2">
          <gml:exterior>
            <gml:LinearRing gml:id="ID_06b74442-a9c5-4fa9-a348-7d30962cefbd">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56142a8f-806c-4a96-9a19-261e89a5c382</planbestammelsereferens>
    </Lage>
    <Indelning>
      <tema>Motiv till detaljplanens regleringar</tema>
      <grupp>Motiv till reglering</grupp>
    </Indelning>
  </Omfattning>
  <Omfattning>
    <identitet>mo_motivtillreglering22</identitet>
    <Lage>
      <lmg:Yta>
        <lmg:absolutLagesosakerhetPlan>0</lmg:absolutLagesosakerhetPlan>
        <lmg:absolutLagesosakerhetHojd>0</lmg:absolutLagesosakerhetHojd>
        <lmg:hojdsystem>RH 2000</lmg:hojdsystem>
        <gml:Polygon gml:id="ID_9a5ae12d-8efc-4bb0-982f-ad4109f820c0" srsName="EPSG:3011" srsDimension="2">
          <gml:exterior>
            <gml:LinearRing gml:id="ID_25e39164-8903-43c5-a8b3-1719b04d92ae">
              <gml:posList>6626341.946 138479.596 6626335.821 138472.779 6626337.318 138471.228 6626344.598 138464.623 6626352.166 138458.087 6626359.667 138451.643 6626359.673 138451.638 6626361.135 138450.462 6626367.463 138445.369 6626375.206 138439.141 6626375.22 138439.13 6626383.106 138432.983 6626390.993 138426.836 6626394.99 138423.719 6626398.88 138420.688 6626402.72 138417.937 6626406.933 138415.312 6626415.553 138411.431 6626418.003 138410.539 6626418.96 138412.754 6626429.619 138437.406 6626428.572 138439.789 6626427.384 138442.496 6626397.137 138466.05 6626378.235 138481.321 6626363.871 138493.851 6626354.588 138493.667 6626341.946 138479.596</gml:posList>
            </gml:LinearRing>
          </gml:exterior>
        </gml:Polygon>
      </lmg:Yta>
      <planbestammelsereferens>b57f8e43-c48b-46a1-893a-d002051b7393</planbestammelsereferens>
    </Lage>
    <Lage>
      <lmg:Yta>
        <lmg:absolutLagesosakerhetPlan>0</lmg:absolutLagesosakerhetPlan>
        <lmg:absolutLagesosakerhetHojd>0</lmg:absolutLagesosakerhetHojd>
        <lmg:hojdsystem>RH 2000</lmg:hojdsystem>
        <gml:Polygon gml:id="ID_dd7e2b63-5017-49cf-b0cf-52b2a8a1a948" srsName="EPSG:3011" srsDimension="2">
          <gml:exterior>
            <gml:LinearRing gml:id="ID_2bf74194-5dcc-4d44-9946-17229e3e99f1">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6626326.033 138463.285 6626323.005 138459.976 6626321.419 138458.245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lmg:Yta>
      <planbestammelsereferens>573c7d39-30fd-46d5-966c-4fba94d361d5</planbestammelsereferens>
    </Lage>
    <Lage>
      <lmg:Yta>
        <lmg:absolutLagesosakerhetPlan>0</lmg:absolutLagesosakerhetPlan>
        <lmg:absolutLagesosakerhetHojd>0</lmg:absolutLagesosakerhetHojd>
        <lmg:hojdsystem>RH 2000</lmg:hojdsystem>
        <gml:Polygon gml:id="ID_5a368d63-79bd-4525-acab-32ec753d3e8c" srsName="EPSG:3011" srsDimension="2">
          <gml:exterior>
            <gml:LinearRing gml:id="ID_83fd360e-5b36-4029-b75d-235eca61951a">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lmg:Yta>
      <planbestammelsereferens>b2f3d0b2-59e2-4401-a962-fffaefce53d4</planbestammelsereferens>
    </Lage>
    <Lage>
      <lmg:Yta>
        <lmg:absolutLagesosakerhetPlan>0</lmg:absolutLagesosakerhetPlan>
        <lmg:absolutLagesosakerhetHojd>0</lmg:absolutLagesosakerhetHojd>
        <lmg:hojdsystem>RH 2000</lmg:hojdsystem>
        <gml:Polygon gml:id="ID_fe429dea-d1c0-4744-9463-45ef94b5da12" srsName="EPSG:3011" srsDimension="2">
          <gml:exterior>
            <gml:LinearRing gml:id="ID_979e6e30-071c-4f8e-99f4-663586ee7a0e">
              <gml:posList>6626528.913 138537.483 6626502.509 138538.955 6626502.422 138538.96 6626502.19 138538.2 6626501.988 138537.534 6626501.775 138536.834 6626501.617 138536.141 6626500.76 138532.388 6626499.989 138527.892 6626499.466 138523.361 6626499.191 138518.809 6626499.175 138515.845 6626499.167 138514.386 6626499.167 138514.248 6626499.392 138509.692 6626499.799 138505.796 6626499.829 138505.443 6626500.508 138499.706 6626500.584 138499.063 6626501.232 138494.331 6626501.75 138490.226 6626503.002 138480.305 6626503.53 138476.353 6626503.717 138474.763 6626504.188 138467.123 6626504.234 138461.796 6626504.076 138456.452 6626503.975 138455.045 6626503.694 138451.13 6626503.089 138445.828 6626502.261 138440.556 6626501.234 138435.333 6626500.455 138432.161 6626502.883 138431.649 6626528.373 138426.273 6626539.699 138423.884 6626543.288 138423.127 6626549.482 138421.821 6626555.673 138420.515 6626555.756 138420.908 6626556.433 138424.126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 6626571.357 138533.805 6626563.713 138535.402 6626562.797 138535.593 6626560.676 138535.712 6626553.865 138536.092 6626528.913 138537.483</gml:posList>
            </gml:LinearRing>
          </gml:exterior>
        </gml:Polygon>
      </lmg:Yta>
      <planbestammelsereferens>b7f59c6e-f5ba-4206-8866-1d45523fe7cf</planbestammelsereferens>
    </Lage>
    <Lage>
      <lmg:Yta>
        <lmg:absolutLagesosakerhetPlan>0</lmg:absolutLagesosakerhetPlan>
        <lmg:absolutLagesosakerhetHojd>0</lmg:absolutLagesosakerhetHojd>
        <lmg:hojdsystem>RH 2000</lmg:hojdsystem>
        <gml:Polygon gml:id="ID_5cb30398-5c0e-4574-ac52-327563a618f9" srsName="EPSG:3011" srsDimension="2">
          <gml:exterior>
            <gml:LinearRing gml:id="ID_04b977a6-9074-4d85-a223-71d4e1b533ca">
              <gml:posList>6626488.121 138516.247 6626488.045 138519.174 6626488.135 138520.186 6626488.181 138520.698 6626488.962 138529.473 6626489.319 138531.272 6626490.44 138536.918 6626490.882 138539.144 6626473.194 138539.393 6626420.176 138516.111 6626416.068 138505.571 6626443.898 138442.196 6626449.821 138428.708 6626479.565 138415.853 6626479.765 138416.089 6626481.835 138418.532 6626484.484 138422.403 6626484.917 138423.199 6626486.658 138426.406 6626486.723 138426.524 6626487.078 138427.375 6626488.294 138430.293 6626488.528 138430.853 6626489.577 138434.337 6626489.757 138434.935 6626489.881 138435.345 6626490.876 138439.816 6626490.912 138439.974 6626490.938 138440.098 6626491.054 138440.83 6626491.575 138444.152 6626491.935 138446.44 6626492.451 138449.724 6626492.645 138452.433 6626492.754 138453.957 6626493.148 138459.443 6626493.026 138469.187 6626492.089 138478.927 6626491.108 138486.701 6626490.836 138488.848 6626490.326 138492.895 6626489.584 138498.769 6626488.918 138504.047 6626488.811 138504.892 6626488.312 138508.839 6626488.186 138513.742 6626488.125 138516.025 6626488.121 138516.247</gml:posList>
            </gml:LinearRing>
          </gml:exterior>
        </gml:Polygon>
      </lmg:Yta>
      <planbestammelsereferens>29b4ec51-3322-4cc1-8b24-ed4ae1d5ad2d</planbestammelsereferens>
    </Lage>
    <Lage>
      <lmg:Yta>
        <lmg:absolutLagesosakerhetPlan>0</lmg:absolutLagesosakerhetPlan>
        <lmg:absolutLagesosakerhetHojd>0</lmg:absolutLagesosakerhetHojd>
        <lmg:hojdsystem>RH 2000</lmg:hojdsystem>
        <gml:Polygon gml:id="ID_c8065eec-4c59-404e-8de3-31d23ddd0e64" srsName="EPSG:3011" srsDimension="2">
          <gml:exterior>
            <gml:LinearRing gml:id="ID_564a41c1-6c9d-4c8b-b8b9-5bfa489198ec">
              <gml:posList>6626315.823 138550.34 6626312.894 138542.716 6626353.148 138526.44 6626414.41 138553.931 6626429.15 138599.446 6626432.205 138636.009 6626432.24 138636.426 6626432.621 138640.991 6626420.4 138642.013 6626418.946 138647.871 6626418.774 138647.777 6626414.41 138645.397 6626413.775 138645.05 6626413.318 138644.756 6626412.477 138644.213 6626405.546 138639.745 6626397.296 138634.174 6626390.93 138629.762 6626389.103 138628.495 6626386.043 138626.312 6626383.239 138624.311 6626381.667 138623.19 6626381.098 138622.783 6626378.136 138620.417 6626373.285 138616.542 6626365.635 138610.271 6626364.609 138609.389 6626362.298 138607.401 6626358.053 138603.751 6626350.749 138597.242 6626343.649 138590.207 6626340.587 138586.938 6626336.963 138583.066 6626330.809 138575.463 6626325.219 138567.436 6626323.731 138564.961 6626322.521 138562.95 6626320.542 138559.659 6626320.409 138559.439 6626320.16 138559.024 6626320.024 138558.752 6626319.953 138558.61 6626315.823 138550.34</gml:posList>
            </gml:LinearRing>
          </gml:exterior>
        </gml:Polygon>
      </lmg:Yta>
      <planbestammelsereferens>2ac7db03-8c97-4f94-8aee-7cfb7427620e</planbestammelsereferens>
    </Lage>
    <Lage>
      <lmg:Yta>
        <lmg:absolutLagesosakerhetPlan>0</lmg:absolutLagesosakerhetPlan>
        <lmg:absolutLagesosakerhetHojd>0</lmg:absolutLagesosakerhetHojd>
        <lmg:hojdsystem>RH 2000</lmg:hojdsystem>
        <gml:Polygon gml:id="ID_8f96b652-8170-4da6-9af4-ed0482a96532" srsName="EPSG:3011" srsDimension="2">
          <gml:exterior>
            <gml:LinearRing gml:id="ID_3d6224b5-937c-4a51-b4f4-fd0a41433d22">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37e590f4-c17b-4f61-9e0b-e3cd69e6b569</planbestammelsereferens>
    </Lage>
    <Lage>
      <lmg:Yta>
        <lmg:absolutLagesosakerhetPlan>0</lmg:absolutLagesosakerhetPlan>
        <lmg:absolutLagesosakerhetHojd>0</lmg:absolutLagesosakerhetHojd>
        <lmg:hojdsystem>RH 2000</lmg:hojdsystem>
        <gml:Polygon gml:id="ID_ba621ed8-3b86-45f3-870c-fee94ab58541" srsName="EPSG:3011" srsDimension="2">
          <gml:exterior>
            <gml:LinearRing gml:id="ID_a96669d4-62e5-416a-ae4a-44d74bff6d09">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26d53fdb-338d-4005-a63c-73072a9d1c3c</planbestammelsereferens>
    </Lage>
    <Lage>
      <lmg:Yta>
        <lmg:absolutLagesosakerhetPlan>0</lmg:absolutLagesosakerhetPlan>
        <lmg:absolutLagesosakerhetHojd>0</lmg:absolutLagesosakerhetHojd>
        <lmg:hojdsystem>RH 2000</lmg:hojdsystem>
        <gml:Polygon gml:id="ID_9a8562c3-12ef-4dc8-86a2-616594914504" srsName="EPSG:3011" srsDimension="2">
          <gml:exterior>
            <gml:LinearRing gml:id="ID_210c56f7-0c54-471c-98c2-8fb411849440">
              <gml:posList>6626086.159 138445.645 6626085.9 138445.449 6626086.16 138445.181 6626125.843 138404.234 6626126.132 138403.936 6626127.923 138404.825 6626129.814 138405.764 6626134.093 138408.093 6626138.32 138410.555 6626142.451 138413.174 6626146.498 138415.921 6626150.452 138418.801 6626154.307 138421.811 6626158.059 138424.947 6626161.705 138428.208 6626165.241 138431.588 6626168.662 138435.083 6626171.972 138438.685 6626173.676 138440.597 6626177.203 138444.316 6626180.885 138447.883 6626184.704 138451.302 6626185.207 138451.722 6626188.281 138454.282 6626188.642 138454.583 6626192.727 138457.679 6626196.895 138460.663 6626201.206 138463.436 6626205.59 138466.091 6626210.092 138468.542 6626214.677 138470.835 6626218.191 138472.395 6626219.362 138472.915 6626224.101 138474.867 6626228.932 138476.58 6626231.631 138477.459 6626233.806 138478.167 6626236.496 138478.888 6626241.14 138480.132 6626250.802 138482.709 6626255.631 138484.007 6626257.706 138484.557 6626257.664 138484.701 6626257.539 138485.132 6626257.435 138485.493 6626255.401 138492.52 6626241.699 138539.871 6626212.366 138531.405 6626178.674 138503.452 6626096.159 138453.169 6626086.159 138445.645</gml:posList>
            </gml:LinearRing>
          </gml:exterior>
        </gml:Polygon>
      </lmg:Yta>
      <planbestammelsereferens>3c55afd2-a0e6-4b41-b197-2a7e4f9270d0</planbestammelsereferens>
    </Lage>
    <Lage>
      <lmg:Yta>
        <lmg:absolutLagesosakerhetPlan>0</lmg:absolutLagesosakerhetPlan>
        <lmg:absolutLagesosakerhetHojd>0</lmg:absolutLagesosakerhetHojd>
        <lmg:hojdsystem>RH 2000</lmg:hojdsystem>
        <gml:Polygon gml:id="ID_9556facd-9b19-45c7-ac04-bef73cb0f135" srsName="EPSG:3011" srsDimension="2">
          <gml:exterior>
            <gml:LinearRing gml:id="ID_459c321b-92ea-44b7-a8ae-583edacf02f9">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6484341d-8d41-4edd-a52b-3f2c1222c120</planbestammelsereferens>
    </Lage>
    <Indelning>
      <tema>Motiv till detaljplanens regleringar</tema>
      <grupp>Motiv till reglering</grupp>
    </Indelning>
  </Omfattning>
  <Omfattning>
    <identitet>mo_motivtillreglering23</identitet>
    <Lage>
      <lmg:Yta>
        <lmg:absolutLagesosakerhetPlan>0</lmg:absolutLagesosakerhetPlan>
        <lmg:absolutLagesosakerhetHojd>0</lmg:absolutLagesosakerhetHojd>
        <lmg:hojdsystem>RH 2000</lmg:hojdsystem>
        <gml:Polygon gml:id="ID_06f37b04-1a26-4354-a3df-7bc61c8e8704" srsName="EPSG:3011" srsDimension="2">
          <gml:exterior>
            <gml:LinearRing gml:id="ID_60365734-6896-4ceb-a2a6-8232ee314954">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020e3166-d997-4d11-97dd-62c8f748f3f7</planbestammelsereferens>
    </Lage>
    <Lage>
      <lmg:Yta>
        <lmg:absolutLagesosakerhetPlan>0</lmg:absolutLagesosakerhetPlan>
        <lmg:absolutLagesosakerhetHojd>0</lmg:absolutLagesosakerhetHojd>
        <lmg:hojdsystem>RH 2000</lmg:hojdsystem>
        <gml:Polygon gml:id="ID_d11b1bbc-9b35-431a-bd41-ca8c0f909871" srsName="EPSG:3011" srsDimension="2">
          <gml:exterior>
            <gml:LinearRing gml:id="ID_692e6d21-0308-49e0-be82-1b1744f5f367">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67084792-2e2d-4cd9-a4dd-8208c8050661</planbestammelsereferens>
    </Lage>
    <Lage>
      <lmg:Yta>
        <lmg:absolutLagesosakerhetPlan>0</lmg:absolutLagesosakerhetPlan>
        <lmg:absolutLagesosakerhetHojd>0</lmg:absolutLagesosakerhetHojd>
        <lmg:hojdsystem>RH 2000</lmg:hojdsystem>
        <gml:Polygon gml:id="ID_614f77a2-eaba-4956-aa58-c871dce4ff25" srsName="EPSG:3011" srsDimension="2">
          <gml:exterior>
            <gml:LinearRing gml:id="ID_bed512e2-7f5b-4a75-b2f0-c6a004560c8e">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d2079a52-8268-4b75-b569-3319ee4860c3</planbestammelsereferens>
    </Lage>
    <Indelning>
      <tema>Motiv till detaljplanens regleringar</tema>
      <grupp>Motiv till reglering</grupp>
    </Indelning>
  </Omfattning>
  <Omfattning>
    <identitet>mo_motivtillreglering24</identitet>
    <Lage>
      <lmg:Yta>
        <lmg:absolutLagesosakerhetPlan>0</lmg:absolutLagesosakerhetPlan>
        <lmg:absolutLagesosakerhetHojd>0</lmg:absolutLagesosakerhetHojd>
        <lmg:hojdsystem>RH 2000</lmg:hojdsystem>
        <gml:Polygon gml:id="ID_e8b3c87c-03aa-4bf7-a07f-6c91e324352d" srsName="EPSG:3011" srsDimension="2">
          <gml:exterior>
            <gml:LinearRing gml:id="ID_f0bdc815-bc6d-4c61-bdb9-0fb7d3317fcc">
              <gml:posList>6626086.159 138445.645 6626085.9 138445.449 6626086.16 138445.181 6626125.843 138404.234 6626126.132 138403.936 6626127.923 138404.825 6626129.814 138405.764 6626134.093 138408.093 6626138.32 138410.555 6626142.451 138413.174 6626146.498 138415.921 6626150.452 138418.801 6626154.307 138421.811 6626158.059 138424.947 6626161.705 138428.208 6626165.241 138431.588 6626168.662 138435.083 6626171.972 138438.685 6626173.676 138440.597 6626177.203 138444.316 6626180.885 138447.883 6626184.704 138451.302 6626185.207 138451.722 6626188.281 138454.282 6626188.642 138454.583 6626192.727 138457.679 6626196.895 138460.663 6626201.206 138463.436 6626205.59 138466.091 6626210.092 138468.542 6626214.677 138470.835 6626218.191 138472.395 6626219.362 138472.915 6626224.101 138474.867 6626228.932 138476.58 6626231.631 138477.459 6626233.806 138478.167 6626236.496 138478.888 6626241.14 138480.132 6626250.802 138482.709 6626255.631 138484.007 6626257.706 138484.557 6626257.664 138484.701 6626257.539 138485.132 6626257.435 138485.493 6626255.401 138492.52 6626241.699 138539.871 6626212.366 138531.405 6626178.674 138503.452 6626096.159 138453.169 6626086.159 138445.645</gml:posList>
            </gml:LinearRing>
          </gml:exterior>
        </gml:Polygon>
      </lmg:Yta>
      <planbestammelsereferens>e3a2e894-0a6f-4e57-b673-c4d85c88b9ca</planbestammelsereferens>
    </Lage>
    <Lage>
      <lmg:Yta>
        <lmg:absolutLagesosakerhetPlan>0</lmg:absolutLagesosakerhetPlan>
        <lmg:absolutLagesosakerhetHojd>0</lmg:absolutLagesosakerhetHojd>
        <lmg:hojdsystem>RH 2000</lmg:hojdsystem>
        <gml:Polygon gml:id="ID_76d4f479-64c0-4b1e-9aa9-06b9e1e415b0" srsName="EPSG:3011" srsDimension="2">
          <gml:exterior>
            <gml:LinearRing gml:id="ID_39dccbca-4b75-4b42-98a8-7b4fe9d24b82">
              <gml:posList>6626341.946 138479.596 6626335.821 138472.779 6626337.318 138471.228 6626344.598 138464.623 6626352.166 138458.087 6626359.667 138451.643 6626359.673 138451.638 6626361.135 138450.462 6626367.463 138445.369 6626375.206 138439.141 6626375.22 138439.13 6626383.106 138432.983 6626390.993 138426.836 6626394.99 138423.719 6626398.88 138420.688 6626402.72 138417.937 6626406.933 138415.312 6626415.553 138411.431 6626418.003 138410.539 6626418.96 138412.754 6626429.619 138437.406 6626428.572 138439.789 6626427.384 138442.496 6626397.137 138466.05 6626378.235 138481.321 6626363.871 138493.851 6626354.588 138493.667 6626341.946 138479.596</gml:posList>
            </gml:LinearRing>
          </gml:exterior>
        </gml:Polygon>
      </lmg:Yta>
      <planbestammelsereferens>aba6925e-5b33-47d4-a9dc-4cd3d245317a</planbestammelsereferens>
    </Lage>
    <Lage>
      <lmg:Yta>
        <lmg:absolutLagesosakerhetPlan>0</lmg:absolutLagesosakerhetPlan>
        <lmg:absolutLagesosakerhetHojd>0</lmg:absolutLagesosakerhetHojd>
        <lmg:hojdsystem>RH 2000</lmg:hojdsystem>
        <gml:Polygon gml:id="ID_87fc8096-07b6-45f7-aeac-0f38c9c4d1d2" srsName="EPSG:3011" srsDimension="2">
          <gml:exterior>
            <gml:LinearRing gml:id="ID_06c51070-d4e5-42bd-92eb-cad1a8c1f83a">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6626326.033 138463.285 6626323.005 138459.976 6626321.419 138458.245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lmg:Yta>
      <planbestammelsereferens>7e6bf1d6-3913-497f-9848-a192f4bf2d1c</planbestammelsereferens>
    </Lage>
    <Lage>
      <lmg:Yta>
        <lmg:absolutLagesosakerhetPlan>0</lmg:absolutLagesosakerhetPlan>
        <lmg:absolutLagesosakerhetHojd>0</lmg:absolutLagesosakerhetHojd>
        <lmg:hojdsystem>RH 2000</lmg:hojdsystem>
        <gml:Polygon gml:id="ID_e570d470-08f5-4848-b1a2-c5a3ab7c0439" srsName="EPSG:3011" srsDimension="2">
          <gml:exterior>
            <gml:LinearRing gml:id="ID_31666716-ea3e-4458-bda9-626607896429">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lmg:Yta>
      <planbestammelsereferens>cf73cdab-f477-4869-8e25-47d16e78c4c5</planbestammelsereferens>
    </Lage>
    <Lage>
      <lmg:Yta>
        <lmg:absolutLagesosakerhetPlan>0</lmg:absolutLagesosakerhetPlan>
        <lmg:absolutLagesosakerhetHojd>0</lmg:absolutLagesosakerhetHojd>
        <lmg:hojdsystem>RH 2000</lmg:hojdsystem>
        <gml:Polygon gml:id="ID_858857d6-74d0-4874-b245-66fa7dbd29f3" srsName="EPSG:3011" srsDimension="2">
          <gml:exterior>
            <gml:LinearRing gml:id="ID_f0f0d208-e7c2-4d97-a5ae-f814697d199e">
              <gml:posList>6626528.913 138537.483 6626502.509 138538.955 6626502.422 138538.96 6626502.19 138538.2 6626501.988 138537.534 6626501.775 138536.834 6626501.617 138536.141 6626500.76 138532.388 6626499.989 138527.892 6626499.466 138523.361 6626499.191 138518.809 6626499.175 138515.845 6626499.167 138514.386 6626499.167 138514.248 6626499.392 138509.692 6626499.799 138505.796 6626499.829 138505.443 6626500.508 138499.706 6626500.584 138499.063 6626501.232 138494.331 6626501.75 138490.226 6626503.002 138480.305 6626503.53 138476.353 6626503.717 138474.763 6626504.188 138467.123 6626504.234 138461.796 6626504.076 138456.452 6626503.975 138455.045 6626503.694 138451.13 6626503.089 138445.828 6626502.261 138440.556 6626501.234 138435.333 6626500.455 138432.161 6626502.883 138431.649 6626528.373 138426.273 6626539.699 138423.884 6626543.288 138423.127 6626549.482 138421.821 6626555.673 138420.515 6626555.756 138420.908 6626556.433 138424.126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 6626571.357 138533.805 6626563.713 138535.402 6626562.797 138535.593 6626560.676 138535.712 6626553.865 138536.092 6626528.913 138537.483</gml:posList>
            </gml:LinearRing>
          </gml:exterior>
        </gml:Polygon>
      </lmg:Yta>
      <planbestammelsereferens>6b7d285f-e524-48f4-8dbe-ff693a52c18a</planbestammelsereferens>
    </Lage>
    <Lage>
      <lmg:Yta>
        <lmg:absolutLagesosakerhetPlan>0</lmg:absolutLagesosakerhetPlan>
        <lmg:absolutLagesosakerhetHojd>0</lmg:absolutLagesosakerhetHojd>
        <lmg:hojdsystem>RH 2000</lmg:hojdsystem>
        <gml:Polygon gml:id="ID_7996110f-20be-4dec-97fe-dc6748044c35" srsName="EPSG:3011" srsDimension="2">
          <gml:exterior>
            <gml:LinearRing gml:id="ID_722018ad-3519-4298-b1f7-28599f1fe1a6">
              <gml:posList>6626488.121 138516.247 6626488.045 138519.174 6626488.135 138520.186 6626488.181 138520.698 6626488.962 138529.473 6626489.319 138531.272 6626490.44 138536.918 6626490.882 138539.144 6626473.194 138539.393 6626420.176 138516.111 6626416.068 138505.571 6626443.898 138442.196 6626449.821 138428.708 6626479.565 138415.853 6626479.765 138416.089 6626481.835 138418.532 6626484.484 138422.403 6626484.917 138423.199 6626486.658 138426.406 6626486.723 138426.524 6626487.078 138427.375 6626488.294 138430.293 6626488.528 138430.853 6626489.577 138434.337 6626489.757 138434.935 6626489.881 138435.345 6626490.876 138439.816 6626490.912 138439.974 6626490.938 138440.098 6626491.054 138440.83 6626491.575 138444.152 6626491.935 138446.44 6626492.451 138449.724 6626492.645 138452.433 6626492.754 138453.957 6626493.148 138459.443 6626493.026 138469.187 6626492.089 138478.927 6626491.108 138486.701 6626490.836 138488.848 6626490.326 138492.895 6626489.584 138498.769 6626488.918 138504.047 6626488.811 138504.892 6626488.312 138508.839 6626488.186 138513.742 6626488.125 138516.025 6626488.121 138516.247</gml:posList>
            </gml:LinearRing>
          </gml:exterior>
        </gml:Polygon>
      </lmg:Yta>
      <planbestammelsereferens>5a1bcbc9-308b-4856-a62e-2a642b5cdc43</planbestammelsereferens>
    </Lage>
    <Lage>
      <lmg:Yta>
        <lmg:absolutLagesosakerhetPlan>0</lmg:absolutLagesosakerhetPlan>
        <lmg:absolutLagesosakerhetHojd>0</lmg:absolutLagesosakerhetHojd>
        <lmg:hojdsystem>RH 2000</lmg:hojdsystem>
        <gml:Polygon gml:id="ID_0128b09e-d53c-4823-b7ad-efed152b89ad" srsName="EPSG:3011" srsDimension="2">
          <gml:exterior>
            <gml:LinearRing gml:id="ID_48f5b4dc-10d5-4b8e-a443-c8cf9e0f0c33">
              <gml:posList>6626315.823 138550.34 6626312.894 138542.716 6626353.148 138526.44 6626414.41 138553.931 6626429.15 138599.446 6626432.205 138636.009 6626432.24 138636.426 6626432.621 138640.991 6626420.4 138642.013 6626418.946 138647.871 6626418.774 138647.777 6626414.41 138645.397 6626413.775 138645.05 6626413.318 138644.756 6626412.477 138644.213 6626405.546 138639.745 6626397.296 138634.174 6626390.93 138629.762 6626389.103 138628.495 6626386.043 138626.312 6626383.239 138624.311 6626381.667 138623.19 6626381.098 138622.783 6626378.136 138620.417 6626373.285 138616.542 6626365.635 138610.271 6626364.609 138609.389 6626362.298 138607.401 6626358.053 138603.751 6626350.749 138597.242 6626343.649 138590.207 6626340.587 138586.938 6626336.963 138583.066 6626330.809 138575.463 6626325.219 138567.436 6626323.731 138564.961 6626322.521 138562.95 6626320.542 138559.659 6626320.409 138559.439 6626320.16 138559.024 6626320.024 138558.752 6626319.953 138558.61 6626315.823 138550.34</gml:posList>
            </gml:LinearRing>
          </gml:exterior>
        </gml:Polygon>
      </lmg:Yta>
      <planbestammelsereferens>2e7c3b3f-6030-49d0-a3bc-a4c8ad9108fa</planbestammelsereferens>
    </Lage>
    <Indelning>
      <tema>Motiv till detaljplanens regleringar</tema>
      <grupp>Motiv till reglering</grupp>
    </Indelning>
  </Omfattning>
  <Omfattning>
    <identitet>mo_motivtillreglering25</identitet>
    <Lage>
      <lmg:Yta>
        <lmg:absolutLagesosakerhetPlan>0</lmg:absolutLagesosakerhetPlan>
        <lmg:absolutLagesosakerhetHojd>0</lmg:absolutLagesosakerhetHojd>
        <lmg:hojdsystem>RH 2000</lmg:hojdsystem>
        <gml:Polygon gml:id="ID_f7b70504-fdab-4715-900c-f86f8fb92e39" srsName="EPSG:3011" srsDimension="2">
          <gml:exterior>
            <gml:LinearRing gml:id="ID_406b5f54-0ebe-4bfe-a57a-8a96eaae4672">
              <gml:posList>6626086.159 138445.645 6626085.9 138445.449 6626086.16 138445.181 6626125.843 138404.234 6626126.132 138403.936 6626127.923 138404.825 6626129.814 138405.764 6626134.093 138408.093 6626138.32 138410.555 6626142.451 138413.174 6626146.498 138415.921 6626150.452 138418.801 6626154.307 138421.811 6626158.059 138424.947 6626161.705 138428.208 6626165.241 138431.588 6626168.662 138435.083 6626171.972 138438.685 6626173.676 138440.597 6626177.203 138444.316 6626180.885 138447.883 6626184.704 138451.302 6626185.207 138451.722 6626188.281 138454.282 6626188.642 138454.583 6626192.727 138457.679 6626196.895 138460.663 6626201.206 138463.436 6626205.59 138466.091 6626210.092 138468.542 6626214.677 138470.835 6626218.191 138472.395 6626219.362 138472.915 6626224.101 138474.867 6626228.932 138476.58 6626231.631 138477.459 6626233.806 138478.167 6626236.496 138478.888 6626241.14 138480.132 6626250.802 138482.709 6626255.631 138484.007 6626257.706 138484.557 6626257.664 138484.701 6626257.539 138485.132 6626257.435 138485.493 6626255.401 138492.52 6626241.699 138539.871 6626212.366 138531.405 6626178.674 138503.452 6626096.159 138453.169 6626086.159 138445.645</gml:posList>
            </gml:LinearRing>
          </gml:exterior>
        </gml:Polygon>
      </lmg:Yta>
      <planbestammelsereferens>18f3b185-788e-4f0a-84ca-6531053d5d0b</planbestammelsereferens>
    </Lage>
    <Lage>
      <lmg:Yta>
        <lmg:absolutLagesosakerhetPlan>0</lmg:absolutLagesosakerhetPlan>
        <lmg:absolutLagesosakerhetHojd>0</lmg:absolutLagesosakerhetHojd>
        <lmg:hojdsystem>RH 2000</lmg:hojdsystem>
        <gml:Polygon gml:id="ID_244c65fa-8ad3-4262-881b-f3631db5f1bc" srsName="EPSG:3011" srsDimension="2">
          <gml:exterior>
            <gml:LinearRing gml:id="ID_90f3cc2b-f3bb-485b-82a9-3071d79198c9">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9ae1dd77-c059-4c2b-b55b-6fc28d92d7dd</planbestammelsereferens>
    </Lage>
    <Lage>
      <lmg:Yta>
        <lmg:absolutLagesosakerhetPlan>0</lmg:absolutLagesosakerhetPlan>
        <lmg:absolutLagesosakerhetHojd>0</lmg:absolutLagesosakerhetHojd>
        <lmg:hojdsystem>RH 2000</lmg:hojdsystem>
        <gml:Polygon gml:id="ID_d541fdb7-e1f9-4806-878e-03dcc6cd0a1c" srsName="EPSG:3011" srsDimension="2">
          <gml:exterior>
            <gml:LinearRing gml:id="ID_4fc696a8-456a-4e8d-ac7b-7265518a4f2e">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a466e056-1578-481a-b862-58be6805f862</planbestammelsereferens>
    </Lage>
    <Lage>
      <lmg:Yta>
        <lmg:absolutLagesosakerhetPlan>0</lmg:absolutLagesosakerhetPlan>
        <lmg:absolutLagesosakerhetHojd>0</lmg:absolutLagesosakerhetHojd>
        <lmg:hojdsystem>RH 2000</lmg:hojdsystem>
        <gml:Polygon gml:id="ID_86a31e89-82de-4d53-ba98-f613219c7000" srsName="EPSG:3011" srsDimension="2">
          <gml:exterior>
            <gml:LinearRing gml:id="ID_97d49957-654b-4f45-b1e1-c78ba889ad69">
              <gml:posList>6626341.946 138479.596 6626335.821 138472.779 6626337.318 138471.228 6626344.598 138464.623 6626352.166 138458.087 6626359.667 138451.643 6626359.673 138451.638 6626361.135 138450.462 6626367.463 138445.369 6626375.206 138439.141 6626375.22 138439.13 6626383.106 138432.983 6626390.993 138426.836 6626394.99 138423.719 6626398.88 138420.688 6626402.72 138417.937 6626406.933 138415.312 6626415.553 138411.431 6626418.003 138410.539 6626418.96 138412.754 6626429.619 138437.406 6626428.572 138439.789 6626427.384 138442.496 6626397.137 138466.05 6626378.235 138481.321 6626363.871 138493.851 6626354.588 138493.667 6626341.946 138479.596</gml:posList>
            </gml:LinearRing>
          </gml:exterior>
        </gml:Polygon>
      </lmg:Yta>
      <planbestammelsereferens>e76eb734-8acf-4a02-8075-1463fc2ef1d3</planbestammelsereferens>
    </Lage>
    <Lage>
      <lmg:Yta>
        <lmg:absolutLagesosakerhetPlan>0</lmg:absolutLagesosakerhetPlan>
        <lmg:absolutLagesosakerhetHojd>0</lmg:absolutLagesosakerhetHojd>
        <lmg:hojdsystem>RH 2000</lmg:hojdsystem>
        <gml:Polygon gml:id="ID_2ba1b94f-30b4-471c-86f9-75de48f2c6a6" srsName="EPSG:3011" srsDimension="2">
          <gml:exterior>
            <gml:LinearRing gml:id="ID_7f984459-33e1-441d-add1-e532fae0b68e">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6626326.033 138463.285 6626323.005 138459.976 6626321.419 138458.245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lmg:Yta>
      <planbestammelsereferens>fc1807f5-bf4d-4f95-8b7e-c08c7762ad5b</planbestammelsereferens>
    </Lage>
    <Lage>
      <lmg:Yta>
        <lmg:absolutLagesosakerhetPlan>0</lmg:absolutLagesosakerhetPlan>
        <lmg:absolutLagesosakerhetHojd>0</lmg:absolutLagesosakerhetHojd>
        <lmg:hojdsystem>RH 2000</lmg:hojdsystem>
        <gml:Polygon gml:id="ID_474af35c-1055-4810-b9ca-14531277a477" srsName="EPSG:3011" srsDimension="2">
          <gml:exterior>
            <gml:LinearRing gml:id="ID_eacf808d-d568-4f6d-917f-7ae320783100">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lmg:Yta>
      <planbestammelsereferens>e8df6456-d681-48ca-8a16-9cbd1c872313</planbestammelsereferens>
    </Lage>
    <Lage>
      <lmg:Yta>
        <lmg:absolutLagesosakerhetPlan>0</lmg:absolutLagesosakerhetPlan>
        <lmg:absolutLagesosakerhetHojd>0</lmg:absolutLagesosakerhetHojd>
        <lmg:hojdsystem>RH 2000</lmg:hojdsystem>
        <gml:Polygon gml:id="ID_e2e75d7e-6e2e-4992-87fe-b8b31426df23" srsName="EPSG:3011" srsDimension="2">
          <gml:exterior>
            <gml:LinearRing gml:id="ID_d02c7c30-20df-4a10-9fd8-ff2db5f59f33">
              <gml:posList>6626528.913 138537.483 6626502.509 138538.955 6626502.422 138538.96 6626502.19 138538.2 6626501.988 138537.534 6626501.775 138536.834 6626501.617 138536.141 6626500.76 138532.388 6626499.989 138527.892 6626499.466 138523.361 6626499.191 138518.809 6626499.175 138515.845 6626499.167 138514.386 6626499.167 138514.248 6626499.392 138509.692 6626499.799 138505.796 6626499.829 138505.443 6626500.508 138499.706 6626500.584 138499.063 6626501.232 138494.331 6626501.75 138490.226 6626503.002 138480.305 6626503.53 138476.353 6626503.717 138474.763 6626504.188 138467.123 6626504.234 138461.796 6626504.076 138456.452 6626503.975 138455.045 6626503.694 138451.13 6626503.089 138445.828 6626502.261 138440.556 6626501.234 138435.333 6626500.455 138432.161 6626502.883 138431.649 6626528.373 138426.273 6626539.699 138423.884 6626543.288 138423.127 6626549.482 138421.821 6626555.673 138420.515 6626555.756 138420.908 6626556.433 138424.126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 6626571.357 138533.805 6626563.713 138535.402 6626562.797 138535.593 6626560.676 138535.712 6626553.865 138536.092 6626528.913 138537.483</gml:posList>
            </gml:LinearRing>
          </gml:exterior>
        </gml:Polygon>
      </lmg:Yta>
      <planbestammelsereferens>c82e6c5d-e60e-49c3-8960-8fc47985f62b</planbestammelsereferens>
    </Lage>
    <Lage>
      <lmg:Yta>
        <lmg:absolutLagesosakerhetPlan>0</lmg:absolutLagesosakerhetPlan>
        <lmg:absolutLagesosakerhetHojd>0</lmg:absolutLagesosakerhetHojd>
        <lmg:hojdsystem>RH 2000</lmg:hojdsystem>
        <gml:Polygon gml:id="ID_e6d7b12b-7111-4692-b37a-a3e824a5e94f" srsName="EPSG:3011" srsDimension="2">
          <gml:exterior>
            <gml:LinearRing gml:id="ID_0ce19f12-5d38-49ac-9cae-0076e7c671b7">
              <gml:posList>6626488.121 138516.247 6626488.045 138519.174 6626488.135 138520.186 6626488.181 138520.698 6626488.962 138529.473 6626489.319 138531.272 6626490.44 138536.918 6626490.882 138539.144 6626473.194 138539.393 6626420.176 138516.111 6626416.068 138505.571 6626443.898 138442.196 6626449.821 138428.708 6626479.565 138415.853 6626479.765 138416.089 6626481.835 138418.532 6626484.484 138422.403 6626484.917 138423.199 6626486.658 138426.406 6626486.723 138426.524 6626487.078 138427.375 6626488.294 138430.293 6626488.528 138430.853 6626489.577 138434.337 6626489.757 138434.935 6626489.881 138435.345 6626490.876 138439.816 6626490.912 138439.974 6626490.938 138440.098 6626491.054 138440.83 6626491.575 138444.152 6626491.935 138446.44 6626492.451 138449.724 6626492.645 138452.433 6626492.754 138453.957 6626493.148 138459.443 6626493.026 138469.187 6626492.089 138478.927 6626491.108 138486.701 6626490.836 138488.848 6626490.326 138492.895 6626489.584 138498.769 6626488.918 138504.047 6626488.811 138504.892 6626488.312 138508.839 6626488.186 138513.742 6626488.125 138516.025 6626488.121 138516.247</gml:posList>
            </gml:LinearRing>
          </gml:exterior>
        </gml:Polygon>
      </lmg:Yta>
      <planbestammelsereferens>767f4d3c-28ad-4ada-8a89-d7921500d42c</planbestammelsereferens>
    </Lage>
    <Lage>
      <lmg:Yta>
        <lmg:absolutLagesosakerhetPlan>0</lmg:absolutLagesosakerhetPlan>
        <lmg:absolutLagesosakerhetHojd>0</lmg:absolutLagesosakerhetHojd>
        <lmg:hojdsystem>RH 2000</lmg:hojdsystem>
        <gml:Polygon gml:id="ID_0482b372-fa0d-4db8-a59d-e83807cedf74" srsName="EPSG:3011" srsDimension="2">
          <gml:exterior>
            <gml:LinearRing gml:id="ID_ef849298-2088-4644-a91c-1ae0e4d6c390">
              <gml:posList>6626315.823 138550.34 6626312.894 138542.716 6626353.148 138526.44 6626414.41 138553.931 6626429.15 138599.446 6626432.205 138636.009 6626432.24 138636.426 6626432.621 138640.991 6626420.4 138642.013 6626418.946 138647.871 6626418.774 138647.777 6626414.41 138645.397 6626413.775 138645.05 6626413.318 138644.756 6626412.477 138644.213 6626405.546 138639.745 6626397.296 138634.174 6626390.93 138629.762 6626389.103 138628.495 6626386.043 138626.312 6626383.239 138624.311 6626381.667 138623.19 6626381.098 138622.783 6626378.136 138620.417 6626373.285 138616.542 6626365.635 138610.271 6626364.609 138609.389 6626362.298 138607.401 6626358.053 138603.751 6626350.749 138597.242 6626343.649 138590.207 6626340.587 138586.938 6626336.963 138583.066 6626330.809 138575.463 6626325.219 138567.436 6626323.731 138564.961 6626322.521 138562.95 6626320.542 138559.659 6626320.409 138559.439 6626320.16 138559.024 6626320.024 138558.752 6626319.953 138558.61 6626315.823 138550.34</gml:posList>
            </gml:LinearRing>
          </gml:exterior>
        </gml:Polygon>
      </lmg:Yta>
      <planbestammelsereferens>c42c1278-ae2a-4e96-80ce-9ee7409c8c56</planbestammelsereferens>
    </Lage>
    <Lage>
      <lmg:Yta>
        <lmg:absolutLagesosakerhetPlan>0</lmg:absolutLagesosakerhetPlan>
        <lmg:absolutLagesosakerhetHojd>0</lmg:absolutLagesosakerhetHojd>
        <lmg:hojdsystem>RH 2000</lmg:hojdsystem>
        <gml:Polygon gml:id="ID_516dd89a-660e-4e37-9f0b-353a7d70679c" srsName="EPSG:3011" srsDimension="2">
          <gml:exterior>
            <gml:LinearRing gml:id="ID_52d4a848-0c86-4cd5-97f9-f0ac57632f08">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9a4f56fb-21a9-494e-86ba-00a368ed5979</planbestammelsereferens>
    </Lage>
    <Indelning>
      <tema>Motiv till detaljplanens regleringar</tema>
      <grupp>Motiv till reglering</grupp>
    </Indelning>
  </Omfattning>
  <Omfattning>
    <identitet>mo_motivtillreglering26</identitet>
    <Lage>
      <lmg:Yta>
        <lmg:absolutLagesosakerhetPlan>0</lmg:absolutLagesosakerhetPlan>
        <lmg:absolutLagesosakerhetHojd>0</lmg:absolutLagesosakerhetHojd>
        <lmg:hojdsystem>RH 2000</lmg:hojdsystem>
        <gml:Polygon gml:id="ID_c4aa3edb-0c3c-469d-85fb-e86d2aabcdff" srsName="EPSG:3011" srsDimension="2">
          <gml:exterior>
            <gml:LinearRing gml:id="ID_9c52d209-e952-4123-ba0f-21eb25a66e97">
              <gml:posList>6626086.159 138445.645 6626085.9 138445.449 6626086.16 138445.181 6626125.843 138404.234 6626126.132 138403.936 6626127.923 138404.825 6626129.814 138405.764 6626134.093 138408.093 6626138.32 138410.555 6626142.451 138413.174 6626146.498 138415.921 6626150.452 138418.801 6626154.307 138421.811 6626158.059 138424.947 6626161.705 138428.208 6626165.241 138431.588 6626168.662 138435.083 6626171.972 138438.685 6626173.676 138440.597 6626177.203 138444.316 6626180.885 138447.883 6626184.704 138451.302 6626185.207 138451.722 6626188.281 138454.282 6626188.642 138454.583 6626192.727 138457.679 6626196.895 138460.663 6626201.206 138463.436 6626205.59 138466.091 6626210.092 138468.542 6626214.677 138470.835 6626218.191 138472.395 6626219.362 138472.915 6626224.101 138474.867 6626228.932 138476.58 6626231.631 138477.459 6626233.806 138478.167 6626236.496 138478.888 6626241.14 138480.132 6626250.802 138482.709 6626255.631 138484.007 6626257.706 138484.557 6626257.664 138484.701 6626257.539 138485.132 6626257.435 138485.493 6626255.401 138492.52 6626241.699 138539.871 6626212.366 138531.405 6626178.674 138503.452 6626096.159 138453.169 6626086.159 138445.645</gml:posList>
            </gml:LinearRing>
          </gml:exterior>
        </gml:Polygon>
      </lmg:Yta>
      <planbestammelsereferens>9f7e0b29-f686-4c90-a88a-532d2297c306</planbestammelsereferens>
    </Lage>
    <Lage>
      <lmg:Yta>
        <lmg:absolutLagesosakerhetPlan>0</lmg:absolutLagesosakerhetPlan>
        <lmg:absolutLagesosakerhetHojd>0</lmg:absolutLagesosakerhetHojd>
        <lmg:hojdsystem>RH 2000</lmg:hojdsystem>
        <gml:Polygon gml:id="ID_d6fdd3bf-1e90-4c3f-8983-59a75af0d25f" srsName="EPSG:3011" srsDimension="2">
          <gml:exterior>
            <gml:LinearRing gml:id="ID_125d9c4e-f186-4973-b5f4-047813d11759">
              <gml:posList>6626341.946 138479.596 6626335.821 138472.779 6626337.318 138471.228 6626344.598 138464.623 6626352.166 138458.087 6626359.667 138451.643 6626359.673 138451.638 6626361.135 138450.462 6626367.463 138445.369 6626375.206 138439.141 6626375.22 138439.13 6626383.106 138432.983 6626390.993 138426.836 6626394.99 138423.719 6626398.88 138420.688 6626402.72 138417.937 6626406.933 138415.312 6626415.553 138411.431 6626418.003 138410.539 6626418.96 138412.754 6626429.619 138437.406 6626428.572 138439.789 6626427.384 138442.496 6626397.137 138466.05 6626378.235 138481.321 6626363.871 138493.851 6626354.588 138493.667 6626341.946 138479.596</gml:posList>
            </gml:LinearRing>
          </gml:exterior>
        </gml:Polygon>
      </lmg:Yta>
      <planbestammelsereferens>5aabc952-22ac-4187-8f9c-45fe76f7074c</planbestammelsereferens>
    </Lage>
    <Lage>
      <lmg:Yta>
        <lmg:absolutLagesosakerhetPlan>0</lmg:absolutLagesosakerhetPlan>
        <lmg:absolutLagesosakerhetHojd>0</lmg:absolutLagesosakerhetHojd>
        <lmg:hojdsystem>RH 2000</lmg:hojdsystem>
        <gml:Polygon gml:id="ID_55ba294d-ad5f-422c-9150-f8083a5518d0" srsName="EPSG:3011" srsDimension="2">
          <gml:exterior>
            <gml:LinearRing gml:id="ID_cedb95c5-d54a-4d0e-83ae-b1e022c54090">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6626326.033 138463.285 6626323.005 138459.976 6626321.419 138458.245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lmg:Yta>
      <planbestammelsereferens>97254ed9-8ef8-4d5a-8fdd-051354651a1a</planbestammelsereferens>
    </Lage>
    <Lage>
      <lmg:Yta>
        <lmg:absolutLagesosakerhetPlan>0</lmg:absolutLagesosakerhetPlan>
        <lmg:absolutLagesosakerhetHojd>0</lmg:absolutLagesosakerhetHojd>
        <lmg:hojdsystem>RH 2000</lmg:hojdsystem>
        <gml:Polygon gml:id="ID_e2d73558-c350-4b0d-b31e-0ebc4b73e34c" srsName="EPSG:3011" srsDimension="2">
          <gml:exterior>
            <gml:LinearRing gml:id="ID_505f036f-a0a3-4d2e-b28b-a40c3db4eb5c">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lmg:Yta>
      <planbestammelsereferens>276ca668-7d28-4207-9bd6-ae51f35250e7</planbestammelsereferens>
    </Lage>
    <Lage>
      <lmg:Yta>
        <lmg:absolutLagesosakerhetPlan>0</lmg:absolutLagesosakerhetPlan>
        <lmg:absolutLagesosakerhetHojd>0</lmg:absolutLagesosakerhetHojd>
        <lmg:hojdsystem>RH 2000</lmg:hojdsystem>
        <gml:Polygon gml:id="ID_3da24d09-8b64-42c8-a8fd-58db2f5375da" srsName="EPSG:3011" srsDimension="2">
          <gml:exterior>
            <gml:LinearRing gml:id="ID_d973d067-eb64-4f26-8533-fff96a8a0d63">
              <gml:posList>6626528.913 138537.483 6626502.509 138538.955 6626502.422 138538.96 6626502.19 138538.2 6626501.988 138537.534 6626501.775 138536.834 6626501.617 138536.141 6626500.76 138532.388 6626499.989 138527.892 6626499.466 138523.361 6626499.191 138518.809 6626499.175 138515.845 6626499.167 138514.386 6626499.167 138514.248 6626499.392 138509.692 6626499.799 138505.796 6626499.829 138505.443 6626500.508 138499.706 6626500.584 138499.063 6626501.232 138494.331 6626501.75 138490.226 6626503.002 138480.305 6626503.53 138476.353 6626503.717 138474.763 6626504.188 138467.123 6626504.234 138461.796 6626504.076 138456.452 6626503.975 138455.045 6626503.694 138451.13 6626503.089 138445.828 6626502.261 138440.556 6626501.234 138435.333 6626500.455 138432.161 6626502.883 138431.649 6626528.373 138426.273 6626539.699 138423.884 6626543.288 138423.127 6626549.482 138421.821 6626555.673 138420.515 6626555.756 138420.908 6626556.433 138424.126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 6626571.357 138533.805 6626563.713 138535.402 6626562.797 138535.593 6626560.676 138535.712 6626553.865 138536.092 6626528.913 138537.483</gml:posList>
            </gml:LinearRing>
          </gml:exterior>
        </gml:Polygon>
      </lmg:Yta>
      <planbestammelsereferens>8e34f37d-7fdb-4f1b-9088-700523453326</planbestammelsereferens>
    </Lage>
    <Lage>
      <lmg:Yta>
        <lmg:absolutLagesosakerhetPlan>0</lmg:absolutLagesosakerhetPlan>
        <lmg:absolutLagesosakerhetHojd>0</lmg:absolutLagesosakerhetHojd>
        <lmg:hojdsystem>RH 2000</lmg:hojdsystem>
        <gml:Polygon gml:id="ID_d53838ff-d476-47d9-b48e-53a5de58f2bd" srsName="EPSG:3011" srsDimension="2">
          <gml:exterior>
            <gml:LinearRing gml:id="ID_2b27b2ec-f848-4010-aa22-34dcaba73b3f">
              <gml:posList>6626488.121 138516.247 6626488.045 138519.174 6626488.135 138520.186 6626488.181 138520.698 6626488.962 138529.473 6626489.319 138531.272 6626490.44 138536.918 6626490.882 138539.144 6626473.194 138539.393 6626420.176 138516.111 6626416.068 138505.571 6626443.898 138442.196 6626449.821 138428.708 6626479.565 138415.853 6626479.765 138416.089 6626481.835 138418.532 6626484.484 138422.403 6626484.917 138423.199 6626486.658 138426.406 6626486.723 138426.524 6626487.078 138427.375 6626488.294 138430.293 6626488.528 138430.853 6626489.577 138434.337 6626489.757 138434.935 6626489.881 138435.345 6626490.876 138439.816 6626490.912 138439.974 6626490.938 138440.098 6626491.054 138440.83 6626491.575 138444.152 6626491.935 138446.44 6626492.451 138449.724 6626492.645 138452.433 6626492.754 138453.957 6626493.148 138459.443 6626493.026 138469.187 6626492.089 138478.927 6626491.108 138486.701 6626490.836 138488.848 6626490.326 138492.895 6626489.584 138498.769 6626488.918 138504.047 6626488.811 138504.892 6626488.312 138508.839 6626488.186 138513.742 6626488.125 138516.025 6626488.121 138516.247</gml:posList>
            </gml:LinearRing>
          </gml:exterior>
        </gml:Polygon>
      </lmg:Yta>
      <planbestammelsereferens>5ae4381e-efa7-4e9c-b3b8-e37dae75f167</planbestammelsereferens>
    </Lage>
    <Lage>
      <lmg:Yta>
        <lmg:absolutLagesosakerhetPlan>0</lmg:absolutLagesosakerhetPlan>
        <lmg:absolutLagesosakerhetHojd>0</lmg:absolutLagesosakerhetHojd>
        <lmg:hojdsystem>RH 2000</lmg:hojdsystem>
        <gml:Polygon gml:id="ID_29ec7d9a-7ecb-4148-aee0-f9a9c43af5d7" srsName="EPSG:3011" srsDimension="2">
          <gml:exterior>
            <gml:LinearRing gml:id="ID_38583a88-b1c4-4072-8bd7-bc5569e3ba26">
              <gml:posList>6626315.823 138550.34 6626312.894 138542.716 6626353.148 138526.44 6626414.41 138553.931 6626429.15 138599.446 6626432.205 138636.009 6626432.24 138636.426 6626432.621 138640.991 6626420.4 138642.013 6626418.946 138647.871 6626418.774 138647.777 6626414.41 138645.397 6626413.775 138645.05 6626413.318 138644.756 6626412.477 138644.213 6626405.546 138639.745 6626397.296 138634.174 6626390.93 138629.762 6626389.103 138628.495 6626386.043 138626.312 6626383.239 138624.311 6626381.667 138623.19 6626381.098 138622.783 6626378.136 138620.417 6626373.285 138616.542 6626365.635 138610.271 6626364.609 138609.389 6626362.298 138607.401 6626358.053 138603.751 6626350.749 138597.242 6626343.649 138590.207 6626340.587 138586.938 6626336.963 138583.066 6626330.809 138575.463 6626325.219 138567.436 6626323.731 138564.961 6626322.521 138562.95 6626320.542 138559.659 6626320.409 138559.439 6626320.16 138559.024 6626320.024 138558.752 6626319.953 138558.61 6626315.823 138550.34</gml:posList>
            </gml:LinearRing>
          </gml:exterior>
        </gml:Polygon>
      </lmg:Yta>
      <planbestammelsereferens>bee4c475-8977-4c41-96b6-b5fe85e770e7</planbestammelsereferens>
    </Lage>
    <Indelning>
      <tema>Motiv till detaljplanens regleringar</tema>
      <grupp>Motiv till reglering</grupp>
    </Indelning>
  </Omfattning>
  <Omfattning>
    <identitet>mo_motivtillreglering27</identitet>
    <Lage>
      <lmg:Yta>
        <lmg:absolutLagesosakerhetPlan>0</lmg:absolutLagesosakerhetPlan>
        <lmg:absolutLagesosakerhetHojd>0</lmg:absolutLagesosakerhetHojd>
        <lmg:hojdsystem>RH 2000</lmg:hojdsystem>
        <gml:Polygon gml:id="ID_d030e9bc-7647-4357-a630-bfb60b4da643" srsName="EPSG:3011" srsDimension="2">
          <gml:exterior>
            <gml:LinearRing gml:id="ID_68652740-9a07-420a-ad91-7c93a3510c0c">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7a59aa2a-5045-4efd-9463-0864302be005</planbestammelsereferens>
    </Lage>
    <Lage>
      <lmg:Yta>
        <lmg:absolutLagesosakerhetPlan>0</lmg:absolutLagesosakerhetPlan>
        <lmg:absolutLagesosakerhetHojd>0</lmg:absolutLagesosakerhetHojd>
        <lmg:hojdsystem>RH 2000</lmg:hojdsystem>
        <gml:Polygon gml:id="ID_61081600-97a2-4323-9759-4eac0d099d49" srsName="EPSG:3011" srsDimension="2">
          <gml:exterior>
            <gml:LinearRing gml:id="ID_d3863f3c-f0e9-4258-adb5-8ced103bef7c">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b9496fd5-f237-4617-b2c1-f83ac3ec6340</planbestammelsereferens>
    </Lage>
    <Lage>
      <lmg:Yta>
        <lmg:absolutLagesosakerhetPlan>0</lmg:absolutLagesosakerhetPlan>
        <lmg:absolutLagesosakerhetHojd>0</lmg:absolutLagesosakerhetHojd>
        <lmg:hojdsystem>RH 2000</lmg:hojdsystem>
        <gml:Polygon gml:id="ID_92684f9e-3ef8-4145-ad27-a6468098c475" srsName="EPSG:3011" srsDimension="2">
          <gml:exterior>
            <gml:LinearRing gml:id="ID_53ca71bf-e5f2-439c-a9f2-605f3a07fe1c">
              <gml:posList>6626315.823 138550.34 6626312.894 138542.716 6626353.148 138526.44 6626414.41 138553.931 6626429.15 138599.446 6626432.205 138636.009 6626432.24 138636.426 6626432.621 138640.991 6626420.4 138642.013 6626418.946 138647.871 6626418.774 138647.777 6626414.41 138645.397 6626413.775 138645.05 6626413.318 138644.756 6626412.477 138644.213 6626405.546 138639.745 6626397.296 138634.174 6626390.93 138629.762 6626389.103 138628.495 6626386.043 138626.312 6626383.239 138624.311 6626381.667 138623.19 6626381.098 138622.783 6626378.136 138620.417 6626373.285 138616.542 6626365.635 138610.271 6626364.609 138609.389 6626362.298 138607.401 6626358.053 138603.751 6626350.749 138597.242 6626343.649 138590.207 6626340.587 138586.938 6626336.963 138583.066 6626330.809 138575.463 6626325.219 138567.436 6626323.731 138564.961 6626322.521 138562.95 6626320.542 138559.659 6626320.409 138559.439 6626320.16 138559.024 6626320.024 138558.752 6626319.953 138558.61 6626315.823 138550.34</gml:posList>
            </gml:LinearRing>
          </gml:exterior>
        </gml:Polygon>
      </lmg:Yta>
      <planbestammelsereferens>eb1c434f-4b25-4208-8918-56d846055fdb</planbestammelsereferens>
    </Lage>
    <Lage>
      <lmg:Yta>
        <lmg:absolutLagesosakerhetPlan>0</lmg:absolutLagesosakerhetPlan>
        <lmg:absolutLagesosakerhetHojd>0</lmg:absolutLagesosakerhetHojd>
        <lmg:hojdsystem>RH 2000</lmg:hojdsystem>
        <gml:Polygon gml:id="ID_7d4d8307-4cda-43b5-83bc-a922da7794fd" srsName="EPSG:3011" srsDimension="2">
          <gml:exterior>
            <gml:LinearRing gml:id="ID_caff52c6-6aed-444e-ade8-5fe9b4a9382a">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3a7fc9e0-fe74-4a53-bebe-b8a604b86e5e</planbestammelsereferens>
    </Lage>
    <Lage>
      <lmg:Yta>
        <lmg:absolutLagesosakerhetPlan>0</lmg:absolutLagesosakerhetPlan>
        <lmg:absolutLagesosakerhetHojd>0</lmg:absolutLagesosakerhetHojd>
        <lmg:hojdsystem>RH 2000</lmg:hojdsystem>
        <gml:Polygon gml:id="ID_ab0f1408-00d1-42d9-8291-5a092a38e01f" srsName="EPSG:3011" srsDimension="2">
          <gml:exterior>
            <gml:LinearRing gml:id="ID_9ebb0df0-60f1-424c-83db-6c072aeb8417">
              <gml:posList>6626341.946 138479.596 6626335.821 138472.779 6626337.318 138471.228 6626344.598 138464.623 6626352.166 138458.087 6626359.667 138451.643 6626359.673 138451.638 6626361.135 138450.462 6626367.463 138445.369 6626375.206 138439.141 6626375.22 138439.13 6626383.106 138432.983 6626390.993 138426.836 6626394.99 138423.719 6626398.88 138420.688 6626402.72 138417.937 6626406.933 138415.312 6626415.553 138411.431 6626418.003 138410.539 6626418.96 138412.754 6626429.619 138437.406 6626428.572 138439.789 6626427.384 138442.496 6626397.137 138466.05 6626378.235 138481.321 6626363.871 138493.851 6626354.588 138493.667 6626341.946 138479.596</gml:posList>
            </gml:LinearRing>
          </gml:exterior>
        </gml:Polygon>
      </lmg:Yta>
      <planbestammelsereferens>7cdc0faa-c8fa-4862-b4d9-de01f3c2dca5</planbestammelsereferens>
    </Lage>
    <Lage>
      <lmg:Yta>
        <lmg:absolutLagesosakerhetPlan>0</lmg:absolutLagesosakerhetPlan>
        <lmg:absolutLagesosakerhetHojd>0</lmg:absolutLagesosakerhetHojd>
        <lmg:hojdsystem>RH 2000</lmg:hojdsystem>
        <gml:Polygon gml:id="ID_323a5a0e-173c-4a8b-80a6-1624d42ffde6" srsName="EPSG:3011" srsDimension="2">
          <gml:exterior>
            <gml:LinearRing gml:id="ID_b1ee4587-10da-4071-8abf-769345303254">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6626326.033 138463.285 6626323.005 138459.976 6626321.419 138458.245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lmg:Yta>
      <planbestammelsereferens>381b0ef7-bfde-496b-b3ba-a6b6a67e5c5c</planbestammelsereferens>
    </Lage>
    <Lage>
      <lmg:Yta>
        <lmg:absolutLagesosakerhetPlan>0</lmg:absolutLagesosakerhetPlan>
        <lmg:absolutLagesosakerhetHojd>0</lmg:absolutLagesosakerhetHojd>
        <lmg:hojdsystem>RH 2000</lmg:hojdsystem>
        <gml:Polygon gml:id="ID_5e55da24-82bf-4cc9-9c43-28af3efe81d8" srsName="EPSG:3011" srsDimension="2">
          <gml:exterior>
            <gml:LinearRing gml:id="ID_eb66bd41-f904-442c-b635-92fb753507a9">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lmg:Yta>
      <planbestammelsereferens>f18cc801-5e68-4bde-9317-581312ed6ba9</planbestammelsereferens>
    </Lage>
    <Lage>
      <lmg:Yta>
        <lmg:absolutLagesosakerhetPlan>0</lmg:absolutLagesosakerhetPlan>
        <lmg:absolutLagesosakerhetHojd>0</lmg:absolutLagesosakerhetHojd>
        <lmg:hojdsystem>RH 2000</lmg:hojdsystem>
        <gml:Polygon gml:id="ID_f6421152-8aac-4af8-8936-4cf3fed1267d" srsName="EPSG:3011" srsDimension="2">
          <gml:exterior>
            <gml:LinearRing gml:id="ID_b00e74df-3003-4950-a488-930cd81fe7ea">
              <gml:posList>6626528.913 138537.483 6626502.509 138538.955 6626502.422 138538.96 6626502.19 138538.2 6626501.988 138537.534 6626501.775 138536.834 6626501.617 138536.141 6626500.76 138532.388 6626499.989 138527.892 6626499.466 138523.361 6626499.191 138518.809 6626499.175 138515.845 6626499.167 138514.386 6626499.167 138514.248 6626499.392 138509.692 6626499.799 138505.796 6626499.829 138505.443 6626500.508 138499.706 6626500.584 138499.063 6626501.232 138494.331 6626501.75 138490.226 6626503.002 138480.305 6626503.53 138476.353 6626503.717 138474.763 6626504.188 138467.123 6626504.234 138461.796 6626504.076 138456.452 6626503.975 138455.045 6626503.694 138451.13 6626503.089 138445.828 6626502.261 138440.556 6626501.234 138435.333 6626500.455 138432.161 6626502.883 138431.649 6626528.373 138426.273 6626539.699 138423.884 6626543.288 138423.127 6626549.482 138421.821 6626555.673 138420.515 6626555.756 138420.908 6626556.433 138424.126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 6626571.357 138533.805 6626563.713 138535.402 6626562.797 138535.593 6626560.676 138535.712 6626553.865 138536.092 6626528.913 138537.483</gml:posList>
            </gml:LinearRing>
          </gml:exterior>
        </gml:Polygon>
      </lmg:Yta>
      <planbestammelsereferens>8b9ad939-704f-4c98-871f-d2bd9d79d85e</planbestammelsereferens>
    </Lage>
    <Lage>
      <lmg:Yta>
        <lmg:absolutLagesosakerhetPlan>0</lmg:absolutLagesosakerhetPlan>
        <lmg:absolutLagesosakerhetHojd>0</lmg:absolutLagesosakerhetHojd>
        <lmg:hojdsystem>RH 2000</lmg:hojdsystem>
        <gml:Polygon gml:id="ID_3d529304-48d1-4ebe-afd9-398e887fb7e0" srsName="EPSG:3011" srsDimension="2">
          <gml:exterior>
            <gml:LinearRing gml:id="ID_59e44a2e-3c6c-4089-99f7-fc3e9c009e3c">
              <gml:posList>6626488.121 138516.247 6626488.045 138519.174 6626488.135 138520.186 6626488.181 138520.698 6626488.962 138529.473 6626489.319 138531.272 6626490.44 138536.918 6626490.882 138539.144 6626473.194 138539.393 6626420.176 138516.111 6626416.068 138505.571 6626443.898 138442.196 6626449.821 138428.708 6626479.565 138415.853 6626479.765 138416.089 6626481.835 138418.532 6626484.484 138422.403 6626484.917 138423.199 6626486.658 138426.406 6626486.723 138426.524 6626487.078 138427.375 6626488.294 138430.293 6626488.528 138430.853 6626489.577 138434.337 6626489.757 138434.935 6626489.881 138435.345 6626490.876 138439.816 6626490.912 138439.974 6626490.938 138440.098 6626491.054 138440.83 6626491.575 138444.152 6626491.935 138446.44 6626492.451 138449.724 6626492.645 138452.433 6626492.754 138453.957 6626493.148 138459.443 6626493.026 138469.187 6626492.089 138478.927 6626491.108 138486.701 6626490.836 138488.848 6626490.326 138492.895 6626489.584 138498.769 6626488.918 138504.047 6626488.811 138504.892 6626488.312 138508.839 6626488.186 138513.742 6626488.125 138516.025 6626488.121 138516.247</gml:posList>
            </gml:LinearRing>
          </gml:exterior>
        </gml:Polygon>
      </lmg:Yta>
      <planbestammelsereferens>ef1005e5-b1c3-4e1e-b4f3-05ca05beeda5</planbestammelsereferens>
    </Lage>
    <Lage>
      <lmg:Yta>
        <lmg:absolutLagesosakerhetPlan>0</lmg:absolutLagesosakerhetPlan>
        <lmg:absolutLagesosakerhetHojd>0</lmg:absolutLagesosakerhetHojd>
        <lmg:hojdsystem>RH 2000</lmg:hojdsystem>
        <gml:Polygon gml:id="ID_7043119b-e44d-4a81-ae8d-6dcc4bee354a" srsName="EPSG:3011" srsDimension="2">
          <gml:exterior>
            <gml:LinearRing gml:id="ID_adb07607-43b3-47c4-8984-5f8494b740af">
              <gml:posList>6626086.159 138445.645 6626085.9 138445.449 6626086.16 138445.181 6626125.843 138404.234 6626126.132 138403.936 6626127.923 138404.825 6626129.814 138405.764 6626134.093 138408.093 6626138.32 138410.555 6626142.451 138413.174 6626146.498 138415.921 6626150.452 138418.801 6626154.307 138421.811 6626158.059 138424.947 6626161.705 138428.208 6626165.241 138431.588 6626168.662 138435.083 6626171.972 138438.685 6626173.676 138440.597 6626177.203 138444.316 6626180.885 138447.883 6626184.704 138451.302 6626185.207 138451.722 6626188.281 138454.282 6626188.642 138454.583 6626192.727 138457.679 6626196.895 138460.663 6626201.206 138463.436 6626205.59 138466.091 6626210.092 138468.542 6626214.677 138470.835 6626218.191 138472.395 6626219.362 138472.915 6626224.101 138474.867 6626228.932 138476.58 6626231.631 138477.459 6626233.806 138478.167 6626236.496 138478.888 6626241.14 138480.132 6626250.802 138482.709 6626255.631 138484.007 6626257.706 138484.557 6626257.664 138484.701 6626257.539 138485.132 6626257.435 138485.493 6626255.401 138492.52 6626241.699 138539.871 6626212.366 138531.405 6626178.674 138503.452 6626096.159 138453.169 6626086.159 138445.645</gml:posList>
            </gml:LinearRing>
          </gml:exterior>
        </gml:Polygon>
      </lmg:Yta>
      <planbestammelsereferens>d33913ee-82a2-4a5a-82b1-ff64ea64c3a7</planbestammelsereferens>
    </Lage>
    <Indelning>
      <tema>Motiv till detaljplanens regleringar</tema>
      <grupp>Motiv till reglering</grupp>
    </Indelning>
  </Omfattning>
  <Omfattning>
    <identitet>mo_motivtillreglering28</identitet>
    <Lage>
      <lmg:Yta>
        <lmg:absolutLagesosakerhetPlan>0</lmg:absolutLagesosakerhetPlan>
        <lmg:absolutLagesosakerhetHojd>0</lmg:absolutLagesosakerhetHojd>
        <lmg:hojdsystem>RH 2000</lmg:hojdsystem>
        <gml:Polygon gml:id="ID_7553a431-ecc1-4edd-a251-4c06139e018b" srsName="EPSG:3011" srsDimension="2">
          <gml:exterior>
            <gml:LinearRing gml:id="ID_94f456b5-f581-4523-975a-7c0c2e181c58">
              <gml:posList>6626202.276 138637.855 6626145.425 138551.878 6626219.65 138613.462 6626211.221 138619.482 6626208.717 138625.238 6626207.792 138635.593 6626202.276 138637.855</gml:posList>
            </gml:LinearRing>
          </gml:exterior>
        </gml:Polygon>
      </lmg:Yta>
      <planbestammelsereferens>b2de1f6e-23b7-4946-b1d4-8bf5ebe3fe56</planbestammelsereferens>
    </Lage>
    <Lage>
      <lmg:Yta>
        <lmg:absolutLagesosakerhetPlan>0</lmg:absolutLagesosakerhetPlan>
        <lmg:absolutLagesosakerhetHojd>0</lmg:absolutLagesosakerhetHojd>
        <lmg:hojdsystem>RH 2000</lmg:hojdsystem>
        <gml:Polygon gml:id="ID_c04b8cf6-0d1f-4350-8201-d48a1a1ebeee" srsName="EPSG:3011" srsDimension="2">
          <gml:exterior>
            <gml:LinearRing gml:id="ID_ca6e4405-2080-4776-8f6a-9b9fab713447">
              <gml:posList>6626347.518 138719.199 6626239.786 138630.172 6626239.485 138624.733 6626350.066 138716.116 6626347.518 138719.199</gml:posList>
            </gml:LinearRing>
          </gml:exterior>
        </gml:Polygon>
      </lmg:Yta>
      <planbestammelsereferens>482af84e-3527-4bb2-a43f-f0cf3c8f9ebf</planbestammelsereferens>
    </Lage>
    <Lage>
      <lmg:Yta>
        <lmg:absolutLagesosakerhetPlan>0</lmg:absolutLagesosakerhetPlan>
        <lmg:absolutLagesosakerhetHojd>0</lmg:absolutLagesosakerhetHojd>
        <lmg:hojdsystem>RH 2000</lmg:hojdsystem>
        <gml:Polygon gml:id="ID_aa84f48c-5c92-4bbb-b79d-281094cbcae5" srsName="EPSG:3011" srsDimension="2">
          <gml:exterior>
            <gml:LinearRing gml:id="ID_539d1407-dc57-448f-a1c7-f7f809506be4">
              <gml:posList>6626202.276 138637.855 6626145.425 138551.878 6626219.65 138613.462 6626211.221 138619.482 6626208.717 138625.238 6626207.792 138635.593 6626202.276 138637.855</gml:posList>
            </gml:LinearRing>
          </gml:exterior>
        </gml:Polygon>
      </lmg:Yta>
      <planbestammelsereferens>b1bd6f2d-a5d4-4601-84ed-c0320ead0851</planbestammelsereferens>
    </Lage>
    <Lage>
      <lmg:Yta>
        <lmg:absolutLagesosakerhetPlan>0</lmg:absolutLagesosakerhetPlan>
        <lmg:absolutLagesosakerhetHojd>0</lmg:absolutLagesosakerhetHojd>
        <lmg:hojdsystem>RH 2000</lmg:hojdsystem>
        <gml:Polygon gml:id="ID_6359d6a6-7777-42c7-88fc-7be1bc9d21a6" srsName="EPSG:3011" srsDimension="2">
          <gml:exterior>
            <gml:LinearRing gml:id="ID_9d493267-5a13-401d-990b-88af863becc0">
              <gml:posList>6626391.349 138755.421 6626389.559 138753.942 6626387.784 138752.474 6626385.77 138750.81 6626352.143 138723.021 6626354.691 138719.938 6626389.701 138748.87 6626392.107 138750.859 6626391.349 138755.421</gml:posList>
            </gml:LinearRing>
          </gml:exterior>
        </gml:Polygon>
      </lmg:Yta>
      <planbestammelsereferens>76f90e55-56a3-4f96-b3f6-c4833d890590</planbestammelsereferens>
    </Lage>
    <Lage>
      <lmg:Yta>
        <lmg:absolutLagesosakerhetPlan>0</lmg:absolutLagesosakerhetPlan>
        <lmg:absolutLagesosakerhetHojd>0</lmg:absolutLagesosakerhetHojd>
        <lmg:hojdsystem>RH 2000</lmg:hojdsystem>
        <gml:Polygon gml:id="ID_86e38ccd-8fc8-4a52-a846-7448dc45d947" srsName="EPSG:3011" srsDimension="2">
          <gml:exterior>
            <gml:LinearRing gml:id="ID_bb1abb10-97c6-4934-b7ab-95ee26802435">
              <gml:posList>6626385.135 138768.404 6626389.981 138763.645 6626389.603 138765.917 6626388.228 138774.185 6626379.826 138824.706 6626343.988 138835.823 6626304.118 138847.956 6626334.508 138818.115 6626376.959 138776.431 6626385.135 138768.404</gml:posList>
            </gml:LinearRing>
          </gml:exterior>
        </gml:Polygon>
      </lmg:Yta>
      <planbestammelsereferens>60a43e1d-5e85-4b85-9418-badfc5bd9526</planbestammelsereferens>
    </Lage>
    <Lage>
      <lmg:Yta>
        <lmg:absolutLagesosakerhetPlan>0</lmg:absolutLagesosakerhetPlan>
        <lmg:absolutLagesosakerhetHojd>0</lmg:absolutLagesosakerhetHojd>
        <lmg:hojdsystem>RH 2000</lmg:hojdsystem>
        <gml:Polygon gml:id="ID_fd8c796a-70ae-4701-aa00-1b32f7e7599e" srsName="EPSG:3011" srsDimension="2">
          <gml:exterior>
            <gml:LinearRing gml:id="ID_2023cf25-fa79-4873-8dff-9af8f149bf77">
              <gml:posList>6626345.31 138840.125 6626297.178 138854.771 6626283.267 138859.004 6626251.934 138868.539 6626253.214 138863.446 6626264.09 138820.143 6626271.23 138791.373 6626247.878 138737.361 6626231.745 138700.045 6626229.983 138695.97 6626229.563 138694.998 6626229.569 138695.003 6626229.589 138695.02 6626231.031 138696.212 6626231.621 138696.7 6626251.677 138713.276 6626256.336 138717.127 6626261.246 138721.185 6626261.245 138721.19 6626271.549 138729.706 6626273.169 138731.045 6626280.305 138736.943 6626291.028 138745.806 6626295.902 138749.833 6626297.889 138751.476 6626300.699 138767.201 6626301.45 138771.402 6626301.97 138774.309 6626305.803 138777.478 6626310.557 138778.938 6626315.071 138778.509 6626315.507 138778.467 6626319.901 138776.138 6626321.486 138774.222 6626323.069 138772.305 6626324.529 138767.551 6626324.059 138762.601 6626323.346 138761.256 6626322.25 138759.189 6626321.73 138758.207 6626317.896 138755.039 6626317.528 138754.735 6626315.12 138752.744 6626314.116 138751.914 6626297.584 138738.25 6626293.991 138735.281 6626293.766 138735.095 6626292.868 138734.353 6626279.323 138723.158 6626274.912 138719.512 6626267.616 138713.482 6626267.617 138713.477 6626259.472 138706.745 6626253.919 138702.155 6626240.574 138691.125 6626236.362 138685.516 6626233.413 138678.697 6626231.496 138674.262 6626219.807 138647.227 6626219.796 138647.201 6626219.057 138645.492 6626218.814 138644.931 6626229.802 138640.519 6626230.788 138640.062 6626230.794 138640.058 6626232.34 138639.019 6626232.346 138639.014 6626232.349 138639.012 6626234.536 138636.853 6626234.539 138636.849 6626234.542 138636.845 6626236.173 138634.241 6626236.176 138634.236 6626236.178 138634.231 6626237.164 138631.323 6626237.166 138631.317 6626237.167 138631.311 6626237.458 138628.253 6626237.458 138628.248 6626237.458 138628.244 6626237.457 138628.241 6626237.123 138625.557 6626237.122 138625.552 6626237.121 138625.547 6626236.247 138622.984 6626236.246 138622.981 6626236.316 138622.904 6626236.722 138622.45 6626239.729 138619.094 6626239.736 138619.085 6626241.165 138620.271 6626244.75 138623.247 6626253.823 138630.745 6626279.083 138651.619 6626289.188 138659.97 6626304.187 138672.365 6626352.933 138712.647 6626357.558 138716.469 6626396.972 138749.041 6626395.433 138758.291 6626385.271 138819.395 6626383.81 138828.182 6626383.666 138828.227 6626345.31 138840.125</gml:posList>
            </gml:LinearRing>
          </gml:exterior>
        </gml:Polygon>
      </lmg:Yta>
      <planbestammelsereferens>fc3148ed-e257-4993-b68a-3f46c3eb737e</planbestammelsereferens>
    </Lage>
    <Lage>
      <lmg:Yta>
        <lmg:absolutLagesosakerhetPlan>0</lmg:absolutLagesosakerhetPlan>
        <lmg:absolutLagesosakerhetHojd>0</lmg:absolutLagesosakerhetHojd>
        <lmg:hojdsystem>RH 2000</lmg:hojdsystem>
        <gml:Polygon gml:id="ID_69b70d2f-27f8-49d4-b385-66ce047ca140" srsName="EPSG:3011" srsDimension="2">
          <gml:exterior>
            <gml:LinearRing gml:id="ID_68db7f25-1af7-411b-bb60-a1d9f7b54619">
              <gml:posList>6626345.31 138840.125 6626297.178 138854.771 6626283.267 138859.004 6626251.934 138868.539 6626253.214 138863.446 6626264.09 138820.143 6626271.23 138791.373 6626247.878 138737.361 6626231.745 138700.045 6626229.983 138695.97 6626229.563 138694.998 6626229.569 138695.003 6626229.589 138695.02 6626231.031 138696.212 6626231.621 138696.7 6626251.677 138713.276 6626256.336 138717.127 6626261.246 138721.185 6626261.245 138721.19 6626271.549 138729.706 6626273.169 138731.045 6626280.305 138736.943 6626291.028 138745.806 6626295.902 138749.833 6626297.889 138751.476 6626300.699 138767.201 6626301.45 138771.402 6626301.97 138774.309 6626305.803 138777.478 6626310.557 138778.938 6626315.071 138778.509 6626315.507 138778.467 6626319.901 138776.138 6626321.486 138774.222 6626323.069 138772.305 6626324.529 138767.551 6626324.059 138762.601 6626323.346 138761.256 6626322.25 138759.189 6626321.73 138758.207 6626317.896 138755.039 6626317.528 138754.735 6626315.12 138752.744 6626314.116 138751.914 6626297.584 138738.25 6626293.991 138735.281 6626293.766 138735.095 6626292.868 138734.353 6626279.323 138723.158 6626274.912 138719.512 6626267.616 138713.482 6626267.617 138713.477 6626259.472 138706.745 6626253.919 138702.155 6626240.574 138691.125 6626236.362 138685.516 6626233.413 138678.697 6626231.496 138674.262 6626219.807 138647.227 6626219.796 138647.201 6626219.057 138645.492 6626218.814 138644.931 6626229.802 138640.519 6626230.788 138640.062 6626230.794 138640.058 6626232.34 138639.019 6626232.346 138639.014 6626232.349 138639.012 6626234.536 138636.853 6626234.539 138636.849 6626234.542 138636.845 6626236.173 138634.241 6626236.176 138634.236 6626236.178 138634.231 6626237.164 138631.323 6626237.166 138631.317 6626237.167 138631.311 6626237.458 138628.253 6626237.458 138628.248 6626237.458 138628.244 6626237.457 138628.241 6626237.123 138625.557 6626237.122 138625.552 6626237.121 138625.547 6626236.247 138622.984 6626236.246 138622.981 6626236.316 138622.904 6626236.722 138622.45 6626239.729 138619.094 6626239.736 138619.085 6626241.165 138620.271 6626244.75 138623.247 6626253.823 138630.745 6626279.083 138651.619 6626289.188 138659.97 6626304.187 138672.365 6626352.933 138712.647 6626357.558 138716.469 6626396.972 138749.041 6626395.433 138758.291 6626385.271 138819.395 6626383.81 138828.182 6626383.666 138828.227 6626345.31 138840.125</gml:posList>
            </gml:LinearRing>
          </gml:exterior>
        </gml:Polygon>
      </lmg:Yta>
      <planbestammelsereferens>fa94083e-67c8-4543-bc4f-bda890bc914e</planbestammelsereferens>
    </Lage>
    <Indelning>
      <tema>Motiv till detaljplanens regleringar</tema>
      <grupp>Motiv till reglering</grupp>
    </Indelning>
  </Omfattning>
  <Omfattning>
    <identitet>mo_motivtillreglering31</identitet>
    <Lage>
      <lmg:Yta>
        <lmg:absolutLagesosakerhetPlan>0</lmg:absolutLagesosakerhetPlan>
        <lmg:absolutLagesosakerhetHojd>0</lmg:absolutLagesosakerhetHojd>
        <lmg:hojdsystem>RH 2000</lmg:hojdsystem>
        <gml:Polygon gml:id="ID_bccb3c5e-a5a3-43be-9fb5-ecd460e8f422" srsName="EPSG:3011" srsDimension="2">
          <gml:exterior>
            <gml:LinearRing gml:id="ID_be12016e-12a8-48b9-9cc6-2b6049eb6d86">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6626326.033 138463.285 6626323.005 138459.976 6626321.419 138458.245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lmg:Yta>
      <planbestammelsereferens>6558f808-0080-4b47-bc43-e0fa76c1c60e</planbestammelsereferens>
    </Lage>
    <Lage>
      <lmg:Yta>
        <lmg:absolutLagesosakerhetPlan>0</lmg:absolutLagesosakerhetPlan>
        <lmg:absolutLagesosakerhetHojd>0</lmg:absolutLagesosakerhetHojd>
        <lmg:hojdsystem>RH 2000</lmg:hojdsystem>
        <gml:Polygon gml:id="ID_2c833534-c643-4c39-884d-8ca8570e039a" srsName="EPSG:3011" srsDimension="2">
          <gml:exterior>
            <gml:LinearRing gml:id="ID_88690cf0-50e2-4313-9d53-6cc229c5a799">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lmg:Yta>
      <planbestammelsereferens>f1973f7d-2cfd-46b2-a5df-1701a086839c</planbestammelsereferens>
    </Lage>
    <Indelning>
      <tema>Motiv till detaljplanens regleringar</tema>
      <grupp>Motiv till reglering</grupp>
    </Indelning>
  </Omfattning>
  <Omfattning>
    <identitet>mo_motivtillreglering29</identitet>
    <Lage>
      <lmg:Yta>
        <lmg:absolutLagesosakerhetPlan>0</lmg:absolutLagesosakerhetPlan>
        <lmg:absolutLagesosakerhetHojd>0</lmg:absolutLagesosakerhetHojd>
        <lmg:hojdsystem>RH 2000</lmg:hojdsystem>
        <gml:Polygon gml:id="ID_adc64048-2376-47fc-ae36-bf59851573cb" srsName="EPSG:3011" srsDimension="2">
          <gml:exterior>
            <gml:LinearRing gml:id="ID_8f01e935-4f6a-40f8-8a11-67de1ebc4c0d">
              <gml:posList>6626086.159 138445.645 6626085.9 138445.449 6626086.16 138445.181 6626125.843 138404.234 6626126.132 138403.936 6626127.923 138404.825 6626129.814 138405.764 6626134.093 138408.093 6626138.32 138410.555 6626142.451 138413.174 6626146.498 138415.921 6626150.452 138418.801 6626154.307 138421.811 6626158.059 138424.947 6626161.705 138428.208 6626165.241 138431.588 6626168.662 138435.083 6626171.972 138438.685 6626173.676 138440.597 6626177.203 138444.316 6626180.885 138447.883 6626184.704 138451.302 6626185.207 138451.722 6626188.281 138454.282 6626188.642 138454.583 6626192.727 138457.679 6626196.895 138460.663 6626201.206 138463.436 6626205.59 138466.091 6626210.092 138468.542 6626214.677 138470.835 6626218.191 138472.395 6626219.362 138472.915 6626224.101 138474.867 6626228.932 138476.58 6626231.631 138477.459 6626233.806 138478.167 6626236.496 138478.888 6626241.14 138480.132 6626250.802 138482.709 6626255.631 138484.007 6626257.706 138484.557 6626257.664 138484.701 6626257.539 138485.132 6626257.435 138485.493 6626255.401 138492.52 6626241.699 138539.871 6626212.366 138531.405 6626178.674 138503.452 6626096.159 138453.169 6626086.159 138445.645</gml:posList>
            </gml:LinearRing>
          </gml:exterior>
        </gml:Polygon>
      </lmg:Yta>
      <planbestammelsereferens>14be8074-dfcb-43f1-9c4c-8351e8181c7a</planbestammelsereferens>
    </Lage>
    <Lage>
      <lmg:Yta>
        <lmg:absolutLagesosakerhetPlan>0</lmg:absolutLagesosakerhetPlan>
        <lmg:absolutLagesosakerhetHojd>0</lmg:absolutLagesosakerhetHojd>
        <lmg:hojdsystem>RH 2000</lmg:hojdsystem>
        <gml:Polygon gml:id="ID_4d5b4573-d69a-4568-83ca-5208d8fb0dff" srsName="EPSG:3011" srsDimension="2">
          <gml:exterior>
            <gml:LinearRing gml:id="ID_9442a931-e876-4c50-bd27-5742bd8b1e4e">
              <gml:posList>6626341.946 138479.596 6626335.821 138472.779 6626337.318 138471.228 6626344.598 138464.623 6626352.166 138458.087 6626359.667 138451.643 6626359.673 138451.638 6626361.135 138450.462 6626367.463 138445.369 6626375.206 138439.141 6626375.22 138439.13 6626383.106 138432.983 6626390.993 138426.836 6626394.99 138423.719 6626398.88 138420.688 6626402.72 138417.937 6626406.933 138415.312 6626415.553 138411.431 6626418.003 138410.539 6626418.96 138412.754 6626429.619 138437.406 6626428.572 138439.789 6626427.384 138442.496 6626397.137 138466.05 6626378.235 138481.321 6626363.871 138493.851 6626354.588 138493.667 6626341.946 138479.596</gml:posList>
            </gml:LinearRing>
          </gml:exterior>
        </gml:Polygon>
      </lmg:Yta>
      <planbestammelsereferens>61927b43-af1d-4f9e-a646-01604dd1ee79</planbestammelsereferens>
    </Lage>
    <Lage>
      <lmg:Yta>
        <lmg:absolutLagesosakerhetPlan>0</lmg:absolutLagesosakerhetPlan>
        <lmg:absolutLagesosakerhetHojd>0</lmg:absolutLagesosakerhetHojd>
        <lmg:hojdsystem>RH 2000</lmg:hojdsystem>
        <gml:Polygon gml:id="ID_30ee6ed2-066d-4aab-93ff-62df5b64c7d6" srsName="EPSG:3011" srsDimension="2">
          <gml:exterior>
            <gml:LinearRing gml:id="ID_7cc74d44-8be9-46e1-81c8-1f9bf0f7c071">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6626326.033 138463.285 6626323.005 138459.976 6626321.419 138458.245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lmg:Yta>
      <planbestammelsereferens>1a7dbe16-4288-4a81-bfdc-f7f493574405</planbestammelsereferens>
    </Lage>
    <Lage>
      <lmg:Yta>
        <lmg:absolutLagesosakerhetPlan>0</lmg:absolutLagesosakerhetPlan>
        <lmg:absolutLagesosakerhetHojd>0</lmg:absolutLagesosakerhetHojd>
        <lmg:hojdsystem>RH 2000</lmg:hojdsystem>
        <gml:Polygon gml:id="ID_e3856a6a-bdaf-4fe0-9007-50fced2b6af7" srsName="EPSG:3011" srsDimension="2">
          <gml:exterior>
            <gml:LinearRing gml:id="ID_a644a147-4dd6-4da5-ab93-139da9d3dfbb">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lmg:Yta>
      <planbestammelsereferens>ba520bcd-4afd-4b00-bebb-e99509b9c89d</planbestammelsereferens>
    </Lage>
    <Lage>
      <lmg:Yta>
        <lmg:absolutLagesosakerhetPlan>0</lmg:absolutLagesosakerhetPlan>
        <lmg:absolutLagesosakerhetHojd>0</lmg:absolutLagesosakerhetHojd>
        <lmg:hojdsystem>RH 2000</lmg:hojdsystem>
        <gml:Polygon gml:id="ID_b59dad1d-083b-4a1a-bed9-1bc89f26ecdc" srsName="EPSG:3011" srsDimension="2">
          <gml:exterior>
            <gml:LinearRing gml:id="ID_3669813c-59e8-4ac7-b65e-d81ba1259dd0">
              <gml:posList>6626528.913 138537.483 6626502.509 138538.955 6626502.422 138538.96 6626502.19 138538.2 6626501.988 138537.534 6626501.775 138536.834 6626501.617 138536.141 6626500.76 138532.388 6626499.989 138527.892 6626499.466 138523.361 6626499.191 138518.809 6626499.175 138515.845 6626499.167 138514.386 6626499.167 138514.248 6626499.392 138509.692 6626499.799 138505.796 6626499.829 138505.443 6626500.508 138499.706 6626500.584 138499.063 6626501.232 138494.331 6626501.75 138490.226 6626503.002 138480.305 6626503.53 138476.353 6626503.717 138474.763 6626504.188 138467.123 6626504.234 138461.796 6626504.076 138456.452 6626503.975 138455.045 6626503.694 138451.13 6626503.089 138445.828 6626502.261 138440.556 6626501.234 138435.333 6626500.455 138432.161 6626502.883 138431.649 6626528.373 138426.273 6626539.699 138423.884 6626543.288 138423.127 6626549.482 138421.821 6626555.673 138420.515 6626555.756 138420.908 6626556.433 138424.126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 6626571.357 138533.805 6626563.713 138535.402 6626562.797 138535.593 6626560.676 138535.712 6626553.865 138536.092 6626528.913 138537.483</gml:posList>
            </gml:LinearRing>
          </gml:exterior>
        </gml:Polygon>
      </lmg:Yta>
      <planbestammelsereferens>89e57c53-03e0-4f35-9773-3e48b0beb331</planbestammelsereferens>
    </Lage>
    <Lage>
      <lmg:Yta>
        <lmg:absolutLagesosakerhetPlan>0</lmg:absolutLagesosakerhetPlan>
        <lmg:absolutLagesosakerhetHojd>0</lmg:absolutLagesosakerhetHojd>
        <lmg:hojdsystem>RH 2000</lmg:hojdsystem>
        <gml:Polygon gml:id="ID_aac76000-e54d-42b9-8183-756fc5728c74" srsName="EPSG:3011" srsDimension="2">
          <gml:exterior>
            <gml:LinearRing gml:id="ID_30ea7284-6c6b-42c3-bb24-bf88d9887afc">
              <gml:posList>6626488.121 138516.247 6626488.045 138519.174 6626488.135 138520.186 6626488.181 138520.698 6626488.962 138529.473 6626489.319 138531.272 6626490.44 138536.918 6626490.882 138539.144 6626473.194 138539.393 6626420.176 138516.111 6626416.068 138505.571 6626443.898 138442.196 6626449.821 138428.708 6626479.565 138415.853 6626479.765 138416.089 6626481.835 138418.532 6626484.484 138422.403 6626484.917 138423.199 6626486.658 138426.406 6626486.723 138426.524 6626487.078 138427.375 6626488.294 138430.293 6626488.528 138430.853 6626489.577 138434.337 6626489.757 138434.935 6626489.881 138435.345 6626490.876 138439.816 6626490.912 138439.974 6626490.938 138440.098 6626491.054 138440.83 6626491.575 138444.152 6626491.935 138446.44 6626492.451 138449.724 6626492.645 138452.433 6626492.754 138453.957 6626493.148 138459.443 6626493.026 138469.187 6626492.089 138478.927 6626491.108 138486.701 6626490.836 138488.848 6626490.326 138492.895 6626489.584 138498.769 6626488.918 138504.047 6626488.811 138504.892 6626488.312 138508.839 6626488.186 138513.742 6626488.125 138516.025 6626488.121 138516.247</gml:posList>
            </gml:LinearRing>
          </gml:exterior>
        </gml:Polygon>
      </lmg:Yta>
      <planbestammelsereferens>b98dcc28-525b-4d0f-948f-78aba919d778</planbestammelsereferens>
    </Lage>
    <Lage>
      <lmg:Yta>
        <lmg:absolutLagesosakerhetPlan>0</lmg:absolutLagesosakerhetPlan>
        <lmg:absolutLagesosakerhetHojd>0</lmg:absolutLagesosakerhetHojd>
        <lmg:hojdsystem>RH 2000</lmg:hojdsystem>
        <gml:Polygon gml:id="ID_b9f27f20-1668-4e40-9405-bd79e6ea5674" srsName="EPSG:3011" srsDimension="2">
          <gml:exterior>
            <gml:LinearRing gml:id="ID_070c5895-28a5-46e4-abec-5322d059d46c">
              <gml:posList>6626315.823 138550.34 6626312.894 138542.716 6626353.148 138526.44 6626414.41 138553.931 6626429.15 138599.446 6626432.205 138636.009 6626432.24 138636.426 6626432.621 138640.991 6626420.4 138642.013 6626418.946 138647.871 6626418.774 138647.777 6626414.41 138645.397 6626413.775 138645.05 6626413.318 138644.756 6626412.477 138644.213 6626405.546 138639.745 6626397.296 138634.174 6626390.93 138629.762 6626389.103 138628.495 6626386.043 138626.312 6626383.239 138624.311 6626381.667 138623.19 6626381.098 138622.783 6626378.136 138620.417 6626373.285 138616.542 6626365.635 138610.271 6626364.609 138609.389 6626362.298 138607.401 6626358.053 138603.751 6626350.749 138597.242 6626343.649 138590.207 6626340.587 138586.938 6626336.963 138583.066 6626330.809 138575.463 6626325.219 138567.436 6626323.731 138564.961 6626322.521 138562.95 6626320.542 138559.659 6626320.409 138559.439 6626320.16 138559.024 6626320.024 138558.752 6626319.953 138558.61 6626315.823 138550.34</gml:posList>
            </gml:LinearRing>
          </gml:exterior>
        </gml:Polygon>
      </lmg:Yta>
      <planbestammelsereferens>7975f31a-b7c4-41cc-9061-7b028853d3e8</planbestammelsereferens>
    </Lage>
    <Indelning>
      <tema>Motiv till detaljplanens regleringar</tema>
      <grupp>Motiv till reglering</grupp>
    </Indelning>
  </Omfattning>
  <Omfattning>
    <identitet>mo_motivtillreglering30</identitet>
    <Lage>
      <lmg:Yta>
        <lmg:absolutLagesosakerhetPlan>0</lmg:absolutLagesosakerhetPlan>
        <lmg:absolutLagesosakerhetHojd>0</lmg:absolutLagesosakerhetHojd>
        <lmg:hojdsystem>RH 2000</lmg:hojdsystem>
        <gml:Polygon gml:id="ID_2b0a81b0-aca7-4cb4-b4fb-a9fb4815e7dd" srsName="EPSG:3011" srsDimension="2">
          <gml:exterior>
            <gml:LinearRing gml:id="ID_10b7a7aa-101a-477e-9eef-9996e5985a65">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c0c40f4e-bdfb-49a9-a948-2c162285244c</planbestammelsereferens>
    </Lage>
    <Lage>
      <lmg:Yta>
        <lmg:absolutLagesosakerhetPlan>0</lmg:absolutLagesosakerhetPlan>
        <lmg:absolutLagesosakerhetHojd>0</lmg:absolutLagesosakerhetHojd>
        <lmg:hojdsystem>RH 2000</lmg:hojdsystem>
        <gml:Polygon gml:id="ID_b1913575-7975-41a9-a06d-1105a1400fd5" srsName="EPSG:3011" srsDimension="2">
          <gml:exterior>
            <gml:LinearRing gml:id="ID_522e69b4-2119-4c77-af55-3c0fc0de6629">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a9004788-e5e5-40e9-b4ab-5e94ae4abc6f</planbestammelsereferens>
    </Lage>
    <Lage>
      <lmg:Yta>
        <lmg:absolutLagesosakerhetPlan>0</lmg:absolutLagesosakerhetPlan>
        <lmg:absolutLagesosakerhetHojd>0</lmg:absolutLagesosakerhetHojd>
        <lmg:hojdsystem>RH 2000</lmg:hojdsystem>
        <gml:Polygon gml:id="ID_298db34f-ce2b-44e0-994e-57a244ef8bd1" srsName="EPSG:3011" srsDimension="2">
          <gml:exterior>
            <gml:LinearRing gml:id="ID_8df7266e-74a5-4af3-85d2-33b42ef25489">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8511ebe2-d553-4f3d-bc37-28f4b6d4a5a2</planbestammelsereferens>
    </Lage>
    <Indelning>
      <tema>Motiv till detaljplanens regleringar</tema>
      <grupp>Motiv till reglering</grupp>
    </Indelning>
  </Omfattning>
  <Omfattning>
    <identitet>mo_motivtillreglering32</identitet>
    <Lage>
      <lmg:Yta>
        <lmg:absolutLagesosakerhetPlan>0</lmg:absolutLagesosakerhetPlan>
        <lmg:absolutLagesosakerhetHojd>0</lmg:absolutLagesosakerhetHojd>
        <lmg:hojdsystem>RH 2000</lmg:hojdsystem>
        <gml:Polygon gml:id="ID_c8f2104d-012c-480b-b02a-968b1b9bc6ec" srsName="EPSG:3011" srsDimension="2">
          <gml:exterior>
            <gml:LinearRing gml:id="ID_3b30b065-18b8-479a-b2df-ac06158a0a2d">
              <gml:posList>6626086.159 138445.645 6626085.9 138445.449 6626086.16 138445.181 6626125.843 138404.234 6626126.132 138403.936 6626127.923 138404.825 6626129.814 138405.764 6626134.093 138408.093 6626138.32 138410.555 6626142.451 138413.174 6626146.498 138415.921 6626150.452 138418.801 6626154.307 138421.811 6626158.059 138424.947 6626161.705 138428.208 6626165.241 138431.588 6626168.662 138435.083 6626171.972 138438.685 6626173.676 138440.597 6626177.203 138444.316 6626180.885 138447.883 6626184.704 138451.302 6626185.207 138451.722 6626188.281 138454.282 6626188.642 138454.583 6626192.727 138457.679 6626196.895 138460.663 6626201.206 138463.436 6626205.59 138466.091 6626210.092 138468.542 6626214.677 138470.835 6626218.191 138472.395 6626219.362 138472.915 6626224.101 138474.867 6626228.932 138476.58 6626231.631 138477.459 6626233.806 138478.167 6626236.496 138478.888 6626241.14 138480.132 6626250.802 138482.709 6626255.631 138484.007 6626257.706 138484.557 6626257.664 138484.701 6626257.539 138485.132 6626257.435 138485.493 6626255.401 138492.52 6626241.699 138539.871 6626212.366 138531.405 6626178.674 138503.452 6626096.159 138453.169 6626086.159 138445.645</gml:posList>
            </gml:LinearRing>
          </gml:exterior>
        </gml:Polygon>
      </lmg:Yta>
      <planbestammelsereferens>0b4024c8-20ff-4054-976b-95b0bac95a5f</planbestammelsereferens>
    </Lage>
    <Lage>
      <lmg:Yta>
        <lmg:absolutLagesosakerhetPlan>0</lmg:absolutLagesosakerhetPlan>
        <lmg:absolutLagesosakerhetHojd>0</lmg:absolutLagesosakerhetHojd>
        <lmg:hojdsystem>RH 2000</lmg:hojdsystem>
        <gml:Polygon gml:id="ID_401a6dd5-b962-4db7-9bf3-b2fc760774a8" srsName="EPSG:3011" srsDimension="2">
          <gml:exterior>
            <gml:LinearRing gml:id="ID_a640f6dc-18e6-4d82-8719-a2b4fd0bf942">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37f7e76f-dcc4-4145-b357-27e923974a9c</planbestammelsereferens>
    </Lage>
    <Lage>
      <lmg:Yta>
        <lmg:absolutLagesosakerhetPlan>0</lmg:absolutLagesosakerhetPlan>
        <lmg:absolutLagesosakerhetHojd>0</lmg:absolutLagesosakerhetHojd>
        <lmg:hojdsystem>RH 2000</lmg:hojdsystem>
        <gml:Polygon gml:id="ID_859d8c5b-5490-4683-8c80-509141810963" srsName="EPSG:3011" srsDimension="2">
          <gml:exterior>
            <gml:LinearRing gml:id="ID_05cdf8bc-a0e7-4390-9d34-8970b280a7b3">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ec881bc5-c255-42ae-9818-a83497bdde17</planbestammelsereferens>
    </Lage>
    <Lage>
      <lmg:Yta>
        <lmg:absolutLagesosakerhetPlan>0</lmg:absolutLagesosakerhetPlan>
        <lmg:absolutLagesosakerhetHojd>0</lmg:absolutLagesosakerhetHojd>
        <lmg:hojdsystem>RH 2000</lmg:hojdsystem>
        <gml:Polygon gml:id="ID_6a4488b3-969a-46c1-930b-0d7e92851d3d" srsName="EPSG:3011" srsDimension="2">
          <gml:exterior>
            <gml:LinearRing gml:id="ID_34525145-c471-44b3-a710-da696b6992e9">
              <gml:posList>6626341.946 138479.596 6626335.821 138472.779 6626337.318 138471.228 6626344.598 138464.623 6626352.166 138458.087 6626359.667 138451.643 6626359.673 138451.638 6626361.135 138450.462 6626367.463 138445.369 6626375.206 138439.141 6626375.22 138439.13 6626383.106 138432.983 6626390.993 138426.836 6626394.99 138423.719 6626398.88 138420.688 6626402.72 138417.937 6626406.933 138415.312 6626415.553 138411.431 6626418.003 138410.539 6626418.96 138412.754 6626429.619 138437.406 6626428.572 138439.789 6626427.384 138442.496 6626397.137 138466.05 6626378.235 138481.321 6626363.871 138493.851 6626354.588 138493.667 6626341.946 138479.596</gml:posList>
            </gml:LinearRing>
          </gml:exterior>
        </gml:Polygon>
      </lmg:Yta>
      <planbestammelsereferens>ba0eb270-edb1-44f0-a033-80e73832cad2</planbestammelsereferens>
    </Lage>
    <Lage>
      <lmg:Yta>
        <lmg:absolutLagesosakerhetPlan>0</lmg:absolutLagesosakerhetPlan>
        <lmg:absolutLagesosakerhetHojd>0</lmg:absolutLagesosakerhetHojd>
        <lmg:hojdsystem>RH 2000</lmg:hojdsystem>
        <gml:Polygon gml:id="ID_9f2b2b0f-77b1-4c62-9b6b-ee1c8d5097c8" srsName="EPSG:3011" srsDimension="2">
          <gml:exterior>
            <gml:LinearRing gml:id="ID_8e4441a4-0ae8-4038-ad90-e0f858700e5d">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6626326.033 138463.285 6626323.005 138459.976 6626321.419 138458.245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lmg:Yta>
      <planbestammelsereferens>a164f596-3399-467a-8189-258475e27ecf</planbestammelsereferens>
    </Lage>
    <Lage>
      <lmg:Yta>
        <lmg:absolutLagesosakerhetPlan>0</lmg:absolutLagesosakerhetPlan>
        <lmg:absolutLagesosakerhetHojd>0</lmg:absolutLagesosakerhetHojd>
        <lmg:hojdsystem>RH 2000</lmg:hojdsystem>
        <gml:Polygon gml:id="ID_3e7aaa88-ce62-423b-8319-b52c0fa8d4f3" srsName="EPSG:3011" srsDimension="2">
          <gml:exterior>
            <gml:LinearRing gml:id="ID_7724eaea-3a8e-404f-b035-4025d3382e4d">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lmg:Yta>
      <planbestammelsereferens>62f1e7e8-be4f-419e-8fc5-be8fdeeb53d3</planbestammelsereferens>
    </Lage>
    <Lage>
      <lmg:Yta>
        <lmg:absolutLagesosakerhetPlan>0</lmg:absolutLagesosakerhetPlan>
        <lmg:absolutLagesosakerhetHojd>0</lmg:absolutLagesosakerhetHojd>
        <lmg:hojdsystem>RH 2000</lmg:hojdsystem>
        <gml:Polygon gml:id="ID_c4782742-7756-457a-9f9a-c6c8f5bd9bb0" srsName="EPSG:3011" srsDimension="2">
          <gml:exterior>
            <gml:LinearRing gml:id="ID_de127332-ba9e-4cb5-a794-ba500491c1ee">
              <gml:posList>6626528.913 138537.483 6626502.509 138538.955 6626502.422 138538.96 6626502.19 138538.2 6626501.988 138537.534 6626501.775 138536.834 6626501.617 138536.141 6626500.76 138532.388 6626499.989 138527.892 6626499.466 138523.361 6626499.191 138518.809 6626499.175 138515.845 6626499.167 138514.386 6626499.167 138514.248 6626499.392 138509.692 6626499.799 138505.796 6626499.829 138505.443 6626500.508 138499.706 6626500.584 138499.063 6626501.232 138494.331 6626501.75 138490.226 6626503.002 138480.305 6626503.53 138476.353 6626503.717 138474.763 6626504.188 138467.123 6626504.234 138461.796 6626504.076 138456.452 6626503.975 138455.045 6626503.694 138451.13 6626503.089 138445.828 6626502.261 138440.556 6626501.234 138435.333 6626500.455 138432.161 6626502.883 138431.649 6626528.373 138426.273 6626539.699 138423.884 6626543.288 138423.127 6626549.482 138421.821 6626555.673 138420.515 6626555.756 138420.908 6626556.433 138424.126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 6626571.357 138533.805 6626563.713 138535.402 6626562.797 138535.593 6626560.676 138535.712 6626553.865 138536.092 6626528.913 138537.483</gml:posList>
            </gml:LinearRing>
          </gml:exterior>
        </gml:Polygon>
      </lmg:Yta>
      <planbestammelsereferens>a93350a1-a6b4-409c-a058-2a74693923c4</planbestammelsereferens>
    </Lage>
    <Lage>
      <lmg:Yta>
        <lmg:absolutLagesosakerhetPlan>0</lmg:absolutLagesosakerhetPlan>
        <lmg:absolutLagesosakerhetHojd>0</lmg:absolutLagesosakerhetHojd>
        <lmg:hojdsystem>RH 2000</lmg:hojdsystem>
        <gml:Polygon gml:id="ID_5a5b003c-48fe-4b2b-863f-45911c7b2736" srsName="EPSG:3011" srsDimension="2">
          <gml:exterior>
            <gml:LinearRing gml:id="ID_504f22ad-8d51-43d7-9e63-d9846442ae64">
              <gml:posList>6626488.121 138516.247 6626488.045 138519.174 6626488.135 138520.186 6626488.181 138520.698 6626488.962 138529.473 6626489.319 138531.272 6626490.44 138536.918 6626490.882 138539.144 6626473.194 138539.393 6626420.176 138516.111 6626416.068 138505.571 6626443.898 138442.196 6626449.821 138428.708 6626479.565 138415.853 6626479.765 138416.089 6626481.835 138418.532 6626484.484 138422.403 6626484.917 138423.199 6626486.658 138426.406 6626486.723 138426.524 6626487.078 138427.375 6626488.294 138430.293 6626488.528 138430.853 6626489.577 138434.337 6626489.757 138434.935 6626489.881 138435.345 6626490.876 138439.816 6626490.912 138439.974 6626490.938 138440.098 6626491.054 138440.83 6626491.575 138444.152 6626491.935 138446.44 6626492.451 138449.724 6626492.645 138452.433 6626492.754 138453.957 6626493.148 138459.443 6626493.026 138469.187 6626492.089 138478.927 6626491.108 138486.701 6626490.836 138488.848 6626490.326 138492.895 6626489.584 138498.769 6626488.918 138504.047 6626488.811 138504.892 6626488.312 138508.839 6626488.186 138513.742 6626488.125 138516.025 6626488.121 138516.247</gml:posList>
            </gml:LinearRing>
          </gml:exterior>
        </gml:Polygon>
      </lmg:Yta>
      <planbestammelsereferens>35a0b423-e88a-44b3-bb53-d24eb278012f</planbestammelsereferens>
    </Lage>
    <Lage>
      <lmg:Yta>
        <lmg:absolutLagesosakerhetPlan>0</lmg:absolutLagesosakerhetPlan>
        <lmg:absolutLagesosakerhetHojd>0</lmg:absolutLagesosakerhetHojd>
        <lmg:hojdsystem>RH 2000</lmg:hojdsystem>
        <gml:Polygon gml:id="ID_27e9797c-8724-4181-b7bc-30510213d9ff" srsName="EPSG:3011" srsDimension="2">
          <gml:exterior>
            <gml:LinearRing gml:id="ID_66a8fe2c-f4fe-4b4a-94d4-c8fd840ed52d">
              <gml:posList>6626315.823 138550.34 6626312.894 138542.716 6626353.148 138526.44 6626414.41 138553.931 6626429.15 138599.446 6626432.205 138636.009 6626432.24 138636.426 6626432.621 138640.991 6626420.4 138642.013 6626418.946 138647.871 6626418.774 138647.777 6626414.41 138645.397 6626413.775 138645.05 6626413.318 138644.756 6626412.477 138644.213 6626405.546 138639.745 6626397.296 138634.174 6626390.93 138629.762 6626389.103 138628.495 6626386.043 138626.312 6626383.239 138624.311 6626381.667 138623.19 6626381.098 138622.783 6626378.136 138620.417 6626373.285 138616.542 6626365.635 138610.271 6626364.609 138609.389 6626362.298 138607.401 6626358.053 138603.751 6626350.749 138597.242 6626343.649 138590.207 6626340.587 138586.938 6626336.963 138583.066 6626330.809 138575.463 6626325.219 138567.436 6626323.731 138564.961 6626322.521 138562.95 6626320.542 138559.659 6626320.409 138559.439 6626320.16 138559.024 6626320.024 138558.752 6626319.953 138558.61 6626315.823 138550.34</gml:posList>
            </gml:LinearRing>
          </gml:exterior>
        </gml:Polygon>
      </lmg:Yta>
      <planbestammelsereferens>458e4d46-5772-47a6-a750-4b95b497c0c5</planbestammelsereferens>
    </Lage>
    <Lage>
      <lmg:Yta>
        <lmg:absolutLagesosakerhetPlan>0</lmg:absolutLagesosakerhetPlan>
        <lmg:absolutLagesosakerhetHojd>0</lmg:absolutLagesosakerhetHojd>
        <lmg:hojdsystem>RH 2000</lmg:hojdsystem>
        <gml:Polygon gml:id="ID_0f454247-35a9-4991-8ea4-2f5e67163969" srsName="EPSG:3011" srsDimension="2">
          <gml:exterior>
            <gml:LinearRing gml:id="ID_5f0d7e94-a157-4684-8d2d-3896a340ba2b">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c490715f-c89d-4cf5-9eec-92fd7e839d7e</planbestammelsereferens>
    </Lage>
    <Indelning>
      <tema>Motiv till detaljplanens regleringar</tema>
      <grupp>Motiv till reglering</grupp>
    </Indelning>
  </Omfattning>
  <Omfattning>
    <identitet>mo_motivtillreglering33</identitet>
    <Lage>
      <lmg:Yta>
        <lmg:absolutLagesosakerhetPlan>0</lmg:absolutLagesosakerhetPlan>
        <lmg:absolutLagesosakerhetHojd>0</lmg:absolutLagesosakerhetHojd>
        <lmg:hojdsystem>RH 2000</lmg:hojdsystem>
        <gml:Polygon gml:id="ID_0c1726d5-1a16-4e20-8ab7-0dfd81f219e0" srsName="EPSG:3011" srsDimension="2">
          <gml:exterior>
            <gml:LinearRing gml:id="ID_784834cc-4256-42ad-ad48-3ba3c6cb85ed">
              <gml:posList>6626086.159 138445.645 6626085.9 138445.449 6626086.16 138445.181 6626125.843 138404.234 6626126.132 138403.936 6626127.923 138404.825 6626129.814 138405.764 6626134.093 138408.093 6626138.32 138410.555 6626142.451 138413.174 6626146.498 138415.921 6626150.452 138418.801 6626154.307 138421.811 6626158.059 138424.947 6626161.705 138428.208 6626165.241 138431.588 6626168.662 138435.083 6626171.972 138438.685 6626173.676 138440.597 6626177.203 138444.316 6626180.885 138447.883 6626184.704 138451.302 6626185.207 138451.722 6626188.281 138454.282 6626188.642 138454.583 6626192.727 138457.679 6626196.895 138460.663 6626201.206 138463.436 6626205.59 138466.091 6626210.092 138468.542 6626214.677 138470.835 6626218.191 138472.395 6626219.362 138472.915 6626224.101 138474.867 6626228.932 138476.58 6626231.631 138477.459 6626233.806 138478.167 6626236.496 138478.888 6626241.14 138480.132 6626250.802 138482.709 6626255.631 138484.007 6626257.706 138484.557 6626257.664 138484.701 6626257.539 138485.132 6626257.435 138485.493 6626255.401 138492.52 6626241.699 138539.871 6626212.366 138531.405 6626178.674 138503.452 6626096.159 138453.169 6626086.159 138445.645</gml:posList>
            </gml:LinearRing>
          </gml:exterior>
        </gml:Polygon>
      </lmg:Yta>
      <planbestammelsereferens>5e26a46b-d56e-4f1e-b77b-f3f859f46929</planbestammelsereferens>
    </Lage>
    <Lage>
      <lmg:Yta>
        <lmg:absolutLagesosakerhetPlan>0</lmg:absolutLagesosakerhetPlan>
        <lmg:absolutLagesosakerhetHojd>0</lmg:absolutLagesosakerhetHojd>
        <lmg:hojdsystem>RH 2000</lmg:hojdsystem>
        <gml:Polygon gml:id="ID_80e769d0-e97c-4f04-9498-45542c9d3e32" srsName="EPSG:3011" srsDimension="2">
          <gml:exterior>
            <gml:LinearRing gml:id="ID_5c5ee792-f733-4c11-9814-33750eb9632a">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30041505-217c-4857-acc3-b366299761f3</planbestammelsereferens>
    </Lage>
    <Lage>
      <lmg:Yta>
        <lmg:absolutLagesosakerhetPlan>0</lmg:absolutLagesosakerhetPlan>
        <lmg:absolutLagesosakerhetHojd>0</lmg:absolutLagesosakerhetHojd>
        <lmg:hojdsystem>RH 2000</lmg:hojdsystem>
        <gml:Polygon gml:id="ID_e85bd895-f308-4936-8206-ab2b194a2893" srsName="EPSG:3011" srsDimension="2">
          <gml:exterior>
            <gml:LinearRing gml:id="ID_a4c0e20e-c1b5-43b3-aeeb-8ac424e33273">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7c365515-c248-4515-ae8a-6a20309e455b</planbestammelsereferens>
    </Lage>
    <Lage>
      <lmg:Yta>
        <lmg:absolutLagesosakerhetPlan>0</lmg:absolutLagesosakerhetPlan>
        <lmg:absolutLagesosakerhetHojd>0</lmg:absolutLagesosakerhetHojd>
        <lmg:hojdsystem>RH 2000</lmg:hojdsystem>
        <gml:Polygon gml:id="ID_4639e264-b576-4fb6-b52c-12401b3a3e83" srsName="EPSG:3011" srsDimension="2">
          <gml:exterior>
            <gml:LinearRing gml:id="ID_4ca304f8-5c4f-4a57-a67c-2e4654bba133">
              <gml:posList>6626341.946 138479.596 6626335.821 138472.779 6626337.318 138471.228 6626344.598 138464.623 6626352.166 138458.087 6626359.667 138451.643 6626359.673 138451.638 6626361.135 138450.462 6626367.463 138445.369 6626375.206 138439.141 6626375.22 138439.13 6626383.106 138432.983 6626390.993 138426.836 6626394.99 138423.719 6626398.88 138420.688 6626402.72 138417.937 6626406.933 138415.312 6626415.553 138411.431 6626418.003 138410.539 6626418.96 138412.754 6626429.619 138437.406 6626428.572 138439.789 6626427.384 138442.496 6626397.137 138466.05 6626378.235 138481.321 6626363.871 138493.851 6626354.588 138493.667 6626341.946 138479.596</gml:posList>
            </gml:LinearRing>
          </gml:exterior>
        </gml:Polygon>
      </lmg:Yta>
      <planbestammelsereferens>1760ca1a-6fb1-49c8-91e5-305fced6c6a5</planbestammelsereferens>
    </Lage>
    <Lage>
      <lmg:Yta>
        <lmg:absolutLagesosakerhetPlan>0</lmg:absolutLagesosakerhetPlan>
        <lmg:absolutLagesosakerhetHojd>0</lmg:absolutLagesosakerhetHojd>
        <lmg:hojdsystem>RH 2000</lmg:hojdsystem>
        <gml:Polygon gml:id="ID_2236fbcb-8a2c-42ed-aa4c-b3946e734fa2" srsName="EPSG:3011" srsDimension="2">
          <gml:exterior>
            <gml:LinearRing gml:id="ID_d8756814-360a-4ab9-a4b5-9f6169ff2b50">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6626326.033 138463.285 6626323.005 138459.976 6626321.419 138458.245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lmg:Yta>
      <planbestammelsereferens>6224e4e6-6452-4478-8c47-3d53c4b18986</planbestammelsereferens>
    </Lage>
    <Lage>
      <lmg:Yta>
        <lmg:absolutLagesosakerhetPlan>0</lmg:absolutLagesosakerhetPlan>
        <lmg:absolutLagesosakerhetHojd>0</lmg:absolutLagesosakerhetHojd>
        <lmg:hojdsystem>RH 2000</lmg:hojdsystem>
        <gml:Polygon gml:id="ID_274142ad-3990-4fe6-89bb-8371b13352ae" srsName="EPSG:3011" srsDimension="2">
          <gml:exterior>
            <gml:LinearRing gml:id="ID_f3de188d-27e0-4b5b-b462-44472efa812f">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lmg:Yta>
      <planbestammelsereferens>6923492f-3fc5-4961-9a06-b9f8323830bd</planbestammelsereferens>
    </Lage>
    <Lage>
      <lmg:Yta>
        <lmg:absolutLagesosakerhetPlan>0</lmg:absolutLagesosakerhetPlan>
        <lmg:absolutLagesosakerhetHojd>0</lmg:absolutLagesosakerhetHojd>
        <lmg:hojdsystem>RH 2000</lmg:hojdsystem>
        <gml:Polygon gml:id="ID_6a8d5f5b-0013-4f33-993a-81460154100d" srsName="EPSG:3011" srsDimension="2">
          <gml:exterior>
            <gml:LinearRing gml:id="ID_f4001d6c-843b-411a-88e8-06efb579d433">
              <gml:posList>6626528.913 138537.483 6626502.509 138538.955 6626502.422 138538.96 6626502.19 138538.2 6626501.988 138537.534 6626501.775 138536.834 6626501.617 138536.141 6626500.76 138532.388 6626499.989 138527.892 6626499.466 138523.361 6626499.191 138518.809 6626499.175 138515.845 6626499.167 138514.386 6626499.167 138514.248 6626499.392 138509.692 6626499.799 138505.796 6626499.829 138505.443 6626500.508 138499.706 6626500.584 138499.063 6626501.232 138494.331 6626501.75 138490.226 6626503.002 138480.305 6626503.53 138476.353 6626503.717 138474.763 6626504.188 138467.123 6626504.234 138461.796 6626504.076 138456.452 6626503.975 138455.045 6626503.694 138451.13 6626503.089 138445.828 6626502.261 138440.556 6626501.234 138435.333 6626500.455 138432.161 6626502.883 138431.649 6626528.373 138426.273 6626539.699 138423.884 6626543.288 138423.127 6626549.482 138421.821 6626555.673 138420.515 6626555.756 138420.908 6626556.433 138424.126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 6626571.357 138533.805 6626563.713 138535.402 6626562.797 138535.593 6626560.676 138535.712 6626553.865 138536.092 6626528.913 138537.483</gml:posList>
            </gml:LinearRing>
          </gml:exterior>
        </gml:Polygon>
      </lmg:Yta>
      <planbestammelsereferens>cc68e5ed-3d8c-4e12-a27f-0d9db14b3418</planbestammelsereferens>
    </Lage>
    <Lage>
      <lmg:Yta>
        <lmg:absolutLagesosakerhetPlan>0</lmg:absolutLagesosakerhetPlan>
        <lmg:absolutLagesosakerhetHojd>0</lmg:absolutLagesosakerhetHojd>
        <lmg:hojdsystem>RH 2000</lmg:hojdsystem>
        <gml:Polygon gml:id="ID_3c336926-a4e8-435e-a2a4-5ba7c51812a6" srsName="EPSG:3011" srsDimension="2">
          <gml:exterior>
            <gml:LinearRing gml:id="ID_4c2f65a4-30d2-4f68-8705-8e3fb577c6aa">
              <gml:posList>6626488.121 138516.247 6626488.045 138519.174 6626488.135 138520.186 6626488.181 138520.698 6626488.962 138529.473 6626489.319 138531.272 6626490.44 138536.918 6626490.882 138539.144 6626473.194 138539.393 6626420.176 138516.111 6626416.068 138505.571 6626443.898 138442.196 6626449.821 138428.708 6626479.565 138415.853 6626479.765 138416.089 6626481.835 138418.532 6626484.484 138422.403 6626484.917 138423.199 6626486.658 138426.406 6626486.723 138426.524 6626487.078 138427.375 6626488.294 138430.293 6626488.528 138430.853 6626489.577 138434.337 6626489.757 138434.935 6626489.881 138435.345 6626490.876 138439.816 6626490.912 138439.974 6626490.938 138440.098 6626491.054 138440.83 6626491.575 138444.152 6626491.935 138446.44 6626492.451 138449.724 6626492.645 138452.433 6626492.754 138453.957 6626493.148 138459.443 6626493.026 138469.187 6626492.089 138478.927 6626491.108 138486.701 6626490.836 138488.848 6626490.326 138492.895 6626489.584 138498.769 6626488.918 138504.047 6626488.811 138504.892 6626488.312 138508.839 6626488.186 138513.742 6626488.125 138516.025 6626488.121 138516.247</gml:posList>
            </gml:LinearRing>
          </gml:exterior>
        </gml:Polygon>
      </lmg:Yta>
      <planbestammelsereferens>ff9f4df6-0590-4c6e-9601-7d325bce05cf</planbestammelsereferens>
    </Lage>
    <Lage>
      <lmg:Yta>
        <lmg:absolutLagesosakerhetPlan>0</lmg:absolutLagesosakerhetPlan>
        <lmg:absolutLagesosakerhetHojd>0</lmg:absolutLagesosakerhetHojd>
        <lmg:hojdsystem>RH 2000</lmg:hojdsystem>
        <gml:Polygon gml:id="ID_2d88f9de-6d02-40ed-b891-de526bde242d" srsName="EPSG:3011" srsDimension="2">
          <gml:exterior>
            <gml:LinearRing gml:id="ID_8d1b7e7d-ebee-4578-966f-8be4f92aa083">
              <gml:posList>6626315.823 138550.34 6626312.894 138542.716 6626353.148 138526.44 6626414.41 138553.931 6626429.15 138599.446 6626432.205 138636.009 6626432.24 138636.426 6626432.621 138640.991 6626420.4 138642.013 6626418.946 138647.871 6626418.774 138647.777 6626414.41 138645.397 6626413.775 138645.05 6626413.318 138644.756 6626412.477 138644.213 6626405.546 138639.745 6626397.296 138634.174 6626390.93 138629.762 6626389.103 138628.495 6626386.043 138626.312 6626383.239 138624.311 6626381.667 138623.19 6626381.098 138622.783 6626378.136 138620.417 6626373.285 138616.542 6626365.635 138610.271 6626364.609 138609.389 6626362.298 138607.401 6626358.053 138603.751 6626350.749 138597.242 6626343.649 138590.207 6626340.587 138586.938 6626336.963 138583.066 6626330.809 138575.463 6626325.219 138567.436 6626323.731 138564.961 6626322.521 138562.95 6626320.542 138559.659 6626320.409 138559.439 6626320.16 138559.024 6626320.024 138558.752 6626319.953 138558.61 6626315.823 138550.34</gml:posList>
            </gml:LinearRing>
          </gml:exterior>
        </gml:Polygon>
      </lmg:Yta>
      <planbestammelsereferens>e07ba77f-f052-468a-be99-200087d9b25e</planbestammelsereferens>
    </Lage>
    <Lage>
      <lmg:Yta>
        <lmg:absolutLagesosakerhetPlan>0</lmg:absolutLagesosakerhetPlan>
        <lmg:absolutLagesosakerhetHojd>0</lmg:absolutLagesosakerhetHojd>
        <lmg:hojdsystem>RH 2000</lmg:hojdsystem>
        <gml:Polygon gml:id="ID_f192ba96-eab8-46ac-a344-e1e8f899e002" srsName="EPSG:3011" srsDimension="2">
          <gml:exterior>
            <gml:LinearRing gml:id="ID_2b3084c4-4916-4b82-9d28-12c7ab247343">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29d14bc5-085a-46a7-a78e-61f6b0b8d590</planbestammelsereferens>
    </Lage>
    <Indelning>
      <tema>Motiv till detaljplanens regleringar</tema>
      <grupp>Motiv till reglering</grupp>
    </Indelning>
  </Omfattning>
  <Omfattning>
    <identitet>mo_motivtillreglering34</identitet>
    <Lage>
      <lmg:Yta>
        <lmg:absolutLagesosakerhetPlan>0</lmg:absolutLagesosakerhetPlan>
        <lmg:absolutLagesosakerhetHojd>0</lmg:absolutLagesosakerhetHojd>
        <lmg:hojdsystem>RH 2000</lmg:hojdsystem>
        <gml:Polygon gml:id="ID_2333a80d-8a25-4695-9462-3215ddde9199" srsName="EPSG:3011" srsDimension="2">
          <gml:exterior>
            <gml:LinearRing gml:id="ID_834aeae7-a5ba-4b5b-acc3-20674ebd0735">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60117fc0-3039-4abf-97ab-0d01ac3daad6</planbestammelsereferens>
    </Lage>
    <Lage>
      <lmg:Yta>
        <lmg:absolutLagesosakerhetPlan>0</lmg:absolutLagesosakerhetPlan>
        <lmg:absolutLagesosakerhetHojd>0</lmg:absolutLagesosakerhetHojd>
        <lmg:hojdsystem>RH 2000</lmg:hojdsystem>
        <gml:Polygon gml:id="ID_6b47bdd1-4b05-46eb-b355-e22078da3ae0" srsName="EPSG:3011" srsDimension="2">
          <gml:exterior>
            <gml:LinearRing gml:id="ID_d3f75c84-f686-4694-8cda-5bdc0adf0f92">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547007da-8fc6-4bbf-9e9d-3f744b79eebe</planbestammelsereferens>
    </Lage>
    <Lage>
      <lmg:Yta>
        <lmg:absolutLagesosakerhetPlan>0</lmg:absolutLagesosakerhetPlan>
        <lmg:absolutLagesosakerhetHojd>0</lmg:absolutLagesosakerhetHojd>
        <lmg:hojdsystem>RH 2000</lmg:hojdsystem>
        <gml:Polygon gml:id="ID_0de827e4-a756-40d4-8e94-04e6dbe456b1" srsName="EPSG:3011" srsDimension="2">
          <gml:exterior>
            <gml:LinearRing gml:id="ID_eeeb0c11-1733-41a9-8dde-77fe07ff346c">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831baa0b-7f69-49fe-95f1-4eafa4fd9f6b</planbestammelsereferens>
    </Lage>
    <Indelning>
      <tema>Motiv till detaljplanens regleringar</tema>
      <grupp>Motiv till reglering</grupp>
    </Indelning>
  </Omfattning>
  <Omfattning>
    <identitet>mo_motivtillreglering35</identitet>
    <Lage>
      <lmg:Yta>
        <lmg:absolutLagesosakerhetPlan>0</lmg:absolutLagesosakerhetPlan>
        <lmg:absolutLagesosakerhetHojd>0</lmg:absolutLagesosakerhetHojd>
        <lmg:hojdsystem>RH 2000</lmg:hojdsystem>
        <gml:Polygon gml:id="ID_ece45df2-3bbc-4255-8499-3ca79096b4c2" srsName="EPSG:3011" srsDimension="2">
          <gml:exterior>
            <gml:LinearRing gml:id="ID_3d7c8215-7fab-48b5-b751-0fa42ddbbfa9">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lmg:Yta>
      <planbestammelsereferens>3803cd26-7eb8-493b-9388-9ad30f14ccd7</planbestammelsereferens>
    </Lage>
    <Lage>
      <lmg:Yta>
        <lmg:absolutLagesosakerhetPlan>0</lmg:absolutLagesosakerhetPlan>
        <lmg:absolutLagesosakerhetHojd>0</lmg:absolutLagesosakerhetHojd>
        <lmg:hojdsystem>RH 2000</lmg:hojdsystem>
        <gml:Polygon gml:id="ID_84fedaca-ae0c-4bde-85f9-31f42b04b632" srsName="EPSG:3011" srsDimension="2">
          <gml:exterior>
            <gml:LinearRing gml:id="ID_2176dc55-ed85-4aa9-86af-5d1a35137888">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lmg:Yta>
      <planbestammelsereferens>14433d0b-8998-429d-b533-f46e5cc8dfa9</planbestammelsereferens>
    </Lage>
    <Lage>
      <lmg:Yta>
        <lmg:absolutLagesosakerhetPlan>0</lmg:absolutLagesosakerhetPlan>
        <lmg:absolutLagesosakerhetHojd>0</lmg:absolutLagesosakerhetHojd>
        <lmg:hojdsystem>RH 2000</lmg:hojdsystem>
        <gml:Polygon gml:id="ID_b6b91b60-f9e8-49bc-8ba1-1def3f2ad03d" srsName="EPSG:3011" srsDimension="2">
          <gml:exterior>
            <gml:LinearRing gml:id="ID_0cead7f4-0cbd-4dc0-8863-60dd3a3f6f89">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lmg:Yta>
      <planbestammelsereferens>dabd2711-bdc9-44e0-aad4-92f753fe2fc7</planbestammelsereferens>
    </Lage>
    <Indelning>
      <tema>Motiv till detaljplanens regleringar</tema>
      <grupp>Motiv till reglering</grupp>
    </Indelning>
  </Omfattning>
  <Omfattning>
    <identitet>mo_motivtillreglering36</identitet>
    <Lage>
      <lmg:Multiyta>
        <lmg:absolutLagesosakerhetPlan>0</lmg:absolutLagesosakerhetPlan>
        <lmg:absolutLagesosakerhetHojd>0</lmg:absolutLagesosakerhetHojd>
        <lmg:hojdsystem>RH 2000</lmg:hojdsystem>
        <gml:MultiSurface gml:id="ID_f601fb07-7bf9-45ea-a4fb-4dbfd4997900" srsName="EPSG:3011" srsDimension="2">
          <gml:surfaceMember>
            <gml:Polygon gml:id="ID_321ac5bd-95d4-4bcf-abcc-4c714e1b7241" srsName="EPSG:3011" srsDimension="2">
              <gml:exterior>
                <gml:LinearRing gml:id="ID_3f2ce265-7331-4d82-a909-17d7bed62e66">
                  <gml:posList>6626169.248 138321.09 6626156.75 138309.563 6626157.068 138309.216 6626163.521 138302.204 6626176.063 138313.771 6626176.072 138313.781 6626169.572 138320.762 6626169.512 138320.825 6626169.258 138321.099 6626169.248 138321.09</gml:posList>
                </gml:LinearRing>
              </gml:exterior>
            </gml:Polygon>
          </gml:surfaceMember>
          <gml:surfaceMember>
            <gml:Polygon gml:id="ID_33140b61-e05d-47f1-b158-ad8ccf572236" srsName="EPSG:3011" srsDimension="2">
              <gml:exterior>
                <gml:LinearRing gml:id="ID_402e679f-5400-4757-9d6c-fa34f1113db8">
                  <gml:posList>6626038.144 138534.662 6625963.743 138478.68 6625983.17 138440.701 6625983.348 138440.815 6626002.593 138453.171 6626067.083 138494.578 6626134.262 138535.064 6626149.644 138544.334 6626224.083 138606.094 6626231.413 138612.177 6626231.651 138612.375 6626231.413 138612.64 6626229.536 138614.736 6626228.744 138615.619 6626228.646 138615.729 6626228.546 138615.84 6626228.45 138615.948 6626226.897 138615.523 6626226.882 138615.519 6626226.868 138615.517 6626226.841 138615.512 6626225.252 138615.283 6626222.004 138615.415 6626219.422 138616.113 6626217.033 138617.313 6626214.932 138618.968 6626213.205 138621.009 6626211.902 138623.399 6626211.113 138626.003 6626210.527 138634.454 6626210.444 138634.931 6626210.02 138637.382 6626207.743 138638.315 6626203.681 138639.981 6626198.399 138642.146 6626196.387 138642.97 6626179.979 138649.698 6626161.194 138657.316 6626159.787 138655.188 6626119.752 138594.623 6626114.098 138586.069 6626039.944 138536.017 6626038.144 138534.662</gml:posList>
                </gml:LinearRing>
              </gml:exterior>
            </gml:Polygon>
          </gml:surfaceMember>
          <gml:surfaceMember>
            <gml:Polygon gml:id="ID_d3042a57-cd7f-4efa-be91-e18a4c83de6c" srsName="EPSG:3011" srsDimension="2">
              <gml:exterior>
                <gml:LinearRing gml:id="ID_1b9d3ba2-bf00-4b02-ba72-8b366ff35a43">
                  <gml:posList>6626233.12 138238.342 6626233.096 138238.313 6626233.384 138238.077 6626233.389 138238.073 6626240.553 138232.222 6626240.842 138231.986 6626253.785 138247.237 6626253.633 138247.362 6626246.434 138253.242 6626246.039 138253.565 6626233.12 138238.342</gml:posList>
                </gml:LinearRing>
              </gml:exterior>
            </gml:Polygon>
          </gml:surfaceMember>
          <gml:surfaceMember>
            <gml:Polygon gml:id="ID_4204995f-2302-4d6f-b556-99c1edc21538" srsName="EPSG:3011" srsDimension="2">
              <gml:exterior>
                <gml:LinearRing gml:id="ID_e23dc461-f66e-4fd8-91ca-d54b7e62efbb">
                  <gml:posList>6626086.159 138445.645 6626085.9 138445.449 6626086.16 138445.181 6626125.843 138404.234 6626126.132 138403.936 6626127.923 138404.825 6626129.814 138405.764 6626134.093 138408.093 6626138.32 138410.555 6626142.451 138413.174 6626146.498 138415.921 6626150.452 138418.801 6626154.307 138421.811 6626158.059 138424.947 6626161.705 138428.208 6626165.241 138431.588 6626168.662 138435.083 6626171.972 138438.685 6626173.676 138440.597 6626177.203 138444.316 6626180.885 138447.883 6626184.704 138451.302 6626185.207 138451.722 6626188.281 138454.282 6626188.642 138454.583 6626192.727 138457.679 6626196.895 138460.663 6626201.206 138463.436 6626205.59 138466.091 6626210.092 138468.542 6626214.677 138470.835 6626218.191 138472.395 6626219.362 138472.915 6626224.101 138474.867 6626228.932 138476.58 6626231.631 138477.459 6626233.806 138478.167 6626236.496 138478.888 6626241.14 138480.132 6626250.802 138482.709 6626255.631 138484.007 6626257.706 138484.557 6626257.664 138484.701 6626257.539 138485.132 6626257.435 138485.493 6626255.401 138492.52 6626241.699 138539.871 6626212.366 138531.405 6626178.674 138503.452 6626096.159 138453.169 6626086.159 138445.645</gml:posList>
                </gml:LinearRing>
              </gml:exterior>
            </gml:Polygon>
          </gml:surfaceMember>
          <gml:surfaceMember>
            <gml:Polygon gml:id="ID_2d602eb3-1578-4815-bdcb-481e9f0641b6" srsName="EPSG:3011" srsDimension="2">
              <gml:exterior>
                <gml:LinearRing gml:id="ID_217e2b33-fa55-4f7d-83e2-8d87a24a18ce">
                  <gml:posList>6626345.31 138840.125 6626297.178 138854.771 6626283.267 138859.004 6626251.934 138868.539 6626253.214 138863.446 6626264.09 138820.143 6626271.23 138791.373 6626247.878 138737.361 6626231.745 138700.045 6626229.983 138695.97 6626229.563 138694.998 6626229.569 138695.003 6626229.589 138695.02 6626231.031 138696.212 6626231.621 138696.7 6626251.677 138713.276 6626256.336 138717.127 6626261.246 138721.185 6626261.245 138721.19 6626271.549 138729.706 6626273.169 138731.045 6626280.305 138736.943 6626291.028 138745.806 6626295.902 138749.833 6626297.889 138751.476 6626300.699 138767.201 6626301.45 138771.402 6626301.97 138774.309 6626305.803 138777.478 6626310.557 138778.938 6626315.071 138778.509 6626315.507 138778.467 6626319.901 138776.138 6626321.486 138774.222 6626323.069 138772.305 6626324.529 138767.551 6626324.059 138762.601 6626323.346 138761.256 6626322.25 138759.189 6626321.73 138758.207 6626317.896 138755.039 6626317.528 138754.735 6626315.12 138752.744 6626314.116 138751.914 6626297.584 138738.25 6626293.991 138735.281 6626293.766 138735.095 6626292.868 138734.353 6626279.323 138723.158 6626274.912 138719.512 6626267.616 138713.482 6626267.617 138713.477 6626259.472 138706.745 6626253.919 138702.155 6626240.574 138691.125 6626236.362 138685.516 6626233.413 138678.697 6626231.496 138674.262 6626219.807 138647.227 6626219.796 138647.201 6626219.057 138645.492 6626218.814 138644.931 6626229.802 138640.519 6626230.788 138640.062 6626230.794 138640.058 6626232.34 138639.019 6626232.346 138639.014 6626232.349 138639.012 6626234.536 138636.853 6626234.539 138636.849 6626234.542 138636.845 6626236.173 138634.241 6626236.176 138634.236 6626236.178 138634.231 6626237.164 138631.323 6626237.166 138631.317 6626237.167 138631.311 6626237.458 138628.253 6626237.458 138628.248 6626237.458 138628.244 6626237.457 138628.241 6626237.123 138625.557 6626237.122 138625.552 6626237.121 138625.547 6626236.247 138622.984 6626236.246 138622.981 6626236.316 138622.904 6626236.722 138622.45 6626239.729 138619.094 6626239.736 138619.085 6626241.165 138620.271 6626244.75 138623.247 6626253.823 138630.745 6626279.083 138651.619 6626289.188 138659.97 6626304.187 138672.365 6626352.933 138712.647 6626357.558 138716.469 6626396.972 138749.041 6626395.433 138758.291 6626385.271 138819.395 6626383.81 138828.182 6626383.666 138828.227 6626345.31 138840.125</gml:posList>
                </gml:LinearRing>
              </gml:exterior>
            </gml:Polygon>
          </gml:surfaceMember>
          <gml:surfaceMember>
            <gml:Polygon gml:id="ID_3d95151b-663f-496b-8721-f7c2cc6103be" srsName="EPSG:3011" srsDimension="2">
              <gml:exterior>
                <gml:LinearRing gml:id="ID_9d498b4d-fb80-4ed6-9e2e-8622be3ab4c2">
                  <gml:posList>6626400.899 138403.165 6626393.573 138407.732 6626392.879 138408.165 6626388.206 138411.87 6626386.636 138413.114 6626366.919 138428.484 6626356.661 138436.733 6626351.699 138440.726 6626351.697 138440.728 6626350.474 138441.713 6626350.015 138442.109 6626339.558 138451.138 6626332.155 138457.501 6626331.99 138457.643 6626331.683 138457.936 6626329.744 138459.791 6626329.675 138459.858 6626327.941 138461.517 6626326.062 138463.315 6626325.25 138464.092 6626323.502 138465.764 6626322.332 138467.098 6626319.309 138470.546 6626319.179 138470.44 6626319.122 138470.378 6626314.462 138465.278 6626311.996 138462.578 6626312.479 138462.136 6626312.628 138461.999 6626313.239 138461.44 6626319.281 138455.909 6626317.33 138453.778 6626309.931 138445.696 6626309.857 138438.21 6626309.282 138379.999 6626309.249 138376.624 6626309.162 138367.849 6626331.47 138362.444 6626331.895 138362.34 6626345.975 138358.929 6626393.58 138347.395 6626401.502 138349.043 6626401.618 138349.067 6626401.328 138352.044 6626400.855 138356.907 6626400.713 138358.368 6626400.72 138359.502 6626400.776 138368.82 6626400.777 138369.102 6626400.808 138369.475 6626401.654 138379.603 6626402.675 138387.653 6626402.957 138389.871 6626404.022 138396.34 6626404.325 138397.98 6626404.894 138401.049 6626400.899 138403.165</gml:posList>
                </gml:LinearRing>
              </gml:exterior>
            </gml:Polygon>
          </gml:surfaceMember>
          <gml:surfaceMember>
            <gml:Polygon gml:id="ID_293aa9fd-fcf2-4027-aef8-8d339d33313e" srsName="EPSG:3011" srsDimension="2">
              <gml:exterior>
                <gml:LinearRing gml:id="ID_c369aafe-16ac-4ee4-b44d-8f9c7e868941">
                  <gml:posList>6626341.946 138479.596 6626335.821 138472.779 6626337.318 138471.228 6626344.598 138464.623 6626352.166 138458.087 6626359.667 138451.643 6626359.673 138451.638 6626361.135 138450.462 6626367.463 138445.369 6626375.206 138439.141 6626375.22 138439.13 6626383.106 138432.983 6626390.993 138426.836 6626394.99 138423.719 6626398.88 138420.688 6626402.72 138417.937 6626406.933 138415.312 6626415.553 138411.431 6626418.003 138410.539 6626418.96 138412.754 6626429.619 138437.406 6626428.572 138439.789 6626427.384 138442.496 6626397.137 138466.05 6626378.235 138481.321 6626363.871 138493.851 6626354.588 138493.667 6626341.946 138479.596</gml:posList>
                </gml:LinearRing>
              </gml:exterior>
            </gml:Polygon>
          </gml:surfaceMember>
          <gml:surfaceMember>
            <gml:Polygon gml:id="ID_7be2aaa2-b75f-4b5d-98ba-003d42575127" srsName="EPSG:3011" srsDimension="2">
              <gml:exterior>
                <gml:LinearRing gml:id="ID_7a48aa4e-f1ea-405c-adb5-d834425d0303">
                  <gml:posList>6626315.823 138550.34 6626312.894 138542.716 6626353.148 138526.44 6626414.41 138553.931 6626429.15 138599.446 6626432.205 138636.009 6626432.24 138636.426 6626432.621 138640.991 6626433.637 138653.145 6626431.874 138652.757 6626431.44 138652.662 6626430.281 138652.283 6626429.179 138651.922 6626426.859 138651.162 6626422.65 138649.501 6626422.376 138649.392 6626418.946 138647.871 6626418.774 138647.777 6626414.41 138645.397 6626413.775 138645.05 6626413.318 138644.756 6626412.477 138644.213 6626405.546 138639.745 6626397.296 138634.174 6626390.93 138629.762 6626389.103 138628.495 6626386.043 138626.312 6626383.239 138624.311 6626381.667 138623.19 6626381.098 138622.783 6626378.136 138620.417 6626373.285 138616.542 6626365.635 138610.271 6626364.609 138609.389 6626362.298 138607.401 6626358.053 138603.751 6626350.749 138597.242 6626343.649 138590.207 6626340.587 138586.938 6626336.963 138583.066 6626330.809 138575.463 6626325.219 138567.436 6626323.731 138564.961 6626322.521 138562.95 6626320.542 138559.659 6626320.409 138559.439 6626320.16 138559.024 6626320.024 138558.752 6626319.953 138558.61 6626315.823 138550.34</gml:posList>
                </gml:LinearRing>
              </gml:exterior>
            </gml:Polygon>
          </gml:surfaceMember>
          <gml:surfaceMember>
            <gml:Polygon gml:id="ID_000ad8bd-efe3-4402-962d-e4b8202d0bc1" srsName="EPSG:3011" srsDimension="2">
              <gml:exterior>
                <gml:LinearRing gml:id="ID_c2d09f62-7e3a-4a65-8692-65f1a748226a">
                  <gml:posList>6626422.88 138706.062 6626278.693 138586.435 6626278.347 138586.147 6626278.108 138585.949 6626265.7 138575.633 6626264.43 138574.577 6626264.407 138574.558 6626264.431 138574.114 6626265.326 138557.448 6626268.312 138501.866 6626271.659 138490.299 6626272.091 138488.808 6626272.201 138488.427 6626274.955 138489.162 6626279.786 138490.45 6626284.617 138491.739 6626287.015 138492.421 6626289.292 138493.068 6626293.851 138494.626 6626298.314 138496.444 6626302.708 138498.528 6626304.382 138499.384 6626304.781 138499.588 6626304.083 138501.428 6626301.873 138507.259 6626300.937 138510.577 6626299.438 138516.171 6626298.644 138527.725 6626299.742 138536.49 6626301.322 138543.342 6626302.577 138546.74 6626304.245 138551.257 6626305.573 138554.856 6626310.456 138564.47 6626315.876 138573.455 6626321.924 138582.139 6626328.598 138590.355 6626333.384 138595.467 6626335.168 138597.274 6626335.895 138598.009 6626343.603 138605.649 6626345.001 138607.035 6626346.598 138608.408 6626346.609 138608.418 6626354.672 138615.352 6626357.555 138617.83 6626358.463 138618.612 6626366.415 138625.134 6626374.225 138631.379 6626382.718 138637.453 6626386.517 138640.157 6626386.956 138640.47 6626391.102 138643.264 6626399.338 138648.938 6626406.24 138653.411 6626406.717 138653.72 6626413.003 138657.337 6626419.206 138660.003 6626422.677 138661.495 6626423.892 138662.017 6626429.526 138663.536 6626431.129 138663.968 6626434.62 138664.909 6626438.183 138707.551 6626438.222 138708.011 6626438.183 138708.014 6626438.163 138708.015 6626422.88 138706.062</gml:posList>
                </gml:LinearRing>
              </gml:exterior>
            </gml:Polygon>
          </gml:surfaceMember>
          <gml:surfaceMember>
            <gml:Polygon gml:id="ID_c6eff8a5-0272-471e-8987-6abde4bca868" srsName="EPSG:3011" srsDimension="2">
              <gml:exterior>
                <gml:LinearRing gml:id="ID_963eae18-64ae-493c-9ae5-dadf7669fe78">
                  <gml:posList>6626488.121 138516.247 6626488.045 138519.174 6626488.135 138520.186 6626488.181 138520.698 6626488.962 138529.473 6626489.319 138531.272 6626490.44 138536.918 6626490.882 138539.144 6626473.194 138539.393 6626420.176 138516.111 6626416.068 138505.571 6626443.898 138442.196 6626449.821 138428.708 6626479.565 138415.853 6626479.765 138416.089 6626481.835 138418.532 6626484.484 138422.403 6626484.917 138423.199 6626486.658 138426.406 6626486.723 138426.524 6626487.078 138427.375 6626488.294 138430.293 6626488.528 138430.853 6626489.577 138434.337 6626489.757 138434.935 6626489.881 138435.345 6626490.876 138439.816 6626490.912 138439.974 6626490.938 138440.098 6626491.054 138440.83 6626491.575 138444.152 6626491.935 138446.44 6626492.451 138449.724 6626492.645 138452.433 6626492.754 138453.957 6626493.148 138459.443 6626493.026 138469.187 6626492.089 138478.927 6626491.108 138486.701 6626490.836 138488.848 6626490.326 138492.895 6626489.584 138498.769 6626488.918 138504.047 6626488.811 138504.892 6626488.312 138508.839 6626488.186 138513.742 6626488.125 138516.025 6626488.121 138516.247</gml:posList>
                </gml:LinearRing>
              </gml:exterior>
            </gml:Polygon>
          </gml:surfaceMember>
          <gml:surfaceMember>
            <gml:Polygon gml:id="ID_adff366f-a6a6-4d5c-b980-29812bf9e546" srsName="EPSG:3011" srsDimension="2">
              <gml:exterior>
                <gml:LinearRing gml:id="ID_d5f13010-ee9f-4dfc-9e93-0aaf5db6a068">
                  <gml:posList>6626448.664 138652.845 6626444.917 138607.997 6626450.233 138602.716 6626458.029 138590.762 6626462.343 138576.552 6626462.784 138555.824 6626495.576 138554.022 6626495.581 138554.021 6626497.123 138558.835 6626498.417 138563.044 6626498.471 138563.221 6626498.556 138563.495 6626498.904 138564.983 6626498.912 138565.014 6626499.644 138568.133 6626500.36 138572.842 6626500.705 138577.593 6626500.681 138581.813 6626500.677 138582.356 6626500.632 138582.896 6626500.407 138585.554 6626500.397 138585.673 6626500.276 138587.103 6626499.504 138591.803 6626499.501 138591.817 6626499.462 138591.982 6626498.469 138596.111 6626498.429 138596.279 6626498.381 138596.477 6626498.338 138596.62 6626498.337 138596.623 6626498.31 138596.713 6626497.23 138600.252 6626497.112 138600.641 6626496.976 138601.088 6626496.693 138601.848 6626496.552 138602.229 6626495.566 138604.884 6626495.445 138605.209 6626495.297 138605.606 6626494.578 138607.236 6626494.576 138607.243 6626494.574 138607.248 6626494.413 138607.612 6626493.352 138610.017 6626491.148 138614.303 6626488.691 138618.451 6626485.992 138622.444 6626483.041 138626.419 6626480.123 138630.021 6626476.631 138633.26 6626472.909 138636.599 6626465.507 138643.131 6626457.726 138648.87 6626454.184 138650.819 6626453.976 138650.934 6626453.74 138651.064 6626453.566 138651.129 6626453.479 138651.162 6626449.467 138652.669 6626448.664 138652.845</gml:posList>
                </gml:LinearRing>
              </gml:exterior>
            </gml:Polygon>
          </gml:surfaceMember>
          <gml:surfaceMember>
            <gml:Polygon gml:id="ID_effc8880-7ab5-4fc7-b3ee-01c9fcf40be5" srsName="EPSG:3011" srsDimension="2">
              <gml:exterior>
                <gml:LinearRing gml:id="ID_633b2ed3-3b67-402f-8f07-2cde83465a04">
                  <gml:posList>6626412.863 138368.567 6626412.749 138363.704 6626412.838 138358.84 6626413.184 138354.097 6626413.914 138349.425 6626415.03 138344.829 6626416.523 138340.342 6626418.382 138335.994 6626420.592 138331.718 6626423.028 138327.539 6626425.67 138323.486 6626428.51 138319.57 6626431.56 138315.752 6626434.729 138311.951 6626437.958 138308.2 6626441.244 138304.499 6626444.588 138300.851 6626447.989 138297.255 6626451.445 138293.712 6626454.956 138290.224 6626458.521 138286.791 6626462.128 138283.427 6626465.782 138280.284 6626469.61 138277.356 6626473.583 138274.629 6626477.711 138272.142 6626481.1 138270.304 6626486.276 138267.973 6626490.747 138266.432 6626495.332 138265.277 6626500.087 138264.404 6626504.896 138263.756 6626509.745 138263.323 6626513.097 138263.118 6626514.67 138263.022 6626519.613 138262.82 6626524.03 138262.727 6626524.524 138262.717 6626524.836 138264.205 6626525.102 138265.468 6626544.009 138355.351 6626528.082 138366.351 6626521.834 138370.667 6626488.454 138393.721 6626478.366 138400.688 6626474.053 138398.4 6626468.921 138396.878 6626467.049 138396.323 6626464.741 138395.639 6626461.532 138395.278 6626459.584 138395.058 6626454.062 138394.437 6626443.263 138394.419 6626439.94 138394.737 6626433.702 138395.333 6626432.568 138395.442 6626431.719 138395.602 6626425.793 138396.717 6626423.366 138397.173 6626422.786 138397.36 6626416.962 138399.232 6626416.776 138398.358 6626415.644 138393.004 6626414.216 138383.238 6626413.649 138378.336 6626413.18 138373.423 6626412.863 138368.567</gml:posList>
                </gml:LinearRing>
              </gml:exterior>
            </gml:Polygon>
          </gml:surfaceMember>
          <gml:surfaceMember>
            <gml:Polygon gml:id="ID_29c31c87-63de-49c0-ad25-748aa3798b33" srsName="EPSG:3011" srsDimension="2">
              <gml:exterior>
                <gml:LinearRing gml:id="ID_2854bbc7-9d14-4039-9fbf-6e3354e7f855">
                  <gml:posList>6626523.892 138657.306 6626504.645 138677.893 6626500.59 138680.949 6626482.163 138694.836 6626464.325 138704.534 6626453.186 138706.965 6626449.636 138664.48 6626449.598 138664.026 6626449.579 138663.988 6626451.712 138663.53 6626452.62 138663.336 6626454.744 138662.529 6626457.067 138661.646 6626460.023 138660.523 6626463.161 138658.461 6626466.335 138656.377 6626468.311 138655.079 6626470.152 138653.559 6626474.191 138650.226 6626480.254 138644.787 6626487.067 138638.676 6626489.751 138635.868 6626490.032 138635.574 6626491.692 138633.446 6626491.976 138633.081 6626497.714 138624.871 6626498.056 138624.382 6626499.079 138622.592 6626501.012 138619.21 6626503.499 138614.858 6626505.697 138609.211 6626506.481 138607.197 6626507.478 138604.636 6626507.998 138602.822 6626508.994 138599.352 6626509.746 138596.732 6626509.916 138595.9 6626510.07 138595.145 6626510.869 138591.243 6626510.98 138590.262 6626511.529 138585.433 6626511.815 138580.04 6626511.628 138574.417 6626510.977 138568.813 6626510.451 138566.081 6626510.266 138565.123 6626509.914 138563.293 6626509.794 138562.858 6626509.166 138560.575 6626509.078 138560.288 6626507.599 138555.481 6626507.092 138553.899 6626507.036 138553.722 6626507.104 138553.718 6626521.955 138552.894 6626528.986 138552.502 6626546.113 138551.547 6626548.525 138558.882 6626552.817 138571.933 6626552.859 138572.061 6626552.817 138572.395 6626552.055 138578.416 6626548.487 138606.629 6626538.748 138633.262 6626529.451 138648.309 6626523.892 138657.306</gml:posList>
                </gml:LinearRing>
              </gml:exterior>
            </gml:Polygon>
          </gml:surfaceMember>
          <gml:surfaceMember>
            <gml:Polygon gml:id="ID_f4a0b3b0-1a34-4fe4-b151-c1c4b31a2dbb" srsName="EPSG:3011" srsDimension="2">
              <gml:exterior>
                <gml:LinearRing gml:id="ID_56481d43-22dc-44fd-9ab2-c5c7b0f1d5fb">
                  <gml:posList>6626528.913 138537.483 6626502.509 138538.955 6626502.422 138538.96 6626502.19 138538.2 6626501.988 138537.534 6626501.775 138536.834 6626501.617 138536.141 6626500.76 138532.388 6626499.989 138527.892 6626499.466 138523.361 6626499.191 138518.809 6626499.175 138515.845 6626499.167 138514.386 6626499.167 138514.248 6626499.392 138509.692 6626499.799 138505.796 6626499.829 138505.443 6626500.508 138499.706 6626500.584 138499.063 6626501.232 138494.331 6626501.75 138490.226 6626503.002 138480.305 6626503.53 138476.353 6626503.717 138474.763 6626504.188 138467.123 6626504.234 138461.796 6626504.076 138456.452 6626503.975 138455.045 6626503.694 138451.13 6626503.089 138445.828 6626502.261 138440.556 6626501.234 138435.333 6626500.455 138432.161 6626502.883 138431.649 6626528.373 138426.273 6626539.699 138423.884 6626543.288 138423.127 6626549.482 138421.821 6626555.673 138420.515 6626555.756 138420.908 6626556.433 138424.126 6626571.838 138497.364 6626571.862 138497.477 6626572.748 138501.686 6626573.34 138504.501 6626573.769 138506.543 6626573.862 138506.984 6626573.879 138507.066 6626574.054 138507.89 6626575.496 138514.709 6626575.907 138516.653 6626576.028 138517.226 6626579.188 138532.17 6626579.145 138532.179 6626577.846 138532.45 6626575.231 138532.996 6626573.734 138533.309 6626571.357 138533.805 6626563.713 138535.402 6626562.797 138535.593 6626560.676 138535.712 6626553.865 138536.092 6626528.913 138537.483</gml:posList>
                </gml:LinearRing>
              </gml:exterior>
            </gml:Polygon>
          </gml:surfaceMember>
        </gml:MultiSurface>
      </lmg:Multiyta>
      <planbestammelsereferens>4e1d0f22-39cd-4746-ac1b-5aa788ae3668</planbestammelsereferens>
    </Lage>
    <Indelning>
      <tema>Motiv till detaljplanens regleringar</tema>
      <grupp>Motiv till reglering</grupp>
    </Indelning>
  </Omfattning>
  <Omfattning>
    <identitet>mo_motivtillreglering37</identitet>
    <Lage>
      <lmg:Yta>
        <lmg:absolutLagesosakerhetPlan>0</lmg:absolutLagesosakerhetPlan>
        <lmg:absolutLagesosakerhetHojd>0</lmg:absolutLagesosakerhetHojd>
        <lmg:hojdsystem>RH 2000</lmg:hojdsystem>
        <gml:Polygon gml:id="ID_4e62cb16-5d79-4b77-8c49-85b2c8391004" srsName="EPSG:3011" srsDimension="2">
          <gml:exterior>
            <gml:LinearRing gml:id="ID_81d7e74c-ac2f-4dbf-a8d7-8319d01caf9b">
              <gml:posList>6626225.252 138615.283 6626219.422 138616.113 6626214.932 138618.968 6626211.113 138626.003 6626210.02 138637.382 6626203.681 138639.981 6626202.276 138637.855 6626207.792 138635.593 6626208.717 138625.238 6626211.221 138619.482 6626218.526 138613.766 6626225.101 138612.787 6626147.031 138548.013 6626140.076 138543.822 6626134.262 138535.064 6626149.644 138544.334 6626231.651 138612.375 6626228.45 138615.948 6626225.252 138615.283</gml:posList>
            </gml:LinearRing>
          </gml:exterior>
        </gml:Polygon>
      </lmg:Yta>
      <planbestammelsereferens>4d3bb7aa-5c10-4344-9127-66298a4d2be9</planbestammelsereferens>
    </Lage>
    <Lage>
      <lmg:Yta>
        <lmg:absolutLagesosakerhetPlan>0</lmg:absolutLagesosakerhetPlan>
        <lmg:absolutLagesosakerhetHojd>0</lmg:absolutLagesosakerhetHojd>
        <lmg:hojdsystem>RH 2000</lmg:hojdsystem>
        <gml:Polygon gml:id="ID_3bf27a16-e37f-4615-86cc-909db529deec" srsName="EPSG:3011" srsDimension="2">
          <gml:exterior>
            <gml:LinearRing gml:id="ID_87fc3507-3a5b-4fc4-a67b-28371b0d31b4">
              <gml:posList>6626350.066 138716.116 6626258.79 138640.686 6626249.08 138632.663 6626244.932 138629.235 6626244.124 138628.567 6626241.743 138626.599 6626240.318 138625.422 6626239.485 138624.733 6626236.722 138622.45 6626239.729 138619.094 6626239.736 138619.085 6626241.165 138620.271 6626244.75 138623.247 6626253.823 138630.745 6626279.083 138651.619 6626289.188 138659.97 6626304.187 138672.365 6626352.933 138712.647 6626350.066 138716.116</gml:posList>
            </gml:LinearRing>
          </gml:exterior>
        </gml:Polygon>
      </lmg:Yta>
      <planbestammelsereferens>49e2df3b-996d-467e-9b09-c1fac6e3bc52</planbestammelsereferens>
    </Lage>
    <Lage>
      <lmg:Yta>
        <lmg:absolutLagesosakerhetPlan>0</lmg:absolutLagesosakerhetPlan>
        <lmg:absolutLagesosakerhetHojd>0</lmg:absolutLagesosakerhetHojd>
        <lmg:hojdsystem>RH 2000</lmg:hojdsystem>
        <gml:Polygon gml:id="ID_40cb383a-4801-4f36-ae84-a9ef0bb4b06c" srsName="EPSG:3011" srsDimension="2">
          <gml:exterior>
            <gml:LinearRing gml:id="ID_0b386313-e3f7-450d-b4c7-20bd9cfd798f">
              <gml:posList>6626345.31 138840.125 6626297.178 138854.771 6626283.267 138859.004 6626251.934 138868.539 6626253.214 138863.446 6626281.249 138854.915 6626304.118 138847.956 6626343.988 138835.823 6626379.826 138824.706 6626388.228 138774.185 6626389.603 138765.917 6626389.981 138763.645 6626391.349 138755.421 6626392.107 138750.859 6626389.701 138748.87 6626354.691 138719.938 6626357.558 138716.469 6626396.972 138749.041 6626395.433 138758.291 6626385.271 138819.395 6626383.81 138828.182 6626383.666 138828.227 6626345.31 138840.125</gml:posList>
            </gml:LinearRing>
          </gml:exterior>
        </gml:Polygon>
      </lmg:Yta>
      <planbestammelsereferens>6f936cab-9e85-4ce2-8ea7-440f11b54bf6</planbestammelsereferens>
    </Lage>
    <Indelning>
      <tema>Motiv till detaljplanens regleringar</tema>
      <grupp>Motiv till reglering</grupp>
    </Indelning>
  </Omfattning>
  <Omfattning>
    <identitet>mo_motivtillreglering38</identitet>
    <Lage>
      <lmg:Yta>
        <lmg:absolutLagesosakerhetPlan>0</lmg:absolutLagesosakerhetPlan>
        <lmg:absolutLagesosakerhetHojd>0</lmg:absolutLagesosakerhetHojd>
        <lmg:hojdsystem>RH 2000</lmg:hojdsystem>
        <gml:Polygon gml:id="ID_c3b4e97b-7114-4943-b2f5-5cf78f559a5b" srsName="EPSG:3011" srsDimension="2">
          <gml:exterior>
            <gml:LinearRing gml:id="ID_6ac422b1-3738-4070-95bb-08849490eae5">
              <gml:posList>6626321.73 138758.207 6626317.896 138755.039 6626319.489 138753.112 6626324.657 138746.859 6626347.518 138719.199 6626350.066 138716.116 6626352.933 138712.647 6626357.558 138716.469 6626354.691 138719.938 6626352.143 138723.021 6626323.974 138757.103 6626322.25 138759.189 6626321.73 138758.207</gml:posList>
            </gml:LinearRing>
          </gml:exterior>
        </gml:Polygon>
      </lmg:Yta>
      <planbestammelsereferens>da369118-ce09-428c-a4b2-49913b87687a</planbestammelsereferens>
    </Lage>
    <Indelning>
      <tema>Motiv till detaljplanens regleringar</tema>
      <grupp>Motiv till reglering</grupp>
    </Indelning>
  </Omfattning>
  <Omfattning>
    <identitet>mo_motivtillreglering39</identitet>
    <Lage>
      <lmg:Yta>
        <lmg:absolutLagesosakerhetPlan>0</lmg:absolutLagesosakerhetPlan>
        <lmg:absolutLagesosakerhetHojd>0</lmg:absolutLagesosakerhetHojd>
        <lmg:hojdsystem>RH 2000</lmg:hojdsystem>
        <gml:Polygon gml:id="ID_083c2e99-14e7-4f57-9d41-43f0c6e5f8fb" srsName="EPSG:3011" srsDimension="2">
          <gml:exterior>
            <gml:LinearRing gml:id="ID_43cb066a-3c6a-4a3b-be04-27c21eba3193">
              <gml:posList>6626038.144 138534.662 6625963.743 138478.68 6625983.17 138440.701 6625983.348 138440.815 6626002.593 138453.171 6626067.083 138494.578 6626134.262 138535.064 6626140.076 138543.822 6626145.425 138551.878 6626148.748 138556.884 6626191.877 138622.125 6626193.371 138624.384 6626195.846 138628.129 6626197.962 138631.329 6626199.69 138633.943 6626202.135 138637.641 6626202.276 138637.855 6626203.614 138639.879 6626203.681 138639.981 6626198.399 138642.146 6626196.387 138642.97 6626179.979 138649.698 6626161.194 138657.316 6626159.787 138655.188 6626119.752 138594.623 6626114.098 138586.069 6626039.944 138536.017 6626038.144 138534.662</gml:posList>
            </gml:LinearRing>
          </gml:exterior>
        </gml:Polygon>
      </lmg:Yta>
      <planbestammelsereferens>9e86bdf0-943f-43d5-afd2-9e17f351b371</planbestammelsereferens>
    </Lage>
    <Indelning>
      <tema>Motiv till detaljplanens regleringar</tema>
      <grupp>Motiv till reglering</grupp>
    </Indelning>
  </Omfattning>
  <Omfattning>
    <identitet>mo_motivtillreglering40</identitet>
    <Lage>
      <lmg:Yta>
        <lmg:absolutLagesosakerhetPlan>0</lmg:absolutLagesosakerhetPlan>
        <lmg:absolutLagesosakerhetHojd>0</lmg:absolutLagesosakerhetHojd>
        <lmg:hojdsystem>RH 2000</lmg:hojdsystem>
        <gml:Polygon gml:id="ID_f395e0fc-1985-4d08-b09a-fb1c53698e5e" srsName="EPSG:3011" srsDimension="2">
          <gml:exterior>
            <gml:LinearRing gml:id="ID_4e1fb5b6-36a8-40a9-b703-99962950d751">
              <gml:posList>6626038.144 138534.662 6625963.743 138478.68 6625983.17 138440.701 6625983.348 138440.815 6626002.593 138453.171 6626067.083 138494.578 6626134.262 138535.064 6626140.076 138543.822 6626145.425 138551.878 6626148.748 138556.884 6626191.877 138622.125 6626193.371 138624.384 6626195.846 138628.129 6626197.962 138631.329 6626199.69 138633.943 6626202.135 138637.641 6626202.276 138637.855 6626203.614 138639.879 6626203.681 138639.981 6626198.399 138642.146 6626196.387 138642.97 6626179.979 138649.698 6626161.194 138657.316 6626159.787 138655.188 6626119.752 138594.623 6626114.098 138586.069 6626039.944 138536.017 6626038.144 138534.662</gml:posList>
            </gml:LinearRing>
          </gml:exterior>
        </gml:Polygon>
      </lmg:Yta>
      <planbestammelsereferens>e8311ed2-914d-45a3-af77-d5491e2bce68</planbestammelsereferens>
    </Lage>
    <Indelning>
      <tema>Motiv till detaljplanens regleringar</tema>
      <grupp>Motiv till reglering</grupp>
    </Indelning>
  </Omfattning>
  <Omfattning>
    <identitet>mo_motivtillreglering41</identitet>
    <Lage>
      <lmg:Yta>
        <lmg:absolutLagesosakerhetPlan>0</lmg:absolutLagesosakerhetPlan>
        <lmg:absolutLagesosakerhetHojd>0</lmg:absolutLagesosakerhetHojd>
        <lmg:hojdsystem>RH 2000</lmg:hojdsystem>
        <gml:Polygon gml:id="ID_f552e7da-6460-44c7-a310-cb6c919196e7" srsName="EPSG:3011" srsDimension="2">
          <gml:exterior>
            <gml:LinearRing gml:id="ID_61651107-202e-41e4-b63a-dbade2ec4d47">
              <gml:posList>6626159.787 138655.188 6626160.254 138654.999 6626179.035 138647.383 6626202.276 138637.855 6626203.614 138639.879 6626203.681 138639.981 6626198.399 138642.146 6626196.387 138642.97 6626179.979 138649.698 6626161.194 138657.316 6626159.787 138655.188</gml:posList>
            </gml:LinearRing>
          </gml:exterior>
        </gml:Polygon>
      </lmg:Yta>
      <planbestammelsereferens>24f53e8f-48b0-45d5-be16-c76cee2eb265</planbestammelsereferens>
    </Lage>
    <Indelning>
      <tema>Motiv till detaljplanens regleringar</tema>
      <grupp>Motiv till reglering</grupp>
    </Indelning>
  </Omfattning>
  <Omfattning>
    <identitet>mo_motivtillreglering42</identitet>
    <Lage>
      <lmg:Yta>
        <lmg:absolutLagesosakerhetPlan>0</lmg:absolutLagesosakerhetPlan>
        <lmg:absolutLagesosakerhetHojd>0</lmg:absolutLagesosakerhetHojd>
        <lmg:hojdsystem>RH 2000</lmg:hojdsystem>
        <gml:Polygon gml:id="ID_86d66d3c-6325-4b9a-a3ce-7f41ee5fed32" srsName="EPSG:3011" srsDimension="2">
          <gml:exterior>
            <gml:LinearRing gml:id="ID_9b9236b6-8df2-418e-ac5e-aa308c2432f6">
              <gml:posList>6626038.144 138534.662 6625963.743 138478.68 6625983.17 138440.701 6625983.348 138440.815 6626002.593 138453.171 6626067.083 138494.578 6626134.262 138535.064 6626140.076 138543.822 6626145.425 138551.878 6626148.748 138556.884 6626191.877 138622.125 6626193.371 138624.384 6626195.846 138628.129 6626197.962 138631.329 6626199.69 138633.943 6626202.135 138637.641 6626202.276 138637.855 6626203.614 138639.879 6626203.681 138639.981 6626198.399 138642.146 6626196.387 138642.97 6626179.979 138649.698 6626161.194 138657.316 6626159.787 138655.188 6626119.752 138594.623 6626114.098 138586.069 6626039.944 138536.017 6626038.144 138534.662</gml:posList>
            </gml:LinearRing>
          </gml:exterior>
        </gml:Polygon>
      </lmg:Yta>
      <planbestammelsereferens>27de28ff-140b-441b-83ec-651e2b0bf5f8</planbestammelsereferens>
    </Lage>
    <Indelning>
      <tema>Motiv till detaljplanens regleringar</tema>
      <grupp>Motiv till reglering</grupp>
    </Indelning>
  </Omfattning>
  <Omfattning>
    <identitet>mo_motivtillreglering43</identitet>
    <Lage>
      <lmg:Yta>
        <lmg:absolutLagesosakerhetPlan>0</lmg:absolutLagesosakerhetPlan>
        <lmg:absolutLagesosakerhetHojd>0</lmg:absolutLagesosakerhetHojd>
        <lmg:hojdsystem>RH 2000</lmg:hojdsystem>
        <gml:Polygon gml:id="ID_dd468ad3-6ef8-4d62-8077-cf1af0f08b2e" srsName="EPSG:3011" srsDimension="2">
          <gml:exterior>
            <gml:LinearRing gml:id="ID_d700d34f-21f1-4ffa-9cc9-33881fda2723">
              <gml:posList>6626072.22 138530.025 6626081.144 138530.025 6626081.144 138537.28 6626072.22 138537.28 6626072.22 138530.025</gml:posList>
            </gml:LinearRing>
          </gml:exterior>
        </gml:Polygon>
      </lmg:Yta>
      <planbestammelsereferens>4d90c69d-129c-452f-b089-5dbea9eb3168</planbestammelsereferens>
    </Lage>
    <Indelning>
      <tema>Motiv till detaljplanens regleringar</tema>
      <grupp>Motiv till reglering</grupp>
    </Indelning>
  </Omfattning>
</Planbeskrivning>
</file>

<file path=customXml/itemProps1.xml><?xml version="1.0" encoding="utf-8"?>
<ds:datastoreItem xmlns:ds="http://schemas.openxmlformats.org/officeDocument/2006/customXml" ds:itemID="{eab7cd8a-5c38-4424-8422-9874325983d4}">
  <ds:schemaRefs>
    <ds:schemaRef ds:uri="http://schemas.microsoft.com/vsto/samples"/>
  </ds:schemaRefs>
</ds:datastoreItem>
</file>

<file path=customXml/itemProps2.xml><?xml version="1.0" encoding="utf-8"?>
<ds:datastoreItem xmlns:ds="http://schemas.openxmlformats.org/officeDocument/2006/customXml" ds:itemID="{89c8aed8-8855-4547-b821-53e8b14ccb5c}">
  <ds:schemaRefs>
    <ds:schemaRef ds:uri="http://schemas.microsoft.com/vsto/samples"/>
  </ds:schemaRefs>
</ds:datastoreItem>
</file>

<file path=customXml/itemProps3.xml><?xml version="1.0" encoding="utf-8"?>
<ds:datastoreItem xmlns:ds="http://schemas.openxmlformats.org/officeDocument/2006/customXml" ds:itemID="{3dfa25fa-11b8-44b1-ae7d-dc0764968160}">
  <ds:schemaRefs>
    <ds:schemaRef ds:uri="http://schemas.microsoft.com/vsto/samples"/>
  </ds:schemaRefs>
</ds:datastoreItem>
</file>

<file path=customXml/itemProps4.xml><?xml version="1.0" encoding="utf-8"?>
<ds:datastoreItem xmlns:ds="http://schemas.openxmlformats.org/officeDocument/2006/customXml" ds:itemID="{f3b29732-637a-4bf9-963b-2372257cbc99}">
  <ds:schemaRefs>
    <ds:schemaRef ds:uri="http://schemas.microsoft.com/vsto/samples"/>
  </ds:schemaRefs>
</ds:datastoreItem>
</file>

<file path=customXml/itemProps5.xml><?xml version="1.0" encoding="utf-8"?>
<ds:datastoreItem xmlns:ds="http://schemas.openxmlformats.org/officeDocument/2006/customXml" ds:itemID="d1f4b593-8c7b-4140-8123-9ded941eb7c7">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Rapport</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Rebecka Persson</dc:creator>
  <dcterms:created xsi:type="dcterms:W3CDTF">2026-07-08T09:17:00Z</dcterms:created>
  <cp:lastModifiedBy>Andree Dage</cp:lastModifiedBy>
  <cp:lastPrinted>2026-04-10T12:16:00Z</cp:lastPrinted>
  <dcterms:modified xsi:type="dcterms:W3CDTF">2026-07-09T14:49:29Z</dcterms:modified>
  <cp:revision>24</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MediaServiceImageTags">
    <vt:lpwstr/>
  </property>
  <property fmtid="{D5CDD505-2E9C-101B-9397-08002B2CF9AE}" pid="3" name="ContentTypeId">
    <vt:lpwstr>0x010100F62E4CF23633AA46BE771AD5113CB63A</vt:lpwstr>
  </property>
</Properties>
</file>