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emf" ContentType="application/x-msmetafile"/>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tbl>
      <w:tblPr>
        <w:tblStyle w:val="T5"/>
        <w:tblW w:w="9866" w:type="dxa"/>
        <w:tblInd w:w="-680" w:type="dxa"/>
        <w:tblBorders>
          <w:left w:val="single" w:sz="12" w:space="0" w:shadow="0" w:frame="0" w:color="F9B000" w:themeColor="accent1"/>
        </w:tblBorders>
        <w:tblCellMar>
          <w:left w:w="284" w:type="dxa"/>
        </w:tblCellMar>
        <w:tblLook w:val="04A0"/>
        <w:tblCaption w:val="Dokumentinformation"/>
      </w:tblPr>
      <w:tblGrid/>
      <w:tr>
        <w:trPr>
          <w:trHeight w:hRule="exact" w:val="794"/>
          <w:tblHeader/>
        </w:trPr>
        <w:tc>
          <w:tcPr>
            <w:tcW w:w="9866" w:type="dxa"/>
            <w:tcBorders>
              <w:top w:val="single" w:sz="4" w:space="0" w:shadow="0" w:frame="0" w:color="FFFFFF" w:themeColor="background1"/>
              <w:left w:val="single" w:sz="4" w:space="0" w:shadow="0" w:frame="0" w:color="FFFFFF" w:themeColor="background1"/>
              <w:right w:val="single" w:sz="4" w:space="0" w:shadow="0" w:frame="0" w:color="FFFFFF" w:themeColor="background1"/>
            </w:tcBorders>
          </w:tcPr>
          <w:p>
            <w:bookmarkStart w:id="0" w:name="_Hlk199512528"/>
            <w:bookmarkEnd w:id="0"/>
          </w:p>
        </w:tc>
      </w:tr>
      <w:tr>
        <w:trPr>
          <w:trHeight w:hRule="atLeast" w:val="567"/>
          <w:tblHeader/>
        </w:trPr>
        <w:tc>
          <w:tcPr>
            <w:tcW w:w="9866" w:type="dxa"/>
          </w:tcPr>
          <w:p>
            <w:pPr>
              <w:pStyle w:val="P44"/>
            </w:pPr>
            <w:r>
              <w:t>Plan och genomförandebeskrivning</w:t>
            </w:r>
          </w:p>
          <w:p>
            <w:pPr>
              <w:pStyle w:val="P43"/>
            </w:pPr>
            <w:r>
              <w:t>Detaljplan för Hårstorp 1:7 m.fl., Vida Vättern</w:t>
            </w:r>
          </w:p>
        </w:tc>
      </w:tr>
    </w:tbl>
    <w:p>
      <w:r>
        <w:br w:type="page"/>
      </w:r>
    </w:p>
    <w:tbl>
      <w:tblPr>
        <w:tblStyle w:val="T5"/>
        <w:tblpPr w:leftFromText="142" w:rightFromText="142" w:tblpX="1" w:tblpY="1" w:tblpXSpec="left" w:tblpYSpec="bottom"/>
        <w:tblOverlap w:val="never"/>
        <w:tblW w:w="0" w:type="auto"/>
        <w:tblCellMar>
          <w:top w:w="57" w:type="dxa"/>
          <w:left w:w="57" w:type="dxa"/>
          <w:bottom w:w="85" w:type="dxa"/>
          <w:right w:w="57" w:type="dxa"/>
        </w:tblCellMar>
        <w:tblLook w:val="04A0"/>
        <w:tblCaption w:val="Dokumentinformation"/>
      </w:tblPr>
      <w:tblGrid/>
      <w:tr>
        <w:trPr>
          <w:tblHeader/>
        </w:trPr>
        <w:tc>
          <w:tcPr>
            <w:tcW w:w="3288" w:type="dxa"/>
            <w:tcBorders>
              <w:top w:val="single" w:sz="6" w:space="0" w:shadow="0" w:frame="0" w:color="F9B000" w:themeColor="accent1"/>
            </w:tcBorders>
          </w:tcPr>
          <w:p>
            <w:pPr>
              <w:rPr>
                <w:sz w:val="24"/>
                <w:szCs w:val="24"/>
              </w:rPr>
            </w:pPr>
            <w:bookmarkStart w:id="1" w:name="be_ärendeinformation02" w:colFirst="0" w:colLast="1"/>
            <w:r>
              <w:rPr>
                <w:sz w:val="24"/>
                <w:szCs w:val="24"/>
              </w:rPr>
              <w:t>Antagen av:</w:t>
            </w:r>
          </w:p>
        </w:tc>
        <w:tc>
          <w:tcPr>
            <w:tcW w:w="4082" w:type="dxa"/>
            <w:tcBorders>
              <w:top w:val="single" w:sz="6" w:space="0" w:shadow="0" w:frame="0" w:color="F9B000" w:themeColor="accent1"/>
            </w:tcBorders>
          </w:tcPr>
          <w:p>
            <w:pPr>
              <w:rPr>
                <w:sz w:val="24"/>
                <w:szCs w:val="24"/>
              </w:rPr>
            </w:pPr>
            <w:r>
              <w:rPr>
                <w:sz w:val="24"/>
                <w:szCs w:val="24"/>
              </w:rPr>
              <w:t>Samhällsbyggnadsnämnden</w:t>
            </w:r>
          </w:p>
        </w:tc>
      </w:tr>
      <w:tr>
        <w:tc>
          <w:tcPr>
            <w:tcW w:w="3288" w:type="dxa"/>
          </w:tcPr>
          <w:p>
            <w:pPr>
              <w:rPr>
                <w:sz w:val="24"/>
                <w:szCs w:val="24"/>
              </w:rPr>
            </w:pPr>
            <w:r>
              <w:rPr>
                <w:sz w:val="24"/>
                <w:szCs w:val="24"/>
              </w:rPr>
              <w:t>Datum:</w:t>
            </w:r>
          </w:p>
        </w:tc>
        <w:tc>
          <w:tcPr>
            <w:tcW w:w="4082" w:type="dxa"/>
          </w:tcPr>
          <w:p>
            <w:pPr>
              <w:rPr>
                <w:sz w:val="24"/>
                <w:szCs w:val="24"/>
              </w:rPr>
            </w:pPr>
            <w:r>
              <w:rPr>
                <w:sz w:val="24"/>
                <w:szCs w:val="24"/>
              </w:rPr>
              <w:t>2025-12-17 (laga kraft 2026-01-11)</w:t>
            </w:r>
          </w:p>
        </w:tc>
      </w:tr>
      <w:tr>
        <w:tc>
          <w:tcPr>
            <w:tcW w:w="3288" w:type="dxa"/>
          </w:tcPr>
          <w:p>
            <w:pPr>
              <w:rPr>
                <w:sz w:val="24"/>
                <w:szCs w:val="24"/>
              </w:rPr>
            </w:pPr>
            <w:r>
              <w:rPr>
                <w:sz w:val="24"/>
                <w:szCs w:val="24"/>
              </w:rPr>
              <w:t>Diarienummer:</w:t>
            </w:r>
          </w:p>
        </w:tc>
        <w:tc>
          <w:tcPr>
            <w:tcW w:w="4082" w:type="dxa"/>
          </w:tcPr>
          <w:p>
            <w:pPr>
              <w:rPr>
                <w:sz w:val="24"/>
                <w:szCs w:val="24"/>
              </w:rPr>
            </w:pPr>
            <w:r>
              <w:rPr>
                <w:sz w:val="24"/>
                <w:szCs w:val="24"/>
              </w:rPr>
              <w:t>SBN 2020/92</w:t>
            </w:r>
          </w:p>
        </w:tc>
      </w:tr>
      <w:tr>
        <w:tc>
          <w:tcPr>
            <w:tcW w:w="3288" w:type="dxa"/>
          </w:tcPr>
          <w:p>
            <w:pPr>
              <w:rPr>
                <w:sz w:val="24"/>
                <w:szCs w:val="24"/>
              </w:rPr>
            </w:pPr>
            <w:r>
              <w:rPr>
                <w:sz w:val="24"/>
                <w:szCs w:val="24"/>
              </w:rPr>
              <w:t>Dokumentansvarig:</w:t>
            </w:r>
          </w:p>
        </w:tc>
        <w:tc>
          <w:tcPr>
            <w:tcW w:w="4082" w:type="dxa"/>
          </w:tcPr>
          <w:p>
            <w:pPr>
              <w:rPr>
                <w:sz w:val="24"/>
                <w:szCs w:val="24"/>
              </w:rPr>
            </w:pPr>
            <w:r>
              <w:rPr>
                <w:sz w:val="24"/>
                <w:szCs w:val="24"/>
              </w:rPr>
              <w:t>Samhällsbyggnadsnämnden</w:t>
            </w:r>
          </w:p>
        </w:tc>
      </w:tr>
      <w:tr>
        <w:tc>
          <w:tcPr>
            <w:tcW w:w="3288" w:type="dxa"/>
          </w:tcPr>
          <w:p>
            <w:pPr>
              <w:rPr>
                <w:sz w:val="24"/>
                <w:szCs w:val="24"/>
              </w:rPr>
            </w:pPr>
            <w:r>
              <w:rPr>
                <w:sz w:val="24"/>
                <w:szCs w:val="24"/>
              </w:rPr>
              <w:t>Version</w:t>
            </w:r>
          </w:p>
        </w:tc>
        <w:tc>
          <w:tcPr>
            <w:tcW w:w="4082" w:type="dxa"/>
          </w:tcPr>
          <w:p>
            <w:pPr>
              <w:rPr>
                <w:sz w:val="24"/>
                <w:szCs w:val="24"/>
              </w:rPr>
            </w:pPr>
            <w:r>
              <w:rPr>
                <w:sz w:val="24"/>
                <w:szCs w:val="24"/>
              </w:rPr>
              <w:t>Antagandehandling</w:t>
            </w:r>
          </w:p>
        </w:tc>
      </w:tr>
    </w:tbl>
    <w:p>
      <w:bookmarkEnd w:id="1"/>
      <w:r>
        <w:br w:type="page"/>
      </w:r>
    </w:p>
    <w:p>
      <w:pPr>
        <w:pStyle w:val="P14"/>
      </w:pPr>
      <w:r>
        <w:t>Innehåll</w:t>
      </w:r>
    </w:p>
    <w:p>
      <w:pPr>
        <w:pStyle w:val="P20"/>
        <w:rPr>
          <w:rFonts w:asciiTheme="minorHAnsi" w:hAnsiTheme="minorHAnsi" w:cstheme="minorBidi"/>
          <w:b w:val="0"/>
          <w:noProof w:val="1"/>
          <w:lang w:eastAsia="sv-SE"/>
        </w:rPr>
      </w:pPr>
      <w:r>
        <w:fldChar w:fldCharType="begin"/>
      </w:r>
      <w:r>
        <w:instrText xml:space="preserve"> TOC \o "1-3" \h \z \u </w:instrText>
      </w:r>
      <w:r>
        <w:fldChar w:fldCharType="separate"/>
      </w:r>
      <w:hyperlink w:anchor="_Toc214961283">
        <w:r>
          <w:rPr>
            <w:rStyle w:val="C2"/>
            <w:noProof w:val="1"/>
          </w:rPr>
          <w:t>1</w:t>
        </w:r>
        <w:r>
          <w:rPr>
            <w:rFonts w:asciiTheme="minorHAnsi" w:hAnsiTheme="minorHAnsi" w:cstheme="minorBidi"/>
            <w:b w:val="0"/>
            <w:noProof w:val="1"/>
            <w:lang w:eastAsia="sv-SE"/>
          </w:rPr>
          <w:tab/>
        </w:r>
        <w:r>
          <w:rPr>
            <w:rStyle w:val="C2"/>
            <w:noProof w:val="1"/>
          </w:rPr>
          <w:t>Ärendeinformation</w:t>
        </w:r>
        <w:r>
          <w:rPr>
            <w:noProof w:val="1"/>
          </w:rPr>
          <w:tab/>
        </w:r>
        <w:r>
          <w:rPr>
            <w:noProof w:val="1"/>
          </w:rPr>
          <w:fldChar w:fldCharType="begin"/>
        </w:r>
        <w:r>
          <w:rPr>
            <w:noProof w:val="1"/>
          </w:rPr>
          <w:instrText xml:space="preserve"> PAGEREF _Toc214961283 \h </w:instrText>
        </w:r>
        <w:r>
          <w:rPr>
            <w:noProof w:val="1"/>
          </w:rPr>
          <w:fldChar w:fldCharType="separate"/>
        </w:r>
        <w:r>
          <w:rPr>
            <w:noProof w:val="1"/>
          </w:rPr>
          <w:t>5</w:t>
        </w:r>
        <w:r>
          <w:rPr>
            <w:noProof w:val="1"/>
          </w:rPr>
          <w:fldChar w:fldCharType="end"/>
        </w:r>
      </w:hyperlink>
    </w:p>
    <w:p>
      <w:pPr>
        <w:pStyle w:val="P21"/>
        <w:rPr>
          <w:rFonts w:asciiTheme="minorHAnsi" w:hAnsiTheme="minorHAnsi" w:cstheme="minorBidi"/>
          <w:noProof w:val="1"/>
          <w:lang w:eastAsia="sv-SE"/>
        </w:rPr>
      </w:pPr>
      <w:hyperlink w:anchor="_Toc214961284">
        <w:r>
          <w:rPr>
            <w:rStyle w:val="C2"/>
            <w:noProof w:val="1"/>
          </w:rPr>
          <w:t>1.1</w:t>
        </w:r>
        <w:r>
          <w:rPr>
            <w:rFonts w:asciiTheme="minorHAnsi" w:hAnsiTheme="minorHAnsi" w:cstheme="minorBidi"/>
            <w:noProof w:val="1"/>
            <w:lang w:eastAsia="sv-SE"/>
          </w:rPr>
          <w:tab/>
        </w:r>
        <w:r>
          <w:rPr>
            <w:rStyle w:val="C2"/>
            <w:noProof w:val="1"/>
          </w:rPr>
          <w:t>Planprocessen</w:t>
        </w:r>
        <w:r>
          <w:rPr>
            <w:noProof w:val="1"/>
          </w:rPr>
          <w:tab/>
        </w:r>
        <w:r>
          <w:rPr>
            <w:noProof w:val="1"/>
          </w:rPr>
          <w:fldChar w:fldCharType="begin"/>
        </w:r>
        <w:r>
          <w:rPr>
            <w:noProof w:val="1"/>
          </w:rPr>
          <w:instrText xml:space="preserve"> PAGEREF _Toc214961284 \h </w:instrText>
        </w:r>
        <w:r>
          <w:rPr>
            <w:noProof w:val="1"/>
          </w:rPr>
          <w:fldChar w:fldCharType="separate"/>
        </w:r>
        <w:r>
          <w:rPr>
            <w:noProof w:val="1"/>
          </w:rPr>
          <w:t>5</w:t>
        </w:r>
        <w:r>
          <w:rPr>
            <w:noProof w:val="1"/>
          </w:rPr>
          <w:fldChar w:fldCharType="end"/>
        </w:r>
      </w:hyperlink>
    </w:p>
    <w:p>
      <w:pPr>
        <w:pStyle w:val="P22"/>
        <w:rPr>
          <w:rFonts w:asciiTheme="minorHAnsi" w:hAnsiTheme="minorHAnsi" w:cstheme="minorBidi"/>
          <w:noProof w:val="1"/>
          <w:lang w:eastAsia="sv-SE"/>
        </w:rPr>
      </w:pPr>
      <w:hyperlink w:anchor="_Toc214961285">
        <w:r>
          <w:rPr>
            <w:rStyle w:val="C2"/>
            <w:noProof w:val="1"/>
          </w:rPr>
          <w:t>1.1.1</w:t>
        </w:r>
        <w:r>
          <w:rPr>
            <w:rFonts w:asciiTheme="minorHAnsi" w:hAnsiTheme="minorHAnsi" w:cstheme="minorBidi"/>
            <w:noProof w:val="1"/>
            <w:lang w:eastAsia="sv-SE"/>
          </w:rPr>
          <w:tab/>
        </w:r>
        <w:r>
          <w:rPr>
            <w:rStyle w:val="C2"/>
            <w:noProof w:val="1"/>
          </w:rPr>
          <w:t>Vad är en detaljplan</w:t>
        </w:r>
        <w:r>
          <w:rPr>
            <w:noProof w:val="1"/>
          </w:rPr>
          <w:tab/>
        </w:r>
        <w:r>
          <w:rPr>
            <w:noProof w:val="1"/>
          </w:rPr>
          <w:fldChar w:fldCharType="begin"/>
        </w:r>
        <w:r>
          <w:rPr>
            <w:noProof w:val="1"/>
          </w:rPr>
          <w:instrText xml:space="preserve"> PAGEREF _Toc214961285 \h </w:instrText>
        </w:r>
        <w:r>
          <w:rPr>
            <w:noProof w:val="1"/>
          </w:rPr>
          <w:fldChar w:fldCharType="separate"/>
        </w:r>
        <w:r>
          <w:rPr>
            <w:noProof w:val="1"/>
          </w:rPr>
          <w:t>5</w:t>
        </w:r>
        <w:r>
          <w:rPr>
            <w:noProof w:val="1"/>
          </w:rPr>
          <w:fldChar w:fldCharType="end"/>
        </w:r>
      </w:hyperlink>
    </w:p>
    <w:p>
      <w:pPr>
        <w:pStyle w:val="P22"/>
        <w:rPr>
          <w:rFonts w:asciiTheme="minorHAnsi" w:hAnsiTheme="minorHAnsi" w:cstheme="minorBidi"/>
          <w:noProof w:val="1"/>
          <w:lang w:eastAsia="sv-SE"/>
        </w:rPr>
      </w:pPr>
      <w:hyperlink w:anchor="_Toc214961286">
        <w:r>
          <w:rPr>
            <w:rStyle w:val="C2"/>
            <w:noProof w:val="1"/>
          </w:rPr>
          <w:t>1.1.2</w:t>
        </w:r>
        <w:r>
          <w:rPr>
            <w:rFonts w:asciiTheme="minorHAnsi" w:hAnsiTheme="minorHAnsi" w:cstheme="minorBidi"/>
            <w:noProof w:val="1"/>
            <w:lang w:eastAsia="sv-SE"/>
          </w:rPr>
          <w:tab/>
        </w:r>
        <w:r>
          <w:rPr>
            <w:rStyle w:val="C2"/>
            <w:noProof w:val="1"/>
          </w:rPr>
          <w:t>Detaljplanens handlingar</w:t>
        </w:r>
        <w:r>
          <w:rPr>
            <w:noProof w:val="1"/>
          </w:rPr>
          <w:tab/>
        </w:r>
        <w:r>
          <w:rPr>
            <w:noProof w:val="1"/>
          </w:rPr>
          <w:fldChar w:fldCharType="begin"/>
        </w:r>
        <w:r>
          <w:rPr>
            <w:noProof w:val="1"/>
          </w:rPr>
          <w:instrText xml:space="preserve"> PAGEREF _Toc214961286 \h </w:instrText>
        </w:r>
        <w:r>
          <w:rPr>
            <w:noProof w:val="1"/>
          </w:rPr>
          <w:fldChar w:fldCharType="separate"/>
        </w:r>
        <w:r>
          <w:rPr>
            <w:noProof w:val="1"/>
          </w:rPr>
          <w:t>5</w:t>
        </w:r>
        <w:r>
          <w:rPr>
            <w:noProof w:val="1"/>
          </w:rPr>
          <w:fldChar w:fldCharType="end"/>
        </w:r>
      </w:hyperlink>
    </w:p>
    <w:p>
      <w:pPr>
        <w:pStyle w:val="P20"/>
        <w:rPr>
          <w:rFonts w:asciiTheme="minorHAnsi" w:hAnsiTheme="minorHAnsi" w:cstheme="minorBidi"/>
          <w:b w:val="0"/>
          <w:noProof w:val="1"/>
          <w:lang w:eastAsia="sv-SE"/>
        </w:rPr>
      </w:pPr>
      <w:hyperlink w:anchor="_Toc214961287">
        <w:r>
          <w:rPr>
            <w:rStyle w:val="C2"/>
            <w:noProof w:val="1"/>
          </w:rPr>
          <w:t>2</w:t>
        </w:r>
        <w:r>
          <w:rPr>
            <w:rFonts w:asciiTheme="minorHAnsi" w:hAnsiTheme="minorHAnsi" w:cstheme="minorBidi"/>
            <w:b w:val="0"/>
            <w:noProof w:val="1"/>
            <w:lang w:eastAsia="sv-SE"/>
          </w:rPr>
          <w:tab/>
        </w:r>
        <w:r>
          <w:rPr>
            <w:rStyle w:val="C2"/>
            <w:noProof w:val="1"/>
          </w:rPr>
          <w:t>Detaljplanens syfte och bakgrund</w:t>
        </w:r>
        <w:r>
          <w:rPr>
            <w:noProof w:val="1"/>
          </w:rPr>
          <w:tab/>
        </w:r>
        <w:r>
          <w:rPr>
            <w:noProof w:val="1"/>
          </w:rPr>
          <w:fldChar w:fldCharType="begin"/>
        </w:r>
        <w:r>
          <w:rPr>
            <w:noProof w:val="1"/>
          </w:rPr>
          <w:instrText xml:space="preserve"> PAGEREF _Toc214961287 \h </w:instrText>
        </w:r>
        <w:r>
          <w:rPr>
            <w:noProof w:val="1"/>
          </w:rPr>
          <w:fldChar w:fldCharType="separate"/>
        </w:r>
        <w:r>
          <w:rPr>
            <w:noProof w:val="1"/>
          </w:rPr>
          <w:t>6</w:t>
        </w:r>
        <w:r>
          <w:rPr>
            <w:noProof w:val="1"/>
          </w:rPr>
          <w:fldChar w:fldCharType="end"/>
        </w:r>
      </w:hyperlink>
    </w:p>
    <w:p>
      <w:pPr>
        <w:pStyle w:val="P21"/>
        <w:rPr>
          <w:rFonts w:asciiTheme="minorHAnsi" w:hAnsiTheme="minorHAnsi" w:cstheme="minorBidi"/>
          <w:noProof w:val="1"/>
          <w:lang w:eastAsia="sv-SE"/>
        </w:rPr>
      </w:pPr>
      <w:hyperlink w:anchor="_Toc214961288">
        <w:r>
          <w:rPr>
            <w:rStyle w:val="C2"/>
            <w:noProof w:val="1"/>
          </w:rPr>
          <w:t>2.1</w:t>
        </w:r>
        <w:r>
          <w:rPr>
            <w:rFonts w:asciiTheme="minorHAnsi" w:hAnsiTheme="minorHAnsi" w:cstheme="minorBidi"/>
            <w:noProof w:val="1"/>
            <w:lang w:eastAsia="sv-SE"/>
          </w:rPr>
          <w:tab/>
        </w:r>
        <w:r>
          <w:rPr>
            <w:rStyle w:val="C2"/>
            <w:noProof w:val="1"/>
          </w:rPr>
          <w:t>Planprocess</w:t>
        </w:r>
        <w:r>
          <w:rPr>
            <w:noProof w:val="1"/>
          </w:rPr>
          <w:tab/>
        </w:r>
        <w:r>
          <w:rPr>
            <w:noProof w:val="1"/>
          </w:rPr>
          <w:fldChar w:fldCharType="begin"/>
        </w:r>
        <w:r>
          <w:rPr>
            <w:noProof w:val="1"/>
          </w:rPr>
          <w:instrText xml:space="preserve"> PAGEREF _Toc214961288 \h </w:instrText>
        </w:r>
        <w:r>
          <w:rPr>
            <w:noProof w:val="1"/>
          </w:rPr>
          <w:fldChar w:fldCharType="separate"/>
        </w:r>
        <w:r>
          <w:rPr>
            <w:noProof w:val="1"/>
          </w:rPr>
          <w:t>7</w:t>
        </w:r>
        <w:r>
          <w:rPr>
            <w:noProof w:val="1"/>
          </w:rPr>
          <w:fldChar w:fldCharType="end"/>
        </w:r>
      </w:hyperlink>
    </w:p>
    <w:p>
      <w:pPr>
        <w:pStyle w:val="P20"/>
        <w:rPr>
          <w:rFonts w:asciiTheme="minorHAnsi" w:hAnsiTheme="minorHAnsi" w:cstheme="minorBidi"/>
          <w:b w:val="0"/>
          <w:noProof w:val="1"/>
          <w:lang w:eastAsia="sv-SE"/>
        </w:rPr>
      </w:pPr>
      <w:hyperlink w:anchor="_Toc214961289">
        <w:r>
          <w:rPr>
            <w:rStyle w:val="C2"/>
            <w:noProof w:val="1"/>
          </w:rPr>
          <w:t>3</w:t>
        </w:r>
        <w:r>
          <w:rPr>
            <w:rFonts w:asciiTheme="minorHAnsi" w:hAnsiTheme="minorHAnsi" w:cstheme="minorBidi"/>
            <w:b w:val="0"/>
            <w:noProof w:val="1"/>
            <w:lang w:eastAsia="sv-SE"/>
          </w:rPr>
          <w:tab/>
        </w:r>
        <w:r>
          <w:rPr>
            <w:rStyle w:val="C2"/>
            <w:noProof w:val="1"/>
          </w:rPr>
          <w:t>Planområdet</w:t>
        </w:r>
        <w:r>
          <w:rPr>
            <w:noProof w:val="1"/>
          </w:rPr>
          <w:tab/>
        </w:r>
        <w:r>
          <w:rPr>
            <w:noProof w:val="1"/>
          </w:rPr>
          <w:fldChar w:fldCharType="begin"/>
        </w:r>
        <w:r>
          <w:rPr>
            <w:noProof w:val="1"/>
          </w:rPr>
          <w:instrText xml:space="preserve"> PAGEREF _Toc214961289 \h </w:instrText>
        </w:r>
        <w:r>
          <w:rPr>
            <w:noProof w:val="1"/>
          </w:rPr>
          <w:fldChar w:fldCharType="separate"/>
        </w:r>
        <w:r>
          <w:rPr>
            <w:noProof w:val="1"/>
          </w:rPr>
          <w:t>7</w:t>
        </w:r>
        <w:r>
          <w:rPr>
            <w:noProof w:val="1"/>
          </w:rPr>
          <w:fldChar w:fldCharType="end"/>
        </w:r>
      </w:hyperlink>
    </w:p>
    <w:p>
      <w:pPr>
        <w:pStyle w:val="P21"/>
        <w:rPr>
          <w:rFonts w:asciiTheme="minorHAnsi" w:hAnsiTheme="minorHAnsi" w:cstheme="minorBidi"/>
          <w:noProof w:val="1"/>
          <w:lang w:eastAsia="sv-SE"/>
        </w:rPr>
      </w:pPr>
      <w:hyperlink w:anchor="_Toc214961290">
        <w:r>
          <w:rPr>
            <w:rStyle w:val="C2"/>
            <w:noProof w:val="1"/>
          </w:rPr>
          <w:t>3.1</w:t>
        </w:r>
        <w:r>
          <w:rPr>
            <w:rFonts w:asciiTheme="minorHAnsi" w:hAnsiTheme="minorHAnsi" w:cstheme="minorBidi"/>
            <w:noProof w:val="1"/>
            <w:lang w:eastAsia="sv-SE"/>
          </w:rPr>
          <w:tab/>
        </w:r>
        <w:r>
          <w:rPr>
            <w:rStyle w:val="C2"/>
            <w:noProof w:val="1"/>
          </w:rPr>
          <w:t>Lokalisering, storlek och markägarförhållanden</w:t>
        </w:r>
        <w:r>
          <w:rPr>
            <w:noProof w:val="1"/>
          </w:rPr>
          <w:tab/>
        </w:r>
        <w:r>
          <w:rPr>
            <w:noProof w:val="1"/>
          </w:rPr>
          <w:fldChar w:fldCharType="begin"/>
        </w:r>
        <w:r>
          <w:rPr>
            <w:noProof w:val="1"/>
          </w:rPr>
          <w:instrText xml:space="preserve"> PAGEREF _Toc214961290 \h </w:instrText>
        </w:r>
        <w:r>
          <w:rPr>
            <w:noProof w:val="1"/>
          </w:rPr>
          <w:fldChar w:fldCharType="separate"/>
        </w:r>
        <w:r>
          <w:rPr>
            <w:noProof w:val="1"/>
          </w:rPr>
          <w:t>7</w:t>
        </w:r>
        <w:r>
          <w:rPr>
            <w:noProof w:val="1"/>
          </w:rPr>
          <w:fldChar w:fldCharType="end"/>
        </w:r>
      </w:hyperlink>
    </w:p>
    <w:p>
      <w:pPr>
        <w:pStyle w:val="P20"/>
        <w:rPr>
          <w:rFonts w:asciiTheme="minorHAnsi" w:hAnsiTheme="minorHAnsi" w:cstheme="minorBidi"/>
          <w:b w:val="0"/>
          <w:noProof w:val="1"/>
          <w:lang w:eastAsia="sv-SE"/>
        </w:rPr>
      </w:pPr>
      <w:hyperlink w:anchor="_Toc214961291">
        <w:r>
          <w:rPr>
            <w:rStyle w:val="C2"/>
            <w:noProof w:val="1"/>
          </w:rPr>
          <w:t>4</w:t>
        </w:r>
        <w:r>
          <w:rPr>
            <w:rFonts w:asciiTheme="minorHAnsi" w:hAnsiTheme="minorHAnsi" w:cstheme="minorBidi"/>
            <w:b w:val="0"/>
            <w:noProof w:val="1"/>
            <w:lang w:eastAsia="sv-SE"/>
          </w:rPr>
          <w:tab/>
        </w:r>
        <w:r>
          <w:rPr>
            <w:rStyle w:val="C2"/>
            <w:noProof w:val="1"/>
          </w:rPr>
          <w:t>Planförslag</w:t>
        </w:r>
        <w:r>
          <w:rPr>
            <w:noProof w:val="1"/>
          </w:rPr>
          <w:tab/>
        </w:r>
        <w:r>
          <w:rPr>
            <w:noProof w:val="1"/>
          </w:rPr>
          <w:fldChar w:fldCharType="begin"/>
        </w:r>
        <w:r>
          <w:rPr>
            <w:noProof w:val="1"/>
          </w:rPr>
          <w:instrText xml:space="preserve"> PAGEREF _Toc214961291 \h </w:instrText>
        </w:r>
        <w:r>
          <w:rPr>
            <w:noProof w:val="1"/>
          </w:rPr>
          <w:fldChar w:fldCharType="separate"/>
        </w:r>
        <w:r>
          <w:rPr>
            <w:noProof w:val="1"/>
          </w:rPr>
          <w:t>8</w:t>
        </w:r>
        <w:r>
          <w:rPr>
            <w:noProof w:val="1"/>
          </w:rPr>
          <w:fldChar w:fldCharType="end"/>
        </w:r>
      </w:hyperlink>
    </w:p>
    <w:p>
      <w:pPr>
        <w:pStyle w:val="P21"/>
        <w:rPr>
          <w:rFonts w:asciiTheme="minorHAnsi" w:hAnsiTheme="minorHAnsi" w:cstheme="minorBidi"/>
          <w:noProof w:val="1"/>
          <w:lang w:eastAsia="sv-SE"/>
        </w:rPr>
      </w:pPr>
      <w:hyperlink w:anchor="_Toc214961292">
        <w:r>
          <w:rPr>
            <w:rStyle w:val="C2"/>
            <w:noProof w:val="1"/>
          </w:rPr>
          <w:t>4.1</w:t>
        </w:r>
        <w:r>
          <w:rPr>
            <w:rFonts w:asciiTheme="minorHAnsi" w:hAnsiTheme="minorHAnsi" w:cstheme="minorBidi"/>
            <w:noProof w:val="1"/>
            <w:lang w:eastAsia="sv-SE"/>
          </w:rPr>
          <w:tab/>
        </w:r>
        <w:r>
          <w:rPr>
            <w:rStyle w:val="C2"/>
            <w:noProof w:val="1"/>
          </w:rPr>
          <w:t>Huvuddrag med illustration</w:t>
        </w:r>
        <w:r>
          <w:rPr>
            <w:noProof w:val="1"/>
          </w:rPr>
          <w:tab/>
        </w:r>
        <w:r>
          <w:rPr>
            <w:noProof w:val="1"/>
          </w:rPr>
          <w:fldChar w:fldCharType="begin"/>
        </w:r>
        <w:r>
          <w:rPr>
            <w:noProof w:val="1"/>
          </w:rPr>
          <w:instrText xml:space="preserve"> PAGEREF _Toc214961292 \h </w:instrText>
        </w:r>
        <w:r>
          <w:rPr>
            <w:noProof w:val="1"/>
          </w:rPr>
          <w:fldChar w:fldCharType="separate"/>
        </w:r>
        <w:r>
          <w:rPr>
            <w:noProof w:val="1"/>
          </w:rPr>
          <w:t>8</w:t>
        </w:r>
        <w:r>
          <w:rPr>
            <w:noProof w:val="1"/>
          </w:rPr>
          <w:fldChar w:fldCharType="end"/>
        </w:r>
      </w:hyperlink>
    </w:p>
    <w:p>
      <w:pPr>
        <w:pStyle w:val="P21"/>
        <w:rPr>
          <w:rFonts w:asciiTheme="minorHAnsi" w:hAnsiTheme="minorHAnsi" w:cstheme="minorBidi"/>
          <w:noProof w:val="1"/>
          <w:lang w:eastAsia="sv-SE"/>
        </w:rPr>
      </w:pPr>
      <w:hyperlink w:anchor="_Toc214961293">
        <w:r>
          <w:rPr>
            <w:rStyle w:val="C2"/>
            <w:noProof w:val="1"/>
          </w:rPr>
          <w:t>4.2</w:t>
        </w:r>
        <w:r>
          <w:rPr>
            <w:rFonts w:asciiTheme="minorHAnsi" w:hAnsiTheme="minorHAnsi" w:cstheme="minorBidi"/>
            <w:noProof w:val="1"/>
            <w:lang w:eastAsia="sv-SE"/>
          </w:rPr>
          <w:tab/>
        </w:r>
        <w:r>
          <w:rPr>
            <w:rStyle w:val="C2"/>
            <w:noProof w:val="1"/>
          </w:rPr>
          <w:t>Plankarta och bestämmelser</w:t>
        </w:r>
        <w:r>
          <w:rPr>
            <w:noProof w:val="1"/>
          </w:rPr>
          <w:tab/>
        </w:r>
        <w:r>
          <w:rPr>
            <w:noProof w:val="1"/>
          </w:rPr>
          <w:fldChar w:fldCharType="begin"/>
        </w:r>
        <w:r>
          <w:rPr>
            <w:noProof w:val="1"/>
          </w:rPr>
          <w:instrText xml:space="preserve"> PAGEREF _Toc214961293 \h </w:instrText>
        </w:r>
        <w:r>
          <w:rPr>
            <w:noProof w:val="1"/>
          </w:rPr>
          <w:fldChar w:fldCharType="separate"/>
        </w:r>
        <w:r>
          <w:rPr>
            <w:noProof w:val="1"/>
          </w:rPr>
          <w:t>10</w:t>
        </w:r>
        <w:r>
          <w:rPr>
            <w:noProof w:val="1"/>
          </w:rPr>
          <w:fldChar w:fldCharType="end"/>
        </w:r>
      </w:hyperlink>
    </w:p>
    <w:p>
      <w:pPr>
        <w:pStyle w:val="P22"/>
        <w:rPr>
          <w:rFonts w:asciiTheme="minorHAnsi" w:hAnsiTheme="minorHAnsi" w:cstheme="minorBidi"/>
          <w:noProof w:val="1"/>
          <w:lang w:eastAsia="sv-SE"/>
        </w:rPr>
      </w:pPr>
      <w:hyperlink w:anchor="_Toc214961294">
        <w:r>
          <w:rPr>
            <w:rStyle w:val="C2"/>
            <w:noProof w:val="1"/>
          </w:rPr>
          <w:t>4.2.1</w:t>
        </w:r>
        <w:r>
          <w:rPr>
            <w:rFonts w:asciiTheme="minorHAnsi" w:hAnsiTheme="minorHAnsi" w:cstheme="minorBidi"/>
            <w:noProof w:val="1"/>
            <w:lang w:eastAsia="sv-SE"/>
          </w:rPr>
          <w:tab/>
        </w:r>
        <w:r>
          <w:rPr>
            <w:rStyle w:val="C2"/>
            <w:noProof w:val="1"/>
          </w:rPr>
          <w:t>Användning av mark och vatten</w:t>
        </w:r>
        <w:r>
          <w:rPr>
            <w:noProof w:val="1"/>
          </w:rPr>
          <w:tab/>
        </w:r>
        <w:r>
          <w:rPr>
            <w:noProof w:val="1"/>
          </w:rPr>
          <w:fldChar w:fldCharType="begin"/>
        </w:r>
        <w:r>
          <w:rPr>
            <w:noProof w:val="1"/>
          </w:rPr>
          <w:instrText xml:space="preserve"> PAGEREF _Toc214961294 \h </w:instrText>
        </w:r>
        <w:r>
          <w:rPr>
            <w:noProof w:val="1"/>
          </w:rPr>
          <w:fldChar w:fldCharType="separate"/>
        </w:r>
        <w:r>
          <w:rPr>
            <w:noProof w:val="1"/>
          </w:rPr>
          <w:t>10</w:t>
        </w:r>
        <w:r>
          <w:rPr>
            <w:noProof w:val="1"/>
          </w:rPr>
          <w:fldChar w:fldCharType="end"/>
        </w:r>
      </w:hyperlink>
    </w:p>
    <w:p>
      <w:pPr>
        <w:pStyle w:val="P22"/>
        <w:rPr>
          <w:rFonts w:asciiTheme="minorHAnsi" w:hAnsiTheme="minorHAnsi" w:cstheme="minorBidi"/>
          <w:noProof w:val="1"/>
          <w:lang w:eastAsia="sv-SE"/>
        </w:rPr>
      </w:pPr>
      <w:hyperlink w:anchor="_Toc214961295">
        <w:r>
          <w:rPr>
            <w:rStyle w:val="C2"/>
            <w:noProof w:val="1"/>
          </w:rPr>
          <w:t>4.2.2</w:t>
        </w:r>
        <w:r>
          <w:rPr>
            <w:rFonts w:asciiTheme="minorHAnsi" w:hAnsiTheme="minorHAnsi" w:cstheme="minorBidi"/>
            <w:noProof w:val="1"/>
            <w:lang w:eastAsia="sv-SE"/>
          </w:rPr>
          <w:tab/>
        </w:r>
        <w:r>
          <w:rPr>
            <w:rStyle w:val="C2"/>
            <w:noProof w:val="1"/>
          </w:rPr>
          <w:t>Kvartersmark</w:t>
        </w:r>
        <w:r>
          <w:rPr>
            <w:noProof w:val="1"/>
          </w:rPr>
          <w:tab/>
        </w:r>
        <w:r>
          <w:rPr>
            <w:noProof w:val="1"/>
          </w:rPr>
          <w:fldChar w:fldCharType="begin"/>
        </w:r>
        <w:r>
          <w:rPr>
            <w:noProof w:val="1"/>
          </w:rPr>
          <w:instrText xml:space="preserve"> PAGEREF _Toc214961295 \h </w:instrText>
        </w:r>
        <w:r>
          <w:rPr>
            <w:noProof w:val="1"/>
          </w:rPr>
          <w:fldChar w:fldCharType="separate"/>
        </w:r>
        <w:r>
          <w:rPr>
            <w:noProof w:val="1"/>
          </w:rPr>
          <w:t>11</w:t>
        </w:r>
        <w:r>
          <w:rPr>
            <w:noProof w:val="1"/>
          </w:rPr>
          <w:fldChar w:fldCharType="end"/>
        </w:r>
      </w:hyperlink>
    </w:p>
    <w:p>
      <w:pPr>
        <w:pStyle w:val="P22"/>
        <w:rPr>
          <w:rFonts w:asciiTheme="minorHAnsi" w:hAnsiTheme="minorHAnsi" w:cstheme="minorBidi"/>
          <w:noProof w:val="1"/>
          <w:lang w:eastAsia="sv-SE"/>
        </w:rPr>
      </w:pPr>
      <w:hyperlink w:anchor="_Toc214961296">
        <w:r>
          <w:rPr>
            <w:rStyle w:val="C2"/>
            <w:noProof w:val="1"/>
          </w:rPr>
          <w:t>4.2.3</w:t>
        </w:r>
        <w:r>
          <w:rPr>
            <w:rFonts w:asciiTheme="minorHAnsi" w:hAnsiTheme="minorHAnsi" w:cstheme="minorBidi"/>
            <w:noProof w:val="1"/>
            <w:lang w:eastAsia="sv-SE"/>
          </w:rPr>
          <w:tab/>
        </w:r>
        <w:r>
          <w:rPr>
            <w:rStyle w:val="C2"/>
            <w:noProof w:val="1"/>
          </w:rPr>
          <w:t>Egenskapsbestämmelser för allmän plats</w:t>
        </w:r>
        <w:r>
          <w:rPr>
            <w:noProof w:val="1"/>
          </w:rPr>
          <w:tab/>
        </w:r>
        <w:r>
          <w:rPr>
            <w:noProof w:val="1"/>
          </w:rPr>
          <w:fldChar w:fldCharType="begin"/>
        </w:r>
        <w:r>
          <w:rPr>
            <w:noProof w:val="1"/>
          </w:rPr>
          <w:instrText xml:space="preserve"> PAGEREF _Toc214961296 \h </w:instrText>
        </w:r>
        <w:r>
          <w:rPr>
            <w:noProof w:val="1"/>
          </w:rPr>
          <w:fldChar w:fldCharType="separate"/>
        </w:r>
        <w:r>
          <w:rPr>
            <w:noProof w:val="1"/>
          </w:rPr>
          <w:t>12</w:t>
        </w:r>
        <w:r>
          <w:rPr>
            <w:noProof w:val="1"/>
          </w:rPr>
          <w:fldChar w:fldCharType="end"/>
        </w:r>
      </w:hyperlink>
    </w:p>
    <w:p>
      <w:pPr>
        <w:pStyle w:val="P22"/>
        <w:rPr>
          <w:rFonts w:asciiTheme="minorHAnsi" w:hAnsiTheme="minorHAnsi" w:cstheme="minorBidi"/>
          <w:noProof w:val="1"/>
          <w:lang w:eastAsia="sv-SE"/>
        </w:rPr>
      </w:pPr>
      <w:hyperlink w:anchor="_Toc214961297">
        <w:r>
          <w:rPr>
            <w:rStyle w:val="C2"/>
            <w:noProof w:val="1"/>
          </w:rPr>
          <w:t>4.2.4</w:t>
        </w:r>
        <w:r>
          <w:rPr>
            <w:rFonts w:asciiTheme="minorHAnsi" w:hAnsiTheme="minorHAnsi" w:cstheme="minorBidi"/>
            <w:noProof w:val="1"/>
            <w:lang w:eastAsia="sv-SE"/>
          </w:rPr>
          <w:tab/>
        </w:r>
        <w:r>
          <w:rPr>
            <w:rStyle w:val="C2"/>
            <w:noProof w:val="1"/>
          </w:rPr>
          <w:t>Egenskaper för kvartersmark</w:t>
        </w:r>
        <w:r>
          <w:rPr>
            <w:noProof w:val="1"/>
          </w:rPr>
          <w:tab/>
        </w:r>
        <w:r>
          <w:rPr>
            <w:noProof w:val="1"/>
          </w:rPr>
          <w:fldChar w:fldCharType="begin"/>
        </w:r>
        <w:r>
          <w:rPr>
            <w:noProof w:val="1"/>
          </w:rPr>
          <w:instrText xml:space="preserve"> PAGEREF _Toc214961297 \h </w:instrText>
        </w:r>
        <w:r>
          <w:rPr>
            <w:noProof w:val="1"/>
          </w:rPr>
          <w:fldChar w:fldCharType="separate"/>
        </w:r>
        <w:r>
          <w:rPr>
            <w:noProof w:val="1"/>
          </w:rPr>
          <w:t>13</w:t>
        </w:r>
        <w:r>
          <w:rPr>
            <w:noProof w:val="1"/>
          </w:rPr>
          <w:fldChar w:fldCharType="end"/>
        </w:r>
      </w:hyperlink>
    </w:p>
    <w:p>
      <w:pPr>
        <w:pStyle w:val="P22"/>
        <w:rPr>
          <w:rFonts w:asciiTheme="minorHAnsi" w:hAnsiTheme="minorHAnsi" w:cstheme="minorBidi"/>
          <w:noProof w:val="1"/>
          <w:lang w:eastAsia="sv-SE"/>
        </w:rPr>
      </w:pPr>
      <w:hyperlink w:anchor="_Toc214961298">
        <w:r>
          <w:rPr>
            <w:rStyle w:val="C2"/>
            <w:noProof w:val="1"/>
          </w:rPr>
          <w:t>4.2.5</w:t>
        </w:r>
        <w:r>
          <w:rPr>
            <w:rFonts w:asciiTheme="minorHAnsi" w:hAnsiTheme="minorHAnsi" w:cstheme="minorBidi"/>
            <w:noProof w:val="1"/>
            <w:lang w:eastAsia="sv-SE"/>
          </w:rPr>
          <w:tab/>
        </w:r>
        <w:r>
          <w:rPr>
            <w:rStyle w:val="C2"/>
            <w:noProof w:val="1"/>
          </w:rPr>
          <w:t>Genomförandetid</w:t>
        </w:r>
        <w:r>
          <w:rPr>
            <w:noProof w:val="1"/>
          </w:rPr>
          <w:tab/>
        </w:r>
        <w:r>
          <w:rPr>
            <w:noProof w:val="1"/>
          </w:rPr>
          <w:fldChar w:fldCharType="begin"/>
        </w:r>
        <w:r>
          <w:rPr>
            <w:noProof w:val="1"/>
          </w:rPr>
          <w:instrText xml:space="preserve"> PAGEREF _Toc214961298 \h </w:instrText>
        </w:r>
        <w:r>
          <w:rPr>
            <w:noProof w:val="1"/>
          </w:rPr>
          <w:fldChar w:fldCharType="separate"/>
        </w:r>
        <w:r>
          <w:rPr>
            <w:noProof w:val="1"/>
          </w:rPr>
          <w:t>17</w:t>
        </w:r>
        <w:r>
          <w:rPr>
            <w:noProof w:val="1"/>
          </w:rPr>
          <w:fldChar w:fldCharType="end"/>
        </w:r>
      </w:hyperlink>
    </w:p>
    <w:p>
      <w:pPr>
        <w:pStyle w:val="P20"/>
        <w:rPr>
          <w:rFonts w:asciiTheme="minorHAnsi" w:hAnsiTheme="minorHAnsi" w:cstheme="minorBidi"/>
          <w:b w:val="0"/>
          <w:noProof w:val="1"/>
          <w:lang w:eastAsia="sv-SE"/>
        </w:rPr>
      </w:pPr>
      <w:hyperlink w:anchor="_Toc214961299">
        <w:r>
          <w:rPr>
            <w:rStyle w:val="C2"/>
            <w:noProof w:val="1"/>
          </w:rPr>
          <w:t>5</w:t>
        </w:r>
        <w:r>
          <w:rPr>
            <w:rFonts w:asciiTheme="minorHAnsi" w:hAnsiTheme="minorHAnsi" w:cstheme="minorBidi"/>
            <w:b w:val="0"/>
            <w:noProof w:val="1"/>
            <w:lang w:eastAsia="sv-SE"/>
          </w:rPr>
          <w:tab/>
        </w:r>
        <w:r>
          <w:rPr>
            <w:rStyle w:val="C2"/>
            <w:noProof w:val="1"/>
          </w:rPr>
          <w:t>Planeringsförutsättningar och konsekvenser</w:t>
        </w:r>
        <w:r>
          <w:rPr>
            <w:noProof w:val="1"/>
          </w:rPr>
          <w:tab/>
        </w:r>
        <w:r>
          <w:rPr>
            <w:noProof w:val="1"/>
          </w:rPr>
          <w:fldChar w:fldCharType="begin"/>
        </w:r>
        <w:r>
          <w:rPr>
            <w:noProof w:val="1"/>
          </w:rPr>
          <w:instrText xml:space="preserve"> PAGEREF _Toc214961299 \h </w:instrText>
        </w:r>
        <w:r>
          <w:rPr>
            <w:noProof w:val="1"/>
          </w:rPr>
          <w:fldChar w:fldCharType="separate"/>
        </w:r>
        <w:r>
          <w:rPr>
            <w:noProof w:val="1"/>
          </w:rPr>
          <w:t>18</w:t>
        </w:r>
        <w:r>
          <w:rPr>
            <w:noProof w:val="1"/>
          </w:rPr>
          <w:fldChar w:fldCharType="end"/>
        </w:r>
      </w:hyperlink>
    </w:p>
    <w:p>
      <w:pPr>
        <w:pStyle w:val="P21"/>
        <w:rPr>
          <w:rFonts w:asciiTheme="minorHAnsi" w:hAnsiTheme="minorHAnsi" w:cstheme="minorBidi"/>
          <w:noProof w:val="1"/>
          <w:lang w:eastAsia="sv-SE"/>
        </w:rPr>
      </w:pPr>
      <w:hyperlink w:anchor="_Toc214961300">
        <w:r>
          <w:rPr>
            <w:rStyle w:val="C2"/>
            <w:noProof w:val="1"/>
          </w:rPr>
          <w:t>5.1</w:t>
        </w:r>
        <w:r>
          <w:rPr>
            <w:rFonts w:asciiTheme="minorHAnsi" w:hAnsiTheme="minorHAnsi" w:cstheme="minorBidi"/>
            <w:noProof w:val="1"/>
            <w:lang w:eastAsia="sv-SE"/>
          </w:rPr>
          <w:tab/>
        </w:r>
        <w:r>
          <w:rPr>
            <w:rStyle w:val="C2"/>
            <w:noProof w:val="1"/>
          </w:rPr>
          <w:t>Kommunala ställningstagande</w:t>
        </w:r>
        <w:r>
          <w:rPr>
            <w:noProof w:val="1"/>
          </w:rPr>
          <w:tab/>
        </w:r>
        <w:r>
          <w:rPr>
            <w:noProof w:val="1"/>
          </w:rPr>
          <w:fldChar w:fldCharType="begin"/>
        </w:r>
        <w:r>
          <w:rPr>
            <w:noProof w:val="1"/>
          </w:rPr>
          <w:instrText xml:space="preserve"> PAGEREF _Toc214961300 \h </w:instrText>
        </w:r>
        <w:r>
          <w:rPr>
            <w:noProof w:val="1"/>
          </w:rPr>
          <w:fldChar w:fldCharType="separate"/>
        </w:r>
        <w:r>
          <w:rPr>
            <w:noProof w:val="1"/>
          </w:rPr>
          <w:t>18</w:t>
        </w:r>
        <w:r>
          <w:rPr>
            <w:noProof w:val="1"/>
          </w:rPr>
          <w:fldChar w:fldCharType="end"/>
        </w:r>
      </w:hyperlink>
    </w:p>
    <w:p>
      <w:pPr>
        <w:pStyle w:val="P22"/>
        <w:rPr>
          <w:rFonts w:asciiTheme="minorHAnsi" w:hAnsiTheme="minorHAnsi" w:cstheme="minorBidi"/>
          <w:noProof w:val="1"/>
          <w:lang w:eastAsia="sv-SE"/>
        </w:rPr>
      </w:pPr>
      <w:hyperlink w:anchor="_Toc214961301">
        <w:r>
          <w:rPr>
            <w:rStyle w:val="C2"/>
            <w:noProof w:val="1"/>
          </w:rPr>
          <w:t>5.1.1</w:t>
        </w:r>
        <w:r>
          <w:rPr>
            <w:rFonts w:asciiTheme="minorHAnsi" w:hAnsiTheme="minorHAnsi" w:cstheme="minorBidi"/>
            <w:noProof w:val="1"/>
            <w:lang w:eastAsia="sv-SE"/>
          </w:rPr>
          <w:tab/>
        </w:r>
        <w:r>
          <w:rPr>
            <w:rStyle w:val="C2"/>
            <w:noProof w:val="1"/>
          </w:rPr>
          <w:t>Översiktsplan</w:t>
        </w:r>
        <w:r>
          <w:rPr>
            <w:noProof w:val="1"/>
          </w:rPr>
          <w:tab/>
        </w:r>
        <w:r>
          <w:rPr>
            <w:noProof w:val="1"/>
          </w:rPr>
          <w:fldChar w:fldCharType="begin"/>
        </w:r>
        <w:r>
          <w:rPr>
            <w:noProof w:val="1"/>
          </w:rPr>
          <w:instrText xml:space="preserve"> PAGEREF _Toc214961301 \h </w:instrText>
        </w:r>
        <w:r>
          <w:rPr>
            <w:noProof w:val="1"/>
          </w:rPr>
          <w:fldChar w:fldCharType="separate"/>
        </w:r>
        <w:r>
          <w:rPr>
            <w:noProof w:val="1"/>
          </w:rPr>
          <w:t>18</w:t>
        </w:r>
        <w:r>
          <w:rPr>
            <w:noProof w:val="1"/>
          </w:rPr>
          <w:fldChar w:fldCharType="end"/>
        </w:r>
      </w:hyperlink>
    </w:p>
    <w:p>
      <w:pPr>
        <w:pStyle w:val="P22"/>
        <w:rPr>
          <w:rFonts w:asciiTheme="minorHAnsi" w:hAnsiTheme="minorHAnsi" w:cstheme="minorBidi"/>
          <w:noProof w:val="1"/>
          <w:lang w:eastAsia="sv-SE"/>
        </w:rPr>
      </w:pPr>
      <w:hyperlink w:anchor="_Toc214961302">
        <w:r>
          <w:rPr>
            <w:rStyle w:val="C2"/>
            <w:noProof w:val="1"/>
          </w:rPr>
          <w:t>5.1.2</w:t>
        </w:r>
        <w:r>
          <w:rPr>
            <w:rFonts w:asciiTheme="minorHAnsi" w:hAnsiTheme="minorHAnsi" w:cstheme="minorBidi"/>
            <w:noProof w:val="1"/>
            <w:lang w:eastAsia="sv-SE"/>
          </w:rPr>
          <w:tab/>
        </w:r>
        <w:r>
          <w:rPr>
            <w:rStyle w:val="C2"/>
            <w:noProof w:val="1"/>
          </w:rPr>
          <w:t>Detaljplan</w:t>
        </w:r>
        <w:r>
          <w:rPr>
            <w:noProof w:val="1"/>
          </w:rPr>
          <w:tab/>
        </w:r>
        <w:r>
          <w:rPr>
            <w:noProof w:val="1"/>
          </w:rPr>
          <w:fldChar w:fldCharType="begin"/>
        </w:r>
        <w:r>
          <w:rPr>
            <w:noProof w:val="1"/>
          </w:rPr>
          <w:instrText xml:space="preserve"> PAGEREF _Toc214961302 \h </w:instrText>
        </w:r>
        <w:r>
          <w:rPr>
            <w:noProof w:val="1"/>
          </w:rPr>
          <w:fldChar w:fldCharType="separate"/>
        </w:r>
        <w:r>
          <w:rPr>
            <w:noProof w:val="1"/>
          </w:rPr>
          <w:t>19</w:t>
        </w:r>
        <w:r>
          <w:rPr>
            <w:noProof w:val="1"/>
          </w:rPr>
          <w:fldChar w:fldCharType="end"/>
        </w:r>
      </w:hyperlink>
    </w:p>
    <w:p>
      <w:pPr>
        <w:pStyle w:val="P22"/>
        <w:rPr>
          <w:rFonts w:asciiTheme="minorHAnsi" w:hAnsiTheme="minorHAnsi" w:cstheme="minorBidi"/>
          <w:noProof w:val="1"/>
          <w:lang w:eastAsia="sv-SE"/>
        </w:rPr>
      </w:pPr>
      <w:hyperlink w:anchor="_Toc214961303">
        <w:r>
          <w:rPr>
            <w:rStyle w:val="C2"/>
            <w:noProof w:val="1"/>
          </w:rPr>
          <w:t>5.1.3</w:t>
        </w:r>
        <w:r>
          <w:rPr>
            <w:rFonts w:asciiTheme="minorHAnsi" w:hAnsiTheme="minorHAnsi" w:cstheme="minorBidi"/>
            <w:noProof w:val="1"/>
            <w:lang w:eastAsia="sv-SE"/>
          </w:rPr>
          <w:tab/>
        </w:r>
        <w:r>
          <w:rPr>
            <w:rStyle w:val="C2"/>
            <w:noProof w:val="1"/>
          </w:rPr>
          <w:t>Kommunala beslut i övrigt</w:t>
        </w:r>
        <w:r>
          <w:rPr>
            <w:noProof w:val="1"/>
          </w:rPr>
          <w:tab/>
        </w:r>
        <w:r>
          <w:rPr>
            <w:noProof w:val="1"/>
          </w:rPr>
          <w:fldChar w:fldCharType="begin"/>
        </w:r>
        <w:r>
          <w:rPr>
            <w:noProof w:val="1"/>
          </w:rPr>
          <w:instrText xml:space="preserve"> PAGEREF _Toc214961303 \h </w:instrText>
        </w:r>
        <w:r>
          <w:rPr>
            <w:noProof w:val="1"/>
          </w:rPr>
          <w:fldChar w:fldCharType="separate"/>
        </w:r>
        <w:r>
          <w:rPr>
            <w:noProof w:val="1"/>
          </w:rPr>
          <w:t>19</w:t>
        </w:r>
        <w:r>
          <w:rPr>
            <w:noProof w:val="1"/>
          </w:rPr>
          <w:fldChar w:fldCharType="end"/>
        </w:r>
      </w:hyperlink>
    </w:p>
    <w:p>
      <w:pPr>
        <w:pStyle w:val="P21"/>
        <w:rPr>
          <w:rFonts w:asciiTheme="minorHAnsi" w:hAnsiTheme="minorHAnsi" w:cstheme="minorBidi"/>
          <w:noProof w:val="1"/>
          <w:lang w:eastAsia="sv-SE"/>
        </w:rPr>
      </w:pPr>
      <w:hyperlink w:anchor="_Toc214961304">
        <w:r>
          <w:rPr>
            <w:rStyle w:val="C2"/>
            <w:noProof w:val="1"/>
          </w:rPr>
          <w:t>5.2</w:t>
        </w:r>
        <w:r>
          <w:rPr>
            <w:rFonts w:asciiTheme="minorHAnsi" w:hAnsiTheme="minorHAnsi" w:cstheme="minorBidi"/>
            <w:noProof w:val="1"/>
            <w:lang w:eastAsia="sv-SE"/>
          </w:rPr>
          <w:tab/>
        </w:r>
        <w:r>
          <w:rPr>
            <w:rStyle w:val="C2"/>
            <w:noProof w:val="1"/>
          </w:rPr>
          <w:t>Riksintressen</w:t>
        </w:r>
        <w:r>
          <w:rPr>
            <w:noProof w:val="1"/>
          </w:rPr>
          <w:tab/>
        </w:r>
        <w:r>
          <w:rPr>
            <w:noProof w:val="1"/>
          </w:rPr>
          <w:fldChar w:fldCharType="begin"/>
        </w:r>
        <w:r>
          <w:rPr>
            <w:noProof w:val="1"/>
          </w:rPr>
          <w:instrText xml:space="preserve"> PAGEREF _Toc214961304 \h </w:instrText>
        </w:r>
        <w:r>
          <w:rPr>
            <w:noProof w:val="1"/>
          </w:rPr>
          <w:fldChar w:fldCharType="separate"/>
        </w:r>
        <w:r>
          <w:rPr>
            <w:noProof w:val="1"/>
          </w:rPr>
          <w:t>19</w:t>
        </w:r>
        <w:r>
          <w:rPr>
            <w:noProof w:val="1"/>
          </w:rPr>
          <w:fldChar w:fldCharType="end"/>
        </w:r>
      </w:hyperlink>
    </w:p>
    <w:p>
      <w:pPr>
        <w:pStyle w:val="P22"/>
        <w:rPr>
          <w:rFonts w:asciiTheme="minorHAnsi" w:hAnsiTheme="minorHAnsi" w:cstheme="minorBidi"/>
          <w:noProof w:val="1"/>
          <w:lang w:eastAsia="sv-SE"/>
        </w:rPr>
      </w:pPr>
      <w:hyperlink w:anchor="_Toc214961305">
        <w:r>
          <w:rPr>
            <w:rStyle w:val="C2"/>
            <w:noProof w:val="1"/>
          </w:rPr>
          <w:t>5.2.1</w:t>
        </w:r>
        <w:r>
          <w:rPr>
            <w:rFonts w:asciiTheme="minorHAnsi" w:hAnsiTheme="minorHAnsi" w:cstheme="minorBidi"/>
            <w:noProof w:val="1"/>
            <w:lang w:eastAsia="sv-SE"/>
          </w:rPr>
          <w:tab/>
        </w:r>
        <w:r>
          <w:rPr>
            <w:rStyle w:val="C2"/>
            <w:noProof w:val="1"/>
          </w:rPr>
          <w:t>Riksintresse naturvård</w:t>
        </w:r>
        <w:r>
          <w:rPr>
            <w:noProof w:val="1"/>
          </w:rPr>
          <w:tab/>
        </w:r>
        <w:r>
          <w:rPr>
            <w:noProof w:val="1"/>
          </w:rPr>
          <w:fldChar w:fldCharType="begin"/>
        </w:r>
        <w:r>
          <w:rPr>
            <w:noProof w:val="1"/>
          </w:rPr>
          <w:instrText xml:space="preserve"> PAGEREF _Toc214961305 \h </w:instrText>
        </w:r>
        <w:r>
          <w:rPr>
            <w:noProof w:val="1"/>
          </w:rPr>
          <w:fldChar w:fldCharType="separate"/>
        </w:r>
        <w:r>
          <w:rPr>
            <w:noProof w:val="1"/>
          </w:rPr>
          <w:t>21</w:t>
        </w:r>
        <w:r>
          <w:rPr>
            <w:noProof w:val="1"/>
          </w:rPr>
          <w:fldChar w:fldCharType="end"/>
        </w:r>
      </w:hyperlink>
    </w:p>
    <w:p>
      <w:pPr>
        <w:pStyle w:val="P22"/>
        <w:rPr>
          <w:rFonts w:asciiTheme="minorHAnsi" w:hAnsiTheme="minorHAnsi" w:cstheme="minorBidi"/>
          <w:noProof w:val="1"/>
          <w:lang w:eastAsia="sv-SE"/>
        </w:rPr>
      </w:pPr>
      <w:hyperlink w:anchor="_Toc214961306">
        <w:r>
          <w:rPr>
            <w:rStyle w:val="C2"/>
            <w:noProof w:val="1"/>
          </w:rPr>
          <w:t>5.2.2</w:t>
        </w:r>
        <w:r>
          <w:rPr>
            <w:rFonts w:asciiTheme="minorHAnsi" w:hAnsiTheme="minorHAnsi" w:cstheme="minorBidi"/>
            <w:noProof w:val="1"/>
            <w:lang w:eastAsia="sv-SE"/>
          </w:rPr>
          <w:tab/>
        </w:r>
        <w:r>
          <w:rPr>
            <w:rStyle w:val="C2"/>
            <w:noProof w:val="1"/>
          </w:rPr>
          <w:t>Riksintresse rörligt friluftsliv</w:t>
        </w:r>
        <w:r>
          <w:rPr>
            <w:noProof w:val="1"/>
          </w:rPr>
          <w:tab/>
        </w:r>
        <w:r>
          <w:rPr>
            <w:noProof w:val="1"/>
          </w:rPr>
          <w:fldChar w:fldCharType="begin"/>
        </w:r>
        <w:r>
          <w:rPr>
            <w:noProof w:val="1"/>
          </w:rPr>
          <w:instrText xml:space="preserve"> PAGEREF _Toc214961306 \h </w:instrText>
        </w:r>
        <w:r>
          <w:rPr>
            <w:noProof w:val="1"/>
          </w:rPr>
          <w:fldChar w:fldCharType="separate"/>
        </w:r>
        <w:r>
          <w:rPr>
            <w:noProof w:val="1"/>
          </w:rPr>
          <w:t>22</w:t>
        </w:r>
        <w:r>
          <w:rPr>
            <w:noProof w:val="1"/>
          </w:rPr>
          <w:fldChar w:fldCharType="end"/>
        </w:r>
      </w:hyperlink>
    </w:p>
    <w:p>
      <w:pPr>
        <w:pStyle w:val="P22"/>
        <w:rPr>
          <w:rFonts w:asciiTheme="minorHAnsi" w:hAnsiTheme="minorHAnsi" w:cstheme="minorBidi"/>
          <w:noProof w:val="1"/>
          <w:lang w:eastAsia="sv-SE"/>
        </w:rPr>
      </w:pPr>
      <w:hyperlink w:anchor="_Toc214961307">
        <w:r>
          <w:rPr>
            <w:rStyle w:val="C2"/>
            <w:noProof w:val="1"/>
          </w:rPr>
          <w:t>5.2.3</w:t>
        </w:r>
        <w:r>
          <w:rPr>
            <w:rFonts w:asciiTheme="minorHAnsi" w:hAnsiTheme="minorHAnsi" w:cstheme="minorBidi"/>
            <w:noProof w:val="1"/>
            <w:lang w:eastAsia="sv-SE"/>
          </w:rPr>
          <w:tab/>
        </w:r>
        <w:r>
          <w:rPr>
            <w:rStyle w:val="C2"/>
            <w:noProof w:val="1"/>
          </w:rPr>
          <w:t>Natura 2000</w:t>
        </w:r>
        <w:r>
          <w:rPr>
            <w:noProof w:val="1"/>
          </w:rPr>
          <w:tab/>
        </w:r>
        <w:r>
          <w:rPr>
            <w:noProof w:val="1"/>
          </w:rPr>
          <w:fldChar w:fldCharType="begin"/>
        </w:r>
        <w:r>
          <w:rPr>
            <w:noProof w:val="1"/>
          </w:rPr>
          <w:instrText xml:space="preserve"> PAGEREF _Toc214961307 \h </w:instrText>
        </w:r>
        <w:r>
          <w:rPr>
            <w:noProof w:val="1"/>
          </w:rPr>
          <w:fldChar w:fldCharType="separate"/>
        </w:r>
        <w:r>
          <w:rPr>
            <w:noProof w:val="1"/>
          </w:rPr>
          <w:t>23</w:t>
        </w:r>
        <w:r>
          <w:rPr>
            <w:noProof w:val="1"/>
          </w:rPr>
          <w:fldChar w:fldCharType="end"/>
        </w:r>
      </w:hyperlink>
    </w:p>
    <w:p>
      <w:pPr>
        <w:pStyle w:val="P22"/>
        <w:rPr>
          <w:rFonts w:asciiTheme="minorHAnsi" w:hAnsiTheme="minorHAnsi" w:cstheme="minorBidi"/>
          <w:noProof w:val="1"/>
          <w:lang w:eastAsia="sv-SE"/>
        </w:rPr>
      </w:pPr>
      <w:hyperlink w:anchor="_Toc214961308">
        <w:r>
          <w:rPr>
            <w:rStyle w:val="C2"/>
            <w:noProof w:val="1"/>
          </w:rPr>
          <w:t>5.2.4</w:t>
        </w:r>
        <w:r>
          <w:rPr>
            <w:rFonts w:asciiTheme="minorHAnsi" w:hAnsiTheme="minorHAnsi" w:cstheme="minorBidi"/>
            <w:noProof w:val="1"/>
            <w:lang w:eastAsia="sv-SE"/>
          </w:rPr>
          <w:tab/>
        </w:r>
        <w:r>
          <w:rPr>
            <w:rStyle w:val="C2"/>
            <w:noProof w:val="1"/>
          </w:rPr>
          <w:t>Sjön Vättern</w:t>
        </w:r>
        <w:r>
          <w:rPr>
            <w:noProof w:val="1"/>
          </w:rPr>
          <w:tab/>
        </w:r>
        <w:r>
          <w:rPr>
            <w:noProof w:val="1"/>
          </w:rPr>
          <w:fldChar w:fldCharType="begin"/>
        </w:r>
        <w:r>
          <w:rPr>
            <w:noProof w:val="1"/>
          </w:rPr>
          <w:instrText xml:space="preserve"> PAGEREF _Toc214961308 \h </w:instrText>
        </w:r>
        <w:r>
          <w:rPr>
            <w:noProof w:val="1"/>
          </w:rPr>
          <w:fldChar w:fldCharType="separate"/>
        </w:r>
        <w:r>
          <w:rPr>
            <w:noProof w:val="1"/>
          </w:rPr>
          <w:t>25</w:t>
        </w:r>
        <w:r>
          <w:rPr>
            <w:noProof w:val="1"/>
          </w:rPr>
          <w:fldChar w:fldCharType="end"/>
        </w:r>
      </w:hyperlink>
    </w:p>
    <w:p>
      <w:pPr>
        <w:pStyle w:val="P22"/>
        <w:rPr>
          <w:rFonts w:asciiTheme="minorHAnsi" w:hAnsiTheme="minorHAnsi" w:cstheme="minorBidi"/>
          <w:noProof w:val="1"/>
          <w:lang w:eastAsia="sv-SE"/>
        </w:rPr>
      </w:pPr>
      <w:hyperlink w:anchor="_Toc214961309">
        <w:r>
          <w:rPr>
            <w:rStyle w:val="C2"/>
            <w:noProof w:val="1"/>
          </w:rPr>
          <w:t>5.2.5</w:t>
        </w:r>
        <w:r>
          <w:rPr>
            <w:rFonts w:asciiTheme="minorHAnsi" w:hAnsiTheme="minorHAnsi" w:cstheme="minorBidi"/>
            <w:noProof w:val="1"/>
            <w:lang w:eastAsia="sv-SE"/>
          </w:rPr>
          <w:tab/>
        </w:r>
        <w:r>
          <w:rPr>
            <w:rStyle w:val="C2"/>
            <w:noProof w:val="1"/>
          </w:rPr>
          <w:t>Vättern – Yrkesfiske</w:t>
        </w:r>
        <w:r>
          <w:rPr>
            <w:noProof w:val="1"/>
          </w:rPr>
          <w:tab/>
        </w:r>
        <w:r>
          <w:rPr>
            <w:noProof w:val="1"/>
          </w:rPr>
          <w:fldChar w:fldCharType="begin"/>
        </w:r>
        <w:r>
          <w:rPr>
            <w:noProof w:val="1"/>
          </w:rPr>
          <w:instrText xml:space="preserve"> PAGEREF _Toc214961309 \h </w:instrText>
        </w:r>
        <w:r>
          <w:rPr>
            <w:noProof w:val="1"/>
          </w:rPr>
          <w:fldChar w:fldCharType="separate"/>
        </w:r>
        <w:r>
          <w:rPr>
            <w:noProof w:val="1"/>
          </w:rPr>
          <w:t>26</w:t>
        </w:r>
        <w:r>
          <w:rPr>
            <w:noProof w:val="1"/>
          </w:rPr>
          <w:fldChar w:fldCharType="end"/>
        </w:r>
      </w:hyperlink>
    </w:p>
    <w:p>
      <w:pPr>
        <w:pStyle w:val="P22"/>
        <w:rPr>
          <w:rFonts w:asciiTheme="minorHAnsi" w:hAnsiTheme="minorHAnsi" w:cstheme="minorBidi"/>
          <w:noProof w:val="1"/>
          <w:lang w:eastAsia="sv-SE"/>
        </w:rPr>
      </w:pPr>
      <w:hyperlink w:anchor="_Toc214961310">
        <w:r>
          <w:rPr>
            <w:rStyle w:val="C2"/>
            <w:noProof w:val="1"/>
          </w:rPr>
          <w:t>5.2.6</w:t>
        </w:r>
        <w:r>
          <w:rPr>
            <w:rFonts w:asciiTheme="minorHAnsi" w:hAnsiTheme="minorHAnsi" w:cstheme="minorBidi"/>
            <w:noProof w:val="1"/>
            <w:lang w:eastAsia="sv-SE"/>
          </w:rPr>
          <w:tab/>
        </w:r>
        <w:r>
          <w:rPr>
            <w:rStyle w:val="C2"/>
            <w:noProof w:val="1"/>
          </w:rPr>
          <w:t>Naturvårdprogram – områdesskydd</w:t>
        </w:r>
        <w:r>
          <w:rPr>
            <w:noProof w:val="1"/>
          </w:rPr>
          <w:tab/>
        </w:r>
        <w:r>
          <w:rPr>
            <w:noProof w:val="1"/>
          </w:rPr>
          <w:fldChar w:fldCharType="begin"/>
        </w:r>
        <w:r>
          <w:rPr>
            <w:noProof w:val="1"/>
          </w:rPr>
          <w:instrText xml:space="preserve"> PAGEREF _Toc214961310 \h </w:instrText>
        </w:r>
        <w:r>
          <w:rPr>
            <w:noProof w:val="1"/>
          </w:rPr>
          <w:fldChar w:fldCharType="separate"/>
        </w:r>
        <w:r>
          <w:rPr>
            <w:noProof w:val="1"/>
          </w:rPr>
          <w:t>26</w:t>
        </w:r>
        <w:r>
          <w:rPr>
            <w:noProof w:val="1"/>
          </w:rPr>
          <w:fldChar w:fldCharType="end"/>
        </w:r>
      </w:hyperlink>
    </w:p>
    <w:p>
      <w:pPr>
        <w:pStyle w:val="P22"/>
        <w:rPr>
          <w:rFonts w:asciiTheme="minorHAnsi" w:hAnsiTheme="minorHAnsi" w:cstheme="minorBidi"/>
          <w:noProof w:val="1"/>
          <w:lang w:eastAsia="sv-SE"/>
        </w:rPr>
      </w:pPr>
      <w:hyperlink w:anchor="_Toc214961311">
        <w:r>
          <w:rPr>
            <w:rStyle w:val="C2"/>
            <w:noProof w:val="1"/>
          </w:rPr>
          <w:t>5.2.7</w:t>
        </w:r>
        <w:r>
          <w:rPr>
            <w:rFonts w:asciiTheme="minorHAnsi" w:hAnsiTheme="minorHAnsi" w:cstheme="minorBidi"/>
            <w:noProof w:val="1"/>
            <w:lang w:eastAsia="sv-SE"/>
          </w:rPr>
          <w:tab/>
        </w:r>
        <w:r>
          <w:rPr>
            <w:rStyle w:val="C2"/>
            <w:noProof w:val="1"/>
          </w:rPr>
          <w:t>Totalförsvarets militära del</w:t>
        </w:r>
        <w:r>
          <w:rPr>
            <w:noProof w:val="1"/>
          </w:rPr>
          <w:tab/>
        </w:r>
        <w:r>
          <w:rPr>
            <w:noProof w:val="1"/>
          </w:rPr>
          <w:fldChar w:fldCharType="begin"/>
        </w:r>
        <w:r>
          <w:rPr>
            <w:noProof w:val="1"/>
          </w:rPr>
          <w:instrText xml:space="preserve"> PAGEREF _Toc214961311 \h </w:instrText>
        </w:r>
        <w:r>
          <w:rPr>
            <w:noProof w:val="1"/>
          </w:rPr>
          <w:fldChar w:fldCharType="separate"/>
        </w:r>
        <w:r>
          <w:rPr>
            <w:noProof w:val="1"/>
          </w:rPr>
          <w:t>27</w:t>
        </w:r>
        <w:r>
          <w:rPr>
            <w:noProof w:val="1"/>
          </w:rPr>
          <w:fldChar w:fldCharType="end"/>
        </w:r>
      </w:hyperlink>
    </w:p>
    <w:p>
      <w:pPr>
        <w:pStyle w:val="P22"/>
        <w:rPr>
          <w:rFonts w:asciiTheme="minorHAnsi" w:hAnsiTheme="minorHAnsi" w:cstheme="minorBidi"/>
          <w:noProof w:val="1"/>
          <w:lang w:eastAsia="sv-SE"/>
        </w:rPr>
      </w:pPr>
      <w:hyperlink w:anchor="_Toc214961312">
        <w:r>
          <w:rPr>
            <w:rStyle w:val="C2"/>
            <w:noProof w:val="1"/>
          </w:rPr>
          <w:t>5.2.8</w:t>
        </w:r>
        <w:r>
          <w:rPr>
            <w:rFonts w:asciiTheme="minorHAnsi" w:hAnsiTheme="minorHAnsi" w:cstheme="minorBidi"/>
            <w:noProof w:val="1"/>
            <w:lang w:eastAsia="sv-SE"/>
          </w:rPr>
          <w:tab/>
        </w:r>
        <w:r>
          <w:rPr>
            <w:rStyle w:val="C2"/>
            <w:noProof w:val="1"/>
          </w:rPr>
          <w:t>Kommunikationer E4:an</w:t>
        </w:r>
        <w:r>
          <w:rPr>
            <w:noProof w:val="1"/>
          </w:rPr>
          <w:tab/>
        </w:r>
        <w:r>
          <w:rPr>
            <w:noProof w:val="1"/>
          </w:rPr>
          <w:fldChar w:fldCharType="begin"/>
        </w:r>
        <w:r>
          <w:rPr>
            <w:noProof w:val="1"/>
          </w:rPr>
          <w:instrText xml:space="preserve"> PAGEREF _Toc214961312 \h </w:instrText>
        </w:r>
        <w:r>
          <w:rPr>
            <w:noProof w:val="1"/>
          </w:rPr>
          <w:fldChar w:fldCharType="separate"/>
        </w:r>
        <w:r>
          <w:rPr>
            <w:noProof w:val="1"/>
          </w:rPr>
          <w:t>27</w:t>
        </w:r>
        <w:r>
          <w:rPr>
            <w:noProof w:val="1"/>
          </w:rPr>
          <w:fldChar w:fldCharType="end"/>
        </w:r>
      </w:hyperlink>
    </w:p>
    <w:p>
      <w:pPr>
        <w:pStyle w:val="P21"/>
        <w:rPr>
          <w:rFonts w:asciiTheme="minorHAnsi" w:hAnsiTheme="minorHAnsi" w:cstheme="minorBidi"/>
          <w:noProof w:val="1"/>
          <w:lang w:eastAsia="sv-SE"/>
        </w:rPr>
      </w:pPr>
      <w:hyperlink w:anchor="_Toc214961313">
        <w:r>
          <w:rPr>
            <w:rStyle w:val="C2"/>
            <w:noProof w:val="1"/>
          </w:rPr>
          <w:t>5.3</w:t>
        </w:r>
        <w:r>
          <w:rPr>
            <w:rFonts w:asciiTheme="minorHAnsi" w:hAnsiTheme="minorHAnsi" w:cstheme="minorBidi"/>
            <w:noProof w:val="1"/>
            <w:lang w:eastAsia="sv-SE"/>
          </w:rPr>
          <w:tab/>
        </w:r>
        <w:r>
          <w:rPr>
            <w:rStyle w:val="C2"/>
            <w:noProof w:val="1"/>
          </w:rPr>
          <w:t>Strandskydd</w:t>
        </w:r>
        <w:r>
          <w:rPr>
            <w:noProof w:val="1"/>
          </w:rPr>
          <w:tab/>
        </w:r>
        <w:r>
          <w:rPr>
            <w:noProof w:val="1"/>
          </w:rPr>
          <w:fldChar w:fldCharType="begin"/>
        </w:r>
        <w:r>
          <w:rPr>
            <w:noProof w:val="1"/>
          </w:rPr>
          <w:instrText xml:space="preserve"> PAGEREF _Toc214961313 \h </w:instrText>
        </w:r>
        <w:r>
          <w:rPr>
            <w:noProof w:val="1"/>
          </w:rPr>
          <w:fldChar w:fldCharType="separate"/>
        </w:r>
        <w:r>
          <w:rPr>
            <w:noProof w:val="1"/>
          </w:rPr>
          <w:t>28</w:t>
        </w:r>
        <w:r>
          <w:rPr>
            <w:noProof w:val="1"/>
          </w:rPr>
          <w:fldChar w:fldCharType="end"/>
        </w:r>
      </w:hyperlink>
    </w:p>
    <w:p>
      <w:pPr>
        <w:pStyle w:val="P21"/>
        <w:rPr>
          <w:rFonts w:asciiTheme="minorHAnsi" w:hAnsiTheme="minorHAnsi" w:cstheme="minorBidi"/>
          <w:noProof w:val="1"/>
          <w:lang w:eastAsia="sv-SE"/>
        </w:rPr>
      </w:pPr>
      <w:hyperlink w:anchor="_Toc214961314">
        <w:r>
          <w:rPr>
            <w:rStyle w:val="C2"/>
            <w:noProof w:val="1"/>
          </w:rPr>
          <w:t>5.4</w:t>
        </w:r>
        <w:r>
          <w:rPr>
            <w:rFonts w:asciiTheme="minorHAnsi" w:hAnsiTheme="minorHAnsi" w:cstheme="minorBidi"/>
            <w:noProof w:val="1"/>
            <w:lang w:eastAsia="sv-SE"/>
          </w:rPr>
          <w:tab/>
        </w:r>
        <w:r>
          <w:rPr>
            <w:rStyle w:val="C2"/>
            <w:noProof w:val="1"/>
          </w:rPr>
          <w:t>Bebyggelse</w:t>
        </w:r>
        <w:r>
          <w:rPr>
            <w:noProof w:val="1"/>
          </w:rPr>
          <w:tab/>
        </w:r>
        <w:r>
          <w:rPr>
            <w:noProof w:val="1"/>
          </w:rPr>
          <w:fldChar w:fldCharType="begin"/>
        </w:r>
        <w:r>
          <w:rPr>
            <w:noProof w:val="1"/>
          </w:rPr>
          <w:instrText xml:space="preserve"> PAGEREF _Toc214961314 \h </w:instrText>
        </w:r>
        <w:r>
          <w:rPr>
            <w:noProof w:val="1"/>
          </w:rPr>
          <w:fldChar w:fldCharType="separate"/>
        </w:r>
        <w:r>
          <w:rPr>
            <w:noProof w:val="1"/>
          </w:rPr>
          <w:t>29</w:t>
        </w:r>
        <w:r>
          <w:rPr>
            <w:noProof w:val="1"/>
          </w:rPr>
          <w:fldChar w:fldCharType="end"/>
        </w:r>
      </w:hyperlink>
    </w:p>
    <w:p>
      <w:pPr>
        <w:pStyle w:val="P21"/>
        <w:rPr>
          <w:rFonts w:asciiTheme="minorHAnsi" w:hAnsiTheme="minorHAnsi" w:cstheme="minorBidi"/>
          <w:noProof w:val="1"/>
          <w:lang w:eastAsia="sv-SE"/>
        </w:rPr>
      </w:pPr>
      <w:hyperlink w:anchor="_Toc214961315">
        <w:r>
          <w:rPr>
            <w:rStyle w:val="C2"/>
            <w:noProof w:val="1"/>
          </w:rPr>
          <w:t>5.5</w:t>
        </w:r>
        <w:r>
          <w:rPr>
            <w:rFonts w:asciiTheme="minorHAnsi" w:hAnsiTheme="minorHAnsi" w:cstheme="minorBidi"/>
            <w:noProof w:val="1"/>
            <w:lang w:eastAsia="sv-SE"/>
          </w:rPr>
          <w:tab/>
        </w:r>
        <w:r>
          <w:rPr>
            <w:rStyle w:val="C2"/>
            <w:noProof w:val="1"/>
          </w:rPr>
          <w:t>Landskapsbild</w:t>
        </w:r>
        <w:r>
          <w:rPr>
            <w:noProof w:val="1"/>
          </w:rPr>
          <w:tab/>
        </w:r>
        <w:r>
          <w:rPr>
            <w:noProof w:val="1"/>
          </w:rPr>
          <w:fldChar w:fldCharType="begin"/>
        </w:r>
        <w:r>
          <w:rPr>
            <w:noProof w:val="1"/>
          </w:rPr>
          <w:instrText xml:space="preserve"> PAGEREF _Toc214961315 \h </w:instrText>
        </w:r>
        <w:r>
          <w:rPr>
            <w:noProof w:val="1"/>
          </w:rPr>
          <w:fldChar w:fldCharType="separate"/>
        </w:r>
        <w:r>
          <w:rPr>
            <w:noProof w:val="1"/>
          </w:rPr>
          <w:t>30</w:t>
        </w:r>
        <w:r>
          <w:rPr>
            <w:noProof w:val="1"/>
          </w:rPr>
          <w:fldChar w:fldCharType="end"/>
        </w:r>
      </w:hyperlink>
    </w:p>
    <w:p>
      <w:pPr>
        <w:pStyle w:val="P21"/>
        <w:rPr>
          <w:rFonts w:asciiTheme="minorHAnsi" w:hAnsiTheme="minorHAnsi" w:cstheme="minorBidi"/>
          <w:noProof w:val="1"/>
          <w:lang w:eastAsia="sv-SE"/>
        </w:rPr>
      </w:pPr>
      <w:hyperlink w:anchor="_Toc214961316">
        <w:r>
          <w:rPr>
            <w:rStyle w:val="C2"/>
            <w:noProof w:val="1"/>
          </w:rPr>
          <w:t>5.6</w:t>
        </w:r>
        <w:r>
          <w:rPr>
            <w:rFonts w:asciiTheme="minorHAnsi" w:hAnsiTheme="minorHAnsi" w:cstheme="minorBidi"/>
            <w:noProof w:val="1"/>
            <w:lang w:eastAsia="sv-SE"/>
          </w:rPr>
          <w:tab/>
        </w:r>
        <w:r>
          <w:rPr>
            <w:rStyle w:val="C2"/>
            <w:noProof w:val="1"/>
          </w:rPr>
          <w:t>Kulturmiljö och arkeologi</w:t>
        </w:r>
        <w:r>
          <w:rPr>
            <w:noProof w:val="1"/>
          </w:rPr>
          <w:tab/>
        </w:r>
        <w:r>
          <w:rPr>
            <w:noProof w:val="1"/>
          </w:rPr>
          <w:fldChar w:fldCharType="begin"/>
        </w:r>
        <w:r>
          <w:rPr>
            <w:noProof w:val="1"/>
          </w:rPr>
          <w:instrText xml:space="preserve"> PAGEREF _Toc214961316 \h </w:instrText>
        </w:r>
        <w:r>
          <w:rPr>
            <w:noProof w:val="1"/>
          </w:rPr>
          <w:fldChar w:fldCharType="separate"/>
        </w:r>
        <w:r>
          <w:rPr>
            <w:noProof w:val="1"/>
          </w:rPr>
          <w:t>32</w:t>
        </w:r>
        <w:r>
          <w:rPr>
            <w:noProof w:val="1"/>
          </w:rPr>
          <w:fldChar w:fldCharType="end"/>
        </w:r>
      </w:hyperlink>
    </w:p>
    <w:p>
      <w:pPr>
        <w:pStyle w:val="P22"/>
        <w:rPr>
          <w:rFonts w:asciiTheme="minorHAnsi" w:hAnsiTheme="minorHAnsi" w:cstheme="minorBidi"/>
          <w:noProof w:val="1"/>
          <w:lang w:eastAsia="sv-SE"/>
        </w:rPr>
      </w:pPr>
      <w:hyperlink w:anchor="_Toc214961317">
        <w:r>
          <w:rPr>
            <w:rStyle w:val="C2"/>
            <w:noProof w:val="1"/>
          </w:rPr>
          <w:t>5.6.1</w:t>
        </w:r>
        <w:r>
          <w:rPr>
            <w:rFonts w:asciiTheme="minorHAnsi" w:hAnsiTheme="minorHAnsi" w:cstheme="minorBidi"/>
            <w:noProof w:val="1"/>
            <w:lang w:eastAsia="sv-SE"/>
          </w:rPr>
          <w:tab/>
        </w:r>
        <w:r>
          <w:rPr>
            <w:rStyle w:val="C2"/>
            <w:noProof w:val="1"/>
          </w:rPr>
          <w:t>Kulturmiljö</w:t>
        </w:r>
        <w:r>
          <w:rPr>
            <w:noProof w:val="1"/>
          </w:rPr>
          <w:tab/>
        </w:r>
        <w:r>
          <w:rPr>
            <w:noProof w:val="1"/>
          </w:rPr>
          <w:fldChar w:fldCharType="begin"/>
        </w:r>
        <w:r>
          <w:rPr>
            <w:noProof w:val="1"/>
          </w:rPr>
          <w:instrText xml:space="preserve"> PAGEREF _Toc214961317 \h </w:instrText>
        </w:r>
        <w:r>
          <w:rPr>
            <w:noProof w:val="1"/>
          </w:rPr>
          <w:fldChar w:fldCharType="separate"/>
        </w:r>
        <w:r>
          <w:rPr>
            <w:noProof w:val="1"/>
          </w:rPr>
          <w:t>32</w:t>
        </w:r>
        <w:r>
          <w:rPr>
            <w:noProof w:val="1"/>
          </w:rPr>
          <w:fldChar w:fldCharType="end"/>
        </w:r>
      </w:hyperlink>
    </w:p>
    <w:p>
      <w:pPr>
        <w:pStyle w:val="P22"/>
        <w:rPr>
          <w:rFonts w:asciiTheme="minorHAnsi" w:hAnsiTheme="minorHAnsi" w:cstheme="minorBidi"/>
          <w:noProof w:val="1"/>
          <w:lang w:eastAsia="sv-SE"/>
        </w:rPr>
      </w:pPr>
      <w:hyperlink w:anchor="_Toc214961318">
        <w:r>
          <w:rPr>
            <w:rStyle w:val="C2"/>
            <w:noProof w:val="1"/>
          </w:rPr>
          <w:t>5.6.2</w:t>
        </w:r>
        <w:r>
          <w:rPr>
            <w:rFonts w:asciiTheme="minorHAnsi" w:hAnsiTheme="minorHAnsi" w:cstheme="minorBidi"/>
            <w:noProof w:val="1"/>
            <w:lang w:eastAsia="sv-SE"/>
          </w:rPr>
          <w:tab/>
        </w:r>
        <w:r>
          <w:rPr>
            <w:rStyle w:val="C2"/>
            <w:noProof w:val="1"/>
          </w:rPr>
          <w:t>Arkeologi</w:t>
        </w:r>
        <w:r>
          <w:rPr>
            <w:noProof w:val="1"/>
          </w:rPr>
          <w:tab/>
        </w:r>
        <w:r>
          <w:rPr>
            <w:noProof w:val="1"/>
          </w:rPr>
          <w:fldChar w:fldCharType="begin"/>
        </w:r>
        <w:r>
          <w:rPr>
            <w:noProof w:val="1"/>
          </w:rPr>
          <w:instrText xml:space="preserve"> PAGEREF _Toc214961318 \h </w:instrText>
        </w:r>
        <w:r>
          <w:rPr>
            <w:noProof w:val="1"/>
          </w:rPr>
          <w:fldChar w:fldCharType="separate"/>
        </w:r>
        <w:r>
          <w:rPr>
            <w:noProof w:val="1"/>
          </w:rPr>
          <w:t>33</w:t>
        </w:r>
        <w:r>
          <w:rPr>
            <w:noProof w:val="1"/>
          </w:rPr>
          <w:fldChar w:fldCharType="end"/>
        </w:r>
      </w:hyperlink>
    </w:p>
    <w:p>
      <w:pPr>
        <w:pStyle w:val="P21"/>
        <w:rPr>
          <w:rFonts w:asciiTheme="minorHAnsi" w:hAnsiTheme="minorHAnsi" w:cstheme="minorBidi"/>
          <w:noProof w:val="1"/>
          <w:lang w:eastAsia="sv-SE"/>
        </w:rPr>
      </w:pPr>
      <w:hyperlink w:anchor="_Toc214961319">
        <w:r>
          <w:rPr>
            <w:rStyle w:val="C2"/>
            <w:noProof w:val="1"/>
          </w:rPr>
          <w:t>5.7</w:t>
        </w:r>
        <w:r>
          <w:rPr>
            <w:rFonts w:asciiTheme="minorHAnsi" w:hAnsiTheme="minorHAnsi" w:cstheme="minorBidi"/>
            <w:noProof w:val="1"/>
            <w:lang w:eastAsia="sv-SE"/>
          </w:rPr>
          <w:tab/>
        </w:r>
        <w:r>
          <w:rPr>
            <w:rStyle w:val="C2"/>
            <w:noProof w:val="1"/>
          </w:rPr>
          <w:t>Natur</w:t>
        </w:r>
        <w:r>
          <w:rPr>
            <w:noProof w:val="1"/>
          </w:rPr>
          <w:tab/>
        </w:r>
        <w:r>
          <w:rPr>
            <w:noProof w:val="1"/>
          </w:rPr>
          <w:fldChar w:fldCharType="begin"/>
        </w:r>
        <w:r>
          <w:rPr>
            <w:noProof w:val="1"/>
          </w:rPr>
          <w:instrText xml:space="preserve"> PAGEREF _Toc214961319 \h </w:instrText>
        </w:r>
        <w:r>
          <w:rPr>
            <w:noProof w:val="1"/>
          </w:rPr>
          <w:fldChar w:fldCharType="separate"/>
        </w:r>
        <w:r>
          <w:rPr>
            <w:noProof w:val="1"/>
          </w:rPr>
          <w:t>34</w:t>
        </w:r>
        <w:r>
          <w:rPr>
            <w:noProof w:val="1"/>
          </w:rPr>
          <w:fldChar w:fldCharType="end"/>
        </w:r>
      </w:hyperlink>
    </w:p>
    <w:p>
      <w:pPr>
        <w:pStyle w:val="P22"/>
        <w:rPr>
          <w:rFonts w:asciiTheme="minorHAnsi" w:hAnsiTheme="minorHAnsi" w:cstheme="minorBidi"/>
          <w:noProof w:val="1"/>
          <w:lang w:eastAsia="sv-SE"/>
        </w:rPr>
      </w:pPr>
      <w:hyperlink w:anchor="_Toc214961320">
        <w:r>
          <w:rPr>
            <w:rStyle w:val="C2"/>
            <w:noProof w:val="1"/>
          </w:rPr>
          <w:t>5.7.1</w:t>
        </w:r>
        <w:r>
          <w:rPr>
            <w:rFonts w:asciiTheme="minorHAnsi" w:hAnsiTheme="minorHAnsi" w:cstheme="minorBidi"/>
            <w:noProof w:val="1"/>
            <w:lang w:eastAsia="sv-SE"/>
          </w:rPr>
          <w:tab/>
        </w:r>
        <w:r>
          <w:rPr>
            <w:rStyle w:val="C2"/>
            <w:noProof w:val="1"/>
          </w:rPr>
          <w:t>Naturmiljö, biologisk mångfald och skyddade arter</w:t>
        </w:r>
        <w:r>
          <w:rPr>
            <w:noProof w:val="1"/>
          </w:rPr>
          <w:tab/>
        </w:r>
        <w:r>
          <w:rPr>
            <w:noProof w:val="1"/>
          </w:rPr>
          <w:fldChar w:fldCharType="begin"/>
        </w:r>
        <w:r>
          <w:rPr>
            <w:noProof w:val="1"/>
          </w:rPr>
          <w:instrText xml:space="preserve"> PAGEREF _Toc214961320 \h </w:instrText>
        </w:r>
        <w:r>
          <w:rPr>
            <w:noProof w:val="1"/>
          </w:rPr>
          <w:fldChar w:fldCharType="separate"/>
        </w:r>
        <w:r>
          <w:rPr>
            <w:noProof w:val="1"/>
          </w:rPr>
          <w:t>34</w:t>
        </w:r>
        <w:r>
          <w:rPr>
            <w:noProof w:val="1"/>
          </w:rPr>
          <w:fldChar w:fldCharType="end"/>
        </w:r>
      </w:hyperlink>
    </w:p>
    <w:p>
      <w:pPr>
        <w:pStyle w:val="P22"/>
        <w:rPr>
          <w:rFonts w:asciiTheme="minorHAnsi" w:hAnsiTheme="minorHAnsi" w:cstheme="minorBidi"/>
          <w:noProof w:val="1"/>
          <w:lang w:eastAsia="sv-SE"/>
        </w:rPr>
      </w:pPr>
      <w:hyperlink w:anchor="_Toc214961321">
        <w:r>
          <w:rPr>
            <w:rStyle w:val="C2"/>
            <w:noProof w:val="1"/>
          </w:rPr>
          <w:t>5.7.2</w:t>
        </w:r>
        <w:r>
          <w:rPr>
            <w:rFonts w:asciiTheme="minorHAnsi" w:hAnsiTheme="minorHAnsi" w:cstheme="minorBidi"/>
            <w:noProof w:val="1"/>
            <w:lang w:eastAsia="sv-SE"/>
          </w:rPr>
          <w:tab/>
        </w:r>
        <w:r>
          <w:rPr>
            <w:rStyle w:val="C2"/>
            <w:noProof w:val="1"/>
          </w:rPr>
          <w:t>Spridningskorridor</w:t>
        </w:r>
        <w:r>
          <w:rPr>
            <w:noProof w:val="1"/>
          </w:rPr>
          <w:tab/>
        </w:r>
        <w:r>
          <w:rPr>
            <w:noProof w:val="1"/>
          </w:rPr>
          <w:fldChar w:fldCharType="begin"/>
        </w:r>
        <w:r>
          <w:rPr>
            <w:noProof w:val="1"/>
          </w:rPr>
          <w:instrText xml:space="preserve"> PAGEREF _Toc214961321 \h </w:instrText>
        </w:r>
        <w:r>
          <w:rPr>
            <w:noProof w:val="1"/>
          </w:rPr>
          <w:fldChar w:fldCharType="separate"/>
        </w:r>
        <w:r>
          <w:rPr>
            <w:noProof w:val="1"/>
          </w:rPr>
          <w:t>39</w:t>
        </w:r>
        <w:r>
          <w:rPr>
            <w:noProof w:val="1"/>
          </w:rPr>
          <w:fldChar w:fldCharType="end"/>
        </w:r>
      </w:hyperlink>
    </w:p>
    <w:p>
      <w:pPr>
        <w:pStyle w:val="P21"/>
        <w:rPr>
          <w:rFonts w:asciiTheme="minorHAnsi" w:hAnsiTheme="minorHAnsi" w:cstheme="minorBidi"/>
          <w:noProof w:val="1"/>
          <w:lang w:eastAsia="sv-SE"/>
        </w:rPr>
      </w:pPr>
      <w:hyperlink w:anchor="_Toc214961322">
        <w:r>
          <w:rPr>
            <w:rStyle w:val="C2"/>
            <w:noProof w:val="1"/>
          </w:rPr>
          <w:t>5.8</w:t>
        </w:r>
        <w:r>
          <w:rPr>
            <w:rFonts w:asciiTheme="minorHAnsi" w:hAnsiTheme="minorHAnsi" w:cstheme="minorBidi"/>
            <w:noProof w:val="1"/>
            <w:lang w:eastAsia="sv-SE"/>
          </w:rPr>
          <w:tab/>
        </w:r>
        <w:r>
          <w:rPr>
            <w:rStyle w:val="C2"/>
            <w:noProof w:val="1"/>
          </w:rPr>
          <w:t>Gator och trafik</w:t>
        </w:r>
        <w:r>
          <w:rPr>
            <w:noProof w:val="1"/>
          </w:rPr>
          <w:tab/>
        </w:r>
        <w:r>
          <w:rPr>
            <w:noProof w:val="1"/>
          </w:rPr>
          <w:fldChar w:fldCharType="begin"/>
        </w:r>
        <w:r>
          <w:rPr>
            <w:noProof w:val="1"/>
          </w:rPr>
          <w:instrText xml:space="preserve"> PAGEREF _Toc214961322 \h </w:instrText>
        </w:r>
        <w:r>
          <w:rPr>
            <w:noProof w:val="1"/>
          </w:rPr>
          <w:fldChar w:fldCharType="separate"/>
        </w:r>
        <w:r>
          <w:rPr>
            <w:noProof w:val="1"/>
          </w:rPr>
          <w:t>40</w:t>
        </w:r>
        <w:r>
          <w:rPr>
            <w:noProof w:val="1"/>
          </w:rPr>
          <w:fldChar w:fldCharType="end"/>
        </w:r>
      </w:hyperlink>
    </w:p>
    <w:p>
      <w:pPr>
        <w:pStyle w:val="P22"/>
        <w:rPr>
          <w:rFonts w:asciiTheme="minorHAnsi" w:hAnsiTheme="minorHAnsi" w:cstheme="minorBidi"/>
          <w:noProof w:val="1"/>
          <w:lang w:eastAsia="sv-SE"/>
        </w:rPr>
      </w:pPr>
      <w:hyperlink w:anchor="_Toc214961323">
        <w:r>
          <w:rPr>
            <w:rStyle w:val="C2"/>
            <w:noProof w:val="1"/>
          </w:rPr>
          <w:t>5.8.1</w:t>
        </w:r>
        <w:r>
          <w:rPr>
            <w:rFonts w:asciiTheme="minorHAnsi" w:hAnsiTheme="minorHAnsi" w:cstheme="minorBidi"/>
            <w:noProof w:val="1"/>
            <w:lang w:eastAsia="sv-SE"/>
          </w:rPr>
          <w:tab/>
        </w:r>
        <w:r>
          <w:rPr>
            <w:rStyle w:val="C2"/>
            <w:noProof w:val="1"/>
          </w:rPr>
          <w:t>Gång- och cykeltrafik och parkering</w:t>
        </w:r>
        <w:r>
          <w:rPr>
            <w:noProof w:val="1"/>
          </w:rPr>
          <w:tab/>
        </w:r>
        <w:r>
          <w:rPr>
            <w:noProof w:val="1"/>
          </w:rPr>
          <w:fldChar w:fldCharType="begin"/>
        </w:r>
        <w:r>
          <w:rPr>
            <w:noProof w:val="1"/>
          </w:rPr>
          <w:instrText xml:space="preserve"> PAGEREF _Toc214961323 \h </w:instrText>
        </w:r>
        <w:r>
          <w:rPr>
            <w:noProof w:val="1"/>
          </w:rPr>
          <w:fldChar w:fldCharType="separate"/>
        </w:r>
        <w:r>
          <w:rPr>
            <w:noProof w:val="1"/>
          </w:rPr>
          <w:t>40</w:t>
        </w:r>
        <w:r>
          <w:rPr>
            <w:noProof w:val="1"/>
          </w:rPr>
          <w:fldChar w:fldCharType="end"/>
        </w:r>
      </w:hyperlink>
    </w:p>
    <w:p>
      <w:pPr>
        <w:pStyle w:val="P21"/>
        <w:rPr>
          <w:rFonts w:asciiTheme="minorHAnsi" w:hAnsiTheme="minorHAnsi" w:cstheme="minorBidi"/>
          <w:noProof w:val="1"/>
          <w:lang w:eastAsia="sv-SE"/>
        </w:rPr>
      </w:pPr>
      <w:hyperlink w:anchor="_Toc214961324">
        <w:r>
          <w:rPr>
            <w:rStyle w:val="C2"/>
            <w:noProof w:val="1"/>
          </w:rPr>
          <w:t>5.9</w:t>
        </w:r>
        <w:r>
          <w:rPr>
            <w:rFonts w:asciiTheme="minorHAnsi" w:hAnsiTheme="minorHAnsi" w:cstheme="minorBidi"/>
            <w:noProof w:val="1"/>
            <w:lang w:eastAsia="sv-SE"/>
          </w:rPr>
          <w:tab/>
        </w:r>
        <w:r>
          <w:rPr>
            <w:rStyle w:val="C2"/>
            <w:noProof w:val="1"/>
          </w:rPr>
          <w:t>Mark och geoteknik</w:t>
        </w:r>
        <w:r>
          <w:rPr>
            <w:noProof w:val="1"/>
          </w:rPr>
          <w:tab/>
        </w:r>
        <w:r>
          <w:rPr>
            <w:noProof w:val="1"/>
          </w:rPr>
          <w:fldChar w:fldCharType="begin"/>
        </w:r>
        <w:r>
          <w:rPr>
            <w:noProof w:val="1"/>
          </w:rPr>
          <w:instrText xml:space="preserve"> PAGEREF _Toc214961324 \h </w:instrText>
        </w:r>
        <w:r>
          <w:rPr>
            <w:noProof w:val="1"/>
          </w:rPr>
          <w:fldChar w:fldCharType="separate"/>
        </w:r>
        <w:r>
          <w:rPr>
            <w:noProof w:val="1"/>
          </w:rPr>
          <w:t>41</w:t>
        </w:r>
        <w:r>
          <w:rPr>
            <w:noProof w:val="1"/>
          </w:rPr>
          <w:fldChar w:fldCharType="end"/>
        </w:r>
      </w:hyperlink>
    </w:p>
    <w:p>
      <w:pPr>
        <w:pStyle w:val="P22"/>
        <w:rPr>
          <w:rFonts w:asciiTheme="minorHAnsi" w:hAnsiTheme="minorHAnsi" w:cstheme="minorBidi"/>
          <w:noProof w:val="1"/>
          <w:lang w:eastAsia="sv-SE"/>
        </w:rPr>
      </w:pPr>
      <w:hyperlink w:anchor="_Toc214961325">
        <w:r>
          <w:rPr>
            <w:rStyle w:val="C2"/>
            <w:noProof w:val="1"/>
          </w:rPr>
          <w:t>5.9.1</w:t>
        </w:r>
        <w:r>
          <w:rPr>
            <w:rFonts w:asciiTheme="minorHAnsi" w:hAnsiTheme="minorHAnsi" w:cstheme="minorBidi"/>
            <w:noProof w:val="1"/>
            <w:lang w:eastAsia="sv-SE"/>
          </w:rPr>
          <w:tab/>
        </w:r>
        <w:r>
          <w:rPr>
            <w:rStyle w:val="C2"/>
            <w:noProof w:val="1"/>
          </w:rPr>
          <w:t>Geotekniska förhållanden</w:t>
        </w:r>
        <w:r>
          <w:rPr>
            <w:noProof w:val="1"/>
          </w:rPr>
          <w:tab/>
        </w:r>
        <w:r>
          <w:rPr>
            <w:noProof w:val="1"/>
          </w:rPr>
          <w:fldChar w:fldCharType="begin"/>
        </w:r>
        <w:r>
          <w:rPr>
            <w:noProof w:val="1"/>
          </w:rPr>
          <w:instrText xml:space="preserve"> PAGEREF _Toc214961325 \h </w:instrText>
        </w:r>
        <w:r>
          <w:rPr>
            <w:noProof w:val="1"/>
          </w:rPr>
          <w:fldChar w:fldCharType="separate"/>
        </w:r>
        <w:r>
          <w:rPr>
            <w:noProof w:val="1"/>
          </w:rPr>
          <w:t>41</w:t>
        </w:r>
        <w:r>
          <w:rPr>
            <w:noProof w:val="1"/>
          </w:rPr>
          <w:fldChar w:fldCharType="end"/>
        </w:r>
      </w:hyperlink>
    </w:p>
    <w:p>
      <w:pPr>
        <w:pStyle w:val="P21"/>
        <w:rPr>
          <w:rFonts w:asciiTheme="minorHAnsi" w:hAnsiTheme="minorHAnsi" w:cstheme="minorBidi"/>
          <w:noProof w:val="1"/>
          <w:lang w:eastAsia="sv-SE"/>
        </w:rPr>
      </w:pPr>
      <w:hyperlink w:anchor="_Toc214961326">
        <w:r>
          <w:rPr>
            <w:rStyle w:val="C2"/>
            <w:noProof w:val="1"/>
          </w:rPr>
          <w:t>5.10</w:t>
        </w:r>
        <w:r>
          <w:rPr>
            <w:rFonts w:asciiTheme="minorHAnsi" w:hAnsiTheme="minorHAnsi" w:cstheme="minorBidi"/>
            <w:noProof w:val="1"/>
            <w:lang w:eastAsia="sv-SE"/>
          </w:rPr>
          <w:tab/>
        </w:r>
        <w:r>
          <w:rPr>
            <w:rStyle w:val="C2"/>
            <w:noProof w:val="1"/>
          </w:rPr>
          <w:t>Hälsa säkerhet</w:t>
        </w:r>
        <w:r>
          <w:rPr>
            <w:noProof w:val="1"/>
          </w:rPr>
          <w:tab/>
        </w:r>
        <w:r>
          <w:rPr>
            <w:noProof w:val="1"/>
          </w:rPr>
          <w:fldChar w:fldCharType="begin"/>
        </w:r>
        <w:r>
          <w:rPr>
            <w:noProof w:val="1"/>
          </w:rPr>
          <w:instrText xml:space="preserve"> PAGEREF _Toc214961326 \h </w:instrText>
        </w:r>
        <w:r>
          <w:rPr>
            <w:noProof w:val="1"/>
          </w:rPr>
          <w:fldChar w:fldCharType="separate"/>
        </w:r>
        <w:r>
          <w:rPr>
            <w:noProof w:val="1"/>
          </w:rPr>
          <w:t>41</w:t>
        </w:r>
        <w:r>
          <w:rPr>
            <w:noProof w:val="1"/>
          </w:rPr>
          <w:fldChar w:fldCharType="end"/>
        </w:r>
      </w:hyperlink>
    </w:p>
    <w:p>
      <w:pPr>
        <w:pStyle w:val="P22"/>
        <w:rPr>
          <w:rFonts w:asciiTheme="minorHAnsi" w:hAnsiTheme="minorHAnsi" w:cstheme="minorBidi"/>
          <w:noProof w:val="1"/>
          <w:lang w:eastAsia="sv-SE"/>
        </w:rPr>
      </w:pPr>
      <w:hyperlink w:anchor="_Toc214961327">
        <w:r>
          <w:rPr>
            <w:rStyle w:val="C2"/>
            <w:noProof w:val="1"/>
          </w:rPr>
          <w:t>5.10.1</w:t>
        </w:r>
        <w:r>
          <w:rPr>
            <w:rFonts w:asciiTheme="minorHAnsi" w:hAnsiTheme="minorHAnsi" w:cstheme="minorBidi"/>
            <w:noProof w:val="1"/>
            <w:lang w:eastAsia="sv-SE"/>
          </w:rPr>
          <w:tab/>
        </w:r>
        <w:r>
          <w:rPr>
            <w:rStyle w:val="C2"/>
            <w:noProof w:val="1"/>
          </w:rPr>
          <w:t>Förorenad mark</w:t>
        </w:r>
        <w:r>
          <w:rPr>
            <w:noProof w:val="1"/>
          </w:rPr>
          <w:tab/>
        </w:r>
        <w:r>
          <w:rPr>
            <w:noProof w:val="1"/>
          </w:rPr>
          <w:fldChar w:fldCharType="begin"/>
        </w:r>
        <w:r>
          <w:rPr>
            <w:noProof w:val="1"/>
          </w:rPr>
          <w:instrText xml:space="preserve"> PAGEREF _Toc214961327 \h </w:instrText>
        </w:r>
        <w:r>
          <w:rPr>
            <w:noProof w:val="1"/>
          </w:rPr>
          <w:fldChar w:fldCharType="separate"/>
        </w:r>
        <w:r>
          <w:rPr>
            <w:noProof w:val="1"/>
          </w:rPr>
          <w:t>41</w:t>
        </w:r>
        <w:r>
          <w:rPr>
            <w:noProof w:val="1"/>
          </w:rPr>
          <w:fldChar w:fldCharType="end"/>
        </w:r>
      </w:hyperlink>
    </w:p>
    <w:p>
      <w:pPr>
        <w:pStyle w:val="P22"/>
        <w:rPr>
          <w:rFonts w:asciiTheme="minorHAnsi" w:hAnsiTheme="minorHAnsi" w:cstheme="minorBidi"/>
          <w:noProof w:val="1"/>
          <w:lang w:eastAsia="sv-SE"/>
        </w:rPr>
      </w:pPr>
      <w:hyperlink w:anchor="_Toc214961328">
        <w:r>
          <w:rPr>
            <w:rStyle w:val="C2"/>
            <w:noProof w:val="1"/>
          </w:rPr>
          <w:t>5.10.2</w:t>
        </w:r>
        <w:r>
          <w:rPr>
            <w:rFonts w:asciiTheme="minorHAnsi" w:hAnsiTheme="minorHAnsi" w:cstheme="minorBidi"/>
            <w:noProof w:val="1"/>
            <w:lang w:eastAsia="sv-SE"/>
          </w:rPr>
          <w:tab/>
        </w:r>
        <w:r>
          <w:rPr>
            <w:rStyle w:val="C2"/>
            <w:noProof w:val="1"/>
          </w:rPr>
          <w:t>Radon</w:t>
        </w:r>
        <w:r>
          <w:rPr>
            <w:noProof w:val="1"/>
          </w:rPr>
          <w:tab/>
        </w:r>
        <w:r>
          <w:rPr>
            <w:noProof w:val="1"/>
          </w:rPr>
          <w:fldChar w:fldCharType="begin"/>
        </w:r>
        <w:r>
          <w:rPr>
            <w:noProof w:val="1"/>
          </w:rPr>
          <w:instrText xml:space="preserve"> PAGEREF _Toc214961328 \h </w:instrText>
        </w:r>
        <w:r>
          <w:rPr>
            <w:noProof w:val="1"/>
          </w:rPr>
          <w:fldChar w:fldCharType="separate"/>
        </w:r>
        <w:r>
          <w:rPr>
            <w:noProof w:val="1"/>
          </w:rPr>
          <w:t>44</w:t>
        </w:r>
        <w:r>
          <w:rPr>
            <w:noProof w:val="1"/>
          </w:rPr>
          <w:fldChar w:fldCharType="end"/>
        </w:r>
      </w:hyperlink>
    </w:p>
    <w:p>
      <w:pPr>
        <w:pStyle w:val="P22"/>
        <w:rPr>
          <w:rFonts w:asciiTheme="minorHAnsi" w:hAnsiTheme="minorHAnsi" w:cstheme="minorBidi"/>
          <w:noProof w:val="1"/>
          <w:lang w:eastAsia="sv-SE"/>
        </w:rPr>
      </w:pPr>
      <w:hyperlink w:anchor="_Toc214961329">
        <w:r>
          <w:rPr>
            <w:rStyle w:val="C2"/>
            <w:noProof w:val="1"/>
          </w:rPr>
          <w:t>5.10.3</w:t>
        </w:r>
        <w:r>
          <w:rPr>
            <w:rFonts w:asciiTheme="minorHAnsi" w:hAnsiTheme="minorHAnsi" w:cstheme="minorBidi"/>
            <w:noProof w:val="1"/>
            <w:lang w:eastAsia="sv-SE"/>
          </w:rPr>
          <w:tab/>
        </w:r>
        <w:r>
          <w:rPr>
            <w:rStyle w:val="C2"/>
            <w:noProof w:val="1"/>
          </w:rPr>
          <w:t>Farligt gods</w:t>
        </w:r>
        <w:r>
          <w:rPr>
            <w:noProof w:val="1"/>
          </w:rPr>
          <w:tab/>
        </w:r>
        <w:r>
          <w:rPr>
            <w:noProof w:val="1"/>
          </w:rPr>
          <w:fldChar w:fldCharType="begin"/>
        </w:r>
        <w:r>
          <w:rPr>
            <w:noProof w:val="1"/>
          </w:rPr>
          <w:instrText xml:space="preserve"> PAGEREF _Toc214961329 \h </w:instrText>
        </w:r>
        <w:r>
          <w:rPr>
            <w:noProof w:val="1"/>
          </w:rPr>
          <w:fldChar w:fldCharType="separate"/>
        </w:r>
        <w:r>
          <w:rPr>
            <w:noProof w:val="1"/>
          </w:rPr>
          <w:t>44</w:t>
        </w:r>
        <w:r>
          <w:rPr>
            <w:noProof w:val="1"/>
          </w:rPr>
          <w:fldChar w:fldCharType="end"/>
        </w:r>
      </w:hyperlink>
    </w:p>
    <w:p>
      <w:pPr>
        <w:pStyle w:val="P22"/>
        <w:rPr>
          <w:rFonts w:asciiTheme="minorHAnsi" w:hAnsiTheme="minorHAnsi" w:cstheme="minorBidi"/>
          <w:noProof w:val="1"/>
          <w:lang w:eastAsia="sv-SE"/>
        </w:rPr>
      </w:pPr>
      <w:hyperlink w:anchor="_Toc214961330">
        <w:r>
          <w:rPr>
            <w:rStyle w:val="C2"/>
            <w:noProof w:val="1"/>
          </w:rPr>
          <w:t>5.10.4</w:t>
        </w:r>
        <w:r>
          <w:rPr>
            <w:rFonts w:asciiTheme="minorHAnsi" w:hAnsiTheme="minorHAnsi" w:cstheme="minorBidi"/>
            <w:noProof w:val="1"/>
            <w:lang w:eastAsia="sv-SE"/>
          </w:rPr>
          <w:tab/>
        </w:r>
        <w:r>
          <w:rPr>
            <w:rStyle w:val="C2"/>
            <w:noProof w:val="1"/>
          </w:rPr>
          <w:t>Vägtrafikbuller</w:t>
        </w:r>
        <w:r>
          <w:rPr>
            <w:noProof w:val="1"/>
          </w:rPr>
          <w:tab/>
        </w:r>
        <w:r>
          <w:rPr>
            <w:noProof w:val="1"/>
          </w:rPr>
          <w:fldChar w:fldCharType="begin"/>
        </w:r>
        <w:r>
          <w:rPr>
            <w:noProof w:val="1"/>
          </w:rPr>
          <w:instrText xml:space="preserve"> PAGEREF _Toc214961330 \h </w:instrText>
        </w:r>
        <w:r>
          <w:rPr>
            <w:noProof w:val="1"/>
          </w:rPr>
          <w:fldChar w:fldCharType="separate"/>
        </w:r>
        <w:r>
          <w:rPr>
            <w:noProof w:val="1"/>
          </w:rPr>
          <w:t>44</w:t>
        </w:r>
        <w:r>
          <w:rPr>
            <w:noProof w:val="1"/>
          </w:rPr>
          <w:fldChar w:fldCharType="end"/>
        </w:r>
      </w:hyperlink>
    </w:p>
    <w:p>
      <w:pPr>
        <w:pStyle w:val="P22"/>
        <w:rPr>
          <w:rFonts w:asciiTheme="minorHAnsi" w:hAnsiTheme="minorHAnsi" w:cstheme="minorBidi"/>
          <w:noProof w:val="1"/>
          <w:lang w:eastAsia="sv-SE"/>
        </w:rPr>
      </w:pPr>
      <w:hyperlink w:anchor="_Toc214961331">
        <w:r>
          <w:rPr>
            <w:rStyle w:val="C2"/>
            <w:noProof w:val="1"/>
          </w:rPr>
          <w:t>5.10.5</w:t>
        </w:r>
        <w:r>
          <w:rPr>
            <w:rFonts w:asciiTheme="minorHAnsi" w:hAnsiTheme="minorHAnsi" w:cstheme="minorBidi"/>
            <w:noProof w:val="1"/>
            <w:lang w:eastAsia="sv-SE"/>
          </w:rPr>
          <w:tab/>
        </w:r>
        <w:r>
          <w:rPr>
            <w:rStyle w:val="C2"/>
            <w:noProof w:val="1"/>
          </w:rPr>
          <w:t>Verksamhetsbuller</w:t>
        </w:r>
        <w:r>
          <w:rPr>
            <w:noProof w:val="1"/>
          </w:rPr>
          <w:tab/>
        </w:r>
        <w:r>
          <w:rPr>
            <w:noProof w:val="1"/>
          </w:rPr>
          <w:fldChar w:fldCharType="begin"/>
        </w:r>
        <w:r>
          <w:rPr>
            <w:noProof w:val="1"/>
          </w:rPr>
          <w:instrText xml:space="preserve"> PAGEREF _Toc214961331 \h </w:instrText>
        </w:r>
        <w:r>
          <w:rPr>
            <w:noProof w:val="1"/>
          </w:rPr>
          <w:fldChar w:fldCharType="separate"/>
        </w:r>
        <w:r>
          <w:rPr>
            <w:noProof w:val="1"/>
          </w:rPr>
          <w:t>45</w:t>
        </w:r>
        <w:r>
          <w:rPr>
            <w:noProof w:val="1"/>
          </w:rPr>
          <w:fldChar w:fldCharType="end"/>
        </w:r>
      </w:hyperlink>
    </w:p>
    <w:p>
      <w:pPr>
        <w:pStyle w:val="P22"/>
        <w:rPr>
          <w:rFonts w:asciiTheme="minorHAnsi" w:hAnsiTheme="minorHAnsi" w:cstheme="minorBidi"/>
          <w:noProof w:val="1"/>
          <w:lang w:eastAsia="sv-SE"/>
        </w:rPr>
      </w:pPr>
      <w:hyperlink w:anchor="_Toc214961332">
        <w:r>
          <w:rPr>
            <w:rStyle w:val="C2"/>
            <w:noProof w:val="1"/>
          </w:rPr>
          <w:t>5.10.6</w:t>
        </w:r>
        <w:r>
          <w:rPr>
            <w:rFonts w:asciiTheme="minorHAnsi" w:hAnsiTheme="minorHAnsi" w:cstheme="minorBidi"/>
            <w:noProof w:val="1"/>
            <w:lang w:eastAsia="sv-SE"/>
          </w:rPr>
          <w:tab/>
        </w:r>
        <w:r>
          <w:rPr>
            <w:rStyle w:val="C2"/>
            <w:noProof w:val="1"/>
          </w:rPr>
          <w:t>Risk för översvämning</w:t>
        </w:r>
        <w:r>
          <w:rPr>
            <w:noProof w:val="1"/>
          </w:rPr>
          <w:tab/>
        </w:r>
        <w:r>
          <w:rPr>
            <w:noProof w:val="1"/>
          </w:rPr>
          <w:fldChar w:fldCharType="begin"/>
        </w:r>
        <w:r>
          <w:rPr>
            <w:noProof w:val="1"/>
          </w:rPr>
          <w:instrText xml:space="preserve"> PAGEREF _Toc214961332 \h </w:instrText>
        </w:r>
        <w:r>
          <w:rPr>
            <w:noProof w:val="1"/>
          </w:rPr>
          <w:fldChar w:fldCharType="separate"/>
        </w:r>
        <w:r>
          <w:rPr>
            <w:noProof w:val="1"/>
          </w:rPr>
          <w:t>47</w:t>
        </w:r>
        <w:r>
          <w:rPr>
            <w:noProof w:val="1"/>
          </w:rPr>
          <w:fldChar w:fldCharType="end"/>
        </w:r>
      </w:hyperlink>
    </w:p>
    <w:p>
      <w:pPr>
        <w:pStyle w:val="P22"/>
        <w:rPr>
          <w:rFonts w:asciiTheme="minorHAnsi" w:hAnsiTheme="minorHAnsi" w:cstheme="minorBidi"/>
          <w:noProof w:val="1"/>
          <w:lang w:eastAsia="sv-SE"/>
        </w:rPr>
      </w:pPr>
      <w:hyperlink w:anchor="_Toc214961333">
        <w:r>
          <w:rPr>
            <w:rStyle w:val="C2"/>
            <w:noProof w:val="1"/>
          </w:rPr>
          <w:t>5.10.7</w:t>
        </w:r>
        <w:r>
          <w:rPr>
            <w:rFonts w:asciiTheme="minorHAnsi" w:hAnsiTheme="minorHAnsi" w:cstheme="minorBidi"/>
            <w:noProof w:val="1"/>
            <w:lang w:eastAsia="sv-SE"/>
          </w:rPr>
          <w:tab/>
        </w:r>
        <w:r>
          <w:rPr>
            <w:rStyle w:val="C2"/>
            <w:noProof w:val="1"/>
          </w:rPr>
          <w:t>Risk för ras och skred</w:t>
        </w:r>
        <w:r>
          <w:rPr>
            <w:noProof w:val="1"/>
          </w:rPr>
          <w:tab/>
        </w:r>
        <w:r>
          <w:rPr>
            <w:noProof w:val="1"/>
          </w:rPr>
          <w:fldChar w:fldCharType="begin"/>
        </w:r>
        <w:r>
          <w:rPr>
            <w:noProof w:val="1"/>
          </w:rPr>
          <w:instrText xml:space="preserve"> PAGEREF _Toc214961333 \h </w:instrText>
        </w:r>
        <w:r>
          <w:rPr>
            <w:noProof w:val="1"/>
          </w:rPr>
          <w:fldChar w:fldCharType="separate"/>
        </w:r>
        <w:r>
          <w:rPr>
            <w:noProof w:val="1"/>
          </w:rPr>
          <w:t>48</w:t>
        </w:r>
        <w:r>
          <w:rPr>
            <w:noProof w:val="1"/>
          </w:rPr>
          <w:fldChar w:fldCharType="end"/>
        </w:r>
      </w:hyperlink>
    </w:p>
    <w:p>
      <w:pPr>
        <w:pStyle w:val="P22"/>
        <w:rPr>
          <w:rFonts w:asciiTheme="minorHAnsi" w:hAnsiTheme="minorHAnsi" w:cstheme="minorBidi"/>
          <w:noProof w:val="1"/>
          <w:lang w:eastAsia="sv-SE"/>
        </w:rPr>
      </w:pPr>
      <w:hyperlink w:anchor="_Toc214961334">
        <w:r>
          <w:rPr>
            <w:rStyle w:val="C2"/>
            <w:noProof w:val="1"/>
          </w:rPr>
          <w:t>5.10.8</w:t>
        </w:r>
        <w:r>
          <w:rPr>
            <w:rFonts w:asciiTheme="minorHAnsi" w:hAnsiTheme="minorHAnsi" w:cstheme="minorBidi"/>
            <w:noProof w:val="1"/>
            <w:lang w:eastAsia="sv-SE"/>
          </w:rPr>
          <w:tab/>
        </w:r>
        <w:r>
          <w:rPr>
            <w:rStyle w:val="C2"/>
            <w:noProof w:val="1"/>
          </w:rPr>
          <w:t>Drivmedelsstation</w:t>
        </w:r>
        <w:r>
          <w:rPr>
            <w:noProof w:val="1"/>
          </w:rPr>
          <w:tab/>
        </w:r>
        <w:r>
          <w:rPr>
            <w:noProof w:val="1"/>
          </w:rPr>
          <w:fldChar w:fldCharType="begin"/>
        </w:r>
        <w:r>
          <w:rPr>
            <w:noProof w:val="1"/>
          </w:rPr>
          <w:instrText xml:space="preserve"> PAGEREF _Toc214961334 \h </w:instrText>
        </w:r>
        <w:r>
          <w:rPr>
            <w:noProof w:val="1"/>
          </w:rPr>
          <w:fldChar w:fldCharType="separate"/>
        </w:r>
        <w:r>
          <w:rPr>
            <w:noProof w:val="1"/>
          </w:rPr>
          <w:t>48</w:t>
        </w:r>
        <w:r>
          <w:rPr>
            <w:noProof w:val="1"/>
          </w:rPr>
          <w:fldChar w:fldCharType="end"/>
        </w:r>
      </w:hyperlink>
    </w:p>
    <w:p>
      <w:pPr>
        <w:pStyle w:val="P21"/>
        <w:rPr>
          <w:rFonts w:asciiTheme="minorHAnsi" w:hAnsiTheme="minorHAnsi" w:cstheme="minorBidi"/>
          <w:noProof w:val="1"/>
          <w:lang w:eastAsia="sv-SE"/>
        </w:rPr>
      </w:pPr>
      <w:hyperlink w:anchor="_Toc214961335">
        <w:r>
          <w:rPr>
            <w:rStyle w:val="C2"/>
            <w:noProof w:val="1"/>
          </w:rPr>
          <w:t>5.11</w:t>
        </w:r>
        <w:r>
          <w:rPr>
            <w:rFonts w:asciiTheme="minorHAnsi" w:hAnsiTheme="minorHAnsi" w:cstheme="minorBidi"/>
            <w:noProof w:val="1"/>
            <w:lang w:eastAsia="sv-SE"/>
          </w:rPr>
          <w:tab/>
        </w:r>
        <w:r>
          <w:rPr>
            <w:rStyle w:val="C2"/>
            <w:noProof w:val="1"/>
          </w:rPr>
          <w:t>Vatten</w:t>
        </w:r>
        <w:r>
          <w:rPr>
            <w:noProof w:val="1"/>
          </w:rPr>
          <w:tab/>
        </w:r>
        <w:r>
          <w:rPr>
            <w:noProof w:val="1"/>
          </w:rPr>
          <w:fldChar w:fldCharType="begin"/>
        </w:r>
        <w:r>
          <w:rPr>
            <w:noProof w:val="1"/>
          </w:rPr>
          <w:instrText xml:space="preserve"> PAGEREF _Toc214961335 \h </w:instrText>
        </w:r>
        <w:r>
          <w:rPr>
            <w:noProof w:val="1"/>
          </w:rPr>
          <w:fldChar w:fldCharType="separate"/>
        </w:r>
        <w:r>
          <w:rPr>
            <w:noProof w:val="1"/>
          </w:rPr>
          <w:t>52</w:t>
        </w:r>
        <w:r>
          <w:rPr>
            <w:noProof w:val="1"/>
          </w:rPr>
          <w:fldChar w:fldCharType="end"/>
        </w:r>
      </w:hyperlink>
    </w:p>
    <w:p>
      <w:pPr>
        <w:pStyle w:val="P22"/>
        <w:rPr>
          <w:rFonts w:asciiTheme="minorHAnsi" w:hAnsiTheme="minorHAnsi" w:cstheme="minorBidi"/>
          <w:noProof w:val="1"/>
          <w:lang w:eastAsia="sv-SE"/>
        </w:rPr>
      </w:pPr>
      <w:hyperlink w:anchor="_Toc214961336">
        <w:r>
          <w:rPr>
            <w:rStyle w:val="C2"/>
            <w:noProof w:val="1"/>
          </w:rPr>
          <w:t>5.11.1</w:t>
        </w:r>
        <w:r>
          <w:rPr>
            <w:rFonts w:asciiTheme="minorHAnsi" w:hAnsiTheme="minorHAnsi" w:cstheme="minorBidi"/>
            <w:noProof w:val="1"/>
            <w:lang w:eastAsia="sv-SE"/>
          </w:rPr>
          <w:tab/>
        </w:r>
        <w:r>
          <w:rPr>
            <w:rStyle w:val="C2"/>
            <w:noProof w:val="1"/>
          </w:rPr>
          <w:t>Dagvatten/ytvatten</w:t>
        </w:r>
        <w:r>
          <w:rPr>
            <w:noProof w:val="1"/>
          </w:rPr>
          <w:tab/>
        </w:r>
        <w:r>
          <w:rPr>
            <w:noProof w:val="1"/>
          </w:rPr>
          <w:fldChar w:fldCharType="begin"/>
        </w:r>
        <w:r>
          <w:rPr>
            <w:noProof w:val="1"/>
          </w:rPr>
          <w:instrText xml:space="preserve"> PAGEREF _Toc214961336 \h </w:instrText>
        </w:r>
        <w:r>
          <w:rPr>
            <w:noProof w:val="1"/>
          </w:rPr>
          <w:fldChar w:fldCharType="separate"/>
        </w:r>
        <w:r>
          <w:rPr>
            <w:noProof w:val="1"/>
          </w:rPr>
          <w:t>52</w:t>
        </w:r>
        <w:r>
          <w:rPr>
            <w:noProof w:val="1"/>
          </w:rPr>
          <w:fldChar w:fldCharType="end"/>
        </w:r>
      </w:hyperlink>
    </w:p>
    <w:p>
      <w:pPr>
        <w:pStyle w:val="P22"/>
        <w:rPr>
          <w:rFonts w:asciiTheme="minorHAnsi" w:hAnsiTheme="minorHAnsi" w:cstheme="minorBidi"/>
          <w:noProof w:val="1"/>
          <w:lang w:eastAsia="sv-SE"/>
        </w:rPr>
      </w:pPr>
      <w:hyperlink w:anchor="_Toc214961337">
        <w:r>
          <w:rPr>
            <w:rStyle w:val="C2"/>
            <w:noProof w:val="1"/>
          </w:rPr>
          <w:t>5.11.2</w:t>
        </w:r>
        <w:r>
          <w:rPr>
            <w:rFonts w:asciiTheme="minorHAnsi" w:hAnsiTheme="minorHAnsi" w:cstheme="minorBidi"/>
            <w:noProof w:val="1"/>
            <w:lang w:eastAsia="sv-SE"/>
          </w:rPr>
          <w:tab/>
        </w:r>
        <w:r>
          <w:rPr>
            <w:rStyle w:val="C2"/>
            <w:noProof w:val="1"/>
          </w:rPr>
          <w:t>Vattenförekomst – Miljökvalitetsnormer (MKN)</w:t>
        </w:r>
        <w:r>
          <w:rPr>
            <w:noProof w:val="1"/>
          </w:rPr>
          <w:tab/>
        </w:r>
        <w:r>
          <w:rPr>
            <w:noProof w:val="1"/>
          </w:rPr>
          <w:fldChar w:fldCharType="begin"/>
        </w:r>
        <w:r>
          <w:rPr>
            <w:noProof w:val="1"/>
          </w:rPr>
          <w:instrText xml:space="preserve"> PAGEREF _Toc214961337 \h </w:instrText>
        </w:r>
        <w:r>
          <w:rPr>
            <w:noProof w:val="1"/>
          </w:rPr>
          <w:fldChar w:fldCharType="separate"/>
        </w:r>
        <w:r>
          <w:rPr>
            <w:noProof w:val="1"/>
          </w:rPr>
          <w:t>55</w:t>
        </w:r>
        <w:r>
          <w:rPr>
            <w:noProof w:val="1"/>
          </w:rPr>
          <w:fldChar w:fldCharType="end"/>
        </w:r>
      </w:hyperlink>
    </w:p>
    <w:p>
      <w:pPr>
        <w:pStyle w:val="P21"/>
        <w:rPr>
          <w:rFonts w:asciiTheme="minorHAnsi" w:hAnsiTheme="minorHAnsi" w:cstheme="minorBidi"/>
          <w:noProof w:val="1"/>
          <w:lang w:eastAsia="sv-SE"/>
        </w:rPr>
      </w:pPr>
      <w:hyperlink w:anchor="_Toc214961338">
        <w:r>
          <w:rPr>
            <w:rStyle w:val="C2"/>
            <w:noProof w:val="1"/>
          </w:rPr>
          <w:t>5.12</w:t>
        </w:r>
        <w:r>
          <w:rPr>
            <w:rFonts w:asciiTheme="minorHAnsi" w:hAnsiTheme="minorHAnsi" w:cstheme="minorBidi"/>
            <w:noProof w:val="1"/>
            <w:lang w:eastAsia="sv-SE"/>
          </w:rPr>
          <w:tab/>
        </w:r>
        <w:r>
          <w:rPr>
            <w:rStyle w:val="C2"/>
            <w:noProof w:val="1"/>
          </w:rPr>
          <w:t>Miljö</w:t>
        </w:r>
        <w:r>
          <w:rPr>
            <w:noProof w:val="1"/>
          </w:rPr>
          <w:tab/>
        </w:r>
        <w:r>
          <w:rPr>
            <w:noProof w:val="1"/>
          </w:rPr>
          <w:fldChar w:fldCharType="begin"/>
        </w:r>
        <w:r>
          <w:rPr>
            <w:noProof w:val="1"/>
          </w:rPr>
          <w:instrText xml:space="preserve"> PAGEREF _Toc214961338 \h </w:instrText>
        </w:r>
        <w:r>
          <w:rPr>
            <w:noProof w:val="1"/>
          </w:rPr>
          <w:fldChar w:fldCharType="separate"/>
        </w:r>
        <w:r>
          <w:rPr>
            <w:noProof w:val="1"/>
          </w:rPr>
          <w:t>58</w:t>
        </w:r>
        <w:r>
          <w:rPr>
            <w:noProof w:val="1"/>
          </w:rPr>
          <w:fldChar w:fldCharType="end"/>
        </w:r>
      </w:hyperlink>
    </w:p>
    <w:p>
      <w:pPr>
        <w:pStyle w:val="P22"/>
        <w:rPr>
          <w:rFonts w:asciiTheme="minorHAnsi" w:hAnsiTheme="minorHAnsi" w:cstheme="minorBidi"/>
          <w:noProof w:val="1"/>
          <w:lang w:eastAsia="sv-SE"/>
        </w:rPr>
      </w:pPr>
      <w:hyperlink w:anchor="_Toc214961339">
        <w:r>
          <w:rPr>
            <w:rStyle w:val="C2"/>
            <w:noProof w:val="1"/>
          </w:rPr>
          <w:t>5.12.1</w:t>
        </w:r>
        <w:r>
          <w:rPr>
            <w:rFonts w:asciiTheme="minorHAnsi" w:hAnsiTheme="minorHAnsi" w:cstheme="minorBidi"/>
            <w:noProof w:val="1"/>
            <w:lang w:eastAsia="sv-SE"/>
          </w:rPr>
          <w:tab/>
        </w:r>
        <w:r>
          <w:rPr>
            <w:rStyle w:val="C2"/>
            <w:noProof w:val="1"/>
          </w:rPr>
          <w:t>Undersökning av betydande miljöpåverkan</w:t>
        </w:r>
        <w:r>
          <w:rPr>
            <w:noProof w:val="1"/>
          </w:rPr>
          <w:tab/>
        </w:r>
        <w:r>
          <w:rPr>
            <w:noProof w:val="1"/>
          </w:rPr>
          <w:fldChar w:fldCharType="begin"/>
        </w:r>
        <w:r>
          <w:rPr>
            <w:noProof w:val="1"/>
          </w:rPr>
          <w:instrText xml:space="preserve"> PAGEREF _Toc214961339 \h </w:instrText>
        </w:r>
        <w:r>
          <w:rPr>
            <w:noProof w:val="1"/>
          </w:rPr>
          <w:fldChar w:fldCharType="separate"/>
        </w:r>
        <w:r>
          <w:rPr>
            <w:noProof w:val="1"/>
          </w:rPr>
          <w:t>58</w:t>
        </w:r>
        <w:r>
          <w:rPr>
            <w:noProof w:val="1"/>
          </w:rPr>
          <w:fldChar w:fldCharType="end"/>
        </w:r>
      </w:hyperlink>
    </w:p>
    <w:p>
      <w:pPr>
        <w:pStyle w:val="P21"/>
        <w:rPr>
          <w:rFonts w:asciiTheme="minorHAnsi" w:hAnsiTheme="minorHAnsi" w:cstheme="minorBidi"/>
          <w:noProof w:val="1"/>
          <w:lang w:eastAsia="sv-SE"/>
        </w:rPr>
      </w:pPr>
      <w:hyperlink w:anchor="_Toc214961340">
        <w:r>
          <w:rPr>
            <w:rStyle w:val="C2"/>
            <w:noProof w:val="1"/>
          </w:rPr>
          <w:t>5.13</w:t>
        </w:r>
        <w:r>
          <w:rPr>
            <w:rFonts w:asciiTheme="minorHAnsi" w:hAnsiTheme="minorHAnsi" w:cstheme="minorBidi"/>
            <w:noProof w:val="1"/>
            <w:lang w:eastAsia="sv-SE"/>
          </w:rPr>
          <w:tab/>
        </w:r>
        <w:r>
          <w:rPr>
            <w:rStyle w:val="C2"/>
            <w:noProof w:val="1"/>
          </w:rPr>
          <w:t>Miljökonsekvensbeskrivning (MKB)</w:t>
        </w:r>
        <w:r>
          <w:rPr>
            <w:noProof w:val="1"/>
          </w:rPr>
          <w:tab/>
        </w:r>
        <w:r>
          <w:rPr>
            <w:noProof w:val="1"/>
          </w:rPr>
          <w:fldChar w:fldCharType="begin"/>
        </w:r>
        <w:r>
          <w:rPr>
            <w:noProof w:val="1"/>
          </w:rPr>
          <w:instrText xml:space="preserve"> PAGEREF _Toc214961340 \h </w:instrText>
        </w:r>
        <w:r>
          <w:rPr>
            <w:noProof w:val="1"/>
          </w:rPr>
          <w:fldChar w:fldCharType="separate"/>
        </w:r>
        <w:r>
          <w:rPr>
            <w:noProof w:val="1"/>
          </w:rPr>
          <w:t>58</w:t>
        </w:r>
        <w:r>
          <w:rPr>
            <w:noProof w:val="1"/>
          </w:rPr>
          <w:fldChar w:fldCharType="end"/>
        </w:r>
      </w:hyperlink>
    </w:p>
    <w:p>
      <w:pPr>
        <w:pStyle w:val="P21"/>
        <w:rPr>
          <w:rFonts w:asciiTheme="minorHAnsi" w:hAnsiTheme="minorHAnsi" w:cstheme="minorBidi"/>
          <w:noProof w:val="1"/>
          <w:lang w:eastAsia="sv-SE"/>
        </w:rPr>
      </w:pPr>
      <w:hyperlink w:anchor="_Toc214961341">
        <w:r>
          <w:rPr>
            <w:rStyle w:val="C2"/>
            <w:noProof w:val="1"/>
          </w:rPr>
          <w:t>5.14</w:t>
        </w:r>
        <w:r>
          <w:rPr>
            <w:rFonts w:asciiTheme="minorHAnsi" w:hAnsiTheme="minorHAnsi" w:cstheme="minorBidi"/>
            <w:noProof w:val="1"/>
            <w:lang w:eastAsia="sv-SE"/>
          </w:rPr>
          <w:tab/>
        </w:r>
        <w:r>
          <w:rPr>
            <w:rStyle w:val="C2"/>
            <w:noProof w:val="1"/>
          </w:rPr>
          <w:t>Teknisk försörjning</w:t>
        </w:r>
        <w:r>
          <w:rPr>
            <w:noProof w:val="1"/>
          </w:rPr>
          <w:tab/>
        </w:r>
        <w:r>
          <w:rPr>
            <w:noProof w:val="1"/>
          </w:rPr>
          <w:fldChar w:fldCharType="begin"/>
        </w:r>
        <w:r>
          <w:rPr>
            <w:noProof w:val="1"/>
          </w:rPr>
          <w:instrText xml:space="preserve"> PAGEREF _Toc214961341 \h </w:instrText>
        </w:r>
        <w:r>
          <w:rPr>
            <w:noProof w:val="1"/>
          </w:rPr>
          <w:fldChar w:fldCharType="separate"/>
        </w:r>
        <w:r>
          <w:rPr>
            <w:noProof w:val="1"/>
          </w:rPr>
          <w:t>60</w:t>
        </w:r>
        <w:r>
          <w:rPr>
            <w:noProof w:val="1"/>
          </w:rPr>
          <w:fldChar w:fldCharType="end"/>
        </w:r>
      </w:hyperlink>
    </w:p>
    <w:p>
      <w:pPr>
        <w:pStyle w:val="P22"/>
        <w:rPr>
          <w:rFonts w:asciiTheme="minorHAnsi" w:hAnsiTheme="minorHAnsi" w:cstheme="minorBidi"/>
          <w:noProof w:val="1"/>
          <w:lang w:eastAsia="sv-SE"/>
        </w:rPr>
      </w:pPr>
      <w:hyperlink w:anchor="_Toc214961342">
        <w:r>
          <w:rPr>
            <w:rStyle w:val="C2"/>
            <w:noProof w:val="1"/>
          </w:rPr>
          <w:t>5.14.1</w:t>
        </w:r>
        <w:r>
          <w:rPr>
            <w:rFonts w:asciiTheme="minorHAnsi" w:hAnsiTheme="minorHAnsi" w:cstheme="minorBidi"/>
            <w:noProof w:val="1"/>
            <w:lang w:eastAsia="sv-SE"/>
          </w:rPr>
          <w:tab/>
        </w:r>
        <w:r>
          <w:rPr>
            <w:rStyle w:val="C2"/>
            <w:noProof w:val="1"/>
          </w:rPr>
          <w:t>Dricksvatten</w:t>
        </w:r>
        <w:r>
          <w:rPr>
            <w:noProof w:val="1"/>
          </w:rPr>
          <w:tab/>
        </w:r>
        <w:r>
          <w:rPr>
            <w:noProof w:val="1"/>
          </w:rPr>
          <w:fldChar w:fldCharType="begin"/>
        </w:r>
        <w:r>
          <w:rPr>
            <w:noProof w:val="1"/>
          </w:rPr>
          <w:instrText xml:space="preserve"> PAGEREF _Toc214961342 \h </w:instrText>
        </w:r>
        <w:r>
          <w:rPr>
            <w:noProof w:val="1"/>
          </w:rPr>
          <w:fldChar w:fldCharType="separate"/>
        </w:r>
        <w:r>
          <w:rPr>
            <w:noProof w:val="1"/>
          </w:rPr>
          <w:t>60</w:t>
        </w:r>
        <w:r>
          <w:rPr>
            <w:noProof w:val="1"/>
          </w:rPr>
          <w:fldChar w:fldCharType="end"/>
        </w:r>
      </w:hyperlink>
    </w:p>
    <w:p>
      <w:pPr>
        <w:pStyle w:val="P22"/>
        <w:rPr>
          <w:rFonts w:asciiTheme="minorHAnsi" w:hAnsiTheme="minorHAnsi" w:cstheme="minorBidi"/>
          <w:noProof w:val="1"/>
          <w:lang w:eastAsia="sv-SE"/>
        </w:rPr>
      </w:pPr>
      <w:hyperlink w:anchor="_Toc214961343">
        <w:r>
          <w:rPr>
            <w:rStyle w:val="C2"/>
            <w:noProof w:val="1"/>
          </w:rPr>
          <w:t>5.14.2</w:t>
        </w:r>
        <w:r>
          <w:rPr>
            <w:rFonts w:asciiTheme="minorHAnsi" w:hAnsiTheme="minorHAnsi" w:cstheme="minorBidi"/>
            <w:noProof w:val="1"/>
            <w:lang w:eastAsia="sv-SE"/>
          </w:rPr>
          <w:tab/>
        </w:r>
        <w:r>
          <w:rPr>
            <w:rStyle w:val="C2"/>
            <w:noProof w:val="1"/>
          </w:rPr>
          <w:t>Avlopp</w:t>
        </w:r>
        <w:r>
          <w:rPr>
            <w:noProof w:val="1"/>
          </w:rPr>
          <w:tab/>
        </w:r>
        <w:r>
          <w:rPr>
            <w:noProof w:val="1"/>
          </w:rPr>
          <w:fldChar w:fldCharType="begin"/>
        </w:r>
        <w:r>
          <w:rPr>
            <w:noProof w:val="1"/>
          </w:rPr>
          <w:instrText xml:space="preserve"> PAGEREF _Toc214961343 \h </w:instrText>
        </w:r>
        <w:r>
          <w:rPr>
            <w:noProof w:val="1"/>
          </w:rPr>
          <w:fldChar w:fldCharType="separate"/>
        </w:r>
        <w:r>
          <w:rPr>
            <w:noProof w:val="1"/>
          </w:rPr>
          <w:t>62</w:t>
        </w:r>
        <w:r>
          <w:rPr>
            <w:noProof w:val="1"/>
          </w:rPr>
          <w:fldChar w:fldCharType="end"/>
        </w:r>
      </w:hyperlink>
    </w:p>
    <w:p>
      <w:pPr>
        <w:pStyle w:val="P22"/>
        <w:rPr>
          <w:rFonts w:asciiTheme="minorHAnsi" w:hAnsiTheme="minorHAnsi" w:cstheme="minorBidi"/>
          <w:noProof w:val="1"/>
          <w:lang w:eastAsia="sv-SE"/>
        </w:rPr>
      </w:pPr>
      <w:hyperlink w:anchor="_Toc214961344">
        <w:r>
          <w:rPr>
            <w:rStyle w:val="C2"/>
            <w:noProof w:val="1"/>
          </w:rPr>
          <w:t>5.14.3</w:t>
        </w:r>
        <w:r>
          <w:rPr>
            <w:rFonts w:asciiTheme="minorHAnsi" w:hAnsiTheme="minorHAnsi" w:cstheme="minorBidi"/>
            <w:noProof w:val="1"/>
            <w:lang w:eastAsia="sv-SE"/>
          </w:rPr>
          <w:tab/>
        </w:r>
        <w:r>
          <w:rPr>
            <w:rStyle w:val="C2"/>
            <w:noProof w:val="1"/>
          </w:rPr>
          <w:t>El</w:t>
        </w:r>
        <w:r>
          <w:rPr>
            <w:noProof w:val="1"/>
          </w:rPr>
          <w:tab/>
        </w:r>
        <w:r>
          <w:rPr>
            <w:noProof w:val="1"/>
          </w:rPr>
          <w:fldChar w:fldCharType="begin"/>
        </w:r>
        <w:r>
          <w:rPr>
            <w:noProof w:val="1"/>
          </w:rPr>
          <w:instrText xml:space="preserve"> PAGEREF _Toc214961344 \h </w:instrText>
        </w:r>
        <w:r>
          <w:rPr>
            <w:noProof w:val="1"/>
          </w:rPr>
          <w:fldChar w:fldCharType="separate"/>
        </w:r>
        <w:r>
          <w:rPr>
            <w:noProof w:val="1"/>
          </w:rPr>
          <w:t>65</w:t>
        </w:r>
        <w:r>
          <w:rPr>
            <w:noProof w:val="1"/>
          </w:rPr>
          <w:fldChar w:fldCharType="end"/>
        </w:r>
      </w:hyperlink>
    </w:p>
    <w:p>
      <w:pPr>
        <w:pStyle w:val="P22"/>
        <w:rPr>
          <w:rFonts w:asciiTheme="minorHAnsi" w:hAnsiTheme="minorHAnsi" w:cstheme="minorBidi"/>
          <w:noProof w:val="1"/>
          <w:lang w:eastAsia="sv-SE"/>
        </w:rPr>
      </w:pPr>
      <w:hyperlink w:anchor="_Toc214961345">
        <w:r>
          <w:rPr>
            <w:rStyle w:val="C2"/>
            <w:noProof w:val="1"/>
          </w:rPr>
          <w:t>5.14.4</w:t>
        </w:r>
        <w:r>
          <w:rPr>
            <w:rFonts w:asciiTheme="minorHAnsi" w:hAnsiTheme="minorHAnsi" w:cstheme="minorBidi"/>
            <w:noProof w:val="1"/>
            <w:lang w:eastAsia="sv-SE"/>
          </w:rPr>
          <w:tab/>
        </w:r>
        <w:r>
          <w:rPr>
            <w:rStyle w:val="C2"/>
            <w:noProof w:val="1"/>
          </w:rPr>
          <w:t>Tele och fiber</w:t>
        </w:r>
        <w:r>
          <w:rPr>
            <w:noProof w:val="1"/>
          </w:rPr>
          <w:tab/>
        </w:r>
        <w:r>
          <w:rPr>
            <w:noProof w:val="1"/>
          </w:rPr>
          <w:fldChar w:fldCharType="begin"/>
        </w:r>
        <w:r>
          <w:rPr>
            <w:noProof w:val="1"/>
          </w:rPr>
          <w:instrText xml:space="preserve"> PAGEREF _Toc214961345 \h </w:instrText>
        </w:r>
        <w:r>
          <w:rPr>
            <w:noProof w:val="1"/>
          </w:rPr>
          <w:fldChar w:fldCharType="separate"/>
        </w:r>
        <w:r>
          <w:rPr>
            <w:noProof w:val="1"/>
          </w:rPr>
          <w:t>65</w:t>
        </w:r>
        <w:r>
          <w:rPr>
            <w:noProof w:val="1"/>
          </w:rPr>
          <w:fldChar w:fldCharType="end"/>
        </w:r>
      </w:hyperlink>
    </w:p>
    <w:p>
      <w:pPr>
        <w:pStyle w:val="P22"/>
        <w:rPr>
          <w:rFonts w:asciiTheme="minorHAnsi" w:hAnsiTheme="minorHAnsi" w:cstheme="minorBidi"/>
          <w:noProof w:val="1"/>
          <w:lang w:eastAsia="sv-SE"/>
        </w:rPr>
      </w:pPr>
      <w:hyperlink w:anchor="_Toc214961346">
        <w:r>
          <w:rPr>
            <w:rStyle w:val="C2"/>
            <w:noProof w:val="1"/>
          </w:rPr>
          <w:t>5.14.5</w:t>
        </w:r>
        <w:r>
          <w:rPr>
            <w:rFonts w:asciiTheme="minorHAnsi" w:hAnsiTheme="minorHAnsi" w:cstheme="minorBidi"/>
            <w:noProof w:val="1"/>
            <w:lang w:eastAsia="sv-SE"/>
          </w:rPr>
          <w:tab/>
        </w:r>
        <w:r>
          <w:rPr>
            <w:rStyle w:val="C2"/>
            <w:noProof w:val="1"/>
          </w:rPr>
          <w:t>Avfall</w:t>
        </w:r>
        <w:r>
          <w:rPr>
            <w:noProof w:val="1"/>
          </w:rPr>
          <w:tab/>
        </w:r>
        <w:r>
          <w:rPr>
            <w:noProof w:val="1"/>
          </w:rPr>
          <w:fldChar w:fldCharType="begin"/>
        </w:r>
        <w:r>
          <w:rPr>
            <w:noProof w:val="1"/>
          </w:rPr>
          <w:instrText xml:space="preserve"> PAGEREF _Toc214961346 \h </w:instrText>
        </w:r>
        <w:r>
          <w:rPr>
            <w:noProof w:val="1"/>
          </w:rPr>
          <w:fldChar w:fldCharType="separate"/>
        </w:r>
        <w:r>
          <w:rPr>
            <w:noProof w:val="1"/>
          </w:rPr>
          <w:t>65</w:t>
        </w:r>
        <w:r>
          <w:rPr>
            <w:noProof w:val="1"/>
          </w:rPr>
          <w:fldChar w:fldCharType="end"/>
        </w:r>
      </w:hyperlink>
    </w:p>
    <w:p>
      <w:pPr>
        <w:pStyle w:val="P22"/>
        <w:rPr>
          <w:rFonts w:asciiTheme="minorHAnsi" w:hAnsiTheme="minorHAnsi" w:cstheme="minorBidi"/>
          <w:noProof w:val="1"/>
          <w:lang w:eastAsia="sv-SE"/>
        </w:rPr>
      </w:pPr>
      <w:hyperlink w:anchor="_Toc214961347">
        <w:r>
          <w:rPr>
            <w:rStyle w:val="C2"/>
            <w:noProof w:val="1"/>
          </w:rPr>
          <w:t>5.14.6</w:t>
        </w:r>
        <w:r>
          <w:rPr>
            <w:rFonts w:asciiTheme="minorHAnsi" w:hAnsiTheme="minorHAnsi" w:cstheme="minorBidi"/>
            <w:noProof w:val="1"/>
            <w:lang w:eastAsia="sv-SE"/>
          </w:rPr>
          <w:tab/>
        </w:r>
        <w:r>
          <w:rPr>
            <w:rStyle w:val="C2"/>
            <w:noProof w:val="1"/>
          </w:rPr>
          <w:t>Postutlämning</w:t>
        </w:r>
        <w:r>
          <w:rPr>
            <w:noProof w:val="1"/>
          </w:rPr>
          <w:tab/>
        </w:r>
        <w:r>
          <w:rPr>
            <w:noProof w:val="1"/>
          </w:rPr>
          <w:fldChar w:fldCharType="begin"/>
        </w:r>
        <w:r>
          <w:rPr>
            <w:noProof w:val="1"/>
          </w:rPr>
          <w:instrText xml:space="preserve"> PAGEREF _Toc214961347 \h </w:instrText>
        </w:r>
        <w:r>
          <w:rPr>
            <w:noProof w:val="1"/>
          </w:rPr>
          <w:fldChar w:fldCharType="separate"/>
        </w:r>
        <w:r>
          <w:rPr>
            <w:noProof w:val="1"/>
          </w:rPr>
          <w:t>65</w:t>
        </w:r>
        <w:r>
          <w:rPr>
            <w:noProof w:val="1"/>
          </w:rPr>
          <w:fldChar w:fldCharType="end"/>
        </w:r>
      </w:hyperlink>
    </w:p>
    <w:p>
      <w:pPr>
        <w:pStyle w:val="P20"/>
        <w:rPr>
          <w:rFonts w:asciiTheme="minorHAnsi" w:hAnsiTheme="minorHAnsi" w:cstheme="minorBidi"/>
          <w:b w:val="0"/>
          <w:noProof w:val="1"/>
          <w:lang w:eastAsia="sv-SE"/>
        </w:rPr>
      </w:pPr>
      <w:hyperlink w:anchor="_Toc214961348">
        <w:r>
          <w:rPr>
            <w:rStyle w:val="C2"/>
            <w:noProof w:val="1"/>
          </w:rPr>
          <w:t>6</w:t>
        </w:r>
        <w:r>
          <w:rPr>
            <w:rFonts w:asciiTheme="minorHAnsi" w:hAnsiTheme="minorHAnsi" w:cstheme="minorBidi"/>
            <w:b w:val="0"/>
            <w:noProof w:val="1"/>
            <w:lang w:eastAsia="sv-SE"/>
          </w:rPr>
          <w:tab/>
        </w:r>
        <w:r>
          <w:rPr>
            <w:rStyle w:val="C2"/>
            <w:noProof w:val="1"/>
          </w:rPr>
          <w:t>Genomförande av detaljplanen</w:t>
        </w:r>
        <w:r>
          <w:rPr>
            <w:noProof w:val="1"/>
          </w:rPr>
          <w:tab/>
        </w:r>
        <w:r>
          <w:rPr>
            <w:noProof w:val="1"/>
          </w:rPr>
          <w:fldChar w:fldCharType="begin"/>
        </w:r>
        <w:r>
          <w:rPr>
            <w:noProof w:val="1"/>
          </w:rPr>
          <w:instrText xml:space="preserve"> PAGEREF _Toc214961348 \h </w:instrText>
        </w:r>
        <w:r>
          <w:rPr>
            <w:noProof w:val="1"/>
          </w:rPr>
          <w:fldChar w:fldCharType="separate"/>
        </w:r>
        <w:r>
          <w:rPr>
            <w:noProof w:val="1"/>
          </w:rPr>
          <w:t>65</w:t>
        </w:r>
        <w:r>
          <w:rPr>
            <w:noProof w:val="1"/>
          </w:rPr>
          <w:fldChar w:fldCharType="end"/>
        </w:r>
      </w:hyperlink>
    </w:p>
    <w:p>
      <w:pPr>
        <w:pStyle w:val="P22"/>
        <w:rPr>
          <w:rFonts w:asciiTheme="minorHAnsi" w:hAnsiTheme="minorHAnsi" w:cstheme="minorBidi"/>
          <w:noProof w:val="1"/>
          <w:lang w:eastAsia="sv-SE"/>
        </w:rPr>
      </w:pPr>
      <w:hyperlink w:anchor="_Toc214961349">
        <w:r>
          <w:rPr>
            <w:rStyle w:val="C2"/>
            <w:noProof w:val="1"/>
          </w:rPr>
          <w:t>6.1.1</w:t>
        </w:r>
        <w:r>
          <w:rPr>
            <w:rFonts w:asciiTheme="minorHAnsi" w:hAnsiTheme="minorHAnsi" w:cstheme="minorBidi"/>
            <w:noProof w:val="1"/>
            <w:lang w:eastAsia="sv-SE"/>
          </w:rPr>
          <w:tab/>
        </w:r>
        <w:r>
          <w:rPr>
            <w:rStyle w:val="C2"/>
            <w:noProof w:val="1"/>
          </w:rPr>
          <w:t>Tidplan för detaljplaneprocessen</w:t>
        </w:r>
        <w:r>
          <w:rPr>
            <w:noProof w:val="1"/>
          </w:rPr>
          <w:tab/>
        </w:r>
        <w:r>
          <w:rPr>
            <w:noProof w:val="1"/>
          </w:rPr>
          <w:fldChar w:fldCharType="begin"/>
        </w:r>
        <w:r>
          <w:rPr>
            <w:noProof w:val="1"/>
          </w:rPr>
          <w:instrText xml:space="preserve"> PAGEREF _Toc214961349 \h </w:instrText>
        </w:r>
        <w:r>
          <w:rPr>
            <w:noProof w:val="1"/>
          </w:rPr>
          <w:fldChar w:fldCharType="separate"/>
        </w:r>
        <w:r>
          <w:rPr>
            <w:noProof w:val="1"/>
          </w:rPr>
          <w:t>65</w:t>
        </w:r>
        <w:r>
          <w:rPr>
            <w:noProof w:val="1"/>
          </w:rPr>
          <w:fldChar w:fldCharType="end"/>
        </w:r>
      </w:hyperlink>
    </w:p>
    <w:p>
      <w:pPr>
        <w:pStyle w:val="P22"/>
        <w:rPr>
          <w:rFonts w:asciiTheme="minorHAnsi" w:hAnsiTheme="minorHAnsi" w:cstheme="minorBidi"/>
          <w:noProof w:val="1"/>
          <w:lang w:eastAsia="sv-SE"/>
        </w:rPr>
      </w:pPr>
      <w:hyperlink w:anchor="_Toc214961350">
        <w:r>
          <w:rPr>
            <w:rStyle w:val="C2"/>
            <w:noProof w:val="1"/>
          </w:rPr>
          <w:t>6.1.2</w:t>
        </w:r>
        <w:r>
          <w:rPr>
            <w:rFonts w:asciiTheme="minorHAnsi" w:hAnsiTheme="minorHAnsi" w:cstheme="minorBidi"/>
            <w:noProof w:val="1"/>
            <w:lang w:eastAsia="sv-SE"/>
          </w:rPr>
          <w:tab/>
        </w:r>
        <w:r>
          <w:rPr>
            <w:rStyle w:val="C2"/>
            <w:noProof w:val="1"/>
          </w:rPr>
          <w:t>Genomförandetid</w:t>
        </w:r>
        <w:r>
          <w:rPr>
            <w:noProof w:val="1"/>
          </w:rPr>
          <w:tab/>
        </w:r>
        <w:r>
          <w:rPr>
            <w:noProof w:val="1"/>
          </w:rPr>
          <w:fldChar w:fldCharType="begin"/>
        </w:r>
        <w:r>
          <w:rPr>
            <w:noProof w:val="1"/>
          </w:rPr>
          <w:instrText xml:space="preserve"> PAGEREF _Toc214961350 \h </w:instrText>
        </w:r>
        <w:r>
          <w:rPr>
            <w:noProof w:val="1"/>
          </w:rPr>
          <w:fldChar w:fldCharType="separate"/>
        </w:r>
        <w:r>
          <w:rPr>
            <w:noProof w:val="1"/>
          </w:rPr>
          <w:t>66</w:t>
        </w:r>
        <w:r>
          <w:rPr>
            <w:noProof w:val="1"/>
          </w:rPr>
          <w:fldChar w:fldCharType="end"/>
        </w:r>
      </w:hyperlink>
    </w:p>
    <w:p>
      <w:pPr>
        <w:pStyle w:val="P22"/>
        <w:rPr>
          <w:rFonts w:asciiTheme="minorHAnsi" w:hAnsiTheme="minorHAnsi" w:cstheme="minorBidi"/>
          <w:noProof w:val="1"/>
          <w:lang w:eastAsia="sv-SE"/>
        </w:rPr>
      </w:pPr>
      <w:hyperlink w:anchor="_Toc214961351">
        <w:r>
          <w:rPr>
            <w:rStyle w:val="C2"/>
            <w:noProof w:val="1"/>
          </w:rPr>
          <w:t>6.1.3</w:t>
        </w:r>
        <w:r>
          <w:rPr>
            <w:rFonts w:asciiTheme="minorHAnsi" w:hAnsiTheme="minorHAnsi" w:cstheme="minorBidi"/>
            <w:noProof w:val="1"/>
            <w:lang w:eastAsia="sv-SE"/>
          </w:rPr>
          <w:tab/>
        </w:r>
        <w:r>
          <w:rPr>
            <w:rStyle w:val="C2"/>
            <w:noProof w:val="1"/>
          </w:rPr>
          <w:t>Huvudmannaskap</w:t>
        </w:r>
        <w:r>
          <w:rPr>
            <w:noProof w:val="1"/>
          </w:rPr>
          <w:tab/>
        </w:r>
        <w:r>
          <w:rPr>
            <w:noProof w:val="1"/>
          </w:rPr>
          <w:fldChar w:fldCharType="begin"/>
        </w:r>
        <w:r>
          <w:rPr>
            <w:noProof w:val="1"/>
          </w:rPr>
          <w:instrText xml:space="preserve"> PAGEREF _Toc214961351 \h </w:instrText>
        </w:r>
        <w:r>
          <w:rPr>
            <w:noProof w:val="1"/>
          </w:rPr>
          <w:fldChar w:fldCharType="separate"/>
        </w:r>
        <w:r>
          <w:rPr>
            <w:noProof w:val="1"/>
          </w:rPr>
          <w:t>66</w:t>
        </w:r>
        <w:r>
          <w:rPr>
            <w:noProof w:val="1"/>
          </w:rPr>
          <w:fldChar w:fldCharType="end"/>
        </w:r>
      </w:hyperlink>
    </w:p>
    <w:p>
      <w:pPr>
        <w:pStyle w:val="P22"/>
        <w:rPr>
          <w:rFonts w:asciiTheme="minorHAnsi" w:hAnsiTheme="minorHAnsi" w:cstheme="minorBidi"/>
          <w:noProof w:val="1"/>
          <w:lang w:eastAsia="sv-SE"/>
        </w:rPr>
      </w:pPr>
      <w:hyperlink w:anchor="_Toc214961352">
        <w:r>
          <w:rPr>
            <w:rStyle w:val="C2"/>
            <w:noProof w:val="1"/>
          </w:rPr>
          <w:t>6.1.4</w:t>
        </w:r>
        <w:r>
          <w:rPr>
            <w:rFonts w:asciiTheme="minorHAnsi" w:hAnsiTheme="minorHAnsi" w:cstheme="minorBidi"/>
            <w:noProof w:val="1"/>
            <w:lang w:eastAsia="sv-SE"/>
          </w:rPr>
          <w:tab/>
        </w:r>
        <w:r>
          <w:rPr>
            <w:rStyle w:val="C2"/>
            <w:noProof w:val="1"/>
          </w:rPr>
          <w:t>Avtal</w:t>
        </w:r>
        <w:r>
          <w:rPr>
            <w:noProof w:val="1"/>
          </w:rPr>
          <w:tab/>
        </w:r>
        <w:r>
          <w:rPr>
            <w:noProof w:val="1"/>
          </w:rPr>
          <w:fldChar w:fldCharType="begin"/>
        </w:r>
        <w:r>
          <w:rPr>
            <w:noProof w:val="1"/>
          </w:rPr>
          <w:instrText xml:space="preserve"> PAGEREF _Toc214961352 \h </w:instrText>
        </w:r>
        <w:r>
          <w:rPr>
            <w:noProof w:val="1"/>
          </w:rPr>
          <w:fldChar w:fldCharType="separate"/>
        </w:r>
        <w:r>
          <w:rPr>
            <w:noProof w:val="1"/>
          </w:rPr>
          <w:t>66</w:t>
        </w:r>
        <w:r>
          <w:rPr>
            <w:noProof w:val="1"/>
          </w:rPr>
          <w:fldChar w:fldCharType="end"/>
        </w:r>
      </w:hyperlink>
    </w:p>
    <w:p>
      <w:pPr>
        <w:pStyle w:val="P22"/>
        <w:rPr>
          <w:rFonts w:asciiTheme="minorHAnsi" w:hAnsiTheme="minorHAnsi" w:cstheme="minorBidi"/>
          <w:noProof w:val="1"/>
          <w:lang w:eastAsia="sv-SE"/>
        </w:rPr>
      </w:pPr>
      <w:hyperlink w:anchor="_Toc214961353">
        <w:r>
          <w:rPr>
            <w:rStyle w:val="C2"/>
            <w:noProof w:val="1"/>
          </w:rPr>
          <w:t>6.1.5</w:t>
        </w:r>
        <w:r>
          <w:rPr>
            <w:rFonts w:asciiTheme="minorHAnsi" w:hAnsiTheme="minorHAnsi" w:cstheme="minorBidi"/>
            <w:noProof w:val="1"/>
            <w:lang w:eastAsia="sv-SE"/>
          </w:rPr>
          <w:tab/>
        </w:r>
        <w:r>
          <w:rPr>
            <w:rStyle w:val="C2"/>
            <w:noProof w:val="1"/>
          </w:rPr>
          <w:t>Regleringar i detaljplanen för att få starta husbyggnation</w:t>
        </w:r>
        <w:r>
          <w:rPr>
            <w:noProof w:val="1"/>
          </w:rPr>
          <w:tab/>
        </w:r>
        <w:r>
          <w:rPr>
            <w:noProof w:val="1"/>
          </w:rPr>
          <w:fldChar w:fldCharType="begin"/>
        </w:r>
        <w:r>
          <w:rPr>
            <w:noProof w:val="1"/>
          </w:rPr>
          <w:instrText xml:space="preserve"> PAGEREF _Toc214961353 \h </w:instrText>
        </w:r>
        <w:r>
          <w:rPr>
            <w:noProof w:val="1"/>
          </w:rPr>
          <w:fldChar w:fldCharType="separate"/>
        </w:r>
        <w:r>
          <w:rPr>
            <w:noProof w:val="1"/>
          </w:rPr>
          <w:t>66</w:t>
        </w:r>
        <w:r>
          <w:rPr>
            <w:noProof w:val="1"/>
          </w:rPr>
          <w:fldChar w:fldCharType="end"/>
        </w:r>
      </w:hyperlink>
    </w:p>
    <w:p>
      <w:pPr>
        <w:pStyle w:val="P22"/>
        <w:rPr>
          <w:rFonts w:asciiTheme="minorHAnsi" w:hAnsiTheme="minorHAnsi" w:cstheme="minorBidi"/>
          <w:noProof w:val="1"/>
          <w:lang w:eastAsia="sv-SE"/>
        </w:rPr>
      </w:pPr>
      <w:hyperlink w:anchor="_Toc214961354">
        <w:r>
          <w:rPr>
            <w:rStyle w:val="C2"/>
            <w:noProof w:val="1"/>
          </w:rPr>
          <w:t>6.1.6</w:t>
        </w:r>
        <w:r>
          <w:rPr>
            <w:rFonts w:asciiTheme="minorHAnsi" w:hAnsiTheme="minorHAnsi" w:cstheme="minorBidi"/>
            <w:noProof w:val="1"/>
            <w:lang w:eastAsia="sv-SE"/>
          </w:rPr>
          <w:tab/>
        </w:r>
        <w:r>
          <w:rPr>
            <w:rStyle w:val="C2"/>
            <w:noProof w:val="1"/>
          </w:rPr>
          <w:t>Exploateringsavtal</w:t>
        </w:r>
        <w:r>
          <w:rPr>
            <w:noProof w:val="1"/>
          </w:rPr>
          <w:tab/>
        </w:r>
        <w:r>
          <w:rPr>
            <w:noProof w:val="1"/>
          </w:rPr>
          <w:fldChar w:fldCharType="begin"/>
        </w:r>
        <w:r>
          <w:rPr>
            <w:noProof w:val="1"/>
          </w:rPr>
          <w:instrText xml:space="preserve"> PAGEREF _Toc214961354 \h </w:instrText>
        </w:r>
        <w:r>
          <w:rPr>
            <w:noProof w:val="1"/>
          </w:rPr>
          <w:fldChar w:fldCharType="separate"/>
        </w:r>
        <w:r>
          <w:rPr>
            <w:noProof w:val="1"/>
          </w:rPr>
          <w:t>67</w:t>
        </w:r>
        <w:r>
          <w:rPr>
            <w:noProof w:val="1"/>
          </w:rPr>
          <w:fldChar w:fldCharType="end"/>
        </w:r>
      </w:hyperlink>
    </w:p>
    <w:p>
      <w:pPr>
        <w:pStyle w:val="P21"/>
        <w:rPr>
          <w:rFonts w:asciiTheme="minorHAnsi" w:hAnsiTheme="minorHAnsi" w:cstheme="minorBidi"/>
          <w:noProof w:val="1"/>
          <w:lang w:eastAsia="sv-SE"/>
        </w:rPr>
      </w:pPr>
      <w:hyperlink w:anchor="_Toc214961355">
        <w:r>
          <w:rPr>
            <w:rStyle w:val="C2"/>
            <w:noProof w:val="1"/>
          </w:rPr>
          <w:t>6.2</w:t>
        </w:r>
        <w:r>
          <w:rPr>
            <w:rFonts w:asciiTheme="minorHAnsi" w:hAnsiTheme="minorHAnsi" w:cstheme="minorBidi"/>
            <w:noProof w:val="1"/>
            <w:lang w:eastAsia="sv-SE"/>
          </w:rPr>
          <w:tab/>
        </w:r>
        <w:r>
          <w:rPr>
            <w:rStyle w:val="C2"/>
            <w:noProof w:val="1"/>
          </w:rPr>
          <w:t>Fastighetsrättsliga frågor och konsekvenser</w:t>
        </w:r>
        <w:r>
          <w:rPr>
            <w:noProof w:val="1"/>
          </w:rPr>
          <w:tab/>
        </w:r>
        <w:r>
          <w:rPr>
            <w:noProof w:val="1"/>
          </w:rPr>
          <w:fldChar w:fldCharType="begin"/>
        </w:r>
        <w:r>
          <w:rPr>
            <w:noProof w:val="1"/>
          </w:rPr>
          <w:instrText xml:space="preserve"> PAGEREF _Toc214961355 \h </w:instrText>
        </w:r>
        <w:r>
          <w:rPr>
            <w:noProof w:val="1"/>
          </w:rPr>
          <w:fldChar w:fldCharType="separate"/>
        </w:r>
        <w:r>
          <w:rPr>
            <w:noProof w:val="1"/>
          </w:rPr>
          <w:t>69</w:t>
        </w:r>
        <w:r>
          <w:rPr>
            <w:noProof w:val="1"/>
          </w:rPr>
          <w:fldChar w:fldCharType="end"/>
        </w:r>
      </w:hyperlink>
    </w:p>
    <w:p>
      <w:pPr>
        <w:pStyle w:val="P22"/>
        <w:rPr>
          <w:rFonts w:asciiTheme="minorHAnsi" w:hAnsiTheme="minorHAnsi" w:cstheme="minorBidi"/>
          <w:noProof w:val="1"/>
          <w:lang w:eastAsia="sv-SE"/>
        </w:rPr>
      </w:pPr>
      <w:hyperlink w:anchor="_Toc214961356">
        <w:r>
          <w:rPr>
            <w:rStyle w:val="C2"/>
            <w:noProof w:val="1"/>
          </w:rPr>
          <w:t>6.2.1</w:t>
        </w:r>
        <w:r>
          <w:rPr>
            <w:rFonts w:asciiTheme="minorHAnsi" w:hAnsiTheme="minorHAnsi" w:cstheme="minorBidi"/>
            <w:noProof w:val="1"/>
            <w:lang w:eastAsia="sv-SE"/>
          </w:rPr>
          <w:tab/>
        </w:r>
        <w:r>
          <w:rPr>
            <w:rStyle w:val="C2"/>
            <w:noProof w:val="1"/>
          </w:rPr>
          <w:t>Ägoförhållanden</w:t>
        </w:r>
        <w:r>
          <w:rPr>
            <w:noProof w:val="1"/>
          </w:rPr>
          <w:tab/>
        </w:r>
        <w:r>
          <w:rPr>
            <w:noProof w:val="1"/>
          </w:rPr>
          <w:fldChar w:fldCharType="begin"/>
        </w:r>
        <w:r>
          <w:rPr>
            <w:noProof w:val="1"/>
          </w:rPr>
          <w:instrText xml:space="preserve"> PAGEREF _Toc214961356 \h </w:instrText>
        </w:r>
        <w:r>
          <w:rPr>
            <w:noProof w:val="1"/>
          </w:rPr>
          <w:fldChar w:fldCharType="separate"/>
        </w:r>
        <w:r>
          <w:rPr>
            <w:noProof w:val="1"/>
          </w:rPr>
          <w:t>69</w:t>
        </w:r>
        <w:r>
          <w:rPr>
            <w:noProof w:val="1"/>
          </w:rPr>
          <w:fldChar w:fldCharType="end"/>
        </w:r>
      </w:hyperlink>
    </w:p>
    <w:p>
      <w:pPr>
        <w:pStyle w:val="P22"/>
        <w:rPr>
          <w:rFonts w:asciiTheme="minorHAnsi" w:hAnsiTheme="minorHAnsi" w:cstheme="minorBidi"/>
          <w:noProof w:val="1"/>
          <w:lang w:eastAsia="sv-SE"/>
        </w:rPr>
      </w:pPr>
      <w:hyperlink w:anchor="_Toc214961357">
        <w:r>
          <w:rPr>
            <w:rStyle w:val="C2"/>
            <w:noProof w:val="1"/>
          </w:rPr>
          <w:t>6.2.2</w:t>
        </w:r>
        <w:r>
          <w:rPr>
            <w:rFonts w:asciiTheme="minorHAnsi" w:hAnsiTheme="minorHAnsi" w:cstheme="minorBidi"/>
            <w:noProof w:val="1"/>
            <w:lang w:eastAsia="sv-SE"/>
          </w:rPr>
          <w:tab/>
        </w:r>
        <w:r>
          <w:rPr>
            <w:rStyle w:val="C2"/>
            <w:noProof w:val="1"/>
          </w:rPr>
          <w:t>Bildande av nya fastigheter</w:t>
        </w:r>
        <w:r>
          <w:rPr>
            <w:noProof w:val="1"/>
          </w:rPr>
          <w:tab/>
        </w:r>
        <w:r>
          <w:rPr>
            <w:noProof w:val="1"/>
          </w:rPr>
          <w:fldChar w:fldCharType="begin"/>
        </w:r>
        <w:r>
          <w:rPr>
            <w:noProof w:val="1"/>
          </w:rPr>
          <w:instrText xml:space="preserve"> PAGEREF _Toc214961357 \h </w:instrText>
        </w:r>
        <w:r>
          <w:rPr>
            <w:noProof w:val="1"/>
          </w:rPr>
          <w:fldChar w:fldCharType="separate"/>
        </w:r>
        <w:r>
          <w:rPr>
            <w:noProof w:val="1"/>
          </w:rPr>
          <w:t>70</w:t>
        </w:r>
        <w:r>
          <w:rPr>
            <w:noProof w:val="1"/>
          </w:rPr>
          <w:fldChar w:fldCharType="end"/>
        </w:r>
      </w:hyperlink>
    </w:p>
    <w:p>
      <w:pPr>
        <w:pStyle w:val="P22"/>
        <w:rPr>
          <w:rFonts w:asciiTheme="minorHAnsi" w:hAnsiTheme="minorHAnsi" w:cstheme="minorBidi"/>
          <w:noProof w:val="1"/>
          <w:lang w:eastAsia="sv-SE"/>
        </w:rPr>
      </w:pPr>
      <w:hyperlink w:anchor="_Toc214961358">
        <w:r>
          <w:rPr>
            <w:rStyle w:val="C2"/>
            <w:noProof w:val="1"/>
          </w:rPr>
          <w:t>6.2.3</w:t>
        </w:r>
        <w:r>
          <w:rPr>
            <w:rFonts w:asciiTheme="minorHAnsi" w:hAnsiTheme="minorHAnsi" w:cstheme="minorBidi"/>
            <w:noProof w:val="1"/>
            <w:lang w:eastAsia="sv-SE"/>
          </w:rPr>
          <w:tab/>
        </w:r>
        <w:r>
          <w:rPr>
            <w:rStyle w:val="C2"/>
            <w:noProof w:val="1"/>
          </w:rPr>
          <w:t>Marköverföringar</w:t>
        </w:r>
        <w:r>
          <w:rPr>
            <w:noProof w:val="1"/>
          </w:rPr>
          <w:tab/>
        </w:r>
        <w:r>
          <w:rPr>
            <w:noProof w:val="1"/>
          </w:rPr>
          <w:fldChar w:fldCharType="begin"/>
        </w:r>
        <w:r>
          <w:rPr>
            <w:noProof w:val="1"/>
          </w:rPr>
          <w:instrText xml:space="preserve"> PAGEREF _Toc214961358 \h </w:instrText>
        </w:r>
        <w:r>
          <w:rPr>
            <w:noProof w:val="1"/>
          </w:rPr>
          <w:fldChar w:fldCharType="separate"/>
        </w:r>
        <w:r>
          <w:rPr>
            <w:noProof w:val="1"/>
          </w:rPr>
          <w:t>70</w:t>
        </w:r>
        <w:r>
          <w:rPr>
            <w:noProof w:val="1"/>
          </w:rPr>
          <w:fldChar w:fldCharType="end"/>
        </w:r>
      </w:hyperlink>
    </w:p>
    <w:p>
      <w:pPr>
        <w:pStyle w:val="P22"/>
        <w:rPr>
          <w:rFonts w:asciiTheme="minorHAnsi" w:hAnsiTheme="minorHAnsi" w:cstheme="minorBidi"/>
          <w:noProof w:val="1"/>
          <w:lang w:eastAsia="sv-SE"/>
        </w:rPr>
      </w:pPr>
      <w:hyperlink w:anchor="_Toc214961359">
        <w:r>
          <w:rPr>
            <w:rStyle w:val="C2"/>
            <w:noProof w:val="1"/>
          </w:rPr>
          <w:t>6.2.4</w:t>
        </w:r>
        <w:r>
          <w:rPr>
            <w:rFonts w:asciiTheme="minorHAnsi" w:hAnsiTheme="minorHAnsi" w:cstheme="minorBidi"/>
            <w:noProof w:val="1"/>
            <w:lang w:eastAsia="sv-SE"/>
          </w:rPr>
          <w:tab/>
        </w:r>
        <w:r>
          <w:rPr>
            <w:rStyle w:val="C2"/>
            <w:noProof w:val="1"/>
          </w:rPr>
          <w:t>Servitut och ledningsrätt</w:t>
        </w:r>
        <w:r>
          <w:rPr>
            <w:noProof w:val="1"/>
          </w:rPr>
          <w:tab/>
        </w:r>
        <w:r>
          <w:rPr>
            <w:noProof w:val="1"/>
          </w:rPr>
          <w:fldChar w:fldCharType="begin"/>
        </w:r>
        <w:r>
          <w:rPr>
            <w:noProof w:val="1"/>
          </w:rPr>
          <w:instrText xml:space="preserve"> PAGEREF _Toc214961359 \h </w:instrText>
        </w:r>
        <w:r>
          <w:rPr>
            <w:noProof w:val="1"/>
          </w:rPr>
          <w:fldChar w:fldCharType="separate"/>
        </w:r>
        <w:r>
          <w:rPr>
            <w:noProof w:val="1"/>
          </w:rPr>
          <w:t>73</w:t>
        </w:r>
        <w:r>
          <w:rPr>
            <w:noProof w:val="1"/>
          </w:rPr>
          <w:fldChar w:fldCharType="end"/>
        </w:r>
      </w:hyperlink>
    </w:p>
    <w:p>
      <w:pPr>
        <w:pStyle w:val="P22"/>
        <w:rPr>
          <w:rFonts w:asciiTheme="minorHAnsi" w:hAnsiTheme="minorHAnsi" w:cstheme="minorBidi"/>
          <w:noProof w:val="1"/>
          <w:lang w:eastAsia="sv-SE"/>
        </w:rPr>
      </w:pPr>
      <w:hyperlink w:anchor="_Toc214961360">
        <w:r>
          <w:rPr>
            <w:rStyle w:val="C2"/>
            <w:noProof w:val="1"/>
          </w:rPr>
          <w:t>6.2.5</w:t>
        </w:r>
        <w:r>
          <w:rPr>
            <w:rFonts w:asciiTheme="minorHAnsi" w:hAnsiTheme="minorHAnsi" w:cstheme="minorBidi"/>
            <w:noProof w:val="1"/>
            <w:lang w:eastAsia="sv-SE"/>
          </w:rPr>
          <w:tab/>
        </w:r>
        <w:r>
          <w:rPr>
            <w:rStyle w:val="C2"/>
            <w:noProof w:val="1"/>
          </w:rPr>
          <w:t>Nyttjanderätter</w:t>
        </w:r>
        <w:r>
          <w:rPr>
            <w:noProof w:val="1"/>
          </w:rPr>
          <w:tab/>
        </w:r>
        <w:r>
          <w:rPr>
            <w:noProof w:val="1"/>
          </w:rPr>
          <w:fldChar w:fldCharType="begin"/>
        </w:r>
        <w:r>
          <w:rPr>
            <w:noProof w:val="1"/>
          </w:rPr>
          <w:instrText xml:space="preserve"> PAGEREF _Toc214961360 \h </w:instrText>
        </w:r>
        <w:r>
          <w:rPr>
            <w:noProof w:val="1"/>
          </w:rPr>
          <w:fldChar w:fldCharType="separate"/>
        </w:r>
        <w:r>
          <w:rPr>
            <w:noProof w:val="1"/>
          </w:rPr>
          <w:t>74</w:t>
        </w:r>
        <w:r>
          <w:rPr>
            <w:noProof w:val="1"/>
          </w:rPr>
          <w:fldChar w:fldCharType="end"/>
        </w:r>
      </w:hyperlink>
    </w:p>
    <w:p>
      <w:pPr>
        <w:pStyle w:val="P22"/>
        <w:rPr>
          <w:rFonts w:asciiTheme="minorHAnsi" w:hAnsiTheme="minorHAnsi" w:cstheme="minorBidi"/>
          <w:noProof w:val="1"/>
          <w:lang w:eastAsia="sv-SE"/>
        </w:rPr>
      </w:pPr>
      <w:hyperlink w:anchor="_Toc214961361">
        <w:r>
          <w:rPr>
            <w:rStyle w:val="C2"/>
            <w:noProof w:val="1"/>
          </w:rPr>
          <w:t>6.2.6</w:t>
        </w:r>
        <w:r>
          <w:rPr>
            <w:rFonts w:asciiTheme="minorHAnsi" w:hAnsiTheme="minorHAnsi" w:cstheme="minorBidi"/>
            <w:noProof w:val="1"/>
            <w:lang w:eastAsia="sv-SE"/>
          </w:rPr>
          <w:tab/>
        </w:r>
        <w:r>
          <w:rPr>
            <w:rStyle w:val="C2"/>
            <w:noProof w:val="1"/>
          </w:rPr>
          <w:t>Gemensamhetsanläggningar</w:t>
        </w:r>
        <w:r>
          <w:rPr>
            <w:noProof w:val="1"/>
          </w:rPr>
          <w:tab/>
        </w:r>
        <w:r>
          <w:rPr>
            <w:noProof w:val="1"/>
          </w:rPr>
          <w:fldChar w:fldCharType="begin"/>
        </w:r>
        <w:r>
          <w:rPr>
            <w:noProof w:val="1"/>
          </w:rPr>
          <w:instrText xml:space="preserve"> PAGEREF _Toc214961361 \h </w:instrText>
        </w:r>
        <w:r>
          <w:rPr>
            <w:noProof w:val="1"/>
          </w:rPr>
          <w:fldChar w:fldCharType="separate"/>
        </w:r>
        <w:r>
          <w:rPr>
            <w:noProof w:val="1"/>
          </w:rPr>
          <w:t>74</w:t>
        </w:r>
        <w:r>
          <w:rPr>
            <w:noProof w:val="1"/>
          </w:rPr>
          <w:fldChar w:fldCharType="end"/>
        </w:r>
      </w:hyperlink>
    </w:p>
    <w:p>
      <w:pPr>
        <w:pStyle w:val="P22"/>
        <w:rPr>
          <w:rFonts w:asciiTheme="minorHAnsi" w:hAnsiTheme="minorHAnsi" w:cstheme="minorBidi"/>
          <w:noProof w:val="1"/>
          <w:lang w:eastAsia="sv-SE"/>
        </w:rPr>
      </w:pPr>
      <w:hyperlink w:anchor="_Toc214961362">
        <w:r>
          <w:rPr>
            <w:rStyle w:val="C2"/>
            <w:noProof w:val="1"/>
          </w:rPr>
          <w:t>6.2.7</w:t>
        </w:r>
        <w:r>
          <w:rPr>
            <w:rFonts w:asciiTheme="minorHAnsi" w:hAnsiTheme="minorHAnsi" w:cstheme="minorBidi"/>
            <w:noProof w:val="1"/>
            <w:lang w:eastAsia="sv-SE"/>
          </w:rPr>
          <w:tab/>
        </w:r>
        <w:r>
          <w:rPr>
            <w:rStyle w:val="C2"/>
            <w:noProof w:val="1"/>
          </w:rPr>
          <w:t>Bygglov, anmälan och planavgift</w:t>
        </w:r>
        <w:r>
          <w:rPr>
            <w:noProof w:val="1"/>
          </w:rPr>
          <w:tab/>
        </w:r>
        <w:r>
          <w:rPr>
            <w:noProof w:val="1"/>
          </w:rPr>
          <w:fldChar w:fldCharType="begin"/>
        </w:r>
        <w:r>
          <w:rPr>
            <w:noProof w:val="1"/>
          </w:rPr>
          <w:instrText xml:space="preserve"> PAGEREF _Toc214961362 \h </w:instrText>
        </w:r>
        <w:r>
          <w:rPr>
            <w:noProof w:val="1"/>
          </w:rPr>
          <w:fldChar w:fldCharType="separate"/>
        </w:r>
        <w:r>
          <w:rPr>
            <w:noProof w:val="1"/>
          </w:rPr>
          <w:t>74</w:t>
        </w:r>
        <w:r>
          <w:rPr>
            <w:noProof w:val="1"/>
          </w:rPr>
          <w:fldChar w:fldCharType="end"/>
        </w:r>
      </w:hyperlink>
    </w:p>
    <w:p>
      <w:pPr>
        <w:pStyle w:val="P21"/>
        <w:rPr>
          <w:rFonts w:asciiTheme="minorHAnsi" w:hAnsiTheme="minorHAnsi" w:cstheme="minorBidi"/>
          <w:noProof w:val="1"/>
          <w:lang w:eastAsia="sv-SE"/>
        </w:rPr>
      </w:pPr>
      <w:hyperlink w:anchor="_Toc214961363">
        <w:r>
          <w:rPr>
            <w:rStyle w:val="C2"/>
            <w:noProof w:val="1"/>
          </w:rPr>
          <w:t>6.3</w:t>
        </w:r>
        <w:r>
          <w:rPr>
            <w:rFonts w:asciiTheme="minorHAnsi" w:hAnsiTheme="minorHAnsi" w:cstheme="minorBidi"/>
            <w:noProof w:val="1"/>
            <w:lang w:eastAsia="sv-SE"/>
          </w:rPr>
          <w:tab/>
        </w:r>
        <w:r>
          <w:rPr>
            <w:rStyle w:val="C2"/>
            <w:noProof w:val="1"/>
          </w:rPr>
          <w:t>Ekonomiska frågor</w:t>
        </w:r>
        <w:r>
          <w:rPr>
            <w:noProof w:val="1"/>
          </w:rPr>
          <w:tab/>
        </w:r>
        <w:r>
          <w:rPr>
            <w:noProof w:val="1"/>
          </w:rPr>
          <w:fldChar w:fldCharType="begin"/>
        </w:r>
        <w:r>
          <w:rPr>
            <w:noProof w:val="1"/>
          </w:rPr>
          <w:instrText xml:space="preserve"> PAGEREF _Toc214961363 \h </w:instrText>
        </w:r>
        <w:r>
          <w:rPr>
            <w:noProof w:val="1"/>
          </w:rPr>
          <w:fldChar w:fldCharType="separate"/>
        </w:r>
        <w:r>
          <w:rPr>
            <w:noProof w:val="1"/>
          </w:rPr>
          <w:t>75</w:t>
        </w:r>
        <w:r>
          <w:rPr>
            <w:noProof w:val="1"/>
          </w:rPr>
          <w:fldChar w:fldCharType="end"/>
        </w:r>
      </w:hyperlink>
    </w:p>
    <w:p>
      <w:pPr>
        <w:pStyle w:val="P22"/>
        <w:rPr>
          <w:rFonts w:asciiTheme="minorHAnsi" w:hAnsiTheme="minorHAnsi" w:cstheme="minorBidi"/>
          <w:noProof w:val="1"/>
          <w:lang w:eastAsia="sv-SE"/>
        </w:rPr>
      </w:pPr>
      <w:hyperlink w:anchor="_Toc214961364">
        <w:r>
          <w:rPr>
            <w:rStyle w:val="C2"/>
            <w:noProof w:val="1"/>
          </w:rPr>
          <w:t>6.3.1</w:t>
        </w:r>
        <w:r>
          <w:rPr>
            <w:rFonts w:asciiTheme="minorHAnsi" w:hAnsiTheme="minorHAnsi" w:cstheme="minorBidi"/>
            <w:noProof w:val="1"/>
            <w:lang w:eastAsia="sv-SE"/>
          </w:rPr>
          <w:tab/>
        </w:r>
        <w:r>
          <w:rPr>
            <w:rStyle w:val="C2"/>
            <w:noProof w:val="1"/>
          </w:rPr>
          <w:t>Planekonomi</w:t>
        </w:r>
        <w:r>
          <w:rPr>
            <w:noProof w:val="1"/>
          </w:rPr>
          <w:tab/>
        </w:r>
        <w:r>
          <w:rPr>
            <w:noProof w:val="1"/>
          </w:rPr>
          <w:fldChar w:fldCharType="begin"/>
        </w:r>
        <w:r>
          <w:rPr>
            <w:noProof w:val="1"/>
          </w:rPr>
          <w:instrText xml:space="preserve"> PAGEREF _Toc214961364 \h </w:instrText>
        </w:r>
        <w:r>
          <w:rPr>
            <w:noProof w:val="1"/>
          </w:rPr>
          <w:fldChar w:fldCharType="separate"/>
        </w:r>
        <w:r>
          <w:rPr>
            <w:noProof w:val="1"/>
          </w:rPr>
          <w:t>75</w:t>
        </w:r>
        <w:r>
          <w:rPr>
            <w:noProof w:val="1"/>
          </w:rPr>
          <w:fldChar w:fldCharType="end"/>
        </w:r>
      </w:hyperlink>
    </w:p>
    <w:p>
      <w:pPr>
        <w:pStyle w:val="P22"/>
        <w:rPr>
          <w:rFonts w:asciiTheme="minorHAnsi" w:hAnsiTheme="minorHAnsi" w:cstheme="minorBidi"/>
          <w:noProof w:val="1"/>
          <w:lang w:eastAsia="sv-SE"/>
        </w:rPr>
      </w:pPr>
      <w:hyperlink w:anchor="_Toc214961365">
        <w:r>
          <w:rPr>
            <w:rStyle w:val="C2"/>
            <w:noProof w:val="1"/>
          </w:rPr>
          <w:t>6.3.2</w:t>
        </w:r>
        <w:r>
          <w:rPr>
            <w:rFonts w:asciiTheme="minorHAnsi" w:hAnsiTheme="minorHAnsi" w:cstheme="minorBidi"/>
            <w:noProof w:val="1"/>
            <w:lang w:eastAsia="sv-SE"/>
          </w:rPr>
          <w:tab/>
        </w:r>
        <w:r>
          <w:rPr>
            <w:rStyle w:val="C2"/>
            <w:noProof w:val="1"/>
          </w:rPr>
          <w:t>Ansvarsfördelning</w:t>
        </w:r>
        <w:r>
          <w:rPr>
            <w:noProof w:val="1"/>
          </w:rPr>
          <w:tab/>
        </w:r>
        <w:r>
          <w:rPr>
            <w:noProof w:val="1"/>
          </w:rPr>
          <w:fldChar w:fldCharType="begin"/>
        </w:r>
        <w:r>
          <w:rPr>
            <w:noProof w:val="1"/>
          </w:rPr>
          <w:instrText xml:space="preserve"> PAGEREF _Toc214961365 \h </w:instrText>
        </w:r>
        <w:r>
          <w:rPr>
            <w:noProof w:val="1"/>
          </w:rPr>
          <w:fldChar w:fldCharType="separate"/>
        </w:r>
        <w:r>
          <w:rPr>
            <w:noProof w:val="1"/>
          </w:rPr>
          <w:t>75</w:t>
        </w:r>
        <w:r>
          <w:rPr>
            <w:noProof w:val="1"/>
          </w:rPr>
          <w:fldChar w:fldCharType="end"/>
        </w:r>
      </w:hyperlink>
    </w:p>
    <w:p>
      <w:pPr>
        <w:pStyle w:val="P20"/>
        <w:rPr>
          <w:rFonts w:asciiTheme="minorHAnsi" w:hAnsiTheme="minorHAnsi" w:cstheme="minorBidi"/>
          <w:b w:val="0"/>
          <w:noProof w:val="1"/>
          <w:lang w:eastAsia="sv-SE"/>
        </w:rPr>
      </w:pPr>
      <w:hyperlink w:anchor="_Toc214961366">
        <w:r>
          <w:rPr>
            <w:rStyle w:val="C2"/>
            <w:noProof w:val="1"/>
          </w:rPr>
          <w:t>7</w:t>
        </w:r>
        <w:r>
          <w:rPr>
            <w:rFonts w:asciiTheme="minorHAnsi" w:hAnsiTheme="minorHAnsi" w:cstheme="minorBidi"/>
            <w:b w:val="0"/>
            <w:noProof w:val="1"/>
            <w:lang w:eastAsia="sv-SE"/>
          </w:rPr>
          <w:tab/>
        </w:r>
        <w:r>
          <w:rPr>
            <w:rStyle w:val="C2"/>
            <w:noProof w:val="1"/>
          </w:rPr>
          <w:t>Medverkande tjänstepersoner</w:t>
        </w:r>
        <w:r>
          <w:rPr>
            <w:noProof w:val="1"/>
          </w:rPr>
          <w:tab/>
        </w:r>
        <w:r>
          <w:rPr>
            <w:noProof w:val="1"/>
          </w:rPr>
          <w:fldChar w:fldCharType="begin"/>
        </w:r>
        <w:r>
          <w:rPr>
            <w:noProof w:val="1"/>
          </w:rPr>
          <w:instrText xml:space="preserve"> PAGEREF _Toc214961366 \h </w:instrText>
        </w:r>
        <w:r>
          <w:rPr>
            <w:noProof w:val="1"/>
          </w:rPr>
          <w:fldChar w:fldCharType="separate"/>
        </w:r>
        <w:r>
          <w:rPr>
            <w:noProof w:val="1"/>
          </w:rPr>
          <w:t>75</w:t>
        </w:r>
        <w:r>
          <w:rPr>
            <w:noProof w:val="1"/>
          </w:rPr>
          <w:fldChar w:fldCharType="end"/>
        </w:r>
      </w:hyperlink>
    </w:p>
    <w:p>
      <w:r>
        <w:rPr>
          <w:b w:val="1"/>
          <w:bCs w:val="1"/>
        </w:rPr>
        <w:fldChar w:fldCharType="end"/>
      </w:r>
    </w:p>
    <w:p/>
    <w:p>
      <w:r>
        <w:br w:type="page"/>
      </w:r>
    </w:p>
    <w:p>
      <w:pPr>
        <w:pStyle w:val="P1"/>
      </w:pPr>
      <w:bookmarkStart w:id="2" w:name="_Toc214961283"/>
      <w:r>
        <w:t>Ärendeinformation</w:t>
      </w:r>
      <w:bookmarkEnd w:id="2"/>
    </w:p>
    <w:p>
      <w:pPr>
        <w:pStyle w:val="P2"/>
      </w:pPr>
      <w:bookmarkStart w:id="3" w:name="_Toc214961284"/>
      <w:r>
        <w:t>Planprocessen</w:t>
      </w:r>
      <w:bookmarkEnd w:id="3"/>
    </w:p>
    <w:p>
      <w:pPr>
        <w:pStyle w:val="P3"/>
      </w:pPr>
      <w:bookmarkStart w:id="4" w:name="_Toc214961285"/>
      <w:r>
        <w:t>Vad är en detaljplan</w:t>
      </w:r>
      <w:bookmarkEnd w:id="4"/>
    </w:p>
    <w:p>
      <w:bookmarkStart w:id="5" w:name="be_ärendeinformation01"/>
      <w:r>
        <w:t xml:space="preserve">Med en detaljplan reglerar kommunen hur mark och vatten ska användas och hur bebyggelsen ska se ut. Detaljplanen talar därför om vad fastighetsägaren får och inte får göra för byggåtgärder inom planområdet. </w:t>
      </w:r>
    </w:p>
    <w:p>
      <w:r>
        <w:t>En detaljplan visas som ett bestämt område på en plankarta. Till detaljplanekartan hör en planbeskrivning, som förklarar planens syfte och innehåll. Ibland ingår även andra handlingar, till exempel en illustrationskarta eller en miljökonsekvensbeskrivning. Detaljplanen är juridiskt bindande. Det betyder att det som står på plankartan ger markägaren rättigheter och skyldigheter för hur marken får användas och bebyggas.</w:t>
      </w:r>
    </w:p>
    <w:p>
      <w:r>
        <w:t>I plan- och bygglagen (PBL) finns bestämmelser om hur och i vilka situationer en detaljplan ska tas fram. Det är bara kommunen som kan besluta om att ta fram och anta en detaljplan.</w:t>
      </w:r>
    </w:p>
    <w:p>
      <w:r>
        <w:t>Du som är berörd av ett detaljplaneförslag har möjlighet att påverka planens innehåll. Det finns två tillfällen under detaljplaneprocessen där du kan framföra dina åsikter: samrådet och granskningen. Om du berörs av planförslaget och har synpunkter på planen är det viktigt att du framför dina synpunkter skriftligen för att senare ha rätt att överklaga kommunens beslut att anta detaljplanen.</w:t>
      </w:r>
    </w:p>
    <w:p>
      <w:r>
        <w:t>Eftersom en miljökonsekvensbeskrivning tagits fram till granskningen kommer detaljplanen handläggas med ett utökat förfarande.</w:t>
      </w:r>
    </w:p>
    <w:p/>
    <w:p>
      <w:r>
        <w:rPr>
          <w:noProof w:val="1"/>
        </w:rPr>
        <w:drawing>
          <wp:inline xmlns:wp="http://schemas.openxmlformats.org/drawingml/2006/wordprocessingDrawing" distT="0" distB="0" distL="0" distR="0">
            <wp:extent cx="4679950" cy="754380"/>
            <wp:effectExtent l="0" t="0" r="6350" b="762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pic:nvPicPr>
                  <pic:blipFill dpi="0">
                    <a:blip xmlns:r="http://schemas.openxmlformats.org/officeDocument/2006/relationships" r:embed="Relimage1"/>
                    <a:srcRect/>
                    <a:stretch>
                      <a:fillRect/>
                    </a:stretch>
                  </pic:blipFill>
                  <pic:spPr>
                    <a:xfrm>
                      <a:off x="0" y="0"/>
                      <a:ext cx="4679950" cy="754380"/>
                    </a:xfrm>
                    <a:prstGeom prst="rect"/>
                  </pic:spPr>
                </pic:pic>
              </a:graphicData>
            </a:graphic>
          </wp:inline>
        </w:drawing>
      </w:r>
    </w:p>
    <w:p>
      <w:r>
        <w:rPr>
          <w:i w:val="1"/>
          <w:sz w:val="18"/>
          <w:szCs w:val="18"/>
        </w:rPr>
        <w:t>Bild visar illustration över detaljplaneprocessen. Röd markering visar på att detaljplanen är inför antagande.</w:t>
      </w:r>
    </w:p>
    <w:p>
      <w:pPr>
        <w:pStyle w:val="P3"/>
      </w:pPr>
      <w:bookmarkEnd w:id="5"/>
      <w:bookmarkStart w:id="6" w:name="_Toc214961286"/>
      <w:r>
        <w:t>Detaljplanens handlingar</w:t>
      </w:r>
      <w:bookmarkEnd w:id="6"/>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bookmarkStart w:id="7" w:name="be_ärendeinformation03"/>
      <w:r>
        <w:rPr>
          <w:color w:val="000000"/>
        </w:rPr>
        <w:t>Plankarta med bestämmelser</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 xml:space="preserve">Plan- och genomförandebeskrivning </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Samrådsredogörelse</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Miljökonsekvensbeskrivning (Tyréns 2025)</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Granskningsutlåtande</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Grundkarta</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 xml:space="preserve">Fastighetsförteckning </w:t>
      </w:r>
      <w:bookmarkStart w:id="8" w:name="_Toc197587966"/>
    </w:p>
    <w:p>
      <w:p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ind w:left="340"/>
        <w:rPr>
          <w:b w:val="1"/>
          <w:i w:val="1"/>
          <w:bCs w:val="1"/>
          <w:iCs w:val="1"/>
        </w:rPr>
      </w:pPr>
      <w:r>
        <w:rPr>
          <w:b w:val="1"/>
          <w:i w:val="1"/>
          <w:bCs w:val="1"/>
          <w:iCs w:val="1"/>
        </w:rPr>
        <w:t>Utredningar</w:t>
      </w:r>
      <w:bookmarkEnd w:id="8"/>
      <w:r>
        <w:rPr>
          <w:b w:val="1"/>
          <w:i w:val="1"/>
          <w:bCs w:val="1"/>
          <w:iCs w:val="1"/>
        </w:rPr>
        <w:t xml:space="preserve"> </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bookmarkStart w:id="9" w:name="_Hlk199929043"/>
      <w:r>
        <w:rPr>
          <w:color w:val="000000"/>
        </w:rPr>
        <w:t>Risk PM – riskbedömning avseende drivmedelstation i samband med bostadsbebyggelse – Ödeshögs kommun (2023-03-28)</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t>Dagvattenutredning – Tyréns (2023-04-21) fördjupad utredning (2025-03-31)</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t>Trafikutredning och illustrationsplan – Tyréns (2023-04-21)</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t>Va-utredning – Tyréns (2023-04-28) fördjupad (2025-03-31)</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t>Naturinventering – Tyréns (2023-10-03)</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t>Bullerutredning (trafik och verksamhetsbuller) – Tyréns (2023-12-11 rev 2025-03-17)</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t>Miljökonsekvensbeskrivning – Tyréns (2025-05-09)</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t>Markteknisk undersökningsrapport – Tyréns (2024-02-06)</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t>Projekterings-PM Geoteknik – Tyréns (2024-02-06)</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t>Miljöteknisk undersökning – Tyréns (2024-06-28 kompletterad 2024-09-06)</w:t>
      </w:r>
    </w:p>
    <w:p>
      <w:pPr>
        <w:numPr>
          <w:ilvl w:val="0"/>
          <w:numId w:val="34"/>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t>Eftersbehandlingsrapport – Tyréns (2025-03-05)</w:t>
      </w:r>
    </w:p>
    <w:p>
      <w:pPr>
        <w:pStyle w:val="P1"/>
      </w:pPr>
      <w:bookmarkEnd w:id="7"/>
      <w:bookmarkEnd w:id="9"/>
      <w:bookmarkStart w:id="10" w:name="_Toc214961287"/>
      <w:r>
        <w:t>Detaljplanens syfte och bakgrund</w:t>
      </w:r>
      <w:bookmarkEnd w:id="10"/>
    </w:p>
    <w:p>
      <w:pPr>
        <w:tabs>
          <w:tab w:val="left" w:pos="284" w:leader="none"/>
        </w:tabs>
      </w:pPr>
      <w:bookmarkStart w:id="11" w:name="sy_syfte01"/>
      <w:r>
        <w:t xml:space="preserve">Detaljplanen syftar till att utveckla området Vida Vättern till ett levande bostads- och fritidshusområde genom att möjliggöra för nya bostäder. Planen möjliggör ca 20 nya bostadsfastigheter för friliggande villor och med planläggningen befästs även pågående markanvändning för fritidshus, drivmedelstation och rastplats. Planen möjliggör att bedriva handel där det idag är drivmedelsstation.  </w:t>
      </w:r>
    </w:p>
    <w:p>
      <w:pPr>
        <w:tabs>
          <w:tab w:val="left" w:pos="284" w:leader="none"/>
        </w:tabs>
      </w:pPr>
      <w:bookmarkEnd w:id="11"/>
      <w:bookmarkStart w:id="12" w:name="be_heladetaljplan01"/>
      <w:r>
        <w:t xml:space="preserve">Det finns idag ingen gällande detaljplan för området. Marken är privatägd och initiativ till planen har kommit från markägare. Sedan planbeskedet 2020 har planområdet utökats med att två nya fastighetsägare har anslutits till planen (2022). </w:t>
      </w:r>
    </w:p>
    <w:p>
      <w:pPr>
        <w:tabs>
          <w:tab w:val="left" w:pos="284" w:leader="none"/>
        </w:tabs>
      </w:pPr>
      <w:r>
        <w:t xml:space="preserve">Planförslaget bedöms förenligt med översiktsplanen då viljeriktningen bland annat är att utveckla området Vida Vättern med attraktiva vätternära boenden. </w:t>
      </w:r>
    </w:p>
    <w:p>
      <w:pPr>
        <w:tabs>
          <w:tab w:val="left" w:pos="284" w:leader="none"/>
        </w:tabs>
      </w:pPr>
      <w:r>
        <w:t xml:space="preserve">Det har tidigare drivits motell/restaurang inom planområdet med tillhörande uthyrningsstugor. Motellet/restaurangen revs 2024 och flertalet av de större uthyrningsstugorna är riva eller borttransporterade. Idag används delar av marken inom planområdet längs med väg 918 till bemannad drivmedelsstation, återvinningsstation (FTI) och rastplats. </w:t>
      </w:r>
    </w:p>
    <w:p>
      <w:pPr>
        <w:tabs>
          <w:tab w:val="left" w:pos="284" w:leader="none"/>
        </w:tabs>
      </w:pPr>
      <w:r>
        <w:t xml:space="preserve">Marken i planområdet är kuperad med en stark lutning från öst till väst, i området finns det delvis naturliga platåer där befintlig bebyggelse ligger. Planen utformas för att särskilt beakta området i sin helhet med byggnadshöjder och anpassning i landskapet samt angöringsväg till och genom området. </w:t>
      </w:r>
    </w:p>
    <w:p>
      <w:pPr>
        <w:tabs>
          <w:tab w:val="left" w:pos="284" w:leader="none"/>
        </w:tabs>
      </w:pPr>
      <w:r>
        <w:t>Planarbetet har fördröjts då en stor del av den befintliga växtligheten togs bort och att nya förorenade massor tillfördes på platsen innan planen gick ut på samråd. Detta ledde till ett exploatörsstopp från Länsstyrelsen och ett tillsynsärende upprättades på miljökontoret på Ödeshögs kommun.</w:t>
      </w:r>
    </w:p>
    <w:p>
      <w:pPr>
        <w:tabs>
          <w:tab w:val="left" w:pos="284" w:leader="none"/>
        </w:tabs>
      </w:pPr>
      <w:r>
        <w:t>I samband med de förändrade förutsättningarna på platsen bedömde Ödeshögs kommun att det inte gick att utesluta att de förändringar av marken samt planens genomförande inte har en betydande påverkan på miljön och att en miljökonsekvensbeskrivning (MKB) måste tas fram. De tillförda förorenade massorna har undersökts och fraktats bort med godkännande av miljökontoret (2025).</w:t>
      </w:r>
    </w:p>
    <w:p>
      <w:pPr>
        <w:tabs>
          <w:tab w:val="left" w:pos="284" w:leader="none"/>
        </w:tabs>
      </w:pPr>
      <w:r>
        <w:t xml:space="preserve">Sammantaget bedöms planförslagets negativa konsekvenser som ingen eller liten för de miljöaspekter som ha bedömts i miljökonsekvensbeskrivningen. Dessa bedömningar förutsätter dock att vissa skydds- eller försiktighetsåtgärder vidtas. Planens utformning har också anpassats till de behov som har framkommit av genomförda utredningar och miljökonsekvensbeskrivningen. Ödeshögs kommun anser att detaljplanen inte medför en betydande miljöpåverkan. </w:t>
      </w:r>
      <w:bookmarkEnd w:id="12"/>
    </w:p>
    <w:p>
      <w:pPr>
        <w:pStyle w:val="P2"/>
      </w:pPr>
      <w:bookmarkStart w:id="13" w:name="_Toc214961288"/>
      <w:r>
        <w:t>Planprocess</w:t>
      </w:r>
      <w:bookmarkEnd w:id="13"/>
    </w:p>
    <w:p>
      <w:pPr>
        <w:tabs>
          <w:tab w:val="left" w:pos="284" w:leader="none"/>
        </w:tabs>
      </w:pPr>
      <w:bookmarkStart w:id="14" w:name="be_ärendeinformation04"/>
      <w:r>
        <w:t xml:space="preserve">Efter samrådet har detaljplanen arbetats om och nya utredningar har tagits fram av exploatörernas konsult. På grund av de åtgärder och förändringar av naturen inom området bedömde kommunen att det inte kan uteslutas att planen medför en betydande miljöpåverkan och en strategisk miljöbedömning ska genomföras tillsammans med planen och en miljökonsekvensbeskrivning (MKB) ska tas fram. I januari 2024 genomfördes att avgränsningssamråd med Länsstyrelsen där innehållet i MKB:n beslutades. </w:t>
      </w:r>
    </w:p>
    <w:p>
      <w:pPr>
        <w:tabs>
          <w:tab w:val="left" w:pos="284" w:leader="none"/>
        </w:tabs>
      </w:pPr>
      <w:r>
        <w:t xml:space="preserve">I samband med att en MKB har tagits fram kommer detaljplanen att handläggas med utökande förfarande och MKB:n skickas ut samtidigt som granskningshandlingarna för planen för att ge en helhetsbild av hur området påverkats av planen och hur planen anpassas till områdets förutsättningar. </w:t>
      </w:r>
    </w:p>
    <w:p>
      <w:pPr>
        <w:pStyle w:val="P1"/>
      </w:pPr>
      <w:bookmarkEnd w:id="14"/>
      <w:bookmarkStart w:id="15" w:name="_Toc214961289"/>
      <w:r>
        <w:t>Planområdet</w:t>
      </w:r>
      <w:bookmarkEnd w:id="15"/>
    </w:p>
    <w:p>
      <w:pPr>
        <w:pStyle w:val="P2"/>
      </w:pPr>
      <w:bookmarkStart w:id="16" w:name="_Toc214961290"/>
      <w:r>
        <w:t>Lokalisering, storlek och markägarförhållanden</w:t>
      </w:r>
      <w:bookmarkEnd w:id="16"/>
    </w:p>
    <w:p>
      <w:bookmarkStart w:id="17" w:name="pf_fysiskmiljö01"/>
      <w:r>
        <w:t xml:space="preserve">Planområdet är beläget cirka 1 mil sydväst om Ödeshögs tätort och cirka 200 meter väst om europaväg 4. Planområdet omfattar en areal om cirka 5,8 hektar. </w:t>
      </w:r>
    </w:p>
    <w:p>
      <w:r>
        <w:rPr>
          <w:noProof w:val="1"/>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2302510</wp:posOffset>
                </wp:positionH>
                <wp:positionV relativeFrom="paragraph">
                  <wp:posOffset>6985</wp:posOffset>
                </wp:positionV>
                <wp:extent cx="610870" cy="269240"/>
                <wp:effectExtent l="0" t="0" r="360680" b="645160"/>
                <wp:wrapNone/>
                <wp:docPr id="8" name="Pratbubbla: rektangel 8"/>
                <wp:cNvGraphicFramePr/>
                <a:graphic xmlns:a="http://schemas.openxmlformats.org/drawingml/2006/main">
                  <a:graphicData uri="http://schemas.microsoft.com/office/word/2010/wordprocessingShape">
                    <wps:wsp>
                      <wps:cNvSpPr/>
                      <wps:spPr>
                        <a:xfrm>
                          <a:off x="0" y="0"/>
                          <a:ext cx="610870" cy="269240"/>
                        </a:xfrm>
                        <a:prstGeom prst="wedgeRectCallout">
                          <a:avLst>
                            <a:gd name="adj1" fmla="val 105044"/>
                            <a:gd name="adj2" fmla="val 281572"/>
                          </a:avLst>
                        </a:prstGeom>
                        <a:solidFill>
                          <a:sysClr val="window"/>
                        </a:solidFill>
                        <a:ln w="25400" cmpd="sng" algn="ctr">
                          <a:solidFill>
                            <a:sysClr val="windowText"/>
                          </a:solidFill>
                          <a:prstDash val="soli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center"/>
                              <w:rPr>
                                <w:sz w:val="18"/>
                                <w:szCs w:val="18"/>
                              </w:rPr>
                            </w:pPr>
                            <w:r>
                              <w:rPr>
                                <w:sz w:val="18"/>
                                <w:szCs w:val="18"/>
                              </w:rPr>
                              <w:t>Väg 918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xmlns:o="urn:schemas-microsoft-com:office:offic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shapetype>
              <v:shape xmlns:o="urn:schemas-microsoft-com:office:office" type="#_x0000_t61" id="Pratbubbla: rektangel 8" o:spid="_x0000_s1026" style="position:absolute;width:48.1pt;height:21.2pt;z-index:5;mso-wrap-distance-left:9pt;mso-wrap-distance-top:0pt;mso-wrap-distance-right:9pt;mso-wrap-distance-bottom:0pt;margin-left:181.3pt;margin-top:0.55pt;mso-position-horizontal:absolute;mso-position-horizontal-relative:text;mso-position-vertical:absolute;mso-position-vertical-relative:text;v-text-anchor:middle" o:allowincell="t" fillcolor="#FFFFFF" strokecolor="#000000" strokeweight="2pt" stroked="t">
                <v:textbox inset="3mm,1mm,3mm,1mm">
                  <w:txbxContent>
                    <w:p>
                      <w:pPr>
                        <w:jc w:val="center"/>
                        <w:rPr>
                          <w:sz w:val="18"/>
                          <w:szCs w:val="18"/>
                        </w:rPr>
                      </w:pPr>
                      <w:r>
                        <w:rPr>
                          <w:sz w:val="18"/>
                          <w:szCs w:val="18"/>
                        </w:rPr>
                        <w:t>Väg 918</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4" behindDoc="0" locked="0" layoutInCell="1" allowOverlap="1">
                <wp:simplePos x="0" y="0"/>
                <wp:positionH relativeFrom="column">
                  <wp:posOffset>2313305</wp:posOffset>
                </wp:positionH>
                <wp:positionV relativeFrom="paragraph">
                  <wp:posOffset>1650365</wp:posOffset>
                </wp:positionV>
                <wp:extent cx="582930" cy="442595"/>
                <wp:effectExtent l="0" t="323850" r="560070" b="14605"/>
                <wp:wrapNone/>
                <wp:docPr id="7" name="Pratbubbla: rektangel 7"/>
                <wp:cNvGraphicFramePr/>
                <a:graphic xmlns:a="http://schemas.openxmlformats.org/drawingml/2006/main">
                  <a:graphicData uri="http://schemas.microsoft.com/office/word/2010/wordprocessingShape">
                    <wps:wsp>
                      <wps:cNvSpPr/>
                      <wps:spPr>
                        <a:xfrm>
                          <a:off x="0" y="0"/>
                          <a:ext cx="582930" cy="442595"/>
                        </a:xfrm>
                        <a:prstGeom prst="wedgeRectCallout">
                          <a:avLst>
                            <a:gd name="adj1" fmla="val 138733"/>
                            <a:gd name="adj2" fmla="val -121646"/>
                          </a:avLst>
                        </a:prstGeom>
                        <a:solidFill>
                          <a:sysClr val="window"/>
                        </a:solidFill>
                        <a:ln w="25400" cmpd="sng" algn="ctr">
                          <a:solidFill>
                            <a:sysClr val="windowText"/>
                          </a:solidFill>
                          <a:prstDash val="soli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center"/>
                              <w:rPr>
                                <w:sz w:val="18"/>
                                <w:szCs w:val="18"/>
                              </w:rPr>
                            </w:pPr>
                            <w:r>
                              <w:rPr>
                                <w:sz w:val="18"/>
                                <w:szCs w:val="18"/>
                              </w:rPr>
                              <w:t>Bensin-station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type="#_x0000_t61" id="Pratbubbla: rektangel 7" o:spid="_x0000_s1027" style="position:absolute;width:45.9pt;height:34.85pt;z-index:4;mso-wrap-distance-left:9pt;mso-wrap-distance-top:0pt;mso-wrap-distance-right:9pt;mso-wrap-distance-bottom:0pt;margin-left:182.15pt;margin-top:129.95pt;mso-position-horizontal:absolute;mso-position-horizontal-relative:text;mso-position-vertical:absolute;mso-position-vertical-relative:text;v-text-anchor:middle" o:allowincell="t" fillcolor="#FFFFFF" strokecolor="#000000" strokeweight="2pt" stroked="t">
                <v:textbox inset="3mm,1mm,3mm,1mm">
                  <w:txbxContent>
                    <w:p>
                      <w:pPr>
                        <w:jc w:val="center"/>
                        <w:rPr>
                          <w:sz w:val="18"/>
                          <w:szCs w:val="18"/>
                        </w:rPr>
                      </w:pPr>
                      <w:r>
                        <w:rPr>
                          <w:sz w:val="18"/>
                          <w:szCs w:val="18"/>
                        </w:rPr>
                        <w:t>Bensin-station</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column">
                  <wp:posOffset>4237355</wp:posOffset>
                </wp:positionH>
                <wp:positionV relativeFrom="paragraph">
                  <wp:posOffset>2390775</wp:posOffset>
                </wp:positionV>
                <wp:extent cx="341630" cy="285750"/>
                <wp:effectExtent l="0" t="0" r="153670" b="381000"/>
                <wp:wrapNone/>
                <wp:docPr id="6" name="Pratbubbla: rektangel 6"/>
                <wp:cNvGraphicFramePr/>
                <a:graphic xmlns:a="http://schemas.openxmlformats.org/drawingml/2006/main">
                  <a:graphicData uri="http://schemas.microsoft.com/office/word/2010/wordprocessingShape">
                    <wps:wsp>
                      <wps:cNvSpPr/>
                      <wps:spPr>
                        <a:xfrm>
                          <a:off x="0" y="0"/>
                          <a:ext cx="342046" cy="286102"/>
                        </a:xfrm>
                        <a:prstGeom prst="wedgeRectCallout">
                          <a:avLst>
                            <a:gd name="adj1" fmla="val 84841"/>
                            <a:gd name="adj2" fmla="val 171143"/>
                          </a:avLst>
                        </a:prstGeom>
                      </wps:spPr>
                      <wps:style>
                        <a:lnRef idx="2">
                          <a:schemeClr val="dk1"/>
                        </a:lnRef>
                        <a:fillRef idx="1">
                          <a:schemeClr val="lt1"/>
                        </a:fillRef>
                        <a:effectRef idx="0">
                          <a:schemeClr val="dk1"/>
                        </a:effectRef>
                        <a:fontRef idx="minor">
                          <a:schemeClr val="dk1"/>
                        </a:fontRef>
                      </wps:style>
                      <wps:txbx>
                        <w:txbxContent>
                          <w:p>
                            <w:pPr>
                              <w:jc w:val="center"/>
                              <w:rPr>
                                <w:sz w:val="18"/>
                                <w:szCs w:val="18"/>
                              </w:rPr>
                            </w:pPr>
                            <w:r>
                              <w:rPr>
                                <w:sz w:val="18"/>
                                <w:szCs w:val="18"/>
                              </w:rPr>
                              <w:t>E4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type="#_x0000_t61" id="Pratbubbla: rektangel 6" o:spid="_x0000_s1028" style="position:absolute;width:26.9pt;height:22.5pt;z-index:3;mso-wrap-distance-left:9pt;mso-wrap-distance-top:0pt;mso-wrap-distance-right:9pt;mso-wrap-distance-bottom:0pt;margin-left:333.65pt;margin-top:188.25pt;mso-position-horizontal:absolute;mso-position-horizontal-relative:text;mso-position-vertical:absolute;mso-position-vertical-relative:text;v-text-anchor:middle" o:allowincell="t" strokecolor="#000000" strokeweight="2pt" stroked="t">
                <v:textbox inset="3mm,1mm,3mm,1mm">
                  <w:txbxContent>
                    <w:p>
                      <w:pPr>
                        <w:jc w:val="center"/>
                        <w:rPr>
                          <w:sz w:val="18"/>
                          <w:szCs w:val="18"/>
                        </w:rPr>
                      </w:pPr>
                      <w:r>
                        <w:rPr>
                          <w:sz w:val="18"/>
                          <w:szCs w:val="18"/>
                        </w:rPr>
                        <w:t>E4</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column">
                  <wp:posOffset>664210</wp:posOffset>
                </wp:positionH>
                <wp:positionV relativeFrom="paragraph">
                  <wp:posOffset>2772410</wp:posOffset>
                </wp:positionV>
                <wp:extent cx="252095" cy="100965"/>
                <wp:effectExtent l="0" t="19050" r="33655" b="32385"/>
                <wp:wrapNone/>
                <wp:docPr id="4" name="Pil: höger 4"/>
                <wp:cNvGraphicFramePr/>
                <a:graphic xmlns:a="http://schemas.openxmlformats.org/drawingml/2006/main">
                  <a:graphicData uri="http://schemas.microsoft.com/office/word/2010/wordprocessingShape">
                    <wps:wsp>
                      <wps:cNvSpPr/>
                      <wps:spPr>
                        <a:xfrm>
                          <a:off x="0" y="0"/>
                          <a:ext cx="252442" cy="100976"/>
                        </a:xfrm>
                        <a:prstGeom prst="rightArrow"/>
                      </wps:spPr>
                      <wps:style>
                        <a:lnRef idx="2">
                          <a:schemeClr val="accent3">
                            <a:shade val="50000"/>
                          </a:schemeClr>
                        </a:lnRef>
                        <a:fillRef idx="1">
                          <a:schemeClr val="accent3"/>
                        </a:fillRef>
                        <a:effectRef idx="0">
                          <a:schemeClr val="accent3"/>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xmlns:o="urn:schemas-microsoft-com:office:offic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shapetype>
              <v:shape xmlns:o="urn:schemas-microsoft-com:office:office" type="#_x0000_t13" id="Pil: höger 4" o:spid="_x0000_s1029" style="position:absolute;width:19.85pt;height:7.95pt;z-index:2;mso-wrap-distance-left:9pt;mso-wrap-distance-top:0pt;mso-wrap-distance-right:9pt;mso-wrap-distance-bottom:0pt;margin-left:52.3pt;margin-top:218.3pt;mso-position-horizontal:absolute;mso-position-horizontal-relative:text;mso-position-vertical:absolute;mso-position-vertical-relative:text;v-text-anchor:middle" o:allowincell="t" strokecolor="#A7002C" strokeweight="2pt" stroked="t">
                <v:textbox inset="3mm,1mm,3mm,1mm">
                  <w:txbxContent>
                    <w:p/>
                  </w:txbxContent>
                </v:textbox>
              </v:shape>
            </w:pict>
          </mc:Fallback>
        </mc:AlternateContent>
      </w:r>
      <w:r>
        <w:rPr>
          <w:noProof w:val="1"/>
        </w:rPr>
        <w:drawing>
          <wp:anchor xmlns:wp="http://schemas.openxmlformats.org/drawingml/2006/wordprocessingDrawing" distT="0" distB="0" distL="114300" distR="114300" simplePos="0" relativeHeight="1" behindDoc="0" locked="0" layoutInCell="1" allowOverlap="1">
            <wp:simplePos x="0" y="0"/>
            <wp:positionH relativeFrom="column">
              <wp:posOffset>2301240</wp:posOffset>
            </wp:positionH>
            <wp:positionV relativeFrom="paragraph">
              <wp:posOffset>5715</wp:posOffset>
            </wp:positionV>
            <wp:extent cx="2649220" cy="3292475"/>
            <wp:effectExtent l="0" t="0" r="0" b="3175"/>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dpi="0">
                    <a:blip xmlns:r="http://schemas.openxmlformats.org/officeDocument/2006/relationships" r:embed="Relimage2"/>
                    <a:srcRect/>
                    <a:stretch>
                      <a:fillRect/>
                    </a:stretch>
                  </pic:blipFill>
                  <pic:spPr>
                    <a:xfrm>
                      <a:off x="0" y="0"/>
                      <a:ext cx="2649220" cy="3292475"/>
                    </a:xfrm>
                    <a:prstGeom prst="rect"/>
                  </pic:spPr>
                </pic:pic>
              </a:graphicData>
            </a:graphic>
          </wp:anchor>
        </w:drawing>
      </w:r>
      <w:r>
        <w:rPr>
          <w:noProof w:val="1"/>
        </w:rPr>
        <w:drawing>
          <wp:inline xmlns:wp="http://schemas.openxmlformats.org/drawingml/2006/wordprocessingDrawing" distT="0" distB="0" distL="0" distR="0">
            <wp:extent cx="2552065" cy="3297555"/>
            <wp:effectExtent l="0" t="0" r="635" b="0"/>
            <wp:docPr id="59" name="image13.png" descr="Bild visar schematisk lokalisering av planområdet med pil och flygfotografi över området med beskrivna verksamheter."/>
            <wp:cNvGraphicFramePr/>
            <a:graphic xmlns:a="http://schemas.openxmlformats.org/drawingml/2006/main">
              <a:graphicData uri="http://schemas.openxmlformats.org/drawingml/2006/picture">
                <pic:pic xmlns:pic="http://schemas.openxmlformats.org/drawingml/2006/picture">
                  <pic:nvPicPr>
                    <pic:cNvPr id="59" name="image13.png" descr="Bild visar schematisk lokalisering av planområdet med pil och flygfotografi över området med beskrivna verksamheter."/>
                    <pic:cNvPicPr preferRelativeResize="0"/>
                  </pic:nvPicPr>
                  <pic:blipFill dpi="0">
                    <a:blip xmlns:r="http://schemas.openxmlformats.org/officeDocument/2006/relationships" r:embed="Relimage3"/>
                    <a:srcRect/>
                    <a:stretch>
                      <a:fillRect/>
                    </a:stretch>
                  </pic:blipFill>
                  <pic:spPr>
                    <a:xfrm>
                      <a:off x="0" y="0"/>
                      <a:ext cx="2563158" cy="3311898"/>
                    </a:xfrm>
                    <a:prstGeom prst="rect"/>
                  </pic:spPr>
                </pic:pic>
              </a:graphicData>
            </a:graphic>
          </wp:inline>
        </w:drawing>
      </w:r>
    </w:p>
    <w:p>
      <w:pPr>
        <w:rPr>
          <w:i w:val="1"/>
          <w:sz w:val="18"/>
          <w:szCs w:val="18"/>
        </w:rPr>
      </w:pPr>
      <w:r>
        <w:rPr>
          <w:i w:val="1"/>
          <w:sz w:val="18"/>
          <w:szCs w:val="18"/>
        </w:rPr>
        <w:t>Bild visar schematisk lokalisering av planområdet med pil och flygfotografi över området med beskrivna verksamheter.</w:t>
      </w:r>
    </w:p>
    <w:p>
      <w:pPr>
        <w:tabs>
          <w:tab w:val="left" w:pos="284" w:leader="none"/>
        </w:tabs>
      </w:pPr>
      <w:r>
        <w:t>Fastigheterna Hårstorp 1:3, 1:7, 1:9, 1:10, 1:11 och 1:12 omfattas av detaljplanen. En mindre remsa av fastigheten Hårstorp 1:4 ingår då del av väg 918 ingår i planen.</w:t>
      </w:r>
    </w:p>
    <w:p>
      <w:pPr>
        <w:pStyle w:val="P1"/>
        <w:rPr>
          <w:szCs w:val="36"/>
        </w:rPr>
      </w:pPr>
      <w:bookmarkEnd w:id="17"/>
      <w:bookmarkStart w:id="18" w:name="_Toc214961291"/>
      <w:r>
        <w:rPr>
          <w:szCs w:val="36"/>
        </w:rPr>
        <w:t>Planförslag</w:t>
      </w:r>
      <w:bookmarkEnd w:id="18"/>
    </w:p>
    <w:p>
      <w:pPr>
        <w:pStyle w:val="P2"/>
      </w:pPr>
      <w:bookmarkStart w:id="19" w:name="_Toc214961292"/>
      <w:r>
        <w:t>Huvuddrag med illustration</w:t>
      </w:r>
      <w:bookmarkEnd w:id="19"/>
    </w:p>
    <w:p>
      <w:pPr>
        <w:tabs>
          <w:tab w:val="left" w:pos="284" w:leader="none"/>
        </w:tabs>
      </w:pPr>
      <w:bookmarkStart w:id="20" w:name="pf_fysiskmiljö02"/>
      <w:r>
        <w:t xml:space="preserve">I samband med exploatering av området kommer befintlig drivmedelsstation och rastplats behållas och för framtiden möjliggörs även detaljhandel om fastigheten skulle utvecklas till annat än drivmedelsstation. Parkeringsytan söder om drivmedelsstation tillåts endast för bilar och husbilar för att få bort långtradare som tillåts parkera idag. I detta område möjliggörs ett område för servicebyggnad kopplat till parkeringen för bilar och husbilar. För att ansluta de nya bostäderna flyttas befintlig infart norrut där gatan inom planområdet breddas till ca 6 meter för att möjliggöra mötande av tyngre trafik som sopbil och räddningstjänst. Bredden på hela utrymmet längs gatan blir ytterligare ca 8-10 meter för att få utrymme för diken längs med vägen.  Till huvudvägen ansluts mindre gator med vändplatser för att kunna ansluta ny bebyggelse på ett trafiksäkert sätt, inom dessa gator anläggs även diken för att ta hand om dagvattnet i området. Dagvattnet från gatan samlas upp i diken som led till en dagvattendamm (utjämningsdike) för fördröjning och rening av dagvattnet innan den går vidare ut mot Vättern.</w:t>
      </w:r>
    </w:p>
    <w:p>
      <w:pPr>
        <w:tabs>
          <w:tab w:val="left" w:pos="284" w:leader="none"/>
        </w:tabs>
      </w:pPr>
      <w:r>
        <w:t>Bostäderna ska vara friliggande enbostadshus, i området närmast väg 918 tillåts villor i 1 plan (6 meter nockhöjd) med en fastighetsstorlek på minst 1000 kvadratmeter. I platån öster om drivmedelsstationen tillåts bostäderna vara lite högre (8 meter) men med en mindre byggrätt. Höjden påverkar inte ovanliggande planerade bostäder då nästa platå har en så pass hög höjdskillnad mot denna. I detta område ställs också vissa krav utifrån närheten till drivmedelsstationen.</w:t>
      </w:r>
    </w:p>
    <w:p>
      <w:pPr>
        <w:tabs>
          <w:tab w:val="left" w:pos="284" w:leader="none"/>
        </w:tabs>
      </w:pPr>
      <w:r>
        <w:t xml:space="preserve">I övriga område är det framförallt större fastigheter som planeras i ett plan där minsta fastighetstorlek är 1500 kvm, befintliga bostäder får liknande förutsättningar.  Utöver byggrätt för enbostadshus tillåts framtida fastigheter att bygga komplementbyggnader på maximalt 60 kvadratmeter. Bostäderna och komplementbyggnader placeras med en minsta avstånd från fastighetsgräns (p</w:t>
      </w:r>
      <w:r>
        <w:rPr>
          <w:vertAlign w:val="subscript"/>
        </w:rPr>
        <w:t>1</w:t>
      </w:r>
      <w:r>
        <w:t>,p</w:t>
      </w:r>
      <w:r>
        <w:rPr>
          <w:vertAlign w:val="subscript"/>
        </w:rPr>
        <w:t>2</w:t>
      </w:r>
      <w:r>
        <w:t>).</w:t>
      </w:r>
      <w:r>
        <w:rPr>
          <w:b w:val="1"/>
          <w:sz w:val="28"/>
        </w:rPr>
        <w:t xml:space="preserve"> </w:t>
      </w:r>
      <w:r>
        <w:t>Tyréns har tillsammans med exploatörerna tagit fram en illustrationsplan som planförslaget har utgått från som är anpassat efter de ändringar som gjorts efter samrådet. Eftersom området är privatägt kommer vägar, diken och naturområden vara allmänt tillgängliga men skötas enskilt, likaså gäller för avlopp och vatten. Området har utökats med naturytor samt att delar av fastigheten Hårstorp 1:9 har tagits bort på grund av höga naturvärden i det området.</w:t>
      </w:r>
    </w:p>
    <w:p>
      <w:pPr>
        <w:tabs>
          <w:tab w:val="left" w:pos="284" w:leader="none"/>
        </w:tabs>
      </w:pPr>
      <w:r>
        <w:rPr>
          <w:iCs w:val="1"/>
          <w:noProof w:val="1"/>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column">
                  <wp:posOffset>1864995</wp:posOffset>
                </wp:positionH>
                <wp:positionV relativeFrom="paragraph">
                  <wp:posOffset>1819275</wp:posOffset>
                </wp:positionV>
                <wp:extent cx="807720" cy="1054100"/>
                <wp:effectExtent l="0" t="0" r="11430" b="12700"/>
                <wp:wrapNone/>
                <wp:docPr id="10" name="Frihandsfigur: Form 10"/>
                <wp:cNvGraphicFramePr/>
                <a:graphic xmlns:a="http://schemas.openxmlformats.org/drawingml/2006/main">
                  <a:graphicData uri="http://schemas.microsoft.com/office/word/2010/wordprocessingShape">
                    <wps:wsp>
                      <wps:cNvSpPr/>
                      <wps:spPr>
                        <a:xfrm>
                          <a:off x="0" y="0"/>
                          <a:ext cx="807815" cy="1054646"/>
                        </a:xfrm>
                        <a:custGeom>
                          <a:gdLst>
                            <a:gd name="connsiteX0" fmla="*/ 807814 w 807814"/>
                            <a:gd name="connsiteY0" fmla="*/ 5610 h 1054645"/>
                            <a:gd name="connsiteX1" fmla="*/ 605860 w 807814"/>
                            <a:gd name="connsiteY1" fmla="*/ 0 h 1054645"/>
                            <a:gd name="connsiteX2" fmla="*/ 628300 w 807814"/>
                            <a:gd name="connsiteY2" fmla="*/ 67318 h 1054645"/>
                            <a:gd name="connsiteX3" fmla="*/ 684398 w 807814"/>
                            <a:gd name="connsiteY3" fmla="*/ 112196 h 1054645"/>
                            <a:gd name="connsiteX4" fmla="*/ 605860 w 807814"/>
                            <a:gd name="connsiteY4" fmla="*/ 151465 h 1054645"/>
                            <a:gd name="connsiteX5" fmla="*/ 583421 w 807814"/>
                            <a:gd name="connsiteY5" fmla="*/ 387077 h 1054645"/>
                            <a:gd name="connsiteX6" fmla="*/ 95367 w 807814"/>
                            <a:gd name="connsiteY6" fmla="*/ 359028 h 1054645"/>
                            <a:gd name="connsiteX7" fmla="*/ 0 w 807814"/>
                            <a:gd name="connsiteY7" fmla="*/ 1054645 h 1054645"/>
                            <a:gd name="connsiteX8" fmla="*/ 538543 w 807814"/>
                            <a:gd name="connsiteY8" fmla="*/ 1032206 h 1054645"/>
                            <a:gd name="connsiteX9" fmla="*/ 667568 w 807814"/>
                            <a:gd name="connsiteY9" fmla="*/ 746105 h 1054645"/>
                            <a:gd name="connsiteX10" fmla="*/ 774155 w 807814"/>
                            <a:gd name="connsiteY10" fmla="*/ 359028 h 1054645"/>
                            <a:gd name="connsiteX11" fmla="*/ 762935 w 807814"/>
                            <a:gd name="connsiteY11" fmla="*/ 213173 h 1054645"/>
                            <a:gd name="connsiteX12" fmla="*/ 807814 w 807814"/>
                            <a:gd name="connsiteY12" fmla="*/ 5610 h 105464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807814" h="1054645">
                              <a:moveTo>
                                <a:pt x="807814" y="5610"/>
                              </a:moveTo>
                              <a:lnTo>
                                <a:pt x="605860" y="0"/>
                              </a:lnTo>
                              <a:lnTo>
                                <a:pt x="628300" y="67318"/>
                              </a:lnTo>
                              <a:lnTo>
                                <a:pt x="684398" y="112196"/>
                              </a:lnTo>
                              <a:lnTo>
                                <a:pt x="605860" y="151465"/>
                              </a:lnTo>
                              <a:lnTo>
                                <a:pt x="583421" y="387077"/>
                              </a:lnTo>
                              <a:lnTo>
                                <a:pt x="95367" y="359028"/>
                              </a:lnTo>
                              <a:lnTo>
                                <a:pt x="0" y="1054645"/>
                              </a:lnTo>
                              <a:lnTo>
                                <a:pt x="538543" y="1032206"/>
                              </a:lnTo>
                              <a:lnTo>
                                <a:pt x="667568" y="746105"/>
                              </a:lnTo>
                              <a:lnTo>
                                <a:pt x="774155" y="359028"/>
                              </a:lnTo>
                              <a:lnTo>
                                <a:pt x="762935" y="213173"/>
                              </a:lnTo>
                              <a:lnTo>
                                <a:pt x="807814" y="5610"/>
                              </a:lnTo>
                              <a:close/>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10" o:spid="_x0000_s1030" style="position:absolute;width:63.6pt;height:83pt;z-index:6;mso-wrap-distance-left:9pt;mso-wrap-distance-top:0pt;mso-wrap-distance-right:9pt;mso-wrap-distance-bottom:0pt;margin-left:146.85pt;margin-top:143.25pt;mso-position-horizontal:absolute;mso-position-horizontal-relative:text;mso-position-vertical:absolute;mso-position-vertical-relative:text;v-text-anchor:middle" o:allowincell="t" filled="f" strokecolor="#000000" strokeweight="2pt" stroked="t" coordsize="1272,1660" path="m807814,5610l605860,,628300,67318,684398,112196,605860,151465,583421,387077,95367,359028,,1054645,538543,1032206,667568,746105,774155,359028,762935,213173,807814,5610,xe">
                <v:textbox inset="3mm,1mm,3mm,1mm">
                  <w:txbxContent>
                    <w:p/>
                  </w:txbxContent>
                </v:textbox>
              </v:shape>
            </w:pict>
          </mc:Fallback>
        </mc:AlternateContent>
      </w:r>
      <w:r>
        <w:rPr>
          <w:iCs w:val="1"/>
          <w:noProof w:val="1"/>
        </w:rPr>
        <w:drawing>
          <wp:inline xmlns:wp="http://schemas.openxmlformats.org/drawingml/2006/wordprocessingDrawing" distT="0" distB="0" distL="0" distR="0">
            <wp:extent cx="3202305" cy="4521200"/>
            <wp:effectExtent l="0" t="0" r="0" b="0"/>
            <wp:docPr id="9" name="Bildobjekt 9" descr="Bild visar en illustrationsplan över planområdet, svart markerat område ingår ej i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Bild visar en illustrationsplan över planområdet, svart markerat område ingår ej i planområdet."/>
                    <pic:cNvPicPr/>
                  </pic:nvPicPr>
                  <pic:blipFill dpi="0">
                    <a:blip xmlns:r="http://schemas.openxmlformats.org/officeDocument/2006/relationships" r:embed="Relimage4"/>
                    <a:srcRect/>
                    <a:stretch>
                      <a:fillRect/>
                    </a:stretch>
                  </pic:blipFill>
                  <pic:spPr>
                    <a:xfrm>
                      <a:off x="0" y="0"/>
                      <a:ext cx="3207758" cy="4529163"/>
                    </a:xfrm>
                    <a:prstGeom prst="rect"/>
                  </pic:spPr>
                </pic:pic>
              </a:graphicData>
            </a:graphic>
          </wp:inline>
        </w:drawing>
      </w:r>
    </w:p>
    <w:p>
      <w:pPr>
        <w:tabs>
          <w:tab w:val="left" w:pos="284" w:leader="none"/>
        </w:tabs>
        <w:rPr>
          <w:i w:val="1"/>
          <w:iCs w:val="1"/>
          <w:sz w:val="18"/>
          <w:szCs w:val="18"/>
        </w:rPr>
      </w:pPr>
      <w:r>
        <w:rPr>
          <w:i w:val="1"/>
          <w:iCs w:val="1"/>
          <w:sz w:val="18"/>
          <w:szCs w:val="18"/>
        </w:rPr>
        <w:t>Bild visar en illustrationsplan över planområdet, svart markerat område ingår ej i planområdet.</w:t>
      </w:r>
    </w:p>
    <w:p>
      <w:pPr>
        <w:pStyle w:val="P2"/>
      </w:pPr>
      <w:bookmarkEnd w:id="20"/>
      <w:bookmarkStart w:id="21" w:name="_Toc214961293"/>
      <w:r>
        <w:t>Plankarta och bestämmelser</w:t>
      </w:r>
      <w:bookmarkEnd w:id="21"/>
    </w:p>
    <w:p>
      <w:pPr>
        <w:tabs>
          <w:tab w:val="left" w:pos="284" w:leader="none"/>
        </w:tabs>
      </w:pPr>
      <w:bookmarkStart w:id="22" w:name="pu_detaljplan01"/>
      <w:r>
        <w:t xml:space="preserve">En plankarta med bestämmelser är det juridiskt bindande dokument som reglerar användningen av mark- och vattenområde. Plankartan omfattar det område inom vilken detaljplanens bestämmelser gäller. </w:t>
      </w:r>
    </w:p>
    <w:p>
      <w:pPr>
        <w:tabs>
          <w:tab w:val="left" w:pos="284" w:leader="none"/>
        </w:tabs>
      </w:pPr>
      <w:r>
        <w:rPr>
          <w:noProof w:val="1"/>
        </w:rPr>
        <w:drawing>
          <wp:inline xmlns:wp="http://schemas.openxmlformats.org/drawingml/2006/wordprocessingDrawing" distT="0" distB="0" distL="0" distR="0">
            <wp:extent cx="4679950" cy="3308350"/>
            <wp:effectExtent l="0" t="0" r="6350" b="6350"/>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pic:cNvPicPr/>
                  </pic:nvPicPr>
                  <pic:blipFill dpi="0">
                    <a:blip xmlns:r="http://schemas.openxmlformats.org/officeDocument/2006/relationships" r:embed="Relimage5"/>
                    <a:srcRect/>
                    <a:stretch>
                      <a:fillRect/>
                    </a:stretch>
                  </pic:blipFill>
                  <pic:spPr>
                    <a:xfrm>
                      <a:off x="0" y="0"/>
                      <a:ext cx="4679950" cy="3308350"/>
                    </a:xfrm>
                    <a:prstGeom prst="rect"/>
                  </pic:spPr>
                </pic:pic>
              </a:graphicData>
            </a:graphic>
          </wp:inline>
        </w:drawing>
      </w:r>
    </w:p>
    <w:p>
      <w:r>
        <w:rPr>
          <w:i w:val="1"/>
          <w:sz w:val="18"/>
          <w:szCs w:val="18"/>
        </w:rPr>
        <w:t>Bild visar detaljplanekartan. Inom de gula områdena regleras markanvändningen till bostadsändamål. Det gröna symboliserar markanvändningen natur, inom blåa färgområden får tekniska anläggningar finnas, den gråa färgen representerar markanvändningen gata, drivmedel samt parkering.</w:t>
      </w:r>
    </w:p>
    <w:p>
      <w:pPr>
        <w:pStyle w:val="P3"/>
      </w:pPr>
      <w:bookmarkEnd w:id="22"/>
      <w:bookmarkStart w:id="23" w:name="_Toc214961294"/>
      <w:r>
        <w:t>Användning av mark och vatten</w:t>
      </w:r>
      <w:bookmarkEnd w:id="23"/>
    </w:p>
    <w:p>
      <w:pPr>
        <w:tabs>
          <w:tab w:val="left" w:pos="284" w:leader="none"/>
        </w:tabs>
        <w:rPr>
          <w:b w:val="1"/>
          <w:bCs w:val="1"/>
        </w:rPr>
      </w:pPr>
      <w:r>
        <w:rPr>
          <w:b w:val="1"/>
          <w:bCs w:val="1"/>
        </w:rPr>
        <w:t>Allmän plats</w:t>
      </w:r>
    </w:p>
    <w:p>
      <w:pPr>
        <w:tabs>
          <w:tab w:val="left" w:pos="284" w:leader="none"/>
        </w:tabs>
      </w:pPr>
      <w:bookmarkStart w:id="24" w:name="be_allmänplats01"/>
      <w:r>
        <w:t xml:space="preserve">Gator och naturmark inom planområdet kommer utgöras av </w:t>
      </w:r>
      <w:r>
        <w:rPr>
          <w:i w:val="1"/>
        </w:rPr>
        <w:t xml:space="preserve">allmän plats </w:t>
      </w:r>
      <w:r>
        <w:t>vilket innebär att allmänheten har tillträde till marken. För de allmänna platserna inom planområdet (natur och gata) gäller enskilt huvudmannaskap (</w:t>
      </w:r>
      <w:r>
        <w:rPr>
          <w:b w:val="1"/>
        </w:rPr>
        <w:t>a</w:t>
      </w:r>
      <w:r>
        <w:rPr>
          <w:b w:val="1"/>
          <w:vertAlign w:val="subscript"/>
        </w:rPr>
        <w:t>1</w:t>
      </w:r>
      <w:r>
        <w:t xml:space="preserve">). </w:t>
      </w:r>
    </w:p>
    <w:p>
      <w:pPr>
        <w:pStyle w:val="P47"/>
        <w:spacing w:after="0" w:beforeAutospacing="0" w:afterAutospacing="0"/>
        <w:rPr>
          <w:b w:val="1"/>
          <w:color w:val="000000"/>
          <w:sz w:val="22"/>
        </w:rPr>
      </w:pPr>
      <w:bookmarkEnd w:id="24"/>
      <w:r>
        <w:rPr>
          <w:b w:val="1"/>
          <w:color w:val="000000"/>
          <w:sz w:val="22"/>
        </w:rPr>
        <w:t>Gata</w:t>
      </w:r>
    </w:p>
    <w:p>
      <w:pPr>
        <w:tabs>
          <w:tab w:val="left" w:pos="284" w:leader="none"/>
        </w:tabs>
      </w:pPr>
      <w:bookmarkStart w:id="25" w:name="mo_motivtillreglering02"/>
      <w:r>
        <w:t xml:space="preserve">En gata är en allmän plats som är avsedd både för fordonstrafik och gång- och cykeltrafik. Användningen </w:t>
      </w:r>
      <w:r>
        <w:rPr>
          <w:i w:val="1"/>
        </w:rPr>
        <w:t>gata</w:t>
      </w:r>
      <w:r>
        <w:t xml:space="preserve"> används för gator som främst är avsedda för trafik inom en ort eller för trafik som har sitt mål vid gatan. Det handlar om allt ifrån villagator till stadsgator. </w:t>
      </w:r>
    </w:p>
    <w:p>
      <w:r>
        <w:t>I planförslaget säkerställer bestämmelsen erforderliga ytor och åtkomst till planerade och befintliga bostäder. Inom denna gatumark ska även diken anläggas för att ta hand om dagvatten som leds till dikena längs gatorna.</w:t>
      </w:r>
    </w:p>
    <w:p>
      <w:pPr>
        <w:rPr>
          <w:b w:val="1"/>
          <w:i w:val="1"/>
          <w:bCs w:val="1"/>
          <w:iCs w:val="1"/>
        </w:rPr>
      </w:pPr>
      <w:bookmarkEnd w:id="25"/>
    </w:p>
    <w:p>
      <w:pPr>
        <w:rPr>
          <w:b w:val="1"/>
          <w:i w:val="1"/>
          <w:bCs w:val="1"/>
          <w:iCs w:val="1"/>
        </w:rPr>
      </w:pPr>
    </w:p>
    <w:p>
      <w:pPr>
        <w:rPr>
          <w:b w:val="1"/>
          <w:i w:val="1"/>
          <w:bCs w:val="1"/>
          <w:iCs w:val="1"/>
        </w:rPr>
      </w:pPr>
      <w:r>
        <w:rPr>
          <w:b w:val="1"/>
          <w:i w:val="1"/>
          <w:bCs w:val="1"/>
          <w:iCs w:val="1"/>
        </w:rPr>
        <w:t>Väg</w:t>
      </w:r>
    </w:p>
    <w:p>
      <w:bookmarkStart w:id="26" w:name="mo_motivtillreglering03"/>
      <w:r>
        <w:t>Användningen väg tillämpas för områden avsedda främst för trafik till, från och genom en ort samt mellan olika områden inom en ort. I användningen ingår även komplement som behövs för vägens funktion.</w:t>
      </w:r>
    </w:p>
    <w:p>
      <w:pPr>
        <w:rPr>
          <w:b w:val="1"/>
          <w:i w:val="1"/>
          <w:bCs w:val="1"/>
          <w:iCs w:val="1"/>
        </w:rPr>
      </w:pPr>
      <w:r>
        <w:t>I planförslaget är delar av den statliga vägen 918 med i planen för att kunna reglera utfartsförbud från kvartersmarken.</w:t>
      </w:r>
    </w:p>
    <w:p>
      <w:pPr>
        <w:pStyle w:val="P47"/>
        <w:spacing w:after="0" w:beforeAutospacing="0" w:afterAutospacing="0"/>
        <w:rPr>
          <w:b w:val="1"/>
          <w:color w:val="000000"/>
          <w:sz w:val="22"/>
        </w:rPr>
      </w:pPr>
      <w:bookmarkEnd w:id="26"/>
      <w:r>
        <w:rPr>
          <w:b w:val="1"/>
          <w:color w:val="000000"/>
          <w:sz w:val="22"/>
        </w:rPr>
        <w:t>Natur</w:t>
      </w:r>
    </w:p>
    <w:p>
      <w:bookmarkStart w:id="27" w:name="mo_motivtillreglering04"/>
      <w:r>
        <w:t>Användningen natur ska tillämpas för områden för friväxande grönområden som inte sköts mer än enligt skötselplan eller genom visst begränsat underhåll. Även mindre park-, vatten- och friluftsanläggningar och andra komplement till naturområdets användning ingår.</w:t>
      </w:r>
    </w:p>
    <w:p>
      <w:r>
        <w:t>I planförslaget anges bestämmelsen på ytor som i huvudsak avser gräsyta och vegetation i bergsbranta partier med högre naturvärden.</w:t>
      </w:r>
    </w:p>
    <w:p>
      <w:pPr>
        <w:pStyle w:val="P3"/>
        <w:rPr>
          <w:color w:val="000000"/>
        </w:rPr>
      </w:pPr>
      <w:bookmarkEnd w:id="27"/>
      <w:bookmarkStart w:id="28" w:name="_Toc197584345"/>
      <w:bookmarkStart w:id="29" w:name="_Toc214961295"/>
      <w:bookmarkStart w:id="30" w:name="_Toc198806257"/>
      <w:r>
        <w:rPr>
          <w:color w:val="000000"/>
        </w:rPr>
        <w:t>Kvartersmark</w:t>
      </w:r>
      <w:bookmarkEnd w:id="28"/>
      <w:bookmarkEnd w:id="29"/>
      <w:bookmarkEnd w:id="30"/>
    </w:p>
    <w:p>
      <w:bookmarkStart w:id="31" w:name="be_kvartersmark01"/>
      <w:r>
        <w:t xml:space="preserve">Med </w:t>
      </w:r>
      <w:r>
        <w:rPr>
          <w:i w:val="1"/>
        </w:rPr>
        <w:t>kvartersmark</w:t>
      </w:r>
      <w:r>
        <w:t xml:space="preserve"> avses all mark inom planområdet som inte ska utgöra allmän plats. I denna detaljplan tillåts markanvändningen bostäder, drivmedel, detaljhandel, parkering, bil- och husbilsparkering, transformatorstation, tekniska anläggningar och avloppsreningsverk.</w:t>
      </w:r>
    </w:p>
    <w:p>
      <w:pPr>
        <w:pStyle w:val="P47"/>
        <w:spacing w:after="0" w:beforeAutospacing="0" w:afterAutospacing="0"/>
        <w:rPr>
          <w:b w:val="1"/>
          <w:color w:val="000000"/>
          <w:sz w:val="22"/>
        </w:rPr>
      </w:pPr>
      <w:bookmarkEnd w:id="31"/>
      <w:r>
        <w:rPr>
          <w:b w:val="1"/>
          <w:color w:val="000000"/>
          <w:sz w:val="22"/>
        </w:rPr>
        <w:t>B - Bostäder</w:t>
      </w:r>
    </w:p>
    <w:p>
      <w:bookmarkStart w:id="32" w:name="mo_motivtillreglering05"/>
      <w:r>
        <w:t xml:space="preserve">Med användningen </w:t>
      </w:r>
      <w:r>
        <w:rPr>
          <w:i w:val="1"/>
        </w:rPr>
        <w:t>bostäder</w:t>
      </w:r>
      <w:r>
        <w:t xml:space="preserve"> avses boende med varaktig karaktär. I användningen ingår också bostadskomplement av olika slag. Bostadskomplement kan ligga i eller i anslutning till bostaden och är sådant som är till för de boendes behov. Det kan till exempel vara garage, parkering, tvättstuga.</w:t>
      </w:r>
    </w:p>
    <w:p>
      <w:r>
        <w:t>I planförslaget används bestämmelsen för att säkerställa lämpliga ytor för enbostadshus.</w:t>
      </w:r>
    </w:p>
    <w:p>
      <w:pPr>
        <w:pStyle w:val="P47"/>
        <w:spacing w:after="0" w:beforeAutospacing="0" w:afterAutospacing="0"/>
        <w:rPr>
          <w:b w:val="1"/>
          <w:color w:val="000000"/>
          <w:sz w:val="22"/>
        </w:rPr>
      </w:pPr>
      <w:bookmarkEnd w:id="32"/>
      <w:r>
        <w:rPr>
          <w:b w:val="1"/>
          <w:color w:val="000000"/>
          <w:sz w:val="22"/>
        </w:rPr>
        <w:t xml:space="preserve">E - Tekniska anläggningar </w:t>
      </w:r>
    </w:p>
    <w:p>
      <w:bookmarkStart w:id="33" w:name="mo_motivtillreglering06"/>
      <w:r>
        <w:t xml:space="preserve">Användningen tekniska anläggningar kan användas för områden för både offentliga och privata anläggningar. Användningen omfattar flera olika typer av tekniska anläggningar. Det handlar om anläggningar för produktion, distribution, omvandling eller hantering av elektricitet, tele-, TV- och radiosignaler, digital datatrafik samt värme, kyla, vatten, avlopp och avfall eller om annan teknisk anläggning. Användningen är inte begränsad till befintlig teknik utan kan användas för ny teknik som överensstämmer med bestämmelsen i övrigt. </w:t>
      </w:r>
    </w:p>
    <w:p>
      <w:r>
        <w:t>I planförslaget används bestämmelsen för att säkerställa befintliga och kommande ytor för tekniska anläggningar, såsom transformatorstation och hantering av vatten.</w:t>
      </w:r>
    </w:p>
    <w:p>
      <w:pPr>
        <w:pStyle w:val="P47"/>
        <w:spacing w:after="0" w:beforeAutospacing="0" w:afterAutospacing="0"/>
        <w:rPr>
          <w:b w:val="1"/>
          <w:color w:val="000000"/>
          <w:sz w:val="22"/>
        </w:rPr>
      </w:pPr>
      <w:bookmarkEnd w:id="33"/>
      <w:r>
        <w:rPr>
          <w:b w:val="1"/>
          <w:color w:val="000000"/>
          <w:sz w:val="22"/>
        </w:rPr>
        <w:t>E</w:t>
      </w:r>
      <w:r>
        <w:rPr>
          <w:b w:val="1"/>
          <w:color w:val="000000"/>
          <w:sz w:val="22"/>
          <w:vertAlign w:val="subscript"/>
        </w:rPr>
        <w:t>1</w:t>
      </w:r>
      <w:r>
        <w:rPr>
          <w:b w:val="1"/>
          <w:color w:val="000000"/>
          <w:sz w:val="22"/>
        </w:rPr>
        <w:t xml:space="preserve"> – Transformatorstation</w:t>
      </w:r>
    </w:p>
    <w:p>
      <w:bookmarkStart w:id="34" w:name="mo_motivtillreglering07"/>
      <w:r>
        <w:t xml:space="preserve">Användningen är en specificering av tekniska anläggningar. </w:t>
      </w:r>
    </w:p>
    <w:p>
      <w:r>
        <w:t>Bestämmelsen säkerställer i planförslaget plats för transformatorstation.</w:t>
      </w:r>
    </w:p>
    <w:p>
      <w:pPr>
        <w:pStyle w:val="P47"/>
        <w:spacing w:after="0" w:beforeAutospacing="0" w:afterAutospacing="0"/>
        <w:rPr>
          <w:b w:val="1"/>
          <w:color w:val="000000"/>
          <w:sz w:val="22"/>
        </w:rPr>
      </w:pPr>
      <w:bookmarkEnd w:id="34"/>
      <w:r>
        <w:rPr>
          <w:b w:val="1"/>
          <w:color w:val="000000"/>
          <w:sz w:val="22"/>
        </w:rPr>
        <w:t>E</w:t>
      </w:r>
      <w:r>
        <w:rPr>
          <w:b w:val="1"/>
          <w:color w:val="000000"/>
          <w:sz w:val="22"/>
          <w:vertAlign w:val="subscript"/>
        </w:rPr>
        <w:t>2</w:t>
      </w:r>
      <w:r>
        <w:rPr>
          <w:b w:val="1"/>
          <w:color w:val="000000"/>
          <w:sz w:val="22"/>
        </w:rPr>
        <w:t xml:space="preserve"> – Avloppsanläggning</w:t>
      </w:r>
    </w:p>
    <w:p>
      <w:bookmarkStart w:id="35" w:name="mo_motivtillreglering08"/>
      <w:r>
        <w:t xml:space="preserve">Användningen är en specificering av tekniska anläggningar. </w:t>
      </w:r>
    </w:p>
    <w:p>
      <w:r>
        <w:t>Bestämmelsen säkerställer i planförslaget plats för ett avloppsreningsverk.</w:t>
      </w:r>
    </w:p>
    <w:p>
      <w:pPr>
        <w:pStyle w:val="P47"/>
        <w:spacing w:after="0" w:beforeAutospacing="0" w:afterAutospacing="0"/>
        <w:rPr>
          <w:b w:val="1"/>
          <w:color w:val="000000"/>
          <w:sz w:val="22"/>
        </w:rPr>
      </w:pPr>
      <w:bookmarkEnd w:id="35"/>
      <w:r>
        <w:rPr>
          <w:b w:val="1"/>
          <w:color w:val="000000"/>
          <w:sz w:val="22"/>
        </w:rPr>
        <w:t>G – Drivmedel</w:t>
      </w:r>
    </w:p>
    <w:p>
      <w:bookmarkStart w:id="36" w:name="mo_motivtillreglering09"/>
      <w:r>
        <w:t xml:space="preserve">Användningen </w:t>
      </w:r>
      <w:r>
        <w:rPr>
          <w:iCs w:val="1"/>
        </w:rPr>
        <w:t>drivmedel</w:t>
      </w:r>
      <w:r>
        <w:rPr>
          <w:i w:val="1"/>
        </w:rPr>
        <w:t xml:space="preserve"> </w:t>
      </w:r>
      <w:r>
        <w:t>används för områden för hantering och försäljning av alla typer av drivmedel. Det kan till exempel handla om laddstationer och mackar men även om anläggningar för lagring och omlastning av drivmedel. Drivmedelshantering och drivmedelsförsäljning ska vara den dominerande verksamheten men service och handel i mindre omfattning som kompletterar användningen ingår också. Det kan till exempel handla om biltvätt eller försäljning av verktyg och dagligvaror.</w:t>
      </w:r>
    </w:p>
    <w:p>
      <w:r>
        <w:t>I planförslaget används bestämmelsen för att säkerställa befintlig drivmedelstation.</w:t>
      </w:r>
    </w:p>
    <w:p>
      <w:pPr>
        <w:rPr>
          <w:b w:val="1"/>
          <w:i w:val="1"/>
          <w:color w:val="000000"/>
        </w:rPr>
      </w:pPr>
      <w:bookmarkEnd w:id="36"/>
      <w:r>
        <w:rPr>
          <w:b w:val="1"/>
          <w:i w:val="1"/>
          <w:color w:val="000000"/>
        </w:rPr>
        <w:t>H –Detaljhandel</w:t>
      </w:r>
    </w:p>
    <w:p>
      <w:bookmarkStart w:id="37" w:name="mo_motivtillreglering10"/>
      <w:r>
        <w:t xml:space="preserve">Användningen detaljhandel ska tillämpas för områden för handel med varor och tjänster. Även komplement till verksamheten detaljhandel ingår i användningen. </w:t>
      </w:r>
    </w:p>
    <w:p>
      <w:r>
        <w:t>I planförslaget finns användningen med för att öka flexibiliteten och öka dess aktualitet och användbarhet. En handel med samma begränsade byggrätt som befintlig drivmedesstation skulle ha en liknande omgivningspåverkan som nuvarande fast med mindre andel tung trafik.</w:t>
      </w:r>
    </w:p>
    <w:p>
      <w:pPr>
        <w:pStyle w:val="P47"/>
        <w:spacing w:after="0" w:beforeAutospacing="0" w:afterAutospacing="0"/>
        <w:rPr>
          <w:b w:val="1"/>
          <w:color w:val="000000"/>
          <w:sz w:val="22"/>
        </w:rPr>
      </w:pPr>
      <w:bookmarkEnd w:id="37"/>
      <w:r>
        <w:rPr>
          <w:b w:val="1"/>
          <w:color w:val="000000"/>
          <w:sz w:val="22"/>
        </w:rPr>
        <w:t>P – Parkering</w:t>
      </w:r>
    </w:p>
    <w:p>
      <w:bookmarkStart w:id="38" w:name="mo_motivtillreglering11"/>
      <w:r>
        <w:rPr>
          <w:iCs w:val="1"/>
        </w:rPr>
        <w:t>Parkering</w:t>
      </w:r>
      <w:r>
        <w:t xml:space="preserve"> används för områden där parkering av olika typer av fordon utgör en självständig användning inom kvartersmark. Användningen omfattar även de utrymmen som behövs för anläggningens skötsel och bruk och även verksamheter som är knutna till användningen. Det kan till exempel vara laddplatser, möjlighet att tvätta fordon eller liknande. </w:t>
      </w:r>
    </w:p>
    <w:p>
      <w:r>
        <w:t>I planförslaget säkerställer bestämmelsen befintlig parkering utmed väg 918. Befintlig parkeringsyta är prickad vilket betyder att ingen bebyggelse tillåts.</w:t>
      </w:r>
    </w:p>
    <w:p>
      <w:pPr>
        <w:pStyle w:val="P47"/>
        <w:spacing w:after="0" w:beforeAutospacing="0" w:afterAutospacing="0"/>
        <w:rPr>
          <w:b w:val="1"/>
          <w:color w:val="000000"/>
          <w:sz w:val="22"/>
        </w:rPr>
      </w:pPr>
      <w:bookmarkEnd w:id="38"/>
      <w:r>
        <w:rPr>
          <w:b w:val="1"/>
          <w:color w:val="000000"/>
          <w:sz w:val="22"/>
        </w:rPr>
        <w:t>P</w:t>
      </w:r>
      <w:r>
        <w:rPr>
          <w:b w:val="1"/>
          <w:color w:val="000000"/>
          <w:sz w:val="22"/>
          <w:vertAlign w:val="subscript"/>
        </w:rPr>
        <w:t>1</w:t>
      </w:r>
      <w:r>
        <w:rPr>
          <w:b w:val="1"/>
          <w:color w:val="000000"/>
          <w:sz w:val="22"/>
        </w:rPr>
        <w:t xml:space="preserve"> - Bilparkering och husbilsparkering</w:t>
      </w:r>
    </w:p>
    <w:p>
      <w:bookmarkStart w:id="39" w:name="mo_motivtillreglering12"/>
      <w:r>
        <w:t xml:space="preserve">Användningen är en specificering av parkering. </w:t>
      </w:r>
    </w:p>
    <w:p>
      <w:r>
        <w:t>I planförslaget syftar bestämmelsen till att säkerställa parkeringsytan enbart för bilar och husbilar. Genom regleringen tillåts exempelvis inte uppställning av lastbilar.</w:t>
      </w:r>
    </w:p>
    <w:p>
      <w:pPr>
        <w:pStyle w:val="P3"/>
      </w:pPr>
      <w:bookmarkEnd w:id="39"/>
      <w:bookmarkStart w:id="40" w:name="_Toc214961296"/>
      <w:r>
        <w:t>Egenskapsbestämmelser för allmän plats</w:t>
      </w:r>
      <w:bookmarkEnd w:id="40"/>
    </w:p>
    <w:p>
      <w:pPr>
        <w:pStyle w:val="P47"/>
        <w:spacing w:after="0" w:beforeAutospacing="0" w:afterAutospacing="0"/>
        <w:rPr>
          <w:b w:val="1"/>
          <w:color w:val="000000"/>
          <w:sz w:val="22"/>
        </w:rPr>
      </w:pPr>
      <w:r>
        <w:rPr>
          <w:b w:val="1"/>
          <w:color w:val="000000"/>
          <w:sz w:val="22"/>
        </w:rPr>
        <w:t>Huvudmannskap</w:t>
      </w:r>
    </w:p>
    <w:p>
      <w:pPr>
        <w:pStyle w:val="P47"/>
        <w:spacing w:after="0" w:beforeAutospacing="0" w:afterAutospacing="0"/>
        <w:rPr>
          <w:b w:val="1"/>
          <w:color w:val="000000"/>
          <w:sz w:val="22"/>
        </w:rPr>
      </w:pPr>
      <w:r>
        <w:rPr>
          <w:color w:val="000000"/>
          <w:sz w:val="22"/>
        </w:rPr>
        <w:t>a</w:t>
      </w:r>
      <w:r>
        <w:rPr>
          <w:color w:val="000000"/>
          <w:sz w:val="22"/>
          <w:vertAlign w:val="subscript"/>
        </w:rPr>
        <w:t xml:space="preserve">1 </w:t>
      </w:r>
      <w:r>
        <w:rPr>
          <w:color w:val="000000"/>
          <w:sz w:val="22"/>
        </w:rPr>
        <w:t>Huvudmannaskapet är enskilt för den allmänna platsen</w:t>
      </w:r>
    </w:p>
    <w:p>
      <w:bookmarkStart w:id="41" w:name="mo_motivtillreglering01"/>
      <w:r>
        <w:t xml:space="preserve">Om det finns särskilda skäl kan kommunen med en planbestämmelse reglera att huvudmannaskapet för de allmänna platserna ska vara enskilt. </w:t>
      </w:r>
    </w:p>
    <w:p>
      <w:pPr>
        <w:pStyle w:val="P30"/>
        <w:jc w:val="left"/>
        <w:rPr>
          <w:sz w:val="22"/>
          <w:szCs w:val="22"/>
          <w:lang w:val="sv-SE" w:eastAsia="en-US"/>
        </w:rPr>
      </w:pPr>
      <w:r>
        <w:rPr>
          <w:sz w:val="22"/>
          <w:szCs w:val="22"/>
          <w:lang w:val="sv-SE" w:eastAsia="en-US"/>
        </w:rPr>
        <w:t>I planförslaget syftar egenskapsbestämmelsen till att det ska vara en gemensamhetsanläggning som ansvarar för drift, skötsel och underhåll av ytor för gata och natur. Kommunen bedömer att det finns särskilda skäl att tillämpa enskilt huvudmannaskap inom detaljplanen. Området har en landsbygds- och fritidshuskaraktär och utvecklas genom privat initiativ för att möjliggöra nya bostäder i ett kuperat landskap där bebyggelsen anpassas efter terrängen. De allmänna platserna bedöms främst komma att användas av de boende och besökare inom området och har därmed begränsat allmänintresse.</w:t>
      </w:r>
    </w:p>
    <w:p>
      <w:pPr>
        <w:pStyle w:val="P30"/>
        <w:jc w:val="left"/>
        <w:rPr>
          <w:sz w:val="22"/>
          <w:szCs w:val="22"/>
          <w:lang w:val="sv-SE" w:eastAsia="en-US"/>
        </w:rPr>
      </w:pPr>
      <w:r>
        <w:rPr>
          <w:sz w:val="22"/>
          <w:szCs w:val="22"/>
          <w:lang w:val="sv-SE" w:eastAsia="en-US"/>
        </w:rPr>
        <w:t>Förvaltningen av gator och gemensamma ytor kan genom en samfällighetsförening ske på ett mer effektivt och lokalt anpassat sätt, särskilt med hänsyn till områdets topografi och variationer i behov. Ett enskilt huvudmannaskap skapar också en enhetlig och tydlig förvaltningsorganisation eftersom området saknar tidigare kommunala strukturer och liknande närliggande område också bedrivs med enskilts huvudmannskap.</w:t>
      </w:r>
    </w:p>
    <w:p>
      <w:pPr>
        <w:pStyle w:val="P30"/>
        <w:jc w:val="left"/>
        <w:rPr>
          <w:sz w:val="22"/>
          <w:szCs w:val="22"/>
          <w:lang w:val="sv-SE" w:eastAsia="en-US"/>
        </w:rPr>
      </w:pPr>
      <w:r>
        <w:rPr>
          <w:sz w:val="22"/>
          <w:szCs w:val="22"/>
          <w:lang w:val="sv-SE" w:eastAsia="en-US"/>
        </w:rPr>
        <w:t>Sammantaget bedömer kommunen att enskilt huvudmannaskap är den mest ändamålsenliga och långsiktigt hållbara lösningen för detaljplaneområdet.</w:t>
      </w:r>
    </w:p>
    <w:p>
      <w:bookmarkEnd w:id="41"/>
    </w:p>
    <w:p>
      <w:pPr>
        <w:rPr>
          <w:b w:val="1"/>
          <w:i w:val="1"/>
        </w:rPr>
      </w:pPr>
      <w:r>
        <w:rPr>
          <w:b w:val="1"/>
          <w:i w:val="1"/>
          <w:color w:val="000000"/>
        </w:rPr>
        <w:t>Utformning av allmän plats</w:t>
      </w:r>
    </w:p>
    <w:p>
      <w:pPr>
        <w:pStyle w:val="P47"/>
        <w:spacing w:after="0" w:beforeAutospacing="0" w:afterAutospacing="0"/>
        <w:rPr>
          <w:color w:val="000000"/>
          <w:sz w:val="22"/>
        </w:rPr>
      </w:pPr>
      <w:r>
        <w:rPr>
          <w:color w:val="000000"/>
          <w:sz w:val="22"/>
        </w:rPr>
        <w:t>Plantering – Växtridå planteras</w:t>
      </w:r>
    </w:p>
    <w:p>
      <w:bookmarkStart w:id="42" w:name="_Hlk198043737"/>
      <w:bookmarkStart w:id="43" w:name="mo_motivtillreglering13"/>
      <w:r>
        <w:t>Bestämmelser om utformning av allmän plats ska tillämpas för att reglera utformning på allmän plats.</w:t>
      </w:r>
    </w:p>
    <w:p>
      <w:r>
        <w:t xml:space="preserve">I planförslaget är planbestämmelsens syfte att reservera yta för en växtridå mot dagvattendammen mot planerade bostäder. </w:t>
      </w:r>
    </w:p>
    <w:p>
      <w:pPr>
        <w:rPr>
          <w:i w:val="1"/>
          <w:vertAlign w:val="subscript"/>
        </w:rPr>
      </w:pPr>
      <w:bookmarkEnd w:id="42"/>
      <w:bookmarkEnd w:id="43"/>
      <w:r>
        <w:rPr>
          <w:i w:val="1"/>
        </w:rPr>
        <w:t>Dagvattenanläggning</w:t>
      </w:r>
    </w:p>
    <w:p>
      <w:bookmarkStart w:id="44" w:name="mo_motivtillreglering14"/>
      <w:r>
        <w:t>I planförslaget är planbestämmelsens syfte att reservera yta för dagvattenfördröjning och rening av dagvattnet. Lämplig yta har avsetts för att fördröja och rena dagvattnet från området innan det går vidare mot recipienten.</w:t>
      </w:r>
    </w:p>
    <w:p>
      <w:r>
        <w:t>I planförslaget är planbestämmelsens syfte att reservera yta för dagvattenfördröjning och rening. Ytan har projekterats fram och ska inte påverka väg 918 dikes avvattning. Placeringen sker utanför väg 918:s vägområde som är utstakat 3 meter från dikesbotten.</w:t>
      </w:r>
    </w:p>
    <w:p>
      <w:pPr>
        <w:rPr>
          <w:i w:val="1"/>
          <w:iCs w:val="1"/>
        </w:rPr>
      </w:pPr>
      <w:bookmarkEnd w:id="44"/>
      <w:r>
        <w:rPr>
          <w:i w:val="1"/>
          <w:iCs w:val="1"/>
        </w:rPr>
        <w:t>Stängsel, utfart och annan utgång</w:t>
      </w:r>
    </w:p>
    <w:p>
      <w:bookmarkStart w:id="45" w:name="mo_motivtillreglering15"/>
      <w:r>
        <w:t>Markerade sträckor med utfartsförbud innebär att nya utfarter inte får anläggas.</w:t>
      </w:r>
    </w:p>
    <w:p>
      <w:r>
        <w:t>I planförslaget regleras utfartsförbud mot korsningar för att möjliggöra säkra utfarter inom området. Mot väg 918 har utfartsförbudet utökats då existerande infart/utfart är väldigt brett mot befintlig lastbilsparkering. Infart till området vid drivmedelsstationen behålls. Infarten mot kommande bostadsområde är flyttat norrut för att få till en ändamålsenligt utjämningsdike.</w:t>
      </w:r>
    </w:p>
    <w:p>
      <w:pPr>
        <w:pStyle w:val="P3"/>
      </w:pPr>
      <w:bookmarkEnd w:id="45"/>
      <w:bookmarkStart w:id="46" w:name="_Toc214961297"/>
      <w:r>
        <w:t>Egenskaper för kvartersmark</w:t>
      </w:r>
      <w:bookmarkEnd w:id="46"/>
    </w:p>
    <w:p>
      <w:pPr>
        <w:pStyle w:val="P47"/>
        <w:spacing w:after="0" w:beforeAutospacing="0" w:afterAutospacing="0"/>
        <w:rPr>
          <w:b w:val="1"/>
          <w:color w:val="000000"/>
          <w:sz w:val="22"/>
        </w:rPr>
      </w:pPr>
      <w:r>
        <w:rPr>
          <w:b w:val="1"/>
          <w:color w:val="000000"/>
          <w:sz w:val="22"/>
        </w:rPr>
        <w:t>Begränsning av markens utnyttjande</w:t>
      </w:r>
    </w:p>
    <w:p>
      <w:pPr>
        <w:pStyle w:val="P47"/>
        <w:spacing w:after="0" w:beforeAutospacing="0" w:afterAutospacing="0"/>
        <w:rPr>
          <w:b w:val="1"/>
          <w:color w:val="000000"/>
          <w:sz w:val="22"/>
        </w:rPr>
      </w:pPr>
      <w:r>
        <w:rPr>
          <w:color w:val="000000"/>
          <w:sz w:val="22"/>
        </w:rPr>
        <w:t>Marken får inte förses med byggnad</w:t>
      </w:r>
    </w:p>
    <w:p>
      <w:bookmarkStart w:id="47" w:name="mo_motivtillreglering16"/>
      <w:r>
        <w:t xml:space="preserve">Egenskapsbestämmelser om begränsning av markens utnyttjande används för att reglera att marken inte får förses med byggnadsverk eller viss typ av byggnadsverk. </w:t>
      </w:r>
    </w:p>
    <w:p>
      <w:r>
        <w:t xml:space="preserve">I planförslaget syftar bestämmelsen till att reglera var byggnation inte är lämpligt. Prickmark används även vid angränsning mot känslig natur. </w:t>
      </w:r>
    </w:p>
    <w:p>
      <w:pPr>
        <w:pStyle w:val="P47"/>
        <w:spacing w:after="0" w:beforeAutospacing="0" w:afterAutospacing="0"/>
        <w:rPr>
          <w:b w:val="1"/>
          <w:color w:val="000000"/>
          <w:sz w:val="22"/>
        </w:rPr>
      </w:pPr>
      <w:bookmarkEnd w:id="47"/>
      <w:r>
        <w:rPr>
          <w:color w:val="000000"/>
          <w:sz w:val="22"/>
        </w:rPr>
        <w:t>Marken får endast förses med komplementbyggnad</w:t>
      </w:r>
    </w:p>
    <w:p>
      <w:bookmarkStart w:id="48" w:name="mo_motivtillreglering17"/>
      <w:r>
        <w:t>Med en bestämmelse om begränsning av markens utnyttjande kan kommunen reglera att endast en viss typ av byggnadsverk får placeras inom ett egenskapsområde. Bestämmelsen behöver formuleras så att det tydligt framgår vilken typ av byggnadsverk som avses. Det kan handla om olika byggnadsverk som komplementbyggnader, murar, plank eller dylikt. Det går också att ange vilken typ av komplementbyggnad som avses, till exempel garage eller uthus.</w:t>
      </w:r>
    </w:p>
    <w:p>
      <w:r>
        <w:t>I planförslaget innebär planbestämmelsen att enbart komplement till användningen och dess huvudbyggnader kan anordnas. Det handlar om komplementbyggnader till drivmedelstation och parkering.</w:t>
      </w:r>
    </w:p>
    <w:p>
      <w:pPr>
        <w:rPr>
          <w:b w:val="1"/>
          <w:i w:val="1"/>
          <w:color w:val="000000"/>
        </w:rPr>
      </w:pPr>
      <w:bookmarkEnd w:id="48"/>
      <w:r>
        <w:rPr>
          <w:b w:val="1"/>
          <w:i w:val="1"/>
          <w:color w:val="000000"/>
        </w:rPr>
        <w:t>Höjd på byggnadsverk</w:t>
      </w:r>
    </w:p>
    <w:p>
      <w:pPr>
        <w:pStyle w:val="P47"/>
        <w:spacing w:after="0" w:beforeAutospacing="0" w:afterAutospacing="0"/>
        <w:rPr>
          <w:b w:val="1"/>
          <w:color w:val="000000"/>
          <w:sz w:val="22"/>
        </w:rPr>
      </w:pPr>
      <w:r>
        <w:rPr>
          <w:b w:val="1"/>
          <w:bCs w:val="1"/>
          <w:color w:val="000000"/>
          <w:sz w:val="22"/>
        </w:rPr>
        <w:t>h</w:t>
      </w:r>
      <w:r>
        <w:rPr>
          <w:b w:val="1"/>
          <w:bCs w:val="1"/>
          <w:color w:val="000000"/>
          <w:sz w:val="22"/>
          <w:vertAlign w:val="subscript"/>
        </w:rPr>
        <w:t xml:space="preserve">1 </w:t>
      </w:r>
      <w:r>
        <w:rPr>
          <w:b w:val="1"/>
          <w:bCs w:val="1"/>
          <w:color w:val="000000"/>
          <w:sz w:val="22"/>
        </w:rPr>
        <w:t>8, h</w:t>
      </w:r>
      <w:r>
        <w:rPr>
          <w:b w:val="1"/>
          <w:bCs w:val="1"/>
          <w:color w:val="000000"/>
          <w:sz w:val="22"/>
          <w:vertAlign w:val="subscript"/>
        </w:rPr>
        <w:t xml:space="preserve">2 </w:t>
      </w:r>
      <w:r>
        <w:rPr>
          <w:b w:val="1"/>
          <w:bCs w:val="1"/>
          <w:color w:val="000000"/>
          <w:sz w:val="22"/>
        </w:rPr>
        <w:t>6, h</w:t>
      </w:r>
      <w:r>
        <w:rPr>
          <w:b w:val="1"/>
          <w:bCs w:val="1"/>
          <w:color w:val="000000"/>
          <w:sz w:val="22"/>
          <w:vertAlign w:val="subscript"/>
        </w:rPr>
        <w:t xml:space="preserve">3 </w:t>
      </w:r>
      <w:r>
        <w:rPr>
          <w:b w:val="1"/>
          <w:bCs w:val="1"/>
          <w:color w:val="000000"/>
          <w:sz w:val="22"/>
        </w:rPr>
        <w:t>4</w:t>
      </w:r>
      <w:r>
        <w:rPr>
          <w:color w:val="000000"/>
          <w:sz w:val="22"/>
        </w:rPr>
        <w:t xml:space="preserve"> Högsta nockhöjd </w:t>
      </w:r>
    </w:p>
    <w:p>
      <w:bookmarkStart w:id="49" w:name="mo_motivtillreglering18"/>
      <w:r>
        <w:t xml:space="preserve">Genom en planbestämmelse om </w:t>
      </w:r>
      <w:r>
        <w:rPr>
          <w:iCs w:val="1"/>
        </w:rPr>
        <w:t>högsta nockhöjd</w:t>
      </w:r>
      <w:r>
        <w:t xml:space="preserve"> kan kommunen reglera höjden på den högsta delen av en byggnads yttertak. Nockhöjd är definierat som avståndet från den medelnivå som marken har invid byggnaden, eller i planbestämmelsen angivet plan, till yttertakets högsta del. Delar som sticker upp över taket som skorstenar och ventilationstrummor räknas inte in.</w:t>
      </w:r>
    </w:p>
    <w:p>
      <w:r>
        <w:t>I planförslaget syftar bestämmelserna till att reglera lämpliga höjder med hänsyn till befintlig terräng och landskapsbild samt inrymma befintlig byggnation. Vissa byggnader ges möjlighet att bygga i 2 plan (8 meter) med mindre byggnadsyta medan större byggnadsarea ges fastigheter som får bygga i 1 plan (6 meter). Höjdregleringen på användning för bostäder gäller även en högsta höjd på 5 meter för komplementbyggnad.</w:t>
      </w:r>
    </w:p>
    <w:p>
      <w:pPr>
        <w:rPr>
          <w:b w:val="1"/>
          <w:i w:val="1"/>
        </w:rPr>
      </w:pPr>
      <w:bookmarkEnd w:id="49"/>
      <w:r>
        <w:rPr>
          <w:b w:val="1"/>
          <w:i w:val="1"/>
          <w:color w:val="000000"/>
        </w:rPr>
        <w:t>Markreservat för gemensamhetsanläggningar</w:t>
      </w:r>
    </w:p>
    <w:p>
      <w:pPr>
        <w:pStyle w:val="P47"/>
        <w:spacing w:after="0" w:beforeAutospacing="0" w:afterAutospacing="0"/>
        <w:rPr>
          <w:b w:val="1"/>
          <w:color w:val="000000"/>
          <w:sz w:val="22"/>
        </w:rPr>
      </w:pPr>
      <w:r>
        <w:rPr>
          <w:b w:val="1"/>
          <w:bCs w:val="1"/>
          <w:color w:val="000000"/>
          <w:sz w:val="22"/>
        </w:rPr>
        <w:t>g</w:t>
      </w:r>
      <w:r>
        <w:rPr>
          <w:b w:val="1"/>
          <w:bCs w:val="1"/>
          <w:color w:val="000000"/>
          <w:sz w:val="22"/>
          <w:vertAlign w:val="subscript"/>
        </w:rPr>
        <w:t>1</w:t>
      </w:r>
      <w:r>
        <w:rPr>
          <w:color w:val="000000"/>
          <w:sz w:val="22"/>
        </w:rPr>
        <w:t xml:space="preserve"> Markreservat för gemensamhetsanläggning</w:t>
      </w:r>
    </w:p>
    <w:p>
      <w:bookmarkStart w:id="50" w:name="mo_motivtillreglering19"/>
      <w:r>
        <w:t xml:space="preserve">Bestämmelser om </w:t>
      </w:r>
      <w:r>
        <w:rPr>
          <w:iCs w:val="1"/>
        </w:rPr>
        <w:t>markreservat för gemensamhetsanläggningar</w:t>
      </w:r>
      <w:r>
        <w:t xml:space="preserve"> ska tillämpas på allmän plats, kvartersmark och vattenområde för att reglera att ett område reserveras för att ge utrymme för en gemensamhetsanläggning.</w:t>
      </w:r>
    </w:p>
    <w:p>
      <w:r>
        <w:t xml:space="preserve">I planförslaget är syftet med bestämmelsen att tydliggöra ytor inom kvartersmark som gemensamhetsanläggningen ansvarar för. </w:t>
      </w:r>
    </w:p>
    <w:p>
      <w:pPr>
        <w:rPr>
          <w:b w:val="1"/>
          <w:i w:val="1"/>
          <w:bCs w:val="1"/>
          <w:iCs w:val="1"/>
        </w:rPr>
      </w:pPr>
      <w:bookmarkEnd w:id="50"/>
      <w:r>
        <w:rPr>
          <w:b w:val="1"/>
          <w:i w:val="1"/>
          <w:bCs w:val="1"/>
          <w:iCs w:val="1"/>
        </w:rPr>
        <w:t>Markreservat för allmännyttiga ändamål</w:t>
      </w:r>
    </w:p>
    <w:p>
      <w:pPr>
        <w:rPr>
          <w:b w:val="1"/>
          <w:i w:val="1"/>
          <w:bCs w:val="1"/>
          <w:iCs w:val="1"/>
        </w:rPr>
      </w:pPr>
      <w:r>
        <w:rPr>
          <w:b w:val="1"/>
          <w:i w:val="1"/>
          <w:bCs w:val="1"/>
          <w:iCs w:val="1"/>
        </w:rPr>
        <w:t>u</w:t>
      </w:r>
      <w:r>
        <w:rPr>
          <w:b w:val="1"/>
          <w:i w:val="1"/>
          <w:bCs w:val="1"/>
          <w:iCs w:val="1"/>
          <w:vertAlign w:val="subscript"/>
        </w:rPr>
        <w:t>1</w:t>
      </w:r>
      <w:r>
        <w:rPr>
          <w:b w:val="1"/>
          <w:i w:val="1"/>
          <w:bCs w:val="1"/>
          <w:iCs w:val="1"/>
        </w:rPr>
        <w:t xml:space="preserve"> </w:t>
      </w:r>
      <w:r>
        <w:rPr>
          <w:i w:val="1"/>
          <w:iCs w:val="1"/>
        </w:rPr>
        <w:t>Markreservat för allmännyttiga underjordiska ledningar</w:t>
      </w:r>
    </w:p>
    <w:p>
      <w:bookmarkStart w:id="51" w:name="mo_motivtillreglering20"/>
      <w:r>
        <w:t>Bestämmelser om markreservat för allmännyttiga ändamål ska tillämpas på allmän plats, kvartersmark och vattenområde för att reglera att ett område reserveras för att ge utrymme för ett visst allmännyttigt ändamål. </w:t>
      </w:r>
    </w:p>
    <w:p>
      <w:r>
        <w:t xml:space="preserve">I planförslaget är ett område reserverat på kvartersmark bostad för möjliggöra att vatten- och avloppsledningar kan passera för att få en effektiv hantering vatten och avlopp. </w:t>
      </w:r>
    </w:p>
    <w:p>
      <w:pPr>
        <w:tabs>
          <w:tab w:val="left" w:pos="284" w:leader="none"/>
        </w:tabs>
        <w:rPr>
          <w:b w:val="1"/>
          <w:i w:val="1"/>
          <w:color w:val="000000"/>
        </w:rPr>
      </w:pPr>
      <w:bookmarkEnd w:id="51"/>
    </w:p>
    <w:p>
      <w:pPr>
        <w:tabs>
          <w:tab w:val="left" w:pos="284" w:leader="none"/>
        </w:tabs>
        <w:rPr>
          <w:b w:val="1"/>
          <w:i w:val="1"/>
        </w:rPr>
      </w:pPr>
      <w:r>
        <w:rPr>
          <w:b w:val="1"/>
          <w:i w:val="1"/>
          <w:color w:val="000000"/>
        </w:rPr>
        <w:t>Utnyttjandegrad</w:t>
      </w:r>
    </w:p>
    <w:p>
      <w:pPr>
        <w:pStyle w:val="P47"/>
        <w:spacing w:after="0" w:beforeAutospacing="0" w:afterAutospacing="0"/>
        <w:rPr>
          <w:b w:val="1"/>
          <w:color w:val="000000"/>
          <w:sz w:val="22"/>
        </w:rPr>
      </w:pPr>
      <w:r>
        <w:rPr>
          <w:b w:val="1"/>
          <w:bCs w:val="1"/>
          <w:color w:val="000000"/>
          <w:sz w:val="22"/>
        </w:rPr>
        <w:t>e</w:t>
      </w:r>
      <w:r>
        <w:rPr>
          <w:b w:val="1"/>
          <w:bCs w:val="1"/>
          <w:color w:val="000000"/>
          <w:sz w:val="22"/>
          <w:vertAlign w:val="subscript"/>
        </w:rPr>
        <w:t>1</w:t>
      </w:r>
      <w:r>
        <w:rPr>
          <w:color w:val="000000"/>
          <w:sz w:val="22"/>
        </w:rPr>
        <w:t xml:space="preserve"> Största byggnadsarea för enbostadshus är 25 % av fastighetsarean inom användningsområdet, max 250 kvadratmeter.</w:t>
      </w:r>
    </w:p>
    <w:p>
      <w:pPr>
        <w:tabs>
          <w:tab w:val="left" w:pos="284" w:leader="none"/>
        </w:tabs>
        <w:rPr>
          <w:highlight w:val="white"/>
        </w:rPr>
      </w:pPr>
      <w:bookmarkStart w:id="52" w:name="mo_motivtillreglering21"/>
      <w:r>
        <w:rPr>
          <w:highlight w:val="white"/>
        </w:rPr>
        <w:t>En av de viktigaste funktionerna med en detaljplan är att fastslå och reglera hur mycket som får byggas. För att reglera hur mycket som får byggas inom ett område anges olika bestämmelser om utnyttjandegrad.</w:t>
      </w:r>
    </w:p>
    <w:p>
      <w:pPr>
        <w:tabs>
          <w:tab w:val="left" w:pos="284" w:leader="none"/>
        </w:tabs>
      </w:pPr>
      <w:r>
        <w:rPr>
          <w:highlight w:val="white"/>
        </w:rPr>
        <w:t>I planförslaget används bestämmelsen där det enbart tillåts friliggande bostäder.</w:t>
      </w:r>
      <w:r>
        <w:t xml:space="preserve"> Bestämmelsen har även en maxgräns då bostadsfastigheterna ej är avstyckade och stora fastigheter skulle i sådana fall få oproportionerlig byggrätt. Denna begränsning finns för att reglera storleken på hus och regleras utöver detta även med bestämmelse för minsta fastighetsstorlek.</w:t>
      </w:r>
    </w:p>
    <w:p>
      <w:pPr>
        <w:pStyle w:val="P47"/>
        <w:spacing w:after="0" w:beforeAutospacing="0" w:afterAutospacing="0"/>
        <w:rPr>
          <w:b w:val="1"/>
          <w:color w:val="000000"/>
          <w:sz w:val="22"/>
        </w:rPr>
      </w:pPr>
      <w:bookmarkEnd w:id="52"/>
      <w:r>
        <w:rPr>
          <w:b w:val="1"/>
          <w:bCs w:val="1"/>
          <w:color w:val="000000"/>
          <w:sz w:val="22"/>
        </w:rPr>
        <w:t>e</w:t>
      </w:r>
      <w:r>
        <w:rPr>
          <w:b w:val="1"/>
          <w:bCs w:val="1"/>
          <w:color w:val="000000"/>
          <w:sz w:val="22"/>
          <w:vertAlign w:val="subscript"/>
        </w:rPr>
        <w:t>2</w:t>
      </w:r>
      <w:r>
        <w:rPr>
          <w:color w:val="000000"/>
          <w:sz w:val="22"/>
        </w:rPr>
        <w:t xml:space="preserve"> Största byggnadsarea för enbostadshus är 20 % av fastighetsarean inom användningsområdet, max 200 kvadratmeter.</w:t>
      </w:r>
    </w:p>
    <w:p>
      <w:pPr>
        <w:tabs>
          <w:tab w:val="left" w:pos="284" w:leader="none"/>
        </w:tabs>
      </w:pPr>
      <w:bookmarkStart w:id="53" w:name="mo_motivtillreglering22"/>
      <w:r>
        <w:t>En av de viktigaste funktionerna med en detaljplan är att fastslå och reglera hur mycket som får byggas. För att reglera hur mycket som får byggas inom ett område anges olika bestämmelser om utnyttjandegrad.</w:t>
      </w:r>
    </w:p>
    <w:p>
      <w:pPr>
        <w:tabs>
          <w:tab w:val="left" w:pos="284" w:leader="none"/>
        </w:tabs>
      </w:pPr>
      <w:r>
        <w:rPr>
          <w:highlight w:val="white"/>
        </w:rPr>
        <w:t xml:space="preserve">I planförslaget används bestämmelsen </w:t>
      </w:r>
      <w:r>
        <w:t>där upplåtelseformen är flexibel. Bestämmelsen har även en maxgräns då bostadsfastigheterna ej är avstyckade och stora fastigheter skulle i sådana fall få oproportionerlig byggrätt. Denna begränsning finns för att reglera storleken på hus och regleras utöver detta även med bestämmelse för minsta fastighetsstorlek.</w:t>
      </w:r>
    </w:p>
    <w:p>
      <w:pPr>
        <w:pStyle w:val="P47"/>
        <w:spacing w:after="0" w:beforeAutospacing="0" w:afterAutospacing="0"/>
        <w:rPr>
          <w:b w:val="1"/>
          <w:color w:val="000000"/>
          <w:sz w:val="22"/>
        </w:rPr>
      </w:pPr>
      <w:bookmarkEnd w:id="53"/>
      <w:r>
        <w:rPr>
          <w:b w:val="1"/>
          <w:bCs w:val="1"/>
          <w:color w:val="000000"/>
          <w:sz w:val="22"/>
        </w:rPr>
        <w:t>e</w:t>
      </w:r>
      <w:r>
        <w:rPr>
          <w:b w:val="1"/>
          <w:bCs w:val="1"/>
          <w:color w:val="000000"/>
          <w:sz w:val="22"/>
          <w:vertAlign w:val="subscript"/>
        </w:rPr>
        <w:t>3</w:t>
      </w:r>
      <w:r>
        <w:rPr>
          <w:color w:val="000000"/>
          <w:sz w:val="22"/>
        </w:rPr>
        <w:t xml:space="preserve"> Största byggnadsarea för komplementbyggnader är 60 kvadratmeter per fastighet, komplementbyggnad får ej inredas som bostadshus. </w:t>
      </w:r>
    </w:p>
    <w:p>
      <w:pPr>
        <w:tabs>
          <w:tab w:val="left" w:pos="284" w:leader="none"/>
        </w:tabs>
      </w:pPr>
      <w:r>
        <w:rPr>
          <w:highlight w:val="white"/>
        </w:rPr>
        <w:br w:type="textWrapping"/>
      </w:r>
      <w:bookmarkStart w:id="54" w:name="mo_motivtillreglering23"/>
      <w:r>
        <w:rPr>
          <w:highlight w:val="white"/>
        </w:rPr>
        <w:t>I planförslaget syftar bestämmelsen till att tydliggöra byggrätt för komplementbyggnader utöver den byggrätt som finns för enbostadshus och att förtydliga att det inte innefattar bostadshus.</w:t>
      </w:r>
      <w:bookmarkEnd w:id="54"/>
    </w:p>
    <w:p>
      <w:pPr>
        <w:tabs>
          <w:tab w:val="left" w:pos="284" w:leader="none"/>
        </w:tabs>
        <w:rPr>
          <w:b w:val="1"/>
          <w:i w:val="1"/>
        </w:rPr>
      </w:pPr>
      <w:r>
        <w:rPr>
          <w:b w:val="1"/>
          <w:i w:val="1"/>
        </w:rPr>
        <w:t>Fastighetsstorlek</w:t>
      </w:r>
    </w:p>
    <w:p>
      <w:pPr>
        <w:tabs>
          <w:tab w:val="left" w:pos="284" w:leader="none"/>
        </w:tabs>
        <w:rPr>
          <w:i w:val="1"/>
        </w:rPr>
      </w:pPr>
      <w:r>
        <w:rPr>
          <w:b w:val="1"/>
          <w:i w:val="1"/>
          <w:bCs w:val="1"/>
        </w:rPr>
        <w:t>d</w:t>
      </w:r>
      <w:r>
        <w:rPr>
          <w:b w:val="1"/>
          <w:i w:val="1"/>
          <w:bCs w:val="1"/>
          <w:vertAlign w:val="subscript"/>
        </w:rPr>
        <w:t>1</w:t>
      </w:r>
      <w:r>
        <w:rPr>
          <w:i w:val="1"/>
          <w:vertAlign w:val="subscript"/>
        </w:rPr>
        <w:t xml:space="preserve"> </w:t>
      </w:r>
      <w:r>
        <w:rPr>
          <w:i w:val="1"/>
        </w:rPr>
        <w:t xml:space="preserve">1000, </w:t>
      </w:r>
      <w:r>
        <w:rPr>
          <w:b w:val="1"/>
          <w:i w:val="1"/>
          <w:bCs w:val="1"/>
        </w:rPr>
        <w:t>d</w:t>
      </w:r>
      <w:r>
        <w:rPr>
          <w:b w:val="1"/>
          <w:i w:val="1"/>
          <w:bCs w:val="1"/>
          <w:vertAlign w:val="subscript"/>
        </w:rPr>
        <w:t>2</w:t>
      </w:r>
      <w:r>
        <w:rPr>
          <w:i w:val="1"/>
          <w:vertAlign w:val="subscript"/>
        </w:rPr>
        <w:t xml:space="preserve"> </w:t>
      </w:r>
      <w:r>
        <w:rPr>
          <w:i w:val="1"/>
        </w:rPr>
        <w:t xml:space="preserve">1200, </w:t>
      </w:r>
      <w:r>
        <w:rPr>
          <w:b w:val="1"/>
          <w:i w:val="1"/>
          <w:bCs w:val="1"/>
        </w:rPr>
        <w:t>d</w:t>
      </w:r>
      <w:r>
        <w:rPr>
          <w:b w:val="1"/>
          <w:i w:val="1"/>
          <w:bCs w:val="1"/>
          <w:vertAlign w:val="subscript"/>
        </w:rPr>
        <w:t>3</w:t>
      </w:r>
      <w:r>
        <w:rPr>
          <w:i w:val="1"/>
          <w:vertAlign w:val="subscript"/>
        </w:rPr>
        <w:t xml:space="preserve"> </w:t>
      </w:r>
      <w:r>
        <w:rPr>
          <w:i w:val="1"/>
        </w:rPr>
        <w:t>1500</w:t>
      </w:r>
      <w:r>
        <w:rPr>
          <w:i w:val="1"/>
          <w:vertAlign w:val="subscript"/>
        </w:rPr>
        <w:t xml:space="preserve">, </w:t>
      </w:r>
      <w:r>
        <w:rPr>
          <w:b w:val="1"/>
          <w:i w:val="1"/>
          <w:bCs w:val="1"/>
        </w:rPr>
        <w:t>d</w:t>
      </w:r>
      <w:r>
        <w:rPr>
          <w:b w:val="1"/>
          <w:i w:val="1"/>
          <w:bCs w:val="1"/>
          <w:vertAlign w:val="subscript"/>
        </w:rPr>
        <w:t>4</w:t>
      </w:r>
      <w:r>
        <w:rPr>
          <w:i w:val="1"/>
          <w:vertAlign w:val="subscript"/>
        </w:rPr>
        <w:t xml:space="preserve"> </w:t>
      </w:r>
      <w:r>
        <w:rPr>
          <w:i w:val="1"/>
        </w:rPr>
        <w:t>2500 Minsta fastighetsstorlek</w:t>
      </w:r>
    </w:p>
    <w:p>
      <w:pPr>
        <w:tabs>
          <w:tab w:val="left" w:pos="284" w:leader="none"/>
        </w:tabs>
      </w:pPr>
      <w:bookmarkStart w:id="55" w:name="mo_motivtillreglering24"/>
      <w:r>
        <w:t xml:space="preserve">Största eller minsta fastighetsstorlek är en ofta använd bestämmelse för att styra exploateringsgraden inom ett område. </w:t>
      </w:r>
    </w:p>
    <w:p>
      <w:pPr>
        <w:tabs>
          <w:tab w:val="left" w:pos="284" w:leader="none"/>
        </w:tabs>
      </w:pPr>
      <w:r>
        <w:t>I planförslaget regleras 4 olika krav på minsta fastighetsstorlek. Områdena är uppdelade så att de stämmer överens med utnyttjandegraden då områdena har olika typer av bostadsbebyggelse gällande höjd och exploateringsgrad. Syftet är att inte fler bostadsfastigheter styckas av än vad planen syftar till.</w:t>
      </w:r>
    </w:p>
    <w:p>
      <w:pPr>
        <w:rPr>
          <w:b w:val="1"/>
          <w:i w:val="1"/>
        </w:rPr>
      </w:pPr>
      <w:bookmarkEnd w:id="55"/>
      <w:r>
        <w:rPr>
          <w:b w:val="1"/>
          <w:i w:val="1"/>
          <w:color w:val="000000"/>
        </w:rPr>
        <w:t>Skydd mot störningar</w:t>
      </w:r>
    </w:p>
    <w:p>
      <w:pPr>
        <w:pStyle w:val="P47"/>
        <w:spacing w:after="0" w:beforeAutospacing="0" w:afterAutospacing="0"/>
        <w:rPr>
          <w:b w:val="1"/>
          <w:color w:val="000000"/>
          <w:sz w:val="22"/>
        </w:rPr>
      </w:pPr>
      <w:r>
        <w:rPr>
          <w:b w:val="1"/>
          <w:bCs w:val="1"/>
          <w:color w:val="000000"/>
          <w:sz w:val="22"/>
        </w:rPr>
        <w:t>m</w:t>
      </w:r>
      <w:r>
        <w:rPr>
          <w:b w:val="1"/>
          <w:bCs w:val="1"/>
          <w:color w:val="000000"/>
          <w:sz w:val="22"/>
          <w:vertAlign w:val="subscript"/>
        </w:rPr>
        <w:t>1</w:t>
      </w:r>
      <w:r>
        <w:rPr>
          <w:color w:val="000000"/>
          <w:sz w:val="22"/>
        </w:rPr>
        <w:t xml:space="preserve"> Skyddsavstånd för olyckor, byggnader tillåts ej.</w:t>
      </w:r>
    </w:p>
    <w:p>
      <w:pPr>
        <w:tabs>
          <w:tab w:val="left" w:pos="284" w:leader="none"/>
        </w:tabs>
        <w:rPr>
          <w:highlight w:val="white"/>
        </w:rPr>
      </w:pPr>
      <w:bookmarkStart w:id="56" w:name="mo_motivtillreglering25"/>
      <w:r>
        <w:rPr>
          <w:highlight w:val="white"/>
        </w:rPr>
        <w:t>Bestämmelser om skydd mot störningar ska tillämpas på kvartersmark för att reglera skyddsåtgärder för att motverka markföroreningar, olyckor, översvämning och erosion, skyddsåtgärder för att motverka störningar från omgivningen samt högsta tillåtna nivåer på störning.</w:t>
      </w:r>
    </w:p>
    <w:p>
      <w:pPr>
        <w:tabs>
          <w:tab w:val="left" w:pos="284" w:leader="none"/>
        </w:tabs>
        <w:rPr>
          <w:highlight w:val="white"/>
        </w:rPr>
      </w:pPr>
      <w:r>
        <w:rPr>
          <w:highlight w:val="white"/>
        </w:rPr>
        <w:t>I planförslaget regleras skyddsavstånd där byggnation anses olämpligt med hänsyn till riskavstånd till drivmedelstationen.</w:t>
      </w:r>
    </w:p>
    <w:p>
      <w:pPr>
        <w:pStyle w:val="P47"/>
        <w:spacing w:after="0" w:beforeAutospacing="0" w:afterAutospacing="0"/>
        <w:rPr>
          <w:b w:val="1"/>
          <w:color w:val="000000"/>
          <w:sz w:val="22"/>
        </w:rPr>
      </w:pPr>
      <w:bookmarkEnd w:id="56"/>
      <w:r>
        <w:rPr>
          <w:b w:val="1"/>
          <w:bCs w:val="1"/>
          <w:color w:val="000000"/>
          <w:sz w:val="22"/>
        </w:rPr>
        <w:t>m</w:t>
      </w:r>
      <w:r>
        <w:rPr>
          <w:b w:val="1"/>
          <w:bCs w:val="1"/>
          <w:color w:val="000000"/>
          <w:sz w:val="22"/>
          <w:vertAlign w:val="subscript"/>
        </w:rPr>
        <w:t>2</w:t>
      </w:r>
      <w:r>
        <w:rPr>
          <w:color w:val="000000"/>
          <w:sz w:val="22"/>
        </w:rPr>
        <w:t xml:space="preserve"> Möjlighet till utrymning av byggnader på sida som vetter bort från drivmedelstationen ska säkerställas.</w:t>
      </w:r>
    </w:p>
    <w:p>
      <w:pPr>
        <w:tabs>
          <w:tab w:val="left" w:pos="284" w:leader="none"/>
        </w:tabs>
      </w:pPr>
      <w:bookmarkStart w:id="57" w:name="mo_motivtillreglering26"/>
      <w:r>
        <w:t>Bestämmelser om skydd mot störningar ska tillämpas på kvartersmark för att reglera skyddsåtgärder för att motverka markföroreningar, olyckor, översvämning och erosion, skyddsåtgärder för att motverka störningar från omgivningen samt högsta tillåtna nivåer på störning.</w:t>
      </w:r>
    </w:p>
    <w:p>
      <w:pPr>
        <w:tabs>
          <w:tab w:val="left" w:pos="284" w:leader="none"/>
        </w:tabs>
      </w:pPr>
      <w:r>
        <w:t>I planförslaget används bestämmelsen för att säkerställa lämplig utrymningsväg för närliggande bostäder intill drivmedelstationen. Även om behov av snabb utrymning på grund av eventuell olycka vid bensinstationen inte förutses bör ändå utrymningsmöjlighet bort från bensinstationen säkerställas.</w:t>
      </w:r>
    </w:p>
    <w:p>
      <w:pPr>
        <w:tabs>
          <w:tab w:val="left" w:pos="284" w:leader="none"/>
        </w:tabs>
        <w:rPr>
          <w:b w:val="1"/>
          <w:i w:val="1"/>
          <w:bCs w:val="1"/>
          <w:iCs w:val="1"/>
        </w:rPr>
      </w:pPr>
      <w:bookmarkEnd w:id="57"/>
      <w:r>
        <w:rPr>
          <w:b w:val="1"/>
          <w:i w:val="1"/>
          <w:bCs w:val="1"/>
          <w:iCs w:val="1"/>
        </w:rPr>
        <w:t xml:space="preserve">Byggnaders användning </w:t>
      </w:r>
    </w:p>
    <w:p>
      <w:pPr>
        <w:tabs>
          <w:tab w:val="left" w:pos="284" w:leader="none"/>
        </w:tabs>
        <w:rPr>
          <w:i w:val="1"/>
          <w:iCs w:val="1"/>
        </w:rPr>
      </w:pPr>
      <w:r>
        <w:rPr>
          <w:b w:val="1"/>
          <w:i w:val="1"/>
          <w:bCs w:val="1"/>
          <w:iCs w:val="1"/>
        </w:rPr>
        <w:t>s</w:t>
      </w:r>
      <w:r>
        <w:rPr>
          <w:b w:val="1"/>
          <w:i w:val="1"/>
          <w:bCs w:val="1"/>
          <w:iCs w:val="1"/>
          <w:vertAlign w:val="subscript"/>
        </w:rPr>
        <w:t xml:space="preserve">1 </w:t>
      </w:r>
      <w:r>
        <w:rPr>
          <w:i w:val="1"/>
          <w:iCs w:val="1"/>
        </w:rPr>
        <w:t>Minst hälften av bostadsrummen i varje bostad ska orienteras mot en ljuddämpad sida.</w:t>
      </w:r>
    </w:p>
    <w:p>
      <w:pPr>
        <w:tabs>
          <w:tab w:val="left" w:pos="284" w:leader="none"/>
        </w:tabs>
      </w:pPr>
      <w:bookmarkStart w:id="58" w:name="mo_motivtillreglering27"/>
      <w:r>
        <w:t>I situationer där planerad bostadsbebyggelse inte klarar de grundläggande nivåerna som anges i förordningen (2015:216) om trafikbuller eller i Boverkets allmänna råd om industribuller (BFS 2020:2) kan kommunen använda planbestämmelser om lägenhetsutformning.</w:t>
      </w:r>
    </w:p>
    <w:p>
      <w:pPr>
        <w:tabs>
          <w:tab w:val="left" w:pos="284" w:leader="none"/>
        </w:tabs>
      </w:pPr>
      <w:r>
        <w:t>I planförslaget används förslaget för att följa den bullerutredningen som visar på att vissa planerade bostäder inte klarar de grundläggande nivåerna för buller som anges i förordningen (trafik, 2015:216 och verksamhet 2020:2). I de planerade bostäderna närmast drivmedelsstationen behöver minst hälften av rummen vara riktade mot den ljuddämpade sidan i öster (se bullerutredning)</w:t>
      </w:r>
    </w:p>
    <w:p>
      <w:pPr>
        <w:rPr>
          <w:b w:val="1"/>
          <w:i w:val="1"/>
        </w:rPr>
      </w:pPr>
      <w:bookmarkEnd w:id="58"/>
      <w:r>
        <w:rPr>
          <w:b w:val="1"/>
          <w:i w:val="1"/>
          <w:color w:val="000000"/>
        </w:rPr>
        <w:t>Placering</w:t>
      </w:r>
    </w:p>
    <w:p>
      <w:pPr>
        <w:pStyle w:val="P47"/>
        <w:spacing w:after="0" w:beforeAutospacing="0" w:afterAutospacing="0"/>
        <w:rPr>
          <w:b w:val="1"/>
          <w:color w:val="000000"/>
          <w:sz w:val="22"/>
        </w:rPr>
      </w:pPr>
      <w:r>
        <w:rPr>
          <w:b w:val="1"/>
          <w:bCs w:val="1"/>
          <w:color w:val="000000"/>
          <w:sz w:val="22"/>
        </w:rPr>
        <w:t>p</w:t>
      </w:r>
      <w:r>
        <w:rPr>
          <w:b w:val="1"/>
          <w:bCs w:val="1"/>
          <w:color w:val="000000"/>
          <w:sz w:val="22"/>
          <w:vertAlign w:val="subscript"/>
        </w:rPr>
        <w:t>1</w:t>
      </w:r>
      <w:r>
        <w:rPr>
          <w:color w:val="000000"/>
          <w:sz w:val="22"/>
        </w:rPr>
        <w:t xml:space="preserve"> Huvudbyggnad ska placeras minst 4 meter från fastighetsgräns.</w:t>
      </w:r>
    </w:p>
    <w:p>
      <w:pPr>
        <w:rPr>
          <w:highlight w:val="white"/>
        </w:rPr>
      </w:pPr>
      <w:bookmarkStart w:id="59" w:name="mo_motivtillreglering28"/>
      <w:r>
        <w:rPr>
          <w:highlight w:val="white"/>
        </w:rPr>
        <w:t>Bestämmelser om placering ska tillämpas på kvartersmark för att reglera byggnadsverks och bostadsfastigheters placering.</w:t>
      </w:r>
    </w:p>
    <w:p>
      <w:r>
        <w:rPr>
          <w:highlight w:val="white"/>
        </w:rPr>
        <w:t xml:space="preserve">I planförslaget syftar bestämmelsen till att </w:t>
      </w:r>
      <w:r>
        <w:t>minska risk för spridning och skador om brand uppstår. Planbestämmelsen syftar också till att bidra till att skapa ett avstånd till omgivande områden. Placeringsbestämmelsen kan bidra till att minska skuggningspåverkan till omgivningen.</w:t>
      </w:r>
    </w:p>
    <w:p>
      <w:pPr>
        <w:pStyle w:val="P47"/>
        <w:spacing w:after="0" w:beforeAutospacing="0" w:afterAutospacing="0"/>
        <w:rPr>
          <w:b w:val="1"/>
          <w:color w:val="000000"/>
          <w:sz w:val="22"/>
        </w:rPr>
      </w:pPr>
      <w:bookmarkEnd w:id="59"/>
      <w:r>
        <w:rPr>
          <w:b w:val="1"/>
          <w:bCs w:val="1"/>
          <w:color w:val="000000"/>
          <w:sz w:val="22"/>
        </w:rPr>
        <w:t>p</w:t>
      </w:r>
      <w:r>
        <w:rPr>
          <w:b w:val="1"/>
          <w:bCs w:val="1"/>
          <w:color w:val="000000"/>
          <w:sz w:val="22"/>
          <w:vertAlign w:val="subscript"/>
        </w:rPr>
        <w:t>2</w:t>
      </w:r>
      <w:r>
        <w:rPr>
          <w:color w:val="000000"/>
          <w:sz w:val="22"/>
        </w:rPr>
        <w:t xml:space="preserve"> Komplementbyggnad ska placeras minst 2 meter från fastighetsgräns.</w:t>
      </w:r>
    </w:p>
    <w:p>
      <w:bookmarkStart w:id="60" w:name="mo_motivtillreglering29"/>
      <w:r>
        <w:t>Bestämmelser om placering ska tillämpas på kvartersmark för att reglera byggnadsverks och bostadsfastigheters placering.</w:t>
      </w:r>
    </w:p>
    <w:p>
      <w:r>
        <w:t>I planförslaget är syftet med bestämmelsen att ge en flexibilitet i hur komplementbyggnader kan uppföras. Att placera en komplementbyggnad minst två meter in på fastigheten ger möjlighet att underhålla den på egen fastighet.</w:t>
      </w:r>
    </w:p>
    <w:p>
      <w:bookmarkEnd w:id="60"/>
      <w:r>
        <w:rPr>
          <w:b w:val="1"/>
          <w:i w:val="1"/>
          <w:bCs w:val="1"/>
          <w:iCs w:val="1"/>
          <w:color w:val="000000"/>
        </w:rPr>
        <w:t>p</w:t>
      </w:r>
      <w:r>
        <w:rPr>
          <w:b w:val="1"/>
          <w:i w:val="1"/>
          <w:bCs w:val="1"/>
          <w:iCs w:val="1"/>
          <w:color w:val="000000"/>
          <w:vertAlign w:val="subscript"/>
        </w:rPr>
        <w:t xml:space="preserve">3 </w:t>
      </w:r>
      <w:r>
        <w:rPr>
          <w:i w:val="1"/>
          <w:iCs w:val="1"/>
          <w:color w:val="000000"/>
        </w:rPr>
        <w:t>Brännbara byggnader får inte placeras närmare än 5 meter från transformatorstation</w:t>
        <w:br w:type="textWrapping"/>
      </w:r>
      <w:bookmarkStart w:id="61" w:name="mo_motivtillreglering30"/>
      <w:r>
        <w:t>Bestämmelser om placering ska tillämpas på kvartersmark för att reglera byggnadsverks och bostadsfastigheters placering.</w:t>
      </w:r>
    </w:p>
    <w:p>
      <w:pPr>
        <w:rPr>
          <w:color w:val="000000"/>
        </w:rPr>
      </w:pPr>
      <w:r>
        <w:rPr>
          <w:color w:val="000000"/>
        </w:rPr>
        <w:t>I planförslaget syftar bestämmelsen att brännbar bebyggelse inte sker i närhet av kommande transformatorstation kopplat till brandrisken.</w:t>
      </w:r>
    </w:p>
    <w:p>
      <w:pPr>
        <w:tabs>
          <w:tab w:val="left" w:pos="284" w:leader="none"/>
        </w:tabs>
        <w:rPr>
          <w:b w:val="1"/>
          <w:i w:val="1"/>
        </w:rPr>
      </w:pPr>
      <w:bookmarkEnd w:id="61"/>
      <w:r>
        <w:rPr>
          <w:b w:val="1"/>
          <w:i w:val="1"/>
          <w:color w:val="000000"/>
        </w:rPr>
        <w:t>Utformning</w:t>
      </w:r>
    </w:p>
    <w:p>
      <w:pPr>
        <w:pStyle w:val="P47"/>
        <w:spacing w:after="0" w:beforeAutospacing="0" w:afterAutospacing="0"/>
        <w:rPr>
          <w:b w:val="1"/>
          <w:color w:val="000000"/>
          <w:sz w:val="22"/>
        </w:rPr>
      </w:pPr>
      <w:r>
        <w:rPr>
          <w:b w:val="1"/>
          <w:bCs w:val="1"/>
          <w:color w:val="000000"/>
          <w:sz w:val="22"/>
        </w:rPr>
        <w:t>f</w:t>
      </w:r>
      <w:r>
        <w:rPr>
          <w:b w:val="1"/>
          <w:bCs w:val="1"/>
          <w:color w:val="000000"/>
          <w:sz w:val="22"/>
          <w:vertAlign w:val="subscript"/>
        </w:rPr>
        <w:t>1</w:t>
      </w:r>
      <w:r>
        <w:rPr>
          <w:color w:val="000000"/>
          <w:sz w:val="22"/>
        </w:rPr>
        <w:t xml:space="preserve"> Endast friliggande enbostadshus </w:t>
      </w:r>
    </w:p>
    <w:p>
      <w:pPr>
        <w:tabs>
          <w:tab w:val="left" w:pos="284" w:leader="none"/>
        </w:tabs>
        <w:rPr>
          <w:highlight w:val="white"/>
        </w:rPr>
      </w:pPr>
      <w:bookmarkStart w:id="62" w:name="mo_motivtillreglering31"/>
      <w:r>
        <w:rPr>
          <w:highlight w:val="white"/>
        </w:rPr>
        <w:t xml:space="preserve">Bestämmelser om utformning används för att reglera byggnadsverks form, färg och material, fasadutsmyckningar, typer av byggnadsverk samt utformning av </w:t>
      </w:r>
      <w:r>
        <w:t>bostadsfastigheter</w:t>
      </w:r>
      <w:r>
        <w:rPr>
          <w:highlight w:val="white"/>
        </w:rPr>
        <w:t>.</w:t>
      </w:r>
    </w:p>
    <w:p>
      <w:pPr>
        <w:tabs>
          <w:tab w:val="left" w:pos="284" w:leader="none"/>
        </w:tabs>
      </w:pPr>
      <w:r>
        <w:rPr>
          <w:highlight w:val="white"/>
        </w:rPr>
        <w:t>I planförslaget används bestämmelsen inom användning bostäder där det anses lämpligt med friliggande bostäder.</w:t>
      </w:r>
      <w:r>
        <w:t xml:space="preserve"> </w:t>
      </w:r>
    </w:p>
    <w:p>
      <w:pPr>
        <w:tabs>
          <w:tab w:val="left" w:pos="284" w:leader="none"/>
        </w:tabs>
        <w:rPr>
          <w:b w:val="1"/>
          <w:i w:val="1"/>
        </w:rPr>
      </w:pPr>
      <w:bookmarkEnd w:id="62"/>
      <w:r>
        <w:rPr>
          <w:b w:val="1"/>
          <w:i w:val="1"/>
        </w:rPr>
        <w:t>Villkor för startbesked</w:t>
      </w:r>
    </w:p>
    <w:p>
      <w:pPr>
        <w:tabs>
          <w:tab w:val="left" w:pos="284" w:leader="none"/>
        </w:tabs>
        <w:rPr>
          <w:i w:val="1"/>
          <w:bCs w:val="1"/>
        </w:rPr>
      </w:pPr>
      <w:r>
        <w:rPr>
          <w:b w:val="1"/>
          <w:i w:val="1"/>
        </w:rPr>
        <w:t>a</w:t>
      </w:r>
      <w:r>
        <w:rPr>
          <w:b w:val="1"/>
          <w:i w:val="1"/>
          <w:vertAlign w:val="subscript"/>
        </w:rPr>
        <w:t xml:space="preserve">2 </w:t>
      </w:r>
      <w:r>
        <w:rPr>
          <w:i w:val="1"/>
          <w:bCs w:val="1"/>
        </w:rPr>
        <w:t>Startbesked får inte ges för enbostadshus förrän reningsverk och vattenanläggning kommit till stånd</w:t>
      </w:r>
    </w:p>
    <w:p>
      <w:pPr>
        <w:tabs>
          <w:tab w:val="left" w:pos="284" w:leader="none"/>
        </w:tabs>
        <w:rPr>
          <w:highlight w:val="white"/>
        </w:rPr>
      </w:pPr>
      <w:bookmarkStart w:id="63" w:name="mo_motivtillreglering32"/>
      <w:r>
        <w:rPr>
          <w:highlight w:val="white"/>
        </w:rPr>
        <w:t>Bestämmelser om villkor för startbesked ska tillämpas på allmän plats och kvartersmark för att reglera att startbesked för en åtgärd som innebär en väsentlig ändring av markens användning inte får ges förrän en viss annan åtgärd först har genomförts.</w:t>
      </w:r>
    </w:p>
    <w:p>
      <w:pPr>
        <w:tabs>
          <w:tab w:val="left" w:pos="284" w:leader="none"/>
        </w:tabs>
        <w:rPr>
          <w:highlight w:val="white"/>
        </w:rPr>
      </w:pPr>
      <w:r>
        <w:rPr>
          <w:highlight w:val="white"/>
        </w:rPr>
        <w:t xml:space="preserve">I planförslaget används bestämmelsen för att säkerhetsställa att enbostadshus inte byggs innan området har genomfört åtgärder för (avlopps)reningsverk och vattenanläggningar då det är väsentligt för området att nya bostäder ansluts till systemet. </w:t>
      </w:r>
    </w:p>
    <w:p>
      <w:pPr>
        <w:tabs>
          <w:tab w:val="left" w:pos="284" w:leader="none"/>
        </w:tabs>
        <w:rPr>
          <w:b w:val="1"/>
          <w:i w:val="1"/>
        </w:rPr>
      </w:pPr>
      <w:bookmarkEnd w:id="63"/>
      <w:r>
        <w:rPr>
          <w:b w:val="1"/>
          <w:i w:val="1"/>
        </w:rPr>
        <w:t xml:space="preserve"> a</w:t>
      </w:r>
      <w:r>
        <w:rPr>
          <w:b w:val="1"/>
          <w:i w:val="1"/>
          <w:vertAlign w:val="subscript"/>
        </w:rPr>
        <w:t xml:space="preserve">3 </w:t>
      </w:r>
      <w:r>
        <w:rPr>
          <w:i w:val="1"/>
          <w:bCs w:val="1"/>
        </w:rPr>
        <w:t>Startbesked får inte ges för enbostadshus förrän dagvattenanläggning kommit till stånd</w:t>
      </w:r>
    </w:p>
    <w:p>
      <w:pPr>
        <w:tabs>
          <w:tab w:val="left" w:pos="284" w:leader="none"/>
        </w:tabs>
        <w:rPr>
          <w:highlight w:val="white"/>
        </w:rPr>
      </w:pPr>
      <w:bookmarkStart w:id="64" w:name="mo_motivtillreglering33"/>
      <w:r>
        <w:rPr>
          <w:highlight w:val="white"/>
        </w:rPr>
        <w:t>Bestämmelser om villkor för startbesked ska tillämpas på allmän plats och kvartersmark för att reglera att startbesked för en åtgärd som innebär en väsentlig ändring av markens användning inte får ges förrän en viss annan åtgärd först har genomförts.</w:t>
      </w:r>
    </w:p>
    <w:p>
      <w:pPr>
        <w:tabs>
          <w:tab w:val="left" w:pos="284" w:leader="none"/>
        </w:tabs>
        <w:rPr>
          <w:highlight w:val="white"/>
        </w:rPr>
      </w:pPr>
      <w:r>
        <w:rPr>
          <w:highlight w:val="white"/>
        </w:rPr>
        <w:t xml:space="preserve">I planförslaget används bestämmelsen för att säkerhetsställa att enbostadshus inte byggs innan området har genomfört åtgärder för gemensam dagvattenhantering med en dagvattenläggning för rening- och fördröjning av dagvattnet i området. Ett gemensamt fungerande dagvattensystem är väsentligt för att området ska fungera och att påverkan på närliggande område minimeras.  </w:t>
      </w:r>
    </w:p>
    <w:p>
      <w:pPr>
        <w:tabs>
          <w:tab w:val="left" w:pos="284" w:leader="none"/>
        </w:tabs>
        <w:rPr>
          <w:i w:val="1"/>
          <w:bCs w:val="1"/>
        </w:rPr>
      </w:pPr>
      <w:bookmarkEnd w:id="64"/>
      <w:r>
        <w:rPr>
          <w:b w:val="1"/>
          <w:i w:val="1"/>
        </w:rPr>
        <w:t>a</w:t>
      </w:r>
      <w:r>
        <w:rPr>
          <w:b w:val="1"/>
          <w:i w:val="1"/>
          <w:vertAlign w:val="subscript"/>
        </w:rPr>
        <w:t xml:space="preserve">4 </w:t>
      </w:r>
      <w:r>
        <w:rPr>
          <w:i w:val="1"/>
          <w:bCs w:val="1"/>
        </w:rPr>
        <w:t>Startbesked får inte ges för enbostadshus förrän markförorening har avhjälpts</w:t>
      </w:r>
    </w:p>
    <w:p>
      <w:pPr>
        <w:tabs>
          <w:tab w:val="left" w:pos="284" w:leader="none"/>
        </w:tabs>
        <w:rPr>
          <w:highlight w:val="white"/>
        </w:rPr>
      </w:pPr>
      <w:bookmarkStart w:id="65" w:name="mo_motivtillreglering34"/>
      <w:r>
        <w:rPr>
          <w:highlight w:val="white"/>
        </w:rPr>
        <w:t>Bestämmelser om villkor för startbesked ska tillämpas på allmän plats och kvartersmark för att reglera att startbesked för en åtgärd som innebär en väsentlig ändring av markens användning inte får ges förrän en viss annan åtgärd först har genomförts.</w:t>
      </w:r>
    </w:p>
    <w:p>
      <w:pPr>
        <w:tabs>
          <w:tab w:val="left" w:pos="284" w:leader="none"/>
        </w:tabs>
        <w:rPr>
          <w:bCs w:val="1"/>
          <w:iCs w:val="1"/>
        </w:rPr>
      </w:pPr>
      <w:r>
        <w:rPr>
          <w:bCs w:val="1"/>
          <w:iCs w:val="1"/>
        </w:rPr>
        <w:t>I planförslaget inom ett avgränsat område för bostad måste en mindre markförorening tas bort innan startbesked kan ges för enbostadshus.</w:t>
      </w:r>
    </w:p>
    <w:p>
      <w:pPr>
        <w:pStyle w:val="P3"/>
      </w:pPr>
      <w:bookmarkEnd w:id="65"/>
      <w:bookmarkStart w:id="66" w:name="_Toc214961298"/>
      <w:r>
        <w:t>Genomförandetid</w:t>
      </w:r>
      <w:bookmarkEnd w:id="66"/>
    </w:p>
    <w:p>
      <w:pPr>
        <w:tabs>
          <w:tab w:val="left" w:pos="284" w:leader="none"/>
        </w:tabs>
      </w:pPr>
      <w:bookmarkStart w:id="67" w:name="be_genomförandetid01"/>
      <w:r>
        <w:t>Före genomförandetidens utgång, det vill säga både innan genomförande tiden börjar gälla och under genomförandetiden, får planen inte ändras, ersättas eller upphävas mot berörda fastighetsägares vilja.</w:t>
      </w:r>
    </w:p>
    <w:p>
      <w:pPr>
        <w:tabs>
          <w:tab w:val="left" w:pos="284" w:leader="none"/>
        </w:tabs>
      </w:pPr>
      <w:r>
        <w:t>Genomförandetiden i planförslaget är 5 år (60 månader) från den dag då planen vinner laga kraft. Genomförandetiden ger en skälig tid för en utbyggnad av området.</w:t>
      </w:r>
    </w:p>
    <w:p>
      <w:pPr>
        <w:pStyle w:val="P1"/>
      </w:pPr>
      <w:bookmarkEnd w:id="67"/>
      <w:bookmarkStart w:id="68" w:name="_Toc214961299"/>
      <w:r>
        <w:t>Planeringsförutsättningar och konsekvenser</w:t>
      </w:r>
      <w:bookmarkEnd w:id="68"/>
    </w:p>
    <w:p>
      <w:pPr>
        <w:pStyle w:val="P2"/>
      </w:pPr>
      <w:bookmarkStart w:id="69" w:name="_Toc198806262"/>
      <w:bookmarkStart w:id="70" w:name="_Toc214961300"/>
      <w:r>
        <w:t>Kommunala ställningstagande</w:t>
      </w:r>
      <w:bookmarkEnd w:id="69"/>
      <w:bookmarkEnd w:id="70"/>
    </w:p>
    <w:p>
      <w:pPr>
        <w:pStyle w:val="P3"/>
      </w:pPr>
      <w:bookmarkStart w:id="71" w:name="_Toc198806263"/>
      <w:bookmarkStart w:id="72" w:name="_Toc214961301"/>
      <w:r>
        <w:t>Översiktsplan</w:t>
      </w:r>
      <w:bookmarkEnd w:id="71"/>
      <w:bookmarkEnd w:id="72"/>
    </w:p>
    <w:p>
      <w:pPr>
        <w:tabs>
          <w:tab w:val="left" w:pos="284" w:leader="none"/>
        </w:tabs>
      </w:pPr>
      <w:bookmarkStart w:id="73" w:name="_Hlk199754264"/>
      <w:bookmarkStart w:id="74" w:name="pu_översiktsplan01"/>
      <w:r>
        <w:t xml:space="preserve">En ny kommunomfattande översiktsplan antogs av kommunfullmäktige den 14:e september 2020, </w:t>
      </w:r>
      <w:r>
        <w:rPr>
          <w:i w:val="1"/>
        </w:rPr>
        <w:t>Översiktsplan – 6000 invånare</w:t>
      </w:r>
      <w:r>
        <w:t>. Översiktsplanen beskriver byar och småorter som är viktiga för sin bygd, för att de har ett visst serviceunderhåll, utvecklat föreningsliv eller för att de har en historia av att vara samlande punkter. Aktuellt planområde ligger utpekat som lokal nod inom kommunens landsbygd samt som utvecklingsområde för bostäder/verksamheter. Planområdet beskrivs som viktigt utvecklingsområde ur ett serviceperspektiv men också för bebyggelsen i kommunens sydvästra del. Viljeinriktningen beskrivs som följande:</w:t>
      </w:r>
    </w:p>
    <w:p>
      <w:pPr>
        <w:numPr>
          <w:ilvl w:val="0"/>
          <w:numId w:val="35"/>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Utveckla Stava/Vida Vättern som service-, resande- och turistnod.</w:t>
      </w:r>
    </w:p>
    <w:p>
      <w:pPr>
        <w:numPr>
          <w:ilvl w:val="0"/>
          <w:numId w:val="35"/>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Utveckla Stava/Vida Vättern med attraktiva vätternära boenden.</w:t>
      </w:r>
    </w:p>
    <w:p>
      <w:pPr>
        <w:numPr>
          <w:ilvl w:val="0"/>
          <w:numId w:val="35"/>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Kontinuerligt arbeta med förbättringsåtgärder utmed Turistvägen, trafiksäkerhet och framkomlighet.</w:t>
      </w:r>
    </w:p>
    <w:p>
      <w:pPr>
        <w:spacing w:lineRule="auto" w:line="240" w:before="100" w:after="100" w:beforeAutospacing="1" w:afterAutospacing="1"/>
      </w:pPr>
      <w:r>
        <w:t>Planområdet är ett utpekat utvecklingsområde för bostäder/verksamheter i översiktsplanen. Under planprocessen har områdets gränser studerats vidare och även angränsande fastigheter har omfattats av planarbetet. Kommunen bedömer att planens utökning överensstämmer med översiktsplanens intentioner, eftersom det handlar om angränsande fastigheter där befintliga bostadsägare önskar utveckla området i linje med översiktsplanens anda.</w:t>
      </w:r>
    </w:p>
    <w:p>
      <w:pPr>
        <w:spacing w:lineRule="auto" w:line="240" w:before="100" w:after="100" w:beforeAutospacing="1" w:afterAutospacing="1"/>
      </w:pPr>
      <w:r>
        <w:t>Området som tidigare inrymde ett hotell med tillhörande uthyrningsstugor kommer nu att omvandlas till ett bostadsområde samt möjliggöra utveckling av drivmedels- och dagligvaruhandel. Utöver att ersätta de tidigare byggnaderna med nya bostäder, tas även ytterligare mark i anspråk för att skapa plats för ytterligare 12 nya bostäder.</w:t>
      </w:r>
    </w:p>
    <w:p>
      <w:pPr>
        <w:spacing w:lineRule="auto" w:line="240" w:before="100" w:after="100" w:beforeAutospacing="1" w:afterAutospacing="1"/>
      </w:pPr>
      <w:r>
        <w:t xml:space="preserve">Översiktsplanen pekar på en utveckling med ca 5-10 nya bostäder, medan den aktuella planen möjliggör 12 nya tomter samt omvandling av 8 tomter, totalt 20 nya tomter. En stor anledning till att planen kan möjliggöra fler tomter är att en ny gemensam va-anläggning anläggs, något som inte fanns med i översiktsplanens förutsättningar för uppskattning av antal nya bostäder. </w:t>
      </w:r>
    </w:p>
    <w:p>
      <w:pPr>
        <w:spacing w:lineRule="auto" w:line="240" w:before="100" w:after="100" w:beforeAutospacing="1" w:afterAutospacing="1"/>
      </w:pPr>
      <w:r>
        <w:t>Den föreslagna utformningen av området bedöms bidra till översiktsplanens huvudstrategier för utveckling, som är att ”Vi stärker våra noder”. Kommunen ser positivt på att utveckla området med ytterligare bostäder, vilket ligger i linje med översiktsplanens intentioner att skapa möjlighet för bostäder samt utveckla och bibehålla servicen i området.</w:t>
      </w:r>
    </w:p>
    <w:p>
      <w:r>
        <w:rPr>
          <w:noProof w:val="1"/>
        </w:rPr>
        <w:drawing>
          <wp:inline xmlns:wp="http://schemas.openxmlformats.org/drawingml/2006/wordprocessingDrawing" distT="0" distB="0" distL="0" distR="0">
            <wp:extent cx="4679950" cy="2919730"/>
            <wp:effectExtent l="0" t="0" r="6350" b="0"/>
            <wp:docPr id="13" name="Bildobjekt 13" descr="Bild visar utdrag från kommunens översiktsplan. I gulmarkeringen redovisas det aktuella området i översiktsplanen. I detaljplanen ingår även ett område i nordv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descr="Bild visar utdrag från kommunens översiktsplan. I gulmarkeringen redovisas det aktuella området i översiktsplanen. I detaljplanen ingår även ett område i nordväst."/>
                    <pic:cNvPicPr/>
                  </pic:nvPicPr>
                  <pic:blipFill dpi="0">
                    <a:blip xmlns:r="http://schemas.openxmlformats.org/officeDocument/2006/relationships" r:embed="Relimage6"/>
                    <a:srcRect/>
                    <a:stretch>
                      <a:fillRect/>
                    </a:stretch>
                  </pic:blipFill>
                  <pic:spPr>
                    <a:xfrm>
                      <a:off x="0" y="0"/>
                      <a:ext cx="4679950" cy="2920326"/>
                    </a:xfrm>
                    <a:prstGeom prst="rect"/>
                  </pic:spPr>
                </pic:pic>
              </a:graphicData>
            </a:graphic>
          </wp:inline>
        </w:drawing>
      </w:r>
    </w:p>
    <w:p>
      <w:pPr>
        <w:tabs>
          <w:tab w:val="left" w:pos="284" w:leader="none"/>
        </w:tabs>
        <w:rPr>
          <w:i w:val="1"/>
          <w:sz w:val="20"/>
          <w:szCs w:val="20"/>
        </w:rPr>
      </w:pPr>
      <w:r>
        <w:rPr>
          <w:i w:val="1"/>
          <w:sz w:val="20"/>
          <w:szCs w:val="20"/>
        </w:rPr>
        <w:t>Bild visar utdrag från kommunens översiktsplan. I gulmarkeringen redovisas det aktuella området i översiktsplanen. I detaljplanen ingår även ett område i nordväst.</w:t>
      </w:r>
    </w:p>
    <w:p>
      <w:pPr>
        <w:pStyle w:val="P3"/>
      </w:pPr>
      <w:bookmarkEnd w:id="73"/>
      <w:bookmarkEnd w:id="74"/>
      <w:bookmarkStart w:id="75" w:name="_Toc214961302"/>
      <w:r>
        <w:t>Detaljplan</w:t>
      </w:r>
      <w:bookmarkEnd w:id="75"/>
      <w:r>
        <w:t xml:space="preserve"> </w:t>
      </w:r>
    </w:p>
    <w:p>
      <w:pPr>
        <w:tabs>
          <w:tab w:val="left" w:pos="284" w:leader="none"/>
        </w:tabs>
      </w:pPr>
      <w:bookmarkStart w:id="76" w:name="pu_detaljplan02"/>
      <w:r>
        <w:t>Det aktuella planområdet omfattas idag inte av någon gällande detaljplan.</w:t>
      </w:r>
    </w:p>
    <w:p>
      <w:pPr>
        <w:pStyle w:val="P3"/>
      </w:pPr>
      <w:bookmarkEnd w:id="76"/>
      <w:bookmarkStart w:id="77" w:name="_Toc214961303"/>
      <w:r>
        <w:t>Kommunala beslut i övrigt</w:t>
      </w:r>
      <w:bookmarkEnd w:id="77"/>
    </w:p>
    <w:p>
      <w:pPr>
        <w:tabs>
          <w:tab w:val="left" w:pos="284" w:leader="none"/>
        </w:tabs>
      </w:pPr>
      <w:bookmarkStart w:id="78" w:name="pu_kommunala01"/>
      <w:r>
        <w:t xml:space="preserve">Den 27:e november 2020 gav samhällsbyggnadsnämnden i Ödeshögs kommun planuppdrag till samhällsbyggnadsförvaltningen att påbörja detaljplanearbete. </w:t>
      </w:r>
    </w:p>
    <w:p>
      <w:pPr>
        <w:tabs>
          <w:tab w:val="left" w:pos="284" w:leader="none"/>
        </w:tabs>
      </w:pPr>
      <w:r>
        <w:t>2021-05-21 beviljade kommunen rivningslov för befintligt motell och tillhörande stugor. Motellet revs 2024 i enlighet med ovan nämnda rivningsbeslut och befintliga stugor har rivits alternativt bortfraktats.</w:t>
      </w:r>
    </w:p>
    <w:p>
      <w:r>
        <w:t>2025-03-17 godkände miljökontoret Vida Vättern AB borttagning av massor på fastigheten Hårstorp 1:7.</w:t>
      </w:r>
    </w:p>
    <w:p>
      <w:pPr>
        <w:pStyle w:val="P2"/>
      </w:pPr>
      <w:bookmarkEnd w:id="78"/>
      <w:bookmarkStart w:id="79" w:name="_Toc214961304"/>
      <w:r>
        <w:t>Riksintressen</w:t>
      </w:r>
      <w:bookmarkEnd w:id="79"/>
    </w:p>
    <w:p>
      <w:pPr>
        <w:tabs>
          <w:tab w:val="left" w:pos="284" w:leader="none"/>
        </w:tabs>
      </w:pPr>
      <w:bookmarkStart w:id="80" w:name="pf_riksintressen01"/>
      <w:r>
        <w:t>Det finns flera fastslagna och utpekade riksintressen i närheten eller inom planområdet. Sjön Vättern omfattas av flera olika riksintressen. Den utgör recipient för vattnet från planområdet och avståndet är cirka 100 meter västerut.</w:t>
      </w:r>
    </w:p>
    <w:p>
      <w:pPr>
        <w:tabs>
          <w:tab w:val="left" w:pos="284" w:leader="none"/>
        </w:tabs>
      </w:pPr>
      <w:r>
        <w:rPr>
          <w:noProof w:val="1"/>
        </w:rPr>
        <w:drawing>
          <wp:inline xmlns:wp="http://schemas.openxmlformats.org/drawingml/2006/wordprocessingDrawing" distT="0" distB="0" distL="0" distR="0">
            <wp:extent cx="3657600" cy="4953000"/>
            <wp:effectExtent l="0" t="0" r="0" b="0"/>
            <wp:docPr id="25" name="Image 22" descr="A map of a land  AI-generated content may be incorrect. (Rektangel)"/>
            <wp:cNvGraphicFramePr/>
            <a:graphic xmlns:a="http://schemas.openxmlformats.org/drawingml/2006/main">
              <a:graphicData uri="http://schemas.openxmlformats.org/drawingml/2006/picture">
                <pic:pic xmlns:pic="http://schemas.openxmlformats.org/drawingml/2006/picture">
                  <pic:nvPicPr>
                    <pic:cNvPr id="22" name="Image 22" descr="A map of a land  AI-generated content may be incorrect. (Rektangel)"/>
                    <pic:cNvPicPr/>
                  </pic:nvPicPr>
                  <pic:blipFill dpi="0">
                    <a:blip xmlns:r="http://schemas.openxmlformats.org/officeDocument/2006/relationships" r:embed="Relimage7" cstate="print"/>
                    <a:srcRect/>
                    <a:stretch>
                      <a:fillRect/>
                    </a:stretch>
                  </pic:blipFill>
                  <pic:spPr>
                    <a:xfrm>
                      <a:off x="0" y="0"/>
                      <a:ext cx="3665302" cy="4963898"/>
                    </a:xfrm>
                    <a:prstGeom prst="rect"/>
                  </pic:spPr>
                </pic:pic>
              </a:graphicData>
            </a:graphic>
          </wp:inline>
        </w:drawing>
      </w:r>
    </w:p>
    <w:p>
      <w:pPr>
        <w:tabs>
          <w:tab w:val="left" w:pos="284" w:leader="none"/>
        </w:tabs>
        <w:rPr>
          <w:i w:val="1"/>
          <w:sz w:val="18"/>
          <w:szCs w:val="18"/>
        </w:rPr>
      </w:pPr>
      <w:r>
        <w:rPr>
          <w:i w:val="1"/>
          <w:sz w:val="18"/>
          <w:szCs w:val="18"/>
        </w:rPr>
        <w:t>Bild visar översikt av naturvärdesanknutna riksintressen. Kartkälla: (Länsstyrelserna, 2025) samt (Lantmäteriet, 2025).</w:t>
      </w:r>
    </w:p>
    <w:p>
      <w:pPr>
        <w:tabs>
          <w:tab w:val="left" w:pos="284" w:leader="none"/>
        </w:tabs>
      </w:pPr>
      <w:r>
        <w:rPr>
          <w:noProof w:val="1"/>
          <w:sz w:val="20"/>
        </w:rPr>
        <mc:AlternateContent>
          <mc:Choice Requires="wpg">
            <w:drawing>
              <wp:inline xmlns:wp="http://schemas.openxmlformats.org/drawingml/2006/wordprocessingDrawing" distT="0" distB="0" distL="0" distR="0">
                <wp:extent cx="3736975" cy="3766820"/>
                <wp:effectExtent l="0" t="0" r="15875" b="24130"/>
                <wp:docPr id="15" name="Group 24"/>
                <wp:cNvGraphicFramePr/>
                <a:graphic xmlns:a="http://schemas.openxmlformats.org/drawingml/2006/main">
                  <a:graphicData uri="http://schemas.microsoft.com/office/word/2010/wordprocessingGroup">
                    <wpg:wgp>
                      <wpg:cNvGrpSpPr/>
                      <wpg:grpSpPr>
                        <a:xfrm>
                          <a:off x="0" y="0"/>
                          <a:ext cx="3737113" cy="3766931"/>
                          <a:chOff x="0" y="0"/>
                          <a:chExt cx="4913630" cy="5873750"/>
                        </a:xfrm>
                      </wpg:grpSpPr>
                      <pic:pic xmlns:pic="http://schemas.openxmlformats.org/drawingml/2006/picture">
                        <pic:nvPicPr>
                          <pic:cNvPr id="16" name="Image 25" descr="A map of a land with a grid  AI-generated content may be incorrect. (Rektangel)"/>
                          <pic:cNvPicPr/>
                        </pic:nvPicPr>
                        <pic:blipFill dpi="0">
                          <a:blip xmlns:r="http://schemas.openxmlformats.org/officeDocument/2006/relationships" r:embed="Relimage8" cstate="print"/>
                          <a:srcRect/>
                          <a:stretch>
                            <a:fillRect/>
                          </a:stretch>
                        </pic:blipFill>
                        <pic:spPr>
                          <a:xfrm>
                            <a:off x="53798" y="28407"/>
                            <a:ext cx="4793531" cy="5759464"/>
                          </a:xfrm>
                          <a:prstGeom prst="rect"/>
                        </pic:spPr>
                      </pic:pic>
                      <wps:wsp>
                        <wps:cNvPr id="17" name="Graphic 26"/>
                        <wps:cNvSpPr/>
                        <wps:spPr>
                          <a:xfrm>
                            <a:off x="4763" y="4763"/>
                            <a:ext cx="4904105" cy="5864225"/>
                          </a:xfrm>
                          <a:custGeom>
                            <a:rect l="l" t="t" r="r" b="b"/>
                            <a:pathLst>
                              <a:path w="4904105" h="5864225">
                                <a:moveTo>
                                  <a:pt x="0" y="5863717"/>
                                </a:moveTo>
                                <a:lnTo>
                                  <a:pt x="4904105" y="5863717"/>
                                </a:lnTo>
                                <a:lnTo>
                                  <a:pt x="4904105" y="0"/>
                                </a:lnTo>
                                <a:lnTo>
                                  <a:pt x="0" y="0"/>
                                </a:lnTo>
                                <a:lnTo>
                                  <a:pt x="0" y="5863717"/>
                                </a:lnTo>
                                <a:close/>
                              </a:path>
                            </a:pathLst>
                          </a:custGeom>
                          <a:ln w="9525">
                            <a:solidFill>
                              <a:srgbClr val="D9D9D9"/>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g:wgp>
                  </a:graphicData>
                </a:graphic>
              </wp:inline>
            </w:drawing>
          </mc:Choice>
          <mc:Fallback>
            <w:pict>
              <v:group xmlns:o="urn:schemas-microsoft-com:office:office" id="Group 24" style="width:294.25pt;height:296.6pt;mso-wrap-distance-left:0pt;mso-wrap-distance-top:0pt;mso-wrap-distance-right:0pt;mso-wrap-distance-bottom:0pt;margin-left:0pt;margin-top:0pt;mso-position-horizontal:absolute;mso-position-horizontal-relative:page;mso-position-vertical:absolute;mso-position-vertical-relative:page" coordorigin="0,0" coordsize="4913630,587375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32" type="#_x0000_t75" alt="A map of a land with a grid  AI-generated content may be incorrect. (Rektangel)" style="position:absolute;left:53797;top:28406;width:4793530;height:5759463" o:preferrelative="t" stroked="f" o:allowoverlap="f">
                  <v:imagedata src="Relimage8" o:title=""/>
                </v:shape>
                <v:shape id="Graphic 26" o:spid="_x0000_s1033" style="position:absolute;left:4762;top:4762;width:4904105;height:5864225" o:allowoverlap="f" strokecolor="#D9D9D9" strokeweight="0.75pt" stroked="t" coordsize="7723,9235" path="m0,5863717l4904105,5863717,4904105,,,,,5863717,xe"/>
              </v:group>
            </w:pict>
          </mc:Fallback>
        </mc:AlternateContent>
      </w:r>
      <w:r>
        <w:br w:type="textWrapping"/>
      </w:r>
      <w:r>
        <w:rPr>
          <w:i w:val="1"/>
          <w:iCs w:val="1"/>
          <w:sz w:val="18"/>
        </w:rPr>
        <w:t>Bild visar utbredningen</w:t>
      </w:r>
      <w:r>
        <w:rPr>
          <w:i w:val="1"/>
          <w:iCs w:val="1"/>
          <w:sz w:val="18"/>
          <w:spacing w:val="-2"/>
        </w:rPr>
        <w:t xml:space="preserve"> </w:t>
      </w:r>
      <w:r>
        <w:rPr>
          <w:i w:val="1"/>
          <w:iCs w:val="1"/>
          <w:sz w:val="18"/>
        </w:rPr>
        <w:t>av</w:t>
      </w:r>
      <w:r>
        <w:rPr>
          <w:i w:val="1"/>
          <w:iCs w:val="1"/>
          <w:sz w:val="18"/>
          <w:spacing w:val="-6"/>
        </w:rPr>
        <w:t xml:space="preserve"> </w:t>
      </w:r>
      <w:r>
        <w:rPr>
          <w:i w:val="1"/>
          <w:iCs w:val="1"/>
          <w:sz w:val="18"/>
        </w:rPr>
        <w:t>riksintresset</w:t>
      </w:r>
      <w:r>
        <w:rPr>
          <w:i w:val="1"/>
          <w:iCs w:val="1"/>
          <w:sz w:val="18"/>
          <w:spacing w:val="-4"/>
        </w:rPr>
        <w:t xml:space="preserve"> </w:t>
      </w:r>
      <w:r>
        <w:rPr>
          <w:i w:val="1"/>
          <w:iCs w:val="1"/>
          <w:sz w:val="18"/>
        </w:rPr>
        <w:t>för</w:t>
      </w:r>
      <w:r>
        <w:rPr>
          <w:i w:val="1"/>
          <w:iCs w:val="1"/>
          <w:sz w:val="18"/>
          <w:spacing w:val="-4"/>
        </w:rPr>
        <w:t xml:space="preserve"> </w:t>
      </w:r>
      <w:r>
        <w:rPr>
          <w:i w:val="1"/>
          <w:iCs w:val="1"/>
          <w:sz w:val="18"/>
        </w:rPr>
        <w:t>yrkesfiske</w:t>
      </w:r>
      <w:r>
        <w:rPr>
          <w:i w:val="1"/>
          <w:iCs w:val="1"/>
          <w:sz w:val="18"/>
          <w:spacing w:val="-6"/>
        </w:rPr>
        <w:t xml:space="preserve"> </w:t>
      </w:r>
      <w:r>
        <w:rPr>
          <w:i w:val="1"/>
          <w:iCs w:val="1"/>
          <w:sz w:val="18"/>
        </w:rPr>
        <w:t>i</w:t>
      </w:r>
      <w:r>
        <w:rPr>
          <w:i w:val="1"/>
          <w:iCs w:val="1"/>
          <w:sz w:val="18"/>
          <w:spacing w:val="-3"/>
        </w:rPr>
        <w:t xml:space="preserve"> </w:t>
      </w:r>
      <w:r>
        <w:rPr>
          <w:i w:val="1"/>
          <w:iCs w:val="1"/>
          <w:sz w:val="18"/>
        </w:rPr>
        <w:t>sjöar enligt</w:t>
      </w:r>
      <w:r>
        <w:rPr>
          <w:i w:val="1"/>
          <w:iCs w:val="1"/>
          <w:sz w:val="18"/>
          <w:spacing w:val="-4"/>
        </w:rPr>
        <w:t xml:space="preserve"> </w:t>
      </w:r>
      <w:r>
        <w:rPr>
          <w:i w:val="1"/>
          <w:iCs w:val="1"/>
          <w:sz w:val="18"/>
        </w:rPr>
        <w:t>MB</w:t>
      </w:r>
      <w:r>
        <w:rPr>
          <w:i w:val="1"/>
          <w:iCs w:val="1"/>
          <w:sz w:val="18"/>
          <w:spacing w:val="-7"/>
        </w:rPr>
        <w:t xml:space="preserve"> </w:t>
      </w:r>
      <w:r>
        <w:rPr>
          <w:i w:val="1"/>
          <w:iCs w:val="1"/>
          <w:sz w:val="18"/>
        </w:rPr>
        <w:t>3kap</w:t>
      </w:r>
      <w:r>
        <w:rPr>
          <w:i w:val="1"/>
          <w:iCs w:val="1"/>
          <w:sz w:val="18"/>
          <w:spacing w:val="-6"/>
        </w:rPr>
        <w:t xml:space="preserve"> </w:t>
      </w:r>
      <w:r>
        <w:rPr>
          <w:i w:val="1"/>
          <w:iCs w:val="1"/>
          <w:sz w:val="18"/>
        </w:rPr>
        <w:t>§5. Kartkälla: Länsstyrelsen i Östergötland (2025).</w:t>
      </w:r>
    </w:p>
    <w:p>
      <w:pPr>
        <w:pStyle w:val="P3"/>
      </w:pPr>
      <w:bookmarkEnd w:id="80"/>
      <w:bookmarkStart w:id="81" w:name="_Toc214961305"/>
      <w:r>
        <w:t>Riksintresse naturvård</w:t>
      </w:r>
      <w:bookmarkEnd w:id="81"/>
      <w:r>
        <w:t xml:space="preserve"> </w:t>
      </w:r>
    </w:p>
    <w:p>
      <w:pPr>
        <w:tabs>
          <w:tab w:val="left" w:pos="284" w:leader="none"/>
        </w:tabs>
      </w:pPr>
      <w:bookmarkStart w:id="82" w:name="pf_naturvård01"/>
      <w:r>
        <w:t>Planområdet är beläget inom riksintresset för naturvård Vätterstranden (enligt Länsstyrelsen Östergötland, 2025), vilket illustreras i bilden på sidan 19. Riksintressets värdeomdöme lyfter fram den markanta förkastningsstranden med sitt speciella mikroklimat som en plats med stor artrikedom och förekomst av sällsynta arter bland växter och djur. Området innefattar värdefulla biotoper såsom almskog, askdominerad skog med hassel, torrängar samt hällmarksbarrskog. Sammantaget bedöms stranden utgöra en naturmiljö av synnerligen högt värde som bör skyddas.</w:t>
      </w:r>
    </w:p>
    <w:p>
      <w:pPr>
        <w:tabs>
          <w:tab w:val="left" w:pos="284" w:leader="none"/>
        </w:tabs>
      </w:pPr>
      <w:r>
        <w:t>För att säkerställa att områdets naturvärden bevaras krävs att skötseln av ängs- och hagmarker fortsätter och att området i huvudsak skyddas från åtgärder som bebyggelse, slutavverkning av ädellövträd, fällning av träd i hagmarker, gödsling av torrängar, avverkning i branta partier och på höjder, plantering av barrträd på ängs- och hagmarker, omvandling av lövskog till barrskog, anläggande av friluftsanläggningar samt utfyllnader.</w:t>
      </w:r>
    </w:p>
    <w:p>
      <w:pPr>
        <w:tabs>
          <w:tab w:val="left" w:pos="284" w:leader="none"/>
        </w:tabs>
        <w:rPr>
          <w:b w:val="1"/>
          <w:i w:val="1"/>
          <w:bCs w:val="1"/>
          <w:iCs w:val="1"/>
        </w:rPr>
      </w:pPr>
      <w:bookmarkEnd w:id="82"/>
      <w:r>
        <w:rPr>
          <w:b w:val="1"/>
          <w:i w:val="1"/>
          <w:bCs w:val="1"/>
          <w:iCs w:val="1"/>
        </w:rPr>
        <w:t>Bedömning/konsekvenser</w:t>
      </w:r>
    </w:p>
    <w:p>
      <w:pPr>
        <w:tabs>
          <w:tab w:val="left" w:pos="284" w:leader="none"/>
        </w:tabs>
      </w:pPr>
      <w:bookmarkStart w:id="83" w:name="ko_naturvård01"/>
      <w:r>
        <w:t>Planområdet, som utgör en begränsad del av riksintresseområdet, är till stor del redan bebyggt, vilket innebär att påverkan på miljön redan existerar. I den norra delen har avverkning skett vilket tas i beaktande i bedömningen. De föreslagna förändringarna är planerade inom eller i direkt anslutning till befintlig exploaterad mark, vilket gör att den bebyggda ytan förväntas förbli i stort sett oförändrad genom planförslaget. Befintliga byggnader, i vars närhet det delvis finns naturvärden, kommer till stor del finnas kvar.</w:t>
      </w:r>
    </w:p>
    <w:p>
      <w:pPr>
        <w:tabs>
          <w:tab w:val="left" w:pos="284" w:leader="none"/>
        </w:tabs>
      </w:pPr>
      <w:r>
        <w:t>Vid utformningen av området har hänsyn tagits för att skydda värden som är betydelsefulla för riksintresset. Stora, värdefulla träd och andra naturvärden av vikt för riksintresset naturmiljö kommer att bevaras inom planområdet.</w:t>
      </w:r>
    </w:p>
    <w:p>
      <w:pPr>
        <w:tabs>
          <w:tab w:val="left" w:pos="284" w:leader="none"/>
        </w:tabs>
      </w:pPr>
      <w:r>
        <w:t>Sammantaget bedöms den planerade exploateringen inte ha någon negativ inverkan på riksintresset naturvård. Inte heller bedöms förutsättningarna för att bevara eller utveckla riksintresset påverkas negativt av planförslaget. För mer detaljerad beskrivning se MKB:n, naturvärdesinventeringen samt under rubriken natur.</w:t>
      </w:r>
    </w:p>
    <w:p>
      <w:pPr>
        <w:pStyle w:val="P3"/>
      </w:pPr>
      <w:bookmarkEnd w:id="83"/>
      <w:bookmarkStart w:id="84" w:name="_Toc214961306"/>
      <w:r>
        <w:t>Riksintresse rörligt friluftsliv</w:t>
      </w:r>
      <w:bookmarkEnd w:id="84"/>
      <w:r>
        <w:t xml:space="preserve"> </w:t>
      </w:r>
    </w:p>
    <w:p>
      <w:pPr>
        <w:tabs>
          <w:tab w:val="left" w:pos="284" w:leader="none"/>
        </w:tabs>
        <w:rPr>
          <w:i w:val="1"/>
          <w:iCs w:val="1"/>
        </w:rPr>
      </w:pPr>
      <w:bookmarkStart w:id="85" w:name="pf_rörligtfriluftsliv01"/>
      <w:r>
        <w:t xml:space="preserve">Planområdet är beläget inom ett större område av riksintresse för rörligt friluftsliv, </w:t>
      </w:r>
      <w:r>
        <w:rPr>
          <w:i w:val="1"/>
        </w:rPr>
        <w:t>Vättern med öar och strandområden.</w:t>
      </w:r>
      <w:r>
        <w:t xml:space="preserve"> Kommunens översiktsplan har en värdebeskrivning om att </w:t>
      </w:r>
      <w:r>
        <w:rPr>
          <w:i w:val="1"/>
          <w:iCs w:val="1"/>
        </w:rPr>
        <w:t>De geografiska området är komplext till sin natur. De berör stora områden. Bedömningen av vad som är påtaglig skada kan endast ske utifrån en helhetssyn på områdena – geografiskt, historiskt, strukturellt osv. – faktorer som sammantaget ger en bild av områdets identitet. Kunskapsunderlag får hämtas från flera olika håll. Länsstyrelsens olika enheter har ett omfattande underlag berörande naturvård, kulturmiljövård och friluftsliv med mera.</w:t>
      </w:r>
      <w:bookmarkEnd w:id="85"/>
    </w:p>
    <w:p>
      <w:pPr>
        <w:tabs>
          <w:tab w:val="left" w:pos="284" w:leader="none"/>
        </w:tabs>
        <w:rPr>
          <w:b w:val="1"/>
          <w:i w:val="1"/>
          <w:bCs w:val="1"/>
          <w:iCs w:val="1"/>
        </w:rPr>
      </w:pPr>
      <w:r>
        <w:rPr>
          <w:b w:val="1"/>
          <w:i w:val="1"/>
          <w:bCs w:val="1"/>
          <w:iCs w:val="1"/>
        </w:rPr>
        <w:t>Bedömning/konsekvenser</w:t>
      </w:r>
    </w:p>
    <w:p>
      <w:pPr>
        <w:tabs>
          <w:tab w:val="left" w:pos="284" w:leader="none"/>
        </w:tabs>
      </w:pPr>
      <w:bookmarkStart w:id="86" w:name="ko_rörligtfriluftsliv01"/>
      <w:r>
        <w:t xml:space="preserve">Planförslaget kommer att möjliggöra en positiv utveckling av noden Stava/Vida Vättern som i dagsläget utgör en entré och servicenod till att uppleva området kring Vättern, genom bland annat Turistvägen. Exploateringen möjliggör för ökat underlag för den servicebutik inom planområdet som också är viktigt för det rörliga friluftslivet, samt begränsas lastbilsuppställning till förmån för resande/besökandeparkering. I anslutning till planområdet finns också Trafikverkets rastplats som inte kommer inte att påverkas. Denna entré- och servicenod bedöms sammantaget vara viktigt för det rörliga friluftslivet. Översiktsplanen uttrycker också en viljeinriktning om att utveckla vandringslederna och utreda möjligheten att koppla ihop Östgötaleden och Franciskusleden med Holavedsleden med planområdet som nod för detta och att för allmänheten stärks den öst-västliga kopplingen genom allmän platsmark - gata. </w:t>
      </w:r>
    </w:p>
    <w:p>
      <w:pPr>
        <w:tabs>
          <w:tab w:val="left" w:pos="284" w:leader="none"/>
        </w:tabs>
      </w:pPr>
      <w:r>
        <w:t xml:space="preserve">De positiva effekterna som en entré- och servicenod medför det rörliga friluftslivet överväger den mindre negativa påverkan på riksintresset värden för kultur, natur eller friluftsvärden, då inte några större betydande värden återfinns inom planområdet som bedöms har några kumulativa negativa effekter på riksintresset för det rörliga friluftslivet i sin helhet. De naturvärden som finns har hanterats i detaljplanen med tillhörande miljökonsekvensbeskrivning. För mer detaljerad beskrivning se miljökonsekvensbeskrivningen, naturvärdesinventeringen samt under rubrikerna natur och kultur. En viss påverkan på landskapsbilden kommer att ske men att planförslagets utformning och anpassning till terrängen visar på att hänsyn är tagen till landskapsbilden. Därtill är området till stora delar redan ianspråkstagen mark med befintlig bebyggelse. </w:t>
      </w:r>
    </w:p>
    <w:p>
      <w:pPr>
        <w:pStyle w:val="P3"/>
      </w:pPr>
      <w:bookmarkEnd w:id="86"/>
      <w:bookmarkStart w:id="87" w:name="_Toc214961307"/>
      <w:r>
        <w:t>Natura 2000</w:t>
      </w:r>
      <w:bookmarkEnd w:id="87"/>
      <w:r>
        <w:t xml:space="preserve"> </w:t>
      </w:r>
    </w:p>
    <w:p>
      <w:pPr>
        <w:tabs>
          <w:tab w:val="left" w:pos="284" w:leader="none"/>
        </w:tabs>
      </w:pPr>
      <w:r>
        <w:rPr>
          <w:noProof w:val="1"/>
        </w:rPr>
        <w:drawing>
          <wp:anchor xmlns:wp="http://schemas.openxmlformats.org/drawingml/2006/wordprocessingDrawing" distT="0" distB="0" distL="114300" distR="114300" simplePos="0" relativeHeight="13" behindDoc="0" locked="0" layoutInCell="1" allowOverlap="1">
            <wp:simplePos x="0" y="0"/>
            <wp:positionH relativeFrom="margin">
              <wp:posOffset>-635</wp:posOffset>
            </wp:positionH>
            <wp:positionV relativeFrom="paragraph">
              <wp:posOffset>632460</wp:posOffset>
            </wp:positionV>
            <wp:extent cx="3622040" cy="3952240"/>
            <wp:effectExtent l="0" t="0" r="0" b="0"/>
            <wp:wrapTopAndBottom/>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dpi="0">
                    <a:blip xmlns:r="http://schemas.openxmlformats.org/officeDocument/2006/relationships" r:embed="Relimage9" cstate="print"/>
                    <a:srcRect/>
                    <a:stretch>
                      <a:fillRect/>
                    </a:stretch>
                  </pic:blipFill>
                  <pic:spPr>
                    <a:xfrm>
                      <a:off x="0" y="0"/>
                      <a:ext cx="3622040" cy="3952240"/>
                    </a:xfrm>
                    <a:prstGeom prst="rect"/>
                  </pic:spPr>
                </pic:pic>
              </a:graphicData>
            </a:graphic>
          </wp:anchor>
        </w:drawing>
      </w:r>
      <w:bookmarkStart w:id="88" w:name="pf_natura200001"/>
      <w:r>
        <w:t>Planområdet angränsar till Natura 2000-området Vida Vättern (SE0230269) och ligger drygt 100 meter uppströms från Natura 2000-området Vättern (östra delen) (SE0230268).</w:t>
      </w:r>
    </w:p>
    <w:p>
      <w:pPr>
        <w:tabs>
          <w:tab w:val="left" w:pos="284" w:leader="none"/>
        </w:tabs>
        <w:rPr>
          <w:i w:val="1"/>
          <w:iCs w:val="1"/>
          <w:sz w:val="18"/>
          <w:szCs w:val="18"/>
        </w:rPr>
      </w:pPr>
      <w:r>
        <w:rPr>
          <w:i w:val="1"/>
          <w:iCs w:val="1"/>
          <w:sz w:val="18"/>
          <w:szCs w:val="18"/>
        </w:rPr>
        <w:t xml:space="preserve">Bild visar planområdets placering i närhet av Natura2000-områden. </w:t>
      </w:r>
    </w:p>
    <w:p>
      <w:pPr>
        <w:tabs>
          <w:tab w:val="left" w:pos="284" w:leader="none"/>
        </w:tabs>
      </w:pPr>
      <w:r>
        <w:t xml:space="preserve">Natura 2000-området </w:t>
      </w:r>
      <w:r>
        <w:rPr>
          <w:b w:val="1"/>
          <w:i w:val="1"/>
          <w:bCs w:val="1"/>
          <w:iCs w:val="1"/>
        </w:rPr>
        <w:t>Vida Vättern</w:t>
      </w:r>
      <w:r>
        <w:t xml:space="preserve"> ligger i direkt anslutning till planområdets västra gräns och sträcker sig från riksväg 918 till Vätterns strandlinje. Området är utpekat enligt art- och habitatdirektivet (SCI).</w:t>
      </w:r>
    </w:p>
    <w:p>
      <w:pPr>
        <w:tabs>
          <w:tab w:val="left" w:pos="284" w:leader="none"/>
        </w:tabs>
      </w:pPr>
      <w:r>
        <w:t>Utpekade naturtyper och arter är nordlig ädellövskog och ädellövskog i branter.</w:t>
      </w:r>
    </w:p>
    <w:p>
      <w:pPr>
        <w:tabs>
          <w:tab w:val="left" w:pos="284" w:leader="none"/>
        </w:tabs>
      </w:pPr>
      <w:r>
        <w:t>Området har följande kvaliteter: Längs den östra sidan av Vättern sträcker sig ett stort och värdefullt område med natur från de kuperade sluttningarna strax norr om Jönköping i söder till staden Ödeshög i norr. Vida Vättern utgör en liten del av detta område. Här växer lövskog med bredbladiga träd, och på grund av att Vättern ligger i nära anslutning till detta område är luftfuktigheten mycket hög. Klimatet ger en speciell flora och fauna i området, inklusive ovanliga landlevande snäckor. Platsen är av nationellt intresse för både natur och rekreation och är delvis skyddad enligt lag MB 4 kap 2 §.</w:t>
      </w:r>
    </w:p>
    <w:p>
      <w:pPr>
        <w:tabs>
          <w:tab w:val="left" w:pos="284" w:leader="none"/>
        </w:tabs>
      </w:pPr>
      <w:r>
        <w:t>Enligt bevarandeplanen (Länsstyrelsen Östergötland, 2018) är bevarandesyftet med Natura 2000-området Vida Vättern att bevara och vidareutveckla naturvärden knutna till de två ingående naturtyperna.</w:t>
      </w:r>
    </w:p>
    <w:p>
      <w:pPr>
        <w:tabs>
          <w:tab w:val="left" w:pos="284" w:leader="none"/>
        </w:tabs>
      </w:pPr>
      <w:r>
        <w:t>Prioriterade åtgärder är att lämna skogen för i huvudsak fri utveckling och att skydda dess värden genom att bilda ett långsiktigt skydd för området. Lämplig skötsel för området behöver också utredas för att de unika naturvärdena i Vida Vättern ska bevaras.</w:t>
      </w:r>
    </w:p>
    <w:p>
      <w:pPr>
        <w:tabs>
          <w:tab w:val="left" w:pos="284" w:leader="none"/>
        </w:tabs>
      </w:pPr>
      <w:r>
        <w:t>Bevarandetillståndet för de båda naturtyperna inom området är gynnsam.</w:t>
      </w:r>
    </w:p>
    <w:p>
      <w:pPr>
        <w:tabs>
          <w:tab w:val="left" w:pos="284" w:leader="none"/>
        </w:tabs>
      </w:pPr>
      <w:r>
        <w:t>Bevarandemål som gäller för området är främst knutna till ädellövträden inom området och arealen skog inom Natura 2000-området. Dock anges som bevarandemål att även skog av denna typ i området kring Vida Vätterns Natura 2000-område ska behålla eller utveckla sina naturvärden.</w:t>
      </w:r>
    </w:p>
    <w:p>
      <w:pPr>
        <w:tabs>
          <w:tab w:val="left" w:pos="284" w:leader="none"/>
        </w:tabs>
      </w:pPr>
      <w:r>
        <w:t>Åtgärder som kan påverka området negativt och som även kan omfatta områden utanför Natura 2000-området är:</w:t>
      </w:r>
    </w:p>
    <w:p>
      <w:pPr>
        <w:pStyle w:val="P12"/>
        <w:numPr>
          <w:ilvl w:val="0"/>
          <w:numId w:val="37"/>
        </w:numPr>
        <w:tabs>
          <w:tab w:val="left" w:pos="284" w:leader="none"/>
        </w:tabs>
      </w:pPr>
      <w:r>
        <w:t>Exploatering i eller i anslutning till området.</w:t>
      </w:r>
    </w:p>
    <w:p>
      <w:pPr>
        <w:pStyle w:val="P12"/>
        <w:numPr>
          <w:ilvl w:val="0"/>
          <w:numId w:val="37"/>
        </w:numPr>
        <w:tabs>
          <w:tab w:val="left" w:pos="284" w:leader="none"/>
        </w:tabs>
      </w:pPr>
      <w:r>
        <w:t>Dikning och större markskador inom eller i anslutning till området.</w:t>
      </w:r>
    </w:p>
    <w:p>
      <w:pPr>
        <w:pStyle w:val="P12"/>
        <w:numPr>
          <w:ilvl w:val="0"/>
          <w:numId w:val="37"/>
        </w:numPr>
        <w:tabs>
          <w:tab w:val="left" w:pos="284" w:leader="none"/>
        </w:tabs>
      </w:pPr>
      <w:r>
        <w:t>Främmande (invasiva) arter som har potential att skada eller konkurrera ut den lokalt naturliga floran och faunan.</w:t>
      </w:r>
    </w:p>
    <w:p>
      <w:pPr>
        <w:tabs>
          <w:tab w:val="left" w:pos="284" w:leader="none"/>
        </w:tabs>
        <w:rPr>
          <w:b w:val="1"/>
          <w:i w:val="1"/>
          <w:bCs w:val="1"/>
          <w:iCs w:val="1"/>
        </w:rPr>
      </w:pPr>
      <w:bookmarkEnd w:id="88"/>
      <w:r>
        <w:rPr>
          <w:b w:val="1"/>
          <w:i w:val="1"/>
          <w:bCs w:val="1"/>
          <w:iCs w:val="1"/>
        </w:rPr>
        <w:t>Bedömning/konsekvenser</w:t>
      </w:r>
    </w:p>
    <w:p>
      <w:pPr>
        <w:tabs>
          <w:tab w:val="left" w:pos="284" w:leader="none"/>
        </w:tabs>
      </w:pPr>
      <w:bookmarkStart w:id="89" w:name="ko_natura200001"/>
      <w:r>
        <w:t>Detaljplaneområdet är till stor del redan exploaterat och bedöms inte förändras avsevärt i och med den planerade exploateringen.</w:t>
      </w:r>
    </w:p>
    <w:p>
      <w:pPr>
        <w:tabs>
          <w:tab w:val="left" w:pos="284" w:leader="none"/>
        </w:tabs>
      </w:pPr>
      <w:r>
        <w:t>Det har skett avverkning av träd inom planområdet vilket bedöms kunna innebära en potentiell förlust av äldre träd av ädellövtyp. Dock är det svårt att i efterhand fastställa art, antal och omfattning varför bedömning inte kan ske av om det på ett betydande sätt kan påverka miljön i det närliggande Natura 2000-området.</w:t>
      </w:r>
    </w:p>
    <w:p>
      <w:pPr>
        <w:tabs>
          <w:tab w:val="left" w:pos="284" w:leader="none"/>
        </w:tabs>
      </w:pPr>
      <w:r>
        <w:t>Dikning kommer inte att ske och större markskador sker, i mån av förekomst, i så fall inom ett redan exploaterat område. Under entreprenaden bedöms förekomst av invasiva arter hanteras utifrån rådande praxis. Detta innebär att förekommande arter schaktas bort och inkommande jordmassor kontrolleras så nya arter inte förs in. Åtgärderna bedöms inte påverka miljön inom Natura 2000-området på ett betydande sätt.</w:t>
      </w:r>
    </w:p>
    <w:p>
      <w:pPr>
        <w:tabs>
          <w:tab w:val="left" w:pos="284" w:leader="none"/>
        </w:tabs>
      </w:pPr>
      <w:r>
        <w:t>Sammantaget i och med att området redan är exploaterat så bedöms fortsatt exploatering inte innebära några åtgärder som på ett betydande sätt kan påverka miljön inom Natura 2000-området Vida Vättern.</w:t>
      </w:r>
    </w:p>
    <w:p>
      <w:pPr>
        <w:tabs>
          <w:tab w:val="left" w:pos="284" w:leader="none"/>
        </w:tabs>
      </w:pPr>
      <w:r>
        <w:t>I beskrivningen om dagvatten beskrivs åtgärder som föreslås för att minimera exploateringens påverkan på dagvattensituationen i området, och därmed påverkan på Natura 2000-området Vättern som ligger nedströms planområdet. Detta bedöms därmed inte innebära några åtgärder som på ett betydande sätt kan påverka miljön inom Natura 2000-området Vättern (östra). I miljökonsekvensbeskrivningen görs en sammanvägd bedömning av påverkan på riksintresset och det redogörs för de kompensationsåtgärder som behövs för ett genomförande.</w:t>
      </w:r>
    </w:p>
    <w:p>
      <w:pPr>
        <w:pStyle w:val="P3"/>
        <w:rPr>
          <w:sz w:val="20"/>
          <w:szCs w:val="20"/>
        </w:rPr>
      </w:pPr>
      <w:bookmarkEnd w:id="89"/>
      <w:bookmarkStart w:id="90" w:name="_Toc214961308"/>
      <w:r>
        <w:t>Sjön Vättern</w:t>
      </w:r>
      <w:bookmarkEnd w:id="90"/>
    </w:p>
    <w:p>
      <w:pPr>
        <w:tabs>
          <w:tab w:val="left" w:pos="284" w:leader="none"/>
        </w:tabs>
      </w:pPr>
      <w:bookmarkStart w:id="91" w:name="pf_natura200002"/>
      <w:r>
        <w:t>Sjön Vättern utgörs också av ett Natura 2000-område (Vättern östra delen) och ligger cirka 100 meter nedströms från planområdet, åt väster. Sjön är utpekad både enligt art- och habitatdirektivet (SCI) och fågeldirektivet (SPA). Prioriterade bevarandevärden är vattenmiljön ävjestrandsjöar. Fiskarterna nissöga och stensimpa är prioriterade fiskarter i hela sjön. I Vättern (östra) är även fågelarterna fisktärna, silvertärna, vitkindad gås, fiskgjuse, storlom och drillsnäppa prioriterade. I korthet kan de värden som utpekas i Natura 2000 fritt tolkat sammanfattas med ”en sjö med klart och kallt vatten där undervattensväxter trivs på botten och som utgör livsutrymme för vissa särskilda fiskar och fåglar”. (Vattenvårdsförbundet, 2018)</w:t>
      </w:r>
    </w:p>
    <w:p>
      <w:pPr>
        <w:tabs>
          <w:tab w:val="left" w:pos="284" w:leader="none"/>
        </w:tabs>
      </w:pPr>
      <w:r>
        <w:t>Bevarandeåtgärder som kan vara aktuella är knutna till vattenkemin i Vättern. Av dessa kan följande vara relevanta för detaljplanen:</w:t>
      </w:r>
    </w:p>
    <w:p>
      <w:pPr>
        <w:pStyle w:val="P12"/>
        <w:widowControl w:val="0"/>
        <w:numPr>
          <w:ilvl w:val="0"/>
          <w:numId w:val="36"/>
        </w:numPr>
        <w:tabs>
          <w:tab w:val="left" w:pos="1286" w:leader="none"/>
        </w:tabs>
        <w:spacing w:lineRule="auto" w:line="288" w:before="161" w:after="0" w:beforeAutospacing="0" w:afterAutospacing="0"/>
        <w:ind w:right="1900"/>
      </w:pPr>
      <w:r>
        <w:t>Grumlande och näringstillförande verksamheter som påverkar Vättern undviks.</w:t>
      </w:r>
    </w:p>
    <w:p>
      <w:pPr>
        <w:pStyle w:val="P12"/>
        <w:widowControl w:val="0"/>
        <w:numPr>
          <w:ilvl w:val="0"/>
          <w:numId w:val="36"/>
        </w:numPr>
        <w:tabs>
          <w:tab w:val="left" w:pos="1286" w:leader="none"/>
        </w:tabs>
        <w:spacing w:lineRule="auto" w:line="288" w:after="0" w:beforeAutospacing="0" w:afterAutospacing="0"/>
        <w:ind w:right="1656"/>
      </w:pPr>
      <w:r>
        <w:t>Lokalt omhändertagande av dagvatten (LOD) tillämpas där så är möjligt vid all ny-/ombyggnation.</w:t>
      </w:r>
    </w:p>
    <w:p>
      <w:pPr>
        <w:tabs>
          <w:tab w:val="left" w:pos="284" w:leader="none"/>
        </w:tabs>
        <w:rPr>
          <w:b w:val="1"/>
          <w:i w:val="1"/>
          <w:bCs w:val="1"/>
          <w:iCs w:val="1"/>
        </w:rPr>
      </w:pPr>
      <w:bookmarkEnd w:id="91"/>
      <w:r>
        <w:rPr>
          <w:b w:val="1"/>
          <w:i w:val="1"/>
          <w:bCs w:val="1"/>
          <w:iCs w:val="1"/>
        </w:rPr>
        <w:t>Bedömning/konsekvenser</w:t>
      </w:r>
    </w:p>
    <w:p>
      <w:pPr>
        <w:tabs>
          <w:tab w:val="left" w:pos="284" w:leader="none"/>
        </w:tabs>
      </w:pPr>
      <w:bookmarkStart w:id="92" w:name="ko_natura200002"/>
      <w:r>
        <w:t>Detaljplaneområdet är till stor del redan exploaterat och bedöms inte förändras avsevärt i och med den planerade exploateringen.</w:t>
      </w:r>
    </w:p>
    <w:p>
      <w:pPr>
        <w:tabs>
          <w:tab w:val="left" w:pos="284" w:leader="none"/>
        </w:tabs>
      </w:pPr>
      <w:r>
        <w:t>Det har skett avverkning av träd inom planområdet vilket bedöms kunna innebära en potentiell förlust av äldre träd av ädellövtyp. Dock är det svårt att i efterhand fastställa art, antal och omfattning varför bedömning inte kan ske av om det på ett betydande sätt kan påverka miljön i det närliggande Natura 2000-området.</w:t>
      </w:r>
    </w:p>
    <w:p>
      <w:pPr>
        <w:tabs>
          <w:tab w:val="left" w:pos="284" w:leader="none"/>
        </w:tabs>
      </w:pPr>
      <w:r>
        <w:t>Dikning kommer inte att ske och större markskador sker, i mån av förekomst, i så fall inom ett redan exploaterat område. Under entreprenaden bedöms förekomst av invasiva arter hanteras utifrån rådande praxis. Detta innebär att förekommande arter schaktas bort och inkommande jordmassor kontrolleras så nya arter inte förs in. Åtgärderna bedöms inte påverka miljön inom Natura 2000-området på ett betydande sätt.</w:t>
      </w:r>
    </w:p>
    <w:p>
      <w:pPr>
        <w:tabs>
          <w:tab w:val="left" w:pos="284" w:leader="none"/>
        </w:tabs>
      </w:pPr>
      <w:r>
        <w:t>Sammantaget i och med att området redan är exploaterat så bedöms fortsatt exploatering inte innebära några åtgärder som på ett betydande sätt kan påverka miljön inom Natura 2000-området Vida Vättern.</w:t>
      </w:r>
    </w:p>
    <w:p>
      <w:pPr>
        <w:tabs>
          <w:tab w:val="left" w:pos="284" w:leader="none"/>
        </w:tabs>
      </w:pPr>
      <w:r>
        <w:t>I planbeskrivningen och MKB beskrivs åtgärder som föreslås för att minimera exploateringens påverkan på dagvattensituationen i området, och därmed påverkan på Natura 2000-området Vättern som ligger nedströms planområdet. Detta bedöms därmed inte innebära</w:t>
      </w:r>
      <w:r>
        <w:rPr>
          <w:spacing w:val="-2"/>
        </w:rPr>
        <w:t xml:space="preserve"> </w:t>
      </w:r>
      <w:r>
        <w:t>några åtgärder</w:t>
      </w:r>
      <w:r>
        <w:rPr>
          <w:spacing w:val="-1"/>
        </w:rPr>
        <w:t xml:space="preserve"> </w:t>
      </w:r>
      <w:r>
        <w:t>som</w:t>
      </w:r>
      <w:r>
        <w:rPr>
          <w:spacing w:val="-1"/>
        </w:rPr>
        <w:t xml:space="preserve"> </w:t>
      </w:r>
      <w:r>
        <w:t xml:space="preserve">på ett betydande sätt kan påverka miljön inom Natura 2000-området Vättern </w:t>
      </w:r>
      <w:r>
        <w:rPr>
          <w:spacing w:val="-2"/>
        </w:rPr>
        <w:t>(östra).</w:t>
      </w:r>
    </w:p>
    <w:p>
      <w:pPr>
        <w:pStyle w:val="P3"/>
      </w:pPr>
      <w:bookmarkEnd w:id="92"/>
      <w:bookmarkStart w:id="93" w:name="_Toc214961309"/>
      <w:r>
        <w:t>Vättern – Yrkesfiske</w:t>
      </w:r>
      <w:bookmarkEnd w:id="93"/>
    </w:p>
    <w:p>
      <w:pPr>
        <w:tabs>
          <w:tab w:val="left" w:pos="284" w:leader="none"/>
        </w:tabs>
      </w:pPr>
      <w:bookmarkStart w:id="94" w:name="pf_yrkesfiske01"/>
      <w:r>
        <w:t>Mark och vattenområde som är av betydelse för yrkesfisket ska så långt möjligt skyddas mot åtgärder som påtagligt kan försvåra näringens bedrivande. Havs- och vattenmyndigheten ansvarar för utpekande av riksintresse för yrkesfisket.</w:t>
      </w:r>
    </w:p>
    <w:p>
      <w:pPr>
        <w:tabs>
          <w:tab w:val="left" w:pos="284" w:leader="none"/>
        </w:tabs>
      </w:pPr>
      <w:r>
        <w:t>Vättern utgör riksintresse för yrkesfiske enligt 3 kap. 5 § miljöbalken. De viktigaste arterna är signalkräftan, sik, röding och lax. Riksintresset berörs av åtgärder som inverkar på de biologiska förutsättningarna för fisket vilket innebär att man bland annat måste verka för att vattenkvaliteten är god och att man värnar om de ekologiska förutsättningarna på fiskens föryngringsplatser. Vidare berörs riksintresset av de praktiska och tekniska möjligheter som finns för att bedriva fiske i sjön. Här avses bland annat vilken hamnkapacitet det finns och vilken infrastruktur det finns i anknytning till hamn.</w:t>
      </w:r>
    </w:p>
    <w:p>
      <w:pPr>
        <w:tabs>
          <w:tab w:val="left" w:pos="284" w:leader="none"/>
        </w:tabs>
        <w:rPr>
          <w:b w:val="1"/>
          <w:i w:val="1"/>
          <w:bCs w:val="1"/>
          <w:iCs w:val="1"/>
        </w:rPr>
      </w:pPr>
      <w:bookmarkEnd w:id="94"/>
      <w:r>
        <w:rPr>
          <w:b w:val="1"/>
          <w:i w:val="1"/>
          <w:bCs w:val="1"/>
          <w:iCs w:val="1"/>
        </w:rPr>
        <w:t>Bedömning/konsekvenser</w:t>
      </w:r>
    </w:p>
    <w:p>
      <w:pPr>
        <w:tabs>
          <w:tab w:val="left" w:pos="284" w:leader="none"/>
        </w:tabs>
      </w:pPr>
      <w:bookmarkStart w:id="95" w:name="ko_yrkesfiske01"/>
      <w:r>
        <w:t xml:space="preserve">Utifrån att planen inte har en betydande påverkan på närliggande natura 2000-område samt att planen genomförande tar hänsyn till hantering av dagvatten så bedöms inte planen har någon påverkan på yrkesfisket i Vättern.  </w:t>
      </w:r>
    </w:p>
    <w:p>
      <w:pPr>
        <w:pStyle w:val="P3"/>
      </w:pPr>
      <w:bookmarkEnd w:id="95"/>
      <w:bookmarkStart w:id="96" w:name="_Toc198806267"/>
      <w:bookmarkStart w:id="97" w:name="_Toc214961310"/>
      <w:r>
        <w:t>Naturvårdprogram – områdesskydd</w:t>
      </w:r>
      <w:bookmarkEnd w:id="96"/>
      <w:bookmarkEnd w:id="97"/>
    </w:p>
    <w:p>
      <w:pPr>
        <w:tabs>
          <w:tab w:val="left" w:pos="284" w:leader="none"/>
        </w:tabs>
      </w:pPr>
      <w:bookmarkStart w:id="98" w:name="pf_områdesbestämmelser01"/>
      <w:r>
        <w:t>Planområdet angränsar till utpekat område i det kommunala Naturvårdsprogrammet BIO med naturvärdesklass 1S (Vida vätterns natura 2000-område, idnr NVP05090639), som följer samma utbredning som Natura 2000-området (Vida Vättern, SE0230269). Östra och södra delen av planen ingår i en del av det kommunala naturvårdsprogrammet med naturvärdesklass 1 (Hårstorps gamla kulturlandskap, idnr: NVP05090368). Även den nord- och nordöstra sidan ingår i naturvårdsprogrammet med naturvärdesklass 2 (Hårstorps kulturlandskap, id NVP05090640).</w:t>
      </w:r>
      <w:r>
        <w:rPr>
          <w:noProof w:val="1"/>
          <w:sz w:val="13"/>
        </w:rPr>
        <w:t xml:space="preserve"> </w:t>
      </w:r>
    </w:p>
    <w:p>
      <w:pPr>
        <w:tabs>
          <w:tab w:val="left" w:pos="284" w:leader="none"/>
        </w:tabs>
      </w:pPr>
      <w:r>
        <w:t>Vida Vätterns natura 2000-område (idnr NVP05090639) är nationellt värdefull och dess naturvärdesbedömning lyder:</w:t>
      </w:r>
    </w:p>
    <w:p>
      <w:pPr>
        <w:tabs>
          <w:tab w:val="left" w:pos="284" w:leader="none"/>
        </w:tabs>
      </w:pPr>
      <w:r>
        <w:t>” Vätterns förkastningsbetingade sjöbäcken, förstklassiga vattenkvalitet och intressanta fauna utgör en utomordentligt värdefull och skyddsvärd naturmiljö. Vättern är ett riksintresse för naturvård, yrkesfiske, turism och friluftsliv. Sjön är också utpekad som Natura 2000-området enligt fågel- och art- och habitatdirektivet.”</w:t>
      </w:r>
      <w:hyperlink w:anchor="_bookmark44">
        <w:r>
          <w:t>2</w:t>
        </w:r>
      </w:hyperlink>
    </w:p>
    <w:p>
      <w:pPr>
        <w:tabs>
          <w:tab w:val="left" w:pos="284" w:leader="none"/>
        </w:tabs>
      </w:pPr>
      <w:r>
        <w:t>Även Hårstorps gamla kulturlandskap (idnr: NVP05090368) är nationellt värdefull och hyser flertalet rödlistade arter.</w:t>
      </w:r>
    </w:p>
    <w:p>
      <w:pPr>
        <w:tabs>
          <w:tab w:val="left" w:pos="284" w:leader="none"/>
        </w:tabs>
        <w:rPr>
          <w:b w:val="1"/>
          <w:i w:val="1"/>
          <w:bCs w:val="1"/>
          <w:iCs w:val="1"/>
        </w:rPr>
      </w:pPr>
      <w:bookmarkEnd w:id="98"/>
      <w:r>
        <w:rPr>
          <w:b w:val="1"/>
          <w:i w:val="1"/>
          <w:bCs w:val="1"/>
          <w:iCs w:val="1"/>
        </w:rPr>
        <w:t>Bedömning/konsekvenser</w:t>
      </w:r>
    </w:p>
    <w:p>
      <w:pPr>
        <w:tabs>
          <w:tab w:val="left" w:pos="284" w:leader="none"/>
        </w:tabs>
      </w:pPr>
      <w:bookmarkStart w:id="99" w:name="ko_natur03"/>
      <w:r>
        <w:t>De kommunala naturvårdsprogrammet Vida Vätterns natura 2000-område påverkas inte på ett betydande sätt av exploateringen vilket beskrivs i planhandlingarna och naturinventeringen och MKB:n. Det kommunala naturvårdsprogrammet Hårstorps gamla kulturlandskap bedöms inte påverkas då delen av planområdet som ingår i planen fredas från exploateringen.</w:t>
      </w:r>
    </w:p>
    <w:p>
      <w:pPr>
        <w:tabs>
          <w:tab w:val="left" w:pos="284" w:leader="none"/>
        </w:tabs>
      </w:pPr>
      <w:r>
        <w:t>Naturområde öster om planområdet, Hårstorps kulturlandskap, påverkas inte av exploateringen men norr om planområdet ingår en del i planen. Detta området har röjts och dess påverkan behandlas i naturdelen där naturvärden fredas då delear av området med de högsta naturvärden planläggs som natur.</w:t>
      </w:r>
    </w:p>
    <w:p>
      <w:pPr>
        <w:tabs>
          <w:tab w:val="left" w:pos="284" w:leader="none"/>
        </w:tabs>
      </w:pPr>
      <w:r>
        <w:rPr>
          <w:noProof w:val="1"/>
        </w:rPr>
        <w:drawing>
          <wp:anchor xmlns:wp="http://schemas.openxmlformats.org/drawingml/2006/wordprocessingDrawing" distT="0" distB="0" distL="114300" distR="114300" simplePos="0" relativeHeight="7" behindDoc="0" locked="0" layoutInCell="1" allowOverlap="1">
            <wp:simplePos x="0" y="0"/>
            <wp:positionH relativeFrom="margin">
              <wp:align>left</wp:align>
            </wp:positionH>
            <wp:positionV relativeFrom="paragraph">
              <wp:posOffset>24765</wp:posOffset>
            </wp:positionV>
            <wp:extent cx="3707130" cy="4185920"/>
            <wp:effectExtent l="0" t="0" r="7620" b="5080"/>
            <wp:wrapSquare wrapText="bothSides"/>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pic:cNvPicPr/>
                  </pic:nvPicPr>
                  <pic:blipFill dpi="0">
                    <a:blip xmlns:r="http://schemas.openxmlformats.org/officeDocument/2006/relationships" r:embed="Relimage10"/>
                    <a:srcRect/>
                    <a:stretch>
                      <a:fillRect/>
                    </a:stretch>
                  </pic:blipFill>
                  <pic:spPr>
                    <a:xfrm>
                      <a:off x="0" y="0"/>
                      <a:ext cx="3707295" cy="4186155"/>
                    </a:xfrm>
                    <a:prstGeom prst="rect"/>
                  </pic:spPr>
                </pic:pic>
              </a:graphicData>
            </a:graphic>
          </wp:anchor>
        </w:drawing>
      </w:r>
    </w:p>
    <w:p>
      <w:pPr>
        <w:tabs>
          <w:tab w:val="left" w:pos="284" w:leader="none"/>
        </w:tabs>
      </w:pPr>
    </w:p>
    <w:p>
      <w:pPr>
        <w:tabs>
          <w:tab w:val="left" w:pos="284" w:leader="none"/>
        </w:tabs>
      </w:pPr>
      <w:r>
        <w:rPr>
          <w:noProof w:val="1"/>
        </w:rPr>
        <mc:AlternateContent>
          <mc:Choice Requires="wps">
            <w:drawing>
              <wp:anchor xmlns:wp="http://schemas.openxmlformats.org/drawingml/2006/wordprocessingDrawing" distT="0" distB="0" distL="114300" distR="114300" simplePos="0" relativeHeight="8" behindDoc="0" locked="0" layoutInCell="1" allowOverlap="1">
                <wp:simplePos x="0" y="0"/>
                <wp:positionH relativeFrom="column">
                  <wp:posOffset>3799840</wp:posOffset>
                </wp:positionH>
                <wp:positionV relativeFrom="paragraph">
                  <wp:posOffset>94615</wp:posOffset>
                </wp:positionV>
                <wp:extent cx="1073150" cy="894080"/>
                <wp:effectExtent l="0" t="0" r="12700" b="20320"/>
                <wp:wrapNone/>
                <wp:docPr id="21" name="Textruta 21"/>
                <wp:cNvGraphicFramePr/>
                <a:graphic xmlns:a="http://schemas.openxmlformats.org/drawingml/2006/main">
                  <a:graphicData uri="http://schemas.microsoft.com/office/word/2010/wordprocessingShape">
                    <wps:wsp>
                      <wps:cNvSpPr txBox="1"/>
                      <wps:spPr>
                        <a:xfrm>
                          <a:off x="0" y="0"/>
                          <a:ext cx="1073427" cy="894522"/>
                        </a:xfrm>
                        <a:prstGeom prst="rect"/>
                        <a:solidFill>
                          <a:schemeClr val="lt1"/>
                        </a:solidFill>
                        <a:ln w="6350">
                          <a:solidFill>
                            <a:prstClr val="black"/>
                          </a:solid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 xml:space="preserve">Hårstorp  kulturlandskap</w:t>
                            </w:r>
                          </w:p>
                          <w:p>
                            <w:r>
                              <w:t>Idnr: NVP05090640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1" o:spid="_x0000_s1034" style="position:absolute;width:84.5pt;height:70.4pt;z-index:8;mso-wrap-distance-left:9pt;mso-wrap-distance-top:0pt;mso-wrap-distance-right:9pt;mso-wrap-distance-bottom:0pt;margin-left:299.2pt;margin-top:7.45pt;mso-position-horizontal:absolute;mso-position-horizontal-relative:text;mso-position-vertical:absolute;mso-position-vertical-relative:text" o:allowincell="t" fillcolor="#FFFFFF" strokecolor="#000000" strokeweight="0.5pt" stroked="t">
                <v:textbox inset="3mm,1mm,3mm,1mm">
                  <w:txbxContent>
                    <w:p>
                      <w:r>
                        <w:t xml:space="preserve">Hårstorp  kulturlandskap</w:t>
                      </w:r>
                    </w:p>
                    <w:p>
                      <w:r>
                        <w:t>Idnr: NVP05090640</w:t>
                      </w:r>
                    </w:p>
                  </w:txbxContent>
                </v:textbox>
              </v:shape>
            </w:pict>
          </mc:Fallback>
        </mc:AlternateContent>
      </w:r>
    </w:p>
    <w:p>
      <w:pPr>
        <w:tabs>
          <w:tab w:val="left" w:pos="284" w:leader="none"/>
        </w:tabs>
      </w:pPr>
      <w:r>
        <w:rPr>
          <w:noProof w:val="1"/>
        </w:rPr>
        <mc:AlternateContent>
          <mc:Choice Requires="wps">
            <w:drawing>
              <wp:anchor xmlns:wp="http://schemas.openxmlformats.org/drawingml/2006/wordprocessingDrawing" distT="0" distB="0" distL="114300" distR="114300" simplePos="0" relativeHeight="11" behindDoc="0" locked="0" layoutInCell="1" allowOverlap="1">
                <wp:simplePos x="0" y="0"/>
                <wp:positionH relativeFrom="column">
                  <wp:posOffset>2159635</wp:posOffset>
                </wp:positionH>
                <wp:positionV relativeFrom="paragraph">
                  <wp:posOffset>76835</wp:posOffset>
                </wp:positionV>
                <wp:extent cx="1645285" cy="267970"/>
                <wp:effectExtent l="38100" t="0" r="12065" b="74930"/>
                <wp:wrapNone/>
                <wp:docPr id="33" name="Rak pilkoppling 33"/>
                <wp:cNvGraphicFramePr/>
                <a:graphic xmlns:a="http://schemas.openxmlformats.org/drawingml/2006/main">
                  <a:graphicData uri="http://schemas.microsoft.com/office/word/2010/wordprocessingShape">
                    <wps:wsp>
                      <wps:cNvCnPr>
                        <a:stCxn id="0" idx="0"/>
                        <a:endCxn id="0" idx="0"/>
                      </wps:cNvCnPr>
                      <wps:spPr>
                        <a:xfrm flipH="1">
                          <a:off x="0" y="0"/>
                          <a:ext cx="1645341" cy="268357"/>
                        </a:xfrm>
                        <a:prstGeom prst="straightConnector1"/>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xmlns:o="urn:schemas-microsoft-com:office:office" id="_x0000_t32" coordsize="21600,21600" o:spt="32" path="m,l21600,21600e" filled="f">
                <v:path fillok="f" o:connecttype="none"/>
                <o:lock v:ext="edit" shapetype="t"/>
              </v:shapetype>
              <v:shape xmlns:o="urn:schemas-microsoft-com:office:office" type="#_x0000_t32" id="Rak pilkoppling 33" o:spid="_x0000_s1035" style="position:absolute;width:129.55pt;height:21.1pt;flip:x;z-index:11;mso-wrap-distance-left:9pt;mso-wrap-distance-top:0pt;mso-wrap-distance-right:9pt;mso-wrap-distance-bottom:0pt;margin-left:170.05pt;margin-top:6.05pt;mso-position-horizontal:absolute;mso-position-horizontal-relative:text;mso-position-vertical:absolute;mso-position-vertical-relative:text" strokecolor="#000000" strokeweight="0.75pt" stroked="t" o:allowincell="t">
                <v:stroke endarrow="block"/>
              </v:shape>
            </w:pict>
          </mc:Fallback>
        </mc:AlternateContent>
      </w:r>
      <w:r>
        <w:rPr>
          <w:noProof w:val="1"/>
        </w:rPr>
        <mc:AlternateContent>
          <mc:Choice Requires="wps">
            <w:drawing>
              <wp:anchor xmlns:wp="http://schemas.openxmlformats.org/drawingml/2006/wordprocessingDrawing" distT="0" distB="0" distL="114300" distR="114300" simplePos="0" relativeHeight="10" behindDoc="0" locked="0" layoutInCell="1" allowOverlap="1">
                <wp:simplePos x="0" y="0"/>
                <wp:positionH relativeFrom="column">
                  <wp:posOffset>2734310</wp:posOffset>
                </wp:positionH>
                <wp:positionV relativeFrom="paragraph">
                  <wp:posOffset>116840</wp:posOffset>
                </wp:positionV>
                <wp:extent cx="1054735" cy="709295"/>
                <wp:effectExtent l="38100" t="0" r="31115" b="52705"/>
                <wp:wrapNone/>
                <wp:docPr id="23" name="Rak pilkoppling 23"/>
                <wp:cNvGraphicFramePr/>
                <a:graphic xmlns:a="http://schemas.openxmlformats.org/drawingml/2006/main">
                  <a:graphicData uri="http://schemas.microsoft.com/office/word/2010/wordprocessingShape">
                    <wps:wsp>
                      <wps:cNvCnPr>
                        <a:stCxn id="0" idx="0"/>
                        <a:endCxn id="0" idx="0"/>
                      </wps:cNvCnPr>
                      <wps:spPr>
                        <a:xfrm flipH="1">
                          <a:off x="0" y="0"/>
                          <a:ext cx="1055204" cy="709405"/>
                        </a:xfrm>
                        <a:prstGeom prst="straightConnector1"/>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xmlns:o="urn:schemas-microsoft-com:office:office" type="#_x0000_t32" id="Rak pilkoppling 23" o:spid="_x0000_s1036" style="position:absolute;width:83.05pt;height:55.85pt;flip:x;z-index:10;mso-wrap-distance-left:9pt;mso-wrap-distance-top:0pt;mso-wrap-distance-right:9pt;mso-wrap-distance-bottom:0pt;margin-left:215.3pt;margin-top:9.2pt;mso-position-horizontal:absolute;mso-position-horizontal-relative:text;mso-position-vertical:absolute;mso-position-vertical-relative:text" strokecolor="#000000" strokeweight="0.75pt" stroked="t" o:allowincell="t">
                <v:stroke endarrow="block"/>
              </v:shape>
            </w:pict>
          </mc:Fallback>
        </mc:AlternateContent>
      </w:r>
    </w:p>
    <w:p>
      <w:pPr>
        <w:tabs>
          <w:tab w:val="left" w:pos="284" w:leader="none"/>
        </w:tabs>
      </w:pPr>
    </w:p>
    <w:p>
      <w:pPr>
        <w:tabs>
          <w:tab w:val="left" w:pos="284" w:leader="none"/>
        </w:tabs>
      </w:pPr>
    </w:p>
    <w:p>
      <w:pPr>
        <w:tabs>
          <w:tab w:val="left" w:pos="284" w:leader="none"/>
        </w:tabs>
      </w:pPr>
    </w:p>
    <w:p>
      <w:pPr>
        <w:tabs>
          <w:tab w:val="left" w:pos="284" w:leader="none"/>
        </w:tabs>
      </w:pPr>
      <w:r>
        <w:rPr>
          <w:noProof w:val="1"/>
        </w:rPr>
        <mc:AlternateContent>
          <mc:Choice Requires="wps">
            <w:drawing>
              <wp:anchor xmlns:wp="http://schemas.openxmlformats.org/drawingml/2006/wordprocessingDrawing" distT="0" distB="0" distL="114300" distR="114300" simplePos="0" relativeHeight="14" behindDoc="0" locked="0" layoutInCell="1" allowOverlap="1">
                <wp:simplePos x="0" y="0"/>
                <wp:positionH relativeFrom="column">
                  <wp:posOffset>4028440</wp:posOffset>
                </wp:positionH>
                <wp:positionV relativeFrom="paragraph">
                  <wp:posOffset>24765</wp:posOffset>
                </wp:positionV>
                <wp:extent cx="1083310" cy="854710"/>
                <wp:effectExtent l="0" t="0" r="21590" b="21590"/>
                <wp:wrapNone/>
                <wp:docPr id="29" name="Textruta 29"/>
                <wp:cNvGraphicFramePr/>
                <a:graphic xmlns:a="http://schemas.openxmlformats.org/drawingml/2006/main">
                  <a:graphicData uri="http://schemas.microsoft.com/office/word/2010/wordprocessingShape">
                    <wps:wsp>
                      <wps:cNvSpPr txBox="1"/>
                      <wps:spPr>
                        <a:xfrm>
                          <a:off x="0" y="0"/>
                          <a:ext cx="1083366" cy="854766"/>
                        </a:xfrm>
                        <a:prstGeom prst="rect"/>
                        <a:solidFill>
                          <a:sysClr val="window"/>
                        </a:solidFill>
                        <a:ln w="6350">
                          <a:solidFill>
                            <a:prstClr val="black"/>
                          </a:solid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Hårstorp gamla kulturlandskap</w:t>
                            </w:r>
                          </w:p>
                          <w:p>
                            <w:r>
                              <w:t>idnr: NVP05090368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29" o:spid="_x0000_s1037" style="position:absolute;width:85.3pt;height:67.3pt;z-index:14;mso-wrap-distance-left:9pt;mso-wrap-distance-top:0pt;mso-wrap-distance-right:9pt;mso-wrap-distance-bottom:0pt;margin-left:317.2pt;margin-top:1.95pt;mso-position-horizontal:absolute;mso-position-horizontal-relative:text;mso-position-vertical:absolute;mso-position-vertical-relative:text" o:allowincell="t" fillcolor="#FFFFFF" strokecolor="#000000" strokeweight="0.5pt" stroked="t">
                <v:textbox inset="3mm,1mm,3mm,1mm">
                  <w:txbxContent>
                    <w:p>
                      <w:r>
                        <w:t>Hårstorp gamla kulturlandskap</w:t>
                      </w:r>
                    </w:p>
                    <w:p>
                      <w:r>
                        <w:t>idnr: NVP05090368</w:t>
                      </w:r>
                    </w:p>
                  </w:txbxContent>
                </v:textbox>
              </v:shape>
            </w:pict>
          </mc:Fallback>
        </mc:AlternateContent>
      </w:r>
    </w:p>
    <w:p>
      <w:pPr>
        <w:tabs>
          <w:tab w:val="left" w:pos="284" w:leader="none"/>
        </w:tabs>
      </w:pPr>
    </w:p>
    <w:p>
      <w:pPr>
        <w:tabs>
          <w:tab w:val="left" w:pos="284" w:leader="none"/>
        </w:tabs>
      </w:pPr>
      <w:r>
        <w:rPr>
          <w:noProof w:val="1"/>
        </w:rPr>
        <mc:AlternateContent>
          <mc:Choice Requires="wps">
            <w:drawing>
              <wp:anchor xmlns:wp="http://schemas.openxmlformats.org/drawingml/2006/wordprocessingDrawing" distT="0" distB="0" distL="114300" distR="114300" simplePos="0" relativeHeight="15" behindDoc="0" locked="0" layoutInCell="1" allowOverlap="1">
                <wp:simplePos x="0" y="0"/>
                <wp:positionH relativeFrom="column">
                  <wp:posOffset>2108200</wp:posOffset>
                </wp:positionH>
                <wp:positionV relativeFrom="paragraph">
                  <wp:posOffset>8255</wp:posOffset>
                </wp:positionV>
                <wp:extent cx="1919605" cy="665480"/>
                <wp:effectExtent l="38100" t="0" r="23495" b="77470"/>
                <wp:wrapNone/>
                <wp:docPr id="31" name="Rak pilkoppling 31"/>
                <wp:cNvGraphicFramePr/>
                <a:graphic xmlns:a="http://schemas.openxmlformats.org/drawingml/2006/main">
                  <a:graphicData uri="http://schemas.microsoft.com/office/word/2010/wordprocessingShape">
                    <wps:wsp>
                      <wps:cNvCnPr>
                        <a:stCxn id="0" idx="0"/>
                        <a:endCxn id="0" idx="0"/>
                      </wps:cNvCnPr>
                      <wps:spPr>
                        <a:xfrm flipH="1">
                          <a:off x="0" y="0"/>
                          <a:ext cx="1919910" cy="665536"/>
                        </a:xfrm>
                        <a:prstGeom prst="straightConnector1"/>
                        <a:noFill/>
                        <a:ln w="9525" cmpd="sng" algn="ctr">
                          <a:solidFill>
                            <a:sysClr val="windowText">
                              <a:shade val="95000"/>
                              <a:satMod val="105000"/>
                            </a:sysClr>
                          </a:solidFill>
                          <a:prstDash val="solid"/>
                          <a:tailEnd type="triangle"/>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shape xmlns:o="urn:schemas-microsoft-com:office:office" type="#_x0000_t32" id="Rak pilkoppling 31" o:spid="_x0000_s1038" style="position:absolute;width:151.15pt;height:52.4pt;flip:x;z-index:15;mso-wrap-distance-left:9pt;mso-wrap-distance-top:0pt;mso-wrap-distance-right:9pt;mso-wrap-distance-bottom:0pt;margin-left:166pt;margin-top:0.65pt;mso-position-horizontal:absolute;mso-position-horizontal-relative:text;mso-position-vertical:absolute;mso-position-vertical-relative:text" filled="f" strokecolor="#000000" strokeweight="0.75pt" stroked="t" o:allowincell="t">
                <v:stroke endarrow="block"/>
              </v:shape>
            </w:pict>
          </mc:Fallback>
        </mc:AlternateContent>
      </w:r>
      <w:r>
        <w:rPr>
          <w:noProof w:val="1"/>
        </w:rPr>
        <mc:AlternateContent>
          <mc:Choice Requires="wps">
            <w:drawing>
              <wp:anchor xmlns:wp="http://schemas.openxmlformats.org/drawingml/2006/wordprocessingDrawing" distT="0" distB="0" distL="114300" distR="114300" simplePos="0" relativeHeight="12" behindDoc="0" locked="0" layoutInCell="1" allowOverlap="1">
                <wp:simplePos x="0" y="0"/>
                <wp:positionH relativeFrom="column">
                  <wp:posOffset>1036320</wp:posOffset>
                </wp:positionH>
                <wp:positionV relativeFrom="paragraph">
                  <wp:posOffset>177165</wp:posOffset>
                </wp:positionV>
                <wp:extent cx="3042920" cy="365760"/>
                <wp:effectExtent l="0" t="57150" r="24130" b="34290"/>
                <wp:wrapNone/>
                <wp:docPr id="26" name="Rak pilkoppling 26"/>
                <wp:cNvGraphicFramePr/>
                <a:graphic xmlns:a="http://schemas.openxmlformats.org/drawingml/2006/main">
                  <a:graphicData uri="http://schemas.microsoft.com/office/word/2010/wordprocessingShape">
                    <wps:wsp>
                      <wps:cNvCnPr>
                        <a:stCxn id="0" idx="0"/>
                        <a:endCxn id="0" idx="0"/>
                      </wps:cNvCnPr>
                      <wps:spPr>
                        <a:xfrm flipV="1" flipH="1">
                          <a:off x="0" y="0"/>
                          <a:ext cx="3043031" cy="366091"/>
                        </a:xfrm>
                        <a:prstGeom prst="straightConnector1"/>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xmlns:o="urn:schemas-microsoft-com:office:office" type="#_x0000_t32" id="Rak pilkoppling 26" o:spid="_x0000_s1039" style="position:absolute;width:239.6pt;height:28.8pt;flip:x y;z-index:12;mso-wrap-distance-left:9pt;mso-wrap-distance-top:0pt;mso-wrap-distance-right:9pt;mso-wrap-distance-bottom:0pt;margin-left:81.6pt;margin-top:13.95pt;mso-position-horizontal:absolute;mso-position-horizontal-relative:text;mso-position-vertical:absolute;mso-position-vertical-relative:text" strokecolor="#000000" strokeweight="0.75pt" stroked="t" o:allowincell="t">
                <v:stroke endarrow="block"/>
              </v:shape>
            </w:pict>
          </mc:Fallback>
        </mc:AlternateContent>
      </w:r>
    </w:p>
    <w:p>
      <w:pPr>
        <w:tabs>
          <w:tab w:val="left" w:pos="284" w:leader="none"/>
        </w:tabs>
      </w:pPr>
      <w:r>
        <w:rPr>
          <w:noProof w:val="1"/>
        </w:rPr>
        <mc:AlternateContent>
          <mc:Choice Requires="wps">
            <w:drawing>
              <wp:anchor xmlns:wp="http://schemas.openxmlformats.org/drawingml/2006/wordprocessingDrawing" distT="0" distB="0" distL="114300" distR="114300" simplePos="0" relativeHeight="9" behindDoc="0" locked="0" layoutInCell="1" allowOverlap="1">
                <wp:simplePos x="0" y="0"/>
                <wp:positionH relativeFrom="column">
                  <wp:posOffset>4107815</wp:posOffset>
                </wp:positionH>
                <wp:positionV relativeFrom="paragraph">
                  <wp:posOffset>218440</wp:posOffset>
                </wp:positionV>
                <wp:extent cx="1047750" cy="605790"/>
                <wp:effectExtent l="0" t="0" r="19050" b="22860"/>
                <wp:wrapNone/>
                <wp:docPr id="22" name="Textruta 22"/>
                <wp:cNvGraphicFramePr/>
                <a:graphic xmlns:a="http://schemas.openxmlformats.org/drawingml/2006/main">
                  <a:graphicData uri="http://schemas.microsoft.com/office/word/2010/wordprocessingShape">
                    <wps:wsp>
                      <wps:cNvSpPr txBox="1"/>
                      <wps:spPr>
                        <a:xfrm>
                          <a:off x="0" y="0"/>
                          <a:ext cx="1047750" cy="606287"/>
                        </a:xfrm>
                        <a:prstGeom prst="rect"/>
                        <a:solidFill>
                          <a:sysClr val="window"/>
                        </a:solidFill>
                        <a:ln w="6350">
                          <a:solidFill>
                            <a:prstClr val="black"/>
                          </a:solid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Vida Vättern</w:t>
                              <w:br w:type="textWrapping"/>
                              <w:t>idnr: NVP05090639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22" o:spid="_x0000_s1040" style="position:absolute;width:82.5pt;height:47.7pt;z-index:9;mso-wrap-distance-left:9pt;mso-wrap-distance-top:0pt;mso-wrap-distance-right:9pt;mso-wrap-distance-bottom:0pt;margin-left:323.45pt;margin-top:17.2pt;mso-position-horizontal:absolute;mso-position-horizontal-relative:text;mso-position-vertical:absolute;mso-position-vertical-relative:text" o:allowincell="t" fillcolor="#FFFFFF" strokecolor="#000000" strokeweight="0.5pt" stroked="t">
                <v:textbox inset="3mm,1mm,3mm,1mm">
                  <w:txbxContent>
                    <w:p>
                      <w:r>
                        <w:t>Vida Vättern</w:t>
                        <w:br w:type="textWrapping"/>
                        <w:t>idnr: NVP05090639</w:t>
                      </w:r>
                    </w:p>
                  </w:txbxContent>
                </v:textbox>
              </v:shape>
            </w:pict>
          </mc:Fallback>
        </mc:AlternateContent>
      </w:r>
    </w:p>
    <w:p>
      <w:pPr>
        <w:tabs>
          <w:tab w:val="left" w:pos="284" w:leader="none"/>
        </w:tabs>
      </w:pPr>
    </w:p>
    <w:p>
      <w:pPr>
        <w:tabs>
          <w:tab w:val="left" w:pos="284" w:leader="none"/>
        </w:tabs>
      </w:pPr>
      <w:r>
        <w:rPr>
          <w:noProof w:val="1"/>
        </w:rPr>
        <w:drawing>
          <wp:anchor xmlns:wp="http://schemas.openxmlformats.org/drawingml/2006/wordprocessingDrawing" distT="0" distB="0" distL="114300" distR="114300" simplePos="0" relativeHeight="16" behindDoc="0" locked="0" layoutInCell="1" allowOverlap="1">
            <wp:simplePos x="0" y="0"/>
            <wp:positionH relativeFrom="column">
              <wp:posOffset>2616835</wp:posOffset>
            </wp:positionH>
            <wp:positionV relativeFrom="paragraph">
              <wp:posOffset>84455</wp:posOffset>
            </wp:positionV>
            <wp:extent cx="1381125" cy="1162050"/>
            <wp:effectExtent l="0" t="0" r="9525" b="0"/>
            <wp:wrapNone/>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objekt 27"/>
                    <pic:cNvPicPr/>
                  </pic:nvPicPr>
                  <pic:blipFill dpi="0">
                    <a:blip xmlns:r="http://schemas.openxmlformats.org/officeDocument/2006/relationships" r:embed="Relimage11"/>
                    <a:srcRect/>
                    <a:stretch>
                      <a:fillRect/>
                    </a:stretch>
                  </pic:blipFill>
                  <pic:spPr>
                    <a:xfrm>
                      <a:off x="0" y="0"/>
                      <a:ext cx="1381319" cy="1162213"/>
                    </a:xfrm>
                    <a:prstGeom prst="rect"/>
                  </pic:spPr>
                </pic:pic>
              </a:graphicData>
            </a:graphic>
          </wp:anchor>
        </w:drawing>
      </w:r>
    </w:p>
    <w:p>
      <w:pPr>
        <w:tabs>
          <w:tab w:val="left" w:pos="284" w:leader="none"/>
        </w:tabs>
      </w:pPr>
    </w:p>
    <w:p>
      <w:pPr>
        <w:tabs>
          <w:tab w:val="left" w:pos="284" w:leader="none"/>
        </w:tabs>
      </w:pPr>
    </w:p>
    <w:p>
      <w:pPr>
        <w:tabs>
          <w:tab w:val="left" w:pos="284" w:leader="none"/>
        </w:tabs>
      </w:pPr>
    </w:p>
    <w:p>
      <w:pPr>
        <w:tabs>
          <w:tab w:val="left" w:pos="284" w:leader="none"/>
        </w:tabs>
        <w:rPr>
          <w:i w:val="1"/>
          <w:bCs w:val="1"/>
          <w:iCs w:val="1"/>
          <w:sz w:val="18"/>
          <w:szCs w:val="18"/>
        </w:rPr>
      </w:pPr>
      <w:r>
        <w:br w:type="textWrapping"/>
      </w:r>
      <w:r>
        <w:rPr>
          <w:b w:val="1"/>
        </w:rPr>
        <w:br w:type="textWrapping"/>
      </w:r>
      <w:r>
        <w:rPr>
          <w:i w:val="1"/>
          <w:bCs w:val="1"/>
          <w:iCs w:val="1"/>
          <w:sz w:val="18"/>
          <w:szCs w:val="18"/>
        </w:rPr>
        <w:t>Bild visar de olika områdeskydden på en karta i olika naturvärdesklasser i olika färger.</w:t>
      </w:r>
    </w:p>
    <w:p>
      <w:pPr>
        <w:pStyle w:val="P3"/>
      </w:pPr>
      <w:bookmarkEnd w:id="99"/>
      <w:bookmarkStart w:id="100" w:name="_Toc198806268"/>
      <w:bookmarkStart w:id="101" w:name="_Toc214961311"/>
      <w:r>
        <w:t>Totalförsvarets militära del</w:t>
      </w:r>
      <w:bookmarkEnd w:id="100"/>
      <w:bookmarkEnd w:id="101"/>
    </w:p>
    <w:p>
      <w:pPr>
        <w:tabs>
          <w:tab w:val="left" w:pos="284" w:leader="none"/>
        </w:tabs>
      </w:pPr>
      <w:bookmarkStart w:id="102" w:name="pf_totalförsvar01"/>
      <w:r>
        <w:t>Planområdet ligger inom riksintresseområde av betydelse för totalförsvarets militära del, Karlsborgsområdet TM0056. Planområdet befinner sig inom flygplatsens MSA</w:t>
      </w:r>
      <w:hyperlink w:anchor="_bookmark41">
        <w:r>
          <w:t>1</w:t>
        </w:r>
      </w:hyperlink>
      <w:r>
        <w:t>-område och område med särskilt behov av hinderfrihet. Inom dessa områden får inga höga objekt uppföras utan att remitteras till försvarsmakten för bedömning.</w:t>
      </w:r>
    </w:p>
    <w:p>
      <w:pPr>
        <w:tabs>
          <w:tab w:val="left" w:pos="284" w:leader="none"/>
        </w:tabs>
        <w:rPr>
          <w:b w:val="1"/>
          <w:i w:val="1"/>
          <w:bCs w:val="1"/>
          <w:iCs w:val="1"/>
        </w:rPr>
      </w:pPr>
      <w:bookmarkEnd w:id="102"/>
      <w:r>
        <w:rPr>
          <w:b w:val="1"/>
          <w:i w:val="1"/>
          <w:bCs w:val="1"/>
          <w:iCs w:val="1"/>
        </w:rPr>
        <w:t>Bedömning/konsekvenser</w:t>
      </w:r>
    </w:p>
    <w:p>
      <w:pPr>
        <w:tabs>
          <w:tab w:val="left" w:pos="284" w:leader="none"/>
        </w:tabs>
      </w:pPr>
      <w:bookmarkStart w:id="103" w:name="ko_totalförsvar01"/>
      <w:r>
        <w:t>Detaljplanen bedöms inte ge någon skada på riksintresset eftersom den inte medger några höga objekt.</w:t>
      </w:r>
    </w:p>
    <w:p>
      <w:pPr>
        <w:pStyle w:val="P3"/>
      </w:pPr>
      <w:bookmarkEnd w:id="103"/>
      <w:bookmarkStart w:id="104" w:name="_Toc198806269"/>
      <w:bookmarkStart w:id="105" w:name="_Toc214961312"/>
      <w:r>
        <w:t>Kommunikationer E4:an</w:t>
      </w:r>
      <w:bookmarkEnd w:id="104"/>
      <w:bookmarkEnd w:id="105"/>
    </w:p>
    <w:p>
      <w:bookmarkStart w:id="106" w:name="pf_trafikkommunikation01"/>
      <w:r>
        <w:t xml:space="preserve">E4:an utgör riksintresse för kommunikationer enligt 3 kap. 8 § miljöbalken. I riksintressebegreppet ingår att de mark och vattenområden som berörs av utpekat vägnät ska skyddas mot åtgärder som påtagligt försvårar tillkomsten av eller utnyttjande av en väganläggning. Det innebär att vägens funktioner ska skyddas avseende; god transportkvalitet och god nåbarhet till andra regioner, god tillgänglighet för samtliga trafikanter som färdas både längs och tvärs vägen. Östra delen av planområdet ligger inom hänsynsområdet kopplat till störningar för buller. </w:t>
      </w:r>
    </w:p>
    <w:p>
      <w:pPr>
        <w:rPr>
          <w:b w:val="1"/>
          <w:i w:val="1"/>
          <w:bCs w:val="1"/>
          <w:iCs w:val="1"/>
        </w:rPr>
      </w:pPr>
      <w:bookmarkEnd w:id="106"/>
      <w:r>
        <w:rPr>
          <w:b w:val="1"/>
          <w:i w:val="1"/>
          <w:bCs w:val="1"/>
          <w:iCs w:val="1"/>
        </w:rPr>
        <w:t>Bedömning/konsekvenser</w:t>
      </w:r>
    </w:p>
    <w:p>
      <w:bookmarkStart w:id="107" w:name="ko_trafikkommunikation01"/>
      <w:r>
        <w:t xml:space="preserve">Kommunen bedömer att E4:an som nationell led ej påverkas av planförslaget eftersom det inte påverkar framkomligheten eller att förslaget begränsar E4:an. Längs E4:ans sträckning finns ett hänsynsområde kopplat till buller från vägtrafiken. En planerad fastighet inom planen ligger inom detta hänsynsområde som är en generell bullerutredning utifrån EU-direktiv. En bullerutredning har tagits fram utöver detta som visar på att det är lämpligt ur bullersynpunkt att bebygga denna fastighet, beräkningen är även prognostiserad för år 2040 års trafikflöde.  </w:t>
      </w:r>
    </w:p>
    <w:p>
      <w:pPr>
        <w:pStyle w:val="P2"/>
      </w:pPr>
      <w:bookmarkEnd w:id="107"/>
      <w:bookmarkStart w:id="108" w:name="_Toc214961313"/>
      <w:r>
        <w:t>Strandskydd</w:t>
      </w:r>
      <w:bookmarkEnd w:id="108"/>
    </w:p>
    <w:p>
      <w:pPr>
        <w:tabs>
          <w:tab w:val="left" w:pos="284" w:leader="none"/>
        </w:tabs>
      </w:pPr>
      <w:bookmarkStart w:id="109" w:name="pf_strandskydd01"/>
      <w:r>
        <w:t xml:space="preserve">Planområdet ligger cirka 100 meter från Vättern vilken omfattas av strandskydd. I Länsstyrelsens Webbkarta ”Östgötakartan” pekas strandskyddsområdet ut med avgränsning i väg 918. Med detta underlag görs bedömningen att bestämmelser om upphävande av strandskydd ej krävs. </w:t>
      </w:r>
    </w:p>
    <w:p>
      <w:pPr>
        <w:tabs>
          <w:tab w:val="left" w:pos="284" w:leader="none"/>
        </w:tabs>
      </w:pPr>
      <w:r>
        <w:rPr>
          <w:noProof w:val="1"/>
          <w:highlight w:val="yellow"/>
        </w:rPr>
        <w:drawing>
          <wp:inline xmlns:wp="http://schemas.openxmlformats.org/drawingml/2006/wordprocessingDrawing" distT="0" distB="0" distL="0" distR="0">
            <wp:extent cx="3197225" cy="3827145"/>
            <wp:effectExtent l="0" t="0" r="3175" b="1905"/>
            <wp:docPr id="1234847511" name="Bildobjekt 1" descr="Bild visar utbredning av strandskydd längs med Vättern vid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47511" name="Bildobjekt 1" descr="Bild visar utbredning av strandskydd längs med Vättern vid planområdet."/>
                    <pic:cNvPicPr/>
                  </pic:nvPicPr>
                  <pic:blipFill dpi="0">
                    <a:blip xmlns:r="http://schemas.openxmlformats.org/officeDocument/2006/relationships" r:embed="Relimage12"/>
                    <a:srcRect/>
                    <a:stretch>
                      <a:fillRect/>
                    </a:stretch>
                  </pic:blipFill>
                  <pic:spPr>
                    <a:xfrm>
                      <a:off x="0" y="0"/>
                      <a:ext cx="3206101" cy="3837696"/>
                    </a:xfrm>
                    <a:prstGeom prst="rect"/>
                  </pic:spPr>
                </pic:pic>
              </a:graphicData>
            </a:graphic>
          </wp:inline>
        </w:drawing>
      </w:r>
    </w:p>
    <w:p>
      <w:pPr>
        <w:tabs>
          <w:tab w:val="left" w:pos="284" w:leader="none"/>
        </w:tabs>
        <w:rPr>
          <w:i w:val="1"/>
          <w:iCs w:val="1"/>
          <w:sz w:val="18"/>
          <w:szCs w:val="18"/>
        </w:rPr>
      </w:pPr>
      <w:r>
        <w:rPr>
          <w:i w:val="1"/>
          <w:iCs w:val="1"/>
          <w:sz w:val="18"/>
          <w:szCs w:val="18"/>
        </w:rPr>
        <w:t>Bild visar utbredning av strandskydd längs med Vättern vid planområdet.</w:t>
      </w:r>
    </w:p>
    <w:p>
      <w:pPr>
        <w:pStyle w:val="P2"/>
      </w:pPr>
      <w:bookmarkEnd w:id="109"/>
      <w:bookmarkStart w:id="110" w:name="_Toc197584329"/>
      <w:bookmarkStart w:id="111" w:name="_Toc214961314"/>
      <w:r>
        <w:t>Bebyggelse</w:t>
      </w:r>
      <w:bookmarkEnd w:id="110"/>
      <w:bookmarkEnd w:id="111"/>
    </w:p>
    <w:p>
      <w:pPr>
        <w:tabs>
          <w:tab w:val="left" w:pos="284" w:leader="none"/>
        </w:tabs>
      </w:pPr>
      <w:bookmarkStart w:id="112" w:name="pf_fysiskmiljö03"/>
      <w:r>
        <w:t xml:space="preserve">Inom planområdet finns det idag befintlig bebyggelse. I den södra delen av planområdet står det nio stugor, se rödmarkering i bild nedan, denna markanvändning föreslås i detaljplanen. De mindre stugorna har använts som uthyrningsstugor och ska rustas upp och säljas som fritidsboende. </w:t>
      </w:r>
    </w:p>
    <w:p>
      <w:pPr>
        <w:tabs>
          <w:tab w:val="left" w:pos="284" w:leader="none"/>
        </w:tabs>
      </w:pPr>
      <w:r>
        <w:t xml:space="preserve">Fastigheterna Hårstorp 1:9, 1:11 och 1:12, se blå markering i bild nedan, är idag bebyggda, samtliga fastigheter innehar idag stora grönytor. Den befintliga byggnationen föreslås till stor del befästas i och med planförslaget. Övriga områden kommer att möjliggöra för ny bebyggelse med friliggande villor. </w:t>
      </w:r>
    </w:p>
    <w:p>
      <w:pPr>
        <w:tabs>
          <w:tab w:val="left" w:pos="284" w:leader="none"/>
        </w:tabs>
      </w:pPr>
      <w:r>
        <w:t xml:space="preserve">Planförslaget avser även att befästa dagens markanvändning inom drivmedelsstationen med tillhörande butik och FTI-station, brun markering i kartan. FTI stationen finns kvar på avtal och behöver inte vara en permanent lösning.  Även befintlig rastplats befästs i och med detaljplanen, grön markering.</w:t>
      </w:r>
    </w:p>
    <w:p>
      <w:pPr>
        <w:tabs>
          <w:tab w:val="left" w:pos="284" w:leader="none"/>
        </w:tabs>
      </w:pPr>
      <w:r>
        <w:t xml:space="preserve">Vidare finns en restaurangbyggnad inom planområdet som tillhört motellverksamheten. Restaurangbyggnaden anses nedgången då bland annat sprickor i grunden har upptäckts. Restaurangen är numera riven (finns med på flygfotot) Planförslaget möjliggör för förändrad markanvändning så bostäder i stället kan uppföras på platsen där restaurangen idag står. </w:t>
      </w:r>
    </w:p>
    <w:p>
      <w:pPr>
        <w:tabs>
          <w:tab w:val="left" w:pos="284" w:leader="none"/>
        </w:tabs>
        <w:spacing w:after="280" w:beforeAutospacing="0" w:afterAutospacing="0"/>
      </w:pPr>
      <w:r>
        <w:t xml:space="preserve">Norr om de nio mindre stugorna syns på kartan mindre uthyrningsstugor, dessa byggnader är rivna och borttagna från platsen. Fastighetsägarnas ambition är att  bygga upp nya bostäder på platsen. Planförslaget föreslår fortsatt att denna mark används till bostadsändamål och möjliggör fastighetsägarnas exploateringsambitioner, se gul markering.</w:t>
      </w:r>
      <w:r>
        <w:rPr>
          <w:i w:val="1"/>
          <w:sz w:val="20"/>
          <w:szCs w:val="20"/>
        </w:rPr>
        <w:t xml:space="preserve"> </w:t>
      </w:r>
    </w:p>
    <w:p>
      <w:pPr>
        <w:tabs>
          <w:tab w:val="left" w:pos="284" w:leader="none"/>
        </w:tabs>
        <w:spacing w:after="280" w:beforeAutospacing="0" w:afterAutospacing="0"/>
      </w:pPr>
      <w:r>
        <w:t xml:space="preserve">Utöver befästningen av bebyggelse och uppförandet av nya bostäder där byggnader idag redan finns så möjliggör planförslaget för nya friliggande enbostadshus där höjd och byggnadsarea anpassas efter landskapsbilden med sin terassliknande miljö. </w:t>
      </w:r>
    </w:p>
    <w:p>
      <w:pPr>
        <w:tabs>
          <w:tab w:val="left" w:pos="284" w:leader="none"/>
        </w:tabs>
        <w:rPr>
          <w:i w:val="1"/>
          <w:sz w:val="20"/>
          <w:szCs w:val="20"/>
        </w:rPr>
      </w:pPr>
    </w:p>
    <w:p>
      <w:pPr>
        <w:tabs>
          <w:tab w:val="left" w:pos="284" w:leader="none"/>
        </w:tabs>
        <w:spacing w:after="280" w:beforeAutospacing="0" w:afterAutospacing="0"/>
      </w:pPr>
      <w:r>
        <w:rPr>
          <w:noProof w:val="1"/>
        </w:rPr>
        <mc:AlternateContent>
          <mc:Choice Requires="wps">
            <w:drawing>
              <wp:anchor xmlns:wp="http://schemas.openxmlformats.org/drawingml/2006/wordprocessingDrawing" distT="0" distB="0" distL="114300" distR="114300" simplePos="0" relativeHeight="17" behindDoc="0" locked="0" layoutInCell="1" allowOverlap="1">
                <wp:simplePos x="0" y="0"/>
                <wp:positionH relativeFrom="column">
                  <wp:posOffset>3096895</wp:posOffset>
                </wp:positionH>
                <wp:positionV relativeFrom="paragraph">
                  <wp:posOffset>3992245</wp:posOffset>
                </wp:positionV>
                <wp:extent cx="3090545" cy="566420"/>
                <wp:effectExtent l="0" t="0" r="0" b="5080"/>
                <wp:wrapNone/>
                <wp:docPr id="28" name="Textruta 28"/>
                <wp:cNvGraphicFramePr/>
                <a:graphic xmlns:a="http://schemas.openxmlformats.org/drawingml/2006/main">
                  <a:graphicData uri="http://schemas.microsoft.com/office/word/2010/wordprocessingShape">
                    <wps:wsp>
                      <wps:cNvSpPr txBox="1"/>
                      <wps:spPr>
                        <a:xfrm>
                          <a:off x="0" y="0"/>
                          <a:ext cx="3090545" cy="566532"/>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i w:val="1"/>
                                <w:sz w:val="20"/>
                                <w:szCs w:val="20"/>
                              </w:rPr>
                            </w:pPr>
                            <w:r>
                              <w:rPr>
                                <w:i w:val="1"/>
                                <w:sz w:val="20"/>
                                <w:szCs w:val="20"/>
                              </w:rPr>
                              <w:t>Bilden visar befintliga fritidsstugor som rustas upp samt två av befintliga byggnader närmast i bild som numera är rivna.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28" o:spid="_x0000_s1041" style="position:absolute;width:243.35pt;height:44.6pt;z-index:17;mso-wrap-distance-left:9pt;mso-wrap-distance-top:0pt;mso-wrap-distance-right:9pt;mso-wrap-distance-bottom:0pt;margin-left:243.85pt;margin-top:314.35pt;mso-position-horizontal:absolute;mso-position-horizontal-relative:text;mso-position-vertical:absolute;mso-position-vertical-relative:text" o:allowincell="t" filled="f" strokeweight="0.5pt" stroked="f">
                <v:textbox inset="3mm,1mm,3mm,1mm">
                  <w:txbxContent>
                    <w:p>
                      <w:pPr>
                        <w:rPr>
                          <w:i w:val="1"/>
                          <w:sz w:val="20"/>
                          <w:szCs w:val="20"/>
                        </w:rPr>
                      </w:pPr>
                      <w:r>
                        <w:rPr>
                          <w:i w:val="1"/>
                          <w:sz w:val="20"/>
                          <w:szCs w:val="20"/>
                        </w:rPr>
                        <w:t>Bilden visar befintliga fritidsstugor som rustas upp samt två av befintliga byggnader närmast i bild som numera är rivna.</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18" behindDoc="0" locked="0" layoutInCell="1" allowOverlap="1">
                <wp:simplePos x="0" y="0"/>
                <wp:positionH relativeFrom="margin">
                  <wp:align>left</wp:align>
                </wp:positionH>
                <wp:positionV relativeFrom="paragraph">
                  <wp:posOffset>3980815</wp:posOffset>
                </wp:positionV>
                <wp:extent cx="3090545" cy="566420"/>
                <wp:effectExtent l="0" t="0" r="0" b="5080"/>
                <wp:wrapNone/>
                <wp:docPr id="1234847489" name="Textruta 1234847489"/>
                <wp:cNvGraphicFramePr/>
                <a:graphic xmlns:a="http://schemas.openxmlformats.org/drawingml/2006/main">
                  <a:graphicData uri="http://schemas.microsoft.com/office/word/2010/wordprocessingShape">
                    <wps:wsp>
                      <wps:cNvSpPr txBox="1"/>
                      <wps:spPr>
                        <a:xfrm>
                          <a:off x="0" y="0"/>
                          <a:ext cx="3090545" cy="566532"/>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i w:val="1"/>
                                <w:sz w:val="20"/>
                                <w:szCs w:val="20"/>
                              </w:rPr>
                            </w:pPr>
                            <w:r>
                              <w:rPr>
                                <w:i w:val="1"/>
                                <w:sz w:val="20"/>
                                <w:szCs w:val="20"/>
                              </w:rPr>
                              <w:t>Bild visar karta på bebyggelsen olika delar med färgade områden.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1234847489" o:spid="_x0000_s1042" style="position:absolute;width:243.35pt;height:44.6pt;z-index:18;mso-wrap-distance-left:9pt;mso-wrap-distance-top:0pt;mso-wrap-distance-right:9pt;mso-wrap-distance-bottom:0pt;margin-left:0pt;margin-top:313.45pt;mso-position-horizontal:left;mso-position-horizontal-relative:margin;mso-position-vertical:absolute;mso-position-vertical-relative:text" o:allowincell="t" filled="f" strokeweight="0.5pt" stroked="f">
                <v:textbox inset="3mm,1mm,3mm,1mm">
                  <w:txbxContent>
                    <w:p>
                      <w:pPr>
                        <w:rPr>
                          <w:i w:val="1"/>
                          <w:sz w:val="20"/>
                          <w:szCs w:val="20"/>
                        </w:rPr>
                      </w:pPr>
                      <w:r>
                        <w:rPr>
                          <w:i w:val="1"/>
                          <w:sz w:val="20"/>
                          <w:szCs w:val="20"/>
                        </w:rPr>
                        <w:t>Bild visar karta på bebyggelsen olika delar med färgade områden.</w:t>
                      </w:r>
                    </w:p>
                  </w:txbxContent>
                </v:textbox>
              </v:shape>
            </w:pict>
          </mc:Fallback>
        </mc:AlternateContent>
      </w:r>
      <w:r>
        <w:rPr>
          <w:noProof w:val="1"/>
        </w:rPr>
        <w:drawing>
          <wp:anchor xmlns:wp="http://schemas.openxmlformats.org/drawingml/2006/wordprocessingDrawing" distT="0" distB="0" distL="114300" distR="114300" simplePos="0" relativeHeight="251679744" behindDoc="1" locked="0" layoutInCell="1" allowOverlap="1">
            <wp:simplePos x="0" y="0"/>
            <wp:positionH relativeFrom="column">
              <wp:posOffset>3113405</wp:posOffset>
            </wp:positionH>
            <wp:positionV relativeFrom="paragraph">
              <wp:posOffset>0</wp:posOffset>
            </wp:positionV>
            <wp:extent cx="3109595" cy="4044950"/>
            <wp:effectExtent l="0" t="0" r="0" b="0"/>
            <wp:wrapTight wrapText="bothSides">
              <wp:wrapPolygon edited="0">
                <wp:start x="0" y="0"/>
                <wp:lineTo x="0" y="21464"/>
                <wp:lineTo x="21437" y="21464"/>
                <wp:lineTo x="21437" y="0"/>
                <wp:lineTo x="0" y="0"/>
              </wp:wrapPolygon>
            </wp:wrapTight>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objekt 30"/>
                    <pic:cNvPicPr>
                      <a:picLocks noChangeAspect="1" noChangeArrowheads="1"/>
                    </pic:cNvPicPr>
                  </pic:nvPicPr>
                  <pic:blipFill dpi="0">
                    <a:blip xmlns:r="http://schemas.openxmlformats.org/officeDocument/2006/relationships" r:embed="Relimage13" cstate="print"/>
                    <a:srcRect/>
                    <a:stretch>
                      <a:fillRect/>
                    </a:stretch>
                  </pic:blipFill>
                  <pic:spPr bwMode="auto">
                    <a:xfrm>
                      <a:off x="0" y="0"/>
                      <a:ext cx="3109595" cy="4044950"/>
                    </a:xfrm>
                    <a:prstGeom prst="rect"/>
                    <a:noFill/>
                    <a:ln>
                      <a:noFill/>
                    </a:ln>
                  </pic:spPr>
                </pic:pic>
              </a:graphicData>
            </a:graphic>
          </wp:anchor>
        </w:drawing>
      </w:r>
      <w:r>
        <w:rPr>
          <w:i w:val="1"/>
          <w:noProof w:val="1"/>
          <w:sz w:val="20"/>
          <w:szCs w:val="20"/>
        </w:rPr>
        <w:drawing>
          <wp:anchor xmlns:wp="http://schemas.openxmlformats.org/drawingml/2006/wordprocessingDrawing" distT="0" distB="0" distL="114300" distR="114300" simplePos="0" relativeHeight="251679745" behindDoc="1" locked="0" layoutInCell="1" allowOverlap="1">
            <wp:simplePos x="0" y="0"/>
            <wp:positionH relativeFrom="column">
              <wp:posOffset>42545</wp:posOffset>
            </wp:positionH>
            <wp:positionV relativeFrom="paragraph">
              <wp:posOffset>0</wp:posOffset>
            </wp:positionV>
            <wp:extent cx="2832100" cy="4031615"/>
            <wp:effectExtent l="0" t="0" r="6350" b="6985"/>
            <wp:wrapSquare wrapText="bothSides"/>
            <wp:docPr id="1234847488" name="Bildobjekt 1234847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47488" name="Bildobjekt 1234847488"/>
                    <pic:cNvPicPr/>
                  </pic:nvPicPr>
                  <pic:blipFill dpi="0">
                    <a:blip xmlns:r="http://schemas.openxmlformats.org/officeDocument/2006/relationships" r:embed="Relimage14"/>
                    <a:srcRect/>
                    <a:stretch>
                      <a:fillRect/>
                    </a:stretch>
                  </pic:blipFill>
                  <pic:spPr>
                    <a:xfrm>
                      <a:off x="0" y="0"/>
                      <a:ext cx="2832100" cy="4031615"/>
                    </a:xfrm>
                    <a:prstGeom prst="rect"/>
                  </pic:spPr>
                </pic:pic>
              </a:graphicData>
            </a:graphic>
          </wp:anchor>
        </w:drawing>
      </w:r>
    </w:p>
    <w:p>
      <w:pPr>
        <w:tabs>
          <w:tab w:val="left" w:pos="284" w:leader="none"/>
        </w:tabs>
        <w:spacing w:after="280" w:beforeAutospacing="0" w:afterAutospacing="0"/>
      </w:pPr>
      <w:bookmarkEnd w:id="112"/>
    </w:p>
    <w:p>
      <w:pPr>
        <w:pStyle w:val="P2"/>
        <w:rPr>
          <w:color w:val="000000"/>
          <w:szCs w:val="28"/>
        </w:rPr>
      </w:pPr>
      <w:bookmarkStart w:id="113" w:name="_Toc197584330"/>
      <w:bookmarkStart w:id="114" w:name="_Toc214961315"/>
      <w:bookmarkStart w:id="115" w:name="_Toc198806270"/>
      <w:r>
        <w:rPr>
          <w:color w:val="000000"/>
          <w:szCs w:val="28"/>
        </w:rPr>
        <w:t>Landskapsbild</w:t>
      </w:r>
      <w:bookmarkEnd w:id="113"/>
      <w:bookmarkEnd w:id="114"/>
      <w:bookmarkEnd w:id="115"/>
    </w:p>
    <w:p>
      <w:pPr>
        <w:tabs>
          <w:tab w:val="left" w:pos="284" w:leader="none"/>
        </w:tabs>
      </w:pPr>
      <w:bookmarkStart w:id="116" w:name="ko_landskapsbild01"/>
      <w:r>
        <w:t>Området i och runt Vättern präglas av stora skillnader i höjd. Den smala stranden med lövskogar och sina berömda fruktodlingar närmast Vättern kontrasterar starkt mot den magra barrskogen på de höga bergen.</w:t>
      </w:r>
    </w:p>
    <w:p>
      <w:pPr>
        <w:tabs>
          <w:tab w:val="left" w:pos="284" w:leader="none"/>
        </w:tabs>
      </w:pPr>
      <w:r>
        <w:t xml:space="preserve">Planområdet ligger i vätternbrantssluttningen drygt 100 meter från Vättern. Topografin genererar i en fin utsikt över Vättern sett från planområdet, lutningen gör även att planområdet syns från sjön. Planförslagets ambition är att befintlig bebyggelse fortsatt får behålla utsikten samt att ny bebyggelse anpassas till landskapsbilden. Föreslagna bebyggelsehöjder är anpassade till landskapet för att minimera påverkan på landskapsbilden, i det lägsta område tillåts endast enplanshus men det högre upp i området tillåts att hus bebyggs i två våningar. </w:t>
      </w:r>
    </w:p>
    <w:p>
      <w:pPr>
        <w:tabs>
          <w:tab w:val="left" w:pos="284" w:leader="none"/>
        </w:tabs>
      </w:pPr>
      <w:r>
        <w:rPr>
          <w:noProof w:val="1"/>
        </w:rPr>
        <w:drawing>
          <wp:inline xmlns:wp="http://schemas.openxmlformats.org/drawingml/2006/wordprocessingDrawing" distT="0" distB="0" distL="0" distR="0">
            <wp:extent cx="4951095" cy="2931160"/>
            <wp:effectExtent l="0" t="0" r="0" b="0"/>
            <wp:docPr id="67" name="image19.png" descr="Bild visar 3D-modell över planområdet med omnejd utan planerad bebyggelse. I förgrunden ses Vättern och det intilliggande Natura 2000-området. Väg 918 avgränsar naturområdet och planområdet. Den byggnation som modellerats är den som avses säkerställas i och med planförslaget samt byggnation utanför planområdets gränser."/>
            <wp:cNvGraphicFramePr/>
            <a:graphic xmlns:a="http://schemas.openxmlformats.org/drawingml/2006/main">
              <a:graphicData uri="http://schemas.openxmlformats.org/drawingml/2006/picture">
                <pic:pic xmlns:pic="http://schemas.openxmlformats.org/drawingml/2006/picture">
                  <pic:nvPicPr>
                    <pic:cNvPr id="67" name="image19.png" descr="Bild visar 3D-modell över planområdet med omnejd utan planerad bebyggelse. I förgrunden ses Vättern och det intilliggande Natura 2000-området. Väg 918 avgränsar naturområdet och planområdet. Den byggnation som modellerats är den som avses säkerställas i och med planförslaget samt byggnation utanför planområdets gränser."/>
                    <pic:cNvPicPr preferRelativeResize="0"/>
                  </pic:nvPicPr>
                  <pic:blipFill dpi="0">
                    <a:blip xmlns:r="http://schemas.openxmlformats.org/officeDocument/2006/relationships" r:embed="Relimage15"/>
                    <a:srcRect/>
                    <a:stretch>
                      <a:fillRect/>
                    </a:stretch>
                  </pic:blipFill>
                  <pic:spPr>
                    <a:xfrm>
                      <a:off x="0" y="0"/>
                      <a:ext cx="4951095" cy="2931160"/>
                    </a:xfrm>
                    <a:prstGeom prst="rect"/>
                  </pic:spPr>
                </pic:pic>
              </a:graphicData>
            </a:graphic>
          </wp:inline>
        </w:drawing>
      </w:r>
    </w:p>
    <w:p>
      <w:pPr>
        <w:tabs>
          <w:tab w:val="left" w:pos="284" w:leader="none"/>
        </w:tabs>
        <w:spacing w:after="280" w:beforeAutospacing="0" w:afterAutospacing="0"/>
        <w:rPr>
          <w:i w:val="1"/>
          <w:sz w:val="20"/>
          <w:szCs w:val="20"/>
        </w:rPr>
      </w:pPr>
      <w:r>
        <w:rPr>
          <w:i w:val="1"/>
          <w:sz w:val="20"/>
          <w:szCs w:val="20"/>
        </w:rPr>
        <w:t>Bild visar 3D-modell över planområdet med omnejd utan planerad bebyggelse. I förgrunden ses Vättern och det intilliggande Natura 2000-området. Väg 918 avgränsar naturområdet och planområdet. Den byggnation som modellerats är den som avses säkerställas i och med planförslaget samt byggnation utanför planområdets gränser.</w:t>
      </w:r>
    </w:p>
    <w:p>
      <w:pPr>
        <w:spacing w:lineRule="auto" w:line="240" w:before="100" w:after="100" w:beforeAutospacing="1" w:afterAutospacing="1"/>
        <w:rPr>
          <w:rFonts w:ascii="Times New Roman" w:hAnsi="Times New Roman" w:eastAsia="Times New Roman"/>
          <w:sz w:val="24"/>
          <w:szCs w:val="24"/>
          <w:lang w:eastAsia="sv-SE"/>
        </w:rPr>
      </w:pPr>
      <w:r>
        <w:rPr>
          <w:rFonts w:ascii="Times New Roman" w:hAnsi="Times New Roman" w:eastAsia="Times New Roman"/>
          <w:noProof w:val="1"/>
          <w:sz w:val="24"/>
          <w:szCs w:val="24"/>
          <w:lang w:eastAsia="sv-SE"/>
        </w:rPr>
        <w:drawing>
          <wp:inline xmlns:wp="http://schemas.openxmlformats.org/drawingml/2006/wordprocessingDrawing" distT="0" distB="0" distL="0" distR="0">
            <wp:extent cx="6216015" cy="3249295"/>
            <wp:effectExtent l="0" t="0" r="0" b="8255"/>
            <wp:docPr id="1234847490" name="Bildobjekt 1234847490" descr="Bild visar vy från Vättern med färdigställt bostadsområde. Illustration från Tyré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47490" name="Bildobjekt 1234847490" descr="Bild visar vy från Vättern med färdigställt bostadsområde. Illustration från Tyréns"/>
                    <pic:cNvPicPr>
                      <a:picLocks noChangeAspect="1" noChangeArrowheads="1"/>
                    </pic:cNvPicPr>
                  </pic:nvPicPr>
                  <pic:blipFill dpi="0">
                    <a:blip xmlns:r="http://schemas.openxmlformats.org/officeDocument/2006/relationships" r:embed="Relimage16"/>
                    <a:srcRect/>
                    <a:stretch>
                      <a:fillRect/>
                    </a:stretch>
                  </pic:blipFill>
                  <pic:spPr bwMode="auto">
                    <a:xfrm>
                      <a:off x="0" y="0"/>
                      <a:ext cx="6235562" cy="3259922"/>
                    </a:xfrm>
                    <a:prstGeom prst="rect"/>
                    <a:noFill/>
                    <a:ln>
                      <a:noFill/>
                    </a:ln>
                  </pic:spPr>
                </pic:pic>
              </a:graphicData>
            </a:graphic>
          </wp:inline>
        </w:drawing>
      </w:r>
      <w:r>
        <w:rPr>
          <w:rFonts w:ascii="Times New Roman" w:hAnsi="Times New Roman" w:eastAsia="Times New Roman"/>
          <w:sz w:val="24"/>
          <w:szCs w:val="24"/>
          <w:lang w:eastAsia="sv-SE"/>
        </w:rPr>
        <w:br w:type="textWrapping"/>
      </w:r>
      <w:r>
        <w:rPr>
          <w:i w:val="1"/>
          <w:sz w:val="20"/>
          <w:szCs w:val="20"/>
        </w:rPr>
        <w:t>Bild visar vy från Vättern med färdigställt bostadsområde. Illustration från Tyréns</w:t>
      </w:r>
    </w:p>
    <w:p>
      <w:pPr>
        <w:spacing w:lineRule="auto" w:line="240" w:before="100" w:after="100" w:beforeAutospacing="1" w:afterAutospacing="1"/>
        <w:rPr>
          <w:rFonts w:ascii="Times New Roman" w:hAnsi="Times New Roman" w:eastAsia="Times New Roman"/>
          <w:sz w:val="24"/>
          <w:szCs w:val="24"/>
          <w:lang w:eastAsia="sv-SE"/>
        </w:rPr>
      </w:pPr>
      <w:r>
        <w:rPr>
          <w:rFonts w:ascii="Times New Roman" w:hAnsi="Times New Roman" w:eastAsia="Times New Roman"/>
          <w:noProof w:val="1"/>
          <w:sz w:val="24"/>
          <w:szCs w:val="24"/>
          <w:lang w:eastAsia="sv-SE"/>
        </w:rPr>
        <w:drawing>
          <wp:inline xmlns:wp="http://schemas.openxmlformats.org/drawingml/2006/wordprocessingDrawing" distT="0" distB="0" distL="0" distR="0">
            <wp:extent cx="5237480" cy="2732405"/>
            <wp:effectExtent l="0" t="0" r="1270" b="0"/>
            <wp:docPr id="1234847491" name="Bildobjekt 1234847491" descr="Bild visar utbyggt område med utsikt mot Vättern i riktning mot sydv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47491" name="Bildobjekt 1234847491" descr="Bild visar utbyggt område med utsikt mot Vättern i riktning mot sydväst."/>
                    <pic:cNvPicPr>
                      <a:picLocks noChangeAspect="1" noChangeArrowheads="1"/>
                    </pic:cNvPicPr>
                  </pic:nvPicPr>
                  <pic:blipFill dpi="0">
                    <a:blip xmlns:r="http://schemas.openxmlformats.org/officeDocument/2006/relationships" r:embed="Relimage17"/>
                    <a:srcRect/>
                    <a:stretch>
                      <a:fillRect/>
                    </a:stretch>
                  </pic:blipFill>
                  <pic:spPr bwMode="auto">
                    <a:xfrm>
                      <a:off x="0" y="0"/>
                      <a:ext cx="5245938" cy="2736855"/>
                    </a:xfrm>
                    <a:prstGeom prst="rect"/>
                    <a:noFill/>
                    <a:ln>
                      <a:noFill/>
                    </a:ln>
                  </pic:spPr>
                </pic:pic>
              </a:graphicData>
            </a:graphic>
          </wp:inline>
        </w:drawing>
      </w:r>
      <w:r>
        <w:rPr>
          <w:rFonts w:ascii="Times New Roman" w:hAnsi="Times New Roman" w:eastAsia="Times New Roman"/>
          <w:sz w:val="24"/>
          <w:szCs w:val="24"/>
          <w:lang w:eastAsia="sv-SE"/>
        </w:rPr>
        <w:br w:type="textWrapping"/>
      </w:r>
      <w:r>
        <w:rPr>
          <w:i w:val="1"/>
          <w:sz w:val="20"/>
          <w:szCs w:val="20"/>
        </w:rPr>
        <w:t>Bild visar utbyggt område med utsikt mot Vättern i riktning mot sydväst.</w:t>
      </w:r>
    </w:p>
    <w:p>
      <w:pPr>
        <w:rPr>
          <w:b w:val="1"/>
          <w:i w:val="1"/>
        </w:rPr>
      </w:pPr>
      <w:bookmarkEnd w:id="116"/>
      <w:r>
        <w:rPr>
          <w:b w:val="1"/>
          <w:i w:val="1"/>
        </w:rPr>
        <w:t>Bedömning/Konsekvenser</w:t>
      </w:r>
    </w:p>
    <w:p>
      <w:pPr>
        <w:tabs>
          <w:tab w:val="left" w:pos="284" w:leader="none"/>
        </w:tabs>
      </w:pPr>
      <w:bookmarkStart w:id="117" w:name="ko_landskapsbild02"/>
      <w:bookmarkStart w:id="118" w:name="_Toc197584336"/>
      <w:r>
        <w:t>Detaljplanen förväntas inte förändra landskapsbilden på ett negativt sätt, trots den planerade utbyggnaden. Områdets terassliknande utformning möjliggör att husen kan placeras på platåer, vilket gör att de smälter väl in i den kuperade miljön.</w:t>
      </w:r>
    </w:p>
    <w:p>
      <w:pPr>
        <w:tabs>
          <w:tab w:val="left" w:pos="284" w:leader="none"/>
        </w:tabs>
      </w:pPr>
      <w:r>
        <w:t xml:space="preserve">Eftersom området framförallt kommer att vara synligt från Vättern, är det viktigt att notera att marken nedanför bebyggelsen består av branta sluttningar med tät växtlighet. Detta kommer att bidra till att området inte sticker ut i landskapet på samma sätt som liknande bebyggelse som ligger direkt i sluttningar mot Vättern. Dessutom är en stor del av området redan exploaterad, med befintlig bebyggelse som funnits där under lång tid (se motivering för riksintresset det rörliga friluftslivet). </w:t>
      </w:r>
    </w:p>
    <w:p>
      <w:pPr>
        <w:pStyle w:val="P2"/>
        <w:rPr>
          <w:color w:val="000000"/>
          <w:sz w:val="22"/>
        </w:rPr>
      </w:pPr>
      <w:bookmarkEnd w:id="117"/>
      <w:bookmarkStart w:id="119" w:name="_Toc214961316"/>
      <w:bookmarkStart w:id="120" w:name="_Toc198806271"/>
      <w:r>
        <w:t>Kulturmiljö och arkeologi</w:t>
      </w:r>
      <w:bookmarkEnd w:id="119"/>
    </w:p>
    <w:p>
      <w:pPr>
        <w:pStyle w:val="P3"/>
      </w:pPr>
      <w:bookmarkStart w:id="121" w:name="_Toc214961317"/>
      <w:r>
        <w:t>Kulturmiljö</w:t>
      </w:r>
      <w:bookmarkEnd w:id="118"/>
      <w:bookmarkEnd w:id="120"/>
      <w:bookmarkEnd w:id="121"/>
    </w:p>
    <w:p>
      <w:pPr>
        <w:tabs>
          <w:tab w:val="left" w:pos="284" w:leader="none"/>
        </w:tabs>
      </w:pPr>
      <w:bookmarkStart w:id="122" w:name="pf_kulturmiljö01"/>
      <w:r>
        <w:t xml:space="preserve">Planområdet är beläget i ett större område för kulturmiljövård (regionalt värdefullt), </w:t>
      </w:r>
      <w:r>
        <w:rPr>
          <w:i w:val="1"/>
        </w:rPr>
        <w:t>Hålaveden</w:t>
      </w:r>
      <w:r>
        <w:t xml:space="preserve">. Hålaveden är ett område med stora natur-, kulturhistoriska-, sociala- och ekonomiska värden, präglat av ett </w:t>
      </w:r>
      <w:r>
        <w:rPr>
          <w:rStyle w:val="C28"/>
          <w:b w:val="0"/>
          <w:bCs w:val="0"/>
        </w:rPr>
        <w:t>aktivt skogs- och lantbruk</w:t>
      </w:r>
      <w:r>
        <w:t xml:space="preserve"> som är avgörande för att bevara dess unika karaktär. Det är ett </w:t>
      </w:r>
      <w:r>
        <w:rPr>
          <w:rStyle w:val="C28"/>
          <w:b w:val="0"/>
          <w:bCs w:val="0"/>
        </w:rPr>
        <w:t>mosaiklandskap</w:t>
      </w:r>
      <w:r>
        <w:t xml:space="preserve"> som är viktigt för den biologiska mångfalden, kulturhistoriska värden, och för människors lokala kontakt med naturen och bygdegemenskapen. Området definieras som ett </w:t>
      </w:r>
      <w:r>
        <w:rPr>
          <w:rStyle w:val="C28"/>
          <w:b w:val="0"/>
          <w:bCs w:val="0"/>
        </w:rPr>
        <w:t>samlat värdeområde</w:t>
      </w:r>
      <w:r>
        <w:t xml:space="preserve"> i översiktsplanen, med syftet att koppla värdebeskrivningar och den politiska viljan att utveckla och bevara Hålaveden till övergripande mark- och vattenanvändning.</w:t>
      </w:r>
    </w:p>
    <w:p>
      <w:pPr>
        <w:tabs>
          <w:tab w:val="left" w:pos="284" w:leader="none"/>
        </w:tabs>
        <w:rPr>
          <w:i w:val="1"/>
          <w:sz w:val="18"/>
          <w:szCs w:val="18"/>
        </w:rPr>
      </w:pPr>
      <w:r>
        <w:rPr>
          <w:i w:val="1"/>
          <w:sz w:val="18"/>
          <w:szCs w:val="18"/>
        </w:rPr>
        <w:t>Bild visar utbredningen över Hålavedens område som även sträcker sig utanför Ödeshögs kommungräns.</w:t>
      </w:r>
    </w:p>
    <w:p>
      <w:pPr>
        <w:tabs>
          <w:tab w:val="left" w:pos="284" w:leader="none"/>
        </w:tabs>
      </w:pPr>
      <w:r>
        <w:rPr>
          <w:noProof w:val="1"/>
        </w:rPr>
        <w:drawing>
          <wp:inline xmlns:wp="http://schemas.openxmlformats.org/drawingml/2006/wordprocessingDrawing" distT="0" distB="0" distL="0" distR="0">
            <wp:extent cx="4679950" cy="4385945"/>
            <wp:effectExtent l="0" t="0" r="6350" b="0"/>
            <wp:docPr id="1234847492" name="Bildobjekt 1234847492" descr="Bild visar utbredningen över Hålavedens område som även sträcker sig utanför Ödeshögs kommungrä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47492" name="Bildobjekt 1234847492" descr="Bild visar utbredningen över Hålavedens område som även sträcker sig utanför Ödeshögs kommungräns."/>
                    <pic:cNvPicPr/>
                  </pic:nvPicPr>
                  <pic:blipFill dpi="0">
                    <a:blip xmlns:r="http://schemas.openxmlformats.org/officeDocument/2006/relationships" r:embed="Relimage18"/>
                    <a:srcRect/>
                    <a:stretch>
                      <a:fillRect/>
                    </a:stretch>
                  </pic:blipFill>
                  <pic:spPr>
                    <a:xfrm>
                      <a:off x="0" y="0"/>
                      <a:ext cx="4679950" cy="4385945"/>
                    </a:xfrm>
                    <a:prstGeom prst="rect"/>
                  </pic:spPr>
                </pic:pic>
              </a:graphicData>
            </a:graphic>
          </wp:inline>
        </w:drawing>
      </w:r>
    </w:p>
    <w:p>
      <w:pPr>
        <w:tabs>
          <w:tab w:val="left" w:pos="284" w:leader="none"/>
        </w:tabs>
        <w:rPr>
          <w:i w:val="1"/>
          <w:sz w:val="18"/>
          <w:szCs w:val="18"/>
        </w:rPr>
      </w:pPr>
      <w:r>
        <w:rPr>
          <w:i w:val="1"/>
          <w:sz w:val="18"/>
          <w:szCs w:val="18"/>
        </w:rPr>
        <w:t>Bild visar utbredningen över Hålavedens område som även sträcker sig utanför Ödeshögs kommungräns.</w:t>
      </w:r>
    </w:p>
    <w:p>
      <w:pPr>
        <w:tabs>
          <w:tab w:val="left" w:pos="284" w:leader="none"/>
        </w:tabs>
        <w:rPr>
          <w:b w:val="1"/>
          <w:i w:val="1"/>
          <w:bCs w:val="1"/>
          <w:iCs w:val="1"/>
        </w:rPr>
      </w:pPr>
      <w:bookmarkEnd w:id="122"/>
      <w:r>
        <w:rPr>
          <w:b w:val="1"/>
          <w:i w:val="1"/>
          <w:bCs w:val="1"/>
          <w:iCs w:val="1"/>
        </w:rPr>
        <w:t>Bedömning/konsekvenser</w:t>
      </w:r>
    </w:p>
    <w:p>
      <w:pPr>
        <w:tabs>
          <w:tab w:val="left" w:pos="284" w:leader="none"/>
        </w:tabs>
      </w:pPr>
      <w:bookmarkStart w:id="123" w:name="ko_kulturmiljövård01"/>
      <w:r>
        <w:t>Området Vida Vättern är inte karaktäristiskt för Hålavedens huvuddrag och bedöms inte ha en fragmenterad påverkan på området eftersom det till större delen är exploaterad och endast en mindre yta utökas för exploatering. Istället beskrivs Hålaveden som ett komplement till Vättern, Vätterbranterna, Omberg och Tåkern-området när det kommer till natur- och kulturupplevelser i kommunen. Hålaveden är snarare känslig för fragmentering och storskaliga förändringar i landskapet, vilket innebär att de lågexploaterade områdena är ett viktigt karaktärsdrag som bör bevaras.</w:t>
      </w:r>
    </w:p>
    <w:p>
      <w:pPr>
        <w:pStyle w:val="P3"/>
      </w:pPr>
      <w:bookmarkEnd w:id="123"/>
      <w:bookmarkStart w:id="124" w:name="_Toc214961318"/>
      <w:r>
        <w:t>Arkeologi</w:t>
      </w:r>
      <w:bookmarkEnd w:id="124"/>
    </w:p>
    <w:p>
      <w:pPr>
        <w:tabs>
          <w:tab w:val="left" w:pos="284" w:leader="none"/>
        </w:tabs>
      </w:pPr>
      <w:bookmarkStart w:id="125" w:name="pf_kulturmiljö02"/>
      <w:r>
        <w:t>Det finns inga kända fornlämningar inom planområdet. I de fall fornlämningar påträffas i samband med markarbeten inom planområdet, måste arbetet omedelbart stoppas och anmälan göras till Länsstyrelsen.</w:t>
      </w:r>
    </w:p>
    <w:p>
      <w:pPr>
        <w:pStyle w:val="P2"/>
      </w:pPr>
      <w:bookmarkEnd w:id="125"/>
      <w:bookmarkStart w:id="126" w:name="_Toc214961319"/>
      <w:r>
        <w:t>Natur</w:t>
      </w:r>
      <w:bookmarkEnd w:id="126"/>
    </w:p>
    <w:p>
      <w:pPr>
        <w:pStyle w:val="P3"/>
      </w:pPr>
      <w:bookmarkStart w:id="127" w:name="_Toc214961320"/>
      <w:r>
        <w:t>Naturmiljö, biologisk mångfald och skyddade arter</w:t>
      </w:r>
      <w:bookmarkEnd w:id="127"/>
    </w:p>
    <w:p>
      <w:pPr>
        <w:tabs>
          <w:tab w:val="left" w:pos="284" w:leader="none"/>
        </w:tabs>
        <w:spacing w:after="280" w:beforeAutospacing="0" w:afterAutospacing="0"/>
      </w:pPr>
      <w:bookmarkStart w:id="128" w:name="pu_naturinventering01"/>
      <w:r>
        <w:t xml:space="preserve">I planområdet finns det höga naturvärden, främst kopplat till karga, buskiga berghällar med en relativt rik och varierad flora inom området.  Även en lundmiljö i områdets södra del har påträffats med betestryck vilka kan indikera på goda livsmiljöer för hasselmus. </w:t>
      </w:r>
    </w:p>
    <w:p>
      <w:pPr>
        <w:tabs>
          <w:tab w:val="left" w:pos="284" w:leader="none"/>
        </w:tabs>
        <w:spacing w:after="280" w:beforeAutospacing="0" w:afterAutospacing="0"/>
      </w:pPr>
      <w:r>
        <w:t xml:space="preserve">I områdets norra del finns flera stenrösen och upplagda block som är solbelysta samt en vattenansamling i områdets östra del. Dessa områden utgör goda livsmiljöer för grod- och kräldjur, exempelvis hasselsnok. </w:t>
      </w:r>
    </w:p>
    <w:p>
      <w:pPr>
        <w:tabs>
          <w:tab w:val="left" w:pos="284" w:leader="none"/>
        </w:tabs>
      </w:pPr>
      <w:r>
        <w:t>Området är kuperat, delvis terrasserat, och sträcker sig från 135 m ö.h. i väst till 160 m ö.h. i öst. Berggrunden ligger ytligt med ett tunt skikt av morän. Det finns inga vattenförekomster inom inventeringsområdet förutom Vättern i väster. Området är starkt påverkat av mänsklig aktivitet, inklusive vägar, bostadsbyggnationer, rastplats och bensinstation.</w:t>
      </w:r>
    </w:p>
    <w:p>
      <w:pPr>
        <w:spacing w:lineRule="auto" w:line="240" w:after="0" w:beforeAutospacing="0" w:afterAutospacing="0"/>
      </w:pPr>
      <w:r>
        <w:t>En naturvärdesinventering genomfördes på plats den 5 september 2023, det vill säga efter att påverkan på området hade åsamkats av exploatören.</w:t>
      </w:r>
    </w:p>
    <w:p>
      <w:pPr>
        <w:spacing w:lineRule="auto" w:line="240" w:after="0" w:beforeAutospacing="0" w:afterAutospacing="0"/>
      </w:pPr>
    </w:p>
    <w:p>
      <w:pPr>
        <w:spacing w:lineRule="auto" w:line="240" w:after="0" w:beforeAutospacing="0" w:afterAutospacing="0"/>
      </w:pPr>
      <w:r>
        <w:t xml:space="preserve">Inför naturinventeringen genomfördes en förstudie på dokumenterade beskrivningar, satellitbilder av området samt registrerade observationer av arter. </w:t>
      </w:r>
      <w:r>
        <w:rPr>
          <w:rFonts w:ascii="CIDFont+F2" w:hAnsi="CIDFont+F2" w:cs="CIDFont+F2"/>
          <w:sz w:val="20"/>
          <w:szCs w:val="20"/>
        </w:rPr>
        <w:t>Ti</w:t>
      </w:r>
      <w:r>
        <w:t xml:space="preserve">digare observationer av fokusarterna hasselsnok större vattensalamander och hasselmus samt artgrupperna fladdermus och fåglar i närområdet studerades. </w:t>
      </w:r>
    </w:p>
    <w:p>
      <w:pPr>
        <w:spacing w:lineRule="auto" w:line="240" w:after="0" w:beforeAutospacing="0" w:afterAutospacing="0"/>
      </w:pPr>
      <w:r>
        <w:t>Hasselsnok, större vattensalamander, hasselmus och fladdermöss samt fåglar som är fridlysta enligt Artskyddsförordningen.</w:t>
      </w:r>
    </w:p>
    <w:p>
      <w:pPr>
        <w:spacing w:lineRule="auto" w:line="240" w:after="0" w:beforeAutospacing="0" w:afterAutospacing="0"/>
      </w:pPr>
    </w:p>
    <w:p>
      <w:pPr>
        <w:spacing w:lineRule="auto" w:line="240" w:after="0" w:beforeAutospacing="0" w:afterAutospacing="0"/>
      </w:pPr>
      <w:r>
        <w:t>Förstudien visade att ett antal rödlistade arter och naturvårdsarter rapporterats inom eller strax utanför inventeringsområdet på artportalen de senaste tio åren (från år 2013 till sommaren år 2023). Bland annat den rödlistade arten Större barksnäcka som är unik för området och sällsynt i Skandinavien. Den fridlysta art som rapporterats inom området är blåsippa på en plats i områdets södra del.</w:t>
      </w:r>
    </w:p>
    <w:p>
      <w:pPr>
        <w:spacing w:lineRule="auto" w:line="240" w:after="0" w:beforeAutospacing="0" w:afterAutospacing="0"/>
      </w:pPr>
    </w:p>
    <w:p>
      <w:pPr>
        <w:tabs>
          <w:tab w:val="left" w:pos="284" w:leader="none"/>
        </w:tabs>
      </w:pPr>
      <w:r>
        <w:t xml:space="preserve">Vid fältbesöket noterades att flera grövre ekar hade tagits ner och många av de trädytor som identifierats vid förstudien inte återfanns i samma utsträckning som satellitbilderna visat, även massor var upplagda inom delar av området.   </w:t>
      </w:r>
    </w:p>
    <w:p>
      <w:pPr>
        <w:tabs>
          <w:tab w:val="left" w:pos="284" w:leader="none"/>
        </w:tabs>
      </w:pPr>
      <w:r>
        <w:t>Naturinventeringen utfördes enligt svensk standard där det eftersöks biotopkvaliteter och värdearter som är av positiv betydelse för biologisk mångfald inom respektive naturtyp. En naturvärdesbiotop är ett avgränsat område i naturen som har en påvisbar positiv betydelse för den biologiska mångfalden. Det kan vara en specifik naturtyp eller ett större område som innehåller flera olika biotoper och element.</w:t>
      </w:r>
    </w:p>
    <w:p>
      <w:pPr>
        <w:tabs>
          <w:tab w:val="left" w:pos="284" w:leader="none"/>
        </w:tabs>
      </w:pPr>
      <w:r>
        <w:t>En naturvärdesbiotop utvärderas baserat på dess biotopkvaliteter (såsom naturlighet, storlek, unika strukturer och ekologiska funktioner) och förekomsten av värdearter (som rödlistade arter, fridlysta arter, signalarter eller nyckelarter).</w:t>
      </w:r>
    </w:p>
    <w:p>
      <w:pPr>
        <w:tabs>
          <w:tab w:val="left" w:pos="284" w:leader="none"/>
        </w:tabs>
      </w:pPr>
      <w:r>
        <w:t>Naturvärdesbiotoper kan utifrån detta avgränsas och tilldelas naturvärdesklass (se nedan tabell).</w:t>
      </w:r>
    </w:p>
    <w:p>
      <w:pPr>
        <w:tabs>
          <w:tab w:val="left" w:pos="284" w:leader="none"/>
        </w:tabs>
      </w:pPr>
    </w:p>
    <w:tbl>
      <w:tblPr>
        <w:tblStyle w:val="T8"/>
        <w:tblW w:w="0" w:type="auto"/>
        <w:tblInd w:w="588" w:type="dxa"/>
        <w:tblBorders>
          <w:top w:val="single" w:sz="4" w:space="0" w:shadow="0" w:frame="0" w:color="FFFFFF"/>
          <w:left w:val="single" w:sz="4" w:space="0" w:shadow="0" w:frame="0" w:color="FFFFFF"/>
          <w:bottom w:val="single" w:sz="4" w:space="0" w:shadow="0" w:frame="0" w:color="FFFFFF"/>
          <w:right w:val="single" w:sz="4" w:space="0" w:shadow="0" w:frame="0" w:color="FFFFFF"/>
          <w:insideH w:val="single" w:sz="4" w:space="0" w:shadow="0" w:frame="0" w:color="FFFFFF"/>
          <w:insideV w:val="single" w:sz="4" w:space="0" w:shadow="0" w:frame="0" w:color="FFFFFF"/>
        </w:tblBorders>
        <w:tblLayout w:type="fixed"/>
        <w:tblLook w:val="01E0"/>
      </w:tblPr>
      <w:tblGrid/>
      <w:tr>
        <w:trPr>
          <w:trHeight w:hRule="atLeast" w:val="465"/>
        </w:trPr>
        <w:tc>
          <w:tcPr>
            <w:tcW w:w="1911" w:type="dxa"/>
            <w:tcBorders>
              <w:top w:val="nil"/>
              <w:left w:val="nil"/>
              <w:right w:val="nil"/>
            </w:tcBorders>
            <w:shd w:val="clear" w:color="auto" w:fill="B8B197"/>
          </w:tcPr>
          <w:p>
            <w:pPr>
              <w:tabs>
                <w:tab w:val="left" w:pos="284" w:leader="none"/>
              </w:tabs>
              <w:rPr>
                <w:rFonts w:ascii="Calibri" w:hAnsi="Calibri" w:cs="Times New Roman" w:eastAsiaTheme="minorEastAsia"/>
              </w:rPr>
            </w:pPr>
            <w:r>
              <w:rPr>
                <w:rFonts w:ascii="Calibri" w:hAnsi="Calibri" w:cs="Times New Roman" w:eastAsiaTheme="minorEastAsia"/>
              </w:rPr>
              <w:t>Naturvärdesklass</w:t>
            </w:r>
          </w:p>
        </w:tc>
        <w:tc>
          <w:tcPr>
            <w:tcW w:w="5590" w:type="dxa"/>
            <w:tcBorders>
              <w:top w:val="nil"/>
              <w:left w:val="nil"/>
              <w:right w:val="nil"/>
            </w:tcBorders>
            <w:shd w:val="clear" w:color="auto" w:fill="B8B197"/>
          </w:tcPr>
          <w:p>
            <w:pPr>
              <w:tabs>
                <w:tab w:val="left" w:pos="284" w:leader="none"/>
              </w:tabs>
              <w:rPr>
                <w:rFonts w:ascii="Calibri" w:hAnsi="Calibri" w:cs="Times New Roman" w:eastAsiaTheme="minorEastAsia"/>
              </w:rPr>
            </w:pPr>
            <w:r>
              <w:rPr>
                <w:rFonts w:ascii="Calibri" w:hAnsi="Calibri" w:cs="Times New Roman" w:eastAsiaTheme="minorEastAsia"/>
              </w:rPr>
              <w:t>Förtydligande</w:t>
            </w:r>
          </w:p>
        </w:tc>
      </w:tr>
      <w:tr>
        <w:trPr>
          <w:trHeight w:hRule="atLeast" w:val="709"/>
        </w:trPr>
        <w:tc>
          <w:tcPr>
            <w:tcW w:w="1911" w:type="dxa"/>
            <w:tcBorders>
              <w:left w:val="nil"/>
            </w:tcBorders>
            <w:shd w:val="clear" w:color="auto" w:fill="B8B197"/>
          </w:tcPr>
          <w:p>
            <w:pPr>
              <w:tabs>
                <w:tab w:val="left" w:pos="284" w:leader="none"/>
              </w:tabs>
              <w:rPr>
                <w:rFonts w:ascii="Calibri" w:hAnsi="Calibri" w:cs="Times New Roman" w:eastAsiaTheme="minorEastAsia"/>
              </w:rPr>
            </w:pPr>
            <w:r>
              <w:rPr>
                <w:rFonts w:ascii="Calibri" w:hAnsi="Calibri" w:cs="Times New Roman" w:eastAsiaTheme="minorEastAsia"/>
              </w:rPr>
              <w:t>1. Högsta</w:t>
            </w:r>
          </w:p>
        </w:tc>
        <w:tc>
          <w:tcPr>
            <w:tcW w:w="5590" w:type="dxa"/>
            <w:tcBorders>
              <w:right w:val="nil"/>
            </w:tcBorders>
            <w:shd w:val="clear" w:color="auto" w:fill="E1DFD4"/>
          </w:tcPr>
          <w:p>
            <w:pPr>
              <w:tabs>
                <w:tab w:val="left" w:pos="284" w:leader="none"/>
              </w:tabs>
              <w:rPr>
                <w:rFonts w:ascii="Calibri" w:hAnsi="Calibri" w:cs="Times New Roman" w:eastAsiaTheme="minorEastAsia"/>
              </w:rPr>
            </w:pPr>
            <w:r>
              <w:rPr>
                <w:rFonts w:ascii="Calibri" w:hAnsi="Calibri" w:cs="Times New Roman" w:eastAsiaTheme="minorEastAsia"/>
              </w:rPr>
              <w:t>Området är av särskilt hög betydelse för att upprätthålla biologisk mångfald på nationell eller internationell nivå.</w:t>
            </w:r>
          </w:p>
        </w:tc>
      </w:tr>
      <w:tr>
        <w:trPr>
          <w:trHeight w:hRule="atLeast" w:val="710"/>
        </w:trPr>
        <w:tc>
          <w:tcPr>
            <w:tcW w:w="1911" w:type="dxa"/>
            <w:tcBorders>
              <w:left w:val="nil"/>
              <w:bottom w:val="single" w:sz="6" w:space="0" w:shadow="0" w:frame="0" w:color="FFFFFF"/>
            </w:tcBorders>
            <w:shd w:val="clear" w:color="auto" w:fill="B8B197"/>
          </w:tcPr>
          <w:p>
            <w:pPr>
              <w:tabs>
                <w:tab w:val="left" w:pos="284" w:leader="none"/>
              </w:tabs>
              <w:rPr>
                <w:rFonts w:ascii="Calibri" w:hAnsi="Calibri" w:cs="Times New Roman" w:eastAsiaTheme="minorEastAsia"/>
              </w:rPr>
            </w:pPr>
            <w:r>
              <w:rPr>
                <w:rFonts w:ascii="Calibri" w:hAnsi="Calibri" w:cs="Times New Roman" w:eastAsiaTheme="minorEastAsia"/>
              </w:rPr>
              <w:t>2. Högt</w:t>
            </w:r>
          </w:p>
        </w:tc>
        <w:tc>
          <w:tcPr>
            <w:tcW w:w="5590" w:type="dxa"/>
            <w:tcBorders>
              <w:bottom w:val="single" w:sz="6" w:space="0" w:shadow="0" w:frame="0" w:color="FFFFFF"/>
              <w:right w:val="nil"/>
            </w:tcBorders>
            <w:shd w:val="clear" w:color="auto" w:fill="EFEEEA"/>
          </w:tcPr>
          <w:p>
            <w:pPr>
              <w:tabs>
                <w:tab w:val="left" w:pos="284" w:leader="none"/>
              </w:tabs>
              <w:rPr>
                <w:rFonts w:ascii="Calibri" w:hAnsi="Calibri" w:cs="Times New Roman" w:eastAsiaTheme="minorEastAsia"/>
              </w:rPr>
            </w:pPr>
            <w:r>
              <w:rPr>
                <w:rFonts w:ascii="Calibri" w:hAnsi="Calibri" w:cs="Times New Roman" w:eastAsiaTheme="minorEastAsia"/>
              </w:rPr>
              <w:t>Området är av särskilt hög betydelse för att upprätthålla biologisk mångfald på regional eller nationell nivå.</w:t>
            </w:r>
          </w:p>
        </w:tc>
      </w:tr>
      <w:tr>
        <w:trPr>
          <w:trHeight w:hRule="atLeast" w:val="983"/>
        </w:trPr>
        <w:tc>
          <w:tcPr>
            <w:tcW w:w="1911" w:type="dxa"/>
            <w:tcBorders>
              <w:top w:val="single" w:sz="6" w:space="0" w:shadow="0" w:frame="0" w:color="FFFFFF"/>
              <w:left w:val="nil"/>
            </w:tcBorders>
            <w:shd w:val="clear" w:color="auto" w:fill="B8B197"/>
          </w:tcPr>
          <w:p>
            <w:pPr>
              <w:tabs>
                <w:tab w:val="left" w:pos="284" w:leader="none"/>
              </w:tabs>
              <w:rPr>
                <w:rFonts w:ascii="Calibri" w:hAnsi="Calibri" w:cs="Times New Roman" w:eastAsiaTheme="minorEastAsia"/>
              </w:rPr>
            </w:pPr>
            <w:r>
              <w:rPr>
                <w:rFonts w:ascii="Calibri" w:hAnsi="Calibri" w:cs="Times New Roman" w:eastAsiaTheme="minorEastAsia"/>
              </w:rPr>
              <w:t>3. Påtagligt</w:t>
            </w:r>
          </w:p>
        </w:tc>
        <w:tc>
          <w:tcPr>
            <w:tcW w:w="5590" w:type="dxa"/>
            <w:tcBorders>
              <w:top w:val="single" w:sz="6" w:space="0" w:shadow="0" w:frame="0" w:color="FFFFFF"/>
              <w:right w:val="nil"/>
            </w:tcBorders>
            <w:shd w:val="clear" w:color="auto" w:fill="E1DFD4"/>
          </w:tcPr>
          <w:p>
            <w:pPr>
              <w:tabs>
                <w:tab w:val="left" w:pos="284" w:leader="none"/>
              </w:tabs>
              <w:rPr>
                <w:rFonts w:ascii="Calibri" w:hAnsi="Calibri" w:cs="Times New Roman" w:eastAsiaTheme="minorEastAsia"/>
              </w:rPr>
            </w:pPr>
            <w:r>
              <w:rPr>
                <w:rFonts w:ascii="Calibri" w:hAnsi="Calibri" w:cs="Times New Roman" w:eastAsiaTheme="minorEastAsia"/>
              </w:rPr>
              <w:t>Området kan ha särskild betydelse för att upprätthålla biologisk mångfald på regional eller nationell nivå, men oftast på regional nivå.</w:t>
            </w:r>
          </w:p>
        </w:tc>
      </w:tr>
      <w:tr>
        <w:trPr>
          <w:trHeight w:hRule="atLeast" w:val="1267"/>
        </w:trPr>
        <w:tc>
          <w:tcPr>
            <w:tcW w:w="1911" w:type="dxa"/>
            <w:tcBorders>
              <w:left w:val="nil"/>
              <w:bottom w:val="nil"/>
            </w:tcBorders>
            <w:shd w:val="clear" w:color="auto" w:fill="B8B197"/>
          </w:tcPr>
          <w:p>
            <w:pPr>
              <w:tabs>
                <w:tab w:val="left" w:pos="284" w:leader="none"/>
              </w:tabs>
              <w:rPr>
                <w:rFonts w:ascii="Calibri" w:hAnsi="Calibri" w:cs="Times New Roman" w:eastAsiaTheme="minorEastAsia"/>
              </w:rPr>
            </w:pPr>
            <w:r>
              <w:rPr>
                <w:rFonts w:ascii="Calibri" w:hAnsi="Calibri" w:cs="Times New Roman" w:eastAsiaTheme="minorEastAsia"/>
              </w:rPr>
              <w:t>4. Visst</w:t>
            </w:r>
          </w:p>
        </w:tc>
        <w:tc>
          <w:tcPr>
            <w:tcW w:w="5590" w:type="dxa"/>
            <w:tcBorders>
              <w:bottom w:val="nil"/>
              <w:right w:val="nil"/>
            </w:tcBorders>
            <w:shd w:val="clear" w:color="auto" w:fill="EFEEEA"/>
          </w:tcPr>
          <w:p>
            <w:pPr>
              <w:tabs>
                <w:tab w:val="left" w:pos="284" w:leader="none"/>
              </w:tabs>
              <w:rPr>
                <w:rFonts w:ascii="Calibri" w:hAnsi="Calibri" w:cs="Times New Roman" w:eastAsiaTheme="minorEastAsia"/>
              </w:rPr>
            </w:pPr>
            <w:r>
              <w:rPr>
                <w:rFonts w:ascii="Calibri" w:hAnsi="Calibri" w:cs="Times New Roman" w:eastAsiaTheme="minorEastAsia"/>
              </w:rPr>
              <w:t>Området kan ha viss betydelse för att upprätthålla biologisk mångfald på framför allt regional och lokal nivå. Används framför allt i områden som är negativt påverkade av mänsklig aktivitet.</w:t>
            </w:r>
          </w:p>
        </w:tc>
      </w:tr>
    </w:tbl>
    <w:p>
      <w:pPr>
        <w:tabs>
          <w:tab w:val="left" w:pos="284" w:leader="none"/>
        </w:tabs>
      </w:pPr>
    </w:p>
    <w:p>
      <w:pPr>
        <w:tabs>
          <w:tab w:val="left" w:pos="284" w:leader="none"/>
        </w:tabs>
      </w:pPr>
      <w:r>
        <w:t>Vid inventeringen av området avgränsades 4 naturvärdesbiotoper. Tre områden med påtagligt naturvärde och ett område med visst naturvärde. Totalt identifierades 22 värdeelement och värdearter inklusive de rödlistade arterna svinrot och klofibbla. Sju stycken naturvärdesträd pekades</w:t>
      </w:r>
      <w:r>
        <w:rPr>
          <w:spacing w:val="-1"/>
        </w:rPr>
        <w:t xml:space="preserve"> </w:t>
      </w:r>
      <w:r>
        <w:t>ut varav tre stycken bedömdes vara särskilt skyddsvärda, tre skyddsvärda och ett värdefullt. Totalt avgränsades 16 stycken miljöer och/eller strukturer som potentiella livsmiljöer för en eller flera av de arter som ingick inom ramen</w:t>
      </w:r>
      <w:r>
        <w:rPr>
          <w:spacing w:val="40"/>
        </w:rPr>
        <w:t xml:space="preserve"> </w:t>
      </w:r>
      <w:r>
        <w:t xml:space="preserve">för inventeringen (hasselsnok, hasselmus, större vattensalamander och </w:t>
      </w:r>
      <w:r>
        <w:rPr>
          <w:spacing w:val="-2"/>
        </w:rPr>
        <w:t>fladdermöss).</w:t>
      </w:r>
    </w:p>
    <w:p>
      <w:pPr>
        <w:tabs>
          <w:tab w:val="left" w:pos="284" w:leader="none"/>
        </w:tabs>
      </w:pPr>
      <w:r>
        <w:t>Sexton områden eller strukturer avgränsades som potentiella livsmiljöer för arter som hasselsnok, hasselmus, större vattensalamander och fladdermöss, inga av dessa arter noterades under inventeringen. De viktigaste värdeelementen var blommande och bärande buskar, död ved och hålträd, men framförallt block- och stensamlingar. Dessa stenmiljöer, som ofta var etablerade med växtlighet och mossa, skapar viktiga mikroklimat och erbjuder skydd för kräldjur och småvilt, särskilt i områdets norra del. Hålträd är viktiga för fåglar och fladdermöss, men gynnar även insekter och andra smådjur.</w:t>
      </w:r>
    </w:p>
    <w:p>
      <w:pPr>
        <w:tabs>
          <w:tab w:val="left" w:pos="284" w:leader="none"/>
        </w:tabs>
      </w:pPr>
      <w:r>
        <w:t xml:space="preserve">Specifikt för hasselsnoken är kombinationen av block och sten med tät vegetation en värdefull livsmiljö. För hasselmusen är sammanhängande områden med rik busk- och lövvegetation, som enar, rosbuskar och hassel, attraktiva livsmiljöer. </w:t>
      </w:r>
    </w:p>
    <w:p>
      <w:pPr>
        <w:tabs>
          <w:tab w:val="left" w:pos="284" w:leader="none"/>
        </w:tabs>
      </w:pPr>
      <w:r>
        <w:t>En cirka 50 kvadratmeter stor vattensamling identifierades som en potentiell lekmiljö för större vattensalamandrar, som tidigare rapporterats i närliggande dammar. Block- och stensamlingar i området kan även fungera som övervintringsplatser för salamandrar och andra grod- och kräldjur.</w:t>
      </w:r>
    </w:p>
    <w:p>
      <w:pPr>
        <w:tabs>
          <w:tab w:val="left" w:pos="284" w:leader="none"/>
        </w:tabs>
      </w:pPr>
      <w:r>
        <w:t>Två invasiva arter hittades: vresros nära en väg och kanadensiskt främst i utlagda fyllnadsmassor. Även om kanadensiskt gullris för närvarande inte omfattas av lagstiftning, utvärderas den för en eventuell framtida nationell förteckning över invasiva främmande arter.</w:t>
      </w:r>
    </w:p>
    <w:p>
      <w:pPr>
        <w:tabs>
          <w:tab w:val="left" w:pos="284" w:leader="none"/>
        </w:tabs>
      </w:pPr>
      <w:r>
        <w:t>Se naturinventering (Tyrens, 2023) samt delar av MKB:n (Tyréns, 2025) för en djupare beskrivning av området och dess värden.</w:t>
      </w:r>
    </w:p>
    <w:p>
      <w:pPr>
        <w:tabs>
          <w:tab w:val="left" w:pos="284" w:leader="none"/>
        </w:tabs>
      </w:pPr>
      <w:r>
        <w:rPr>
          <w:noProof w:val="1"/>
          <w:sz w:val="20"/>
        </w:rPr>
        <w:drawing>
          <wp:inline xmlns:wp="http://schemas.openxmlformats.org/drawingml/2006/wordprocessingDrawing" distT="0" distB="0" distL="0" distR="0">
            <wp:extent cx="3905250" cy="5372100"/>
            <wp:effectExtent l="0" t="0" r="0" b="0"/>
            <wp:docPr id="1234847495" name="Image 30" descr="En bild som visar karta, text, skärmbild  AI-genererat innehåll kan vara felaktigt."/>
            <wp:cNvGraphicFramePr/>
            <a:graphic xmlns:a="http://schemas.openxmlformats.org/drawingml/2006/main">
              <a:graphicData uri="http://schemas.openxmlformats.org/drawingml/2006/picture">
                <pic:pic xmlns:pic="http://schemas.openxmlformats.org/drawingml/2006/picture">
                  <pic:nvPicPr>
                    <pic:cNvPr id="30" name="Image 30" descr="En bild som visar karta, text, skärmbild  AI-genererat innehåll kan vara felaktigt."/>
                    <pic:cNvPicPr/>
                  </pic:nvPicPr>
                  <pic:blipFill dpi="0">
                    <a:blip xmlns:r="http://schemas.openxmlformats.org/officeDocument/2006/relationships" r:embed="Relimage19" cstate="print"/>
                    <a:srcRect/>
                    <a:stretch>
                      <a:fillRect/>
                    </a:stretch>
                  </pic:blipFill>
                  <pic:spPr>
                    <a:xfrm>
                      <a:off x="0" y="0"/>
                      <a:ext cx="3905696" cy="5372714"/>
                    </a:xfrm>
                    <a:prstGeom prst="rect"/>
                  </pic:spPr>
                </pic:pic>
              </a:graphicData>
            </a:graphic>
          </wp:inline>
        </w:drawing>
      </w:r>
    </w:p>
    <w:p>
      <w:pPr>
        <w:spacing w:before="135" w:beforeAutospacing="0" w:afterAutospacing="0"/>
        <w:ind w:right="1330"/>
        <w:rPr>
          <w:i w:val="1"/>
          <w:iCs w:val="1"/>
          <w:sz w:val="18"/>
        </w:rPr>
      </w:pPr>
      <w:r>
        <w:rPr>
          <w:i w:val="1"/>
          <w:iCs w:val="1"/>
          <w:sz w:val="18"/>
        </w:rPr>
        <w:t>Bilden visar de avgränsade och klassade naturvärdesbiotoper (NVB) samt observerade värdearter (trianglar), skyddsvärda träd (punkter), observerade invasiva arter (rosa punkt) samt utpekade värdeelement (stjärnor). Värdeelement delas in i olika kategorier:</w:t>
      </w:r>
      <w:r>
        <w:rPr>
          <w:i w:val="1"/>
          <w:iCs w:val="1"/>
          <w:sz w:val="18"/>
          <w:spacing w:val="-3"/>
        </w:rPr>
        <w:t xml:space="preserve"> </w:t>
      </w:r>
      <w:r>
        <w:rPr>
          <w:i w:val="1"/>
          <w:iCs w:val="1"/>
          <w:sz w:val="18"/>
        </w:rPr>
        <w:t>block</w:t>
      </w:r>
      <w:r>
        <w:rPr>
          <w:i w:val="1"/>
          <w:iCs w:val="1"/>
          <w:sz w:val="18"/>
          <w:spacing w:val="-5"/>
        </w:rPr>
        <w:t xml:space="preserve"> </w:t>
      </w:r>
      <w:r>
        <w:rPr>
          <w:i w:val="1"/>
          <w:iCs w:val="1"/>
          <w:sz w:val="18"/>
        </w:rPr>
        <w:t>och</w:t>
      </w:r>
      <w:r>
        <w:rPr>
          <w:i w:val="1"/>
          <w:iCs w:val="1"/>
          <w:sz w:val="18"/>
          <w:spacing w:val="-5"/>
        </w:rPr>
        <w:t xml:space="preserve"> </w:t>
      </w:r>
      <w:r>
        <w:rPr>
          <w:i w:val="1"/>
          <w:iCs w:val="1"/>
          <w:sz w:val="18"/>
        </w:rPr>
        <w:t>sten</w:t>
      </w:r>
      <w:r>
        <w:rPr>
          <w:i w:val="1"/>
          <w:iCs w:val="1"/>
          <w:sz w:val="18"/>
          <w:spacing w:val="-5"/>
        </w:rPr>
        <w:t xml:space="preserve"> </w:t>
      </w:r>
      <w:r>
        <w:rPr>
          <w:i w:val="1"/>
          <w:iCs w:val="1"/>
          <w:sz w:val="18"/>
        </w:rPr>
        <w:t>(grå), hålträd</w:t>
      </w:r>
      <w:r>
        <w:rPr>
          <w:i w:val="1"/>
          <w:iCs w:val="1"/>
          <w:sz w:val="18"/>
          <w:spacing w:val="-5"/>
        </w:rPr>
        <w:t xml:space="preserve"> </w:t>
      </w:r>
      <w:r>
        <w:rPr>
          <w:i w:val="1"/>
          <w:iCs w:val="1"/>
          <w:sz w:val="18"/>
        </w:rPr>
        <w:t>(blå),</w:t>
      </w:r>
      <w:r>
        <w:rPr>
          <w:i w:val="1"/>
          <w:iCs w:val="1"/>
          <w:sz w:val="18"/>
          <w:spacing w:val="-3"/>
        </w:rPr>
        <w:t xml:space="preserve"> </w:t>
      </w:r>
      <w:r>
        <w:rPr>
          <w:i w:val="1"/>
          <w:iCs w:val="1"/>
          <w:sz w:val="18"/>
        </w:rPr>
        <w:t>blommande</w:t>
      </w:r>
      <w:r>
        <w:rPr>
          <w:i w:val="1"/>
          <w:iCs w:val="1"/>
          <w:sz w:val="18"/>
          <w:spacing w:val="-1"/>
        </w:rPr>
        <w:t xml:space="preserve"> </w:t>
      </w:r>
      <w:r>
        <w:rPr>
          <w:i w:val="1"/>
          <w:iCs w:val="1"/>
          <w:sz w:val="18"/>
        </w:rPr>
        <w:t>buskar</w:t>
      </w:r>
      <w:r>
        <w:rPr>
          <w:i w:val="1"/>
          <w:iCs w:val="1"/>
          <w:sz w:val="18"/>
          <w:spacing w:val="-3"/>
        </w:rPr>
        <w:t xml:space="preserve"> </w:t>
      </w:r>
      <w:r>
        <w:rPr>
          <w:i w:val="1"/>
          <w:iCs w:val="1"/>
          <w:sz w:val="18"/>
        </w:rPr>
        <w:t>(grön) och</w:t>
      </w:r>
      <w:r>
        <w:rPr>
          <w:i w:val="1"/>
          <w:iCs w:val="1"/>
          <w:sz w:val="18"/>
          <w:spacing w:val="-5"/>
        </w:rPr>
        <w:t xml:space="preserve"> </w:t>
      </w:r>
      <w:r>
        <w:rPr>
          <w:i w:val="1"/>
          <w:iCs w:val="1"/>
          <w:sz w:val="18"/>
        </w:rPr>
        <w:t>död</w:t>
      </w:r>
      <w:r>
        <w:rPr>
          <w:i w:val="1"/>
          <w:iCs w:val="1"/>
          <w:sz w:val="18"/>
          <w:spacing w:val="-5"/>
        </w:rPr>
        <w:t xml:space="preserve"> </w:t>
      </w:r>
      <w:r>
        <w:rPr>
          <w:i w:val="1"/>
          <w:iCs w:val="1"/>
          <w:sz w:val="18"/>
        </w:rPr>
        <w:t>ved</w:t>
      </w:r>
      <w:r>
        <w:rPr>
          <w:i w:val="1"/>
          <w:iCs w:val="1"/>
          <w:sz w:val="18"/>
          <w:spacing w:val="-5"/>
        </w:rPr>
        <w:t xml:space="preserve"> </w:t>
      </w:r>
      <w:r>
        <w:rPr>
          <w:i w:val="1"/>
          <w:iCs w:val="1"/>
          <w:sz w:val="18"/>
        </w:rPr>
        <w:t>(brun). Bedömt äldre, mer etablerade block- och stensamlingar noteras som grå stjärna med röd halo. Orange polygoner redovisar klassade NVB till ”Påtagligt naturvärde” (NVB1-3), gul polygon redovisar ytor klassat till ”Visst naturvärde” (NVB4). Punkter redovisar utpekade skyddsvärda träd i olika klassning: klass 1 Särskilt skyddsvärt träd (röd punkt), klass 2 Skyddsvärt träd (Orange punkt) och Värdefullt träd (gul punkt).</w:t>
      </w:r>
    </w:p>
    <w:p>
      <w:pPr>
        <w:tabs>
          <w:tab w:val="left" w:pos="284" w:leader="none"/>
        </w:tabs>
        <w:rPr>
          <w:b w:val="1"/>
          <w:bCs w:val="1"/>
        </w:rPr>
      </w:pPr>
      <w:r>
        <w:br w:type="textWrapping"/>
      </w:r>
      <w:r>
        <w:rPr>
          <w:b w:val="1"/>
          <w:bCs w:val="1"/>
        </w:rPr>
        <w:t>Kompensationsåtgärder</w:t>
      </w:r>
    </w:p>
    <w:p>
      <w:pPr>
        <w:tabs>
          <w:tab w:val="left" w:pos="284" w:leader="none"/>
        </w:tabs>
      </w:pPr>
      <w:r>
        <w:t>Den avverkning av delar om området som utfördes innan naturinventeringen visar på större förändringar av områdets naturmiljö. Identifierade miljöer med potentiellt naturvärde saknades. Eftersom ingen fältinventering utfördes innan avverkningen är det svårt att fastställa konsekvenserna för naturmiljön. Dock kan vissa antas baserat på förstudien:</w:t>
      </w:r>
    </w:p>
    <w:p>
      <w:pPr>
        <w:pStyle w:val="P12"/>
        <w:numPr>
          <w:ilvl w:val="0"/>
          <w:numId w:val="38"/>
        </w:numPr>
        <w:tabs>
          <w:tab w:val="left" w:pos="284" w:leader="none"/>
        </w:tabs>
      </w:pPr>
      <w:r>
        <w:t xml:space="preserve">Förlust av rödlistade och skyddade arter relaterade till skog och träd. </w:t>
      </w:r>
    </w:p>
    <w:p>
      <w:pPr>
        <w:pStyle w:val="P12"/>
        <w:numPr>
          <w:ilvl w:val="0"/>
          <w:numId w:val="38"/>
        </w:numPr>
        <w:tabs>
          <w:tab w:val="left" w:pos="284" w:leader="none"/>
        </w:tabs>
      </w:pPr>
      <w:r>
        <w:t xml:space="preserve">Potentiell förlust av äldre ädellövträd och träd med håligheter, som är värdefulla för fåglar och fladdermöss. </w:t>
      </w:r>
    </w:p>
    <w:p>
      <w:pPr>
        <w:pStyle w:val="P12"/>
        <w:numPr>
          <w:ilvl w:val="0"/>
          <w:numId w:val="38"/>
        </w:numPr>
        <w:tabs>
          <w:tab w:val="left" w:pos="284" w:leader="none"/>
        </w:tabs>
      </w:pPr>
      <w:r>
        <w:t xml:space="preserve">Potentiell förlust av miljöer med hög förekomst av värdearter, där NVB1-2 och NVB4 delvis har styckats av. </w:t>
      </w:r>
    </w:p>
    <w:p>
      <w:pPr>
        <w:pStyle w:val="P12"/>
        <w:numPr>
          <w:ilvl w:val="0"/>
          <w:numId w:val="38"/>
        </w:numPr>
        <w:tabs>
          <w:tab w:val="left" w:pos="284" w:leader="none"/>
        </w:tabs>
      </w:pPr>
      <w:r>
        <w:t>Potentiell störning och skada på eventuellt förekommande fokusarter.</w:t>
      </w:r>
    </w:p>
    <w:p>
      <w:pPr>
        <w:tabs>
          <w:tab w:val="left" w:pos="284" w:leader="none"/>
        </w:tabs>
      </w:pPr>
      <w:r>
        <w:t>För att kompensera och minska påverkan av detaljplanens genomförande planeras olika skyddsåtgärder. Huvudfokus ligger på att skydda markmiljön, skapa nya livsmiljöer för hotade arter och kompensera för naturvärdesförluster. Detta inkluderar att begränsa tung byggtrafik till befintliga vägar och använda skyddsmattor vid behov. Trädstammar som måste flyttas ska återanvändas för att skapa faunadepåer, placerade strategiskt för att gynna arter som större vattensalamander, och denna flytt måste ske före byggstart. För att kompensera för förlorade naturvärden föreslås förstärkande åtgärder i liknande naturvärdesbiotoper, såsom slyröjning, för att bibehålla öppna och solbelysta livsmiljöer viktiga för hasselsnok och hasselmus. Viktiga stenrösen, som är livsmiljöer för grod- och kräldjur, ska flyttas varsamt till lämpliga platser inom eller nära planområdet, och detta får inte ske under vintern eller våren. Utförandet ska också minimera påverkan på vattensamlingar och hantera invasiva arter korrekt för att förhindra spridning. Dessutom kan informationsskyltar sättas upp för att öka allmänhetens medvetenhet om områdets biologiska mångfald. Samtliga dessa åtgärder är avgörande för att upprätthålla områdets ekologiska funktioner under och efter byggprojektet.</w:t>
      </w:r>
    </w:p>
    <w:p>
      <w:pPr>
        <w:spacing w:lineRule="auto" w:line="240" w:before="100" w:after="100" w:beforeAutospacing="1" w:afterAutospacing="1"/>
        <w:rPr>
          <w:b w:val="1"/>
          <w:i w:val="1"/>
          <w:bCs w:val="1"/>
          <w:iCs w:val="1"/>
        </w:rPr>
      </w:pPr>
      <w:bookmarkEnd w:id="128"/>
      <w:r>
        <w:rPr>
          <w:b w:val="1"/>
          <w:i w:val="1"/>
          <w:bCs w:val="1"/>
          <w:iCs w:val="1"/>
        </w:rPr>
        <w:t>Bedömning/konsekvenser</w:t>
      </w:r>
    </w:p>
    <w:p>
      <w:pPr>
        <w:spacing w:lineRule="auto" w:line="240" w:before="100" w:after="100" w:beforeAutospacing="1" w:afterAutospacing="1"/>
      </w:pPr>
      <w:bookmarkStart w:id="129" w:name="ko_natur01"/>
      <w:r>
        <w:t>Efter samråd och framtagande av naturinventering samt miljökonsekvensbeskrivning (MKB) har detaljplanen bearbetats för att hantera identifierade naturvärden. Planen har nu tagit stor hänsyn till känsliga naturvärdesbiotoper (NVB1, 2 och 3) och viktiga livsmiljöer för arter som hasselmus och hasselsnok, vilka till stor del bevaras. Även specifika skyddsvärda träd och en äldre stenmur har fått skyddande buffertzoner (se bild nedan).</w:t>
      </w:r>
    </w:p>
    <w:p>
      <w:pPr>
        <w:spacing w:lineRule="auto" w:line="240" w:before="100" w:after="100" w:beforeAutospacing="1" w:afterAutospacing="1"/>
        <w:rPr>
          <w:noProof w:val="1"/>
          <w:sz w:val="20"/>
        </w:rPr>
      </w:pPr>
      <w:r>
        <w:t xml:space="preserve">Trots dessa anpassningar bedöms dock vissa värdeelement som stenrösen och grov död ved, samt den avlånga naturvärdesbiotopen NVB4, komma i konflikt med planförslaget. Förlusten av stenrösen, vilka är avgörande för grod- och kräldjur, skulle få betydande negativa konsekvenser om inga skyddsåtgärder vidtas. Med föreslagna åtgärder förväntas dock dessa livsmiljöer kunna bibehållas. Utifrån de hänsyn som tagits under planprocessen och de föreslagna skyddsåtgärderna i miljökonsekvensbeskrivningen, förväntas naturmiljön och den biologiska mångfalden i området bevaras under detaljplanens driftstid. Även om byggfasen, som beräknas pågå i fem år, kommer att medföra störningar som ökad </w:t>
      </w:r>
      <w:r>
        <w:rPr>
          <w:noProof w:val="1"/>
          <w:sz w:val="20"/>
        </w:rPr>
        <w:drawing>
          <wp:inline xmlns:wp="http://schemas.openxmlformats.org/drawingml/2006/wordprocessingDrawing" distT="0" distB="0" distL="0" distR="0">
            <wp:extent cx="3828415" cy="5452110"/>
            <wp:effectExtent l="0" t="0" r="635" b="0"/>
            <wp:docPr id="1234847493" name="Image 31" descr="En bild som visar skärmbild, Flygfotografi, text, karta  AI-genererat innehåll kan vara felaktigt."/>
            <wp:cNvGraphicFramePr/>
            <a:graphic xmlns:a="http://schemas.openxmlformats.org/drawingml/2006/main">
              <a:graphicData uri="http://schemas.openxmlformats.org/drawingml/2006/picture">
                <pic:pic xmlns:pic="http://schemas.openxmlformats.org/drawingml/2006/picture">
                  <pic:nvPicPr>
                    <pic:cNvPr id="31" name="Image 31" descr="En bild som visar skärmbild, Flygfotografi, text, karta  AI-genererat innehåll kan vara felaktigt."/>
                    <pic:cNvPicPr/>
                  </pic:nvPicPr>
                  <pic:blipFill dpi="0">
                    <a:blip xmlns:r="http://schemas.openxmlformats.org/officeDocument/2006/relationships" r:embed="Relimage20" cstate="print"/>
                    <a:srcRect/>
                    <a:stretch>
                      <a:fillRect/>
                    </a:stretch>
                  </pic:blipFill>
                  <pic:spPr>
                    <a:xfrm>
                      <a:off x="0" y="0"/>
                      <a:ext cx="3828415" cy="5452110"/>
                    </a:xfrm>
                    <a:prstGeom prst="rect"/>
                  </pic:spPr>
                </pic:pic>
              </a:graphicData>
            </a:graphic>
          </wp:inline>
        </w:drawing>
      </w:r>
      <w:r>
        <w:br w:type="textWrapping"/>
      </w:r>
      <w:r>
        <w:rPr>
          <w:i w:val="1"/>
          <w:iCs w:val="1"/>
          <w:sz w:val="18"/>
        </w:rPr>
        <w:t>Bild visar befintliga naturvärden i</w:t>
      </w:r>
      <w:r>
        <w:rPr>
          <w:i w:val="1"/>
          <w:iCs w:val="1"/>
          <w:sz w:val="18"/>
          <w:spacing w:val="-3"/>
        </w:rPr>
        <w:t xml:space="preserve"> </w:t>
      </w:r>
      <w:r>
        <w:rPr>
          <w:i w:val="1"/>
          <w:iCs w:val="1"/>
          <w:sz w:val="18"/>
        </w:rPr>
        <w:t>relation</w:t>
      </w:r>
      <w:r>
        <w:rPr>
          <w:i w:val="1"/>
          <w:iCs w:val="1"/>
          <w:sz w:val="18"/>
          <w:spacing w:val="-1"/>
        </w:rPr>
        <w:t xml:space="preserve"> </w:t>
      </w:r>
      <w:r>
        <w:rPr>
          <w:i w:val="1"/>
          <w:iCs w:val="1"/>
          <w:sz w:val="18"/>
        </w:rPr>
        <w:t>till projekteringsförslag. Svarta</w:t>
      </w:r>
      <w:r>
        <w:rPr>
          <w:i w:val="1"/>
          <w:iCs w:val="1"/>
          <w:sz w:val="18"/>
          <w:spacing w:val="-1"/>
        </w:rPr>
        <w:t xml:space="preserve"> </w:t>
      </w:r>
      <w:r>
        <w:rPr>
          <w:i w:val="1"/>
          <w:iCs w:val="1"/>
          <w:sz w:val="18"/>
        </w:rPr>
        <w:t>polygoner med vita heldragna</w:t>
      </w:r>
      <w:r>
        <w:rPr>
          <w:i w:val="1"/>
          <w:iCs w:val="1"/>
          <w:sz w:val="18"/>
          <w:spacing w:val="-5"/>
        </w:rPr>
        <w:t xml:space="preserve"> </w:t>
      </w:r>
      <w:r>
        <w:rPr>
          <w:i w:val="1"/>
          <w:iCs w:val="1"/>
          <w:sz w:val="18"/>
        </w:rPr>
        <w:t>och</w:t>
      </w:r>
      <w:r>
        <w:rPr>
          <w:i w:val="1"/>
          <w:iCs w:val="1"/>
          <w:sz w:val="18"/>
          <w:spacing w:val="-5"/>
        </w:rPr>
        <w:t xml:space="preserve"> </w:t>
      </w:r>
      <w:r>
        <w:rPr>
          <w:i w:val="1"/>
          <w:iCs w:val="1"/>
          <w:sz w:val="18"/>
        </w:rPr>
        <w:t>streckade</w:t>
      </w:r>
      <w:r>
        <w:rPr>
          <w:i w:val="1"/>
          <w:iCs w:val="1"/>
          <w:sz w:val="18"/>
          <w:spacing w:val="-5"/>
        </w:rPr>
        <w:t xml:space="preserve"> </w:t>
      </w:r>
      <w:r>
        <w:rPr>
          <w:i w:val="1"/>
          <w:iCs w:val="1"/>
          <w:sz w:val="18"/>
        </w:rPr>
        <w:t>linjer</w:t>
      </w:r>
      <w:r>
        <w:rPr>
          <w:i w:val="1"/>
          <w:iCs w:val="1"/>
          <w:sz w:val="18"/>
          <w:spacing w:val="-3"/>
        </w:rPr>
        <w:t xml:space="preserve"> </w:t>
      </w:r>
      <w:r>
        <w:rPr>
          <w:i w:val="1"/>
          <w:iCs w:val="1"/>
          <w:sz w:val="18"/>
        </w:rPr>
        <w:t>redovisar</w:t>
      </w:r>
      <w:r>
        <w:rPr>
          <w:i w:val="1"/>
          <w:iCs w:val="1"/>
          <w:sz w:val="18"/>
          <w:spacing w:val="-3"/>
        </w:rPr>
        <w:t xml:space="preserve"> </w:t>
      </w:r>
      <w:r>
        <w:rPr>
          <w:i w:val="1"/>
          <w:iCs w:val="1"/>
          <w:sz w:val="18"/>
        </w:rPr>
        <w:t>tilltänka</w:t>
      </w:r>
      <w:r>
        <w:rPr>
          <w:i w:val="1"/>
          <w:iCs w:val="1"/>
          <w:sz w:val="18"/>
          <w:spacing w:val="-1"/>
        </w:rPr>
        <w:t xml:space="preserve"> </w:t>
      </w:r>
      <w:r>
        <w:rPr>
          <w:i w:val="1"/>
          <w:iCs w:val="1"/>
          <w:sz w:val="18"/>
        </w:rPr>
        <w:t>hustomter</w:t>
      </w:r>
      <w:r>
        <w:rPr>
          <w:i w:val="1"/>
          <w:iCs w:val="1"/>
          <w:sz w:val="18"/>
          <w:spacing w:val="-8"/>
        </w:rPr>
        <w:t xml:space="preserve"> </w:t>
      </w:r>
      <w:r>
        <w:rPr>
          <w:i w:val="1"/>
          <w:iCs w:val="1"/>
          <w:sz w:val="18"/>
        </w:rPr>
        <w:t>med</w:t>
      </w:r>
      <w:r>
        <w:rPr>
          <w:i w:val="1"/>
          <w:iCs w:val="1"/>
          <w:sz w:val="18"/>
          <w:spacing w:val="-1"/>
        </w:rPr>
        <w:t xml:space="preserve"> </w:t>
      </w:r>
      <w:r>
        <w:rPr>
          <w:i w:val="1"/>
          <w:iCs w:val="1"/>
          <w:sz w:val="18"/>
        </w:rPr>
        <w:t>tillhörande</w:t>
      </w:r>
      <w:r>
        <w:rPr>
          <w:i w:val="1"/>
          <w:iCs w:val="1"/>
          <w:sz w:val="18"/>
          <w:spacing w:val="-5"/>
        </w:rPr>
        <w:t xml:space="preserve"> </w:t>
      </w:r>
      <w:r>
        <w:rPr>
          <w:i w:val="1"/>
          <w:iCs w:val="1"/>
          <w:sz w:val="18"/>
        </w:rPr>
        <w:t>huskroppar.</w:t>
      </w:r>
      <w:r>
        <w:rPr>
          <w:i w:val="1"/>
          <w:iCs w:val="1"/>
          <w:sz w:val="18"/>
          <w:spacing w:val="-3"/>
        </w:rPr>
        <w:t xml:space="preserve"> </w:t>
      </w:r>
      <w:r>
        <w:rPr>
          <w:i w:val="1"/>
          <w:iCs w:val="1"/>
          <w:sz w:val="18"/>
        </w:rPr>
        <w:t>Vit polygon redovisar tilltänka vägar inom området. Avgränsade och klassade naturvärdesbiotoper (NVB) samt observerade värdearter (trianglar), skyddsvärda träd (punkter), observerade invasiva arter (rosa punkt) samt utpekade värdeelement (stjärnor). Värdeelement delas in i olika kategorier: block och sten (grå), hålträd (blå), blommande buskar</w:t>
      </w:r>
      <w:r>
        <w:rPr>
          <w:i w:val="1"/>
          <w:iCs w:val="1"/>
          <w:sz w:val="18"/>
          <w:spacing w:val="-1"/>
        </w:rPr>
        <w:t xml:space="preserve"> </w:t>
      </w:r>
      <w:r>
        <w:rPr>
          <w:i w:val="1"/>
          <w:iCs w:val="1"/>
          <w:sz w:val="18"/>
        </w:rPr>
        <w:t>(grön) och död ved (brun). Bedömt äldre, mer etablerade block- och stensamlingar noteras som grå stjärna med röd halo. Utpekade potentiella livsmiljöer vattensalamander (blå polygon) och hasselmus (vit polygon). Orange polygoner redovisar klassade NVB till ”Påtagligt naturvärde” (NVB1-3), gul polygon redovisar ytor klassat till ”Visst naturvärde” (NVB4). Punkter redovisar utpekade skyddsvärda träd i olika klassning: klass 1 Särskilt skyddsvärt</w:t>
      </w:r>
      <w:r>
        <w:rPr>
          <w:i w:val="1"/>
          <w:iCs w:val="1"/>
          <w:sz w:val="18"/>
          <w:spacing w:val="-1"/>
        </w:rPr>
        <w:t xml:space="preserve"> </w:t>
      </w:r>
      <w:r>
        <w:rPr>
          <w:i w:val="1"/>
          <w:iCs w:val="1"/>
          <w:sz w:val="18"/>
        </w:rPr>
        <w:t>träd</w:t>
      </w:r>
      <w:r>
        <w:rPr>
          <w:i w:val="1"/>
          <w:iCs w:val="1"/>
          <w:sz w:val="18"/>
          <w:spacing w:val="-3"/>
        </w:rPr>
        <w:t xml:space="preserve"> </w:t>
      </w:r>
      <w:r>
        <w:rPr>
          <w:i w:val="1"/>
          <w:iCs w:val="1"/>
          <w:sz w:val="18"/>
        </w:rPr>
        <w:t>(röd punkt), klass</w:t>
      </w:r>
      <w:r>
        <w:rPr>
          <w:i w:val="1"/>
          <w:iCs w:val="1"/>
          <w:sz w:val="18"/>
          <w:spacing w:val="-3"/>
        </w:rPr>
        <w:t xml:space="preserve"> </w:t>
      </w:r>
      <w:r>
        <w:rPr>
          <w:i w:val="1"/>
          <w:iCs w:val="1"/>
          <w:sz w:val="18"/>
        </w:rPr>
        <w:t>2 Skyddsvärt</w:t>
      </w:r>
      <w:r>
        <w:rPr>
          <w:i w:val="1"/>
          <w:iCs w:val="1"/>
          <w:sz w:val="18"/>
          <w:spacing w:val="-1"/>
        </w:rPr>
        <w:t xml:space="preserve"> </w:t>
      </w:r>
      <w:r>
        <w:rPr>
          <w:i w:val="1"/>
          <w:iCs w:val="1"/>
          <w:sz w:val="18"/>
        </w:rPr>
        <w:t>träd</w:t>
      </w:r>
      <w:r>
        <w:rPr>
          <w:i w:val="1"/>
          <w:iCs w:val="1"/>
          <w:sz w:val="18"/>
          <w:spacing w:val="-3"/>
        </w:rPr>
        <w:t xml:space="preserve"> </w:t>
      </w:r>
      <w:r>
        <w:rPr>
          <w:i w:val="1"/>
          <w:iCs w:val="1"/>
          <w:sz w:val="18"/>
        </w:rPr>
        <w:t>(Orange</w:t>
      </w:r>
      <w:r>
        <w:rPr>
          <w:i w:val="1"/>
          <w:iCs w:val="1"/>
          <w:sz w:val="18"/>
          <w:spacing w:val="-3"/>
        </w:rPr>
        <w:t xml:space="preserve"> </w:t>
      </w:r>
      <w:r>
        <w:rPr>
          <w:i w:val="1"/>
          <w:iCs w:val="1"/>
          <w:sz w:val="18"/>
        </w:rPr>
        <w:t>punkt)</w:t>
      </w:r>
      <w:r>
        <w:rPr>
          <w:i w:val="1"/>
          <w:iCs w:val="1"/>
          <w:sz w:val="18"/>
          <w:spacing w:val="-1"/>
        </w:rPr>
        <w:t xml:space="preserve"> </w:t>
      </w:r>
      <w:r>
        <w:rPr>
          <w:i w:val="1"/>
          <w:iCs w:val="1"/>
          <w:sz w:val="18"/>
        </w:rPr>
        <w:t>och</w:t>
      </w:r>
      <w:r>
        <w:rPr>
          <w:i w:val="1"/>
          <w:iCs w:val="1"/>
          <w:sz w:val="18"/>
          <w:spacing w:val="-3"/>
        </w:rPr>
        <w:t xml:space="preserve"> </w:t>
      </w:r>
      <w:r>
        <w:rPr>
          <w:i w:val="1"/>
          <w:iCs w:val="1"/>
          <w:sz w:val="18"/>
        </w:rPr>
        <w:t>Värdefullt</w:t>
      </w:r>
      <w:r>
        <w:rPr>
          <w:i w:val="1"/>
          <w:iCs w:val="1"/>
          <w:sz w:val="18"/>
          <w:spacing w:val="-1"/>
        </w:rPr>
        <w:t xml:space="preserve"> </w:t>
      </w:r>
      <w:r>
        <w:rPr>
          <w:i w:val="1"/>
          <w:iCs w:val="1"/>
          <w:sz w:val="18"/>
        </w:rPr>
        <w:t>träd</w:t>
      </w:r>
      <w:r>
        <w:rPr>
          <w:i w:val="1"/>
          <w:iCs w:val="1"/>
          <w:sz w:val="18"/>
          <w:spacing w:val="-3"/>
        </w:rPr>
        <w:t xml:space="preserve"> </w:t>
      </w:r>
      <w:r>
        <w:rPr>
          <w:i w:val="1"/>
          <w:iCs w:val="1"/>
          <w:sz w:val="18"/>
        </w:rPr>
        <w:t>(gul punkt). Invasiva arter redovisas med rosa punkt.</w:t>
      </w:r>
    </w:p>
    <w:p>
      <w:pPr>
        <w:spacing w:lineRule="auto" w:line="240" w:before="100" w:after="100" w:beforeAutospacing="1" w:afterAutospacing="1"/>
      </w:pPr>
    </w:p>
    <w:p>
      <w:pPr>
        <w:spacing w:lineRule="auto" w:line="240" w:before="100" w:after="100" w:beforeAutospacing="1" w:afterAutospacing="1"/>
      </w:pPr>
    </w:p>
    <w:p>
      <w:pPr>
        <w:spacing w:lineRule="auto" w:line="240" w:before="100" w:after="100" w:beforeAutospacing="1" w:afterAutospacing="1"/>
      </w:pPr>
      <w:r>
        <w:t>aktivitet, buller och fysisk påverkan från arbetsmaskiner, bedöms dessa effekter som små och övergående. Rörliga arter som hasselsnok och fåglar antas kunna dra sig undan och återvända när byggarbetet är klart, förutsatt att lämpliga livsmiljöer finns kvar.</w:t>
      </w:r>
      <w:r>
        <w:rPr>
          <w:noProof w:val="1"/>
          <w:sz w:val="20"/>
        </w:rPr>
        <w:t xml:space="preserve"> </w:t>
      </w:r>
    </w:p>
    <w:p>
      <w:pPr>
        <w:tabs>
          <w:tab w:val="left" w:pos="284" w:leader="none"/>
        </w:tabs>
      </w:pPr>
      <w:r>
        <w:t xml:space="preserve">Sammanfattningsvis bedöms planförslagets negativa konsekvenser för naturmiljön som små, med tanke på att hänsyn har tagits till majoriteten av naturvärdena, att potentiella livsmiljöer för fladdermöss, fåglar och hasselmus undviks att förloras, och att invasiva arter som kanadensiskt gullris avlägsnas, vilket ses som en positiv effekt för den biologiska mångfalden. </w:t>
      </w:r>
    </w:p>
    <w:p>
      <w:pPr>
        <w:tabs>
          <w:tab w:val="left" w:pos="284" w:leader="none"/>
        </w:tabs>
      </w:pPr>
      <w:r>
        <w:t>För en mer detaljerad bild av naturmiljön se naturinventering (Tyréns 2023) och planens påverkan på naturområdet, se MKB:N (Tyréns 2025).</w:t>
      </w:r>
    </w:p>
    <w:p>
      <w:pPr>
        <w:pStyle w:val="P3"/>
      </w:pPr>
      <w:bookmarkEnd w:id="129"/>
      <w:bookmarkStart w:id="130" w:name="_Toc214961321"/>
      <w:r>
        <w:t>Spridningskorridor</w:t>
      </w:r>
      <w:bookmarkEnd w:id="130"/>
    </w:p>
    <w:p>
      <w:pPr>
        <w:tabs>
          <w:tab w:val="left" w:pos="284" w:leader="none"/>
        </w:tabs>
      </w:pPr>
      <w:bookmarkStart w:id="131" w:name="pu_naturinventering02"/>
      <w:r>
        <w:t>Spridningskorridorer är avgörande för att bevara den biologiska mångfalden genom att länka samman livsmiljöer. Dessa kan vara naturliga strukturer som skogsremsor, eller mindre urbana grönområden som alléer, parker, trädgårdsplanteringar och artrika vägkanter. Deras huvudsyfte är att underlätta för växter och djur att röra sig och spridas mellan lämpliga områden.</w:t>
      </w:r>
    </w:p>
    <w:p>
      <w:pPr>
        <w:tabs>
          <w:tab w:val="left" w:pos="284" w:leader="none"/>
        </w:tabs>
      </w:pPr>
      <w:r>
        <w:t>Före exploateringen som påbörjades i början av 2023 var delar av planområdet en del av ett stort lövskogsområde väster om E4. Dess funktion som lövskog har dock gått förlorad sedan lövskogen inom området avverkades. Med tanke på det nuvarande landskapet, där lövskogen är borta, är det osannolikt att arter som tidigare använde området som spridningsväg via skog nu gör det. Det är svårt att med säkerhet avgöra områdets betydelse som spridningslänk i förhållande till omgivande natur utifrån nuläget.</w:t>
      </w:r>
    </w:p>
    <w:p>
      <w:pPr>
        <w:tabs>
          <w:tab w:val="left" w:pos="284" w:leader="none"/>
        </w:tabs>
      </w:pPr>
      <w:bookmarkStart w:id="132" w:name="_Hlk199511064"/>
      <w:r>
        <w:t>Idag domineras detaljplaneområdet av ytligt liggande berg, block, stenrösen och andra öppna ytor. Omgivningen utanför planområdet har inte inventerats i detalj, utan har främst studerats via satellitbilder och information från bevarandeplanen för Natura 2000-området Vida Vättern. Där beskrivs nordlig ädellövskog och ädellövskog i branter som dominerande naturtyper, med en ambition att ädellövskog ska prägla området även i framtiden, bibehållandes en hög luftfuktighet.</w:t>
      </w:r>
      <w:bookmarkEnd w:id="132"/>
    </w:p>
    <w:p>
      <w:pPr>
        <w:spacing w:lineRule="auto" w:line="240" w:before="100" w:after="100" w:beforeAutospacing="1" w:afterAutospacing="1"/>
        <w:rPr>
          <w:rFonts w:ascii="Calibri" w:hAnsi="Calibri"/>
        </w:rPr>
      </w:pPr>
      <w:r>
        <w:rPr>
          <w:rFonts w:ascii="Calibri" w:hAnsi="Calibri"/>
        </w:rPr>
        <w:t>Hasselsnok har rapporterats inom Vida Vättern, men bevarandeplanen nämner inte specifikt lämpliga livsmiljöer som solbelysta block, sten och berghällar inom Natura 2000-området. Dessa typer av livsmiljöer, som är viktiga för hasselsnoken, finns däremot inom det aktuella planområdet.</w:t>
      </w:r>
    </w:p>
    <w:p>
      <w:pPr>
        <w:spacing w:lineRule="auto" w:line="240" w:before="100" w:after="100" w:beforeAutospacing="1" w:afterAutospacing="1"/>
        <w:rPr>
          <w:rFonts w:ascii="Calibri" w:hAnsi="Calibri"/>
        </w:rPr>
      </w:pPr>
      <w:r>
        <w:rPr>
          <w:rFonts w:ascii="Calibri" w:hAnsi="Calibri"/>
        </w:rPr>
        <w:t>En studie av Lantmäteriets "Min karta" indikerar att tallskog på hällmark, som ofta är solbelagd och varm, kan finnas cirka 250 meter nordväst om detaljplaneområdet längs Vättern, samt cirka 250 meter sydost. Området sydost om planområdet är dessutom en del av Skogsstyrelsens nyckelbiotoper, beskriven som en miljö med hällar och odlingsrösen, där trädsammansättningen huvudsakligen består av ek, samt lika delar skogslind och tall.</w:t>
      </w:r>
    </w:p>
    <w:p>
      <w:pPr>
        <w:spacing w:lineRule="auto" w:line="240" w:before="100" w:after="100" w:beforeAutospacing="1" w:afterAutospacing="1"/>
        <w:rPr>
          <w:b w:val="1"/>
          <w:i w:val="1"/>
          <w:bCs w:val="1"/>
          <w:iCs w:val="1"/>
        </w:rPr>
      </w:pPr>
      <w:bookmarkEnd w:id="131"/>
      <w:r>
        <w:rPr>
          <w:b w:val="1"/>
          <w:i w:val="1"/>
          <w:bCs w:val="1"/>
          <w:iCs w:val="1"/>
        </w:rPr>
        <w:t>Bedömning/konsekvenser</w:t>
      </w:r>
    </w:p>
    <w:p>
      <w:pPr>
        <w:spacing w:lineRule="auto" w:line="240" w:before="100" w:after="100" w:beforeAutospacing="1" w:afterAutospacing="1"/>
      </w:pPr>
      <w:bookmarkStart w:id="133" w:name="ko_natur02"/>
      <w:r>
        <w:t>Sammantaget bedöms planområdet i nuläget inte utgöra en särskilt viktig spridningslänk. Därför förväntas detaljplaneförslaget inte ha en påtagligt negativ inverkan på möjligheterna till spridning lokalt. Dock har hasselsnok observerats inom Natura 2000-området Vida Vättern, som verkar sakna de viktiga strukturer som arten behöver. De större stenrösen och block som finns inom detaljplaneområdet kan därför utgöra en viktig tillflyktsort för denna art. Tack vare de föreslagna skyddsåtgärderna är bedömningen att dessa värdefulla livsmiljöer kan bevaras även om detaljplanen genomförs (MKB, 2025).</w:t>
      </w:r>
    </w:p>
    <w:p>
      <w:pPr>
        <w:pStyle w:val="P2"/>
      </w:pPr>
      <w:bookmarkEnd w:id="133"/>
      <w:bookmarkStart w:id="134" w:name="_Toc198806274"/>
      <w:bookmarkStart w:id="135" w:name="_Toc214961322"/>
      <w:r>
        <w:t>Gator och trafik</w:t>
      </w:r>
      <w:bookmarkEnd w:id="134"/>
      <w:bookmarkEnd w:id="135"/>
    </w:p>
    <w:p>
      <w:pPr>
        <w:tabs>
          <w:tab w:val="left" w:pos="284" w:leader="none"/>
        </w:tabs>
      </w:pPr>
      <w:bookmarkStart w:id="136" w:name="ko_trafik01"/>
      <w:r>
        <w:t xml:space="preserve">Planområdet nås via väg 918. Området ligger i nära anslutning till trafikplats för europaväg 4. Utfarten från bostadsdelen kommer förflyttas norrut mot väg 918. Lastbilsparkeringen är tänkt att ersättas med husbilsparkering vilket leder till färre tung trafik förbi området. </w:t>
      </w:r>
    </w:p>
    <w:p>
      <w:pPr>
        <w:tabs>
          <w:tab w:val="left" w:pos="284" w:leader="none"/>
        </w:tabs>
        <w:rPr>
          <w:b w:val="1"/>
          <w:i w:val="1"/>
          <w:bCs w:val="1"/>
          <w:iCs w:val="1"/>
        </w:rPr>
      </w:pPr>
      <w:bookmarkEnd w:id="136"/>
      <w:r>
        <w:rPr>
          <w:b w:val="1"/>
          <w:i w:val="1"/>
          <w:bCs w:val="1"/>
          <w:iCs w:val="1"/>
        </w:rPr>
        <w:t>Bedömning/Konsekvenser</w:t>
      </w:r>
    </w:p>
    <w:p>
      <w:pPr>
        <w:tabs>
          <w:tab w:val="left" w:pos="284" w:leader="none"/>
        </w:tabs>
      </w:pPr>
      <w:bookmarkStart w:id="137" w:name="ko_trafik02"/>
      <w:r>
        <w:t>I samband med att området bebyggts kommer trafiken till området att ökas. Ökningen ses som marginell då väg 918 redan har en hel del trafik och verksamheten med drivmedelsstation redan drar till sig en viss trafik. Ingen genomfartstrafik kommer ske inom området utan primärt för boende och besökande till boende.</w:t>
      </w:r>
    </w:p>
    <w:p>
      <w:pPr>
        <w:tabs>
          <w:tab w:val="left" w:pos="284" w:leader="none"/>
        </w:tabs>
      </w:pPr>
      <w:r>
        <w:t xml:space="preserve">En förprojektering har tagits fram för nya gator inom planområdet. Gatorna kommer ha varierad bredd där vanliga fordon kan mötas och större servicefordon har möjlighet att vända, huvudvägen blir 5- 6 meter bred och de mindre stickgatorna in till några få tomter blir ca 3,5 meter breda. Standarden är enklare än vid vanliga villagator inom tätorten. Gatorna omges av diken på båda sidor för att hantera avrinningen. Diken storlek varierar längs med gatorna beroende på hur områdets terräng ser ut. </w:t>
      </w:r>
    </w:p>
    <w:p>
      <w:pPr>
        <w:pStyle w:val="P3"/>
      </w:pPr>
      <w:bookmarkEnd w:id="137"/>
      <w:bookmarkStart w:id="138" w:name="_Toc214961323"/>
      <w:r>
        <w:t>Gång- och cykeltrafik och parkering</w:t>
      </w:r>
      <w:bookmarkEnd w:id="138"/>
    </w:p>
    <w:p>
      <w:pPr>
        <w:tabs>
          <w:tab w:val="left" w:pos="284" w:leader="none"/>
        </w:tabs>
      </w:pPr>
      <w:bookmarkStart w:id="139" w:name="ko_gångochcykeltrafik01"/>
      <w:r>
        <w:t xml:space="preserve">Det finns idag ingen gång- och cykelförbindelse till eller inom området. Planförslaget innebär ingen förändring vad gäller gång- och cykelförbindelser. </w:t>
      </w:r>
      <w:r>
        <w:rPr>
          <w:bCs w:val="1"/>
          <w:iCs w:val="1"/>
          <w:color w:val="000000"/>
        </w:rPr>
        <w:t>Befintliga parkeringar norr om drivmedelsstationen, inom verksamheten för drivmedelsstationen sam rastplatsen kommer det fortgående finnas parkering.</w:t>
      </w:r>
      <w:r>
        <w:rPr>
          <w:b w:val="1"/>
          <w:iCs w:val="1"/>
          <w:color w:val="000000"/>
        </w:rPr>
        <w:t xml:space="preserve"> </w:t>
      </w:r>
    </w:p>
    <w:p>
      <w:pPr>
        <w:tabs>
          <w:tab w:val="left" w:pos="284" w:leader="none"/>
        </w:tabs>
        <w:rPr>
          <w:b w:val="1"/>
          <w:i w:val="1"/>
          <w:color w:val="000000"/>
        </w:rPr>
      </w:pPr>
      <w:bookmarkEnd w:id="139"/>
      <w:r>
        <w:rPr>
          <w:b w:val="1"/>
          <w:i w:val="1"/>
          <w:color w:val="000000"/>
        </w:rPr>
        <w:t>Bedömning/konsekvenser</w:t>
      </w:r>
    </w:p>
    <w:p>
      <w:pPr>
        <w:tabs>
          <w:tab w:val="left" w:pos="284" w:leader="none"/>
        </w:tabs>
        <w:rPr>
          <w:bCs w:val="1"/>
          <w:iCs w:val="1"/>
        </w:rPr>
      </w:pPr>
      <w:bookmarkStart w:id="140" w:name="ko_trafik03"/>
      <w:r>
        <w:rPr>
          <w:bCs w:val="1"/>
          <w:iCs w:val="1"/>
          <w:color w:val="000000"/>
        </w:rPr>
        <w:t xml:space="preserve">Inom området för verksamheter (drivmedelsförsäljning, detaljhandel) kommer ett område som idag är lastbilsparkering endast till parkering för fordon och husbilar. Att ta bort möjligheten för lastbilar att parkera möjliggör en bättre ljudmiljö i området. Lastbilar kommer fortsättningsvis att få använda området för att tankning. </w:t>
      </w:r>
    </w:p>
    <w:p>
      <w:pPr>
        <w:pStyle w:val="P2"/>
      </w:pPr>
      <w:bookmarkEnd w:id="140"/>
      <w:bookmarkStart w:id="141" w:name="_Toc198806275"/>
      <w:bookmarkStart w:id="142" w:name="_Toc214961324"/>
      <w:r>
        <w:t>Mark och geoteknik</w:t>
      </w:r>
      <w:bookmarkEnd w:id="141"/>
      <w:bookmarkEnd w:id="142"/>
    </w:p>
    <w:p>
      <w:pPr>
        <w:pStyle w:val="P3"/>
      </w:pPr>
      <w:bookmarkStart w:id="143" w:name="_Toc197584333"/>
      <w:bookmarkStart w:id="144" w:name="_Toc214961325"/>
      <w:bookmarkStart w:id="145" w:name="_Toc198806276"/>
      <w:r>
        <w:t>Geotekniska förhållanden</w:t>
      </w:r>
      <w:bookmarkEnd w:id="143"/>
      <w:bookmarkEnd w:id="144"/>
      <w:bookmarkEnd w:id="145"/>
    </w:p>
    <w:p>
      <w:pPr>
        <w:tabs>
          <w:tab w:val="left" w:pos="284" w:leader="none"/>
        </w:tabs>
      </w:pPr>
      <w:bookmarkStart w:id="146" w:name="pf_geotekniskaförhållanden01"/>
      <w:r>
        <w:t xml:space="preserve">Enligt SGU:s kartvisare utgörs jordarten inom planområdet av berg och morän, med ett jorddjup på 0 meter. Berggrunden inom planområdet utgörs av granit vilket är gynnsamt ur bärighetssynpunkt för planerad bebyggelse. </w:t>
      </w:r>
    </w:p>
    <w:p>
      <w:pPr>
        <w:tabs>
          <w:tab w:val="left" w:pos="284" w:leader="none"/>
        </w:tabs>
      </w:pPr>
      <w:r>
        <w:t xml:space="preserve">Enligt SGU är planområdets grundvattensituation till stor del klassad som normal, den norra delen ligger under normal. Med tanke på detta återfinns sannolikt även grundvattennivån mycket grunt i området. Grundvattennivån observerades vid borrning av energibrunn i områdets norra del på 0,3 m under markytan (2011) enligt SGU:s brunnsarkiv.  Enligt samma källa är fyllningsgraden klassad som normal för hela planområdet.</w:t>
      </w:r>
    </w:p>
    <w:p>
      <w:pPr>
        <w:tabs>
          <w:tab w:val="left" w:pos="284" w:leader="none"/>
        </w:tabs>
      </w:pPr>
      <w:r>
        <w:t>Tyréns Sverige AB har under 2023 genomfört en geoteknisk undersökning för att utreda de geotekniska förhållandena i området. Jorden består generellt av ca 1–2 meter friktionsjord ovan berg. I områdets norra del underlagras friktionsjorden av ca 0,5 m silt.</w:t>
      </w:r>
    </w:p>
    <w:p>
      <w:pPr>
        <w:tabs>
          <w:tab w:val="left" w:pos="284" w:leader="none"/>
        </w:tabs>
      </w:pPr>
      <w:r>
        <w:t>Friktionsjorden består huvudsakligen av sand med varierat innehåll av grus och silt. Berg har vid utförda jordbergsonderingar påträffats 1,0–2,2 meter under markytan. Berg i dagen har även påträffats och redovisas på planritning tillhörande detta projekt.</w:t>
      </w:r>
    </w:p>
    <w:p>
      <w:pPr>
        <w:tabs>
          <w:tab w:val="left" w:pos="284" w:leader="none"/>
        </w:tabs>
      </w:pPr>
      <w:r>
        <w:t>Utförda trycksonderingar har avslutats vid 1,1–2,0 meter under markytan då sonden ej kunnat drivas ner djupare enligt för metoden normalt förfarande. I delar av området har stoppen skett mot sten eller block. Utförda hejarsonderingar har avslutats vid 1,1–1,5 meter under markytan då sonden ej kunnat drivas ner djupare enligt för metoden normalt förfarande. Inom utredningen har översiktlig analys av släntlutningar genomförts. Generellt utgörs området av flackare slänter än 1:2. Huvudsakligen består dessa slänter av ytnära berg vilket innebär att stabilitetsproblem ej föreligger inom området. Ytterligare undersökning i projekterings- och byggskedet föreslås trots detta, bland annat för att bättre kunna bedöma stabiliteten i bergsländer och risken för blocknedfall i dessa.</w:t>
      </w:r>
    </w:p>
    <w:p>
      <w:pPr>
        <w:tabs>
          <w:tab w:val="left" w:pos="284" w:leader="none"/>
        </w:tabs>
      </w:pPr>
      <w:r>
        <w:t xml:space="preserve">Inga vattendrag som bidrar till skadlig erosion eller känsliga slänter med erosionsskador bedöms finnas inom området. </w:t>
      </w:r>
    </w:p>
    <w:p>
      <w:pPr>
        <w:tabs>
          <w:tab w:val="left" w:pos="284" w:leader="none"/>
        </w:tabs>
      </w:pPr>
      <w:r>
        <w:t>Projekterings PM Geoteknik finns att läsa i sin helhet och finns bifogat planhandlingarna.</w:t>
      </w:r>
    </w:p>
    <w:p>
      <w:pPr>
        <w:pStyle w:val="P2"/>
      </w:pPr>
      <w:bookmarkEnd w:id="146"/>
      <w:bookmarkStart w:id="147" w:name="_Toc198806277"/>
      <w:bookmarkStart w:id="148" w:name="_Toc214961326"/>
      <w:r>
        <w:t>Hälsa säkerhet</w:t>
      </w:r>
      <w:bookmarkEnd w:id="147"/>
      <w:bookmarkEnd w:id="148"/>
      <w:r>
        <w:t xml:space="preserve"> </w:t>
      </w:r>
    </w:p>
    <w:p>
      <w:pPr>
        <w:pStyle w:val="P3"/>
      </w:pPr>
      <w:bookmarkStart w:id="149" w:name="_Toc198806278"/>
      <w:bookmarkStart w:id="150" w:name="_Toc214961327"/>
      <w:r>
        <w:t>Förorenad mark</w:t>
      </w:r>
      <w:bookmarkEnd w:id="149"/>
      <w:bookmarkEnd w:id="150"/>
    </w:p>
    <w:p>
      <w:pPr>
        <w:spacing w:lineRule="auto" w:line="240" w:after="0" w:beforeAutospacing="0" w:afterAutospacing="0"/>
      </w:pPr>
      <w:bookmarkStart w:id="151" w:name="pf_hälsaochsäkerhet01"/>
      <w:r>
        <w:t xml:space="preserve">Flera markundersökningar har genomfört inom planområdet för att bedöma föroreningssituationen. De fyllnadsmassor som tillfördes området och som visade sig vara förorenade har avlägsnats från området. Tyréns efterbehandlingsrapport (Tyréns 2024, Efterbehandlingsrapport, dp-utredning Hårstorp m.fl.)  beskriver att både övergripande åtgärdsmål och mätbara åtgärdsmål</w:t>
      </w:r>
    </w:p>
    <w:p>
      <w:pPr>
        <w:spacing w:lineRule="auto" w:line="240" w:after="0" w:beforeAutospacing="0" w:afterAutospacing="0"/>
      </w:pPr>
      <w:r>
        <w:t>uppfylls och att inga ytterligare åtgärder eller undersökningar krävs med</w:t>
      </w:r>
    </w:p>
    <w:p>
      <w:pPr>
        <w:spacing w:lineRule="auto" w:line="240" w:after="0" w:beforeAutospacing="0" w:afterAutospacing="0"/>
      </w:pPr>
      <w:r>
        <w:t>avseende på de tillförda fyllnadsmassor som omfattats av den nu</w:t>
      </w:r>
    </w:p>
    <w:p>
      <w:pPr>
        <w:spacing w:lineRule="auto" w:line="240" w:after="0" w:beforeAutospacing="0" w:afterAutospacing="0"/>
      </w:pPr>
      <w:r>
        <w:t>genomförda efterbehandlingsåtgärden. Efterbehandlingsrapporten har diarieförts och godkänts av miljökontoret. De sanerade områden redovisas på nedan karta.</w:t>
      </w:r>
    </w:p>
    <w:p>
      <w:pPr>
        <w:spacing w:lineRule="auto" w:line="240" w:after="0" w:beforeAutospacing="0" w:afterAutospacing="0"/>
      </w:pPr>
      <w:r>
        <w:rPr>
          <w:noProof w:val="1"/>
        </w:rPr>
        <w:drawing>
          <wp:inline xmlns:wp="http://schemas.openxmlformats.org/drawingml/2006/wordprocessingDrawing" distT="0" distB="0" distL="0" distR="0">
            <wp:extent cx="5815330" cy="3698240"/>
            <wp:effectExtent l="0" t="0" r="0" b="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8"/>
                    <pic:cNvPicPr/>
                  </pic:nvPicPr>
                  <pic:blipFill dpi="0">
                    <a:blip xmlns:r="http://schemas.openxmlformats.org/officeDocument/2006/relationships" r:embed="Relimage21"/>
                    <a:srcRect/>
                    <a:stretch>
                      <a:fillRect/>
                    </a:stretch>
                  </pic:blipFill>
                  <pic:spPr>
                    <a:xfrm>
                      <a:off x="0" y="0"/>
                      <a:ext cx="5820445" cy="3701550"/>
                    </a:xfrm>
                    <a:prstGeom prst="rect"/>
                  </pic:spPr>
                </pic:pic>
              </a:graphicData>
            </a:graphic>
          </wp:inline>
        </w:drawing>
      </w:r>
    </w:p>
    <w:p>
      <w:pPr>
        <w:tabs>
          <w:tab w:val="left" w:pos="284" w:leader="none"/>
        </w:tabs>
        <w:rPr>
          <w:i w:val="1"/>
          <w:iCs w:val="1"/>
          <w:sz w:val="18"/>
          <w:szCs w:val="18"/>
        </w:rPr>
      </w:pPr>
      <w:r>
        <w:rPr>
          <w:i w:val="1"/>
          <w:iCs w:val="1"/>
          <w:sz w:val="18"/>
          <w:szCs w:val="18"/>
        </w:rPr>
        <w:t>Bild visar områden där ditlagda massor inom lila område har sanerats, Tyréns 2024. Punkter visar på en karta högsta uppmätta halt i respektive provpunkt, gul = &gt;KM, grön = &gt;MRR, vit = &lt;MRR</w:t>
      </w:r>
    </w:p>
    <w:p>
      <w:pPr>
        <w:spacing w:lineRule="auto" w:line="240" w:after="0" w:beforeAutospacing="0" w:afterAutospacing="0"/>
      </w:pPr>
    </w:p>
    <w:p>
      <w:pPr>
        <w:tabs>
          <w:tab w:val="left" w:pos="284" w:leader="none"/>
        </w:tabs>
      </w:pPr>
      <w:r>
        <w:t>Markundersökningarna använder Naturvårdsverkets riktvärden för förorenad mark, där känslig markanvändning (KM) gällde för blivande bostadsområden och mindre känslig markanvändning (MKM) för drivmedelsstationen.</w:t>
      </w:r>
    </w:p>
    <w:p>
      <w:pPr>
        <w:tabs>
          <w:tab w:val="left" w:pos="284" w:leader="none"/>
        </w:tabs>
      </w:pPr>
      <w:r>
        <w:t>2022 utförde S &amp; N en undersökning på Hårstorp 1:3 vid drivmedelsstationen. Provborrningen utfördes där spill har sanerats och där spill bedöms kunna ske. Proverna visade endast försumbara mängder organiska flyktiga ämnen. Ett samlingsprov från de två provpunkter som placerades vid centralpåfyllningsstationen lämnades även in för analys med avseende på fraktionerade aromater och alifater, PAH och BTEX. I detta prov uppmättes inga halter över laboratoriets rapporteringsgränser</w:t>
      </w:r>
    </w:p>
    <w:p>
      <w:pPr>
        <w:tabs>
          <w:tab w:val="left" w:pos="284" w:leader="none"/>
        </w:tabs>
      </w:pPr>
      <w:r>
        <w:t xml:space="preserve">Tyrens utförde 2024 en miljöteknisk markundersökning som en del i detaljplanearbetet. Fältarbetet utfördes i två omgångar för att i kompletterande undersökning avgränsa de punkterna med högre halter än KM (känslig markanvändning). Av de totalt 53 analyserade proverna utförda i 20 provpunkter visade totalt 6 st punkter har halter över KM, inga halter registrerades över MKM. </w:t>
      </w:r>
    </w:p>
    <w:p>
      <w:pPr>
        <w:tabs>
          <w:tab w:val="left" w:pos="284" w:leader="none"/>
        </w:tabs>
      </w:pPr>
      <w:r>
        <w:rPr>
          <w:noProof w:val="1"/>
        </w:rPr>
        <w:drawing>
          <wp:inline xmlns:wp="http://schemas.openxmlformats.org/drawingml/2006/wordprocessingDrawing" distT="0" distB="0" distL="0" distR="0">
            <wp:extent cx="6076950" cy="4573270"/>
            <wp:effectExtent l="0" t="0" r="0" b="0"/>
            <wp:docPr id="1234847494" name="Bildobjekt 1234847494" descr="Bild visar utdrag ur bilaga 2 från Tyréns 2024. Punkter visar på en karta högsta uppmätta halt i respektive provpunkt, gul = &gt;KM, grön = &gt;MRR, vit = &lt;M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47494" name="Bildobjekt 1234847494" descr="Bild visar utdrag ur bilaga 2 från Tyréns 2024. Punkter visar på en karta högsta uppmätta halt i respektive provpunkt, gul = &gt;KM, grön = &gt;MRR, vit = &lt;MRR"/>
                    <pic:cNvPicPr/>
                  </pic:nvPicPr>
                  <pic:blipFill dpi="0">
                    <a:blip xmlns:r="http://schemas.openxmlformats.org/officeDocument/2006/relationships" r:embed="Relimage22"/>
                    <a:srcRect/>
                    <a:stretch>
                      <a:fillRect/>
                    </a:stretch>
                  </pic:blipFill>
                  <pic:spPr>
                    <a:xfrm>
                      <a:off x="0" y="0"/>
                      <a:ext cx="6087579" cy="4581791"/>
                    </a:xfrm>
                    <a:prstGeom prst="rect"/>
                  </pic:spPr>
                </pic:pic>
              </a:graphicData>
            </a:graphic>
          </wp:inline>
        </w:drawing>
      </w:r>
    </w:p>
    <w:p>
      <w:pPr>
        <w:tabs>
          <w:tab w:val="left" w:pos="284" w:leader="none"/>
        </w:tabs>
        <w:rPr>
          <w:i w:val="1"/>
          <w:iCs w:val="1"/>
          <w:sz w:val="18"/>
          <w:szCs w:val="18"/>
        </w:rPr>
      </w:pPr>
      <w:r>
        <w:rPr>
          <w:i w:val="1"/>
          <w:iCs w:val="1"/>
          <w:sz w:val="18"/>
          <w:szCs w:val="18"/>
        </w:rPr>
        <w:t>Bild visar utdrag ur bilaga 2 från Tyréns 2024. Punkter visar på en karta högsta uppmätta halt i respektive provpunkt, gul = &gt;KM, grön = &gt;MRR, vit = &lt;MRR</w:t>
      </w:r>
    </w:p>
    <w:p>
      <w:pPr>
        <w:spacing w:lineRule="auto" w:line="240" w:after="0" w:beforeAutospacing="0" w:afterAutospacing="0"/>
        <w:rPr>
          <w:rFonts w:ascii="Times New Roman" w:hAnsi="Times New Roman" w:eastAsia="Times New Roman"/>
          <w:sz w:val="24"/>
          <w:szCs w:val="24"/>
          <w:lang w:eastAsia="sv-SE"/>
        </w:rPr>
      </w:pPr>
    </w:p>
    <w:p>
      <w:pPr>
        <w:spacing w:lineRule="auto" w:line="240" w:after="0" w:beforeAutospacing="0" w:afterAutospacing="0"/>
      </w:pPr>
      <w:r>
        <w:t>I planområdets norra del uppmättes förhöjda halter av PAH H och alifater i den ytligaste fyllningen. Liknande, men mer omfattande, föroreningar av PAH M, PAH H och alifater fanns också i den ytligaste fyllningen vid det tidigare motellet. Vid drivmedelsstationen hittades alifater i det ytligaste markskiktet och bly på 1-1,3 meters djup.</w:t>
      </w:r>
    </w:p>
    <w:p>
      <w:pPr>
        <w:spacing w:lineRule="auto" w:line="240" w:before="100" w:after="100" w:beforeAutospacing="1" w:afterAutospacing="1"/>
        <w:rPr>
          <w:color w:val="000000"/>
          <w:shd w:val="clear" w:color="auto" w:fill="FFFFFF"/>
        </w:rPr>
      </w:pPr>
      <w:r>
        <w:t>Baserat på halter och känd utbredning bedömdes risken från föroreningarna i den norra delen och vid drivmedelsstationen vara acceptabel. Dock ansågs föroreningen vid det gamla motellet kunna utgöra en risk för människors hälsa, särskilt med tanke på intag av växter och möjliga inträngning av flyktiga ångor i byggnader. Däremot bedömdes risken för spridning till omgivande områden eller Vättern som låg. Vid området för dagvattenhantering finns inga</w:t>
      </w:r>
      <w:r>
        <w:rPr>
          <w:color w:val="000000"/>
          <w:u w:val="single"/>
          <w:shd w:val="clear" w:color="auto" w:fill="FFFFFF"/>
        </w:rPr>
        <w:t xml:space="preserve"> indikationer på tidigare verksamheter eller markanvändning som skulle kunna ha givit upphov till markföroreningar</w:t>
      </w:r>
      <w:r>
        <w:rPr>
          <w:color w:val="000000"/>
          <w:shd w:val="clear" w:color="auto" w:fill="FFFFFF"/>
        </w:rPr>
        <w:t>. De närmsta provpunkterna ligger vid det nu rivna motellet, där har i två punkter PAH M och H samt i en punkt Alifater c16-c35 uppmätts över riktvärdet för KM, dock ej över riktvärdet för MKM. Det bedöms att det inte finns en anledning att misstänka en spridning mot platsen för den planerade dagvattendammen.</w:t>
      </w:r>
    </w:p>
    <w:p>
      <w:pPr>
        <w:tabs>
          <w:tab w:val="left" w:pos="284" w:leader="none"/>
        </w:tabs>
        <w:rPr>
          <w:b w:val="1"/>
          <w:i w:val="1"/>
          <w:bCs w:val="1"/>
          <w:iCs w:val="1"/>
        </w:rPr>
      </w:pPr>
      <w:bookmarkEnd w:id="151"/>
      <w:r>
        <w:rPr>
          <w:b w:val="1"/>
          <w:i w:val="1"/>
          <w:bCs w:val="1"/>
          <w:iCs w:val="1"/>
        </w:rPr>
        <w:t>Bedömning/konsekvenser</w:t>
      </w:r>
    </w:p>
    <w:p>
      <w:pPr>
        <w:tabs>
          <w:tab w:val="left" w:pos="284" w:leader="none"/>
        </w:tabs>
      </w:pPr>
      <w:bookmarkStart w:id="152" w:name="ko_hälsaochsäkerhet01"/>
      <w:r>
        <w:t xml:space="preserve">Av de provtagningar över KM görs bedömningen att föroreningen vid gamla motellet skulle kunna utgöra en risk för människors hälsa. Föroreningen är avgränsad och ligger på mark som planläggs för bostäder. För att hindra att bostäder byggs på denna förorening ställs krav på att innan startbesked får ges för bostäder måste föroreningen vara avhjälpt. Eftersom föroreningen redan finns idag så görs bedömningen att planförslaget förutsatt att den föroreningen avhjälpts får en positiv verkan på föroreningssituationen i området. Avseende uppmätt föroreningspunkt på norra området vid grusplanen är avgränsad till ett mindre område omkring 15 kvadratmeter. Då utbredningen är mycket liten kan den kan ligga kvar med hänsyn till risk för planerad markanvändning. Sammantaget under förutsättning att förorening vid motellet saneras anses området vara lämpligt för bebyggelse. </w:t>
      </w:r>
    </w:p>
    <w:p>
      <w:pPr>
        <w:pStyle w:val="P3"/>
      </w:pPr>
      <w:bookmarkEnd w:id="152"/>
      <w:bookmarkStart w:id="153" w:name="_Toc198806279"/>
      <w:bookmarkStart w:id="154" w:name="_Toc214961328"/>
      <w:r>
        <w:t>Radon</w:t>
      </w:r>
      <w:bookmarkEnd w:id="153"/>
      <w:bookmarkEnd w:id="154"/>
    </w:p>
    <w:p>
      <w:pPr>
        <w:tabs>
          <w:tab w:val="left" w:pos="284" w:leader="none"/>
        </w:tabs>
      </w:pPr>
      <w:bookmarkStart w:id="155" w:name="_heading=h.3l18frh"/>
      <w:bookmarkEnd w:id="155"/>
      <w:bookmarkStart w:id="156" w:name="pf_hälsaochsäkerhet02"/>
      <w:r>
        <w:t>SGU:s kartläggning av gammastrålning från uran (radon) visar mestadels medelnivåer i området. Utformning med hänsyn till radon hanteras i bygglovsprocessen och kräver ingen reglering i detaljplanen. Att redan i tidigt skede i byggprocessen undersöka hur mycket markradon som finns är i regel ekonomiskt fördelaktigt. Om det i byggnadsskedet visar sig finnas förhöjda radonhalter, vilket kan uppstå lokalt, ska byggnader som används för regelbunden vistelse uppföras på ett radonsäkert sätt. Åtgärder som kan utföras för att minska risken är exempelvis mätningar, fläktar vid grunden för god ventilation och tät grund. Byggherren ansvarar för att regler uppfylls.</w:t>
      </w:r>
    </w:p>
    <w:p>
      <w:pPr>
        <w:pStyle w:val="P3"/>
      </w:pPr>
      <w:bookmarkEnd w:id="156"/>
      <w:bookmarkStart w:id="157" w:name="_Toc198806280"/>
      <w:bookmarkStart w:id="158" w:name="_Toc214961329"/>
      <w:r>
        <w:t>Farligt gods</w:t>
      </w:r>
      <w:bookmarkEnd w:id="157"/>
      <w:bookmarkEnd w:id="158"/>
      <w:r>
        <w:t xml:space="preserve"> </w:t>
      </w:r>
    </w:p>
    <w:p>
      <w:pPr>
        <w:tabs>
          <w:tab w:val="left" w:pos="284" w:leader="none"/>
        </w:tabs>
      </w:pPr>
      <w:bookmarkStart w:id="159" w:name="pf_hälsaochsäkerhet03"/>
      <w:r>
        <w:t>Med transportled för farligt gods menas de vägar och järnvägar som, av Länsstyrelsen, pekats ut som rekommenderat vägval för fordon som transporterar farligt gods.</w:t>
      </w:r>
    </w:p>
    <w:p>
      <w:pPr>
        <w:tabs>
          <w:tab w:val="left" w:pos="284" w:leader="none"/>
        </w:tabs>
      </w:pPr>
      <w:r>
        <w:t>Farligt gods är ett samlingsbegrepp för ämnen och föremål som har sådana farliga egenskaper att de, vid felaktig hantering under transport, kan orsaka skador på människor, miljö och/eller egendom. Europaväg 4 utgör transportled för farligt gods, väg 918 används som omledningsväg. Europaväg 4 ligger ungefär 200 meter öster om planområdet och anses inte utgöra någon risk för planområdet.</w:t>
      </w:r>
      <w:bookmarkEnd w:id="159"/>
    </w:p>
    <w:p>
      <w:pPr>
        <w:pStyle w:val="P3"/>
      </w:pPr>
      <w:bookmarkStart w:id="160" w:name="_Toc214961330"/>
      <w:r>
        <w:t>Vägtrafikbuller</w:t>
      </w:r>
      <w:bookmarkEnd w:id="160"/>
    </w:p>
    <w:p>
      <w:pPr>
        <w:tabs>
          <w:tab w:val="left" w:pos="284" w:leader="none"/>
        </w:tabs>
      </w:pPr>
      <w:bookmarkStart w:id="161" w:name="ko_buller01"/>
      <w:r>
        <w:t>Sedan 1 juli 2017 gäller en förordning till miljöbalken med bestämmelser om riktvärden för buller utomhus vid bostadsbyggnader från spårtrafik och vägar. Förordningen ska tillämpas vid planläggning samt ärenden om förhandsbesked och bygglov utanför detaljplan. Enligt förordningen bör buller från spårtrafik och vägar inte överskrida 60 dB(A) ekvivalent ljudnivå vid en bostadsbyggnads fasad, och 55 dB(A) ekvivalent ljudnivå samt 70 dB(A) maximal ljudnivå vid en uteplats om en sådan ska anordnas i anslutning till byggnaden.</w:t>
      </w:r>
    </w:p>
    <w:p>
      <w:pPr>
        <w:tabs>
          <w:tab w:val="left" w:pos="284" w:leader="none"/>
        </w:tabs>
      </w:pPr>
      <w:r>
        <w:t>Tyréns Sverige AB har på uppdrag av exploatören tagit fram en bullerutredning för trafikbuller för både länsväg 918 (Riksettan) samt Europaväg 4. Bullerutredningen visar att trafikbullerfördordningens grundriktvärden (Leq ≤ 60 dBA) uppfylls för samtliga planerade bostadshus i enlighet med den skiss som plankartan bygger på. Utredningen visar utöver detta att även trafikbullerförordningens riktvärde för uteplats (Leq 50dBA, Lmax ≤ 70 dBA) uppfylls vid åtminstone en fasad för samtliga planerade bostadshus. Detta innebär att om en uteplats anläggs vid fasad för samtliga planerade bostadshus där riktvärdet uppfylls kan byggnadens övriga uteplatser anses vara kompletterade och planeras fritt utan krav på bulleranpassning.</w:t>
      </w:r>
    </w:p>
    <w:p>
      <w:pPr>
        <w:tabs>
          <w:tab w:val="left" w:pos="284" w:leader="none"/>
        </w:tabs>
      </w:pPr>
      <w:r>
        <w:t>Bullerutredningen finns bifogad i sin helhet bland planhandlingarna.</w:t>
      </w:r>
    </w:p>
    <w:p>
      <w:pPr>
        <w:keepNext w:val="1"/>
        <w:tabs>
          <w:tab w:val="left" w:pos="284" w:leader="none"/>
        </w:tabs>
      </w:pPr>
      <w:r>
        <w:rPr>
          <w:noProof w:val="1"/>
        </w:rPr>
        <w:drawing>
          <wp:anchor xmlns:wp="http://schemas.openxmlformats.org/drawingml/2006/wordprocessingDrawing" distT="0" distB="0" distL="114300" distR="114300" simplePos="0" relativeHeight="19" behindDoc="0" locked="0" layoutInCell="1" allowOverlap="1">
            <wp:simplePos x="0" y="0"/>
            <wp:positionH relativeFrom="column">
              <wp:posOffset>4053840</wp:posOffset>
            </wp:positionH>
            <wp:positionV relativeFrom="paragraph">
              <wp:posOffset>7620</wp:posOffset>
            </wp:positionV>
            <wp:extent cx="2004695" cy="2581910"/>
            <wp:effectExtent l="0" t="0" r="0" b="0"/>
            <wp:wrapNone/>
            <wp:docPr id="1234847496" name="Bildobjekt 1234847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47496" name="Bildobjekt 1234847496"/>
                    <pic:cNvPicPr>
                      <a:picLocks noChangeAspect="1" noChangeArrowheads="1"/>
                    </pic:cNvPicPr>
                  </pic:nvPicPr>
                  <pic:blipFill dpi="0">
                    <a:blip xmlns:r="http://schemas.openxmlformats.org/officeDocument/2006/relationships" r:embed="Relimage23"/>
                    <a:srcRect/>
                    <a:stretch>
                      <a:fillRect/>
                    </a:stretch>
                  </pic:blipFill>
                  <pic:spPr bwMode="auto">
                    <a:xfrm>
                      <a:off x="0" y="0"/>
                      <a:ext cx="2005204" cy="2581910"/>
                    </a:xfrm>
                    <a:prstGeom prst="rect"/>
                    <a:noFill/>
                  </pic:spPr>
                </pic:pic>
              </a:graphicData>
            </a:graphic>
          </wp:anchor>
        </w:drawing>
      </w:r>
      <w:r>
        <w:rPr>
          <w:noProof w:val="1"/>
        </w:rPr>
        <w:drawing>
          <wp:inline xmlns:wp="http://schemas.openxmlformats.org/drawingml/2006/wordprocessingDrawing" distT="0" distB="0" distL="0" distR="0">
            <wp:extent cx="4951095" cy="3828415"/>
            <wp:effectExtent l="0" t="0" r="1905" b="635"/>
            <wp:docPr id="54" name="Bildobjekt 54" descr="Bild visar urklipp från bilaga AK01. Beräknade trafikbullernivåer för prognosår 2040 med ett utbyggt planområ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Bildobjekt 54" descr="Bild visar urklipp från bilaga AK01. Beräknade trafikbullernivåer för prognosår 2040 med ett utbyggt planområde."/>
                    <pic:cNvPicPr/>
                  </pic:nvPicPr>
                  <pic:blipFill dpi="0">
                    <a:blip xmlns:r="http://schemas.openxmlformats.org/officeDocument/2006/relationships" r:embed="Relimage24"/>
                    <a:srcRect/>
                    <a:stretch>
                      <a:fillRect/>
                    </a:stretch>
                  </pic:blipFill>
                  <pic:spPr>
                    <a:xfrm>
                      <a:off x="0" y="0"/>
                      <a:ext cx="4951095" cy="3828415"/>
                    </a:xfrm>
                    <a:prstGeom prst="rect"/>
                  </pic:spPr>
                </pic:pic>
              </a:graphicData>
            </a:graphic>
          </wp:inline>
        </w:drawing>
      </w:r>
    </w:p>
    <w:p>
      <w:pPr>
        <w:pStyle w:val="P45"/>
        <w:rPr>
          <w:i w:val="1"/>
          <w:iCs w:val="0"/>
          <w:sz w:val="18"/>
        </w:rPr>
      </w:pPr>
      <w:r>
        <w:rPr>
          <w:i w:val="1"/>
          <w:iCs w:val="0"/>
          <w:sz w:val="18"/>
        </w:rPr>
        <w:t>Bild visar urklipp från bilaga AK01. Beräknade trafikbullernivåer för prognosår 2040 med ett utbyggt planområde.</w:t>
      </w:r>
    </w:p>
    <w:p>
      <w:pPr>
        <w:pStyle w:val="P3"/>
      </w:pPr>
      <w:bookmarkEnd w:id="161"/>
      <w:bookmarkStart w:id="162" w:name="_Toc214961331"/>
      <w:r>
        <w:t>Verksamhetsbuller</w:t>
      </w:r>
      <w:bookmarkEnd w:id="162"/>
    </w:p>
    <w:p>
      <w:pPr>
        <w:spacing w:before="100" w:after="100" w:beforeAutospacing="1" w:afterAutospacing="1"/>
      </w:pPr>
      <w:bookmarkStart w:id="163" w:name="pf_omgivningsbuller01"/>
      <w:r>
        <w:t>Verksamheten orsakar buller och kan orsaka bullerproblematik om kvartersmark för bostäder hamnar för nära den befintliga verksamheten. Vid drivmedelsstationen kan man tanka dygnet runt, både person- och lastbilar. Stationen är öppen kl. 7:30–19 på vintern och kl. 7:30–22 på sommaren. Bränsle levereras två gånger i veckan på vardagar.</w:t>
      </w:r>
    </w:p>
    <w:p>
      <w:pPr>
        <w:spacing w:before="100" w:after="100" w:beforeAutospacing="1" w:afterAutospacing="1"/>
      </w:pPr>
      <w:r>
        <w:t>Söder om stationen finns återvinningskärl och en rastplats. Dessa bidrar inte nämnvärt till bullret. Buller från bensinstationen varierar, så den högsta timnivån har undersökts för dag, kväll och natt. Under "värsta timmen" används luftkonditionering och sex personbilar samt sex lastbilar tankar. Buller från bränsleleveranser och maxnivåer nattetid har också beräknats.</w:t>
      </w:r>
    </w:p>
    <w:p>
      <w:pPr>
        <w:spacing w:after="0" w:beforeAutospacing="0" w:afterAutospacing="0"/>
      </w:pPr>
      <w:r>
        <w:t xml:space="preserve">Utredningen visar att planerade bostäder bör kunna accepteras om vissa av byggnaderna bulleranpassas så att minst hälften av bostadsrummen är vända mot en ljuddämpad sida. Samtliga byggnader uppfyller Boverkets riktvärden för zon A vid normal verksamhet. Dock överskrids riktvärdet för maximal ljudnivå nattetid för byggnaderna närmast bensinstationen. Dessa byggnader har tillgång till ljuddämpad sida vid fasaden mot öster och i vissa fall mot norr. Om planlösningarna anpassas så att minst hälften av bostadsrummen är vända mot denna sida bör bostäderna kunna accepteras. Verksamhetsbullerutredningen finns i sin helhet bifogad bland planhandlingarna. </w:t>
      </w:r>
    </w:p>
    <w:p>
      <w:pPr>
        <w:spacing w:after="0" w:beforeAutospacing="0" w:afterAutospacing="0"/>
      </w:pPr>
      <w:r>
        <w:rPr>
          <w:noProof w:val="1"/>
        </w:rPr>
        <w:drawing>
          <wp:inline xmlns:wp="http://schemas.openxmlformats.org/drawingml/2006/wordprocessingDrawing" distT="0" distB="0" distL="0" distR="0">
            <wp:extent cx="2724150" cy="2524760"/>
            <wp:effectExtent l="0" t="0" r="0" b="8890"/>
            <wp:docPr id="1234847497" name="Bildobjekt 1234847497" descr="Bild visar karta där rödmarkerade byggnader överskrider Boverkets riktvärde för maximal ljudnivå nattetid vilket innebär att minst hälften av bostadsrummen behöver vara vända mot en fasadsida som uppfyller riktvärdet för ljuddämpad sida (östra sidan) (Tyréns bullerutredning,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47497" name="Bildobjekt 1234847497" descr="Bild visar karta där rödmarkerade byggnader överskrider Boverkets riktvärde för maximal ljudnivå nattetid vilket innebär att minst hälften av bostadsrummen behöver vara vända mot en fasadsida som uppfyller riktvärdet för ljuddämpad sida (östra sidan) (Tyréns bullerutredning, 2025)."/>
                    <pic:cNvPicPr/>
                  </pic:nvPicPr>
                  <pic:blipFill dpi="0">
                    <a:blip xmlns:r="http://schemas.openxmlformats.org/officeDocument/2006/relationships" r:embed="Relimage25"/>
                    <a:srcRect/>
                    <a:stretch>
                      <a:fillRect/>
                    </a:stretch>
                  </pic:blipFill>
                  <pic:spPr>
                    <a:xfrm>
                      <a:off x="0" y="0"/>
                      <a:ext cx="2731146" cy="2531486"/>
                    </a:xfrm>
                    <a:prstGeom prst="rect"/>
                  </pic:spPr>
                </pic:pic>
              </a:graphicData>
            </a:graphic>
          </wp:inline>
        </w:drawing>
      </w:r>
      <w:r>
        <w:br w:type="textWrapping"/>
      </w:r>
      <w:r>
        <w:rPr>
          <w:i w:val="1"/>
          <w:iCs w:val="1"/>
          <w:sz w:val="18"/>
          <w:szCs w:val="18"/>
        </w:rPr>
        <w:t>Bild visar karta där rödmarkerade byggnader överskrider Boverkets riktvärde för maximal ljudnivå nattetid vilket innebär att minst hälften av bostadsrummen behöver vara vända mot en fasadsida som uppfyller riktvärdet för ljuddämpad sida (östra sidan) (Tyréns bullerutredning, 2025).</w:t>
      </w:r>
    </w:p>
    <w:p>
      <w:pPr>
        <w:spacing w:after="0" w:beforeAutospacing="0" w:afterAutospacing="0"/>
      </w:pPr>
    </w:p>
    <w:p>
      <w:pPr>
        <w:tabs>
          <w:tab w:val="left" w:pos="284" w:leader="none"/>
        </w:tabs>
      </w:pPr>
      <w:r>
        <w:t xml:space="preserve">I Ödeshögs kommuns översiktsplan finns ett hänsynslager kopplat till buller från europaväg 4. Planområdet tangeras endast av detta område, inom hänsynsområdet finns en byggrätt för </w:t>
      </w:r>
      <w:r>
        <w:rPr>
          <w:lang w:val="sv-SE" w:bidi="ar-SA" w:eastAsia="en-US"/>
        </w:rPr>
        <w:t xml:space="preserve">Inom planområdet finns en drivmedelsstation som även säljer livsmedel. </w:t>
      </w:r>
      <w:r>
        <w:t xml:space="preserve">bostad, denna har dock beräknas enligt trafikbullerutredningen som lämplig utifrån mätta värden.  </w:t>
      </w:r>
    </w:p>
    <w:p>
      <w:pPr>
        <w:tabs>
          <w:tab w:val="left" w:pos="284" w:leader="none"/>
        </w:tabs>
      </w:pPr>
      <w:r>
        <w:rPr>
          <w:noProof w:val="1"/>
        </w:rPr>
        <w:drawing>
          <wp:inline xmlns:wp="http://schemas.openxmlformats.org/drawingml/2006/wordprocessingDrawing" distT="0" distB="0" distL="0" distR="0">
            <wp:extent cx="3204210" cy="2619375"/>
            <wp:effectExtent l="0" t="0" r="0" b="9525"/>
            <wp:docPr id="55" name="image25.png" descr="Bild visar urklipp från översiktsplanen (2020), rödmarkerat område symboliserar område med höga bullervärden genererat från europaväg 4."/>
            <wp:cNvGraphicFramePr/>
            <a:graphic xmlns:a="http://schemas.openxmlformats.org/drawingml/2006/main">
              <a:graphicData uri="http://schemas.openxmlformats.org/drawingml/2006/picture">
                <pic:pic xmlns:pic="http://schemas.openxmlformats.org/drawingml/2006/picture">
                  <pic:nvPicPr>
                    <pic:cNvPr id="55" name="image25.png" descr="Bild visar urklipp från översiktsplanen (2020), rödmarkerat område symboliserar område med höga bullervärden genererat från europaväg 4."/>
                    <pic:cNvPicPr preferRelativeResize="0"/>
                  </pic:nvPicPr>
                  <pic:blipFill dpi="0">
                    <a:blip xmlns:r="http://schemas.openxmlformats.org/officeDocument/2006/relationships" r:embed="Relimage26"/>
                    <a:srcRect/>
                    <a:stretch>
                      <a:fillRect/>
                    </a:stretch>
                  </pic:blipFill>
                  <pic:spPr>
                    <a:xfrm>
                      <a:off x="0" y="0"/>
                      <a:ext cx="3301087" cy="2698577"/>
                    </a:xfrm>
                    <a:prstGeom prst="rect"/>
                  </pic:spPr>
                </pic:pic>
              </a:graphicData>
            </a:graphic>
          </wp:inline>
        </w:drawing>
      </w:r>
    </w:p>
    <w:p>
      <w:pPr>
        <w:tabs>
          <w:tab w:val="left" w:pos="284" w:leader="none"/>
        </w:tabs>
        <w:rPr>
          <w:sz w:val="18"/>
          <w:szCs w:val="18"/>
        </w:rPr>
      </w:pPr>
      <w:r>
        <w:rPr>
          <w:i w:val="1"/>
          <w:sz w:val="18"/>
          <w:szCs w:val="18"/>
        </w:rPr>
        <w:t>Bild visar urklipp från översiktsplanen (2020), rödmarkerat område symboliserar område med höga bullervärden genererat från europaväg 4.</w:t>
      </w:r>
    </w:p>
    <w:p>
      <w:pPr>
        <w:rPr>
          <w:b w:val="1"/>
          <w:i w:val="1"/>
        </w:rPr>
      </w:pPr>
      <w:bookmarkEnd w:id="163"/>
      <w:r>
        <w:rPr>
          <w:b w:val="1"/>
          <w:i w:val="1"/>
        </w:rPr>
        <w:t>Bedömning/konsekvenser</w:t>
      </w:r>
    </w:p>
    <w:p>
      <w:pPr>
        <w:rPr>
          <w:bCs w:val="1"/>
          <w:iCs w:val="1"/>
        </w:rPr>
      </w:pPr>
      <w:bookmarkStart w:id="164" w:name="ko_beräkningavomgivningsbuller01"/>
      <w:r>
        <w:rPr>
          <w:bCs w:val="1"/>
          <w:iCs w:val="1"/>
        </w:rPr>
        <w:t>Området kan hantera det buller som kommer från trafik- och verksamhetsbuller om vissa byggnader anpassas vilket regleras i detaljplanen.</w:t>
      </w:r>
    </w:p>
    <w:p>
      <w:pPr>
        <w:pStyle w:val="P3"/>
      </w:pPr>
      <w:bookmarkEnd w:id="164"/>
      <w:bookmarkStart w:id="165" w:name="_Toc198806283"/>
      <w:bookmarkStart w:id="166" w:name="_Toc214961332"/>
      <w:r>
        <w:t>Risk för översvämning</w:t>
      </w:r>
      <w:bookmarkEnd w:id="165"/>
      <w:bookmarkEnd w:id="166"/>
    </w:p>
    <w:p>
      <w:pPr>
        <w:spacing w:after="0" w:beforeAutospacing="0" w:afterAutospacing="0"/>
        <w:rPr>
          <w:rFonts w:ascii="Arial" w:hAnsi="Arial" w:cs="Arial"/>
          <w:color w:val="000000"/>
        </w:rPr>
      </w:pPr>
      <w:bookmarkStart w:id="167" w:name="pf_riskföröversvämning01"/>
      <w:r>
        <w:t>Lutningen i området innebär att avrinningen från området sannolikt sker relativt snabbt mot öster, trots att befintlig mark till viss del utgörs av skog/gräs vilket dämpar vattnets hastighet jämfört med avrinning över exempelvis en asfaltsyta. Strax öster om planområdets gräns går en vattendelare vilket innebär att planområdet knappt belastas av någon avrinning från uppströmsliggande områden</w:t>
      </w:r>
      <w:r>
        <w:rPr>
          <w:rFonts w:ascii="Arial" w:hAnsi="Arial" w:cs="Arial"/>
          <w:color w:val="000000"/>
        </w:rPr>
        <w:t xml:space="preserve">. </w:t>
      </w:r>
    </w:p>
    <w:p>
      <w:pPr>
        <w:tabs>
          <w:tab w:val="left" w:pos="284" w:leader="none"/>
        </w:tabs>
      </w:pPr>
      <w:bookmarkStart w:id="168" w:name="_Toc198806284"/>
      <w:r>
        <w:t xml:space="preserve">Skyfallshändelser medför att all avrinning sker ytledes och flödesvägarna får ett snabbare rinnförlopp till följd av en ökad hårdgörningsgrad. Detta kan medföra att vatten ansamlas i lågpunkter på ett sätt som kan orsaka nya instängda områden i planområdet. Skyfallsscenariot efter utbyggnaden av planen baseras på aktuell höjdsättning som gjorts i samband med förprojekteringen av lokalgator och bostadstomter. </w:t>
      </w:r>
    </w:p>
    <w:p>
      <w:pPr>
        <w:tabs>
          <w:tab w:val="left" w:pos="284" w:leader="none"/>
        </w:tabs>
      </w:pPr>
      <w:r>
        <w:t>Analysen i Scalgo visar att nytillkomna lågpunkter med vattendjup &gt; 0,2 m bedöms ansamlas i nya vägdiken samt vid planerad samlad fördröjning, enligt placeringarna vid A-C i figuren. Dessa nya lågpunkter bedöms ej skapa någon risk för skador mot omgivande planerade eller befintlig bebyggelse, eftersom de sker i aktuella eller tillkommande diken, se bild nedan.</w:t>
      </w:r>
    </w:p>
    <w:p>
      <w:pPr>
        <w:tabs>
          <w:tab w:val="left" w:pos="284" w:leader="none"/>
        </w:tabs>
      </w:pPr>
      <w:r>
        <w:rPr>
          <w:noProof w:val="1"/>
        </w:rPr>
        <w:drawing>
          <wp:inline xmlns:wp="http://schemas.openxmlformats.org/drawingml/2006/wordprocessingDrawing" distT="0" distB="0" distL="0" distR="0">
            <wp:extent cx="4679950" cy="5898515"/>
            <wp:effectExtent l="0" t="0" r="6350" b="6985"/>
            <wp:docPr id="47" name="Bildobjekt 47" descr="Bild visar områden där vattnet samlas vid skyfall efter genomförd detalj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Bildobjekt 47" descr="Bild visar områden där vattnet samlas vid skyfall efter genomförd detaljplan "/>
                    <pic:cNvPicPr>
                      <a:picLocks noChangeAspect="1" noChangeArrowheads="1"/>
                    </pic:cNvPicPr>
                  </pic:nvPicPr>
                  <pic:blipFill dpi="0">
                    <a:blip xmlns:r="http://schemas.openxmlformats.org/officeDocument/2006/relationships" r:embed="Relimage27"/>
                    <a:srcRect/>
                    <a:stretch>
                      <a:fillRect/>
                    </a:stretch>
                  </pic:blipFill>
                  <pic:spPr bwMode="auto">
                    <a:xfrm>
                      <a:off x="0" y="0"/>
                      <a:ext cx="4679950" cy="5898515"/>
                    </a:xfrm>
                    <a:prstGeom prst="rect"/>
                    <a:noFill/>
                    <a:ln>
                      <a:noFill/>
                    </a:ln>
                  </pic:spPr>
                </pic:pic>
              </a:graphicData>
            </a:graphic>
          </wp:inline>
        </w:drawing>
      </w:r>
    </w:p>
    <w:p>
      <w:pPr>
        <w:tabs>
          <w:tab w:val="left" w:pos="284" w:leader="none"/>
        </w:tabs>
        <w:rPr>
          <w:i w:val="1"/>
          <w:iCs w:val="1"/>
          <w:sz w:val="18"/>
          <w:szCs w:val="18"/>
        </w:rPr>
      </w:pPr>
      <w:r>
        <w:rPr>
          <w:i w:val="1"/>
          <w:iCs w:val="1"/>
          <w:sz w:val="18"/>
          <w:szCs w:val="18"/>
        </w:rPr>
        <w:t xml:space="preserve">Bild visar områden där vattnet samlas vid skyfall efter genomförd detaljplan (Tyréns). </w:t>
      </w:r>
      <w:bookmarkEnd w:id="167"/>
    </w:p>
    <w:p>
      <w:pPr>
        <w:pStyle w:val="P3"/>
      </w:pPr>
      <w:bookmarkStart w:id="169" w:name="_Toc214961333"/>
      <w:r>
        <w:t>Risk för ras och skred</w:t>
      </w:r>
      <w:bookmarkEnd w:id="168"/>
      <w:bookmarkEnd w:id="169"/>
      <w:r>
        <w:t xml:space="preserve"> </w:t>
      </w:r>
    </w:p>
    <w:p>
      <w:pPr>
        <w:tabs>
          <w:tab w:val="left" w:pos="284" w:leader="none"/>
        </w:tabs>
      </w:pPr>
      <w:bookmarkStart w:id="170" w:name="pf_riskförskred01"/>
      <w:r>
        <w:t>I planområdet finns inga raviner och området består av berg. Området har inget typiskt jordartsmaterial som riskerar en skredsituation. Det finns inga tidigare data på att området råkat ut för skred eller erosion, området har still stor del varit bebyggt sedan 50-talet.</w:t>
      </w:r>
    </w:p>
    <w:p>
      <w:pPr>
        <w:pStyle w:val="P3"/>
      </w:pPr>
      <w:bookmarkEnd w:id="170"/>
      <w:bookmarkStart w:id="171" w:name="_Toc214961334"/>
      <w:r>
        <w:t>Drivmedelsstation</w:t>
      </w:r>
      <w:bookmarkEnd w:id="171"/>
    </w:p>
    <w:p>
      <w:pPr>
        <w:tabs>
          <w:tab w:val="left" w:pos="284" w:leader="none"/>
        </w:tabs>
      </w:pPr>
      <w:r>
        <w:t>Ett risk-PM med riskbedömning avseende drivmedelstation i samband med bostadsbebyggelse (2023) har, i samordning med räddningstjänsten och miljökontoret, tagits fram. Följande regler och riktlinjer ligger till grund för riskbedömningen:</w:t>
      </w:r>
    </w:p>
    <w:p>
      <w:pPr>
        <w:numPr>
          <w:ilvl w:val="0"/>
          <w:numId w:val="39"/>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Myndigheten för samhällsskydd och beredskap. Hantering av brandfarliga gaser och vätskor på bensinstationer, 2015.</w:t>
      </w:r>
    </w:p>
    <w:p>
      <w:pPr>
        <w:numPr>
          <w:ilvl w:val="0"/>
          <w:numId w:val="39"/>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 xml:space="preserve">Sprängämnesinspektionens föreskrifter om </w:t>
      </w:r>
      <w:r>
        <w:rPr>
          <w:i w:val="1"/>
          <w:color w:val="000000"/>
        </w:rPr>
        <w:t xml:space="preserve">Hantering av brandfarliga vätskor, </w:t>
      </w:r>
      <w:r>
        <w:rPr>
          <w:color w:val="000000"/>
        </w:rPr>
        <w:t>SÄIFS 2000:2.</w:t>
      </w:r>
    </w:p>
    <w:p>
      <w:pPr>
        <w:numPr>
          <w:ilvl w:val="0"/>
          <w:numId w:val="39"/>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 xml:space="preserve">Boverket. </w:t>
      </w:r>
      <w:r>
        <w:rPr>
          <w:i w:val="1"/>
          <w:color w:val="000000"/>
        </w:rPr>
        <w:t>Bättre plats för arbete</w:t>
      </w:r>
      <w:r>
        <w:rPr>
          <w:color w:val="000000"/>
        </w:rPr>
        <w:t>, 1995.</w:t>
      </w:r>
    </w:p>
    <w:p>
      <w:pPr>
        <w:numPr>
          <w:ilvl w:val="0"/>
          <w:numId w:val="39"/>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rPr>
          <w:i w:val="1"/>
          <w:color w:val="000000"/>
        </w:rPr>
      </w:pPr>
      <w:r>
        <w:rPr>
          <w:color w:val="000000"/>
        </w:rPr>
        <w:t>Länsstyrelsen i Stockholms län</w:t>
      </w:r>
      <w:r>
        <w:rPr>
          <w:i w:val="1"/>
          <w:color w:val="000000"/>
        </w:rPr>
        <w:t xml:space="preserve">. Riskhänsyn vid ny bebyggelse intill vägar och järnvägar med transporter av farligt gods samt bensinstationer, </w:t>
      </w:r>
      <w:r>
        <w:rPr>
          <w:color w:val="000000"/>
        </w:rPr>
        <w:t>2000</w:t>
      </w:r>
      <w:r>
        <w:rPr>
          <w:i w:val="1"/>
          <w:color w:val="000000"/>
        </w:rPr>
        <w:t>.</w:t>
      </w:r>
    </w:p>
    <w:p>
      <w:pPr>
        <w:tabs>
          <w:tab w:val="left" w:pos="284" w:leader="none"/>
        </w:tabs>
      </w:pPr>
      <w:r>
        <w:t xml:space="preserve">I handboken </w:t>
      </w:r>
      <w:r>
        <w:rPr>
          <w:i w:val="1"/>
        </w:rPr>
        <w:t>Hantering av brandfarliga gaser och vätskor på bensinstationer</w:t>
      </w:r>
      <w:r>
        <w:t xml:space="preserve"> sammanfattas föreskrifter och bestämmelser som är tillämpliga på en bensinstation. Här ges råd beträffande bensinstationers utformning samt minimiavstånd till omgivande bebyggelse, se tabell nedan. Rekommenderade avstånd för bensinstationer baseras på de risker som kan uppstå i samband med hantering av brandfarlig vara (effekter från brand och explosion).</w:t>
      </w:r>
    </w:p>
    <w:p>
      <w:pPr>
        <w:tabs>
          <w:tab w:val="left" w:pos="284" w:leader="none"/>
        </w:tabs>
      </w:pPr>
      <w:r>
        <w:rPr>
          <w:noProof w:val="1"/>
        </w:rPr>
        <w:drawing>
          <wp:inline xmlns:wp="http://schemas.openxmlformats.org/drawingml/2006/wordprocessingDrawing" distT="0" distB="0" distL="0" distR="0">
            <wp:extent cx="4676775" cy="1666875"/>
            <wp:effectExtent l="0" t="0" r="0" b="0"/>
            <wp:docPr id="75" name="image20.png" descr="Avstånd i meter mellan olika objekt vid hantering av vätska klass 1 på en bensinstation. Avstånden i tabellen kan minskas om betryggande säkerhet kan uppnås på annat sätt."/>
            <wp:cNvGraphicFramePr/>
            <a:graphic xmlns:a="http://schemas.openxmlformats.org/drawingml/2006/main">
              <a:graphicData uri="http://schemas.openxmlformats.org/drawingml/2006/picture">
                <pic:pic xmlns:pic="http://schemas.openxmlformats.org/drawingml/2006/picture">
                  <pic:nvPicPr>
                    <pic:cNvPr id="0" name="image20.png" descr="Avstånd i meter mellan olika objekt vid hantering av vätska klass 1 på en bensinstation. Avstånden i tabellen kan minskas om betryggande säkerhet kan uppnås på annat sätt."/>
                    <pic:cNvPicPr preferRelativeResize="0"/>
                  </pic:nvPicPr>
                  <pic:blipFill dpi="0">
                    <a:blip xmlns:r="http://schemas.openxmlformats.org/officeDocument/2006/relationships" r:embed="Relimage28"/>
                    <a:srcRect/>
                    <a:stretch>
                      <a:fillRect/>
                    </a:stretch>
                  </pic:blipFill>
                  <pic:spPr>
                    <a:xfrm>
                      <a:off x="0" y="0"/>
                      <a:ext cx="4676775" cy="1666875"/>
                    </a:xfrm>
                    <a:prstGeom prst="rect"/>
                  </pic:spPr>
                </pic:pic>
              </a:graphicData>
            </a:graphic>
          </wp:inline>
        </w:drawing>
      </w:r>
    </w:p>
    <w:p>
      <w:pPr>
        <w:tabs>
          <w:tab w:val="left" w:pos="284" w:leader="none"/>
        </w:tabs>
        <w:rPr>
          <w:i w:val="1"/>
          <w:sz w:val="20"/>
          <w:szCs w:val="20"/>
        </w:rPr>
      </w:pPr>
      <w:r>
        <w:rPr>
          <w:i w:val="1"/>
          <w:sz w:val="20"/>
          <w:szCs w:val="20"/>
        </w:rPr>
        <w:t>Tabell visa avstånd i meter mellan olika objekt vid hantering av vätska klass 1 på en bensinstation. Avstånden i tabellen kan minskas om betryggande säkerhet kan uppnås på annat sätt</w:t>
      </w:r>
    </w:p>
    <w:p>
      <w:pPr>
        <w:tabs>
          <w:tab w:val="left" w:pos="284" w:leader="none"/>
        </w:tabs>
      </w:pPr>
      <w:r>
        <w:t>De riktvärden som anges i SÄIFS 2000:2 avseende avstånd mellan olika skyddsobjekt och brandfarl</w:t>
      </w:r>
      <w:bookmarkStart w:id="172" w:name="pf_riskförolyckor01"/>
      <w:r>
        <w:t>ig vätska i lösa behållare redovisas i tabell nedan.</w:t>
      </w:r>
    </w:p>
    <w:p>
      <w:pPr>
        <w:tabs>
          <w:tab w:val="left" w:pos="284" w:leader="none"/>
        </w:tabs>
      </w:pPr>
      <w:r>
        <w:rPr>
          <w:i w:val="1"/>
          <w:noProof w:val="1"/>
        </w:rPr>
        <w:drawing>
          <wp:inline xmlns:wp="http://schemas.openxmlformats.org/drawingml/2006/wordprocessingDrawing" distT="0" distB="0" distL="0" distR="0">
            <wp:extent cx="4676775" cy="2705100"/>
            <wp:effectExtent l="0" t="0" r="0" b="0"/>
            <wp:docPr id="53" name="image12.png" descr="Rekommenderade avstånd mellan olika skyddsobjekt och brandfarlig vätska i cistern eller lös behållare (V är volym i m3, 1 m3=1000 liter)"/>
            <wp:cNvGraphicFramePr/>
            <a:graphic xmlns:a="http://schemas.openxmlformats.org/drawingml/2006/main">
              <a:graphicData uri="http://schemas.openxmlformats.org/drawingml/2006/picture">
                <pic:pic xmlns:pic="http://schemas.openxmlformats.org/drawingml/2006/picture">
                  <pic:nvPicPr>
                    <pic:cNvPr id="0" name="image12.png" descr="Rekommenderade avstånd mellan olika skyddsobjekt och brandfarlig vätska i cistern eller lös behållare (V är volym i m3, 1 m3=1000 liter)"/>
                    <pic:cNvPicPr preferRelativeResize="0"/>
                  </pic:nvPicPr>
                  <pic:blipFill dpi="0">
                    <a:blip xmlns:r="http://schemas.openxmlformats.org/officeDocument/2006/relationships" r:embed="Relimage29"/>
                    <a:srcRect/>
                    <a:stretch>
                      <a:fillRect/>
                    </a:stretch>
                  </pic:blipFill>
                  <pic:spPr>
                    <a:xfrm>
                      <a:off x="0" y="0"/>
                      <a:ext cx="4676775" cy="2705100"/>
                    </a:xfrm>
                    <a:prstGeom prst="rect"/>
                  </pic:spPr>
                </pic:pic>
              </a:graphicData>
            </a:graphic>
          </wp:inline>
        </w:drawing>
      </w:r>
    </w:p>
    <w:p>
      <w:pPr>
        <w:tabs>
          <w:tab w:val="left" w:pos="284" w:leader="none"/>
        </w:tabs>
      </w:pPr>
      <w:r>
        <w:rPr>
          <w:i w:val="1"/>
          <w:sz w:val="20"/>
          <w:szCs w:val="20"/>
        </w:rPr>
        <w:t>Tabell visar rekommenderade avstånd mellan olika skyddsobjekt och brandfarlig vätska i cistern eller lös behållare (V är volym i m3, 1 m3=1000 liter)</w:t>
      </w:r>
    </w:p>
    <w:p>
      <w:pPr>
        <w:tabs>
          <w:tab w:val="left" w:pos="284" w:leader="none"/>
        </w:tabs>
      </w:pPr>
      <w:r>
        <w:t xml:space="preserve">Boverkets skrift </w:t>
      </w:r>
      <w:r>
        <w:rPr>
          <w:i w:val="1"/>
        </w:rPr>
        <w:t>Bättre plats för arbete</w:t>
      </w:r>
      <w:r>
        <w:t xml:space="preserve"> är en vägledning för kommunal planering av arbetsområden. I denna skrift har hänsyn tagits till miljö, hälsa och säkerhet. I </w:t>
      </w:r>
      <w:r>
        <w:rPr>
          <w:i w:val="1"/>
        </w:rPr>
        <w:t>Bättre plats för arbete</w:t>
      </w:r>
      <w:r>
        <w:t xml:space="preserve"> rekommenderas ett skyddsavstånd för bensinstationer på 100 meter mellan bensinstation och bostäder. De avstånd som anges här är ofta betydligt större än avstånd som anges i andra föreskrifter. Detta beror på att man i </w:t>
      </w:r>
      <w:r>
        <w:rPr>
          <w:i w:val="1"/>
        </w:rPr>
        <w:t xml:space="preserve">Bättre plats för arbete </w:t>
      </w:r>
      <w:r>
        <w:t>tagit hänsyn till flera aspekter som påverkar miljö och hälsa så som buller, lukt och andra störningar och inte bara till direkta olyckseffekter. För bensinstationer innefattar detta till exempel störningar från trafik (buller, avgaser, strålkastarljus) dag- och nattetid. Enligt samma skrift kan åtgärder införas som begränsar negativa konsekvenser med bensinstationen. Exempelvis kan bullerplank, avskärmning och vegetation förbättra situationen både ur bullersynpunkt samt med avseende på störningar från bilstrålkastare. Aktuellt planområde innehar nivåskillnader vilket anses positivt ur ett störningsperspektiv sett till strålkastare. Bostäderna i närmast anslutning till drivmedelstationen hamnar på en betydligt högre nivå vilket innebär att de inte förväntas störas av strålkastare.</w:t>
      </w:r>
    </w:p>
    <w:p>
      <w:pPr>
        <w:tabs>
          <w:tab w:val="left" w:pos="284" w:leader="none"/>
        </w:tabs>
      </w:pPr>
      <w:r>
        <w:t>Nedan presenteras Stockholms Länsstyrelses rekommendationer för den fysiska utformningen kring bensinstationer:</w:t>
      </w:r>
    </w:p>
    <w:p>
      <w:pPr>
        <w:numPr>
          <w:ilvl w:val="0"/>
          <w:numId w:val="40"/>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Inom 100 meter från en bensinstation med medelstor försäljningsvolym ska alltid risksituationen och olägenheterna för människor och miljö analyseras och bedömas.</w:t>
      </w:r>
    </w:p>
    <w:p>
      <w:pPr>
        <w:numPr>
          <w:ilvl w:val="0"/>
          <w:numId w:val="40"/>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I nyplaneringsfallet (ny bebyggelse eller ny bensinstation) bör alltid ambitionen vara att hålla ett avstånd på 100 meter från bensinstationen till bostäder, daghem, ålderdomshem och sjukhus. Detta avser en bensinstation med medelstor försäljningsvolym av fordonsbränsle.</w:t>
      </w:r>
    </w:p>
    <w:p>
      <w:pPr>
        <w:numPr>
          <w:ilvl w:val="0"/>
          <w:numId w:val="40"/>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Ur både risk-, miljö- och hälsoskyddssynpunkt bör ett minimiavstånd på 50 meter alltid hållas från bensinstation till bostäder, daghem, ålderdomshem och sjukhus samt samlingsplatser utomhus där oskyddade människor uppehåller sig (till exempel uteservering, lekplats med mera).</w:t>
      </w:r>
    </w:p>
    <w:p>
      <w:pPr>
        <w:numPr>
          <w:ilvl w:val="0"/>
          <w:numId w:val="40"/>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Personintensiva verksamheter bör inte lokaliseras närmare än 50 meter från en bensinstation om de ska inrymma människor som kan ha svårt att snabbt genomföra en utrymning men också med hänsyn till luftföroreningarnas långsiktiga påverkan på människor.</w:t>
      </w:r>
    </w:p>
    <w:p>
      <w:pPr>
        <w:numPr>
          <w:ilvl w:val="0"/>
          <w:numId w:val="40"/>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Om försäljning av biogas sker eller kan komma att ske i framtiden krävs oftast ett längre skyddsavstånd än för bensin. Vid ny bebyggelse som rymmer svårutrymbara lokaler ska ett avstånd på minst 100 meter hållas.</w:t>
      </w:r>
    </w:p>
    <w:p>
      <w:pPr>
        <w:numPr>
          <w:ilvl w:val="0"/>
          <w:numId w:val="40"/>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Byggnad bör med hänsyn till brand- och explosionsrisk (oberoende av försäljningsvolym för fordonsbränsle) inte uppföras inom ett avstånd av 25 meter från:</w:t>
      </w:r>
    </w:p>
    <w:p>
      <w:pPr>
        <w:numPr>
          <w:ilvl w:val="1"/>
          <w:numId w:val="40"/>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Tankfordonets lossningsplats.</w:t>
      </w:r>
    </w:p>
    <w:p>
      <w:pPr>
        <w:numPr>
          <w:ilvl w:val="1"/>
          <w:numId w:val="40"/>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Avluftningsanordningar från bensincistern.</w:t>
      </w:r>
    </w:p>
    <w:p>
      <w:pPr>
        <w:numPr>
          <w:ilvl w:val="1"/>
          <w:numId w:val="40"/>
        </w:numPr>
        <w:pBdr>
          <w:top w:val="nil" w:sz="0" w:space="0" w:shadow="0" w:frame="0" w:color="auto"/>
          <w:left w:val="nil" w:sz="0" w:space="0" w:shadow="0" w:frame="0" w:color="auto"/>
          <w:bottom w:val="nil" w:sz="0" w:space="0" w:shadow="0" w:frame="0" w:color="auto"/>
          <w:right w:val="nil" w:sz="0" w:space="0" w:shadow="0" w:frame="0" w:color="auto"/>
          <w:between w:val="nil" w:sz="0" w:space="0" w:shadow="0" w:frame="0" w:color="auto"/>
        </w:pBdr>
        <w:tabs>
          <w:tab w:val="left" w:pos="284" w:leader="none"/>
        </w:tabs>
        <w:spacing w:lineRule="auto" w:line="240" w:beforeAutospacing="0" w:afterAutospacing="0"/>
      </w:pPr>
      <w:r>
        <w:rPr>
          <w:color w:val="000000"/>
        </w:rPr>
        <w:t>Tankställe där fordon tankas (pump).</w:t>
      </w:r>
    </w:p>
    <w:p>
      <w:pPr>
        <w:tabs>
          <w:tab w:val="left" w:pos="284" w:leader="none"/>
        </w:tabs>
      </w:pPr>
      <w:r>
        <w:t xml:space="preserve">Vid drivmedelstationen inom planområdet hanteras bensin och diesel. På drivmedelstationen finns totalt fem cisterner som är placerade under mark och två cisterner som är placerade ovan mark. Leverans av bensin och diesel sker normalt två gånger per vecka. I butiken förvaras spolarvätska och utanför butiken förvaras gasol. </w:t>
      </w:r>
    </w:p>
    <w:p>
      <w:pPr>
        <w:rPr>
          <w:b w:val="1"/>
          <w:i w:val="1"/>
          <w:bCs w:val="1"/>
          <w:iCs w:val="1"/>
        </w:rPr>
      </w:pPr>
      <w:bookmarkEnd w:id="172"/>
      <w:r>
        <w:rPr>
          <w:b w:val="1"/>
          <w:i w:val="1"/>
          <w:bCs w:val="1"/>
          <w:iCs w:val="1"/>
        </w:rPr>
        <w:t>Bedömning/konsekvenser</w:t>
      </w:r>
    </w:p>
    <w:p>
      <w:pPr>
        <w:tabs>
          <w:tab w:val="left" w:pos="284" w:leader="none"/>
        </w:tabs>
      </w:pPr>
      <w:bookmarkStart w:id="173" w:name="ko_olyckor01"/>
      <w:r>
        <w:t>Bedömning görs att avstånd mellan bensinstationen och planerad bebyggelse är tillräckliga ur risksynpunkt vid olycka. Ett skyddsavstånd på 25 meter till bostäder är säkerställt i plankartan, avståndet till byggrätter ligger på ca 40-50 meter.</w:t>
      </w:r>
    </w:p>
    <w:p>
      <w:pPr>
        <w:tabs>
          <w:tab w:val="left" w:pos="284" w:leader="none"/>
        </w:tabs>
      </w:pPr>
      <w:r>
        <w:t>Särskilda krav på fasad mot bensinstation anses ej erforderliga.</w:t>
      </w:r>
    </w:p>
    <w:p>
      <w:pPr>
        <w:tabs>
          <w:tab w:val="left" w:pos="284" w:leader="none"/>
        </w:tabs>
      </w:pPr>
      <w:r>
        <w:t>Även om behov av snabb utrymning på grund av eventuell olycka vid bensinstationen inte förutses bör ändå utrymningsmöjlighet bort från bensinstationen säkerställas. Detta säkerställs i plankartan.</w:t>
      </w:r>
    </w:p>
    <w:p>
      <w:pPr>
        <w:tabs>
          <w:tab w:val="left" w:pos="284" w:leader="none"/>
        </w:tabs>
      </w:pPr>
      <w:r>
        <w:t xml:space="preserve">En värdering av behov avseende avskärmande åtgärder alternativt begränsningar i markens nyttjande med hänsyn till buller, strålkastarljus och lukt har gjorts för de delar av byggnaden som ligger närmast bensinstationen. </w:t>
      </w:r>
    </w:p>
    <w:p>
      <w:pPr>
        <w:tabs>
          <w:tab w:val="left" w:pos="284" w:leader="none"/>
        </w:tabs>
      </w:pPr>
      <w:r>
        <w:t xml:space="preserve">Utifrån hur området är uppbyggt med sina höjdskillnader och öppenhet anser kommunen att avskärmade åtgärder buller ej är nödvändiga. Strålkastarljus anses inte störande med tanke på höjdskillnader mot planerad bebyggelse. I plankartan regleras parkeringsytan i anslutning till macken till bilparkering och husbilsparkering för att säkerställa att ytan inte används till uppställningsplats för lastbilar i framtiden. Detta tar bort det buller som kommer från lastbilar med kylaggregat och fläktar. Område är geografiskt öppet utan omslutande byggnation vilket gör att lukt inte bedöms medföra några hälsorisker eller olägenheter. </w:t>
      </w:r>
      <w:bookmarkEnd w:id="173"/>
    </w:p>
    <w:p>
      <w:pPr>
        <w:pStyle w:val="P2"/>
      </w:pPr>
      <w:bookmarkStart w:id="174" w:name="_Toc214961335"/>
      <w:r>
        <w:t>Vatten</w:t>
      </w:r>
      <w:bookmarkEnd w:id="174"/>
    </w:p>
    <w:p>
      <w:pPr>
        <w:pStyle w:val="P3"/>
      </w:pPr>
      <w:bookmarkStart w:id="175" w:name="_Toc214961336"/>
      <w:r>
        <w:t>Dagvatten/ytvatten</w:t>
      </w:r>
      <w:bookmarkEnd w:id="175"/>
    </w:p>
    <w:p>
      <w:pPr>
        <w:tabs>
          <w:tab w:val="left" w:pos="284" w:leader="none"/>
        </w:tabs>
      </w:pPr>
      <w:bookmarkStart w:id="176" w:name="pf_dagvatten01"/>
      <w:r>
        <w:t xml:space="preserve">Idag finns det ingen dagvattenhantering utan dagvatten/ytvattnet tas upp av de gröna ytorna eller rinner längs med befintlig väg i västlig riktning. Vid ny exploatering kommer den hårdgjorda ytan att utökas och dagvattnet behöver tas om hand om för att inte påverka Natura2000 området och recipienten på ett negativt sätt. </w:t>
      </w:r>
    </w:p>
    <w:p>
      <w:r>
        <w:rPr>
          <w:noProof w:val="1"/>
        </w:rPr>
        <w:drawing>
          <wp:anchor xmlns:wp="http://schemas.openxmlformats.org/drawingml/2006/wordprocessingDrawing" distT="0" distB="0" distL="0" distR="0" simplePos="0" relativeHeight="251679747" behindDoc="1" locked="0" layoutInCell="1" allowOverlap="1">
            <wp:simplePos x="0" y="0"/>
            <wp:positionH relativeFrom="margin">
              <wp:posOffset>-394970</wp:posOffset>
            </wp:positionH>
            <wp:positionV relativeFrom="paragraph">
              <wp:posOffset>1010285</wp:posOffset>
            </wp:positionV>
            <wp:extent cx="2943225" cy="4086225"/>
            <wp:effectExtent l="0" t="0" r="9525" b="9525"/>
            <wp:wrapTopAndBottom/>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dpi="0">
                    <a:blip xmlns:r="http://schemas.openxmlformats.org/officeDocument/2006/relationships" r:embed="Relimage30" cstate="print"/>
                    <a:srcRect/>
                    <a:stretch>
                      <a:fillRect/>
                    </a:stretch>
                  </pic:blipFill>
                  <pic:spPr>
                    <a:xfrm>
                      <a:off x="0" y="0"/>
                      <a:ext cx="2943225" cy="4086225"/>
                    </a:xfrm>
                    <a:prstGeom prst="rect"/>
                  </pic:spPr>
                </pic:pic>
              </a:graphicData>
            </a:graphic>
          </wp:anchor>
        </w:drawing>
      </w:r>
      <w:r>
        <w:rPr>
          <w:noProof w:val="1"/>
        </w:rPr>
        <mc:AlternateContent>
          <mc:Choice Requires="wpg">
            <w:drawing>
              <wp:anchor xmlns:wp="http://schemas.openxmlformats.org/drawingml/2006/wordprocessingDrawing" distT="0" distB="0" distL="0" distR="0" simplePos="0" relativeHeight="251679746" behindDoc="1" locked="0" layoutInCell="1" allowOverlap="1">
                <wp:simplePos x="0" y="0"/>
                <wp:positionH relativeFrom="margin">
                  <wp:posOffset>2668270</wp:posOffset>
                </wp:positionH>
                <wp:positionV relativeFrom="paragraph">
                  <wp:posOffset>970280</wp:posOffset>
                </wp:positionV>
                <wp:extent cx="2895600" cy="4133850"/>
                <wp:effectExtent l="0" t="0" r="19050" b="19050"/>
                <wp:wrapTopAndBottom/>
                <wp:docPr id="50" name="Group 33"/>
                <wp:cNvGraphicFramePr/>
                <a:graphic xmlns:a="http://schemas.openxmlformats.org/drawingml/2006/main">
                  <a:graphicData uri="http://schemas.microsoft.com/office/word/2010/wordprocessingGroup">
                    <wpg:wgp>
                      <wpg:cNvGrpSpPr/>
                      <wpg:grpSpPr>
                        <a:xfrm>
                          <a:off x="0" y="0"/>
                          <a:ext cx="2895600" cy="4133850"/>
                          <a:chOff x="0" y="0"/>
                          <a:chExt cx="4699000" cy="6226175"/>
                        </a:xfrm>
                      </wpg:grpSpPr>
                      <pic:pic xmlns:pic="http://schemas.openxmlformats.org/drawingml/2006/picture">
                        <pic:nvPicPr>
                          <pic:cNvPr id="51" name="Image 34" descr="A map of land with a black line  AI-generated content may be incorrect. (Rektangel)"/>
                          <pic:cNvPicPr/>
                        </pic:nvPicPr>
                        <pic:blipFill dpi="0">
                          <a:blip xmlns:r="http://schemas.openxmlformats.org/officeDocument/2006/relationships" r:embed="Relimage31" cstate="print"/>
                          <a:srcRect/>
                          <a:stretch>
                            <a:fillRect/>
                          </a:stretch>
                        </pic:blipFill>
                        <pic:spPr>
                          <a:xfrm>
                            <a:off x="9589" y="9589"/>
                            <a:ext cx="4666062" cy="6207125"/>
                          </a:xfrm>
                          <a:prstGeom prst="rect"/>
                        </pic:spPr>
                      </pic:pic>
                      <wps:wsp>
                        <wps:cNvPr id="52" name="Graphic 35"/>
                        <wps:cNvSpPr/>
                        <wps:spPr>
                          <a:xfrm>
                            <a:off x="4763" y="4763"/>
                            <a:ext cx="4689475" cy="6216650"/>
                          </a:xfrm>
                          <a:custGeom>
                            <a:rect l="l" t="t" r="r" b="b"/>
                            <a:pathLst>
                              <a:path w="4689475" h="6216650">
                                <a:moveTo>
                                  <a:pt x="0" y="6216650"/>
                                </a:moveTo>
                                <a:lnTo>
                                  <a:pt x="4689475" y="6216650"/>
                                </a:lnTo>
                                <a:lnTo>
                                  <a:pt x="4689475" y="0"/>
                                </a:lnTo>
                                <a:lnTo>
                                  <a:pt x="0" y="0"/>
                                </a:lnTo>
                                <a:lnTo>
                                  <a:pt x="0" y="6216650"/>
                                </a:lnTo>
                                <a:close/>
                              </a:path>
                            </a:pathLst>
                          </a:custGeom>
                          <a:ln w="9525">
                            <a:solidFill>
                              <a:srgbClr val="D9D9D9"/>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6" name="Graphic 36"/>
                        <wps:cNvSpPr/>
                        <wps:spPr>
                          <a:xfrm>
                            <a:off x="1598358" y="2308923"/>
                            <a:ext cx="451484" cy="619760"/>
                          </a:xfrm>
                          <a:custGeom>
                            <a:rect l="l" t="t" r="r" b="b"/>
                            <a:pathLst>
                              <a:path w="451484" h="619760">
                                <a:moveTo>
                                  <a:pt x="0" y="0"/>
                                </a:moveTo>
                                <a:lnTo>
                                  <a:pt x="62992" y="609218"/>
                                </a:lnTo>
                                <a:lnTo>
                                  <a:pt x="356997" y="619760"/>
                                </a:lnTo>
                                <a:lnTo>
                                  <a:pt x="451485" y="588137"/>
                                </a:lnTo>
                                <a:lnTo>
                                  <a:pt x="451485" y="105028"/>
                                </a:lnTo>
                                <a:lnTo>
                                  <a:pt x="377951" y="10413"/>
                                </a:lnTo>
                                <a:lnTo>
                                  <a:pt x="0" y="0"/>
                                </a:lnTo>
                                <a:close/>
                              </a:path>
                            </a:pathLst>
                          </a:custGeom>
                          <a:solidFill>
                            <a:srgbClr val="00AFEF">
                              <a:alpha val="41175"/>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7" name="Graphic 37"/>
                        <wps:cNvSpPr/>
                        <wps:spPr>
                          <a:xfrm>
                            <a:off x="1598358" y="2308923"/>
                            <a:ext cx="451484" cy="619760"/>
                          </a:xfrm>
                          <a:custGeom>
                            <a:rect l="l" t="t" r="r" b="b"/>
                            <a:pathLst>
                              <a:path w="451484" h="619760">
                                <a:moveTo>
                                  <a:pt x="62992" y="609218"/>
                                </a:moveTo>
                                <a:lnTo>
                                  <a:pt x="0" y="0"/>
                                </a:lnTo>
                                <a:lnTo>
                                  <a:pt x="377951" y="10413"/>
                                </a:lnTo>
                                <a:lnTo>
                                  <a:pt x="451485" y="105028"/>
                                </a:lnTo>
                                <a:lnTo>
                                  <a:pt x="451485" y="588137"/>
                                </a:lnTo>
                                <a:lnTo>
                                  <a:pt x="356997" y="619760"/>
                                </a:lnTo>
                                <a:lnTo>
                                  <a:pt x="62992" y="609218"/>
                                </a:lnTo>
                                <a:close/>
                              </a:path>
                            </a:pathLst>
                          </a:custGeom>
                          <a:ln w="12700">
                            <a:solidFill>
                              <a:srgbClr val="4B483C"/>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8" name="Graphic 38"/>
                        <wps:cNvSpPr/>
                        <wps:spPr>
                          <a:xfrm>
                            <a:off x="1619313" y="2918523"/>
                            <a:ext cx="409575" cy="556895"/>
                          </a:xfrm>
                          <a:custGeom>
                            <a:rect l="l" t="t" r="r" b="b"/>
                            <a:pathLst>
                              <a:path w="409575" h="556895">
                                <a:moveTo>
                                  <a:pt x="409574" y="0"/>
                                </a:moveTo>
                                <a:lnTo>
                                  <a:pt x="336042" y="0"/>
                                </a:lnTo>
                                <a:lnTo>
                                  <a:pt x="231012" y="83946"/>
                                </a:lnTo>
                                <a:lnTo>
                                  <a:pt x="115569" y="157606"/>
                                </a:lnTo>
                                <a:lnTo>
                                  <a:pt x="0" y="105028"/>
                                </a:lnTo>
                                <a:lnTo>
                                  <a:pt x="42037" y="525271"/>
                                </a:lnTo>
                                <a:lnTo>
                                  <a:pt x="136525" y="493775"/>
                                </a:lnTo>
                                <a:lnTo>
                                  <a:pt x="136525" y="535813"/>
                                </a:lnTo>
                                <a:lnTo>
                                  <a:pt x="294005" y="556894"/>
                                </a:lnTo>
                                <a:lnTo>
                                  <a:pt x="325500" y="504316"/>
                                </a:lnTo>
                                <a:lnTo>
                                  <a:pt x="409574" y="0"/>
                                </a:lnTo>
                                <a:close/>
                              </a:path>
                            </a:pathLst>
                          </a:custGeom>
                          <a:solidFill>
                            <a:srgbClr val="F3755D">
                              <a:alpha val="47842"/>
                            </a:srgbClr>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60" name="Graphic 39"/>
                        <wps:cNvSpPr/>
                        <wps:spPr>
                          <a:xfrm>
                            <a:off x="1619313" y="2918523"/>
                            <a:ext cx="409575" cy="556895"/>
                          </a:xfrm>
                          <a:custGeom>
                            <a:rect l="l" t="t" r="r" b="b"/>
                            <a:pathLst>
                              <a:path w="409575" h="556895">
                                <a:moveTo>
                                  <a:pt x="42037" y="525271"/>
                                </a:moveTo>
                                <a:lnTo>
                                  <a:pt x="0" y="105028"/>
                                </a:lnTo>
                                <a:lnTo>
                                  <a:pt x="115569" y="157606"/>
                                </a:lnTo>
                                <a:lnTo>
                                  <a:pt x="231012" y="83946"/>
                                </a:lnTo>
                                <a:lnTo>
                                  <a:pt x="336042" y="0"/>
                                </a:lnTo>
                                <a:lnTo>
                                  <a:pt x="409574" y="0"/>
                                </a:lnTo>
                                <a:lnTo>
                                  <a:pt x="325500" y="504316"/>
                                </a:lnTo>
                                <a:lnTo>
                                  <a:pt x="294005" y="556894"/>
                                </a:lnTo>
                                <a:lnTo>
                                  <a:pt x="136525" y="535813"/>
                                </a:lnTo>
                                <a:lnTo>
                                  <a:pt x="136525" y="493775"/>
                                </a:lnTo>
                                <a:lnTo>
                                  <a:pt x="42037" y="525271"/>
                                </a:lnTo>
                                <a:close/>
                              </a:path>
                            </a:pathLst>
                          </a:custGeom>
                          <a:ln w="12700">
                            <a:solidFill>
                              <a:srgbClr val="672C22"/>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62" name="Image 40"/>
                          <pic:cNvPicPr/>
                        </pic:nvPicPr>
                        <pic:blipFill dpi="0">
                          <a:blip xmlns:r="http://schemas.openxmlformats.org/officeDocument/2006/relationships" r:embed="Relimage32" cstate="print"/>
                          <a:srcRect/>
                          <a:stretch>
                            <a:fillRect/>
                          </a:stretch>
                        </pic:blipFill>
                        <pic:spPr>
                          <a:xfrm>
                            <a:off x="1671298" y="2451926"/>
                            <a:ext cx="243418" cy="127888"/>
                          </a:xfrm>
                          <a:prstGeom prst="rect"/>
                        </pic:spPr>
                      </pic:pic>
                      <pic:pic xmlns:pic="http://schemas.openxmlformats.org/drawingml/2006/picture">
                        <pic:nvPicPr>
                          <pic:cNvPr id="63" name="Image 41"/>
                          <pic:cNvPicPr/>
                        </pic:nvPicPr>
                        <pic:blipFill dpi="0">
                          <a:blip xmlns:r="http://schemas.openxmlformats.org/officeDocument/2006/relationships" r:embed="Relimage33" cstate="print"/>
                          <a:srcRect/>
                          <a:stretch>
                            <a:fillRect/>
                          </a:stretch>
                        </pic:blipFill>
                        <pic:spPr>
                          <a:xfrm>
                            <a:off x="1701143" y="3113596"/>
                            <a:ext cx="243418" cy="127889"/>
                          </a:xfrm>
                          <a:prstGeom prst="rect"/>
                        </pic:spPr>
                      </pic:pic>
                      <pic:pic xmlns:pic="http://schemas.openxmlformats.org/drawingml/2006/picture">
                        <pic:nvPicPr>
                          <pic:cNvPr id="64" name="Image 42"/>
                          <pic:cNvPicPr/>
                        </pic:nvPicPr>
                        <pic:blipFill dpi="0">
                          <a:blip xmlns:r="http://schemas.openxmlformats.org/officeDocument/2006/relationships" r:embed="Relimage34" cstate="print"/>
                          <a:srcRect/>
                          <a:stretch>
                            <a:fillRect/>
                          </a:stretch>
                        </pic:blipFill>
                        <pic:spPr>
                          <a:xfrm>
                            <a:off x="1713928" y="2166303"/>
                            <a:ext cx="242189" cy="98043"/>
                          </a:xfrm>
                          <a:prstGeom prst="rect"/>
                        </pic:spPr>
                      </pic:pic>
                      <pic:pic xmlns:pic="http://schemas.openxmlformats.org/drawingml/2006/picture">
                        <pic:nvPicPr>
                          <pic:cNvPr id="65" name="Image 43"/>
                          <pic:cNvPicPr/>
                        </pic:nvPicPr>
                        <pic:blipFill dpi="0">
                          <a:blip xmlns:r="http://schemas.openxmlformats.org/officeDocument/2006/relationships" r:embed="Relimage35" cstate="print"/>
                          <a:srcRect/>
                          <a:stretch>
                            <a:fillRect/>
                          </a:stretch>
                        </pic:blipFill>
                        <pic:spPr>
                          <a:xfrm>
                            <a:off x="2053526" y="2424366"/>
                            <a:ext cx="97155" cy="189738"/>
                          </a:xfrm>
                          <a:prstGeom prst="rect"/>
                        </pic:spPr>
                      </pic:pic>
                      <pic:pic xmlns:pic="http://schemas.openxmlformats.org/drawingml/2006/picture">
                        <pic:nvPicPr>
                          <pic:cNvPr id="66" name="Image 44"/>
                          <pic:cNvPicPr/>
                        </pic:nvPicPr>
                        <pic:blipFill dpi="0">
                          <a:blip xmlns:r="http://schemas.openxmlformats.org/officeDocument/2006/relationships" r:embed="Relimage36" cstate="print"/>
                          <a:srcRect/>
                          <a:stretch>
                            <a:fillRect/>
                          </a:stretch>
                        </pic:blipFill>
                        <pic:spPr>
                          <a:xfrm>
                            <a:off x="2016696" y="2950147"/>
                            <a:ext cx="96774" cy="227329"/>
                          </a:xfrm>
                          <a:prstGeom prst="rect"/>
                        </pic:spPr>
                      </pic:pic>
                      <pic:pic xmlns:pic="http://schemas.openxmlformats.org/drawingml/2006/picture">
                        <pic:nvPicPr>
                          <pic:cNvPr id="68" name="Image 45"/>
                          <pic:cNvPicPr/>
                        </pic:nvPicPr>
                        <pic:blipFill dpi="0">
                          <a:blip xmlns:r="http://schemas.openxmlformats.org/officeDocument/2006/relationships" r:embed="Relimage37" cstate="print"/>
                          <a:srcRect/>
                          <a:stretch>
                            <a:fillRect/>
                          </a:stretch>
                        </pic:blipFill>
                        <pic:spPr>
                          <a:xfrm>
                            <a:off x="2466403" y="2360231"/>
                            <a:ext cx="131953" cy="87757"/>
                          </a:xfrm>
                          <a:prstGeom prst="rect"/>
                        </pic:spPr>
                      </pic:pic>
                      <pic:pic xmlns:pic="http://schemas.openxmlformats.org/drawingml/2006/picture">
                        <pic:nvPicPr>
                          <pic:cNvPr id="69" name="Image 46"/>
                          <pic:cNvPicPr/>
                        </pic:nvPicPr>
                        <pic:blipFill dpi="0">
                          <a:blip xmlns:r="http://schemas.openxmlformats.org/officeDocument/2006/relationships" r:embed="Relimage38" cstate="print"/>
                          <a:srcRect/>
                          <a:stretch>
                            <a:fillRect/>
                          </a:stretch>
                        </pic:blipFill>
                        <pic:spPr>
                          <a:xfrm>
                            <a:off x="2291778" y="2850832"/>
                            <a:ext cx="190373" cy="97029"/>
                          </a:xfrm>
                          <a:prstGeom prst="rect"/>
                        </pic:spPr>
                      </pic:pic>
                      <pic:pic xmlns:pic="http://schemas.openxmlformats.org/drawingml/2006/picture">
                        <pic:nvPicPr>
                          <pic:cNvPr id="70" name="Image 47"/>
                          <pic:cNvPicPr/>
                        </pic:nvPicPr>
                        <pic:blipFill dpi="0">
                          <a:blip xmlns:r="http://schemas.openxmlformats.org/officeDocument/2006/relationships" r:embed="Relimage38" cstate="print"/>
                          <a:srcRect/>
                          <a:stretch>
                            <a:fillRect/>
                          </a:stretch>
                        </pic:blipFill>
                        <pic:spPr>
                          <a:xfrm>
                            <a:off x="2110168" y="3722687"/>
                            <a:ext cx="190373" cy="97028"/>
                          </a:xfrm>
                          <a:prstGeom prst="rect"/>
                        </pic:spPr>
                      </pic:pic>
                      <pic:pic xmlns:pic="http://schemas.openxmlformats.org/drawingml/2006/picture">
                        <pic:nvPicPr>
                          <pic:cNvPr id="71" name="Image 48"/>
                          <pic:cNvPicPr/>
                        </pic:nvPicPr>
                        <pic:blipFill dpi="0">
                          <a:blip xmlns:r="http://schemas.openxmlformats.org/officeDocument/2006/relationships" r:embed="Relimage39" cstate="print"/>
                          <a:srcRect/>
                          <a:stretch>
                            <a:fillRect/>
                          </a:stretch>
                        </pic:blipFill>
                        <pic:spPr>
                          <a:xfrm>
                            <a:off x="1818703" y="3516312"/>
                            <a:ext cx="109220" cy="238505"/>
                          </a:xfrm>
                          <a:prstGeom prst="rect"/>
                        </pic:spPr>
                      </pic:pic>
                    </wpg:wgp>
                  </a:graphicData>
                </a:graphic>
              </wp:anchor>
            </w:drawing>
          </mc:Choice>
          <mc:Fallback>
            <w:pict>
              <v:group xmlns:o="urn:schemas-microsoft-com:office:office" id="Group 33" style="position:absolute;width:228pt;height:325.5pt;z-index:251679746;mso-wrap-distance-left:0pt;mso-wrap-distance-top:0pt;mso-wrap-distance-right:0pt;mso-wrap-distance-bottom:0pt;margin-left:210.1pt;margin-top:76.4pt;mso-position-horizontal:absolute;mso-position-horizontal-relative:margin;mso-position-vertical:absolute;mso-position-vertical-relative:text" coordorigin="0,0" coordsize="4699000,6226175" o:allowincell="t">
                <v:shape id="Image 34" o:spid="_x0000_s1044" type="#_x0000_t75" alt="A map of land with a black line  AI-generated content may be incorrect. (Rektangel)" style="position:absolute;left:9588;top:9588;width:4666061;height:6207125" o:preferrelative="t" stroked="f" o:allowincell="t">
                  <v:imagedata src="Relimage31" o:title=""/>
                  <w10:wrap type="topAndBottom"/>
                </v:shape>
                <v:shape id="Graphic 35" o:spid="_x0000_s1045" style="position:absolute;left:4762;top:4762;width:4689475;height:6216650" o:allowincell="t" strokecolor="#D9D9D9" strokeweight="0.75pt" stroked="t" coordsize="7385,9790" path="m0,6216650l4689475,6216650,4689475,,,,,6216650,xe">
                  <w10:wrap type="topAndBottom"/>
                </v:shape>
                <v:shape id="Graphic 36" o:spid="_x0000_s1046" style="position:absolute;left:1598357;top:2308922;width:451483;height:619760" o:allowincell="t" fillcolor="#00AFEF" stroked="f" coordsize="710,9984,976" path="m0,0l62992,609218,356997,619760,451485,588137,451485,105028,377951,10413,,,xe">
                  <w10:wrap type="topAndBottom"/>
                  <v:fill opacity=".41175"/>
                </v:shape>
                <v:shape id="Graphic 37" o:spid="_x0000_s1047" style="position:absolute;left:1598357;top:2308922;width:451483;height:619760" o:allowincell="t" strokecolor="#4B483C" strokeweight="1pt" stroked="t" coordsize="710,9984,976" path="m62992,609218l,,377951,10413,451485,105028,451485,588137,356997,619760,62992,609218,xe">
                  <w10:wrap type="topAndBottom"/>
                </v:shape>
                <v:shape id="Graphic 38" o:spid="_x0000_s1048" style="position:absolute;left:1619312;top:2918522;width:409575;height:556895" o:allowincell="t" fillcolor="#F3755D" stroked="f" coordsize="645,877" path="m409574,0l336042,,231012,83946,115569,157606,,105028,42037,525271,136525,493775,136525,535813,294005,556894,325500,504316,409574,,xe">
                  <w10:wrap type="topAndBottom"/>
                  <v:fill opacity=".47842"/>
                </v:shape>
                <v:shape id="Graphic 39" o:spid="_x0000_s1049" style="position:absolute;left:1619312;top:2918522;width:409575;height:556895" o:allowincell="t" strokecolor="#672C22" strokeweight="1pt" stroked="t" coordsize="645,877" path="m42037,525271l,105028,115569,157606,231012,83946,336042,,409574,,325500,504316,294005,556894,136525,535813,136525,493775,42037,525271,xe">
                  <w10:wrap type="topAndBottom"/>
                </v:shape>
                <v:shape id="Image 40" o:spid="_x0000_s1050" type="#_x0000_t75" style="position:absolute;left:1671297;top:2451925;width:243417;height:127887" o:preferrelative="t" stroked="f" o:allowincell="t">
                  <v:imagedata src="Relimage32" o:title=""/>
                  <w10:wrap type="topAndBottom"/>
                </v:shape>
                <v:shape id="Image 41" o:spid="_x0000_s1051" type="#_x0000_t75" style="position:absolute;left:1701142;top:3113595;width:243417;height:127888" o:preferrelative="t" stroked="f" o:allowincell="t">
                  <v:imagedata src="Relimage33" o:title=""/>
                  <w10:wrap type="topAndBottom"/>
                </v:shape>
                <v:shape id="Image 42" o:spid="_x0000_s1052" type="#_x0000_t75" style="position:absolute;left:1713927;top:2166302;width:242188;height:98042" o:preferrelative="t" stroked="f" o:allowincell="t">
                  <v:imagedata src="Relimage34" o:title=""/>
                  <w10:wrap type="topAndBottom"/>
                </v:shape>
                <v:shape id="Image 43" o:spid="_x0000_s1053" type="#_x0000_t75" style="position:absolute;left:2053525;top:2424365;width:97155;height:189737" o:preferrelative="t" stroked="f" o:allowincell="t">
                  <v:imagedata src="Relimage35" o:title=""/>
                  <w10:wrap type="topAndBottom"/>
                </v:shape>
                <v:shape id="Image 44" o:spid="_x0000_s1054" type="#_x0000_t75" style="position:absolute;left:2016695;top:2950146;width:96773;height:227328" o:preferrelative="t" stroked="f" o:allowincell="t">
                  <v:imagedata src="Relimage36" o:title=""/>
                  <w10:wrap type="topAndBottom"/>
                </v:shape>
                <v:shape id="Image 45" o:spid="_x0000_s1055" type="#_x0000_t75" style="position:absolute;left:2466402;top:2360230;width:131952;height:87756" o:preferrelative="t" stroked="f" o:allowincell="t">
                  <v:imagedata src="Relimage37" o:title=""/>
                  <w10:wrap type="topAndBottom"/>
                </v:shape>
                <v:shape id="Image 46" o:spid="_x0000_s1056" type="#_x0000_t75" style="position:absolute;left:2291777;top:2850831;width:190372;height:97028" o:preferrelative="t" stroked="f" o:allowincell="t">
                  <v:imagedata src="Relimage38" o:title=""/>
                  <w10:wrap type="topAndBottom"/>
                </v:shape>
                <v:shape id="Image 47" o:spid="_x0000_s1057" type="#_x0000_t75" style="position:absolute;left:2110167;top:3722686;width:190372;height:97027" o:preferrelative="t" stroked="f" o:allowincell="t">
                  <v:imagedata src="Relimage38" o:title=""/>
                  <w10:wrap type="topAndBottom"/>
                </v:shape>
                <v:shape id="Image 48" o:spid="_x0000_s1058" type="#_x0000_t75" style="position:absolute;left:1818702;top:3516311;width:109219;height:238504" o:preferrelative="t" stroked="f" o:allowincell="t">
                  <v:imagedata src="Relimage39" o:title=""/>
                  <w10:wrap type="topAndBottom"/>
                </v:shape>
              </v:group>
            </w:pict>
          </mc:Fallback>
        </mc:AlternateContent>
      </w:r>
      <w:r>
        <w:t>Hårstorp 1:7 m.fl. karaktäriseras av en kuperad blockig terräng med en glest sammanhängande bebyggelse. De ytliga avrinningsområdenas befintliga utbredning framgår av kartorna nedan. Till följd av exploateringen förändras de naturliga avrinningsområdena på ett sätt så att lokalgatorna inom planen utgör ytvattendelare och ytvatten avleds i diken parallellt med lokalgatorna.</w:t>
      </w:r>
    </w:p>
    <w:p>
      <w:pPr>
        <w:tabs>
          <w:tab w:val="left" w:pos="284" w:leader="none"/>
        </w:tabs>
        <w:rPr>
          <w:i w:val="1"/>
          <w:iCs w:val="1"/>
          <w:sz w:val="18"/>
          <w:szCs w:val="18"/>
        </w:rPr>
      </w:pPr>
      <w:r>
        <w:rPr>
          <w:i w:val="1"/>
          <w:iCs w:val="1"/>
          <w:sz w:val="18"/>
          <w:szCs w:val="18"/>
        </w:rPr>
        <w:t>Bild till vänster visar befintliga lokala avrinningsområden, rinnstråk och lågpunkter. Kartkälla: (Esri Inc., 2025) samt (Scalgo live Web, 2023). Bild till höger visar</w:t>
      </w:r>
      <w:r>
        <w:t xml:space="preserve"> ö</w:t>
      </w:r>
      <w:r>
        <w:rPr>
          <w:i w:val="1"/>
          <w:iCs w:val="1"/>
          <w:sz w:val="18"/>
          <w:szCs w:val="18"/>
        </w:rPr>
        <w:t>versikt på hur avrinningsområden och flödesriktningen för ytavrinning förändras efter exploatering. Kartkälla: (Esri Inc., 2025) samt (Scalgo live Web, 2023) Bearbetning av kartfigurerna är genomförd av Tyréns AB.</w:t>
      </w:r>
    </w:p>
    <w:p>
      <w:pPr>
        <w:tabs>
          <w:tab w:val="left" w:pos="284" w:leader="none"/>
        </w:tabs>
        <w:rPr>
          <w:rFonts w:ascii="Calibri" w:hAnsi="Calibri"/>
        </w:rPr>
      </w:pPr>
      <w:r>
        <w:rPr>
          <w:rFonts w:ascii="Calibri" w:hAnsi="Calibri"/>
        </w:rPr>
        <w:t xml:space="preserve">För att utreda lämpligheten och möjligheten för en bra framtida hantering av dagvatten togs en dagvattenutredning fram av konsultfirman Tyréns inför samrådet. Efter samrådet har även en fördjupad utredning av dagvattenhanteringen tagits fram utifrån det som uppkommit vid förprojektering av gator, tomter m.m. </w:t>
      </w:r>
    </w:p>
    <w:p>
      <w:pPr>
        <w:tabs>
          <w:tab w:val="left" w:pos="284" w:leader="none"/>
        </w:tabs>
        <w:rPr>
          <w:rFonts w:ascii="Calibri" w:hAnsi="Calibri"/>
        </w:rPr>
      </w:pPr>
      <w:r>
        <w:rPr>
          <w:rFonts w:ascii="Calibri" w:hAnsi="Calibri"/>
        </w:rPr>
        <w:t xml:space="preserve">Den fördjupade dagvattenutredningen har resulterat i att dimensionerande beräkningar avseende dagvattenflöden och volymer har anpassats till områdets naturgeografiska förutsättningar. Den kuperade och bergiga terrängen medför att trappade diken, som tidigare föreslagits i syfte att möjliggöra trög avledning, ej bedöms kunna fördröja i den utsträckning som varit önskad. Dikena har kompletterats med ett större utjämningsdike/torrdamm i närmast väg 918, som syftar till att utgöra en samlad fördröjning och rening av dagvatten innan vattnet tar sig till Vättern som är områdets recipient. </w:t>
      </w:r>
    </w:p>
    <w:p>
      <w:pPr>
        <w:tabs>
          <w:tab w:val="left" w:pos="284" w:leader="none"/>
        </w:tabs>
        <w:rPr>
          <w:rFonts w:ascii="Calibri" w:hAnsi="Calibri"/>
        </w:rPr>
      </w:pPr>
      <w:r>
        <w:rPr>
          <w:rFonts w:ascii="Calibri" w:hAnsi="Calibri"/>
        </w:rPr>
        <w:t xml:space="preserve">Planerat dagvattendike som föreslås utgöra en samlad fördröjning av dagvatten till planområdet, föreslås utformas som ett brett utjämningsdike med flackare slänt mot väg 918. Utjämningsdiket kommer inte påverka det befintliga vägdiket längs med väg 918. Detta område som fungerar som en viktig punkt för både fördröjning och rening av dagvattnet säkerhetsställs i detaljplanen genom villkor för att startbesked för bostäder ej får ges innan dagvattenanläggningen är anlagd. </w:t>
      </w:r>
    </w:p>
    <w:p>
      <w:pPr>
        <w:tabs>
          <w:tab w:val="left" w:pos="284" w:leader="none"/>
        </w:tabs>
        <w:rPr>
          <w:rFonts w:ascii="Calibri" w:hAnsi="Calibri"/>
        </w:rPr>
      </w:pPr>
      <w:r>
        <w:rPr>
          <w:rFonts w:ascii="Calibri" w:hAnsi="Calibri"/>
          <w:noProof w:val="1"/>
        </w:rPr>
        <w:drawing>
          <wp:anchor xmlns:wp="http://schemas.openxmlformats.org/drawingml/2006/wordprocessingDrawing" distT="0" distB="0" distL="114300" distR="114300" simplePos="0" relativeHeight="251679748" behindDoc="1" locked="0" layoutInCell="1" allowOverlap="1">
            <wp:simplePos x="0" y="0"/>
            <wp:positionH relativeFrom="column">
              <wp:posOffset>2523490</wp:posOffset>
            </wp:positionH>
            <wp:positionV relativeFrom="paragraph">
              <wp:posOffset>1391285</wp:posOffset>
            </wp:positionV>
            <wp:extent cx="2759710" cy="2200275"/>
            <wp:effectExtent l="0" t="0" r="2540" b="9525"/>
            <wp:wrapTight wrapText="bothSides">
              <wp:wrapPolygon edited="0">
                <wp:start x="0" y="0"/>
                <wp:lineTo x="0" y="21506"/>
                <wp:lineTo x="21471" y="21506"/>
                <wp:lineTo x="21471" y="0"/>
                <wp:lineTo x="0" y="0"/>
              </wp:wrapPolygon>
            </wp:wrapTight>
            <wp:docPr id="36" name="Bildobjek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ildobjekt 36"/>
                    <pic:cNvPicPr>
                      <a:picLocks noChangeAspect="1" noChangeArrowheads="1"/>
                    </pic:cNvPicPr>
                  </pic:nvPicPr>
                  <pic:blipFill dpi="0">
                    <a:blip xmlns:r="http://schemas.openxmlformats.org/officeDocument/2006/relationships" r:embed="Relimage40"/>
                    <a:srcRect/>
                    <a:stretch>
                      <a:fillRect/>
                    </a:stretch>
                  </pic:blipFill>
                  <pic:spPr bwMode="auto">
                    <a:xfrm>
                      <a:off x="0" y="0"/>
                      <a:ext cx="2759710" cy="2200275"/>
                    </a:xfrm>
                    <a:prstGeom prst="rect"/>
                    <a:noFill/>
                    <a:ln>
                      <a:noFill/>
                    </a:ln>
                  </pic:spPr>
                </pic:pic>
              </a:graphicData>
            </a:graphic>
          </wp:anchor>
        </w:drawing>
      </w:r>
      <w:r>
        <w:rPr>
          <w:rFonts w:ascii="Calibri" w:hAnsi="Calibri"/>
          <w:noProof w:val="1"/>
        </w:rPr>
        <w:drawing>
          <wp:anchor xmlns:wp="http://schemas.openxmlformats.org/drawingml/2006/wordprocessingDrawing" distT="0" distB="0" distL="114300" distR="114300" simplePos="0" relativeHeight="20" behindDoc="0" locked="0" layoutInCell="1" allowOverlap="1">
            <wp:simplePos x="0" y="0"/>
            <wp:positionH relativeFrom="column">
              <wp:posOffset>-120015</wp:posOffset>
            </wp:positionH>
            <wp:positionV relativeFrom="paragraph">
              <wp:posOffset>1385570</wp:posOffset>
            </wp:positionV>
            <wp:extent cx="2636520" cy="3317240"/>
            <wp:effectExtent l="0" t="0" r="0" b="0"/>
            <wp:wrapTopAndBottom/>
            <wp:docPr id="37" name="Bildobjek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ildobjekt 37"/>
                    <pic:cNvPicPr>
                      <a:picLocks noChangeAspect="1" noChangeArrowheads="1"/>
                    </pic:cNvPicPr>
                  </pic:nvPicPr>
                  <pic:blipFill dpi="0">
                    <a:blip xmlns:r="http://schemas.openxmlformats.org/officeDocument/2006/relationships" r:embed="Relimage41"/>
                    <a:srcRect/>
                    <a:stretch>
                      <a:fillRect/>
                    </a:stretch>
                  </pic:blipFill>
                  <pic:spPr bwMode="auto">
                    <a:xfrm>
                      <a:off x="0" y="0"/>
                      <a:ext cx="2636520" cy="3317240"/>
                    </a:xfrm>
                    <a:prstGeom prst="rect"/>
                    <a:noFill/>
                    <a:ln>
                      <a:noFill/>
                    </a:ln>
                  </pic:spPr>
                </pic:pic>
              </a:graphicData>
            </a:graphic>
          </wp:anchor>
        </w:drawing>
      </w:r>
      <w:r>
        <w:rPr>
          <w:rFonts w:ascii="Calibri" w:hAnsi="Calibri"/>
        </w:rPr>
        <w:t xml:space="preserve">Utjämningsdiket rekommenderas omfattas av gestaltningsåtgärder i syfte att skapa växtlighet i dammen och en ridå mellan angränsande privata fastigheter och dammytan. Detta kan bibehålla dammens funktion över tid, som en anläggning som möjliggör för såväl trög avledning som näringsretention. En växtridå kan även tillse att risken för att uppleva damm/dikesanläggningen som en olägenhet avseende lukt eller karaktär i den närbelägna bebyggda miljön minimeras. Detta exemplifieras i Figur 12 som visar på en spontanetablerad vegetation i ett svackdike. </w:t>
      </w:r>
    </w:p>
    <w:p>
      <w:pPr>
        <w:tabs>
          <w:tab w:val="left" w:pos="284" w:leader="none"/>
        </w:tabs>
        <w:rPr>
          <w:rFonts w:ascii="Calibri" w:hAnsi="Calibri"/>
          <w:i w:val="1"/>
          <w:iCs w:val="1"/>
          <w:sz w:val="18"/>
          <w:szCs w:val="18"/>
        </w:rPr>
      </w:pPr>
      <w:bookmarkStart w:id="177" w:name="_Hlk202256314"/>
      <w:r>
        <w:rPr>
          <w:rFonts w:ascii="Calibri" w:hAnsi="Calibri"/>
          <w:i w:val="1"/>
          <w:iCs w:val="1"/>
          <w:sz w:val="18"/>
          <w:szCs w:val="18"/>
        </w:rPr>
        <w:t>Bilder visar hantering av dagvatten vid placering av större utjämningsdamm samt bild på hur ett sådant kan utformas. Exempel på spontanetablerad vegetation i ett svackdike (Frenzel, 2019).</w:t>
      </w:r>
    </w:p>
    <w:p>
      <w:pPr>
        <w:tabs>
          <w:tab w:val="left" w:pos="284" w:leader="none"/>
        </w:tabs>
        <w:rPr>
          <w:rFonts w:ascii="Calibri" w:hAnsi="Calibri"/>
        </w:rPr>
      </w:pPr>
      <w:bookmarkEnd w:id="177"/>
      <w:r>
        <w:rPr>
          <w:rFonts w:ascii="Calibri" w:hAnsi="Calibri"/>
        </w:rPr>
        <w:t>Enligt analysen av detaljplanens föroreningsbelastning i föregående utredning från 2023, bedöms mängdbelastningen från såväl näringsämnen som tungmetaller öka, enligt de data som framtagits ur webverktyget StormTac, se tabell nedan. Den procentuella ökningen av mängdbelastningen av föroreningar är särskilt utmärkande för näringsämnena kväve, fosfor samt tungmetallsjoner som bly och koppar.</w:t>
      </w:r>
    </w:p>
    <w:p>
      <w:pPr>
        <w:tabs>
          <w:tab w:val="left" w:pos="284" w:leader="none"/>
        </w:tabs>
        <w:rPr>
          <w:rFonts w:ascii="Calibri" w:hAnsi="Calibri"/>
        </w:rPr>
      </w:pPr>
    </w:p>
    <w:tbl>
      <w:tblPr>
        <w:tblStyle w:val="T9"/>
        <w:tblW w:w="0" w:type="auto"/>
        <w:tblLook w:val="04A0"/>
      </w:tblPr>
      <w:tblGrid/>
      <w:tr>
        <w:tc>
          <w:tcPr>
            <w:tcW w:w="2265" w:type="dxa"/>
          </w:tcPr>
          <w:p>
            <w:pPr>
              <w:tabs>
                <w:tab w:val="left" w:pos="284" w:leader="none"/>
              </w:tabs>
              <w:rPr>
                <w:rFonts w:eastAsiaTheme="minorEastAsia"/>
              </w:rPr>
            </w:pPr>
            <w:r>
              <w:rPr>
                <w:rFonts w:eastAsiaTheme="minorEastAsia"/>
              </w:rPr>
              <w:t>Kommentar</w:t>
            </w:r>
          </w:p>
        </w:tc>
        <w:tc>
          <w:tcPr>
            <w:tcW w:w="2265" w:type="dxa"/>
          </w:tcPr>
          <w:p>
            <w:pPr>
              <w:tabs>
                <w:tab w:val="left" w:pos="284" w:leader="none"/>
              </w:tabs>
              <w:rPr>
                <w:rFonts w:eastAsiaTheme="minorEastAsia"/>
              </w:rPr>
            </w:pPr>
            <w:r>
              <w:rPr>
                <w:rFonts w:eastAsiaTheme="minorEastAsia"/>
              </w:rPr>
              <w:t>Befintlig (kg/år)</w:t>
            </w:r>
          </w:p>
        </w:tc>
        <w:tc>
          <w:tcPr>
            <w:tcW w:w="2266" w:type="dxa"/>
          </w:tcPr>
          <w:p>
            <w:pPr>
              <w:tabs>
                <w:tab w:val="left" w:pos="284" w:leader="none"/>
              </w:tabs>
              <w:rPr>
                <w:rFonts w:eastAsiaTheme="minorEastAsia"/>
              </w:rPr>
            </w:pPr>
            <w:r>
              <w:rPr>
                <w:rFonts w:eastAsiaTheme="minorEastAsia"/>
              </w:rPr>
              <w:t>Framtida (kg/år)</w:t>
            </w:r>
          </w:p>
        </w:tc>
        <w:tc>
          <w:tcPr>
            <w:tcW w:w="2266" w:type="dxa"/>
          </w:tcPr>
          <w:p>
            <w:pPr>
              <w:tabs>
                <w:tab w:val="left" w:pos="284" w:leader="none"/>
              </w:tabs>
              <w:rPr>
                <w:rFonts w:eastAsiaTheme="minorEastAsia"/>
              </w:rPr>
            </w:pPr>
            <w:r>
              <w:rPr>
                <w:rFonts w:eastAsiaTheme="minorEastAsia"/>
              </w:rPr>
              <w:t>Procentuell ökning</w:t>
            </w:r>
          </w:p>
        </w:tc>
      </w:tr>
      <w:tr>
        <w:tc>
          <w:tcPr>
            <w:tcW w:w="2265" w:type="dxa"/>
          </w:tcPr>
          <w:p>
            <w:pPr>
              <w:tabs>
                <w:tab w:val="left" w:pos="284" w:leader="none"/>
              </w:tabs>
              <w:rPr>
                <w:rFonts w:eastAsiaTheme="minorEastAsia"/>
              </w:rPr>
            </w:pPr>
            <w:r>
              <w:rPr>
                <w:rFonts w:eastAsiaTheme="minorEastAsia"/>
              </w:rPr>
              <w:t>P</w:t>
            </w:r>
          </w:p>
        </w:tc>
        <w:tc>
          <w:tcPr>
            <w:tcW w:w="2265" w:type="dxa"/>
          </w:tcPr>
          <w:p>
            <w:pPr>
              <w:tabs>
                <w:tab w:val="left" w:pos="284" w:leader="none"/>
              </w:tabs>
              <w:rPr>
                <w:rFonts w:eastAsiaTheme="minorEastAsia"/>
              </w:rPr>
            </w:pPr>
            <w:r>
              <w:rPr>
                <w:rFonts w:eastAsiaTheme="minorEastAsia"/>
              </w:rPr>
              <w:t>1</w:t>
            </w:r>
          </w:p>
        </w:tc>
        <w:tc>
          <w:tcPr>
            <w:tcW w:w="2266" w:type="dxa"/>
          </w:tcPr>
          <w:p>
            <w:pPr>
              <w:tabs>
                <w:tab w:val="left" w:pos="284" w:leader="none"/>
              </w:tabs>
              <w:rPr>
                <w:rFonts w:eastAsiaTheme="minorEastAsia"/>
              </w:rPr>
            </w:pPr>
            <w:r>
              <w:rPr>
                <w:rFonts w:eastAsiaTheme="minorEastAsia"/>
              </w:rPr>
              <w:t>3</w:t>
            </w:r>
          </w:p>
        </w:tc>
        <w:tc>
          <w:tcPr>
            <w:tcW w:w="2266" w:type="dxa"/>
          </w:tcPr>
          <w:p>
            <w:pPr>
              <w:tabs>
                <w:tab w:val="left" w:pos="284" w:leader="none"/>
              </w:tabs>
              <w:rPr>
                <w:rFonts w:eastAsiaTheme="minorEastAsia"/>
              </w:rPr>
            </w:pPr>
            <w:r>
              <w:rPr>
                <w:rFonts w:eastAsiaTheme="minorEastAsia"/>
              </w:rPr>
              <w:t>200</w:t>
            </w:r>
          </w:p>
        </w:tc>
      </w:tr>
      <w:tr>
        <w:tc>
          <w:tcPr>
            <w:tcW w:w="2265" w:type="dxa"/>
          </w:tcPr>
          <w:p>
            <w:pPr>
              <w:tabs>
                <w:tab w:val="left" w:pos="284" w:leader="none"/>
              </w:tabs>
              <w:rPr>
                <w:rFonts w:eastAsiaTheme="minorEastAsia"/>
              </w:rPr>
            </w:pPr>
            <w:r>
              <w:rPr>
                <w:rFonts w:eastAsiaTheme="minorEastAsia"/>
              </w:rPr>
              <w:t>N</w:t>
            </w:r>
          </w:p>
        </w:tc>
        <w:tc>
          <w:tcPr>
            <w:tcW w:w="2265" w:type="dxa"/>
          </w:tcPr>
          <w:p>
            <w:pPr>
              <w:tabs>
                <w:tab w:val="left" w:pos="284" w:leader="none"/>
              </w:tabs>
              <w:rPr>
                <w:rFonts w:eastAsiaTheme="minorEastAsia"/>
              </w:rPr>
            </w:pPr>
            <w:r>
              <w:rPr>
                <w:rFonts w:eastAsiaTheme="minorEastAsia"/>
              </w:rPr>
              <w:t>15</w:t>
            </w:r>
          </w:p>
        </w:tc>
        <w:tc>
          <w:tcPr>
            <w:tcW w:w="2266" w:type="dxa"/>
          </w:tcPr>
          <w:p>
            <w:pPr>
              <w:tabs>
                <w:tab w:val="left" w:pos="284" w:leader="none"/>
              </w:tabs>
              <w:rPr>
                <w:rFonts w:eastAsiaTheme="minorEastAsia"/>
              </w:rPr>
            </w:pPr>
            <w:r>
              <w:rPr>
                <w:rFonts w:eastAsiaTheme="minorEastAsia"/>
              </w:rPr>
              <w:t>29</w:t>
            </w:r>
          </w:p>
        </w:tc>
        <w:tc>
          <w:tcPr>
            <w:tcW w:w="2266" w:type="dxa"/>
          </w:tcPr>
          <w:p>
            <w:pPr>
              <w:tabs>
                <w:tab w:val="left" w:pos="284" w:leader="none"/>
              </w:tabs>
              <w:rPr>
                <w:rFonts w:eastAsiaTheme="minorEastAsia"/>
              </w:rPr>
            </w:pPr>
            <w:r>
              <w:rPr>
                <w:rFonts w:eastAsiaTheme="minorEastAsia"/>
              </w:rPr>
              <w:t>93</w:t>
            </w:r>
          </w:p>
        </w:tc>
      </w:tr>
      <w:tr>
        <w:tc>
          <w:tcPr>
            <w:tcW w:w="2265" w:type="dxa"/>
          </w:tcPr>
          <w:p>
            <w:pPr>
              <w:tabs>
                <w:tab w:val="left" w:pos="284" w:leader="none"/>
              </w:tabs>
              <w:rPr>
                <w:rFonts w:eastAsiaTheme="minorEastAsia"/>
              </w:rPr>
            </w:pPr>
            <w:r>
              <w:rPr>
                <w:rFonts w:eastAsiaTheme="minorEastAsia"/>
              </w:rPr>
              <w:t>Pb</w:t>
            </w:r>
          </w:p>
        </w:tc>
        <w:tc>
          <w:tcPr>
            <w:tcW w:w="2265" w:type="dxa"/>
          </w:tcPr>
          <w:p>
            <w:pPr>
              <w:tabs>
                <w:tab w:val="left" w:pos="284" w:leader="none"/>
              </w:tabs>
              <w:rPr>
                <w:rFonts w:eastAsiaTheme="minorEastAsia"/>
              </w:rPr>
            </w:pPr>
            <w:r>
              <w:rPr>
                <w:rFonts w:eastAsiaTheme="minorEastAsia"/>
              </w:rPr>
              <w:t>0,1</w:t>
            </w:r>
          </w:p>
        </w:tc>
        <w:tc>
          <w:tcPr>
            <w:tcW w:w="2266" w:type="dxa"/>
          </w:tcPr>
          <w:p>
            <w:pPr>
              <w:tabs>
                <w:tab w:val="left" w:pos="284" w:leader="none"/>
              </w:tabs>
              <w:rPr>
                <w:rFonts w:eastAsiaTheme="minorEastAsia"/>
              </w:rPr>
            </w:pPr>
            <w:r>
              <w:rPr>
                <w:rFonts w:eastAsiaTheme="minorEastAsia"/>
              </w:rPr>
              <w:t>0,2</w:t>
            </w:r>
          </w:p>
        </w:tc>
        <w:tc>
          <w:tcPr>
            <w:tcW w:w="2266" w:type="dxa"/>
          </w:tcPr>
          <w:p>
            <w:pPr>
              <w:tabs>
                <w:tab w:val="left" w:pos="284" w:leader="none"/>
              </w:tabs>
              <w:rPr>
                <w:rFonts w:eastAsiaTheme="minorEastAsia"/>
              </w:rPr>
            </w:pPr>
            <w:r>
              <w:rPr>
                <w:rFonts w:eastAsiaTheme="minorEastAsia"/>
              </w:rPr>
              <w:t>100</w:t>
            </w:r>
          </w:p>
        </w:tc>
      </w:tr>
      <w:tr>
        <w:tc>
          <w:tcPr>
            <w:tcW w:w="2265" w:type="dxa"/>
          </w:tcPr>
          <w:p>
            <w:pPr>
              <w:tabs>
                <w:tab w:val="left" w:pos="284" w:leader="none"/>
              </w:tabs>
              <w:rPr>
                <w:rFonts w:eastAsiaTheme="minorEastAsia"/>
              </w:rPr>
            </w:pPr>
            <w:r>
              <w:rPr>
                <w:rFonts w:eastAsiaTheme="minorEastAsia"/>
              </w:rPr>
              <w:t>Cu</w:t>
            </w:r>
          </w:p>
        </w:tc>
        <w:tc>
          <w:tcPr>
            <w:tcW w:w="2265" w:type="dxa"/>
          </w:tcPr>
          <w:p>
            <w:pPr>
              <w:tabs>
                <w:tab w:val="left" w:pos="284" w:leader="none"/>
              </w:tabs>
              <w:rPr>
                <w:rFonts w:eastAsiaTheme="minorEastAsia"/>
              </w:rPr>
            </w:pPr>
            <w:r>
              <w:rPr>
                <w:rFonts w:eastAsiaTheme="minorEastAsia"/>
              </w:rPr>
              <w:t>0,2</w:t>
            </w:r>
          </w:p>
        </w:tc>
        <w:tc>
          <w:tcPr>
            <w:tcW w:w="2266" w:type="dxa"/>
          </w:tcPr>
          <w:p>
            <w:pPr>
              <w:tabs>
                <w:tab w:val="left" w:pos="284" w:leader="none"/>
              </w:tabs>
              <w:rPr>
                <w:rFonts w:eastAsiaTheme="minorEastAsia"/>
              </w:rPr>
            </w:pPr>
            <w:r>
              <w:rPr>
                <w:rFonts w:eastAsiaTheme="minorEastAsia"/>
              </w:rPr>
              <w:t>0,3</w:t>
            </w:r>
          </w:p>
        </w:tc>
        <w:tc>
          <w:tcPr>
            <w:tcW w:w="2266" w:type="dxa"/>
          </w:tcPr>
          <w:p>
            <w:pPr>
              <w:tabs>
                <w:tab w:val="left" w:pos="284" w:leader="none"/>
              </w:tabs>
              <w:rPr>
                <w:rFonts w:eastAsiaTheme="minorEastAsia"/>
              </w:rPr>
            </w:pPr>
            <w:r>
              <w:rPr>
                <w:rFonts w:eastAsiaTheme="minorEastAsia"/>
              </w:rPr>
              <w:t>50</w:t>
            </w:r>
          </w:p>
        </w:tc>
      </w:tr>
      <w:tr>
        <w:tc>
          <w:tcPr>
            <w:tcW w:w="2265" w:type="dxa"/>
          </w:tcPr>
          <w:p>
            <w:pPr>
              <w:tabs>
                <w:tab w:val="left" w:pos="284" w:leader="none"/>
              </w:tabs>
              <w:rPr>
                <w:rFonts w:eastAsiaTheme="minorEastAsia"/>
              </w:rPr>
            </w:pPr>
            <w:r>
              <w:rPr>
                <w:rFonts w:eastAsiaTheme="minorEastAsia"/>
              </w:rPr>
              <w:t>Zn</w:t>
            </w:r>
          </w:p>
        </w:tc>
        <w:tc>
          <w:tcPr>
            <w:tcW w:w="2265" w:type="dxa"/>
          </w:tcPr>
          <w:p>
            <w:pPr>
              <w:tabs>
                <w:tab w:val="left" w:pos="284" w:leader="none"/>
              </w:tabs>
              <w:rPr>
                <w:rFonts w:eastAsiaTheme="minorEastAsia"/>
              </w:rPr>
            </w:pPr>
            <w:r>
              <w:rPr>
                <w:rFonts w:eastAsiaTheme="minorEastAsia"/>
              </w:rPr>
              <w:t>0,9</w:t>
            </w:r>
          </w:p>
        </w:tc>
        <w:tc>
          <w:tcPr>
            <w:tcW w:w="2266" w:type="dxa"/>
          </w:tcPr>
          <w:p>
            <w:pPr>
              <w:tabs>
                <w:tab w:val="left" w:pos="284" w:leader="none"/>
              </w:tabs>
              <w:rPr>
                <w:rFonts w:eastAsiaTheme="minorEastAsia"/>
              </w:rPr>
            </w:pPr>
            <w:r>
              <w:rPr>
                <w:rFonts w:eastAsiaTheme="minorEastAsia"/>
              </w:rPr>
              <w:t>1</w:t>
            </w:r>
          </w:p>
        </w:tc>
        <w:tc>
          <w:tcPr>
            <w:tcW w:w="2266" w:type="dxa"/>
          </w:tcPr>
          <w:p>
            <w:pPr>
              <w:tabs>
                <w:tab w:val="left" w:pos="284" w:leader="none"/>
              </w:tabs>
              <w:rPr>
                <w:rFonts w:eastAsiaTheme="minorEastAsia"/>
              </w:rPr>
            </w:pPr>
            <w:r>
              <w:rPr>
                <w:rFonts w:eastAsiaTheme="minorEastAsia"/>
              </w:rPr>
              <w:t>11</w:t>
            </w:r>
          </w:p>
        </w:tc>
      </w:tr>
      <w:tr>
        <w:tc>
          <w:tcPr>
            <w:tcW w:w="2265" w:type="dxa"/>
          </w:tcPr>
          <w:p>
            <w:pPr>
              <w:tabs>
                <w:tab w:val="left" w:pos="284" w:leader="none"/>
              </w:tabs>
              <w:rPr>
                <w:rFonts w:eastAsiaTheme="minorEastAsia"/>
              </w:rPr>
            </w:pPr>
            <w:r>
              <w:rPr>
                <w:rFonts w:eastAsiaTheme="minorEastAsia"/>
              </w:rPr>
              <w:t>Cd</w:t>
            </w:r>
          </w:p>
        </w:tc>
        <w:tc>
          <w:tcPr>
            <w:tcW w:w="2265" w:type="dxa"/>
          </w:tcPr>
          <w:p>
            <w:pPr>
              <w:tabs>
                <w:tab w:val="left" w:pos="284" w:leader="none"/>
              </w:tabs>
              <w:rPr>
                <w:rFonts w:eastAsiaTheme="minorEastAsia"/>
              </w:rPr>
            </w:pPr>
            <w:r>
              <w:rPr>
                <w:rFonts w:eastAsiaTheme="minorEastAsia"/>
              </w:rPr>
              <w:t>0,004</w:t>
            </w:r>
          </w:p>
        </w:tc>
        <w:tc>
          <w:tcPr>
            <w:tcW w:w="2266" w:type="dxa"/>
          </w:tcPr>
          <w:p>
            <w:pPr>
              <w:tabs>
                <w:tab w:val="left" w:pos="284" w:leader="none"/>
              </w:tabs>
              <w:rPr>
                <w:rFonts w:eastAsiaTheme="minorEastAsia"/>
              </w:rPr>
            </w:pPr>
            <w:r>
              <w:rPr>
                <w:rFonts w:eastAsiaTheme="minorEastAsia"/>
              </w:rPr>
              <w:t>0,006</w:t>
            </w:r>
          </w:p>
        </w:tc>
        <w:tc>
          <w:tcPr>
            <w:tcW w:w="2266" w:type="dxa"/>
          </w:tcPr>
          <w:p>
            <w:pPr>
              <w:tabs>
                <w:tab w:val="left" w:pos="284" w:leader="none"/>
              </w:tabs>
              <w:rPr>
                <w:rFonts w:eastAsiaTheme="minorEastAsia"/>
              </w:rPr>
            </w:pPr>
            <w:r>
              <w:rPr>
                <w:rFonts w:eastAsiaTheme="minorEastAsia"/>
              </w:rPr>
              <w:t>50</w:t>
            </w:r>
          </w:p>
        </w:tc>
      </w:tr>
      <w:tr>
        <w:tc>
          <w:tcPr>
            <w:tcW w:w="2265" w:type="dxa"/>
          </w:tcPr>
          <w:p>
            <w:pPr>
              <w:tabs>
                <w:tab w:val="left" w:pos="284" w:leader="none"/>
              </w:tabs>
              <w:rPr>
                <w:rFonts w:eastAsiaTheme="minorEastAsia"/>
              </w:rPr>
            </w:pPr>
            <w:r>
              <w:rPr>
                <w:rFonts w:eastAsiaTheme="minorEastAsia"/>
              </w:rPr>
              <w:t>Cr</w:t>
            </w:r>
          </w:p>
        </w:tc>
        <w:tc>
          <w:tcPr>
            <w:tcW w:w="2265" w:type="dxa"/>
          </w:tcPr>
          <w:p>
            <w:pPr>
              <w:tabs>
                <w:tab w:val="left" w:pos="284" w:leader="none"/>
              </w:tabs>
              <w:rPr>
                <w:rFonts w:eastAsiaTheme="minorEastAsia"/>
              </w:rPr>
            </w:pPr>
            <w:r>
              <w:rPr>
                <w:rFonts w:eastAsiaTheme="minorEastAsia"/>
              </w:rPr>
              <w:t>0,084</w:t>
            </w:r>
          </w:p>
        </w:tc>
        <w:tc>
          <w:tcPr>
            <w:tcW w:w="2266" w:type="dxa"/>
          </w:tcPr>
          <w:p>
            <w:pPr>
              <w:tabs>
                <w:tab w:val="left" w:pos="284" w:leader="none"/>
              </w:tabs>
              <w:rPr>
                <w:rFonts w:eastAsiaTheme="minorEastAsia"/>
              </w:rPr>
            </w:pPr>
            <w:r>
              <w:rPr>
                <w:rFonts w:eastAsiaTheme="minorEastAsia"/>
              </w:rPr>
              <w:t>0,1</w:t>
            </w:r>
          </w:p>
        </w:tc>
        <w:tc>
          <w:tcPr>
            <w:tcW w:w="2266" w:type="dxa"/>
          </w:tcPr>
          <w:p>
            <w:pPr>
              <w:tabs>
                <w:tab w:val="left" w:pos="284" w:leader="none"/>
              </w:tabs>
              <w:rPr>
                <w:rFonts w:eastAsiaTheme="minorEastAsia"/>
              </w:rPr>
            </w:pPr>
            <w:r>
              <w:rPr>
                <w:rFonts w:eastAsiaTheme="minorEastAsia"/>
              </w:rPr>
              <w:t>19</w:t>
            </w:r>
          </w:p>
        </w:tc>
      </w:tr>
      <w:tr>
        <w:tc>
          <w:tcPr>
            <w:tcW w:w="2265" w:type="dxa"/>
          </w:tcPr>
          <w:p>
            <w:pPr>
              <w:tabs>
                <w:tab w:val="left" w:pos="284" w:leader="none"/>
              </w:tabs>
              <w:rPr>
                <w:rFonts w:eastAsiaTheme="minorEastAsia"/>
              </w:rPr>
            </w:pPr>
            <w:r>
              <w:rPr>
                <w:rFonts w:eastAsiaTheme="minorEastAsia"/>
              </w:rPr>
              <w:t>Ni</w:t>
            </w:r>
          </w:p>
        </w:tc>
        <w:tc>
          <w:tcPr>
            <w:tcW w:w="2265" w:type="dxa"/>
          </w:tcPr>
          <w:p>
            <w:pPr>
              <w:tabs>
                <w:tab w:val="left" w:pos="284" w:leader="none"/>
              </w:tabs>
              <w:rPr>
                <w:rFonts w:eastAsiaTheme="minorEastAsia"/>
              </w:rPr>
            </w:pPr>
            <w:r>
              <w:rPr>
                <w:rFonts w:eastAsiaTheme="minorEastAsia"/>
              </w:rPr>
              <w:t>0,07</w:t>
            </w:r>
          </w:p>
        </w:tc>
        <w:tc>
          <w:tcPr>
            <w:tcW w:w="2266" w:type="dxa"/>
          </w:tcPr>
          <w:p>
            <w:pPr>
              <w:tabs>
                <w:tab w:val="left" w:pos="284" w:leader="none"/>
              </w:tabs>
              <w:rPr>
                <w:rFonts w:eastAsiaTheme="minorEastAsia"/>
              </w:rPr>
            </w:pPr>
            <w:r>
              <w:rPr>
                <w:rFonts w:eastAsiaTheme="minorEastAsia"/>
              </w:rPr>
              <w:t>0,1</w:t>
            </w:r>
          </w:p>
        </w:tc>
        <w:tc>
          <w:tcPr>
            <w:tcW w:w="2266" w:type="dxa"/>
          </w:tcPr>
          <w:p>
            <w:pPr>
              <w:tabs>
                <w:tab w:val="left" w:pos="284" w:leader="none"/>
              </w:tabs>
              <w:rPr>
                <w:rFonts w:eastAsiaTheme="minorEastAsia"/>
              </w:rPr>
            </w:pPr>
            <w:r>
              <w:rPr>
                <w:rFonts w:eastAsiaTheme="minorEastAsia"/>
              </w:rPr>
              <w:t>19</w:t>
            </w:r>
          </w:p>
        </w:tc>
      </w:tr>
      <w:tr>
        <w:tc>
          <w:tcPr>
            <w:tcW w:w="2265" w:type="dxa"/>
          </w:tcPr>
          <w:p>
            <w:pPr>
              <w:tabs>
                <w:tab w:val="left" w:pos="284" w:leader="none"/>
              </w:tabs>
              <w:rPr>
                <w:rFonts w:eastAsiaTheme="minorEastAsia"/>
              </w:rPr>
            </w:pPr>
            <w:r>
              <w:rPr>
                <w:rFonts w:eastAsiaTheme="minorEastAsia"/>
              </w:rPr>
              <w:t>SS</w:t>
            </w:r>
          </w:p>
        </w:tc>
        <w:tc>
          <w:tcPr>
            <w:tcW w:w="2265" w:type="dxa"/>
          </w:tcPr>
          <w:p>
            <w:pPr>
              <w:tabs>
                <w:tab w:val="left" w:pos="284" w:leader="none"/>
              </w:tabs>
              <w:rPr>
                <w:rFonts w:eastAsiaTheme="minorEastAsia"/>
              </w:rPr>
            </w:pPr>
            <w:r>
              <w:rPr>
                <w:rFonts w:eastAsiaTheme="minorEastAsia"/>
              </w:rPr>
              <w:t>730</w:t>
            </w:r>
          </w:p>
        </w:tc>
        <w:tc>
          <w:tcPr>
            <w:tcW w:w="2266" w:type="dxa"/>
          </w:tcPr>
          <w:p>
            <w:pPr>
              <w:tabs>
                <w:tab w:val="left" w:pos="284" w:leader="none"/>
              </w:tabs>
              <w:rPr>
                <w:rFonts w:eastAsiaTheme="minorEastAsia"/>
              </w:rPr>
            </w:pPr>
            <w:r>
              <w:rPr>
                <w:rFonts w:eastAsiaTheme="minorEastAsia"/>
              </w:rPr>
              <w:t>970</w:t>
            </w:r>
          </w:p>
        </w:tc>
        <w:tc>
          <w:tcPr>
            <w:tcW w:w="2266" w:type="dxa"/>
          </w:tcPr>
          <w:p>
            <w:pPr>
              <w:tabs>
                <w:tab w:val="left" w:pos="284" w:leader="none"/>
              </w:tabs>
              <w:rPr>
                <w:rFonts w:eastAsiaTheme="minorEastAsia"/>
              </w:rPr>
            </w:pPr>
            <w:r>
              <w:rPr>
                <w:rFonts w:eastAsiaTheme="minorEastAsia"/>
              </w:rPr>
              <w:t>32</w:t>
            </w:r>
          </w:p>
        </w:tc>
      </w:tr>
      <w:tr>
        <w:tc>
          <w:tcPr>
            <w:tcW w:w="2265" w:type="dxa"/>
          </w:tcPr>
          <w:p>
            <w:pPr>
              <w:tabs>
                <w:tab w:val="left" w:pos="284" w:leader="none"/>
              </w:tabs>
              <w:rPr>
                <w:rFonts w:eastAsiaTheme="minorEastAsia"/>
              </w:rPr>
            </w:pPr>
            <w:r>
              <w:rPr>
                <w:rFonts w:eastAsiaTheme="minorEastAsia"/>
              </w:rPr>
              <w:t>BaP</w:t>
            </w:r>
          </w:p>
        </w:tc>
        <w:tc>
          <w:tcPr>
            <w:tcW w:w="2265" w:type="dxa"/>
          </w:tcPr>
          <w:p>
            <w:pPr>
              <w:tabs>
                <w:tab w:val="left" w:pos="284" w:leader="none"/>
              </w:tabs>
              <w:rPr>
                <w:rFonts w:eastAsiaTheme="minorEastAsia"/>
              </w:rPr>
            </w:pPr>
            <w:r>
              <w:rPr>
                <w:rFonts w:eastAsiaTheme="minorEastAsia"/>
              </w:rPr>
              <w:t>0,0004</w:t>
            </w:r>
          </w:p>
        </w:tc>
        <w:tc>
          <w:tcPr>
            <w:tcW w:w="2266" w:type="dxa"/>
          </w:tcPr>
          <w:p>
            <w:pPr>
              <w:tabs>
                <w:tab w:val="left" w:pos="284" w:leader="none"/>
              </w:tabs>
              <w:rPr>
                <w:rFonts w:eastAsiaTheme="minorEastAsia"/>
              </w:rPr>
            </w:pPr>
            <w:r>
              <w:rPr>
                <w:rFonts w:eastAsiaTheme="minorEastAsia"/>
              </w:rPr>
              <w:t>0,0007</w:t>
            </w:r>
          </w:p>
        </w:tc>
        <w:tc>
          <w:tcPr>
            <w:tcW w:w="2266" w:type="dxa"/>
          </w:tcPr>
          <w:p>
            <w:pPr>
              <w:tabs>
                <w:tab w:val="left" w:pos="284" w:leader="none"/>
              </w:tabs>
              <w:rPr>
                <w:rFonts w:eastAsiaTheme="minorEastAsia"/>
              </w:rPr>
            </w:pPr>
            <w:r>
              <w:rPr>
                <w:rFonts w:eastAsiaTheme="minorEastAsia"/>
              </w:rPr>
              <w:t>7,5</w:t>
            </w:r>
          </w:p>
        </w:tc>
      </w:tr>
      <w:tr>
        <w:tc>
          <w:tcPr>
            <w:tcW w:w="2265" w:type="dxa"/>
          </w:tcPr>
          <w:p>
            <w:pPr>
              <w:tabs>
                <w:tab w:val="left" w:pos="284" w:leader="none"/>
              </w:tabs>
              <w:rPr>
                <w:rFonts w:eastAsiaTheme="minorEastAsia"/>
              </w:rPr>
            </w:pPr>
            <w:r>
              <w:rPr>
                <w:rFonts w:eastAsiaTheme="minorEastAsia"/>
              </w:rPr>
              <w:t>PAH</w:t>
            </w:r>
          </w:p>
        </w:tc>
        <w:tc>
          <w:tcPr>
            <w:tcW w:w="2265" w:type="dxa"/>
          </w:tcPr>
          <w:p>
            <w:pPr>
              <w:tabs>
                <w:tab w:val="left" w:pos="284" w:leader="none"/>
              </w:tabs>
              <w:rPr>
                <w:rFonts w:eastAsiaTheme="minorEastAsia"/>
              </w:rPr>
            </w:pPr>
            <w:r>
              <w:rPr>
                <w:rFonts w:eastAsiaTheme="minorEastAsia"/>
              </w:rPr>
              <w:t>0,0030</w:t>
            </w:r>
          </w:p>
        </w:tc>
        <w:tc>
          <w:tcPr>
            <w:tcW w:w="2266" w:type="dxa"/>
          </w:tcPr>
          <w:p>
            <w:pPr>
              <w:tabs>
                <w:tab w:val="left" w:pos="284" w:leader="none"/>
              </w:tabs>
              <w:rPr>
                <w:rFonts w:eastAsiaTheme="minorEastAsia"/>
              </w:rPr>
            </w:pPr>
            <w:r>
              <w:rPr>
                <w:rFonts w:eastAsiaTheme="minorEastAsia"/>
              </w:rPr>
              <w:t>0,0035</w:t>
            </w:r>
          </w:p>
        </w:tc>
        <w:tc>
          <w:tcPr>
            <w:tcW w:w="2266" w:type="dxa"/>
          </w:tcPr>
          <w:p>
            <w:pPr>
              <w:tabs>
                <w:tab w:val="left" w:pos="284" w:leader="none"/>
              </w:tabs>
              <w:rPr>
                <w:rFonts w:eastAsiaTheme="minorEastAsia"/>
              </w:rPr>
            </w:pPr>
            <w:r>
              <w:rPr>
                <w:rFonts w:eastAsiaTheme="minorEastAsia"/>
              </w:rPr>
              <w:t>16</w:t>
            </w:r>
          </w:p>
        </w:tc>
      </w:tr>
    </w:tbl>
    <w:p>
      <w:pPr>
        <w:tabs>
          <w:tab w:val="left" w:pos="284" w:leader="none"/>
        </w:tabs>
        <w:rPr>
          <w:rFonts w:ascii="Calibri" w:hAnsi="Calibri"/>
        </w:rPr>
      </w:pPr>
    </w:p>
    <w:p>
      <w:pPr>
        <w:tabs>
          <w:tab w:val="left" w:pos="284" w:leader="none"/>
        </w:tabs>
        <w:rPr>
          <w:rFonts w:ascii="Calibri" w:hAnsi="Calibri"/>
          <w:i w:val="1"/>
          <w:iCs w:val="1"/>
          <w:sz w:val="18"/>
          <w:szCs w:val="18"/>
        </w:rPr>
      </w:pPr>
      <w:r>
        <w:rPr>
          <w:rFonts w:ascii="Calibri" w:hAnsi="Calibri"/>
          <w:i w:val="1"/>
          <w:iCs w:val="1"/>
          <w:sz w:val="18"/>
          <w:szCs w:val="18"/>
        </w:rPr>
        <w:t>Tabell visar uppskattad föroreningsbelastning (kg/år) från planområdet till recipienten.</w:t>
      </w:r>
    </w:p>
    <w:p>
      <w:pPr>
        <w:tabs>
          <w:tab w:val="left" w:pos="284" w:leader="none"/>
        </w:tabs>
        <w:rPr>
          <w:rFonts w:ascii="Calibri" w:hAnsi="Calibri"/>
        </w:rPr>
      </w:pPr>
      <w:r>
        <w:rPr>
          <w:rFonts w:ascii="Calibri" w:hAnsi="Calibri"/>
        </w:rPr>
        <w:t xml:space="preserve">Baserat på schablonvärden från programverktyget StormTac kan reningseffekten från planerade dagvattenanläggningar översiktligt analyseras. </w:t>
      </w:r>
    </w:p>
    <w:p>
      <w:pPr>
        <w:tabs>
          <w:tab w:val="left" w:pos="284" w:leader="none"/>
        </w:tabs>
        <w:rPr>
          <w:rFonts w:ascii="Calibri" w:hAnsi="Calibri"/>
        </w:rPr>
      </w:pPr>
      <w:r>
        <w:rPr>
          <w:rFonts w:ascii="Calibri" w:hAnsi="Calibri"/>
        </w:rPr>
        <w:t>De flesta öppna dagvattenanläggningar möjliggör rening genom partikelavskiljning och filtrering. En kombination av öppna dagvattenlösningar ökar sannolikheten för att en hög reduktion av flertalet föroreningar sker. Breda svackdiken kan med förstärkt matjordslager rena upp till 60 % av näringsämnen samt 85 % av tungmetallsjoner. Krossdiken har en uppskattad reningseffekt på 60% för PAH: er. Schabloneffekter på rening från planerade dagvattenanläggningar framgår av tabell nedan.</w:t>
      </w:r>
    </w:p>
    <w:p>
      <w:pPr>
        <w:tabs>
          <w:tab w:val="left" w:pos="284" w:leader="none"/>
        </w:tabs>
        <w:rPr>
          <w:rFonts w:ascii="Calibri" w:hAnsi="Calibri"/>
        </w:rPr>
      </w:pPr>
      <w:r>
        <w:rPr>
          <w:rFonts w:ascii="Calibri" w:hAnsi="Calibri"/>
          <w:noProof w:val="1"/>
        </w:rPr>
        <w:drawing>
          <wp:inline xmlns:wp="http://schemas.openxmlformats.org/drawingml/2006/wordprocessingDrawing" distT="0" distB="0" distL="0" distR="0">
            <wp:extent cx="5760720" cy="842645"/>
            <wp:effectExtent l="0" t="0" r="0" b="0"/>
            <wp:docPr id="38" name="Bildobjekt 38" descr="Bild visar översiktlig reningseffekt för föreslagna dagvattenanläggningar (StormTac AB,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ildobjekt 38" descr="Bild visar översiktlig reningseffekt för föreslagna dagvattenanläggningar (StormTac AB, 2024)"/>
                    <pic:cNvPicPr/>
                  </pic:nvPicPr>
                  <pic:blipFill dpi="0">
                    <a:blip xmlns:r="http://schemas.openxmlformats.org/officeDocument/2006/relationships" r:embed="Relimage42"/>
                    <a:srcRect/>
                    <a:stretch>
                      <a:fillRect/>
                    </a:stretch>
                  </pic:blipFill>
                  <pic:spPr>
                    <a:xfrm>
                      <a:off x="0" y="0"/>
                      <a:ext cx="5760720" cy="842645"/>
                    </a:xfrm>
                    <a:prstGeom prst="rect"/>
                  </pic:spPr>
                </pic:pic>
              </a:graphicData>
            </a:graphic>
          </wp:inline>
        </w:drawing>
      </w:r>
      <w:r>
        <w:rPr>
          <w:rFonts w:ascii="Calibri" w:hAnsi="Calibri"/>
        </w:rPr>
        <w:br w:type="textWrapping"/>
      </w:r>
      <w:bookmarkStart w:id="178" w:name="_Hlk202257175"/>
      <w:r>
        <w:rPr>
          <w:rFonts w:ascii="Calibri" w:hAnsi="Calibri"/>
          <w:i w:val="1"/>
          <w:iCs w:val="1"/>
          <w:sz w:val="18"/>
          <w:szCs w:val="18"/>
        </w:rPr>
        <w:t>Bild visar översiktlig reningseffekt för föreslagna dagvattenanläggningar (StormTac AB, 2024)</w:t>
      </w:r>
      <w:bookmarkEnd w:id="178"/>
    </w:p>
    <w:p>
      <w:pPr>
        <w:tabs>
          <w:tab w:val="left" w:pos="284" w:leader="none"/>
        </w:tabs>
        <w:rPr>
          <w:rFonts w:ascii="Calibri" w:hAnsi="Calibri"/>
        </w:rPr>
      </w:pPr>
      <w:r>
        <w:rPr>
          <w:rFonts w:ascii="Calibri" w:hAnsi="Calibri"/>
        </w:rPr>
        <w:t>Det belastningsfall som genereras av planområdet, baserat på områdets årsmedelavrinning, resulterar enligt StormTac i ett svackdike med ytbehovet 1200 m2 (13 meter brett och 65 meter långt), se bild på sidan 51. En anläggning av denna storlek har enligt verktyget uppskattningsvis en reningseffekt på 25 % för totalkväve, 20 % effekt på totalfosfor respektive 56 % reningseffekt på blyjoner. För PAH:er som har uppmätts i området, uppgår reningseffekten till 50 % med aktuell utformning. StormTac tar dock inte hänsyn till reningseffekter som skett till följd av rening i uppströms vägdiken.</w:t>
      </w:r>
    </w:p>
    <w:p>
      <w:pPr>
        <w:tabs>
          <w:tab w:val="left" w:pos="284" w:leader="none"/>
        </w:tabs>
        <w:rPr>
          <w:rFonts w:ascii="Calibri" w:hAnsi="Calibri"/>
        </w:rPr>
      </w:pPr>
      <w:r>
        <w:rPr>
          <w:rFonts w:ascii="Calibri" w:hAnsi="Calibri"/>
          <w:noProof w:val="1"/>
        </w:rPr>
        <w:drawing>
          <wp:inline xmlns:wp="http://schemas.openxmlformats.org/drawingml/2006/wordprocessingDrawing" distT="0" distB="0" distL="0" distR="0">
            <wp:extent cx="5760720" cy="1783715"/>
            <wp:effectExtent l="0" t="0" r="0" b="6985"/>
            <wp:docPr id="39" name="Bildobjekt 39" descr="Bild visar en principutformning på ett svackdike enligt StormTac (StormTac AB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ildobjekt 39" descr="Bild visar en principutformning på ett svackdike enligt StormTac (StormTac AB 2024)"/>
                    <pic:cNvPicPr/>
                  </pic:nvPicPr>
                  <pic:blipFill dpi="0">
                    <a:blip xmlns:r="http://schemas.openxmlformats.org/officeDocument/2006/relationships" r:embed="Relimage43"/>
                    <a:srcRect b="14921"/>
                    <a:stretch>
                      <a:fillRect/>
                    </a:stretch>
                  </pic:blipFill>
                  <pic:spPr bwMode="auto">
                    <a:xfrm>
                      <a:off x="0" y="0"/>
                      <a:ext cx="5760720" cy="1783922"/>
                    </a:xfrm>
                    <a:prstGeom prst="rect"/>
                    <a:ln>
                      <a:noFill/>
                    </a:ln>
                  </pic:spPr>
                </pic:pic>
              </a:graphicData>
            </a:graphic>
          </wp:inline>
        </w:drawing>
      </w:r>
    </w:p>
    <w:p>
      <w:pPr>
        <w:tabs>
          <w:tab w:val="left" w:pos="284" w:leader="none"/>
        </w:tabs>
        <w:rPr>
          <w:rFonts w:ascii="Calibri" w:hAnsi="Calibri"/>
          <w:i w:val="1"/>
          <w:iCs w:val="1"/>
          <w:sz w:val="18"/>
          <w:szCs w:val="18"/>
        </w:rPr>
      </w:pPr>
      <w:r>
        <w:rPr>
          <w:rFonts w:ascii="Calibri" w:hAnsi="Calibri"/>
          <w:i w:val="1"/>
          <w:iCs w:val="1"/>
          <w:sz w:val="18"/>
          <w:szCs w:val="18"/>
        </w:rPr>
        <w:t>Bild visar en principutformning på ett svackdike enligt StormTac (StormTac AB 2024)</w:t>
      </w:r>
    </w:p>
    <w:p>
      <w:pPr>
        <w:tabs>
          <w:tab w:val="left" w:pos="284" w:leader="none"/>
        </w:tabs>
        <w:rPr>
          <w:rFonts w:ascii="Calibri" w:hAnsi="Calibri"/>
          <w:b w:val="1"/>
          <w:i w:val="1"/>
          <w:bCs w:val="1"/>
          <w:iCs w:val="1"/>
        </w:rPr>
      </w:pPr>
      <w:bookmarkEnd w:id="176"/>
      <w:r>
        <w:rPr>
          <w:rFonts w:ascii="Calibri" w:hAnsi="Calibri"/>
          <w:b w:val="1"/>
          <w:i w:val="1"/>
          <w:bCs w:val="1"/>
          <w:iCs w:val="1"/>
        </w:rPr>
        <w:t>Bedömning/konsekvenser</w:t>
      </w:r>
    </w:p>
    <w:p>
      <w:pPr>
        <w:rPr>
          <w:rFonts w:ascii="Calibri" w:hAnsi="Calibri"/>
        </w:rPr>
      </w:pPr>
      <w:bookmarkStart w:id="179" w:name="ko_dagvatten01"/>
      <w:r>
        <w:rPr>
          <w:rFonts w:ascii="Calibri" w:hAnsi="Calibri"/>
        </w:rPr>
        <w:t>Sammantaget bedöms det finnas goda förutsättningar för att möjliggöra en dagvattenhantering inom som inte medför en negativ förändring på omgivande mark- och vattenmiljöer i förhållande till nuläget, förutsatt att rekommenderade åtgärder och skyddsåtgärder vidtas. Genom att utforma en dagvattenanläggning med tillräckligt lång uppehållstid och växtlighet, djup- och grunddelar kan en erforderlig rening av dagvatten uppnås på sådant sätt att dagvattenkvalitén ej förändras mot nuläget. En gemensammhetsanläggning ska även skapas för den samlade fördröjningen för att säkerhetsställa långsiktig drift. För att ytterligare säkerhetsställa anläggning kommer detaljplanen att ställa krav på att inga nya bostäder får byggas innan anläggning är i bruk. Förutom att gemensamt ansvara för dagvattenhantering i planområdet ska fastighetsägare ta hand om sitt dagvatten på sina bostadsfastigheter (lokalt omhändertagande av dagvatten). För en fördjupad bild av dagvattenhantering se Tyréns dagvattenutredning (2023) och den fördjupade dagvattenutredningen (2025) samt för helhetsbedömnningar MKB:n för påverkan ytvatten (2025).</w:t>
      </w:r>
    </w:p>
    <w:p>
      <w:pPr>
        <w:pStyle w:val="P3"/>
      </w:pPr>
      <w:bookmarkEnd w:id="179"/>
      <w:bookmarkStart w:id="180" w:name="_Toc214961337"/>
      <w:r>
        <w:t>Vattenförekomst – Miljökvalitetsnormer (MKN)</w:t>
      </w:r>
      <w:bookmarkEnd w:id="180"/>
    </w:p>
    <w:p>
      <w:pPr>
        <w:pStyle w:val="P32"/>
        <w:rPr>
          <w:rFonts w:eastAsiaTheme="minorHAnsi"/>
        </w:rPr>
      </w:pPr>
      <w:bookmarkStart w:id="181" w:name="pf_miljökvalitetsnormer01"/>
      <w:r>
        <w:rPr>
          <w:rFonts w:eastAsiaTheme="minorHAnsi"/>
        </w:rPr>
        <w:t>Vattenförekomsten Vättern-Storvättern (WA11665077) utgör ytvattenrecipient för aktuellt planområde. Vättern är en sjö som klassas som ett angeläget allmänt intresse i egenskap av att utgöra en regionalt viktig vattenresurs för såväl Jönköpings, Västergötland och Östergötlands län. Med anledning av detta omfattas den av ett vattenskyddsområde beslutat år 2018 med stöd av artikel 7 i EU:s vattendirektiv (2000/60/EG). Enligt artikel 7 i vattendirektivet ska vattenförekomster som nyttjas för uttag av en viss kvantitet, skyddas för att garantera tillgången på vatten. Därtill omfattas Vätterns närområde av såväl strandskydd, riksintresse för naturvård och Natura 2000.</w:t>
      </w:r>
    </w:p>
    <w:p>
      <w:pPr>
        <w:pStyle w:val="P32"/>
      </w:pPr>
    </w:p>
    <w:p>
      <w:pPr>
        <w:pStyle w:val="P32"/>
      </w:pPr>
      <w:r>
        <w:t xml:space="preserve">Miljökvalitetsnormer för yt- och grundvatten säkerhetsställs av Vattenmyndigheterna för att säkerställa god vattenkvalitet. Miljökvalitetsnormerna beskriver kvaliteten en vattenförekomst ska ha uppnått vid en viss tidpunkt med målet att nå god status. </w:t>
      </w:r>
    </w:p>
    <w:p>
      <w:pPr>
        <w:pStyle w:val="P32"/>
        <w:rPr>
          <w:rFonts w:ascii="Arial" w:hAnsi="Arial" w:eastAsiaTheme="minorHAnsi"/>
        </w:rPr>
      </w:pPr>
      <w:r>
        <w:t>Vätterns ekologiska status klassas som otillfredsställande med målet att uppnå god ekologisk status till 2033, medan dess kemiska status inte uppnår god status med mål att nå god kemisk status till 2027.</w:t>
      </w:r>
    </w:p>
    <w:p>
      <w:pPr>
        <w:spacing w:before="151" w:beforeAutospacing="0" w:afterAutospacing="0"/>
        <w:ind w:left="566" w:right="1300"/>
        <w:rPr>
          <w:i w:val="1"/>
          <w:iCs w:val="1"/>
          <w:sz w:val="18"/>
        </w:rPr>
      </w:pPr>
      <w:r>
        <w:rPr>
          <w:i w:val="1"/>
          <w:iCs w:val="1"/>
          <w:sz w:val="18"/>
        </w:rPr>
        <w:t>Tabell</w:t>
      </w:r>
      <w:r>
        <w:rPr>
          <w:i w:val="1"/>
          <w:iCs w:val="1"/>
          <w:sz w:val="18"/>
          <w:spacing w:val="-2"/>
        </w:rPr>
        <w:t xml:space="preserve"> </w:t>
      </w:r>
      <w:r>
        <w:rPr>
          <w:i w:val="1"/>
          <w:iCs w:val="1"/>
          <w:sz w:val="18"/>
        </w:rPr>
        <w:t>visa Vätterns</w:t>
      </w:r>
      <w:r>
        <w:rPr>
          <w:i w:val="1"/>
          <w:iCs w:val="1"/>
          <w:sz w:val="18"/>
          <w:spacing w:val="-5"/>
        </w:rPr>
        <w:t xml:space="preserve"> </w:t>
      </w:r>
      <w:r>
        <w:rPr>
          <w:i w:val="1"/>
          <w:iCs w:val="1"/>
          <w:sz w:val="18"/>
        </w:rPr>
        <w:t>beslutade</w:t>
      </w:r>
      <w:r>
        <w:rPr>
          <w:i w:val="1"/>
          <w:iCs w:val="1"/>
          <w:sz w:val="18"/>
          <w:spacing w:val="-5"/>
        </w:rPr>
        <w:t xml:space="preserve"> </w:t>
      </w:r>
      <w:r>
        <w:rPr>
          <w:i w:val="1"/>
          <w:iCs w:val="1"/>
          <w:sz w:val="18"/>
        </w:rPr>
        <w:t>kemiska</w:t>
      </w:r>
      <w:r>
        <w:rPr>
          <w:i w:val="1"/>
          <w:iCs w:val="1"/>
          <w:sz w:val="18"/>
          <w:spacing w:val="-5"/>
        </w:rPr>
        <w:t xml:space="preserve"> </w:t>
      </w:r>
      <w:r>
        <w:rPr>
          <w:i w:val="1"/>
          <w:iCs w:val="1"/>
          <w:sz w:val="18"/>
        </w:rPr>
        <w:t>och</w:t>
      </w:r>
      <w:r>
        <w:rPr>
          <w:i w:val="1"/>
          <w:iCs w:val="1"/>
          <w:sz w:val="18"/>
          <w:spacing w:val="-5"/>
        </w:rPr>
        <w:t xml:space="preserve"> </w:t>
      </w:r>
      <w:r>
        <w:rPr>
          <w:i w:val="1"/>
          <w:iCs w:val="1"/>
          <w:sz w:val="18"/>
        </w:rPr>
        <w:t>ekologiska</w:t>
      </w:r>
      <w:r>
        <w:rPr>
          <w:i w:val="1"/>
          <w:iCs w:val="1"/>
          <w:sz w:val="18"/>
          <w:spacing w:val="-5"/>
        </w:rPr>
        <w:t xml:space="preserve"> </w:t>
      </w:r>
      <w:r>
        <w:rPr>
          <w:i w:val="1"/>
          <w:iCs w:val="1"/>
          <w:sz w:val="18"/>
        </w:rPr>
        <w:t>status</w:t>
      </w:r>
      <w:r>
        <w:rPr>
          <w:i w:val="1"/>
          <w:iCs w:val="1"/>
          <w:sz w:val="18"/>
          <w:spacing w:val="-5"/>
        </w:rPr>
        <w:t xml:space="preserve"> </w:t>
      </w:r>
      <w:r>
        <w:rPr>
          <w:i w:val="1"/>
          <w:iCs w:val="1"/>
          <w:sz w:val="18"/>
        </w:rPr>
        <w:t>inklusive</w:t>
      </w:r>
      <w:r>
        <w:rPr>
          <w:i w:val="1"/>
          <w:iCs w:val="1"/>
          <w:sz w:val="18"/>
          <w:spacing w:val="-5"/>
        </w:rPr>
        <w:t xml:space="preserve"> </w:t>
      </w:r>
      <w:r>
        <w:rPr>
          <w:i w:val="1"/>
          <w:iCs w:val="1"/>
          <w:sz w:val="18"/>
        </w:rPr>
        <w:t>miljökvalitetsnormer. Beslutad förvaltningscykel 3, 2017-2021. Källa: VISS (2024)</w:t>
      </w:r>
    </w:p>
    <w:tbl>
      <w:tblPr>
        <w:tblStyle w:val="T8"/>
        <w:tblW w:w="7658" w:type="dxa"/>
        <w:tblInd w:w="576"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ayout w:type="fixed"/>
        <w:tblLook w:val="01E0"/>
      </w:tblPr>
      <w:tblGrid/>
      <w:tr>
        <w:trPr>
          <w:trHeight w:hRule="atLeast" w:val="359"/>
        </w:trPr>
        <w:tc>
          <w:tcPr>
            <w:tcW w:w="2031" w:type="dxa"/>
            <w:gridSpan w:val="2"/>
          </w:tcPr>
          <w:p>
            <w:pPr>
              <w:pStyle w:val="P32"/>
              <w:jc w:val="center"/>
              <w:rPr>
                <w:rFonts w:eastAsiaTheme="minorEastAsia"/>
              </w:rPr>
            </w:pPr>
            <w:r>
              <w:rPr>
                <w:rFonts w:eastAsiaTheme="minorEastAsia"/>
              </w:rPr>
              <w:t>Grundinformation</w:t>
            </w:r>
          </w:p>
        </w:tc>
        <w:tc>
          <w:tcPr>
            <w:tcW w:w="2998" w:type="dxa"/>
            <w:gridSpan w:val="2"/>
          </w:tcPr>
          <w:p>
            <w:pPr>
              <w:pStyle w:val="P32"/>
              <w:jc w:val="center"/>
              <w:rPr>
                <w:rFonts w:eastAsiaTheme="minorEastAsia"/>
              </w:rPr>
            </w:pPr>
            <w:r>
              <w:rPr>
                <w:rFonts w:eastAsiaTheme="minorEastAsia"/>
              </w:rPr>
              <w:t>Ekologisk status</w:t>
            </w:r>
          </w:p>
        </w:tc>
        <w:tc>
          <w:tcPr>
            <w:tcW w:w="2629" w:type="dxa"/>
            <w:gridSpan w:val="2"/>
          </w:tcPr>
          <w:p>
            <w:pPr>
              <w:pStyle w:val="P32"/>
              <w:jc w:val="center"/>
              <w:rPr>
                <w:rFonts w:eastAsiaTheme="minorEastAsia"/>
              </w:rPr>
            </w:pPr>
            <w:r>
              <w:rPr>
                <w:rFonts w:eastAsiaTheme="minorEastAsia"/>
              </w:rPr>
              <w:t>Kemisk status</w:t>
            </w:r>
          </w:p>
        </w:tc>
      </w:tr>
      <w:tr>
        <w:trPr>
          <w:trHeight w:hRule="atLeast" w:val="777"/>
        </w:trPr>
        <w:tc>
          <w:tcPr>
            <w:tcW w:w="1114" w:type="dxa"/>
          </w:tcPr>
          <w:p>
            <w:pPr>
              <w:pStyle w:val="P32"/>
              <w:rPr>
                <w:rFonts w:eastAsiaTheme="minorEastAsia"/>
              </w:rPr>
            </w:pPr>
            <w:r>
              <w:rPr>
                <w:rFonts w:eastAsiaTheme="minorEastAsia"/>
              </w:rPr>
              <w:t>Vatten- förekomst</w:t>
            </w:r>
          </w:p>
        </w:tc>
        <w:tc>
          <w:tcPr>
            <w:tcW w:w="917" w:type="dxa"/>
          </w:tcPr>
          <w:p>
            <w:pPr>
              <w:pStyle w:val="P32"/>
              <w:rPr>
                <w:rFonts w:eastAsiaTheme="minorEastAsia"/>
              </w:rPr>
            </w:pPr>
            <w:r>
              <w:rPr>
                <w:rFonts w:eastAsiaTheme="minorEastAsia"/>
              </w:rPr>
              <w:t>Namn</w:t>
            </w:r>
          </w:p>
        </w:tc>
        <w:tc>
          <w:tcPr>
            <w:tcW w:w="1783" w:type="dxa"/>
          </w:tcPr>
          <w:p>
            <w:pPr>
              <w:pStyle w:val="P32"/>
              <w:rPr>
                <w:rFonts w:eastAsiaTheme="minorEastAsia"/>
              </w:rPr>
            </w:pPr>
            <w:r>
              <w:rPr>
                <w:rFonts w:eastAsiaTheme="minorEastAsia"/>
              </w:rPr>
              <w:t>Ekologisk status</w:t>
            </w:r>
          </w:p>
        </w:tc>
        <w:tc>
          <w:tcPr>
            <w:tcW w:w="1215" w:type="dxa"/>
          </w:tcPr>
          <w:p>
            <w:pPr>
              <w:pStyle w:val="P32"/>
              <w:rPr>
                <w:rFonts w:eastAsiaTheme="minorEastAsia"/>
              </w:rPr>
            </w:pPr>
            <w:r>
              <w:rPr>
                <w:rFonts w:eastAsiaTheme="minorEastAsia"/>
              </w:rPr>
              <w:t>Miljökvalitetsnor m</w:t>
            </w:r>
          </w:p>
          <w:p>
            <w:pPr>
              <w:pStyle w:val="P32"/>
              <w:rPr>
                <w:rFonts w:eastAsiaTheme="minorEastAsia"/>
              </w:rPr>
            </w:pPr>
            <w:r>
              <w:rPr>
                <w:rFonts w:eastAsiaTheme="minorEastAsia"/>
              </w:rPr>
              <w:t>och tidpunkt</w:t>
            </w:r>
          </w:p>
        </w:tc>
        <w:tc>
          <w:tcPr>
            <w:tcW w:w="1120" w:type="dxa"/>
          </w:tcPr>
          <w:p>
            <w:pPr>
              <w:pStyle w:val="P32"/>
              <w:rPr>
                <w:rFonts w:eastAsiaTheme="minorEastAsia"/>
              </w:rPr>
            </w:pPr>
            <w:r>
              <w:rPr>
                <w:rFonts w:eastAsiaTheme="minorEastAsia"/>
              </w:rPr>
              <w:t>Kemisk status</w:t>
            </w:r>
          </w:p>
        </w:tc>
        <w:tc>
          <w:tcPr>
            <w:tcW w:w="1509" w:type="dxa"/>
          </w:tcPr>
          <w:p>
            <w:pPr>
              <w:pStyle w:val="P32"/>
              <w:rPr>
                <w:rFonts w:eastAsiaTheme="minorEastAsia"/>
              </w:rPr>
            </w:pPr>
            <w:r>
              <w:rPr>
                <w:rFonts w:eastAsiaTheme="minorEastAsia"/>
              </w:rPr>
              <w:t>Miljökvalitetsnorm</w:t>
            </w:r>
          </w:p>
        </w:tc>
      </w:tr>
      <w:tr>
        <w:trPr>
          <w:trHeight w:hRule="atLeast" w:val="551"/>
        </w:trPr>
        <w:tc>
          <w:tcPr>
            <w:tcW w:w="1114" w:type="dxa"/>
          </w:tcPr>
          <w:p>
            <w:pPr>
              <w:pStyle w:val="P32"/>
              <w:rPr>
                <w:rFonts w:eastAsiaTheme="minorEastAsia"/>
              </w:rPr>
            </w:pPr>
            <w:r>
              <w:rPr>
                <w:rFonts w:eastAsiaTheme="minorEastAsia"/>
              </w:rPr>
              <w:t>WA1665077</w:t>
            </w:r>
          </w:p>
        </w:tc>
        <w:tc>
          <w:tcPr>
            <w:tcW w:w="917" w:type="dxa"/>
          </w:tcPr>
          <w:p>
            <w:pPr>
              <w:pStyle w:val="P32"/>
              <w:rPr>
                <w:rFonts w:eastAsiaTheme="minorEastAsia"/>
              </w:rPr>
            </w:pPr>
            <w:r>
              <w:rPr>
                <w:rFonts w:eastAsiaTheme="minorEastAsia"/>
              </w:rPr>
              <w:t>Vättern</w:t>
            </w:r>
          </w:p>
        </w:tc>
        <w:tc>
          <w:tcPr>
            <w:tcW w:w="1783" w:type="dxa"/>
            <w:shd w:val="clear" w:color="auto" w:fill="FFF3BC"/>
          </w:tcPr>
          <w:p>
            <w:pPr>
              <w:pStyle w:val="P32"/>
              <w:rPr>
                <w:rFonts w:eastAsiaTheme="minorEastAsia"/>
              </w:rPr>
            </w:pPr>
            <w:r>
              <w:rPr>
                <w:rFonts w:eastAsiaTheme="minorEastAsia"/>
              </w:rPr>
              <w:t>Otillfredsställande</w:t>
            </w:r>
          </w:p>
        </w:tc>
        <w:tc>
          <w:tcPr>
            <w:tcW w:w="1215" w:type="dxa"/>
            <w:shd w:val="clear" w:color="auto" w:fill="C2E39C"/>
          </w:tcPr>
          <w:p>
            <w:pPr>
              <w:pStyle w:val="P32"/>
              <w:rPr>
                <w:rFonts w:eastAsiaTheme="minorEastAsia"/>
              </w:rPr>
            </w:pPr>
            <w:r>
              <w:rPr>
                <w:rFonts w:eastAsiaTheme="minorEastAsia"/>
              </w:rPr>
              <w:t>God ekologisk status 2033</w:t>
            </w:r>
          </w:p>
        </w:tc>
        <w:tc>
          <w:tcPr>
            <w:tcW w:w="1120" w:type="dxa"/>
            <w:shd w:val="clear" w:color="auto" w:fill="F9C6BD"/>
          </w:tcPr>
          <w:p>
            <w:pPr>
              <w:pStyle w:val="P32"/>
              <w:rPr>
                <w:rFonts w:eastAsiaTheme="minorEastAsia"/>
              </w:rPr>
            </w:pPr>
            <w:r>
              <w:rPr>
                <w:rFonts w:eastAsiaTheme="minorEastAsia"/>
              </w:rPr>
              <w:t>Uppnår ej god</w:t>
            </w:r>
          </w:p>
        </w:tc>
        <w:tc>
          <w:tcPr>
            <w:tcW w:w="1509" w:type="dxa"/>
            <w:shd w:val="clear" w:color="auto" w:fill="B3EBFF"/>
          </w:tcPr>
          <w:p>
            <w:pPr>
              <w:pStyle w:val="P32"/>
              <w:rPr>
                <w:rFonts w:eastAsiaTheme="minorEastAsia"/>
              </w:rPr>
            </w:pPr>
            <w:r>
              <w:rPr>
                <w:rFonts w:eastAsiaTheme="minorEastAsia"/>
              </w:rPr>
              <w:t>God kemisk</w:t>
            </w:r>
          </w:p>
          <w:p>
            <w:pPr>
              <w:pStyle w:val="P32"/>
              <w:rPr>
                <w:rFonts w:eastAsiaTheme="minorEastAsia"/>
              </w:rPr>
            </w:pPr>
            <w:r>
              <w:rPr>
                <w:rFonts w:eastAsiaTheme="minorEastAsia"/>
              </w:rPr>
              <w:t>ytvattenstatus 2027</w:t>
            </w:r>
          </w:p>
        </w:tc>
      </w:tr>
    </w:tbl>
    <w:p>
      <w:pPr>
        <w:pStyle w:val="P32"/>
      </w:pPr>
    </w:p>
    <w:p>
      <w:pPr>
        <w:pStyle w:val="P32"/>
      </w:pPr>
      <w:r>
        <w:t>De utslagsgivande faktorerna för Vätterns ekologiska status inkluderar:</w:t>
      </w:r>
    </w:p>
    <w:p>
      <w:pPr>
        <w:pStyle w:val="P32"/>
        <w:numPr>
          <w:ilvl w:val="0"/>
          <w:numId w:val="44"/>
        </w:numPr>
      </w:pPr>
      <w:r>
        <w:rPr>
          <w:b w:val="1"/>
          <w:bCs w:val="1"/>
        </w:rPr>
        <w:t>Konnektivitet:</w:t>
      </w:r>
      <w:r>
        <w:t xml:space="preserve"> Otillfredsställande på grund av vandringshinder som hindrar vattenlevande organismer.</w:t>
      </w:r>
    </w:p>
    <w:p>
      <w:pPr>
        <w:pStyle w:val="P32"/>
        <w:numPr>
          <w:ilvl w:val="0"/>
          <w:numId w:val="44"/>
        </w:numPr>
      </w:pPr>
      <w:r>
        <w:rPr>
          <w:b w:val="1"/>
          <w:bCs w:val="1"/>
        </w:rPr>
        <w:t>Hydrologisk regim:</w:t>
      </w:r>
      <w:r>
        <w:t xml:space="preserve"> God, då sjön är reglerad för att bibehålla naturliga flöden.</w:t>
      </w:r>
    </w:p>
    <w:p>
      <w:pPr>
        <w:pStyle w:val="P32"/>
        <w:numPr>
          <w:ilvl w:val="0"/>
          <w:numId w:val="44"/>
        </w:numPr>
      </w:pPr>
      <w:r>
        <w:rPr>
          <w:b w:val="1"/>
          <w:bCs w:val="1"/>
        </w:rPr>
        <w:t>Morfologiskt tillstånd:</w:t>
      </w:r>
      <w:r>
        <w:t xml:space="preserve"> Måttligt till otillfredsställande, orsakat av att en del av utgörs av anlagda eller brukade ytor.</w:t>
      </w:r>
    </w:p>
    <w:p>
      <w:pPr>
        <w:pStyle w:val="P32"/>
      </w:pPr>
      <w:r>
        <w:t xml:space="preserve">Vattenförekomsten bedöms även ha hög näringspåverkan på grund av höga växtplanktonhalter. Åtgärdsprogrammen fokuserar på att förbättra den ekologiska statusen, bland annat genom att minimera näringsbelastningen med miljöanpassade flöden och skyddszoner för att minska erosion. Kompensationsåtgärder för att förbättra konnektiviteten innefattas av planerade dagvattenmagasin med näringsfällor. </w:t>
      </w:r>
    </w:p>
    <w:p>
      <w:pPr>
        <w:pStyle w:val="P32"/>
      </w:pPr>
      <w:r>
        <w:t>Ytvattenrecipienten bedöms ha ett högt värde.</w:t>
      </w:r>
    </w:p>
    <w:p>
      <w:pPr>
        <w:pStyle w:val="P32"/>
        <w:rPr>
          <w:b w:val="1"/>
          <w:i w:val="1"/>
          <w:bCs w:val="1"/>
          <w:iCs w:val="1"/>
        </w:rPr>
      </w:pPr>
      <w:bookmarkEnd w:id="181"/>
      <w:r>
        <w:rPr>
          <w:b w:val="1"/>
          <w:i w:val="1"/>
          <w:bCs w:val="1"/>
          <w:iCs w:val="1"/>
        </w:rPr>
        <w:t>Bedömning/konsekvenser</w:t>
      </w:r>
    </w:p>
    <w:p>
      <w:pPr>
        <w:pStyle w:val="P32"/>
      </w:pPr>
      <w:bookmarkStart w:id="182" w:name="ko_miljökvalitetsnormer01"/>
      <w:r>
        <w:t xml:space="preserve">Skulle planområdet ej byggas ut skulle det innebära att befintliga enskilda dagvatten- och VA-anläggningar kvarstår med begränsad rening, vilket bedöms medföra en måttligt negativ effekt på nedströms vattenmiljöer. Vid utbyggnad av planområdet föreslås utöver det som ställs krav på (dagvattenanläggning) flertalet skyddsåtgärder under byggskedet för att minimera påverkan. </w:t>
      </w:r>
    </w:p>
    <w:p>
      <w:pPr>
        <w:pStyle w:val="P32"/>
      </w:pPr>
      <w:r>
        <w:t>Under byggskedet föreslås flera skyddsåtgärder:</w:t>
      </w:r>
    </w:p>
    <w:p>
      <w:pPr>
        <w:pStyle w:val="P32"/>
        <w:numPr>
          <w:ilvl w:val="0"/>
          <w:numId w:val="45"/>
        </w:numPr>
      </w:pPr>
      <w:r>
        <w:t>Dimensionering av samlad dagvattenfördröjning för hög uppehållstid och näringsrening.</w:t>
      </w:r>
    </w:p>
    <w:p>
      <w:pPr>
        <w:pStyle w:val="P32"/>
        <w:numPr>
          <w:ilvl w:val="0"/>
          <w:numId w:val="45"/>
        </w:numPr>
      </w:pPr>
      <w:r>
        <w:t>Gestaltning av dagvattenfördröjningen med växtridåer.</w:t>
      </w:r>
    </w:p>
    <w:p>
      <w:pPr>
        <w:pStyle w:val="P32"/>
        <w:numPr>
          <w:ilvl w:val="0"/>
          <w:numId w:val="45"/>
        </w:numPr>
      </w:pPr>
      <w:r>
        <w:t>Dagvatten genomleds mot ett dike väster om väg 918, med krav på röjning och underhåll nedströms för god, trög avledning.</w:t>
      </w:r>
    </w:p>
    <w:p>
      <w:pPr>
        <w:pStyle w:val="P32"/>
        <w:numPr>
          <w:ilvl w:val="0"/>
          <w:numId w:val="45"/>
        </w:numPr>
      </w:pPr>
      <w:r>
        <w:t>Egenkontrollprogram för dagvattenfördröjningsytan, förorenade massor och oljeavskiljare.</w:t>
      </w:r>
    </w:p>
    <w:p>
      <w:pPr>
        <w:pStyle w:val="P32"/>
        <w:numPr>
          <w:ilvl w:val="0"/>
          <w:numId w:val="45"/>
        </w:numPr>
      </w:pPr>
      <w:r>
        <w:t>Länshållningsvatten under byggskedet ska hanteras enligt egenkontrollprogram med kontroll och vid behov mekanisk rening och pH-justering.</w:t>
      </w:r>
    </w:p>
    <w:p>
      <w:pPr>
        <w:pStyle w:val="P32"/>
      </w:pPr>
      <w:r>
        <w:t>Till följd av dessa förutsättningar planeras en gemensamhetsanläggning byggas för den samlade fördröjningen av dagvatten i planen. En gemensamhetsanläggning innebär att regelbunden drift, egenkontroll samt att tillsyn av tillsynsmyndigheten sker, vilket innebär dagvattenrening sker mer regelbundet än i nuläget. Även andra verksamheter, såsom vatten- och avloppsanläggningar hanteras som en följd av planen i gemensamhetsanläggningar med larmfunktion vid bräddning, egenkontroll och tillsyn. Detta innebär en högre grad av funktionalitet och övervakning än för motsvarande enskilda anläggningar som existerar i området i nuläget.</w:t>
      </w:r>
    </w:p>
    <w:p>
      <w:pPr>
        <w:pStyle w:val="P32"/>
      </w:pPr>
      <w:r>
        <w:t>Planförslagets påverkan på recipienten med avseende på MKN bedöms enligt följande.</w:t>
      </w:r>
    </w:p>
    <w:p>
      <w:pPr>
        <w:pStyle w:val="P32"/>
        <w:numPr>
          <w:ilvl w:val="0"/>
          <w:numId w:val="46"/>
        </w:numPr>
      </w:pPr>
      <w:r>
        <w:t>Avrinningsområdena som breder ut sig i planområdet utgör en marginell del av aktuellt delavrinningsområde som mynnar ut i Vättern, vilket bidrar till en sammantagen bedömning om att recipientens känslighet för dagvattenavrinning från uppströms planområde är relativt liten</w:t>
      </w:r>
    </w:p>
    <w:p>
      <w:pPr>
        <w:pStyle w:val="P32"/>
        <w:numPr>
          <w:ilvl w:val="0"/>
          <w:numId w:val="46"/>
        </w:numPr>
      </w:pPr>
      <w:r>
        <w:t>Planerad driftåtgärder kopplade till avvattningsanläggningar utmed väg 918, tillser att befintliga vägdiken kan uppfylla en bättre funktion efter exploatering än vad de har i dagsläget</w:t>
      </w:r>
    </w:p>
    <w:p>
      <w:pPr>
        <w:pStyle w:val="P32"/>
        <w:numPr>
          <w:ilvl w:val="0"/>
          <w:numId w:val="46"/>
        </w:numPr>
      </w:pPr>
      <w:r>
        <w:t>Planerade gemensamhetsanläggningar bedöms bidra till en minskad risk för olägenhet i form av fekalier och näringsläckage i nedströms vattenmiljöer och vattenknutna områdesskydd.</w:t>
      </w:r>
    </w:p>
    <w:p>
      <w:pPr>
        <w:pStyle w:val="P32"/>
        <w:numPr>
          <w:ilvl w:val="0"/>
          <w:numId w:val="46"/>
        </w:numPr>
      </w:pPr>
      <w:r>
        <w:t>Planerade vägdiken innanför planområdet, bedöms bidra till ett trögare rinnförlopp för dagvatten i relation till den ytledes avrinning som sker i dag för dimensionerande regn.</w:t>
      </w:r>
    </w:p>
    <w:p>
      <w:pPr>
        <w:pStyle w:val="P32"/>
      </w:pPr>
      <w:r>
        <w:t>Ett utbyggt planområde förväntas ge upphov till en indirekt påverkan på de särskilda livsmiljöer som omfattas av bevarandeplanen inom Natura 2000-området. En viss ökning av ytavrinningen förutses till följd av ökad hårdgöring inom detaljplaneområdet. Föroreningsbelastningen från trafikerade ytor inom det tillrinningsområde som omfattar både detaljplanen och det omgivande vägnätet bedöms påverkas av förändrade trafikflöden till och från området.</w:t>
      </w:r>
    </w:p>
    <w:p>
      <w:pPr>
        <w:pStyle w:val="P32"/>
      </w:pPr>
      <w:r>
        <w:t>Det finns sammantaget goda möjligheter att genomföra dagvattenhantering som inte leder till negativ påverkan på omkringliggande mark- och vattenmiljöer, jämfört med nuläget, under förutsättning att föreslagna skydds- och försiktighetsåtgärder genomförs. En gemensam dagvattenanläggning, utformad med tillräcklig uppehållstid, växtlighet samt djup- och grundzoner, bedöms kunna säkerställa nödvändig rening så att dagvattnets kvalitet bibehålls.</w:t>
      </w:r>
    </w:p>
    <w:p>
      <w:pPr>
        <w:pStyle w:val="P32"/>
      </w:pPr>
      <w:r>
        <w:t>Med hänsyn till omfattningen av planerade försiktighetsåtgärder bedöms den sökta vattenverksamheten ha en begränsad negativ effekt på nedströms vattenmiljöer. Med beaktande av recipientens värde bedöms verksamheten totalt sett medföra en måttlig negativ påverkan på ytvatten, för mer detaljerad information se MKB (2025).</w:t>
      </w:r>
    </w:p>
    <w:p>
      <w:pPr>
        <w:pStyle w:val="P2"/>
      </w:pPr>
      <w:bookmarkEnd w:id="182"/>
      <w:bookmarkStart w:id="183" w:name="_Toc214961338"/>
      <w:r>
        <w:t>Miljö</w:t>
      </w:r>
      <w:bookmarkEnd w:id="183"/>
    </w:p>
    <w:p>
      <w:pPr>
        <w:pStyle w:val="P3"/>
      </w:pPr>
      <w:bookmarkStart w:id="184" w:name="_Toc198806289"/>
      <w:bookmarkStart w:id="185" w:name="_Toc214961339"/>
      <w:r>
        <w:t>Undersökning av betydande miljöpåverkan</w:t>
      </w:r>
      <w:bookmarkEnd w:id="184"/>
      <w:bookmarkEnd w:id="185"/>
    </w:p>
    <w:p>
      <w:pPr>
        <w:tabs>
          <w:tab w:val="left" w:pos="284" w:leader="none"/>
        </w:tabs>
      </w:pPr>
      <w:bookmarkStart w:id="186" w:name="pu_undersökningenl6kap6_mb01"/>
      <w:r>
        <w:t xml:space="preserve">Undersökningen syftar till att upptäcka eventuella risker och konflikter mellan önskemålen om exploatering och miljö, hälsa eller hushållning av naturresurser. Undersökningen ska utgöra underlag för kommunens beslut om en miljöbedömning ska utföras för detaljplanen. Enligt 6 kap. 5 § miljöbalken (1998:808) ska kommunen göra en undersökning av behovet av en strategisk miljöbedömning när en detaljplan eller ett program ska upprättas eller ändras. </w:t>
      </w:r>
    </w:p>
    <w:p>
      <w:pPr>
        <w:tabs>
          <w:tab w:val="left" w:pos="284" w:leader="none"/>
        </w:tabs>
      </w:pPr>
      <w:r>
        <w:t>Kommunen ska bedöma om någon enskild eller flera aspekter tillsammans kan antas medföra en betydande miljöpåverkan. Bedöms planen inte medföra någon betydande miljöpåverkan hanteras miljöfrågorna inom ramen för detaljplanearbetet. För en plan som kan antas innebära betydande miljöpåverkans skall enligt 6 kap Miljöbalken (1998:808) en strategisk miljöbedömning göras.</w:t>
      </w:r>
    </w:p>
    <w:p>
      <w:pPr>
        <w:tabs>
          <w:tab w:val="left" w:pos="284" w:leader="none"/>
        </w:tabs>
        <w:rPr>
          <w:b w:val="1"/>
          <w:bCs w:val="1"/>
        </w:rPr>
      </w:pPr>
      <w:r>
        <w:rPr>
          <w:b w:val="1"/>
          <w:bCs w:val="1"/>
        </w:rPr>
        <w:t>Kommunens bedömning efter samråd</w:t>
      </w:r>
    </w:p>
    <w:p>
      <w:pPr>
        <w:tabs>
          <w:tab w:val="left" w:pos="284" w:leader="none"/>
        </w:tabs>
      </w:pPr>
      <w:r>
        <w:t xml:space="preserve">I samband med att detaljplanen gick ut på samråd gjorde Ödeshögs kommun bedömningen att planens genomförande inte skulle innebära en betydande miljöpåverkan förutsatt att vissa risker hanterades i planbeskrivningen. Vid detta tillfälle hade inte en naturinventering genomförts. Länsstyrelsen höll inte med om denna bedömning utan beskrev att kommunen måste tydliggöra påverkan på naturmiljö, vattenmiljö, riksintresse m.m. Som ett resultat av de åtgärder som genomförts och Länsstyrelsens synpunkter beslutade Ödeshögs kommun att en strategisk miljöbedömning skulle genomföras och att en miljökonsekvensbeskrivning skulle tas i enlighet med miljöbalken. </w:t>
      </w:r>
    </w:p>
    <w:p>
      <w:pPr>
        <w:pStyle w:val="P2"/>
      </w:pPr>
      <w:bookmarkEnd w:id="186"/>
      <w:bookmarkStart w:id="187" w:name="_Toc214961340"/>
      <w:r>
        <w:t>Miljökonsekvensbeskrivning (MKB)</w:t>
      </w:r>
      <w:bookmarkEnd w:id="187"/>
    </w:p>
    <w:p>
      <w:pPr>
        <w:tabs>
          <w:tab w:val="left" w:pos="284" w:leader="none"/>
        </w:tabs>
      </w:pPr>
      <w:bookmarkStart w:id="188" w:name="pu_miljökonsekvensbeskrivning01"/>
      <w:r>
        <w:t>Syftet med en miljöbedömning är att identifiera och beskriva de direkta, indirekta och kumulativa effekter som den planerade verksamheten eller åtgärden kan medföra. Syftet är också att integrera miljöhänsyn i planeringen och att utgöra en del av beslutsunderlaget inför beslut om detaljplanen.</w:t>
      </w:r>
    </w:p>
    <w:p>
      <w:pPr>
        <w:tabs>
          <w:tab w:val="left" w:pos="284" w:leader="none"/>
        </w:tabs>
      </w:pPr>
      <w:r>
        <w:t xml:space="preserve">Inför ett genomförande av MKB:n hölls ett avgränsningssamråd den 11 januari 2024 med representanter från Länsstyrelsen, Ödeshögs kommun och Tyréns som fått uppdraget av exploatöerna att genomföra MKB:n. Följande delar identifierades som betydande och krävde vidare utredning och bedömning i en MKB. </w:t>
      </w:r>
    </w:p>
    <w:p>
      <w:pPr>
        <w:numPr>
          <w:ilvl w:val="0"/>
          <w:numId w:val="47"/>
        </w:numPr>
        <w:spacing w:lineRule="auto" w:line="240" w:before="100" w:after="100" w:beforeAutospacing="1" w:afterAutospacing="1"/>
        <w:rPr>
          <w:rFonts w:ascii="Calibri" w:hAnsi="Calibri"/>
        </w:rPr>
      </w:pPr>
      <w:r>
        <w:rPr>
          <w:rFonts w:ascii="Calibri" w:hAnsi="Calibri"/>
        </w:rPr>
        <w:t>Riksintressen: naturvård, rörligt friluftsliv och Natura 2000.</w:t>
      </w:r>
    </w:p>
    <w:p>
      <w:pPr>
        <w:numPr>
          <w:ilvl w:val="0"/>
          <w:numId w:val="47"/>
        </w:numPr>
        <w:spacing w:lineRule="auto" w:line="240" w:before="100" w:after="100" w:beforeAutospacing="1" w:afterAutospacing="1"/>
        <w:rPr>
          <w:rFonts w:ascii="Calibri" w:hAnsi="Calibri"/>
        </w:rPr>
      </w:pPr>
      <w:r>
        <w:rPr>
          <w:rFonts w:ascii="Calibri" w:hAnsi="Calibri"/>
        </w:rPr>
        <w:t>Naturmiljö, biologisk mångfald och skyddade arter: Med fokus på höga naturvärden, potentiell förekomst av skyddade arter och strategier för att förebygga invasiva arter.</w:t>
      </w:r>
    </w:p>
    <w:p>
      <w:pPr>
        <w:numPr>
          <w:ilvl w:val="0"/>
          <w:numId w:val="47"/>
        </w:numPr>
        <w:spacing w:lineRule="auto" w:line="240" w:before="100" w:after="100" w:beforeAutospacing="1" w:afterAutospacing="1"/>
        <w:rPr>
          <w:rFonts w:ascii="Calibri" w:hAnsi="Calibri"/>
        </w:rPr>
      </w:pPr>
      <w:r>
        <w:rPr>
          <w:rFonts w:ascii="Calibri" w:hAnsi="Calibri"/>
        </w:rPr>
        <w:t>Vatten: Påverkan på vattenförekomster och grundvatten.</w:t>
      </w:r>
    </w:p>
    <w:p>
      <w:pPr>
        <w:numPr>
          <w:ilvl w:val="0"/>
          <w:numId w:val="47"/>
        </w:numPr>
        <w:spacing w:lineRule="auto" w:line="240" w:before="100" w:after="100" w:beforeAutospacing="1" w:afterAutospacing="1"/>
        <w:rPr>
          <w:rFonts w:ascii="Calibri" w:hAnsi="Calibri"/>
        </w:rPr>
      </w:pPr>
      <w:r>
        <w:rPr>
          <w:rFonts w:ascii="Calibri" w:hAnsi="Calibri"/>
        </w:rPr>
        <w:t>Förorenad mark: Eventuella föroreningar från verksamheter och fyllning.</w:t>
      </w:r>
    </w:p>
    <w:p>
      <w:pPr>
        <w:spacing w:lineRule="auto" w:line="240" w:before="100" w:after="100" w:beforeAutospacing="1" w:afterAutospacing="1"/>
      </w:pPr>
      <w:r>
        <w:rPr>
          <w:rFonts w:ascii="Calibri" w:hAnsi="Calibri"/>
        </w:rPr>
        <w:t>Andra miljöaspekter som bedömdes ha mindre betydande påverkan, såsom klimatpåverkan, buller och kulturmiljö, avgränsades bort från MKB:n och behandlas i planbeskrivningen.</w:t>
      </w:r>
    </w:p>
    <w:p>
      <w:pPr>
        <w:spacing w:lineRule="auto" w:line="240" w:before="100" w:after="100" w:beforeAutospacing="1" w:afterAutospacing="1"/>
      </w:pPr>
      <w:r>
        <w:t xml:space="preserve">Den </w:t>
      </w:r>
      <w:r>
        <w:rPr>
          <w:rStyle w:val="C28"/>
          <w:b w:val="0"/>
          <w:bCs w:val="0"/>
        </w:rPr>
        <w:t>geografiska avgränsningen</w:t>
      </w:r>
      <w:r>
        <w:t xml:space="preserve"> för MKB:n omfattade både planområdet och ett influensområde som sträcker sig till Vättern, intilliggande Natura 2000-områden och naturmiljön öster om planområdet, med varierande omfattning beroende på miljöaspekt. Tidsmässigt bedöms miljöeffekterna för ett fullt utbyggt område med en genomförandetid på fem år från laga kraft, och </w:t>
      </w:r>
      <w:r>
        <w:rPr>
          <w:rStyle w:val="C28"/>
          <w:b w:val="0"/>
          <w:bCs w:val="0"/>
        </w:rPr>
        <w:t>nollalternativet</w:t>
      </w:r>
      <w:r>
        <w:rPr>
          <w:b w:val="1"/>
          <w:bCs w:val="1"/>
        </w:rPr>
        <w:t xml:space="preserve"> </w:t>
      </w:r>
      <w:r>
        <w:t>utgår från situationen år 2022, innan den initiala exploateringen påbörjades.</w:t>
      </w:r>
    </w:p>
    <w:p>
      <w:pPr>
        <w:rPr>
          <w:b w:val="1"/>
          <w:i w:val="1"/>
          <w:bCs w:val="1"/>
          <w:iCs w:val="1"/>
        </w:rPr>
      </w:pPr>
      <w:bookmarkEnd w:id="188"/>
      <w:r>
        <w:rPr>
          <w:b w:val="1"/>
          <w:i w:val="1"/>
          <w:bCs w:val="1"/>
          <w:iCs w:val="1"/>
        </w:rPr>
        <w:t>Sammanvägd bedömning</w:t>
      </w:r>
    </w:p>
    <w:p>
      <w:pPr>
        <w:spacing w:lineRule="auto" w:line="240" w:before="100" w:after="100" w:beforeAutospacing="1" w:afterAutospacing="1"/>
      </w:pPr>
      <w:bookmarkStart w:id="189" w:name="ko_miljökonsekvensbeskrivning01"/>
      <w:r>
        <w:t>Sammantaget bedöms planförslagets negativa konsekvenser som liten för naturmiljön. Bedömningen tar hänsyn till påverkan på vissa naturvärden samt positiva effekt och förbättringar av biologisk mångfald för invasiva arter i planområdet.</w:t>
      </w:r>
    </w:p>
    <w:p>
      <w:pPr>
        <w:spacing w:lineRule="auto" w:line="240" w:before="100" w:after="100" w:beforeAutospacing="1" w:afterAutospacing="1"/>
      </w:pPr>
      <w:r>
        <w:t>Givet försiktighetsåtgärdernas omfattning bedöms sökt vattenverksamhet sammantaget medföra en liten negativ effekt på nedströms vattenmiljöer. Mot bakgrund av recipientens värde, bedöms sökt vattenverksamhet sammantaget medföra en måttlig negativ konsekvens med avseende på ytvattenpåverkan.</w:t>
      </w:r>
    </w:p>
    <w:p>
      <w:pPr>
        <w:spacing w:lineRule="auto" w:line="240" w:before="100" w:after="100" w:beforeAutospacing="1" w:afterAutospacing="1"/>
      </w:pPr>
      <w:r>
        <w:t xml:space="preserve">Vid borttagande av befintlig förorening vid det gamla motellet bedöms konsekvensen av genomförandet som positivt för föroreningsbelastningen. Fyllnadsmassor har även avlägsnats från området.  </w:t>
      </w:r>
    </w:p>
    <w:p>
      <w:pPr>
        <w:spacing w:lineRule="auto" w:line="240" w:before="100" w:after="100" w:beforeAutospacing="1" w:afterAutospacing="1"/>
      </w:pPr>
      <w:r>
        <w:t xml:space="preserve">I och med att området redan är exploaterat så bedöms fortsatt exploatering inte innebära några åtgärder som på ett betydande sätt kan påverka miljön inom de skyddade naturområden och riksintressen som angränsar till planområdet. Vilket även gäller naturvårdsprogrammet och de riksintresset som ligger inom planområdet. </w:t>
      </w:r>
    </w:p>
    <w:p>
      <w:pPr>
        <w:spacing w:lineRule="auto" w:line="240" w:before="100" w:after="100" w:beforeAutospacing="1" w:afterAutospacing="1"/>
      </w:pPr>
      <w:r>
        <w:t>Sammantaget bedöms planförslagets negativa konsekvenser som ingen eller liten för de miljöaspekter som ha bedömts. Dessa bedömningar förutsätter dock att vissa skydds-eller försiktighetsåtgärder vidtas. Planens utformning har också anpassats till de behov som har framkommit av genomförda utredningar och inom ramen för den strategiska miljöbedömningen.</w:t>
      </w:r>
    </w:p>
    <w:p>
      <w:pPr>
        <w:spacing w:lineRule="auto" w:line="240" w:before="100" w:after="100" w:beforeAutospacing="1" w:afterAutospacing="1"/>
        <w:rPr>
          <w:b w:val="1"/>
          <w:i w:val="1"/>
          <w:bCs w:val="1"/>
          <w:iCs w:val="1"/>
        </w:rPr>
      </w:pPr>
      <w:bookmarkEnd w:id="189"/>
    </w:p>
    <w:p>
      <w:pPr>
        <w:spacing w:lineRule="auto" w:line="240" w:before="100" w:after="100" w:beforeAutospacing="1" w:afterAutospacing="1"/>
        <w:rPr>
          <w:b w:val="1"/>
          <w:i w:val="1"/>
          <w:bCs w:val="1"/>
          <w:iCs w:val="1"/>
        </w:rPr>
      </w:pPr>
      <w:r>
        <w:rPr>
          <w:b w:val="1"/>
          <w:i w:val="1"/>
          <w:bCs w:val="1"/>
          <w:iCs w:val="1"/>
        </w:rPr>
        <w:t>Kommunens bedömning</w:t>
      </w:r>
    </w:p>
    <w:p>
      <w:pPr>
        <w:spacing w:lineRule="auto" w:line="240" w:before="100" w:after="100" w:beforeAutospacing="1" w:afterAutospacing="1"/>
      </w:pPr>
      <w:bookmarkStart w:id="190" w:name="ko_miljökonsekvensbeskrivning02"/>
      <w:r>
        <w:t>Ödeshögs kommun delar den sammanvägda bedömningen som tagits fram i MKB:n och utifrån övriga delar som ingår i planen bedömer kommunen att planen inte medför en betydande miljöpåverkan.</w:t>
      </w:r>
    </w:p>
    <w:p>
      <w:pPr>
        <w:pStyle w:val="P2"/>
      </w:pPr>
      <w:bookmarkEnd w:id="190"/>
      <w:bookmarkStart w:id="191" w:name="_Toc214961341"/>
      <w:r>
        <w:t>Teknisk försörjning</w:t>
      </w:r>
      <w:bookmarkEnd w:id="191"/>
    </w:p>
    <w:p>
      <w:pPr>
        <w:rPr>
          <w:b w:val="1"/>
          <w:i w:val="1"/>
          <w:bCs w:val="1"/>
          <w:iCs w:val="1"/>
        </w:rPr>
      </w:pPr>
      <w:r>
        <w:rPr>
          <w:b w:val="1"/>
          <w:i w:val="1"/>
          <w:bCs w:val="1"/>
          <w:iCs w:val="1"/>
        </w:rPr>
        <w:t>Vatten och spillvatten</w:t>
      </w:r>
    </w:p>
    <w:p>
      <w:pPr>
        <w:pStyle w:val="P3"/>
      </w:pPr>
      <w:bookmarkStart w:id="192" w:name="_Toc214961342"/>
      <w:r>
        <w:t>Dricksvatten</w:t>
      </w:r>
      <w:bookmarkEnd w:id="192"/>
    </w:p>
    <w:p>
      <w:pPr>
        <w:tabs>
          <w:tab w:val="left" w:pos="284" w:leader="none"/>
        </w:tabs>
      </w:pPr>
      <w:bookmarkStart w:id="193" w:name="gf_utbyggnadvattenochavlopp01"/>
      <w:r>
        <w:t>Området förses idag med dricksvatten från Vättern via intagsledning som förser området med råvatten som tas upp i en anläggning med uttagsbrunn, UV-filter och reservoar. I dagsläget tillgodoses uppskattningsvis 16,5 hushåll i området med dricksvattenförsörjning från vattenanläggningen. Ungefär nio av dessa hushåll utgörs av säsongsbelastade stugor. Det saknas i dagsläget tillstånd för befintlig vattenanläggning, det finns inte heller någon anmälan om vattenverksamhet registrerad hos Länsstyrelsen i Östergötland för anläggningen.</w:t>
      </w:r>
    </w:p>
    <w:p>
      <w:pPr>
        <w:tabs>
          <w:tab w:val="left" w:pos="284" w:leader="none"/>
        </w:tabs>
      </w:pPr>
      <w:r>
        <w:t xml:space="preserve">En VA-utredning har tagits fram av Tyréns (2023) för att redovisa de förutsättningarna inför planering av enskilda vatten- och avloppslösningar. Utredningen syftar också till att redovisa de juridiska förutsättningar som ligger till grund för en prövning av enskilda vatten- och avloppslösningar. Utredningen har kompletterats med en fördjupad VA-utredning (Tyréns 2025) bland annat kopplat till synpunkter som inkommit från samrådet. </w:t>
      </w:r>
    </w:p>
    <w:p>
      <w:pPr>
        <w:tabs>
          <w:tab w:val="left" w:pos="284" w:leader="none"/>
        </w:tabs>
      </w:pPr>
      <w:r>
        <w:t xml:space="preserve">Den befintliga råvattenledningen bedöms kunna bibehållas, då en nyligen genomförd provtryckning inte visade några indikationer på att den är uttjänt eller i dåligt skick. Dock måste den befintliga råvattenpumpen vid Vätterns intag bytas ut. Inom planområdet kommer ledningen att behöva läggas om för att undvika konflikt med planerade dagvattenytor. Även en ny dricksvattenanläggning planeras med en volym på 36 m3 (mellangångsreservoar) vilket är nödvändigt för att utjämna vattenförbrukningen. Området avsätts i planen och för att säkerhetsställa vattenförsörjningen ska en gemensamhetsanläggning för vatten och avlopp inrättas när detaljplanen vinner laga kraft. Detta ska hanteras genom en lantmäteriförättning som även ska överföra befintliga råvattenledning som fastighetstillbehör till den planerade gemensamhetsanläggningen. </w:t>
      </w:r>
    </w:p>
    <w:p>
      <w:pPr>
        <w:tabs>
          <w:tab w:val="left" w:pos="284" w:leader="none"/>
        </w:tabs>
      </w:pPr>
      <w:r>
        <w:rPr>
          <w:noProof w:val="1"/>
        </w:rPr>
        <w:drawing>
          <wp:inline xmlns:wp="http://schemas.openxmlformats.org/drawingml/2006/wordprocessingDrawing" distT="0" distB="0" distL="0" distR="0">
            <wp:extent cx="4679950" cy="5908675"/>
            <wp:effectExtent l="0" t="0" r="6350" b="0"/>
            <wp:docPr id="40" name="Bildobjekt 40" descr="Bild visar översikt över planerad dricksvattenförsörjning inom planområd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ildobjekt 40" descr="Bild visar översikt över planerad dricksvattenförsörjning inom planområdet. "/>
                    <pic:cNvPicPr/>
                  </pic:nvPicPr>
                  <pic:blipFill dpi="0">
                    <a:blip xmlns:r="http://schemas.openxmlformats.org/officeDocument/2006/relationships" r:embed="Relimage44"/>
                    <a:srcRect/>
                    <a:stretch>
                      <a:fillRect/>
                    </a:stretch>
                  </pic:blipFill>
                  <pic:spPr>
                    <a:xfrm>
                      <a:off x="0" y="0"/>
                      <a:ext cx="4679950" cy="5908675"/>
                    </a:xfrm>
                    <a:prstGeom prst="rect"/>
                  </pic:spPr>
                </pic:pic>
              </a:graphicData>
            </a:graphic>
          </wp:inline>
        </w:drawing>
      </w:r>
    </w:p>
    <w:p>
      <w:pPr>
        <w:tabs>
          <w:tab w:val="left" w:pos="284" w:leader="none"/>
        </w:tabs>
        <w:rPr>
          <w:i w:val="1"/>
          <w:iCs w:val="1"/>
          <w:sz w:val="18"/>
          <w:szCs w:val="18"/>
        </w:rPr>
      </w:pPr>
      <w:r>
        <w:rPr>
          <w:i w:val="1"/>
          <w:iCs w:val="1"/>
          <w:sz w:val="18"/>
          <w:szCs w:val="18"/>
        </w:rPr>
        <w:t xml:space="preserve">Bild visar översikt över planerad dricksvattenförsörjning inom planområdet. </w:t>
      </w:r>
    </w:p>
    <w:p>
      <w:pPr>
        <w:tabs>
          <w:tab w:val="left" w:pos="284" w:leader="none"/>
        </w:tabs>
      </w:pPr>
      <w:r>
        <w:t xml:space="preserve">Vid exploatering av området kommer planområdets förväntade uttagsmängder av dricksvatten öka. Utifrån nya beräknade mängder uttag av dricksvatten bedöms ett tillstånd vara nödvändigt (Vattenverksamhet för bortledande av vatten för dricksvattenförsörjning), ett eventuellt tillstånd prövas av Mark- och miljödomstolen. Undantag för tillstånd kan beviljas med stöd 11 kap. 12 § miljöbalken där det är uppenbart att enskilda eller allmänna intressen inte kan skadas på grund av inverkan från vattenverksamheten på omgivande vattenförhållanden. I dagvattenutredningen (Tyréns 2023) bedömdes samtliga vattenåtgärder kunna falla inom undantagsregeln. Den fördjupade va-utredningen (Tyréns 2025) visar på att befintlig råvattenledning från Vättern går att nyttja för dimensionerad dricksvattenförsörjning i planen och vidhåller att undantagsregeln från vattenverksamheten kan åberopas. </w:t>
      </w:r>
      <w:bookmarkEnd w:id="193"/>
    </w:p>
    <w:p>
      <w:pPr>
        <w:pStyle w:val="P3"/>
      </w:pPr>
      <w:bookmarkStart w:id="194" w:name="_Toc214961343"/>
      <w:r>
        <w:t>Avlopp</w:t>
      </w:r>
      <w:bookmarkEnd w:id="194"/>
    </w:p>
    <w:p>
      <w:pPr>
        <w:tabs>
          <w:tab w:val="left" w:pos="284" w:leader="none"/>
        </w:tabs>
      </w:pPr>
      <w:bookmarkStart w:id="195" w:name="gf_utbyggnadvattenochavlopp02"/>
      <w:r>
        <w:t>Befintlig spillvattenlösning i området består en enkammar- och trekammarbrunnar, ledningsnät för grå- och svartvatten samt en infiltrationsbädd som slutligt reningssteg. Befintliga bostäder innehar enskilda brunnar.</w:t>
      </w:r>
    </w:p>
    <w:p>
      <w:pPr>
        <w:tabs>
          <w:tab w:val="left" w:pos="284" w:leader="none"/>
        </w:tabs>
      </w:pPr>
      <w:r>
        <w:t xml:space="preserve">Under 2017 ansökte den förre ägaren för fastigheten Hårstorp 1:7 om ett tillstånd för en förnyad samt utökad del av befintlig avloppsanläggning med hänsyn till verksamhetens utökade behov. Befintlig anordning hade vid miljö- och byggnadsnämndens tillsyn ej bedömts som acceptabel. En ny anläggning anlades och bestod bland annat av pumpbrunn med slagpump och fosforkälla olika brunnar, självfall och tryckledningar samt markbädd. Anläggningen är uppskattningsvis dimensionerad för 16,5 hushåll. </w:t>
      </w:r>
    </w:p>
    <w:p>
      <w:pPr>
        <w:tabs>
          <w:tab w:val="left" w:pos="284" w:leader="none"/>
        </w:tabs>
      </w:pPr>
      <w:r>
        <w:rPr>
          <w:noProof w:val="1"/>
        </w:rPr>
        <w:drawing>
          <wp:inline xmlns:wp="http://schemas.openxmlformats.org/drawingml/2006/wordprocessingDrawing" distT="0" distB="0" distL="0" distR="0">
            <wp:extent cx="3886200" cy="5614035"/>
            <wp:effectExtent l="0" t="0" r="0" b="5715"/>
            <wp:docPr id="41" name="Bildobjekt 41" descr="Bild visar inmätta befintliga avloppsledningar i området för stugor och restaurang/hot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objekt 41" descr="Bild visar inmätta befintliga avloppsledningar i området för stugor och restaurang/hotell."/>
                    <pic:cNvPicPr>
                      <a:picLocks noChangeAspect="1" noChangeArrowheads="1"/>
                    </pic:cNvPicPr>
                  </pic:nvPicPr>
                  <pic:blipFill dpi="0">
                    <a:blip xmlns:r="http://schemas.openxmlformats.org/officeDocument/2006/relationships" r:embed="Relimage45"/>
                    <a:srcRect/>
                    <a:stretch>
                      <a:fillRect/>
                    </a:stretch>
                  </pic:blipFill>
                  <pic:spPr bwMode="auto">
                    <a:xfrm>
                      <a:off x="0" y="0"/>
                      <a:ext cx="3889283" cy="5618616"/>
                    </a:xfrm>
                    <a:prstGeom prst="rect"/>
                    <a:noFill/>
                    <a:ln>
                      <a:noFill/>
                    </a:ln>
                  </pic:spPr>
                </pic:pic>
              </a:graphicData>
            </a:graphic>
          </wp:inline>
        </w:drawing>
      </w:r>
    </w:p>
    <w:p>
      <w:pPr>
        <w:tabs>
          <w:tab w:val="left" w:pos="284" w:leader="none"/>
        </w:tabs>
        <w:rPr>
          <w:i w:val="1"/>
          <w:iCs w:val="1"/>
          <w:sz w:val="18"/>
          <w:szCs w:val="18"/>
        </w:rPr>
      </w:pPr>
      <w:r>
        <w:rPr>
          <w:i w:val="1"/>
          <w:iCs w:val="1"/>
          <w:sz w:val="18"/>
          <w:szCs w:val="18"/>
        </w:rPr>
        <w:t>Bild visar inmätta befintliga avloppsledningar i området för stugor och restaurang/hotell.</w:t>
      </w:r>
    </w:p>
    <w:p>
      <w:pPr>
        <w:tabs>
          <w:tab w:val="left" w:pos="284" w:leader="none"/>
        </w:tabs>
      </w:pPr>
      <w:r>
        <w:t xml:space="preserve">Befintlig anläggning klarar inte av att hantera de mängder avlopp som en ny exploatering skulle innebära. Tyréns har tillsammans med exploatörerna utrett möjligheterna att ansluta det nya området med ett avloppsreningsverk (minireningsverk med hög skyddsnivå). </w:t>
      </w:r>
    </w:p>
    <w:p>
      <w:pPr>
        <w:spacing w:after="0" w:beforeAutospacing="0" w:afterAutospacing="0"/>
      </w:pPr>
      <w:r>
        <w:t xml:space="preserve">På grund av den kuperade terrängen ska ett </w:t>
      </w:r>
      <w:r>
        <w:rPr>
          <w:rStyle w:val="C28"/>
          <w:b w:val="0"/>
          <w:bCs w:val="0"/>
        </w:rPr>
        <w:t>lågtryckavloppssystem (LTA-system</w:t>
      </w:r>
      <w:r>
        <w:rPr>
          <w:rStyle w:val="C28"/>
        </w:rPr>
        <w:t>)</w:t>
      </w:r>
      <w:r>
        <w:t xml:space="preserve"> implementeras. Detta innebär att varje fastighet förses med en egen pumpstation som trycksätter avloppsvattnet till ett gemensamt system i gatan och vidare till ett miniavloppsreningsverket. Detta reningsverk skulle ta höjd för framtida exploatering och även de kravs som ställs utifrån områdets känsliga omgivning med bland annat Natura2000.  </w:t>
      </w:r>
    </w:p>
    <w:p>
      <w:pPr>
        <w:spacing w:after="0" w:beforeAutospacing="0" w:afterAutospacing="0"/>
      </w:pPr>
    </w:p>
    <w:p>
      <w:r>
        <w:t xml:space="preserve">Miniavloppsreningsverket är dimensionerat för att hantera flödesvariationer med en stor utjämningstank och ett bräddavloppssystem till en dagvattenfördröjningsyta, vilket minimerar risken för bräddning vid strömavbrott eller rörbrott. Anläggningen har larmfunktion, och ytterligare säkerhetsåtgärder som en bräddningstank och styrdon kan installeras. Det spillvatten som släpps till dagvattendammen kommer vara renat vilket innebär att utsläpp hade kunnat ske direkt till dike. Att samla utgående vatten och släppa det till dagvattendammen är därför att anse som en extra försiktighetsåtgärd. Både ur perspektiv olägenhet/lukt men även för att förenkla eventuell sanering. Utloppet från dagvattendammen avses att kunna stängas vid behov. </w:t>
      </w:r>
    </w:p>
    <w:p>
      <w:pPr>
        <w:spacing w:after="0" w:beforeAutospacing="0" w:afterAutospacing="0"/>
      </w:pPr>
    </w:p>
    <w:p>
      <w:pPr>
        <w:spacing w:after="0" w:beforeAutospacing="0" w:afterAutospacing="0"/>
      </w:pPr>
      <w:r>
        <w:t xml:space="preserve">Risken för bräddning bedöms som minimal men med åtgärder enligt ovan uppfylls  kraven enligt Vätterns vattenskyddsbeslut. Sammantaget bedöms VA-lösningen inte utgöra någon risk för omgivande områdesskydd.</w:t>
      </w:r>
    </w:p>
    <w:p>
      <w:pPr>
        <w:spacing w:after="0" w:beforeAutospacing="0" w:afterAutospacing="0"/>
      </w:pPr>
    </w:p>
    <w:p>
      <w:pPr>
        <w:spacing w:after="0" w:beforeAutospacing="0" w:afterAutospacing="0"/>
      </w:pPr>
      <w:r>
        <w:t>Avloppsförsörjningen kommer att hanteras via en gemensamhetsanläggning, bildad genom lantmäteriförrättning, där en befintlig avloppsledning överförs som fastighetstillbehör. Tillsyn och krav regleras av Miljöbalken, då dagvatten behandlas som avloppsvatten i detta område utanför allmänna verksamhetsområden. En gemensamhetsanläggning säkerställer regelbunden drift, egenkontroll och tillsyn, vilket leder till högre funktionalitet jämfört med befintliga enskilda lösningar. Tillstånd söks hos miljökontoret och bygglov krävs för byggnaden.</w:t>
      </w:r>
    </w:p>
    <w:p>
      <w:pPr>
        <w:spacing w:after="0" w:beforeAutospacing="0" w:afterAutospacing="0"/>
      </w:pPr>
    </w:p>
    <w:p>
      <w:pPr>
        <w:spacing w:after="0" w:beforeAutospacing="0" w:afterAutospacing="0"/>
      </w:pPr>
      <w:r>
        <w:t xml:space="preserve">I samband med bygglovsansökan för planens byggrätter, görs även en lokaliseringsprövning av det enskilda avloppssystem som exploatören avser att bygga ut. Lokaliseringsprövningen utförs med stöd av 2 kap. 2–3 § i PBL medan villkoren för bygglov regleras enligt 4 kap. 14 § PBL. Prövningen skall göras av samhällsbyggnadsnämnden. </w:t>
      </w:r>
    </w:p>
    <w:p>
      <w:pPr>
        <w:spacing w:after="0" w:beforeAutospacing="0" w:afterAutospacing="0"/>
      </w:pPr>
    </w:p>
    <w:p>
      <w:pPr>
        <w:spacing w:after="0" w:beforeAutospacing="0" w:afterAutospacing="0"/>
      </w:pPr>
      <w:r>
        <w:t xml:space="preserve">En lokaliseringsprövning kring enskilt avlopp skall även göras utifrån andra och nionde kapitlet i miljöbalken (MB) i en ansökan till miljö- och hälsoskyddsnämnden: </w:t>
      </w:r>
    </w:p>
    <w:p>
      <w:pPr>
        <w:spacing w:after="0" w:beforeAutospacing="0" w:afterAutospacing="0"/>
      </w:pPr>
    </w:p>
    <w:p>
      <w:pPr>
        <w:pStyle w:val="P12"/>
        <w:numPr>
          <w:ilvl w:val="0"/>
          <w:numId w:val="48"/>
        </w:numPr>
        <w:spacing w:lineRule="auto" w:line="240" w:after="242" w:beforeAutospacing="0" w:afterAutospacing="0"/>
      </w:pPr>
      <w:r>
        <w:t xml:space="preserve">Val av plats för en avloppsanordning ska kunna motiveras med stöd av 2 kap. 6 § i MB som ändamålsenligt, då det ska kunna uppnås med minsta möjliga intrång och olägenhet för människors hälsa och miljön. </w:t>
      </w:r>
    </w:p>
    <w:p>
      <w:pPr>
        <w:pStyle w:val="P12"/>
        <w:numPr>
          <w:ilvl w:val="0"/>
          <w:numId w:val="48"/>
        </w:numPr>
        <w:spacing w:lineRule="auto" w:line="240" w:after="242" w:beforeAutospacing="0" w:afterAutospacing="0"/>
      </w:pPr>
      <w:r>
        <w:t xml:space="preserve">Lokaliseringsprövning skall även göras med stöd av 9 kap 7 § i MB, då avloppsanordningar skall inrättas på sådant sätt att olägenhet för människors hälsa eller miljön inte uppkommer. </w:t>
      </w:r>
    </w:p>
    <w:p>
      <w:pPr>
        <w:tabs>
          <w:tab w:val="left" w:pos="284" w:leader="none"/>
        </w:tabs>
      </w:pPr>
      <w:r>
        <w:t>Utöver en lokaliseringsprövning, görs även en prövning om att försiktighetsmått vidtagits, med stöd av 2 kap. 3 § samt 9 kap. 5§ i MB. Lagstiftningen reglerar alla verksamheter utifrån principen om att försiktighetsmått skall vidtas, samt att bästa möjliga teknik används (VA-utredning Tyréns).</w:t>
      </w:r>
    </w:p>
    <w:p>
      <w:pPr>
        <w:tabs>
          <w:tab w:val="left" w:pos="284" w:leader="none"/>
        </w:tabs>
        <w:rPr>
          <w:b w:val="1"/>
          <w:i w:val="1"/>
          <w:bCs w:val="1"/>
          <w:iCs w:val="1"/>
        </w:rPr>
      </w:pPr>
    </w:p>
    <w:p>
      <w:pPr>
        <w:tabs>
          <w:tab w:val="left" w:pos="284" w:leader="none"/>
        </w:tabs>
        <w:rPr>
          <w:b w:val="1"/>
          <w:i w:val="1"/>
          <w:bCs w:val="1"/>
          <w:iCs w:val="1"/>
        </w:rPr>
      </w:pPr>
      <w:bookmarkEnd w:id="195"/>
      <w:r>
        <w:rPr>
          <w:b w:val="1"/>
          <w:i w:val="1"/>
          <w:bCs w:val="1"/>
          <w:iCs w:val="1"/>
        </w:rPr>
        <w:t>Bedömning/konsekvenser</w:t>
      </w:r>
    </w:p>
    <w:p>
      <w:pPr>
        <w:tabs>
          <w:tab w:val="left" w:pos="284" w:leader="none"/>
        </w:tabs>
      </w:pPr>
      <w:bookmarkStart w:id="196" w:name="ko_vatten01"/>
      <w:r>
        <w:t xml:space="preserve">Sammanfattningsvis bedöms det finnas goda möjligheter att anlägga enskilda vatten- och avloppssystem utan att det innebär någon betydande påverkan på den omgivande mark- och vattenmiljön jämfört med dagens förhållanden. För att få ett fungerande va-system krävs diverse tillstånd innan anläggningarna tas i bruk vilket säkerhetsställer att anläggningarna utförs efter de krav som ställs bland annat utifrån den känsliga naturmiljön i området. Detaljplanen reglerar även att inga startbesked för enbostadshus får ges innan en godkänd va-anläggning kommit till stånd. Anläggningarnas försörjning kommer även säkerhetsställas genom att gemensamhetsanläggningar upprättas för drift och ansvar av anläggningarna. </w:t>
      </w:r>
    </w:p>
    <w:p>
      <w:pPr>
        <w:pStyle w:val="P3"/>
      </w:pPr>
      <w:bookmarkEnd w:id="196"/>
      <w:bookmarkStart w:id="197" w:name="_Toc198806299"/>
      <w:bookmarkStart w:id="198" w:name="_Toc214961344"/>
      <w:r>
        <w:t>El</w:t>
      </w:r>
      <w:bookmarkEnd w:id="197"/>
      <w:bookmarkEnd w:id="198"/>
    </w:p>
    <w:p>
      <w:pPr>
        <w:tabs>
          <w:tab w:val="left" w:pos="284" w:leader="none"/>
        </w:tabs>
        <w:rPr>
          <w:rFonts w:ascii="Calibri" w:hAnsi="Calibri"/>
        </w:rPr>
      </w:pPr>
      <w:bookmarkStart w:id="199" w:name="gf_tekniskafrågor01"/>
      <w:r>
        <w:rPr>
          <w:rFonts w:ascii="Calibri" w:hAnsi="Calibri"/>
        </w:rPr>
        <w:t>Vattenfall är huvudman för det allmänna elnätet i området och ansvarar därmed för drift och underhåll fram till anvisade anslutningspunkter. Befintlig transformatorstation föreslås i planförslaget att flytta väster ut för att möjliggöra kvartersmark för bostäder.</w:t>
      </w:r>
    </w:p>
    <w:p>
      <w:pPr>
        <w:pStyle w:val="P3"/>
      </w:pPr>
      <w:bookmarkEnd w:id="199"/>
      <w:bookmarkStart w:id="200" w:name="_Toc198806300"/>
      <w:bookmarkStart w:id="201" w:name="_Toc214961345"/>
      <w:r>
        <w:t>Tele och fiber</w:t>
      </w:r>
      <w:bookmarkEnd w:id="200"/>
      <w:bookmarkEnd w:id="201"/>
    </w:p>
    <w:p>
      <w:pPr>
        <w:tabs>
          <w:tab w:val="left" w:pos="284" w:leader="none"/>
        </w:tabs>
        <w:rPr>
          <w:rFonts w:ascii="Calibri" w:hAnsi="Calibri"/>
        </w:rPr>
      </w:pPr>
      <w:bookmarkStart w:id="202" w:name="gf_tekniskafrågor02"/>
      <w:r>
        <w:rPr>
          <w:rFonts w:ascii="Calibri" w:hAnsi="Calibri"/>
        </w:rPr>
        <w:t>Skanova är huvudman för telenätet och Ödeshögs kommun är huvudman för fibernätet i området. Huvudmännen ansvarar för drift och underhåll fram till anvisade anslutningspunkter.</w:t>
      </w:r>
    </w:p>
    <w:p>
      <w:pPr>
        <w:pStyle w:val="P3"/>
      </w:pPr>
      <w:bookmarkEnd w:id="202"/>
      <w:bookmarkStart w:id="203" w:name="_Toc198806301"/>
      <w:bookmarkStart w:id="204" w:name="_Toc214961346"/>
      <w:r>
        <w:t>Avfall</w:t>
      </w:r>
      <w:bookmarkEnd w:id="203"/>
      <w:bookmarkEnd w:id="204"/>
    </w:p>
    <w:p>
      <w:pPr>
        <w:tabs>
          <w:tab w:val="left" w:pos="284" w:leader="none"/>
        </w:tabs>
        <w:rPr>
          <w:rFonts w:ascii="Calibri" w:hAnsi="Calibri"/>
        </w:rPr>
      </w:pPr>
      <w:bookmarkStart w:id="205" w:name="gf_tekniskafrågor03"/>
      <w:r>
        <w:rPr>
          <w:rFonts w:ascii="Calibri" w:hAnsi="Calibri"/>
        </w:rPr>
        <w:t>Avfallshantering kan samordnas inom planområdet, gatuutrymmet är utformat så att hantering av avfall kan ske på ett trafiksäkert sätt även vid upphämtning vid respektive fastighet. Yta för miljöhus har avsatts i planen för del av område som får skötas via samfällighet.</w:t>
      </w:r>
    </w:p>
    <w:p>
      <w:pPr>
        <w:pStyle w:val="P3"/>
      </w:pPr>
      <w:bookmarkEnd w:id="205"/>
      <w:bookmarkStart w:id="206" w:name="_Toc198806302"/>
      <w:bookmarkStart w:id="207" w:name="_Toc214961347"/>
      <w:r>
        <w:t>Postutlämning</w:t>
      </w:r>
      <w:bookmarkEnd w:id="206"/>
      <w:bookmarkEnd w:id="207"/>
    </w:p>
    <w:p>
      <w:pPr>
        <w:spacing w:after="0" w:beforeAutospacing="0" w:afterAutospacing="0"/>
        <w:rPr>
          <w:rFonts w:ascii="Calibri" w:hAnsi="Calibri"/>
        </w:rPr>
      </w:pPr>
      <w:bookmarkStart w:id="208" w:name="gf_tekniskafrågor04"/>
      <w:r>
        <w:rPr>
          <w:rFonts w:ascii="Calibri" w:hAnsi="Calibri"/>
        </w:rPr>
        <w:t>Vid bygglovsprövning granskas hantering av post. Exploatör/fastighetsägare bör</w:t>
      </w:r>
    </w:p>
    <w:p>
      <w:pPr>
        <w:spacing w:after="0" w:beforeAutospacing="0" w:afterAutospacing="0"/>
        <w:rPr>
          <w:rFonts w:ascii="Calibri" w:hAnsi="Calibri"/>
        </w:rPr>
      </w:pPr>
      <w:r>
        <w:rPr>
          <w:rFonts w:ascii="Calibri" w:hAnsi="Calibri"/>
        </w:rPr>
        <w:t>kontakta posten före byggstart. Samling av postlådor vid gemensam plats efterfrågas av Posten.</w:t>
      </w:r>
    </w:p>
    <w:p>
      <w:pPr>
        <w:pStyle w:val="P1"/>
      </w:pPr>
      <w:bookmarkEnd w:id="208"/>
      <w:bookmarkStart w:id="209" w:name="_Toc214961348"/>
      <w:r>
        <w:t>Genomförande av detaljplanen</w:t>
      </w:r>
      <w:bookmarkEnd w:id="209"/>
    </w:p>
    <w:p>
      <w:pPr>
        <w:pStyle w:val="P3"/>
        <w:tabs>
          <w:tab w:val="left" w:pos="284" w:leader="none"/>
        </w:tabs>
        <w:rPr>
          <w:color w:val="000000"/>
        </w:rPr>
      </w:pPr>
      <w:bookmarkStart w:id="210" w:name="_Toc214961349"/>
      <w:r>
        <w:rPr>
          <w:color w:val="000000"/>
        </w:rPr>
        <w:t xml:space="preserve">Tidplan </w:t>
      </w:r>
      <w:r>
        <w:t>för detaljplaneprocessen</w:t>
      </w:r>
      <w:bookmarkEnd w:id="210"/>
    </w:p>
    <w:p>
      <w:pPr>
        <w:tabs>
          <w:tab w:val="left" w:pos="284" w:leader="none"/>
        </w:tabs>
      </w:pPr>
      <w:bookmarkStart w:id="211" w:name="be_ärendeinformation05"/>
      <w:r>
        <w:t>Planarbetet bedrevs enligt reglerna för standardförfarande under samrådet. I samband med granskningen och att en miljökonsekvensbeskrivning tagits fram ändras förfarandet till utökat. Planprocessen beräknas i huvudsak kunna följa nedanstående tidplan. Tidplanen är preliminär och kan förändras under planarbetets gång.</w:t>
      </w:r>
    </w:p>
    <w:p>
      <w:pPr>
        <w:tabs>
          <w:tab w:val="left" w:pos="284" w:leader="none"/>
        </w:tabs>
      </w:pPr>
      <w:r>
        <w:t>Samråd</w:t>
        <w:tab/>
        <w:tab/>
        <w:t>maj 2023</w:t>
      </w:r>
    </w:p>
    <w:p>
      <w:pPr>
        <w:tabs>
          <w:tab w:val="left" w:pos="284" w:leader="none"/>
        </w:tabs>
      </w:pPr>
      <w:r>
        <w:t>Granskning</w:t>
        <w:tab/>
        <w:tab/>
        <w:t>juli-sept 2025</w:t>
      </w:r>
    </w:p>
    <w:p>
      <w:pPr>
        <w:tabs>
          <w:tab w:val="left" w:pos="284" w:leader="none"/>
        </w:tabs>
      </w:pPr>
      <w:r>
        <w:t>Antagande</w:t>
        <w:tab/>
        <w:tab/>
        <w:t xml:space="preserve">november-december 2025 </w:t>
      </w:r>
    </w:p>
    <w:p>
      <w:pPr>
        <w:tabs>
          <w:tab w:val="left" w:pos="284" w:leader="none"/>
        </w:tabs>
      </w:pPr>
      <w:r>
        <w:t>Laga kraft</w:t>
        <w:tab/>
        <w:tab/>
        <w:t>januari 2026</w:t>
      </w:r>
    </w:p>
    <w:p>
      <w:pPr>
        <w:pStyle w:val="P3"/>
        <w:tabs>
          <w:tab w:val="left" w:pos="284" w:leader="none"/>
        </w:tabs>
        <w:rPr>
          <w:color w:val="000000"/>
        </w:rPr>
      </w:pPr>
      <w:bookmarkEnd w:id="211"/>
      <w:bookmarkStart w:id="212" w:name="_Toc214961350"/>
      <w:r>
        <w:rPr>
          <w:color w:val="000000"/>
        </w:rPr>
        <w:t>Genomförandetid</w:t>
      </w:r>
      <w:bookmarkEnd w:id="212"/>
    </w:p>
    <w:p>
      <w:pPr>
        <w:tabs>
          <w:tab w:val="left" w:pos="284" w:leader="none"/>
        </w:tabs>
      </w:pPr>
      <w:bookmarkStart w:id="213" w:name="be_genomförandetid02"/>
      <w:r>
        <w:t>Planens genomförandetid 5 år från den dag planen vinner laga kraft.</w:t>
      </w:r>
    </w:p>
    <w:p>
      <w:pPr>
        <w:tabs>
          <w:tab w:val="left" w:pos="284" w:leader="none"/>
        </w:tabs>
      </w:pPr>
      <w:r>
        <w:t>Under genomförandetiden har fastighetsägare en garanterad rätt att bygga i enlighet med planen och detaljplanen får inte ändras utan att synnerliga skäl föreligger. Efter genomförandetidens utgång fortsätter planen att gälla, men kan då ändras eller upphävas utan att fastighetsägare har rätt till ersättning för exempelvis förlorad byggrätt.</w:t>
      </w:r>
    </w:p>
    <w:p>
      <w:pPr>
        <w:pStyle w:val="P3"/>
        <w:tabs>
          <w:tab w:val="left" w:pos="284" w:leader="none"/>
        </w:tabs>
        <w:rPr>
          <w:color w:val="000000"/>
        </w:rPr>
      </w:pPr>
      <w:bookmarkEnd w:id="213"/>
      <w:bookmarkStart w:id="214" w:name="_Toc214961351"/>
      <w:r>
        <w:rPr>
          <w:color w:val="000000"/>
        </w:rPr>
        <w:t>Huvudmannaskap</w:t>
      </w:r>
      <w:bookmarkEnd w:id="214"/>
    </w:p>
    <w:p>
      <w:pPr>
        <w:pStyle w:val="P30"/>
        <w:jc w:val="left"/>
        <w:rPr>
          <w:sz w:val="22"/>
          <w:szCs w:val="22"/>
          <w:lang w:val="sv-SE" w:eastAsia="en-US"/>
        </w:rPr>
      </w:pPr>
      <w:bookmarkStart w:id="215" w:name="be_huvudmannaskap01"/>
      <w:r>
        <w:rPr>
          <w:sz w:val="22"/>
          <w:szCs w:val="22"/>
          <w:lang w:val="sv-SE" w:eastAsia="en-US"/>
        </w:rPr>
        <w:t>För de allmänna platserna inom planområdet gäller enskilt huvudmannaskap. Kommunen bedömer att det finns särskilda skäl att tillämpa enskilt huvudmannaskap inom detaljplanen. Området har en landsbygds- och fritidshuskaraktär och utvecklas genom privat initiativ för att möjliggöra nya bostäder i ett kuperat landskap där bebyggelsen anpassas efter terrängen. De allmänna platserna bedöms främst komma att användas av de boende och besökare inom området och har därmed begränsat allmänintresse.</w:t>
      </w:r>
    </w:p>
    <w:p>
      <w:pPr>
        <w:pStyle w:val="P30"/>
        <w:jc w:val="left"/>
        <w:rPr>
          <w:sz w:val="22"/>
          <w:szCs w:val="22"/>
          <w:lang w:val="sv-SE" w:eastAsia="en-US"/>
        </w:rPr>
      </w:pPr>
      <w:r>
        <w:rPr>
          <w:sz w:val="22"/>
          <w:szCs w:val="22"/>
          <w:lang w:val="sv-SE" w:eastAsia="en-US"/>
        </w:rPr>
        <w:t>Förvaltningen av gator och gemensamma ytor kan genom en samfällighetsförening ske på ett mer effektivt och lokalt anpassat sätt, särskilt med hänsyn till områdets topografi och variationer i behov. Ett enskilt huvudmannaskap skapar också en enhetlig och tydlig förvaltningsorganisation eftersom området saknar tidigare kommunala strukturer och liknande närliggande område också bedrivs med enskilts huvudmannskap.</w:t>
      </w:r>
    </w:p>
    <w:p>
      <w:pPr>
        <w:pStyle w:val="P30"/>
        <w:jc w:val="left"/>
        <w:rPr>
          <w:sz w:val="22"/>
          <w:szCs w:val="22"/>
          <w:lang w:val="sv-SE" w:eastAsia="en-US"/>
        </w:rPr>
      </w:pPr>
      <w:r>
        <w:rPr>
          <w:sz w:val="22"/>
          <w:szCs w:val="22"/>
          <w:lang w:val="sv-SE" w:eastAsia="en-US"/>
        </w:rPr>
        <w:t>Sammantaget bedömer kommunen att enskilt huvudmannaskap är den mest ändamålsenliga och långsiktigt hållbara lösningen för detaljplaneområdet.</w:t>
      </w:r>
    </w:p>
    <w:p>
      <w:pPr>
        <w:tabs>
          <w:tab w:val="left" w:pos="284" w:leader="none"/>
        </w:tabs>
      </w:pPr>
      <w:bookmarkEnd w:id="215"/>
    </w:p>
    <w:p>
      <w:pPr>
        <w:pStyle w:val="P3"/>
        <w:tabs>
          <w:tab w:val="left" w:pos="284" w:leader="none"/>
        </w:tabs>
        <w:rPr>
          <w:color w:val="000000"/>
        </w:rPr>
      </w:pPr>
      <w:bookmarkStart w:id="216" w:name="_Toc214961352"/>
      <w:r>
        <w:rPr>
          <w:color w:val="000000"/>
        </w:rPr>
        <w:t>Avtal</w:t>
      </w:r>
      <w:bookmarkEnd w:id="216"/>
    </w:p>
    <w:p>
      <w:pPr>
        <w:tabs>
          <w:tab w:val="left" w:pos="284" w:leader="none"/>
        </w:tabs>
      </w:pPr>
      <w:bookmarkStart w:id="217" w:name="gf_exploateringsavtal01"/>
      <w:r>
        <w:t xml:space="preserve">Inför starten av planarbetet tecknades ett planavtal mellan Ödeshögs kommun och fastighetsägaren till Hårstorp 1:7 och 1:10. Avtalet reglerar fördelning av ansvar och kostnader kopplade till upprättande av detaljplanen.  Efter en tid har ytterligare två avtal skrivits med fastighetsägaren för Hårstorp 1:11 och 1:12 samt fastighetsägaren för Hårstorp 1:3 och 1:9. Inför antagande av detaljplan ska exploateringsavtal med exploatörerna träffas. </w:t>
      </w:r>
    </w:p>
    <w:p>
      <w:pPr>
        <w:pStyle w:val="P3"/>
      </w:pPr>
      <w:bookmarkEnd w:id="217"/>
      <w:bookmarkStart w:id="218" w:name="_Toc214961353"/>
      <w:r>
        <w:t>Regleringar i detaljplanen för att få starta husbyggnation</w:t>
      </w:r>
      <w:bookmarkEnd w:id="218"/>
    </w:p>
    <w:p>
      <w:pPr>
        <w:tabs>
          <w:tab w:val="left" w:pos="284" w:leader="none"/>
        </w:tabs>
      </w:pPr>
      <w:bookmarkStart w:id="219" w:name="gf_annat01"/>
      <w:r>
        <w:t xml:space="preserve">För att kunna tillskapa ny bebyggelse inom planområdet behöver flera anläggningar komma till stånd.  </w:t>
      </w:r>
    </w:p>
    <w:p>
      <w:pPr>
        <w:tabs>
          <w:tab w:val="left" w:pos="284" w:leader="none"/>
        </w:tabs>
      </w:pPr>
      <w:r>
        <w:t>För att få starta byggnation av enbostadshus ställs i planen krav på att reningsverk och vattenanläggning har anlagts och godkänts.</w:t>
      </w:r>
    </w:p>
    <w:p>
      <w:pPr>
        <w:tabs>
          <w:tab w:val="left" w:pos="284" w:leader="none"/>
        </w:tabs>
      </w:pPr>
      <w:r>
        <w:t xml:space="preserve">För att få starta byggnation av enbostadshus ställs i planen även krav på att dagvattenanläggningen har anlagts.  </w:t>
      </w:r>
    </w:p>
    <w:p>
      <w:pPr>
        <w:tabs>
          <w:tab w:val="left" w:pos="284" w:leader="none"/>
        </w:tabs>
      </w:pPr>
      <w:r>
        <w:t xml:space="preserve">Inom planen finns ett avgränsat område för bostad där en mindre markförorening måste tas bort innan startbesked kan lämnas.  </w:t>
      </w:r>
    </w:p>
    <w:p>
      <w:pPr>
        <w:tabs>
          <w:tab w:val="left" w:pos="284" w:leader="none"/>
        </w:tabs>
      </w:pPr>
      <w:r>
        <w:t xml:space="preserve">För mer information, se rubriken </w:t>
      </w:r>
      <w:r>
        <w:rPr>
          <w:i w:val="1"/>
          <w:iCs w:val="1"/>
        </w:rPr>
        <w:t>Villkor för startbesked</w:t>
      </w:r>
      <w:r>
        <w:t>.</w:t>
      </w:r>
    </w:p>
    <w:p>
      <w:pPr>
        <w:pStyle w:val="P3"/>
      </w:pPr>
      <w:bookmarkEnd w:id="219"/>
      <w:bookmarkStart w:id="220" w:name="_Toc214961354"/>
      <w:r>
        <w:t>Exploateringsavtal</w:t>
      </w:r>
      <w:bookmarkEnd w:id="220"/>
      <w:r>
        <w:t xml:space="preserve"> </w:t>
      </w:r>
    </w:p>
    <w:p>
      <w:bookmarkStart w:id="221" w:name="gf_exploateringsavtal02"/>
      <w:r>
        <w:t xml:space="preserve">När en detaljplan vinner laga kraft uppstår en nytta av detaljplanen. Nyttan består främst i att marken inom planområdet ökar i värde då detaljplanen möjliggör avstyckning av ett visst antal bostadstomter. Bostadstomter har i allmänhet ett betydligt högre kvadratmeterpris än vad exempelvis betesmark har. All mark inom planområdet ägs idag av exploatörerna, förutom Hårstorp 1:4. Det innebär att hela nyttan av detaljplanen tillfaller exploatörerna. Kommunen äger heller ingen mark i närområdet, därav ska inga marköverlåtelser mellan Ödeshögs kommun och exploatörer ske. </w:t>
      </w:r>
    </w:p>
    <w:p>
      <w:r>
        <w:t>Vid genomförande av detaljplanen uppstår kostnader av flera slag. Dessa kostnader består bland annat av utbyggnad av allmän plats (främst vägar inom planområdet), anläggande av dagvattendiken och damm samt anläggande av ledningar med mera för allmänt vatten- och spillvatten. Eftersom hela nyttan av detaljplanen tillfaller exploatörerna är utgångspunkten när exploateringsavtalet ska utformas att exploatören ska betala alla kostnader som uppstår i samband med utbyggnaden av planområdet.</w:t>
      </w:r>
    </w:p>
    <w:p>
      <w:r>
        <w:t>Innan detaljplanen antas av samhällsbyggnadsnämnden ska ett bindande exploateringsavtal tecknas mellan Ödeshögs kommun och samtliga exploatörer inom planområdet.</w:t>
      </w:r>
    </w:p>
    <w:p>
      <w:r>
        <w:t>Applicerbara utdrag ur lagtext:</w:t>
      </w:r>
    </w:p>
    <w:p>
      <w:pPr>
        <w:rPr>
          <w:i w:val="1"/>
          <w:iCs w:val="1"/>
        </w:rPr>
      </w:pPr>
      <w:r>
        <w:rPr>
          <w:i w:val="1"/>
          <w:iCs w:val="1"/>
        </w:rPr>
        <w:t>I 1 kap 4 § PBL (Plan och bygglag, 2010:900) definieras ett exploateringsavtal som ett ”avtal om genomförande av en detaljplan och om medfinansieringsersättning mellan en kommun och en byggherre eller en fastighetsägare avseende mark som inte ägs av kommunen […]”.</w:t>
      </w:r>
    </w:p>
    <w:p>
      <w:pPr>
        <w:rPr>
          <w:i w:val="1"/>
          <w:iCs w:val="1"/>
        </w:rPr>
      </w:pPr>
      <w:r>
        <w:rPr>
          <w:i w:val="1"/>
          <w:iCs w:val="1"/>
        </w:rPr>
        <w:t>I 6 kap 40 § PBL anges att ”Ett exploateringsavtal får avse åtagande för en byggherre eller en fastighetsägare att vidta eller finansiera åtgärder för anläggande av gator, vägar och andra allmänna platser och av anläggningar för vattenförsörjning och avlopp samt andra åtgärder. Åtgärderna ska vara nödvändiga för att detaljplanen ska kunna genomföras.”</w:t>
      </w:r>
    </w:p>
    <w:p>
      <w:pPr>
        <w:rPr>
          <w:i w:val="1"/>
          <w:iCs w:val="1"/>
        </w:rPr>
      </w:pPr>
      <w:r>
        <w:t xml:space="preserve">De åtgärder som ingår i exploatörens åtagande ska stå i rimligt förhållande till dennes nytta av planen. </w:t>
      </w:r>
      <w:r>
        <w:rPr>
          <w:i w:val="1"/>
          <w:iCs w:val="1"/>
        </w:rPr>
        <w:t xml:space="preserve"> </w:t>
      </w:r>
    </w:p>
    <w:p>
      <w:pPr>
        <w:tabs>
          <w:tab w:val="left" w:pos="284" w:leader="none"/>
        </w:tabs>
        <w:rPr>
          <w:b w:val="1"/>
          <w:bCs w:val="1"/>
          <w:sz w:val="28"/>
          <w:szCs w:val="28"/>
        </w:rPr>
      </w:pPr>
      <w:r>
        <w:t xml:space="preserve">Innan detaljplanen kan antas av kommunen ska ett exploateringsavtal tecknas mellan Ödeshögs kommun och exploatörerna. Avtalet ska också ha samråtts av kommunstyrelsen.  </w:t>
      </w:r>
    </w:p>
    <w:p>
      <w:pPr>
        <w:tabs>
          <w:tab w:val="left" w:pos="284" w:leader="none"/>
        </w:tabs>
      </w:pPr>
      <w:r>
        <w:t>Avsikten är att exploateringsavtalet som ska tecknas avseende genomförandet av denna detaljplan ska reglera att exploatörerna inom planområdet ska finansiera och ombesörja utbyggnad av:</w:t>
      </w:r>
    </w:p>
    <w:p>
      <w:pPr>
        <w:pStyle w:val="P12"/>
        <w:numPr>
          <w:ilvl w:val="0"/>
          <w:numId w:val="49"/>
        </w:numPr>
        <w:tabs>
          <w:tab w:val="left" w:pos="284" w:leader="none"/>
        </w:tabs>
        <w:spacing w:lineRule="auto" w:line="240" w:beforeAutospacing="0" w:afterAutospacing="0"/>
        <w:rPr>
          <w:b w:val="1"/>
          <w:bCs w:val="1"/>
          <w:sz w:val="28"/>
          <w:szCs w:val="28"/>
        </w:rPr>
      </w:pPr>
      <w:r>
        <w:t>Allmänna vägar: Efter det att allmänna vägar är utbyggda av exploatören ska ansvaret för driften överlämnas till en gemensamhetsanläggning som avses nybildas i en anläggningsförrättning. Det innebär att drift och underhåll av anläggningen kommer att bekostas av fastighetsägarna inom planområdet. Anläggningen överlämnas till gemensamhetsanläggningen utan kostnad. Då Kommunen ej är huvudman för den allmänna platsen/anläggningen ovan avtalas ingen standardnivå.</w:t>
      </w:r>
    </w:p>
    <w:p>
      <w:pPr>
        <w:pStyle w:val="P12"/>
        <w:numPr>
          <w:ilvl w:val="0"/>
          <w:numId w:val="49"/>
        </w:numPr>
        <w:spacing w:lineRule="auto" w:line="240" w:beforeAutospacing="0" w:afterAutospacing="0"/>
      </w:pPr>
      <w:r>
        <w:t xml:space="preserve">Allmän VA-anläggning: </w:t>
      </w:r>
      <w:r>
        <w:rPr>
          <w:szCs w:val="24"/>
        </w:rPr>
        <w:t>Avloppsreningsverk och dricksvattenanläggning med tillhörande ledningar</w:t>
      </w:r>
      <w:r>
        <w:rPr>
          <w:iCs w:val="1"/>
          <w:szCs w:val="24"/>
        </w:rPr>
        <w:t xml:space="preserve">, inklusive erforderliga anordningar för dagvattenavledning i enlighet med ”Fördjupad VA-utredning” daterad 2024-11-19 anläggs av exploatören. </w:t>
      </w:r>
      <w:r>
        <w:t>Efter det att den allmänna VA-anläggningen är utbyggd av exploatören, ska ansvaret för driften överlämnas till en gemensamhetsanläggning som avses nybildas i en anläggningsförrättning. Det innebär att drift och underhåll av anläggningen kommer att bekostas av fastighetsägarna inom planområdet. Anläggningen överlämnas till gemensamhetsanläggningen utan kostnad.</w:t>
      </w:r>
    </w:p>
    <w:p>
      <w:pPr>
        <w:pStyle w:val="P12"/>
        <w:numPr>
          <w:ilvl w:val="0"/>
          <w:numId w:val="49"/>
        </w:numPr>
        <w:spacing w:lineRule="auto" w:line="240" w:beforeAutospacing="0" w:afterAutospacing="0"/>
      </w:pPr>
      <w:r>
        <w:t xml:space="preserve">Allmän dagvattenanläggning: Dagvattendiken och dagvattendamm för rening och fördröjning med tillhörande anläggningar ska anläggas i enlighet med Fördjupad dagvattenutredning 2025-03-31. När anläggningen är utbyggd ska ansvaret för driften överlämnas till en gemensamhetsanläggning som avses nybildas i en anläggningsförrättning. Det innebär att drift och underhåll av anläggningen kommer att bekostas av fastighetsägarna inom planområdet. Anläggningen överlämnas till gemensamhetsanläggningen utan kostnad. </w:t>
      </w:r>
    </w:p>
    <w:p>
      <w:pPr>
        <w:tabs>
          <w:tab w:val="left" w:pos="284" w:leader="none"/>
        </w:tabs>
      </w:pPr>
      <w:r>
        <w:t xml:space="preserve">I Exploateringsavtalet avses även skydd av befintliga värden regleras. Miljökonsekvensbeskrivningen påvisar nödvändiga försiktighetsåtgärder samt åtgärder för att bibehålla/främja värden som ska skyddas vid planens genomförande. Risken att erforderliga åtgärder under genomförandet av detaljplanen uteblir, minskas genom att Kommunen kan komma att ställa ut vite, i enlighet med kommunens riktlinjer för exploateringsavtal, om viss åtgärd inte utförs. Ingen övrig säkerhet planeras avtalas i exploateringsavtalet.  </w:t>
      </w:r>
    </w:p>
    <w:p>
      <w:pPr>
        <w:tabs>
          <w:tab w:val="left" w:pos="284" w:leader="none"/>
        </w:tabs>
      </w:pPr>
      <w:r>
        <w:t>Konsekvensen av att detaljplanen genomförs med stöd av exploateringsavtal är främst att kommunen säkerställer att de allmänna vägar och anläggningar som är en förutsättning för att detaljplanen ska kunna byggas ut, blir utbyggda på exploatörens bekostnad. Risken för att exploateringen inte genomförs helt eller delvis kan som en följd av detta antas minska.</w:t>
      </w:r>
    </w:p>
    <w:p>
      <w:pPr>
        <w:tabs>
          <w:tab w:val="left" w:pos="284" w:leader="none"/>
        </w:tabs>
      </w:pPr>
      <w:r>
        <w:t>Vidare bekostar exploatörerna samtliga förrättningskostnader som uppstår i samband med genomförandet av detaljplanen, vilket kommer behandlas i exploateringsavtalet.</w:t>
      </w:r>
    </w:p>
    <w:p>
      <w:pPr>
        <w:tabs>
          <w:tab w:val="left" w:pos="284" w:leader="none"/>
        </w:tabs>
      </w:pPr>
      <w:r>
        <w:t xml:space="preserve">I Exploateringsavtalet avses regleras huruvida exploatör kommer att betala alternativt inte kräva ersättning för mark som upplåts till förmån för gemensamhetsanläggning.   </w:t>
      </w:r>
    </w:p>
    <w:p>
      <w:pPr>
        <w:tabs>
          <w:tab w:val="left" w:pos="284" w:leader="none"/>
        </w:tabs>
      </w:pPr>
      <w:r>
        <w:t>Exploatörerna ansvar gemensamt för detaljplanens framtagande och genomförande. Att exploatörerna fullt ut ansvarar kommer också att behandlas i exploateringsavtalet.</w:t>
      </w:r>
    </w:p>
    <w:p>
      <w:pPr>
        <w:tabs>
          <w:tab w:val="left" w:pos="284" w:leader="none"/>
        </w:tabs>
      </w:pPr>
      <w:r>
        <w:t xml:space="preserve">Exploatörerna ansvarar gemensamt för att samordna utbyggnaden av området. När detaljplanen har vunnit laga kraft ansöker exploatören om att bilda de gemensamhetsanläggningar, fastigheter och servitut som behövs. Därefter bygger exploatören ut allmän plats och övriga gemensamma anläggningar enligt avtalet. Eventuell etappindelning hanteras av exploatören inom den tid som anges i anläggningsbeslutet.  </w:t>
      </w:r>
    </w:p>
    <w:p>
      <w:pPr>
        <w:pStyle w:val="P2"/>
        <w:tabs>
          <w:tab w:val="left" w:pos="284" w:leader="none"/>
        </w:tabs>
        <w:rPr>
          <w:color w:val="000000"/>
          <w:szCs w:val="28"/>
        </w:rPr>
      </w:pPr>
      <w:bookmarkEnd w:id="221"/>
      <w:bookmarkStart w:id="222" w:name="_Toc214961355"/>
      <w:r>
        <w:rPr>
          <w:color w:val="000000"/>
          <w:szCs w:val="28"/>
        </w:rPr>
        <w:t>Fastighetsrättsliga frågor och konsekvenser</w:t>
      </w:r>
      <w:bookmarkEnd w:id="222"/>
    </w:p>
    <w:p>
      <w:pPr>
        <w:pStyle w:val="P3"/>
        <w:tabs>
          <w:tab w:val="left" w:pos="284" w:leader="none"/>
        </w:tabs>
      </w:pPr>
      <w:bookmarkStart w:id="223" w:name="_Toc214961356"/>
      <w:r>
        <w:t>Ägoförhållanden</w:t>
      </w:r>
      <w:bookmarkEnd w:id="223"/>
    </w:p>
    <w:p>
      <w:pPr>
        <w:tabs>
          <w:tab w:val="left" w:pos="284" w:leader="none"/>
        </w:tabs>
      </w:pPr>
      <w:bookmarkStart w:id="224" w:name="gf_annat02"/>
      <w:r>
        <w:t>Fastigheten:</w:t>
        <w:br w:type="textWrapping"/>
        <w:t>Hårstorp 1:3 – ägs av bränslestationsbolag</w:t>
        <w:br w:type="textWrapping"/>
        <w:t>Hårstorp 1:7 – ägs av bostadsutvecklingsbolag</w:t>
        <w:br w:type="textWrapping"/>
        <w:t>Hårstorp 1:9 – ägs av privatperson</w:t>
        <w:br w:type="textWrapping"/>
        <w:t>Hårstorp 1:10 – ägs av bostadsutvecklingsbolag</w:t>
        <w:br w:type="textWrapping"/>
        <w:t>Hårstorp 1:11 – ägs av motellbolag</w:t>
        <w:br w:type="textWrapping"/>
        <w:t>Hårstorp 1:12 – ägs av motellbolag</w:t>
        <w:br w:type="textWrapping"/>
        <w:t>Del av Hårstorp 1:4 berörs av detaljplanen - ägs av privatperson</w:t>
      </w:r>
    </w:p>
    <w:p>
      <w:pPr>
        <w:pStyle w:val="P3"/>
        <w:tabs>
          <w:tab w:val="left" w:pos="284" w:leader="none"/>
        </w:tabs>
      </w:pPr>
      <w:bookmarkEnd w:id="224"/>
      <w:bookmarkStart w:id="225" w:name="_Toc214961357"/>
      <w:r>
        <w:rPr>
          <w:noProof w:val="1"/>
        </w:rPr>
        <w:drawing>
          <wp:anchor xmlns:wp="http://schemas.openxmlformats.org/drawingml/2006/wordprocessingDrawing" distT="0" distB="0" distL="114300" distR="114300" simplePos="0" relativeHeight="251679749" behindDoc="1" locked="0" layoutInCell="1" allowOverlap="1">
            <wp:simplePos x="0" y="0"/>
            <wp:positionH relativeFrom="margin">
              <wp:align>right</wp:align>
            </wp:positionH>
            <wp:positionV relativeFrom="paragraph">
              <wp:posOffset>198120</wp:posOffset>
            </wp:positionV>
            <wp:extent cx="2733675" cy="5239385"/>
            <wp:effectExtent l="0" t="0" r="9525" b="0"/>
            <wp:wrapTight wrapText="bothSides">
              <wp:wrapPolygon edited="0">
                <wp:start x="0" y="0"/>
                <wp:lineTo x="0" y="21519"/>
                <wp:lineTo x="21525" y="21519"/>
                <wp:lineTo x="21525" y="0"/>
                <wp:lineTo x="0" y="0"/>
              </wp:wrapPolygon>
            </wp:wrapTight>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ildobjekt 48"/>
                    <pic:cNvPicPr/>
                  </pic:nvPicPr>
                  <pic:blipFill dpi="0">
                    <a:blip xmlns:r="http://schemas.openxmlformats.org/officeDocument/2006/relationships" r:embed="Relimage46"/>
                    <a:srcRect/>
                    <a:stretch>
                      <a:fillRect/>
                    </a:stretch>
                  </pic:blipFill>
                  <pic:spPr>
                    <a:xfrm>
                      <a:off x="0" y="0"/>
                      <a:ext cx="2734057" cy="5239482"/>
                    </a:xfrm>
                    <a:prstGeom prst="rect"/>
                  </pic:spPr>
                </pic:pic>
              </a:graphicData>
            </a:graphic>
          </wp:anchor>
        </w:drawing>
      </w:r>
      <w:r>
        <w:t>Bildande av nya fastigheter</w:t>
      </w:r>
      <w:bookmarkEnd w:id="225"/>
    </w:p>
    <w:p>
      <w:pPr>
        <w:tabs>
          <w:tab w:val="left" w:pos="284" w:leader="none"/>
        </w:tabs>
      </w:pPr>
      <w:bookmarkStart w:id="226" w:name="gf_förändradfastighetsindelning01"/>
      <w:r>
        <w:t xml:space="preserve">Detaljplanen möjliggör att ett flertal nya fastigheter kan bildas för bostadsändamål inom planområdet. </w:t>
      </w:r>
    </w:p>
    <w:p>
      <w:pPr>
        <w:tabs>
          <w:tab w:val="left" w:pos="284" w:leader="none"/>
        </w:tabs>
      </w:pPr>
      <w:r>
        <w:t>De allmänna platserna och de E-områden som avser de gemensamma vatten- och avloppsanläggningar inom planområdet bör upplåtas till en gemensamhetsanläggning då de är av stadigvarande betydelse för flera fastigheter, 6 kap. 1 § fastighetsbildningslagen (FBL).</w:t>
      </w:r>
    </w:p>
    <w:p>
      <w:pPr>
        <w:tabs>
          <w:tab w:val="left" w:pos="284" w:leader="none"/>
        </w:tabs>
      </w:pPr>
      <w:r>
        <w:t>Initiativ till avstyckning tas av exploatörerna inom planområdet, 10 kap. 6 § FBL.</w:t>
      </w:r>
      <w:bookmarkEnd w:id="226"/>
    </w:p>
    <w:p>
      <w:pPr>
        <w:pStyle w:val="P3"/>
        <w:tabs>
          <w:tab w:val="left" w:pos="284" w:leader="none"/>
        </w:tabs>
      </w:pPr>
      <w:bookmarkStart w:id="227" w:name="_Toc214961358"/>
      <w:r>
        <w:t>Marköverföringar</w:t>
      </w:r>
      <w:bookmarkEnd w:id="227"/>
      <w:r>
        <w:t xml:space="preserve"> </w:t>
      </w:r>
    </w:p>
    <w:p>
      <w:pPr>
        <w:tabs>
          <w:tab w:val="left" w:pos="284" w:leader="none"/>
        </w:tabs>
      </w:pPr>
      <w:r>
        <w:rPr>
          <w:noProof w:val="1"/>
        </w:rPr>
        <mc:AlternateContent>
          <mc:Choice Requires="wps">
            <w:drawing>
              <wp:anchor xmlns:wp="http://schemas.openxmlformats.org/drawingml/2006/wordprocessingDrawing" distT="0" distB="0" distL="114300" distR="114300" simplePos="0" relativeHeight="21" behindDoc="0" locked="0" layoutInCell="1" allowOverlap="1">
                <wp:simplePos x="0" y="0"/>
                <wp:positionH relativeFrom="column">
                  <wp:posOffset>2952750</wp:posOffset>
                </wp:positionH>
                <wp:positionV relativeFrom="paragraph">
                  <wp:posOffset>654050</wp:posOffset>
                </wp:positionV>
                <wp:extent cx="1800225" cy="1116330"/>
                <wp:effectExtent l="0" t="0" r="28575" b="26670"/>
                <wp:wrapNone/>
                <wp:docPr id="73" name="Textruta 73"/>
                <wp:cNvGraphicFramePr/>
                <a:graphic xmlns:a="http://schemas.openxmlformats.org/drawingml/2006/main">
                  <a:graphicData uri="http://schemas.microsoft.com/office/word/2010/wordprocessingShape">
                    <wps:wsp>
                      <wps:cNvSpPr txBox="1"/>
                      <wps:spPr>
                        <a:xfrm>
                          <a:off x="0" y="0"/>
                          <a:ext cx="1800752" cy="1116354"/>
                        </a:xfrm>
                        <a:prstGeom prst="rect"/>
                        <a:solidFill>
                          <a:schemeClr val="lt1"/>
                        </a:solidFill>
                        <a:ln w="6350">
                          <a:solidFill>
                            <a:prstClr val="black"/>
                          </a:solid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tabs>
                                <w:tab w:val="left" w:pos="284" w:leader="none"/>
                              </w:tabs>
                              <w:rPr>
                                <w:i w:val="1"/>
                                <w:iCs w:val="1"/>
                                <w:sz w:val="18"/>
                                <w:szCs w:val="18"/>
                              </w:rPr>
                            </w:pPr>
                            <w:r>
                              <w:rPr>
                                <w:i w:val="1"/>
                                <w:iCs w:val="1"/>
                                <w:sz w:val="18"/>
                                <w:szCs w:val="18"/>
                              </w:rPr>
                              <w:t>Bild visar området fastighetsgränser</w:t>
                              <w:br w:type="textWrapping"/>
                              <w:t>i jämförelse med detaljplanens planlagda</w:t>
                              <w:br w:type="textWrapping"/>
                              <w:t xml:space="preserve">ytor för bostäder, verksamheter, </w:t>
                              <w:br w:type="textWrapping"/>
                              <w:t>gemensamhetsanläggningar etc.</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73" o:spid="_x0000_s1059" style="position:absolute;width:141.75pt;height:87.9pt;z-index:21;mso-wrap-distance-left:9pt;mso-wrap-distance-top:0pt;mso-wrap-distance-right:9pt;mso-wrap-distance-bottom:0pt;margin-left:232.5pt;margin-top:51.5pt;mso-position-horizontal:absolute;mso-position-horizontal-relative:text;mso-position-vertical:absolute;mso-position-vertical-relative:text" o:allowincell="t" fillcolor="#FFFFFF" strokecolor="#000000" strokeweight="0.5pt" stroked="t">
                <v:textbox inset="3mm,1mm,3mm,1mm">
                  <w:txbxContent>
                    <w:p>
                      <w:pPr>
                        <w:tabs>
                          <w:tab w:val="left" w:pos="284" w:leader="none"/>
                        </w:tabs>
                        <w:rPr>
                          <w:i w:val="1"/>
                          <w:iCs w:val="1"/>
                          <w:sz w:val="18"/>
                          <w:szCs w:val="18"/>
                        </w:rPr>
                      </w:pPr>
                      <w:r>
                        <w:rPr>
                          <w:i w:val="1"/>
                          <w:iCs w:val="1"/>
                          <w:sz w:val="18"/>
                          <w:szCs w:val="18"/>
                        </w:rPr>
                        <w:t>Bild visar området fastighetsgränser</w:t>
                        <w:br w:type="textWrapping"/>
                        <w:t>i jämförelse med detaljplanens planlagda</w:t>
                        <w:br w:type="textWrapping"/>
                        <w:t xml:space="preserve">ytor för bostäder, verksamheter, </w:t>
                        <w:br w:type="textWrapping"/>
                        <w:t>gemensamhetsanläggningar etc.</w:t>
                      </w:r>
                    </w:p>
                    <w:p/>
                  </w:txbxContent>
                </v:textbox>
              </v:shape>
            </w:pict>
          </mc:Fallback>
        </mc:AlternateContent>
      </w:r>
      <w:bookmarkStart w:id="228" w:name="gf_förändradfastighetsindelning02"/>
      <w:r>
        <w:t xml:space="preserve">Detaljplanen möjliggör att fastigheterna inom planområdet kan överföra mark mellan varandra genom fastighetsreglering. </w:t>
      </w:r>
    </w:p>
    <w:p>
      <w:pPr>
        <w:tabs>
          <w:tab w:val="left" w:pos="284" w:leader="none"/>
        </w:tabs>
        <w:rPr>
          <w:i w:val="1"/>
          <w:iCs w:val="1"/>
        </w:rPr>
      </w:pPr>
      <w:r>
        <w:rPr>
          <w:i w:val="1"/>
          <w:iCs w:val="1"/>
        </w:rPr>
        <w:t>Hårstorp 1:7</w:t>
      </w:r>
    </w:p>
    <w:p>
      <w:pPr>
        <w:tabs>
          <w:tab w:val="left" w:pos="284" w:leader="none"/>
        </w:tabs>
      </w:pPr>
      <w:r>
        <w:t xml:space="preserve">Fastigheten förslås styckas av till 14 fastigheter för bostäder. Utöver detta kommer gemensamhetsanläggning för gata och natur samt avloppsreningsverk, vattenanläggning och  miljöhus att bildas. Ett mindre markområde på fastigheten Hårstorp 1:7, norr om drivmedelstationen, föreslås överföras till fastigheten Hårstorp 1:3 då Hårstorp 1:3 använder detta område idag. Markområdet är planlagt för drivmedel/detaljhandel utan byggrätt och kommande bostadstomt norr om platsen behöver bilda servitut för att nå bostadsfastigheten.</w:t>
      </w:r>
    </w:p>
    <w:p>
      <w:pPr>
        <w:tabs>
          <w:tab w:val="left" w:pos="284" w:leader="none"/>
        </w:tabs>
        <w:rPr>
          <w:i w:val="1"/>
          <w:iCs w:val="1"/>
        </w:rPr>
      </w:pPr>
      <w:r>
        <w:rPr>
          <w:i w:val="1"/>
          <w:iCs w:val="1"/>
        </w:rPr>
        <w:t>Hårstorp 1:3</w:t>
      </w:r>
    </w:p>
    <w:p>
      <w:pPr>
        <w:tabs>
          <w:tab w:val="left" w:pos="284" w:leader="none"/>
        </w:tabs>
      </w:pPr>
      <w:r>
        <w:t>Fastigheten utökas i norr med befintlig parkeringsyta som ligger på Hårstorp 1:7. Delar av fastigheten i östra delen kommer tillfalla gemensamhetsanläggning för natur.</w:t>
      </w:r>
    </w:p>
    <w:p>
      <w:pPr>
        <w:tabs>
          <w:tab w:val="left" w:pos="284" w:leader="none"/>
        </w:tabs>
        <w:rPr>
          <w:i w:val="1"/>
          <w:iCs w:val="1"/>
        </w:rPr>
      </w:pPr>
      <w:r>
        <w:rPr>
          <w:i w:val="1"/>
          <w:iCs w:val="1"/>
        </w:rPr>
        <w:t>Hårstorp 1:10</w:t>
      </w:r>
    </w:p>
    <w:p>
      <w:pPr>
        <w:tabs>
          <w:tab w:val="left" w:pos="284" w:leader="none"/>
        </w:tabs>
      </w:pPr>
      <w:r>
        <w:t xml:space="preserve">Fastigheten möjliggörs för avstyckning av fritidsbyggnader, del av marken i nordöst tillfaller gemensamhetsanläggning för natur. </w:t>
      </w:r>
    </w:p>
    <w:p>
      <w:pPr>
        <w:tabs>
          <w:tab w:val="left" w:pos="284" w:leader="none"/>
        </w:tabs>
        <w:rPr>
          <w:b w:val="1"/>
          <w:bCs w:val="1"/>
        </w:rPr>
      </w:pPr>
    </w:p>
    <w:p>
      <w:pPr>
        <w:tabs>
          <w:tab w:val="left" w:pos="284" w:leader="none"/>
        </w:tabs>
        <w:rPr>
          <w:i w:val="1"/>
          <w:iCs w:val="1"/>
        </w:rPr>
      </w:pPr>
      <w:r>
        <w:rPr>
          <w:i w:val="1"/>
          <w:iCs w:val="1"/>
        </w:rPr>
        <w:t>Hårstorp 1:11</w:t>
      </w:r>
    </w:p>
    <w:p>
      <w:pPr>
        <w:tabs>
          <w:tab w:val="left" w:pos="284" w:leader="none"/>
        </w:tabs>
      </w:pPr>
      <w:r>
        <w:t xml:space="preserve">Fastigheten kan styckas av till tre bostadsfastigheter och kommer även innefattas av gemensamhetsanläggning för natur och gata. </w:t>
      </w:r>
    </w:p>
    <w:p>
      <w:pPr>
        <w:tabs>
          <w:tab w:val="left" w:pos="284" w:leader="none"/>
        </w:tabs>
        <w:rPr>
          <w:i w:val="1"/>
          <w:iCs w:val="1"/>
        </w:rPr>
      </w:pPr>
      <w:r>
        <w:rPr>
          <w:i w:val="1"/>
          <w:iCs w:val="1"/>
        </w:rPr>
        <w:t>Hårstorp 1:12</w:t>
      </w:r>
    </w:p>
    <w:p>
      <w:pPr>
        <w:tabs>
          <w:tab w:val="left" w:pos="284" w:leader="none"/>
        </w:tabs>
      </w:pPr>
      <w:r>
        <w:t xml:space="preserve">Fastigheten kan styckas av till tre bostadsfastigheter men då behöver del av Hårstorp 1:7 överföras till 1:12 enligt detaljplan. Fastigheten innefattar ytor för gemensamhetsanläggning för gata och natur. Del av Hårstorp 1:12 i sydöstra hörnet är ej lämplig att stycka av för bostad och tas ej med i planen. </w:t>
      </w:r>
    </w:p>
    <w:p>
      <w:pPr>
        <w:tabs>
          <w:tab w:val="left" w:pos="284" w:leader="none"/>
        </w:tabs>
        <w:rPr>
          <w:i w:val="1"/>
          <w:iCs w:val="1"/>
        </w:rPr>
      </w:pPr>
      <w:r>
        <w:rPr>
          <w:i w:val="1"/>
          <w:iCs w:val="1"/>
        </w:rPr>
        <w:t>Hårstorp 1:9</w:t>
      </w:r>
    </w:p>
    <w:p>
      <w:pPr>
        <w:tabs>
          <w:tab w:val="left" w:pos="284" w:leader="none"/>
        </w:tabs>
      </w:pPr>
      <w:r>
        <w:t>Del av fastigheten som gränsar mot Hårstorp 1:12 planläggs och möjliggör avstyckning för enbostadshus. Även norr om tänkt avstyckad fastighet hamnar gata som ska ingå i gemensamhetsanläggningen, resterande del av fastigheten där en bostad finns hamnar utanför planområdet.</w:t>
      </w:r>
    </w:p>
    <w:p>
      <w:pPr>
        <w:tabs>
          <w:tab w:val="left" w:pos="284" w:leader="none"/>
        </w:tabs>
      </w:pPr>
      <w:r>
        <w:t>Eventuella marköverföringar sker på fastighetsägarnas initiativ enligt 5 kap. 3 § FBL.</w:t>
      </w:r>
    </w:p>
    <w:p>
      <w:pPr>
        <w:tabs>
          <w:tab w:val="left" w:pos="284" w:leader="none"/>
        </w:tabs>
        <w:rPr>
          <w:rFonts w:ascii="Calibri" w:hAnsi="Calibri"/>
          <w:b w:val="1"/>
          <w:bCs w:val="1"/>
        </w:rPr>
      </w:pPr>
      <w:bookmarkEnd w:id="228"/>
      <w:r>
        <w:rPr>
          <w:rFonts w:ascii="Calibri" w:hAnsi="Calibri"/>
          <w:b w:val="1"/>
          <w:bCs w:val="1"/>
        </w:rPr>
        <w:t>Inom planområdet finns följande rättigheter:</w:t>
      </w:r>
    </w:p>
    <w:tbl>
      <w:tblPr>
        <w:tblStyle w:val="T10"/>
        <w:tblW w:w="0" w:type="auto"/>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ook w:val="04A0"/>
      </w:tblPr>
      <w:tblGrid/>
      <w:tr>
        <w:tc>
          <w:tcPr>
            <w:tcW w:w="1093" w:type="dxa"/>
          </w:tcPr>
          <w:p>
            <w:pPr>
              <w:tabs>
                <w:tab w:val="left" w:pos="284" w:leader="none"/>
              </w:tabs>
              <w:rPr>
                <w:rFonts w:eastAsiaTheme="minorEastAsia"/>
                <w:b w:val="1"/>
                <w:bCs w:val="1"/>
              </w:rPr>
            </w:pPr>
            <w:bookmarkStart w:id="229" w:name="gf_rättigheter01"/>
            <w:r>
              <w:rPr>
                <w:rFonts w:eastAsiaTheme="minorEastAsia"/>
                <w:b w:val="1"/>
                <w:bCs w:val="1"/>
              </w:rPr>
              <w:t>Fastighet</w:t>
            </w:r>
          </w:p>
        </w:tc>
        <w:tc>
          <w:tcPr>
            <w:tcW w:w="1098" w:type="dxa"/>
          </w:tcPr>
          <w:p>
            <w:pPr>
              <w:tabs>
                <w:tab w:val="left" w:pos="284" w:leader="none"/>
              </w:tabs>
              <w:rPr>
                <w:rFonts w:eastAsiaTheme="minorEastAsia"/>
                <w:b w:val="1"/>
                <w:bCs w:val="1"/>
              </w:rPr>
            </w:pPr>
            <w:r>
              <w:rPr>
                <w:rFonts w:eastAsiaTheme="minorEastAsia"/>
                <w:b w:val="1"/>
                <w:bCs w:val="1"/>
              </w:rPr>
              <w:t>Rättighet</w:t>
            </w:r>
          </w:p>
        </w:tc>
        <w:tc>
          <w:tcPr>
            <w:tcW w:w="1712" w:type="dxa"/>
          </w:tcPr>
          <w:p>
            <w:pPr>
              <w:tabs>
                <w:tab w:val="left" w:pos="284" w:leader="none"/>
              </w:tabs>
              <w:rPr>
                <w:rFonts w:eastAsiaTheme="minorEastAsia"/>
                <w:b w:val="1"/>
                <w:bCs w:val="1"/>
              </w:rPr>
            </w:pPr>
            <w:r>
              <w:rPr>
                <w:rFonts w:eastAsiaTheme="minorEastAsia"/>
                <w:b w:val="1"/>
                <w:bCs w:val="1"/>
              </w:rPr>
              <w:t>Vad</w:t>
            </w:r>
          </w:p>
        </w:tc>
        <w:tc>
          <w:tcPr>
            <w:tcW w:w="1092" w:type="dxa"/>
          </w:tcPr>
          <w:p>
            <w:pPr>
              <w:tabs>
                <w:tab w:val="left" w:pos="284" w:leader="none"/>
              </w:tabs>
              <w:rPr>
                <w:rFonts w:eastAsiaTheme="minorEastAsia"/>
                <w:b w:val="1"/>
                <w:bCs w:val="1"/>
              </w:rPr>
            </w:pPr>
            <w:r>
              <w:rPr>
                <w:rFonts w:eastAsiaTheme="minorEastAsia"/>
                <w:b w:val="1"/>
                <w:bCs w:val="1"/>
              </w:rPr>
              <w:t>Förmån</w:t>
            </w:r>
          </w:p>
        </w:tc>
        <w:tc>
          <w:tcPr>
            <w:tcW w:w="1372" w:type="dxa"/>
          </w:tcPr>
          <w:p>
            <w:pPr>
              <w:tabs>
                <w:tab w:val="left" w:pos="284" w:leader="none"/>
              </w:tabs>
              <w:rPr>
                <w:rFonts w:eastAsiaTheme="minorEastAsia"/>
                <w:b w:val="1"/>
                <w:bCs w:val="1"/>
              </w:rPr>
            </w:pPr>
            <w:r>
              <w:rPr>
                <w:rFonts w:eastAsiaTheme="minorEastAsia"/>
                <w:b w:val="1"/>
                <w:bCs w:val="1"/>
              </w:rPr>
              <w:t>Belastar</w:t>
            </w:r>
          </w:p>
        </w:tc>
        <w:tc>
          <w:tcPr>
            <w:tcW w:w="1420" w:type="dxa"/>
          </w:tcPr>
          <w:p>
            <w:pPr>
              <w:tabs>
                <w:tab w:val="left" w:pos="284" w:leader="none"/>
              </w:tabs>
              <w:rPr>
                <w:rFonts w:eastAsiaTheme="minorEastAsia"/>
                <w:b w:val="1"/>
                <w:bCs w:val="1"/>
              </w:rPr>
            </w:pPr>
            <w:r>
              <w:rPr>
                <w:rFonts w:eastAsiaTheme="minorEastAsia"/>
                <w:b w:val="1"/>
                <w:bCs w:val="1"/>
              </w:rPr>
              <w:t>Status/Åtgärd</w:t>
            </w:r>
          </w:p>
        </w:tc>
      </w:tr>
      <w:tr>
        <w:tc>
          <w:tcPr>
            <w:tcW w:w="1093" w:type="dxa"/>
          </w:tcPr>
          <w:p>
            <w:pPr>
              <w:tabs>
                <w:tab w:val="left" w:pos="284" w:leader="none"/>
              </w:tabs>
              <w:rPr>
                <w:rFonts w:eastAsiaTheme="minorEastAsia"/>
              </w:rPr>
            </w:pPr>
            <w:r>
              <w:rPr>
                <w:rFonts w:eastAsiaTheme="minorEastAsia"/>
              </w:rPr>
              <w:t>Hårstorp 1:3</w:t>
            </w:r>
          </w:p>
        </w:tc>
        <w:tc>
          <w:tcPr>
            <w:tcW w:w="1098" w:type="dxa"/>
          </w:tcPr>
          <w:p>
            <w:pPr>
              <w:tabs>
                <w:tab w:val="left" w:pos="284" w:leader="none"/>
              </w:tabs>
              <w:rPr>
                <w:rFonts w:eastAsiaTheme="minorEastAsia"/>
              </w:rPr>
            </w:pPr>
            <w:r>
              <w:rPr>
                <w:rFonts w:eastAsiaTheme="minorEastAsia"/>
              </w:rPr>
              <w:t>05-ÖDJ-796.3</w:t>
            </w:r>
          </w:p>
        </w:tc>
        <w:tc>
          <w:tcPr>
            <w:tcW w:w="1712" w:type="dxa"/>
          </w:tcPr>
          <w:p>
            <w:pPr>
              <w:tabs>
                <w:tab w:val="left" w:pos="284" w:leader="none"/>
              </w:tabs>
              <w:rPr>
                <w:rFonts w:eastAsiaTheme="minorEastAsia"/>
              </w:rPr>
            </w:pPr>
            <w:r>
              <w:rPr>
                <w:rFonts w:eastAsiaTheme="minorEastAsia"/>
              </w:rPr>
              <w:t>Officialservitut Väg</w:t>
            </w:r>
          </w:p>
        </w:tc>
        <w:tc>
          <w:tcPr>
            <w:tcW w:w="1092" w:type="dxa"/>
          </w:tcPr>
          <w:p>
            <w:pPr>
              <w:tabs>
                <w:tab w:val="left" w:pos="284" w:leader="none"/>
              </w:tabs>
              <w:rPr>
                <w:rFonts w:eastAsiaTheme="minorEastAsia"/>
              </w:rPr>
            </w:pPr>
            <w:r>
              <w:rPr>
                <w:rFonts w:eastAsiaTheme="minorEastAsia"/>
              </w:rPr>
              <w:t>Hårstorp 1:3</w:t>
            </w:r>
          </w:p>
        </w:tc>
        <w:tc>
          <w:tcPr>
            <w:tcW w:w="1372" w:type="dxa"/>
          </w:tcPr>
          <w:p>
            <w:pPr>
              <w:tabs>
                <w:tab w:val="left" w:pos="284" w:leader="none"/>
              </w:tabs>
              <w:rPr>
                <w:rFonts w:eastAsiaTheme="minorEastAsia"/>
              </w:rPr>
            </w:pPr>
            <w:r>
              <w:rPr>
                <w:rFonts w:eastAsiaTheme="minorEastAsia"/>
              </w:rPr>
              <w:t>Hårstorp 1:7</w:t>
            </w:r>
          </w:p>
        </w:tc>
        <w:tc>
          <w:tcPr>
            <w:tcW w:w="1420" w:type="dxa"/>
          </w:tcPr>
          <w:p>
            <w:pPr>
              <w:tabs>
                <w:tab w:val="left" w:pos="284" w:leader="none"/>
              </w:tabs>
              <w:rPr>
                <w:rFonts w:eastAsiaTheme="minorEastAsia"/>
              </w:rPr>
            </w:pPr>
            <w:r>
              <w:rPr>
                <w:rFonts w:eastAsiaTheme="minorEastAsia"/>
              </w:rPr>
              <w:t>Servitutet planeras upphöra och ersättas av gemensam-hetsanläggning (ga)</w:t>
            </w:r>
          </w:p>
        </w:tc>
      </w:tr>
      <w:tr>
        <w:tc>
          <w:tcPr>
            <w:tcW w:w="1093" w:type="dxa"/>
          </w:tcPr>
          <w:p>
            <w:pPr>
              <w:tabs>
                <w:tab w:val="left" w:pos="284" w:leader="none"/>
              </w:tabs>
              <w:rPr>
                <w:rFonts w:eastAsiaTheme="minorEastAsia"/>
              </w:rPr>
            </w:pPr>
            <w:r>
              <w:rPr>
                <w:rFonts w:eastAsiaTheme="minorEastAsia"/>
              </w:rPr>
              <w:t>Hårstorp 1:3</w:t>
            </w:r>
          </w:p>
        </w:tc>
        <w:tc>
          <w:tcPr>
            <w:tcW w:w="1098" w:type="dxa"/>
          </w:tcPr>
          <w:p>
            <w:pPr>
              <w:tabs>
                <w:tab w:val="left" w:pos="284" w:leader="none"/>
              </w:tabs>
              <w:rPr>
                <w:rFonts w:eastAsiaTheme="minorEastAsia"/>
              </w:rPr>
            </w:pPr>
            <w:r>
              <w:rPr>
                <w:rFonts w:eastAsiaTheme="minorEastAsia"/>
              </w:rPr>
              <w:t>05-ÖDJ-796.4</w:t>
            </w:r>
          </w:p>
        </w:tc>
        <w:tc>
          <w:tcPr>
            <w:tcW w:w="1712" w:type="dxa"/>
          </w:tcPr>
          <w:p>
            <w:pPr>
              <w:tabs>
                <w:tab w:val="left" w:pos="284" w:leader="none"/>
              </w:tabs>
              <w:rPr>
                <w:rFonts w:eastAsiaTheme="minorEastAsia"/>
              </w:rPr>
            </w:pPr>
            <w:r>
              <w:rPr>
                <w:rFonts w:eastAsiaTheme="minorEastAsia"/>
              </w:rPr>
              <w:t>Officialservitut Väg, Avlopp</w:t>
            </w:r>
          </w:p>
        </w:tc>
        <w:tc>
          <w:tcPr>
            <w:tcW w:w="1092" w:type="dxa"/>
          </w:tcPr>
          <w:p>
            <w:pPr>
              <w:tabs>
                <w:tab w:val="left" w:pos="284" w:leader="none"/>
              </w:tabs>
              <w:rPr>
                <w:rFonts w:eastAsiaTheme="minorEastAsia"/>
              </w:rPr>
            </w:pPr>
            <w:r>
              <w:rPr>
                <w:rFonts w:eastAsiaTheme="minorEastAsia"/>
              </w:rPr>
              <w:t>Hårstorp 1:7</w:t>
            </w:r>
          </w:p>
        </w:tc>
        <w:tc>
          <w:tcPr>
            <w:tcW w:w="1372" w:type="dxa"/>
          </w:tcPr>
          <w:p>
            <w:pPr>
              <w:tabs>
                <w:tab w:val="left" w:pos="284" w:leader="none"/>
              </w:tabs>
              <w:rPr>
                <w:rFonts w:eastAsiaTheme="minorEastAsia"/>
              </w:rPr>
            </w:pPr>
            <w:r>
              <w:rPr>
                <w:rFonts w:eastAsiaTheme="minorEastAsia"/>
              </w:rPr>
              <w:t>Hårstorp 1:3</w:t>
            </w:r>
          </w:p>
        </w:tc>
        <w:tc>
          <w:tcPr>
            <w:tcW w:w="1420" w:type="dxa"/>
          </w:tcPr>
          <w:p>
            <w:pPr>
              <w:tabs>
                <w:tab w:val="left" w:pos="284" w:leader="none"/>
              </w:tabs>
              <w:rPr>
                <w:rFonts w:eastAsiaTheme="minorEastAsia"/>
              </w:rPr>
            </w:pPr>
            <w:r>
              <w:rPr>
                <w:rFonts w:eastAsiaTheme="minorEastAsia"/>
              </w:rPr>
              <w:t>Servituten planeras upphöra och ersättas av ga</w:t>
            </w:r>
          </w:p>
        </w:tc>
      </w:tr>
      <w:tr>
        <w:tc>
          <w:tcPr>
            <w:tcW w:w="1093" w:type="dxa"/>
          </w:tcPr>
          <w:p>
            <w:pPr>
              <w:tabs>
                <w:tab w:val="left" w:pos="284" w:leader="none"/>
              </w:tabs>
              <w:rPr>
                <w:rFonts w:eastAsiaTheme="minorEastAsia"/>
              </w:rPr>
            </w:pPr>
            <w:r>
              <w:rPr>
                <w:rFonts w:eastAsiaTheme="minorEastAsia"/>
              </w:rPr>
              <w:t xml:space="preserve">Hårstorp </w:t>
            </w:r>
          </w:p>
          <w:p>
            <w:pPr>
              <w:tabs>
                <w:tab w:val="left" w:pos="284" w:leader="none"/>
              </w:tabs>
              <w:rPr>
                <w:rFonts w:eastAsiaTheme="minorEastAsia"/>
              </w:rPr>
            </w:pPr>
            <w:r>
              <w:rPr>
                <w:rFonts w:eastAsiaTheme="minorEastAsia"/>
              </w:rPr>
              <w:t>1:3</w:t>
            </w:r>
          </w:p>
        </w:tc>
        <w:tc>
          <w:tcPr>
            <w:tcW w:w="1098" w:type="dxa"/>
          </w:tcPr>
          <w:p>
            <w:pPr>
              <w:tabs>
                <w:tab w:val="left" w:pos="284" w:leader="none"/>
              </w:tabs>
              <w:rPr>
                <w:rFonts w:eastAsiaTheme="minorEastAsia"/>
              </w:rPr>
            </w:pPr>
            <w:r>
              <w:rPr>
                <w:rFonts w:eastAsiaTheme="minorEastAsia"/>
              </w:rPr>
              <w:t>07/23082</w:t>
            </w:r>
          </w:p>
        </w:tc>
        <w:tc>
          <w:tcPr>
            <w:tcW w:w="1712" w:type="dxa"/>
          </w:tcPr>
          <w:p>
            <w:pPr>
              <w:tabs>
                <w:tab w:val="left" w:pos="284" w:leader="none"/>
              </w:tabs>
              <w:rPr>
                <w:rFonts w:eastAsiaTheme="minorEastAsia"/>
              </w:rPr>
            </w:pPr>
            <w:r>
              <w:rPr>
                <w:rFonts w:eastAsiaTheme="minorEastAsia"/>
              </w:rPr>
              <w:t>Nyttjanderätt in- och utfart</w:t>
            </w:r>
          </w:p>
        </w:tc>
        <w:tc>
          <w:tcPr>
            <w:tcW w:w="1092" w:type="dxa"/>
          </w:tcPr>
          <w:p>
            <w:pPr>
              <w:tabs>
                <w:tab w:val="left" w:pos="284" w:leader="none"/>
              </w:tabs>
              <w:rPr>
                <w:rFonts w:eastAsiaTheme="minorEastAsia"/>
              </w:rPr>
            </w:pPr>
            <w:r>
              <w:rPr>
                <w:rFonts w:eastAsiaTheme="minorEastAsia"/>
              </w:rPr>
              <w:t>Bilisten i Sverige AB</w:t>
            </w:r>
          </w:p>
        </w:tc>
        <w:tc>
          <w:tcPr>
            <w:tcW w:w="1372" w:type="dxa"/>
          </w:tcPr>
          <w:p>
            <w:pPr>
              <w:tabs>
                <w:tab w:val="left" w:pos="284" w:leader="none"/>
              </w:tabs>
              <w:rPr>
                <w:rFonts w:eastAsiaTheme="minorEastAsia"/>
              </w:rPr>
            </w:pPr>
            <w:r>
              <w:rPr>
                <w:rFonts w:eastAsiaTheme="minorEastAsia"/>
              </w:rPr>
              <w:t>Petrol Bensinstation Vida Vättern AB</w:t>
            </w:r>
          </w:p>
        </w:tc>
        <w:tc>
          <w:tcPr>
            <w:tcW w:w="1420" w:type="dxa"/>
          </w:tcPr>
          <w:p>
            <w:pPr>
              <w:tabs>
                <w:tab w:val="left" w:pos="284" w:leader="none"/>
              </w:tabs>
              <w:rPr>
                <w:rFonts w:eastAsiaTheme="minorEastAsia"/>
              </w:rPr>
            </w:pPr>
            <w:r>
              <w:rPr>
                <w:rFonts w:eastAsiaTheme="minorEastAsia"/>
              </w:rPr>
              <w:t>Upphört</w:t>
            </w:r>
          </w:p>
        </w:tc>
      </w:tr>
      <w:tr>
        <w:tc>
          <w:tcPr>
            <w:tcW w:w="1093" w:type="dxa"/>
          </w:tcPr>
          <w:p>
            <w:pPr>
              <w:tabs>
                <w:tab w:val="left" w:pos="284" w:leader="none"/>
              </w:tabs>
              <w:rPr>
                <w:rFonts w:eastAsiaTheme="minorEastAsia"/>
              </w:rPr>
            </w:pPr>
            <w:r>
              <w:rPr>
                <w:rFonts w:eastAsiaTheme="minorEastAsia"/>
              </w:rPr>
              <w:t>Hårstorp 1:7</w:t>
            </w:r>
          </w:p>
        </w:tc>
        <w:tc>
          <w:tcPr>
            <w:tcW w:w="1098" w:type="dxa"/>
          </w:tcPr>
          <w:p>
            <w:pPr>
              <w:tabs>
                <w:tab w:val="left" w:pos="284" w:leader="none"/>
              </w:tabs>
              <w:rPr>
                <w:rFonts w:eastAsiaTheme="minorEastAsia"/>
              </w:rPr>
            </w:pPr>
            <w:r>
              <w:rPr>
                <w:rFonts w:eastAsiaTheme="minorEastAsia"/>
              </w:rPr>
              <w:t>05-ÖDJ-791.2</w:t>
            </w:r>
          </w:p>
        </w:tc>
        <w:tc>
          <w:tcPr>
            <w:tcW w:w="1712" w:type="dxa"/>
          </w:tcPr>
          <w:p>
            <w:pPr>
              <w:tabs>
                <w:tab w:val="left" w:pos="284" w:leader="none"/>
              </w:tabs>
              <w:rPr>
                <w:rFonts w:eastAsiaTheme="minorEastAsia"/>
              </w:rPr>
            </w:pPr>
            <w:r>
              <w:rPr>
                <w:rFonts w:eastAsiaTheme="minorEastAsia"/>
              </w:rPr>
              <w:t>Avstyckning Hårstorp 1:8 samt servitut väg, avlopp</w:t>
            </w:r>
          </w:p>
        </w:tc>
        <w:tc>
          <w:tcPr>
            <w:tcW w:w="1092" w:type="dxa"/>
          </w:tcPr>
          <w:p>
            <w:pPr>
              <w:tabs>
                <w:tab w:val="left" w:pos="284" w:leader="none"/>
              </w:tabs>
              <w:rPr>
                <w:rFonts w:eastAsiaTheme="minorEastAsia"/>
              </w:rPr>
            </w:pPr>
            <w:r>
              <w:rPr>
                <w:rFonts w:eastAsiaTheme="minorEastAsia"/>
              </w:rPr>
              <w:t>Hårstorp 1:8</w:t>
            </w:r>
          </w:p>
        </w:tc>
        <w:tc>
          <w:tcPr>
            <w:tcW w:w="1372" w:type="dxa"/>
          </w:tcPr>
          <w:p>
            <w:pPr>
              <w:tabs>
                <w:tab w:val="left" w:pos="284" w:leader="none"/>
              </w:tabs>
              <w:rPr>
                <w:rFonts w:eastAsiaTheme="minorEastAsia"/>
              </w:rPr>
            </w:pPr>
            <w:r>
              <w:rPr>
                <w:rFonts w:eastAsiaTheme="minorEastAsia"/>
              </w:rPr>
              <w:t>Hårstorp 1:7</w:t>
            </w:r>
          </w:p>
        </w:tc>
        <w:tc>
          <w:tcPr>
            <w:tcW w:w="1420" w:type="dxa"/>
          </w:tcPr>
          <w:p>
            <w:pPr>
              <w:tabs>
                <w:tab w:val="left" w:pos="284" w:leader="none"/>
              </w:tabs>
              <w:rPr>
                <w:rFonts w:eastAsiaTheme="minorEastAsia"/>
              </w:rPr>
            </w:pPr>
            <w:r>
              <w:rPr>
                <w:rFonts w:eastAsiaTheme="minorEastAsia"/>
              </w:rPr>
              <w:t xml:space="preserve">Servitutet för väg justeras och kompletteras  med ga. Servitutet för avlopp kvarstår. </w:t>
            </w:r>
          </w:p>
        </w:tc>
      </w:tr>
      <w:tr>
        <w:tc>
          <w:tcPr>
            <w:tcW w:w="1093" w:type="dxa"/>
          </w:tcPr>
          <w:p>
            <w:pPr>
              <w:tabs>
                <w:tab w:val="left" w:pos="284" w:leader="none"/>
              </w:tabs>
              <w:rPr>
                <w:rFonts w:eastAsiaTheme="minorEastAsia"/>
              </w:rPr>
            </w:pPr>
            <w:r>
              <w:rPr>
                <w:rFonts w:eastAsiaTheme="minorEastAsia"/>
              </w:rPr>
              <w:t>Hårstorp 1:7</w:t>
            </w:r>
          </w:p>
        </w:tc>
        <w:tc>
          <w:tcPr>
            <w:tcW w:w="1098" w:type="dxa"/>
          </w:tcPr>
          <w:p>
            <w:pPr>
              <w:tabs>
                <w:tab w:val="left" w:pos="284" w:leader="none"/>
              </w:tabs>
              <w:rPr>
                <w:rFonts w:eastAsiaTheme="minorEastAsia"/>
              </w:rPr>
            </w:pPr>
            <w:r>
              <w:rPr>
                <w:rFonts w:eastAsiaTheme="minorEastAsia"/>
              </w:rPr>
              <w:t>05-ÖDJ-796</w:t>
            </w:r>
          </w:p>
        </w:tc>
        <w:tc>
          <w:tcPr>
            <w:tcW w:w="1712" w:type="dxa"/>
          </w:tcPr>
          <w:p>
            <w:pPr>
              <w:tabs>
                <w:tab w:val="left" w:pos="284" w:leader="none"/>
              </w:tabs>
              <w:rPr>
                <w:rFonts w:eastAsiaTheme="minorEastAsia"/>
              </w:rPr>
            </w:pPr>
            <w:r>
              <w:rPr>
                <w:rFonts w:eastAsiaTheme="minorEastAsia"/>
              </w:rPr>
              <w:t>Fastighetsreglering (frgl), Servitut vägar</w:t>
            </w:r>
          </w:p>
        </w:tc>
        <w:tc>
          <w:tcPr>
            <w:tcW w:w="1092" w:type="dxa"/>
          </w:tcPr>
          <w:p>
            <w:pPr>
              <w:tabs>
                <w:tab w:val="left" w:pos="284" w:leader="none"/>
              </w:tabs>
              <w:rPr>
                <w:rFonts w:eastAsiaTheme="minorEastAsia"/>
              </w:rPr>
            </w:pPr>
            <w:r>
              <w:rPr>
                <w:rFonts w:eastAsiaTheme="minorEastAsia"/>
              </w:rPr>
              <w:t>Hårstorp 1:2, 1:3, 1:4</w:t>
            </w:r>
          </w:p>
        </w:tc>
        <w:tc>
          <w:tcPr>
            <w:tcW w:w="1372" w:type="dxa"/>
          </w:tcPr>
          <w:p>
            <w:pPr>
              <w:tabs>
                <w:tab w:val="left" w:pos="284" w:leader="none"/>
              </w:tabs>
              <w:rPr>
                <w:rFonts w:eastAsiaTheme="minorEastAsia"/>
              </w:rPr>
            </w:pPr>
            <w:r>
              <w:rPr>
                <w:rFonts w:eastAsiaTheme="minorEastAsia"/>
              </w:rPr>
              <w:t>Hårstorp 1:7</w:t>
            </w:r>
          </w:p>
        </w:tc>
        <w:tc>
          <w:tcPr>
            <w:tcW w:w="1420" w:type="dxa"/>
          </w:tcPr>
          <w:p>
            <w:pPr>
              <w:tabs>
                <w:tab w:val="left" w:pos="284" w:leader="none"/>
              </w:tabs>
              <w:rPr>
                <w:rFonts w:eastAsiaTheme="minorEastAsia"/>
              </w:rPr>
            </w:pPr>
            <w:r>
              <w:rPr>
                <w:rFonts w:eastAsiaTheme="minorEastAsia"/>
              </w:rPr>
              <w:t xml:space="preserve">Servitut för väg avseende 1:4  justeras och kompletteras  med ga. Övriga servitut ersätts av ga.   </w:t>
            </w:r>
          </w:p>
        </w:tc>
      </w:tr>
      <w:tr>
        <w:tc>
          <w:tcPr>
            <w:tcW w:w="1093" w:type="dxa"/>
          </w:tcPr>
          <w:p>
            <w:pPr>
              <w:tabs>
                <w:tab w:val="left" w:pos="284" w:leader="none"/>
              </w:tabs>
              <w:rPr>
                <w:rFonts w:eastAsiaTheme="minorEastAsia"/>
              </w:rPr>
            </w:pPr>
            <w:r>
              <w:rPr>
                <w:rFonts w:eastAsiaTheme="minorEastAsia"/>
              </w:rPr>
              <w:t>Hårstorp 1:7</w:t>
            </w:r>
          </w:p>
        </w:tc>
        <w:tc>
          <w:tcPr>
            <w:tcW w:w="1098" w:type="dxa"/>
          </w:tcPr>
          <w:p>
            <w:pPr>
              <w:tabs>
                <w:tab w:val="left" w:pos="284" w:leader="none"/>
              </w:tabs>
              <w:rPr>
                <w:rFonts w:eastAsiaTheme="minorEastAsia"/>
              </w:rPr>
            </w:pPr>
            <w:r>
              <w:rPr>
                <w:rFonts w:eastAsiaTheme="minorEastAsia"/>
              </w:rPr>
              <w:t>05-ÖDJ-796.2</w:t>
            </w:r>
          </w:p>
        </w:tc>
        <w:tc>
          <w:tcPr>
            <w:tcW w:w="1712" w:type="dxa"/>
          </w:tcPr>
          <w:p>
            <w:pPr>
              <w:tabs>
                <w:tab w:val="left" w:pos="284" w:leader="none"/>
              </w:tabs>
              <w:rPr>
                <w:rFonts w:eastAsiaTheme="minorEastAsia"/>
              </w:rPr>
            </w:pPr>
            <w:r>
              <w:rPr>
                <w:rFonts w:eastAsiaTheme="minorEastAsia"/>
              </w:rPr>
              <w:t>Servitut Vattentäkt</w:t>
            </w:r>
          </w:p>
        </w:tc>
        <w:tc>
          <w:tcPr>
            <w:tcW w:w="1092" w:type="dxa"/>
          </w:tcPr>
          <w:p>
            <w:pPr>
              <w:tabs>
                <w:tab w:val="left" w:pos="284" w:leader="none"/>
              </w:tabs>
              <w:rPr>
                <w:rFonts w:eastAsiaTheme="minorEastAsia"/>
              </w:rPr>
            </w:pPr>
            <w:r>
              <w:rPr>
                <w:rFonts w:eastAsiaTheme="minorEastAsia"/>
              </w:rPr>
              <w:t>Hårstorp 1:7</w:t>
            </w:r>
          </w:p>
        </w:tc>
        <w:tc>
          <w:tcPr>
            <w:tcW w:w="1372" w:type="dxa"/>
          </w:tcPr>
          <w:p>
            <w:pPr>
              <w:tabs>
                <w:tab w:val="left" w:pos="284" w:leader="none"/>
              </w:tabs>
              <w:rPr>
                <w:rFonts w:eastAsiaTheme="minorEastAsia"/>
              </w:rPr>
            </w:pPr>
            <w:r>
              <w:rPr>
                <w:rFonts w:eastAsiaTheme="minorEastAsia"/>
              </w:rPr>
              <w:t>Hårstorp 1:4</w:t>
            </w:r>
          </w:p>
        </w:tc>
        <w:tc>
          <w:tcPr>
            <w:tcW w:w="1420" w:type="dxa"/>
          </w:tcPr>
          <w:p>
            <w:pPr>
              <w:tabs>
                <w:tab w:val="left" w:pos="284" w:leader="none"/>
              </w:tabs>
              <w:rPr>
                <w:rFonts w:eastAsiaTheme="minorEastAsia"/>
              </w:rPr>
            </w:pPr>
            <w:r>
              <w:rPr>
                <w:rFonts w:eastAsiaTheme="minorEastAsia"/>
              </w:rPr>
              <w:t>Servitutet ersätts genom ga</w:t>
            </w:r>
          </w:p>
        </w:tc>
      </w:tr>
      <w:tr>
        <w:tc>
          <w:tcPr>
            <w:tcW w:w="1093" w:type="dxa"/>
          </w:tcPr>
          <w:p>
            <w:pPr>
              <w:tabs>
                <w:tab w:val="left" w:pos="284" w:leader="none"/>
              </w:tabs>
              <w:rPr>
                <w:rFonts w:eastAsiaTheme="minorEastAsia"/>
              </w:rPr>
            </w:pPr>
            <w:r>
              <w:rPr>
                <w:rFonts w:eastAsiaTheme="minorEastAsia"/>
              </w:rPr>
              <w:t>Hårstorp 1:7</w:t>
            </w:r>
          </w:p>
        </w:tc>
        <w:tc>
          <w:tcPr>
            <w:tcW w:w="1098" w:type="dxa"/>
          </w:tcPr>
          <w:p>
            <w:pPr>
              <w:tabs>
                <w:tab w:val="left" w:pos="284" w:leader="none"/>
              </w:tabs>
              <w:rPr>
                <w:rFonts w:eastAsiaTheme="minorEastAsia"/>
              </w:rPr>
            </w:pPr>
            <w:r>
              <w:rPr>
                <w:rFonts w:eastAsiaTheme="minorEastAsia"/>
              </w:rPr>
              <w:t>0509-92-13.3</w:t>
            </w:r>
          </w:p>
        </w:tc>
        <w:tc>
          <w:tcPr>
            <w:tcW w:w="1712" w:type="dxa"/>
          </w:tcPr>
          <w:p>
            <w:pPr>
              <w:tabs>
                <w:tab w:val="left" w:pos="284" w:leader="none"/>
              </w:tabs>
              <w:rPr>
                <w:rFonts w:eastAsiaTheme="minorEastAsia"/>
              </w:rPr>
            </w:pPr>
            <w:r>
              <w:rPr>
                <w:rFonts w:eastAsiaTheme="minorEastAsia"/>
              </w:rPr>
              <w:t>Avstyckning fr. Hårstorp 1:4 samt servitut väg, vatten, brunn</w:t>
            </w:r>
          </w:p>
        </w:tc>
        <w:tc>
          <w:tcPr>
            <w:tcW w:w="1092" w:type="dxa"/>
          </w:tcPr>
          <w:p>
            <w:pPr>
              <w:tabs>
                <w:tab w:val="left" w:pos="284" w:leader="none"/>
              </w:tabs>
              <w:rPr>
                <w:rFonts w:eastAsiaTheme="minorEastAsia"/>
              </w:rPr>
            </w:pPr>
            <w:r>
              <w:rPr>
                <w:rFonts w:eastAsiaTheme="minorEastAsia"/>
              </w:rPr>
              <w:t>Hårstorp 1:9</w:t>
            </w:r>
          </w:p>
        </w:tc>
        <w:tc>
          <w:tcPr>
            <w:tcW w:w="1372" w:type="dxa"/>
          </w:tcPr>
          <w:p>
            <w:pPr>
              <w:tabs>
                <w:tab w:val="left" w:pos="284" w:leader="none"/>
              </w:tabs>
              <w:rPr>
                <w:rFonts w:eastAsiaTheme="minorEastAsia"/>
              </w:rPr>
            </w:pPr>
            <w:r>
              <w:rPr>
                <w:rFonts w:eastAsiaTheme="minorEastAsia"/>
              </w:rPr>
              <w:t>Hårstorp 1:7</w:t>
            </w:r>
          </w:p>
        </w:tc>
        <w:tc>
          <w:tcPr>
            <w:tcW w:w="1420" w:type="dxa"/>
          </w:tcPr>
          <w:p>
            <w:pPr>
              <w:tabs>
                <w:tab w:val="left" w:pos="284" w:leader="none"/>
              </w:tabs>
              <w:rPr>
                <w:rFonts w:eastAsiaTheme="minorEastAsia"/>
              </w:rPr>
            </w:pPr>
            <w:r>
              <w:rPr>
                <w:rFonts w:eastAsiaTheme="minorEastAsia"/>
              </w:rPr>
              <w:t>Servituten ersätts genom ga</w:t>
            </w:r>
          </w:p>
        </w:tc>
      </w:tr>
      <w:tr>
        <w:tc>
          <w:tcPr>
            <w:tcW w:w="1093" w:type="dxa"/>
          </w:tcPr>
          <w:p>
            <w:pPr>
              <w:tabs>
                <w:tab w:val="left" w:pos="284" w:leader="none"/>
              </w:tabs>
              <w:rPr>
                <w:rFonts w:eastAsiaTheme="minorEastAsia"/>
              </w:rPr>
            </w:pPr>
            <w:r>
              <w:rPr>
                <w:rFonts w:eastAsiaTheme="minorEastAsia"/>
              </w:rPr>
              <w:t>Hårstorp 1:7</w:t>
            </w:r>
          </w:p>
        </w:tc>
        <w:tc>
          <w:tcPr>
            <w:tcW w:w="1098" w:type="dxa"/>
          </w:tcPr>
          <w:p>
            <w:pPr>
              <w:tabs>
                <w:tab w:val="left" w:pos="284" w:leader="none"/>
              </w:tabs>
              <w:rPr>
                <w:rFonts w:eastAsiaTheme="minorEastAsia"/>
              </w:rPr>
            </w:pPr>
            <w:r>
              <w:rPr>
                <w:rFonts w:eastAsiaTheme="minorEastAsia"/>
              </w:rPr>
              <w:t>0509-96-23.1</w:t>
            </w:r>
          </w:p>
        </w:tc>
        <w:tc>
          <w:tcPr>
            <w:tcW w:w="1712" w:type="dxa"/>
          </w:tcPr>
          <w:p>
            <w:pPr>
              <w:tabs>
                <w:tab w:val="left" w:pos="284" w:leader="none"/>
              </w:tabs>
              <w:rPr>
                <w:rFonts w:eastAsiaTheme="minorEastAsia"/>
              </w:rPr>
            </w:pPr>
            <w:r>
              <w:rPr>
                <w:rFonts w:eastAsiaTheme="minorEastAsia"/>
              </w:rPr>
              <w:t>Avstyckning fr. Hårstorp 1:4, frgl lotten A och Hårstorp 1:7, servitut väg</w:t>
            </w:r>
          </w:p>
        </w:tc>
        <w:tc>
          <w:tcPr>
            <w:tcW w:w="1092" w:type="dxa"/>
          </w:tcPr>
          <w:p>
            <w:pPr>
              <w:tabs>
                <w:tab w:val="left" w:pos="284" w:leader="none"/>
              </w:tabs>
              <w:rPr>
                <w:rFonts w:eastAsiaTheme="minorEastAsia"/>
              </w:rPr>
            </w:pPr>
            <w:r>
              <w:rPr>
                <w:rFonts w:eastAsiaTheme="minorEastAsia"/>
              </w:rPr>
              <w:t>Hårstorp 1:10</w:t>
            </w:r>
          </w:p>
        </w:tc>
        <w:tc>
          <w:tcPr>
            <w:tcW w:w="1372" w:type="dxa"/>
          </w:tcPr>
          <w:p>
            <w:pPr>
              <w:tabs>
                <w:tab w:val="left" w:pos="284" w:leader="none"/>
              </w:tabs>
              <w:rPr>
                <w:rFonts w:eastAsiaTheme="minorEastAsia"/>
              </w:rPr>
            </w:pPr>
            <w:r>
              <w:rPr>
                <w:rFonts w:eastAsiaTheme="minorEastAsia"/>
              </w:rPr>
              <w:t>Hårstorp 1:7</w:t>
            </w:r>
          </w:p>
        </w:tc>
        <w:tc>
          <w:tcPr>
            <w:tcW w:w="1420" w:type="dxa"/>
          </w:tcPr>
          <w:p>
            <w:pPr>
              <w:tabs>
                <w:tab w:val="left" w:pos="284" w:leader="none"/>
              </w:tabs>
              <w:rPr>
                <w:rFonts w:eastAsiaTheme="minorEastAsia"/>
              </w:rPr>
            </w:pPr>
            <w:r>
              <w:rPr>
                <w:rFonts w:eastAsiaTheme="minorEastAsia"/>
              </w:rPr>
              <w:t>Servitut ersätts genom ga</w:t>
            </w:r>
          </w:p>
        </w:tc>
      </w:tr>
      <w:tr>
        <w:tc>
          <w:tcPr>
            <w:tcW w:w="1093" w:type="dxa"/>
          </w:tcPr>
          <w:p>
            <w:pPr>
              <w:tabs>
                <w:tab w:val="left" w:pos="284" w:leader="none"/>
              </w:tabs>
              <w:rPr>
                <w:rFonts w:eastAsiaTheme="minorEastAsia"/>
              </w:rPr>
            </w:pPr>
            <w:r>
              <w:rPr>
                <w:rFonts w:eastAsiaTheme="minorEastAsia"/>
              </w:rPr>
              <w:t>Hårstorp 1:9</w:t>
            </w:r>
          </w:p>
        </w:tc>
        <w:tc>
          <w:tcPr>
            <w:tcW w:w="1098" w:type="dxa"/>
          </w:tcPr>
          <w:p>
            <w:pPr>
              <w:tabs>
                <w:tab w:val="left" w:pos="284" w:leader="none"/>
              </w:tabs>
              <w:rPr>
                <w:rFonts w:eastAsiaTheme="minorEastAsia"/>
              </w:rPr>
            </w:pPr>
            <w:r>
              <w:rPr>
                <w:rFonts w:eastAsiaTheme="minorEastAsia"/>
              </w:rPr>
              <w:t>0509-92-13</w:t>
            </w:r>
          </w:p>
        </w:tc>
        <w:tc>
          <w:tcPr>
            <w:tcW w:w="1712" w:type="dxa"/>
          </w:tcPr>
          <w:p>
            <w:pPr>
              <w:tabs>
                <w:tab w:val="left" w:pos="284" w:leader="none"/>
              </w:tabs>
              <w:rPr>
                <w:rFonts w:eastAsiaTheme="minorEastAsia"/>
              </w:rPr>
            </w:pPr>
            <w:r>
              <w:rPr>
                <w:rFonts w:eastAsiaTheme="minorEastAsia"/>
              </w:rPr>
              <w:t>Avstyckning från Hårstorp 1:4 samt servitut väg, vatten, brunn</w:t>
            </w:r>
          </w:p>
        </w:tc>
        <w:tc>
          <w:tcPr>
            <w:tcW w:w="1092" w:type="dxa"/>
          </w:tcPr>
          <w:p>
            <w:pPr>
              <w:tabs>
                <w:tab w:val="left" w:pos="284" w:leader="none"/>
              </w:tabs>
              <w:rPr>
                <w:rFonts w:eastAsiaTheme="minorEastAsia"/>
              </w:rPr>
            </w:pPr>
            <w:r>
              <w:rPr>
                <w:rFonts w:eastAsiaTheme="minorEastAsia"/>
              </w:rPr>
              <w:t>Hårstorp 1:9</w:t>
            </w:r>
          </w:p>
        </w:tc>
        <w:tc>
          <w:tcPr>
            <w:tcW w:w="1372" w:type="dxa"/>
          </w:tcPr>
          <w:p>
            <w:pPr>
              <w:tabs>
                <w:tab w:val="left" w:pos="284" w:leader="none"/>
              </w:tabs>
              <w:rPr>
                <w:rFonts w:eastAsiaTheme="minorEastAsia"/>
              </w:rPr>
            </w:pPr>
            <w:r>
              <w:rPr>
                <w:rFonts w:eastAsiaTheme="minorEastAsia"/>
              </w:rPr>
              <w:t>Hårstorp 1:7 och 1:12</w:t>
            </w:r>
          </w:p>
        </w:tc>
        <w:tc>
          <w:tcPr>
            <w:tcW w:w="1420" w:type="dxa"/>
          </w:tcPr>
          <w:p>
            <w:pPr>
              <w:tabs>
                <w:tab w:val="left" w:pos="284" w:leader="none"/>
              </w:tabs>
              <w:rPr>
                <w:rFonts w:eastAsiaTheme="minorEastAsia"/>
              </w:rPr>
            </w:pPr>
            <w:r>
              <w:rPr>
                <w:rFonts w:eastAsiaTheme="minorEastAsia"/>
              </w:rPr>
              <w:t>Servituten ersätts genom ga</w:t>
            </w:r>
          </w:p>
        </w:tc>
      </w:tr>
      <w:tr>
        <w:tc>
          <w:tcPr>
            <w:tcW w:w="1093" w:type="dxa"/>
          </w:tcPr>
          <w:p>
            <w:pPr>
              <w:tabs>
                <w:tab w:val="left" w:pos="284" w:leader="none"/>
              </w:tabs>
              <w:rPr>
                <w:rFonts w:eastAsiaTheme="minorEastAsia"/>
              </w:rPr>
            </w:pPr>
            <w:r>
              <w:rPr>
                <w:rFonts w:eastAsiaTheme="minorEastAsia"/>
              </w:rPr>
              <w:t>Hårstor</w:t>
            </w:r>
          </w:p>
          <w:p>
            <w:pPr>
              <w:tabs>
                <w:tab w:val="left" w:pos="284" w:leader="none"/>
              </w:tabs>
              <w:rPr>
                <w:rFonts w:eastAsiaTheme="minorEastAsia"/>
              </w:rPr>
            </w:pPr>
            <w:r>
              <w:rPr>
                <w:rFonts w:eastAsiaTheme="minorEastAsia"/>
              </w:rPr>
              <w:t>p 1:10</w:t>
            </w:r>
          </w:p>
        </w:tc>
        <w:tc>
          <w:tcPr>
            <w:tcW w:w="1098" w:type="dxa"/>
          </w:tcPr>
          <w:p>
            <w:pPr>
              <w:tabs>
                <w:tab w:val="left" w:pos="284" w:leader="none"/>
              </w:tabs>
              <w:rPr>
                <w:rFonts w:eastAsiaTheme="minorEastAsia"/>
              </w:rPr>
            </w:pPr>
            <w:r>
              <w:rPr>
                <w:rFonts w:eastAsiaTheme="minorEastAsia"/>
              </w:rPr>
              <w:t>0509-96-23</w:t>
            </w:r>
          </w:p>
        </w:tc>
        <w:tc>
          <w:tcPr>
            <w:tcW w:w="1712" w:type="dxa"/>
          </w:tcPr>
          <w:p>
            <w:pPr>
              <w:tabs>
                <w:tab w:val="left" w:pos="284" w:leader="none"/>
              </w:tabs>
              <w:rPr>
                <w:rFonts w:eastAsiaTheme="minorEastAsia"/>
              </w:rPr>
            </w:pPr>
            <w:r>
              <w:rPr>
                <w:rFonts w:eastAsiaTheme="minorEastAsia"/>
              </w:rPr>
              <w:t>Avstyckning fr. Hårstorp 1:4, frgl lotten A och Hårstorp 1:7, servitut väg</w:t>
            </w:r>
          </w:p>
        </w:tc>
        <w:tc>
          <w:tcPr>
            <w:tcW w:w="1092" w:type="dxa"/>
          </w:tcPr>
          <w:p>
            <w:pPr>
              <w:tabs>
                <w:tab w:val="left" w:pos="284" w:leader="none"/>
              </w:tabs>
              <w:rPr>
                <w:rFonts w:eastAsiaTheme="minorEastAsia"/>
              </w:rPr>
            </w:pPr>
            <w:r>
              <w:rPr>
                <w:rFonts w:eastAsiaTheme="minorEastAsia"/>
              </w:rPr>
              <w:t>Hårstorp 1:10</w:t>
            </w:r>
          </w:p>
        </w:tc>
        <w:tc>
          <w:tcPr>
            <w:tcW w:w="1372" w:type="dxa"/>
          </w:tcPr>
          <w:p>
            <w:pPr>
              <w:tabs>
                <w:tab w:val="left" w:pos="284" w:leader="none"/>
              </w:tabs>
              <w:rPr>
                <w:rFonts w:eastAsiaTheme="minorEastAsia"/>
              </w:rPr>
            </w:pPr>
            <w:r>
              <w:rPr>
                <w:rFonts w:eastAsiaTheme="minorEastAsia"/>
              </w:rPr>
              <w:t>Hårstorp 1:7</w:t>
            </w:r>
          </w:p>
        </w:tc>
        <w:tc>
          <w:tcPr>
            <w:tcW w:w="1420" w:type="dxa"/>
          </w:tcPr>
          <w:p>
            <w:pPr>
              <w:tabs>
                <w:tab w:val="left" w:pos="284" w:leader="none"/>
              </w:tabs>
              <w:rPr>
                <w:rFonts w:eastAsiaTheme="minorEastAsia"/>
              </w:rPr>
            </w:pPr>
            <w:r>
              <w:rPr>
                <w:rFonts w:eastAsiaTheme="minorEastAsia"/>
              </w:rPr>
              <w:t>Servitut ersätts genom ga</w:t>
            </w:r>
          </w:p>
        </w:tc>
      </w:tr>
      <w:tr>
        <w:tc>
          <w:tcPr>
            <w:tcW w:w="1093" w:type="dxa"/>
          </w:tcPr>
          <w:p>
            <w:pPr>
              <w:tabs>
                <w:tab w:val="left" w:pos="284" w:leader="none"/>
              </w:tabs>
              <w:rPr>
                <w:rFonts w:eastAsiaTheme="minorEastAsia"/>
              </w:rPr>
            </w:pPr>
            <w:r>
              <w:rPr>
                <w:rFonts w:eastAsiaTheme="minorEastAsia"/>
              </w:rPr>
              <w:t>Hårstorp 1:11</w:t>
            </w:r>
          </w:p>
        </w:tc>
        <w:tc>
          <w:tcPr>
            <w:tcW w:w="1098" w:type="dxa"/>
          </w:tcPr>
          <w:p>
            <w:pPr>
              <w:tabs>
                <w:tab w:val="left" w:pos="284" w:leader="none"/>
              </w:tabs>
              <w:rPr>
                <w:rFonts w:eastAsiaTheme="minorEastAsia"/>
              </w:rPr>
            </w:pPr>
            <w:r>
              <w:rPr>
                <w:rFonts w:eastAsiaTheme="minorEastAsia"/>
              </w:rPr>
              <w:t>0509-98-12</w:t>
            </w:r>
          </w:p>
        </w:tc>
        <w:tc>
          <w:tcPr>
            <w:tcW w:w="1712" w:type="dxa"/>
          </w:tcPr>
          <w:p>
            <w:pPr>
              <w:tabs>
                <w:tab w:val="left" w:pos="284" w:leader="none"/>
              </w:tabs>
              <w:rPr>
                <w:rFonts w:eastAsiaTheme="minorEastAsia"/>
              </w:rPr>
            </w:pPr>
            <w:r>
              <w:rPr>
                <w:rFonts w:eastAsiaTheme="minorEastAsia"/>
              </w:rPr>
              <w:t>Ledningsrätt högspännings-ledningar</w:t>
            </w:r>
          </w:p>
        </w:tc>
        <w:tc>
          <w:tcPr>
            <w:tcW w:w="1092" w:type="dxa"/>
          </w:tcPr>
          <w:p>
            <w:pPr>
              <w:tabs>
                <w:tab w:val="left" w:pos="284" w:leader="none"/>
              </w:tabs>
              <w:rPr>
                <w:rFonts w:eastAsiaTheme="minorEastAsia"/>
              </w:rPr>
            </w:pPr>
            <w:r>
              <w:rPr>
                <w:rFonts w:eastAsiaTheme="minorEastAsia"/>
              </w:rPr>
              <w:t>Vattenfall VätterNät AB</w:t>
            </w:r>
          </w:p>
        </w:tc>
        <w:tc>
          <w:tcPr>
            <w:tcW w:w="1372" w:type="dxa"/>
          </w:tcPr>
          <w:p>
            <w:pPr>
              <w:tabs>
                <w:tab w:val="left" w:pos="284" w:leader="none"/>
              </w:tabs>
              <w:rPr>
                <w:rFonts w:eastAsiaTheme="minorEastAsia"/>
              </w:rPr>
            </w:pPr>
            <w:r>
              <w:rPr>
                <w:rFonts w:eastAsiaTheme="minorEastAsia"/>
              </w:rPr>
              <w:t>Hårstorp 1:11</w:t>
            </w:r>
          </w:p>
        </w:tc>
        <w:tc>
          <w:tcPr>
            <w:tcW w:w="1420" w:type="dxa"/>
          </w:tcPr>
          <w:p>
            <w:pPr>
              <w:tabs>
                <w:tab w:val="left" w:pos="284" w:leader="none"/>
              </w:tabs>
              <w:rPr>
                <w:rFonts w:eastAsiaTheme="minorEastAsia"/>
              </w:rPr>
            </w:pPr>
            <w:r>
              <w:rPr>
                <w:rFonts w:eastAsiaTheme="minorEastAsia"/>
              </w:rPr>
              <w:t xml:space="preserve">Vattenfall Eldistribution upphäver ledningsrätten  </w:t>
            </w:r>
          </w:p>
        </w:tc>
      </w:tr>
      <w:tr>
        <w:tc>
          <w:tcPr>
            <w:tcW w:w="1093" w:type="dxa"/>
          </w:tcPr>
          <w:p>
            <w:pPr>
              <w:tabs>
                <w:tab w:val="left" w:pos="284" w:leader="none"/>
              </w:tabs>
              <w:rPr>
                <w:rFonts w:eastAsiaTheme="minorEastAsia"/>
              </w:rPr>
            </w:pPr>
            <w:r>
              <w:rPr>
                <w:rFonts w:eastAsiaTheme="minorEastAsia"/>
              </w:rPr>
              <w:t>Hårstorp 1:12</w:t>
            </w:r>
          </w:p>
        </w:tc>
        <w:tc>
          <w:tcPr>
            <w:tcW w:w="1098" w:type="dxa"/>
          </w:tcPr>
          <w:p>
            <w:pPr>
              <w:tabs>
                <w:tab w:val="left" w:pos="284" w:leader="none"/>
              </w:tabs>
              <w:rPr>
                <w:rFonts w:eastAsiaTheme="minorEastAsia"/>
              </w:rPr>
            </w:pPr>
            <w:r>
              <w:rPr>
                <w:rFonts w:eastAsiaTheme="minorEastAsia"/>
              </w:rPr>
              <w:t>0509-92-13</w:t>
            </w:r>
          </w:p>
        </w:tc>
        <w:tc>
          <w:tcPr>
            <w:tcW w:w="1712" w:type="dxa"/>
          </w:tcPr>
          <w:p>
            <w:pPr>
              <w:tabs>
                <w:tab w:val="left" w:pos="284" w:leader="none"/>
              </w:tabs>
              <w:rPr>
                <w:rFonts w:eastAsiaTheme="minorEastAsia"/>
              </w:rPr>
            </w:pPr>
            <w:r>
              <w:rPr>
                <w:rFonts w:eastAsiaTheme="minorEastAsia"/>
              </w:rPr>
              <w:t>Avstyckning från Hårstorp 1:4 samt servitut väg, vatten, brunn</w:t>
            </w:r>
          </w:p>
        </w:tc>
        <w:tc>
          <w:tcPr>
            <w:tcW w:w="1092" w:type="dxa"/>
          </w:tcPr>
          <w:p>
            <w:pPr>
              <w:tabs>
                <w:tab w:val="left" w:pos="284" w:leader="none"/>
              </w:tabs>
              <w:rPr>
                <w:rFonts w:eastAsiaTheme="minorEastAsia"/>
              </w:rPr>
            </w:pPr>
            <w:r>
              <w:rPr>
                <w:rFonts w:eastAsiaTheme="minorEastAsia"/>
              </w:rPr>
              <w:t>Hårstorp 1:9</w:t>
            </w:r>
          </w:p>
        </w:tc>
        <w:tc>
          <w:tcPr>
            <w:tcW w:w="1372" w:type="dxa"/>
          </w:tcPr>
          <w:p>
            <w:pPr>
              <w:tabs>
                <w:tab w:val="left" w:pos="284" w:leader="none"/>
              </w:tabs>
              <w:rPr>
                <w:rFonts w:eastAsiaTheme="minorEastAsia"/>
              </w:rPr>
            </w:pPr>
            <w:r>
              <w:rPr>
                <w:rFonts w:eastAsiaTheme="minorEastAsia"/>
              </w:rPr>
              <w:t>Hårstorp 1:12</w:t>
            </w:r>
          </w:p>
        </w:tc>
        <w:tc>
          <w:tcPr>
            <w:tcW w:w="1420" w:type="dxa"/>
          </w:tcPr>
          <w:p>
            <w:pPr>
              <w:tabs>
                <w:tab w:val="left" w:pos="284" w:leader="none"/>
              </w:tabs>
              <w:rPr>
                <w:rFonts w:eastAsiaTheme="minorEastAsia"/>
              </w:rPr>
            </w:pPr>
            <w:r>
              <w:rPr>
                <w:rFonts w:eastAsiaTheme="minorEastAsia"/>
              </w:rPr>
              <w:t>Servituten ersätts genom ga</w:t>
            </w:r>
          </w:p>
        </w:tc>
      </w:tr>
    </w:tbl>
    <w:p>
      <w:pPr>
        <w:tabs>
          <w:tab w:val="left" w:pos="284" w:leader="none"/>
        </w:tabs>
        <w:rPr>
          <w:rFonts w:ascii="Calibri" w:hAnsi="Calibri"/>
        </w:rPr>
      </w:pPr>
    </w:p>
    <w:p>
      <w:pPr>
        <w:tabs>
          <w:tab w:val="left" w:pos="284" w:leader="none"/>
        </w:tabs>
        <w:rPr>
          <w:rFonts w:ascii="Calibri" w:hAnsi="Calibri"/>
        </w:rPr>
      </w:pPr>
      <w:r>
        <w:rPr>
          <w:rFonts w:ascii="Calibri" w:hAnsi="Calibri"/>
        </w:rPr>
        <w:t xml:space="preserve">När det gäller tillkommande rättigheter planeras ett utfartsservitut bildas till förmån för Hårstorp 1:7, belastande Hårstorp 1:3, i enlighet med detaljplanen.  </w:t>
      </w:r>
    </w:p>
    <w:p>
      <w:r>
        <w:rPr>
          <w:noProof w:val="1"/>
          <w:color w:val="000000"/>
        </w:rPr>
        <w:drawing>
          <wp:inline xmlns:wp="http://schemas.openxmlformats.org/drawingml/2006/wordprocessingDrawing" distT="0" distB="0" distL="0" distR="0">
            <wp:extent cx="2813685" cy="3943985"/>
            <wp:effectExtent l="0" t="0" r="5715" b="0"/>
            <wp:docPr id="76" name="Bildobjekt 76" descr="Bild visar översikt över planerad dricksvattenförsörjning inom planområd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Bildobjekt 76" descr="Bild visar översikt över planerad dricksvattenförsörjning inom planområdet. "/>
                    <pic:cNvPicPr/>
                  </pic:nvPicPr>
                  <pic:blipFill dpi="0">
                    <a:blip xmlns:r="http://schemas.openxmlformats.org/officeDocument/2006/relationships" r:embed="Relimage47"/>
                    <a:srcRect/>
                    <a:stretch>
                      <a:fillRect/>
                    </a:stretch>
                  </pic:blipFill>
                  <pic:spPr>
                    <a:xfrm>
                      <a:off x="0" y="0"/>
                      <a:ext cx="2816038" cy="3947116"/>
                    </a:xfrm>
                    <a:prstGeom prst="rect"/>
                  </pic:spPr>
                </pic:pic>
              </a:graphicData>
            </a:graphic>
          </wp:inline>
        </w:drawing>
      </w:r>
    </w:p>
    <w:p>
      <w:pPr>
        <w:tabs>
          <w:tab w:val="left" w:pos="284" w:leader="none"/>
        </w:tabs>
        <w:rPr>
          <w:i w:val="1"/>
          <w:iCs w:val="1"/>
          <w:sz w:val="18"/>
          <w:szCs w:val="18"/>
        </w:rPr>
      </w:pPr>
      <w:r>
        <w:rPr>
          <w:i w:val="1"/>
          <w:iCs w:val="1"/>
          <w:sz w:val="18"/>
          <w:szCs w:val="18"/>
        </w:rPr>
        <w:t xml:space="preserve">Bild visar översiktskarta över området, blått streck visar Vattenfalls ledningsrätt 0509-98-12. Blått streck norr om planen berör inte planen. Rosa visar ledningsdragning av el. rosa stjärna, se akt </w:t>
      </w:r>
      <w:r>
        <w:rPr>
          <w:i w:val="1"/>
          <w:bCs w:val="1"/>
          <w:iCs w:val="1"/>
          <w:sz w:val="18"/>
          <w:szCs w:val="18"/>
        </w:rPr>
        <w:t xml:space="preserve">0509-92-13 Hårstorp 1:12 i matris ovan. </w:t>
      </w:r>
      <w:r>
        <w:rPr>
          <w:i w:val="1"/>
          <w:iCs w:val="1"/>
          <w:sz w:val="18"/>
          <w:szCs w:val="18"/>
        </w:rPr>
        <w:t xml:space="preserve"> </w:t>
      </w:r>
    </w:p>
    <w:p>
      <w:pPr>
        <w:pStyle w:val="P3"/>
      </w:pPr>
      <w:bookmarkEnd w:id="229"/>
      <w:bookmarkStart w:id="230" w:name="_Toc214961359"/>
      <w:r>
        <w:t>Servitut och ledningsrätt</w:t>
      </w:r>
      <w:bookmarkEnd w:id="230"/>
      <w:r>
        <w:t xml:space="preserve"> </w:t>
      </w:r>
    </w:p>
    <w:p>
      <w:pPr>
        <w:tabs>
          <w:tab w:val="left" w:pos="284" w:leader="none"/>
        </w:tabs>
        <w:rPr>
          <w:rFonts w:ascii="Calibri" w:hAnsi="Calibri"/>
        </w:rPr>
      </w:pPr>
      <w:bookmarkStart w:id="231" w:name="gf_rättigheter02"/>
      <w:r>
        <w:rPr>
          <w:rFonts w:ascii="Calibri" w:hAnsi="Calibri"/>
        </w:rPr>
        <w:t>Det finns ett flertal officialservitut som berörs av detaljplanen. Det finns flera officialservitut som avser rätt till väg genom planområdet. Det finns även två officialservitut som är belägna strax utanför planområdet som är till förmån för fastigheten Hårstorp 1:7. Ett av officialservitut avser en vattentäkt och det andra avser en avloppsanläggning. Båda officialservituten är bildade vid en fastighetsreglering år 1986. Officialservituten som avser vattentäkten och avloppsanläggningen kan anses som onyttiga och bör därför upphävas. Likaså bör även officialservituten som avser rätt till väg genom planområdet upphävas då rätt till väg bör i stället säkerställas genom en gemensamhetsanläggning, läs mer under rubriken "Gemensamhetsanläggningar". Upphävande av officialservitut sker genom fastighetsreglering, 5 kap 1 § FBL, och sker på fastighetsägarnas initiativ enligt 5 kap. 3 § FBL.</w:t>
      </w:r>
    </w:p>
    <w:p>
      <w:pPr>
        <w:tabs>
          <w:tab w:val="left" w:pos="284" w:leader="none"/>
        </w:tabs>
        <w:rPr>
          <w:rFonts w:ascii="Calibri" w:hAnsi="Calibri"/>
        </w:rPr>
      </w:pPr>
      <w:r>
        <w:rPr>
          <w:rFonts w:ascii="Calibri" w:hAnsi="Calibri"/>
        </w:rPr>
        <w:t>Det finns inga kända avtalsservitut som påverkas av planförslaget.</w:t>
      </w:r>
    </w:p>
    <w:p>
      <w:pPr>
        <w:tabs>
          <w:tab w:val="left" w:pos="284" w:leader="none"/>
        </w:tabs>
        <w:rPr>
          <w:rFonts w:ascii="Calibri" w:hAnsi="Calibri"/>
        </w:rPr>
      </w:pPr>
      <w:r>
        <w:rPr>
          <w:rFonts w:ascii="Calibri" w:hAnsi="Calibri"/>
        </w:rPr>
        <w:t xml:space="preserve">Den ledningsrätt, </w:t>
      </w:r>
      <w:r>
        <w:rPr>
          <w:rFonts w:ascii="Calibri" w:hAnsi="Calibri"/>
          <w:bCs w:val="1"/>
        </w:rPr>
        <w:t>0509-98-12,</w:t>
      </w:r>
      <w:r>
        <w:rPr>
          <w:rFonts w:ascii="Calibri" w:hAnsi="Calibri"/>
        </w:rPr>
        <w:t xml:space="preserve"> som avser Vattenfall VätterNät ABs högspänningsledningar, som idag belastar Hårstorp 1:11, gäller för en gammal raserad ledning. I maj 2025 meddelade Vattenfall Eldistribution att de skickar in ett ärende till lantmäteriet för att upphäva ledningsrätten. </w:t>
      </w:r>
    </w:p>
    <w:p>
      <w:pPr>
        <w:pStyle w:val="P3"/>
      </w:pPr>
      <w:bookmarkEnd w:id="231"/>
      <w:bookmarkStart w:id="232" w:name="_Toc214961360"/>
      <w:r>
        <w:t>Nyttjanderätter</w:t>
      </w:r>
      <w:bookmarkEnd w:id="232"/>
      <w:r>
        <w:t xml:space="preserve"> </w:t>
      </w:r>
    </w:p>
    <w:p>
      <w:pPr>
        <w:tabs>
          <w:tab w:val="left" w:pos="284" w:leader="none"/>
        </w:tabs>
        <w:rPr>
          <w:rFonts w:ascii="Calibri" w:hAnsi="Calibri"/>
          <w:strike w:val="1"/>
        </w:rPr>
      </w:pPr>
      <w:bookmarkStart w:id="233" w:name="gf_rättigheter03"/>
      <w:r>
        <w:rPr>
          <w:rFonts w:ascii="Calibri" w:hAnsi="Calibri"/>
        </w:rPr>
        <w:t xml:space="preserve">Bilisten i Sverige AB har haft en inskriven nyttjanderätt att få nyttja Petrol Bensinstation Vida Vättern AB:s fastighet Hårstorp 1:3s in- och utfarter. Ägarbyte av fastigheten har skett och nyttjanderätten har därmed upphört. </w:t>
      </w:r>
    </w:p>
    <w:p>
      <w:pPr>
        <w:tabs>
          <w:tab w:val="left" w:pos="284" w:leader="none"/>
        </w:tabs>
        <w:rPr>
          <w:rFonts w:ascii="Calibri" w:hAnsi="Calibri"/>
        </w:rPr>
      </w:pPr>
      <w:r>
        <w:rPr>
          <w:rFonts w:ascii="Calibri" w:hAnsi="Calibri"/>
        </w:rPr>
        <w:t xml:space="preserve">Det finns inga andra kända nyttjanderätter som påverkas av planförslaget. </w:t>
      </w:r>
    </w:p>
    <w:p>
      <w:pPr>
        <w:pStyle w:val="P3"/>
      </w:pPr>
      <w:bookmarkEnd w:id="233"/>
      <w:bookmarkStart w:id="234" w:name="_Toc214961361"/>
      <w:r>
        <w:t>Gemensamhetsanläggningar</w:t>
      </w:r>
      <w:bookmarkEnd w:id="234"/>
    </w:p>
    <w:p>
      <w:pPr>
        <w:tabs>
          <w:tab w:val="left" w:pos="284" w:leader="none"/>
        </w:tabs>
        <w:rPr>
          <w:rFonts w:ascii="Calibri" w:hAnsi="Calibri"/>
        </w:rPr>
      </w:pPr>
      <w:bookmarkStart w:id="235" w:name="gf_gemensamhetsanläggningar01"/>
      <w:r>
        <w:rPr>
          <w:rFonts w:ascii="Calibri" w:hAnsi="Calibri"/>
        </w:rPr>
        <w:t xml:space="preserve">De allmänna platserna gata och natur inom planområdet blir gemensamma för flera fastigheter och tillgodoser ändamål av stadigvarande betydelse för dem. Inom planområdet ska det även vara enskilt huvudmannaskap för de allmänna platserna. Det bör därför inrättas en gemensamhetsanläggning för de allmänna platserna inom planområdet. </w:t>
      </w:r>
    </w:p>
    <w:p>
      <w:pPr>
        <w:tabs>
          <w:tab w:val="left" w:pos="284" w:leader="none"/>
        </w:tabs>
        <w:rPr>
          <w:rFonts w:ascii="Calibri" w:hAnsi="Calibri"/>
        </w:rPr>
      </w:pPr>
      <w:r>
        <w:rPr>
          <w:rFonts w:ascii="Calibri" w:hAnsi="Calibri"/>
        </w:rPr>
        <w:t xml:space="preserve">I planområdet på kvartersmark kommer det även finnas gemensamma vatten- och avloppsanläggningar som är av stadigvarande betydelse för fastigheterna. För dessa </w:t>
      </w:r>
      <w:r>
        <w:rPr>
          <w:rFonts w:ascii="Calibri" w:hAnsi="Calibri"/>
          <w:szCs w:val="24"/>
        </w:rPr>
        <w:t>tekniska anläggningar avloppsreningsverk, dricksvattenhantering och miljöhus</w:t>
      </w:r>
      <w:r>
        <w:rPr>
          <w:rFonts w:ascii="Calibri" w:hAnsi="Calibri"/>
        </w:rPr>
        <w:t xml:space="preserve"> bör även gemensamhetsanläggning inrättas. I plankartan finns det utpekade markreservat för dessa gemensamma anläggningar, dagvattendamm med rening och fördröjning bör ingå i samma gemensamhetsanläggning.</w:t>
      </w:r>
    </w:p>
    <w:p>
      <w:pPr>
        <w:tabs>
          <w:tab w:val="left" w:pos="284" w:leader="none"/>
        </w:tabs>
        <w:rPr>
          <w:rFonts w:ascii="Calibri" w:hAnsi="Calibri"/>
        </w:rPr>
      </w:pPr>
      <w:r>
        <w:rPr>
          <w:rFonts w:ascii="Calibri" w:hAnsi="Calibri"/>
        </w:rPr>
        <w:t>En gemensamhetsanläggning inrättas vid en lantmäteriförrättning, 1 § anläggningslagen (AL), och sker på fastighetsägarnas initiativ enligt 18 § AL.</w:t>
      </w:r>
    </w:p>
    <w:p>
      <w:pPr>
        <w:tabs>
          <w:tab w:val="left" w:pos="284" w:leader="none"/>
        </w:tabs>
        <w:rPr>
          <w:rFonts w:ascii="Calibri" w:hAnsi="Calibri"/>
        </w:rPr>
      </w:pPr>
      <w:r>
        <w:rPr>
          <w:rFonts w:ascii="Calibri" w:hAnsi="Calibri"/>
        </w:rPr>
        <w:t xml:space="preserve">En gemensamhetsanläggning kan förvaltas på två sätt, genom en samfällighetsförening eller genom delägarförvaltning. Delägarförvaltning passar bäst för små gemensamhetsanläggningar eftersom delägarna måste vara överens i alla beslut. Delägarförvaltning innebär även att delägarna förvaltar gemensamhetsanläggningen direkt, utan någon organisation. En samfällighetsförening är en juridisk person har ett organisationsnummer som föreningen tilldelas vid registrering hos Lantmäteriet. Samfällighetsförening passar bäst för större gemensamhetsanläggningar där flera fastigheter har nytta av anläggningen. Vid beslut kopplat till gemensamhetsanläggningen så är det samfällighetsföreningens majoritetsbeslut som avgör. </w:t>
      </w:r>
    </w:p>
    <w:p>
      <w:pPr>
        <w:tabs>
          <w:tab w:val="left" w:pos="284" w:leader="none"/>
        </w:tabs>
        <w:rPr>
          <w:rFonts w:ascii="Calibri" w:hAnsi="Calibri"/>
        </w:rPr>
      </w:pPr>
      <w:r>
        <w:rPr>
          <w:rFonts w:ascii="Calibri" w:hAnsi="Calibri"/>
        </w:rPr>
        <w:t xml:space="preserve">För de gemensamma anläggningarna inom planområdet rekommenderas förvaltningsformen samfällighetsförening då det är flera fastigheter som har nytta av anläggningarna. </w:t>
      </w:r>
    </w:p>
    <w:p>
      <w:pPr>
        <w:pStyle w:val="P3"/>
      </w:pPr>
      <w:bookmarkEnd w:id="235"/>
      <w:bookmarkStart w:id="236" w:name="_Toc214961362"/>
      <w:r>
        <w:t>Bygglov, anmälan och planavgift</w:t>
      </w:r>
      <w:bookmarkEnd w:id="236"/>
    </w:p>
    <w:p>
      <w:pPr>
        <w:tabs>
          <w:tab w:val="left" w:pos="284" w:leader="none"/>
        </w:tabs>
        <w:rPr>
          <w:rFonts w:ascii="Calibri" w:hAnsi="Calibri"/>
        </w:rPr>
      </w:pPr>
      <w:bookmarkStart w:id="237" w:name="gf_planavgift01"/>
      <w:r>
        <w:rPr>
          <w:rFonts w:ascii="Calibri" w:hAnsi="Calibri"/>
        </w:rPr>
        <w:t>Kostnaderna för framtagandet av detaljplanen är reglerad i avtal mellan kommunen och exploatören. Kostnader för anmälan eller avgift för bygglov enligt kommunens Plan- och bygglovstaxa regleras dock inte i planavtalet. Det åligger därför exploatören att ansöka om eventuella bygglov och erlägga bygglovavgift.</w:t>
      </w:r>
    </w:p>
    <w:p>
      <w:pPr>
        <w:pStyle w:val="P2"/>
        <w:tabs>
          <w:tab w:val="left" w:pos="284" w:leader="none"/>
        </w:tabs>
        <w:rPr>
          <w:color w:val="000000"/>
          <w:szCs w:val="28"/>
        </w:rPr>
      </w:pPr>
      <w:bookmarkEnd w:id="237"/>
      <w:bookmarkStart w:id="238" w:name="_Toc214961363"/>
      <w:r>
        <w:rPr>
          <w:color w:val="000000"/>
          <w:szCs w:val="28"/>
        </w:rPr>
        <w:t>Ekonomiska frågor</w:t>
      </w:r>
      <w:bookmarkEnd w:id="238"/>
    </w:p>
    <w:p>
      <w:pPr>
        <w:pStyle w:val="P3"/>
        <w:tabs>
          <w:tab w:val="left" w:pos="284" w:leader="none"/>
        </w:tabs>
        <w:rPr>
          <w:color w:val="000000"/>
        </w:rPr>
      </w:pPr>
      <w:bookmarkStart w:id="239" w:name="_Toc214961364"/>
      <w:r>
        <w:rPr>
          <w:color w:val="000000"/>
        </w:rPr>
        <w:t>Planekonomi</w:t>
      </w:r>
      <w:bookmarkEnd w:id="239"/>
    </w:p>
    <w:p>
      <w:pPr>
        <w:tabs>
          <w:tab w:val="left" w:pos="284" w:leader="none"/>
        </w:tabs>
      </w:pPr>
      <w:bookmarkStart w:id="240" w:name="gf_planekonomiskbedömning01"/>
      <w:r>
        <w:t xml:space="preserve">Kostnaderna för att upprätta detaljplanen regleras i upprättat planavtal mellan Ödeshögs kommun och fastighetsägarna till Hårstorp 1:7, 1:10, 1:3, 1:9, 1:11 och 1:12. </w:t>
      </w:r>
    </w:p>
    <w:p>
      <w:pPr>
        <w:pStyle w:val="P3"/>
        <w:tabs>
          <w:tab w:val="left" w:pos="284" w:leader="none"/>
        </w:tabs>
        <w:rPr>
          <w:color w:val="000000"/>
        </w:rPr>
      </w:pPr>
      <w:bookmarkEnd w:id="240"/>
      <w:bookmarkStart w:id="241" w:name="_Toc132718565"/>
      <w:bookmarkStart w:id="242" w:name="_Toc214961365"/>
      <w:bookmarkStart w:id="243" w:name="_Toc198806412"/>
      <w:r>
        <w:rPr>
          <w:color w:val="000000"/>
        </w:rPr>
        <w:t>Ansvarsfördelning</w:t>
      </w:r>
      <w:bookmarkEnd w:id="241"/>
      <w:bookmarkEnd w:id="242"/>
      <w:bookmarkEnd w:id="243"/>
    </w:p>
    <w:p>
      <w:pPr>
        <w:tabs>
          <w:tab w:val="left" w:pos="284" w:leader="none"/>
        </w:tabs>
      </w:pPr>
      <w:bookmarkStart w:id="244" w:name="gf_annat03"/>
      <w:r>
        <w:t>Exploatören ansvarar för utbyggnad av planområdet och att det finns tillstånd som erfordras i samband med utbyggnad.</w:t>
      </w:r>
    </w:p>
    <w:p>
      <w:pPr>
        <w:pStyle w:val="P1"/>
        <w:tabs>
          <w:tab w:val="left" w:pos="284" w:leader="none"/>
        </w:tabs>
        <w:rPr>
          <w:szCs w:val="36"/>
        </w:rPr>
      </w:pPr>
      <w:bookmarkEnd w:id="244"/>
      <w:bookmarkStart w:id="245" w:name="_Toc132718566"/>
      <w:bookmarkStart w:id="246" w:name="_Toc214961366"/>
      <w:bookmarkStart w:id="247" w:name="_Toc198806413"/>
      <w:r>
        <w:rPr>
          <w:szCs w:val="36"/>
        </w:rPr>
        <w:t>Medverkande tjänstepersoner</w:t>
      </w:r>
      <w:bookmarkEnd w:id="245"/>
      <w:bookmarkEnd w:id="246"/>
      <w:bookmarkEnd w:id="247"/>
      <w:r>
        <w:rPr>
          <w:szCs w:val="36"/>
        </w:rPr>
        <w:t xml:space="preserve"> </w:t>
      </w:r>
    </w:p>
    <w:p>
      <w:pPr>
        <w:tabs>
          <w:tab w:val="left" w:pos="284" w:leader="none"/>
        </w:tabs>
      </w:pPr>
      <w:bookmarkStart w:id="248" w:name="be_ärendeinformation06"/>
      <w:r>
        <w:t>Följande kommunala tjänstepersoner har tagit fram plankarta samt plan- och genomförandebeskrivning:</w:t>
      </w:r>
    </w:p>
    <w:p>
      <w:pPr>
        <w:tabs>
          <w:tab w:val="left" w:pos="284" w:leader="none"/>
        </w:tabs>
        <w:spacing w:lineRule="auto" w:line="360" w:beforeAutospacing="0" w:afterAutospacing="0"/>
      </w:pPr>
      <w:r>
        <w:t>Linus Leion-Welin, samhällsplanerare, Ödeshög kommun</w:t>
        <w:br w:type="textWrapping"/>
        <w:t>Erik Ewö, planarkitekt, Ödeshögs kommun</w:t>
      </w:r>
    </w:p>
    <w:p>
      <w:pPr>
        <w:tabs>
          <w:tab w:val="left" w:pos="284" w:leader="none"/>
        </w:tabs>
        <w:spacing w:lineRule="auto" w:line="360" w:beforeAutospacing="0" w:afterAutospacing="0"/>
      </w:pPr>
      <w:r>
        <w:t xml:space="preserve">Mark- och exploateringsfrågor, konsult på Svefa AB. </w:t>
      </w:r>
    </w:p>
    <w:p>
      <w:pPr>
        <w:tabs>
          <w:tab w:val="left" w:pos="284" w:leader="none"/>
        </w:tabs>
        <w:rPr>
          <w:i w:val="1"/>
          <w:iCs w:val="1"/>
          <w:sz w:val="18"/>
          <w:szCs w:val="18"/>
        </w:rPr>
      </w:pPr>
      <w:bookmarkEnd w:id="248"/>
    </w:p>
    <w:p/>
    <w:sectPr>
      <w:headerReference xmlns:r="http://schemas.openxmlformats.org/officeDocument/2006/relationships" w:type="first" r:id="RelHdr1"/>
      <w:headerReference xmlns:r="http://schemas.openxmlformats.org/officeDocument/2006/relationships" w:type="default" r:id="RelHdr2"/>
      <w:headerReference xmlns:r="http://schemas.openxmlformats.org/officeDocument/2006/relationships" w:type="even" r:id="RelHdr3"/>
      <w:footerReference xmlns:r="http://schemas.openxmlformats.org/officeDocument/2006/relationships" w:type="first" r:id="RelFtr1"/>
      <w:footerReference xmlns:r="http://schemas.openxmlformats.org/officeDocument/2006/relationships" w:type="default" r:id="RelFtr2"/>
      <w:footerReference xmlns:r="http://schemas.openxmlformats.org/officeDocument/2006/relationships" w:type="even" r:id="RelFtr3"/>
      <w:footnotePr/>
      <w:endnotePr/>
      <w:type w:val="nextPage"/>
      <w:pgSz w:w="11906" w:h="16838" w:code="0"/>
      <w:pgMar w:left="1701" w:right="2835" w:top="2268" w:bottom="1701" w:header="1021" w:footer="624" w:gutter="0"/>
      <w:cols w:equalWidth="1" w:space="284"/>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endnote>
  <w:endnote w:type="continuationSeparator" w:id="0">
    <w:p>
      <w:r>
        <w:continuationSeparator/>
      </w:r>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spacing w:lineRule="auto" w:line="240" w:beforeAutospacing="0" w:afterAutospacing="0"/>
      <w:rPr>
        <w:sz w:val="2"/>
        <w:szCs w:val="2"/>
      </w:rPr>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pBdr>
        <w:top w:val="single" w:sz="8" w:space="6" w:shadow="0" w:frame="0" w:color="F9B000" w:themeColor="accent1"/>
        <w:left w:val="none" w:sz="0" w:space="0" w:shadow="0" w:frame="0" w:color="auto"/>
        <w:bottom w:val="none" w:sz="0" w:space="0" w:shadow="0" w:frame="0" w:color="auto"/>
        <w:right w:val="none" w:sz="0" w:space="0" w:shadow="0" w:frame="0" w:color="auto"/>
        <w:between w:val="none" w:sz="0" w:space="0" w:shadow="0" w:frame="0" w:color="auto"/>
      </w:pBdr>
      <w:tabs>
        <w:tab w:val="clear" w:pos="9072" w:leader="none"/>
      </w:tabs>
      <w:ind w:left="-680" w:right="-1814"/>
      <w:jc w:val="center"/>
    </w:pPr>
    <w:r>
      <w:fldChar w:fldCharType="begin"/>
    </w:r>
    <w:r>
      <w:instrText xml:space="preserve"> PAGE   \* MERGEFORMAT </w:instrText>
    </w:r>
    <w:r>
      <w:fldChar w:fldCharType="separate"/>
    </w:r>
    <w:r>
      <w:t>#</w:t>
    </w:r>
    <w:r>
      <w:fldChar w:fldCharType="end"/>
    </w:r>
    <w:r>
      <w:t xml:space="preserve"> </w:t>
    </w:r>
    <w:r>
      <w:t>(</w:t>
    </w:r>
    <w:r>
      <w:fldChar w:fldCharType="begin"/>
    </w:r>
    <w:r>
      <w:instrText xml:space="preserve"> NUMPAGES   \* MERGEFORMAT </w:instrText>
    </w:r>
    <w:r>
      <w:fldChar w:fldCharType="separate"/>
    </w:r>
    <w:r>
      <w:t>#</w:t>
    </w:r>
    <w:r>
      <w:fldChar w:fldCharType="end"/>
    </w:r>
    <w:r>
      <w:t>)</w:t>
    </w:r>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W w:w="9866" w:type="dxa"/>
      <w:tblInd w:w="-680" w:type="dxa"/>
      <w:tblBorders>
        <w:top w:val="single" w:sz="4" w:space="0" w:shadow="0" w:frame="0" w:color="FFFFFF" w:themeColor="background1"/>
        <w:left w:val="single" w:sz="4" w:space="0" w:shadow="0" w:frame="0" w:color="FFFFFF" w:themeColor="background1"/>
        <w:bottom w:val="single" w:sz="4" w:space="0" w:shadow="0" w:frame="0" w:color="FFFFFF" w:themeColor="background1"/>
        <w:right w:val="single" w:sz="4" w:space="0" w:shadow="0" w:frame="0" w:color="FFFFFF" w:themeColor="background1"/>
        <w:insideH w:val="single" w:sz="4" w:space="0" w:shadow="0" w:frame="0" w:color="FFFFFF" w:themeColor="background1"/>
        <w:insideV w:val="single" w:sz="4" w:space="0" w:shadow="0" w:frame="0" w:color="FFFFFF" w:themeColor="background1"/>
      </w:tblBorders>
      <w:tblLook w:val="04A0"/>
      <w:tblCaption w:val="Logotyp"/>
    </w:tblPr>
    <w:tblGrid/>
    <w:tr>
      <w:trPr>
        <w:trHeight w:hRule="atLeast" w:val="1417"/>
        <w:tblHeader/>
      </w:trPr>
      <w:tc>
        <w:tcPr>
          <w:tcW w:w="4252" w:type="dxa"/>
        </w:tcPr>
        <w:p>
          <w:pPr>
            <w:pStyle w:val="P10"/>
            <w:ind w:left="0"/>
          </w:pPr>
          <w:r>
            <w:rPr>
              <w:noProof w:val="1"/>
              <w:lang w:eastAsia="sv-SE"/>
            </w:rPr>
            <w:drawing>
              <wp:inline xmlns:wp="http://schemas.openxmlformats.org/drawingml/2006/wordprocessingDrawing" distT="0" distB="0" distL="0" distR="0">
                <wp:extent cx="1981200" cy="411480"/>
                <wp:effectExtent l="0" t="0" r="0" b="7620"/>
                <wp:docPr id="5" name="Logotyp" descr="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Ödeshögs kommun.png"/>
                        <pic:cNvPicPr/>
                      </pic:nvPicPr>
                      <pic:blipFill dpi="0">
                        <a:blip xmlns:r="http://schemas.openxmlformats.org/officeDocument/2006/relationships" r:embed="Relimage48"/>
                        <a:srcRect/>
                        <a:stretch>
                          <a:fillRect/>
                        </a:stretch>
                      </pic:blipFill>
                      <pic:spPr>
                        <a:xfrm>
                          <a:off x="0" y="0"/>
                          <a:ext cx="1981205" cy="411482"/>
                        </a:xfrm>
                        <a:prstGeom prst="rect"/>
                      </pic:spPr>
                    </pic:pic>
                  </a:graphicData>
                </a:graphic>
              </wp:inline>
            </w:drawing>
          </w:r>
          <w:r>
            <w:t xml:space="preserve"> </w:t>
          </w:r>
        </w:p>
      </w:tc>
      <w:tc>
        <w:tcPr>
          <w:tcW w:w="4252" w:type="dxa"/>
        </w:tcPr>
        <w:p>
          <w:pPr>
            <w:pStyle w:val="P10"/>
            <w:ind w:left="0"/>
          </w:pPr>
          <w:r>
            <w:t xml:space="preserve">                                               Antagandehandling 2025-12-17</w:t>
          </w:r>
        </w:p>
        <w:p>
          <w:pPr>
            <w:pStyle w:val="P10"/>
            <w:ind w:left="0"/>
          </w:pPr>
          <w:r>
            <w:t xml:space="preserve">                                               Laga Kraft 2026-01-11</w:t>
          </w:r>
        </w:p>
      </w:tc>
    </w:tr>
  </w:tbl>
  <w:p>
    <w:pPr>
      <w:pStyle w:val="P10"/>
    </w:pPr>
    <w:r>
      <w:rPr>
        <w:noProof w:val="1"/>
        <w:sz w:val="2"/>
        <w:szCs w:val="2"/>
        <w:lang w:eastAsia="sv-SE"/>
      </w:rPr>
      <mc:AlternateContent>
        <mc:Choice Requires="wps">
          <w:drawing>
            <wp:inline xmlns:wp="http://schemas.openxmlformats.org/drawingml/2006/wordprocessingDrawing" distT="0" distB="0" distL="0" distR="0">
              <wp:extent cx="6263640" cy="5399405"/>
              <wp:effectExtent l="0" t="0" r="3810" b="0"/>
              <wp:docPr id="2" name="Fotografi" title="Fotografi i bakgrunden"/>
              <wp:cNvGraphicFramePr/>
              <a:graphic xmlns:a="http://schemas.openxmlformats.org/drawingml/2006/main">
                <a:graphicData uri="http://schemas.microsoft.com/office/word/2010/wordprocessingShape">
                  <wps:wsp>
                    <wps:cNvSpPr/>
                    <wps:spPr>
                      <a:xfrm>
                        <a:off x="0" y="0"/>
                        <a:ext cx="6264001" cy="5400000"/>
                      </a:xfrm>
                      <a:prstGeom prst="rect"/>
                      <a:blipFill dpi="0">
                        <a:blip xmlns:r="http://schemas.openxmlformats.org/officeDocument/2006/relationships" r:embed="Relimage49"/>
                        <a:srcRect/>
                        <a:stretch>
                          <a:fillRect l="-33484" r="-33484"/>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after="0" w:beforeAutospacing="0" w:afterAutospacing="0"/>
                            <w:jc w:val="center"/>
                            <w:rPr>
                              <w:sz w:val="2"/>
                              <w:szCs w:val="2"/>
                              <w:shd w:val="clear" w:color="auto" w:fill="F2F2F2" w:themeFill="background1" w:themeFillShade="F2"/>
                            </w:rPr>
                          </w:pPr>
                        </w:p>
                      </w:txbxContent>
                    </wps:txbx>
                    <wps:bodyPr rot="0" spcFirstLastPara="0" vertOverflow="overflow" horzOverflow="overflow" vert="horz" wrap="square" lIns="0" tIns="0" rIns="0" bIns="0" numCol="1" spcCol="0" rtlCol="0" fromWordArt="0" anchor="ctr" anchorCtr="0" forceAA="0" compatLnSpc="1">
                      <a:noAutofit/>
                    </wps:bodyPr>
                  </wps:wsp>
                </a:graphicData>
              </a:graphic>
            </wp:inline>
          </w:drawing>
        </mc:Choice>
        <mc:Fallback>
          <w:pict>
            <v:rect xmlns:o="urn:schemas-microsoft-com:office:office" id="Fotografi" o:spid="_x0000_s1060" style="width:493.2pt;height:425.15pt;mso-wrap-distance-left:0pt;mso-wrap-distance-top:0pt;mso-wrap-distance-right:0pt;mso-wrap-distance-bottom:0pt;margin-left:0pt;margin-top:0pt;mso-position-horizontal:absolute;mso-position-horizontal-relative:page;mso-position-vertical:absolute;mso-position-vertical-relative:page;v-text-anchor:middle" o:allowoverlap="f" fillcolor="#FFFFFF" strokeweight="2pt" stroked="f">
              <v:textbox inset="0mm,0mm,0mm,0mm">
                <w:txbxContent>
                  <w:p>
                    <w:pPr>
                      <w:spacing w:after="0" w:beforeAutospacing="0" w:afterAutospacing="0"/>
                      <w:jc w:val="center"/>
                      <w:rPr>
                        <w:sz w:val="2"/>
                        <w:szCs w:val="2"/>
                        <w:shd w:val="clear" w:color="auto" w:fill="F2F2F2" w:themeFill="background1" w:themeFillShade="F2"/>
                      </w:rPr>
                    </w:pPr>
                  </w:p>
                </w:txbxContent>
              </v:textbox>
            </v:rect>
          </w:pict>
        </mc:Fallback>
      </mc:AlternateContent>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5"/>
      <w:tblW w:w="9866" w:type="dxa"/>
      <w:tblInd w:w="-680" w:type="dxa"/>
      <w:tblBorders>
        <w:left w:val="single" w:sz="8" w:space="0" w:shadow="0" w:frame="0" w:color="F9B000" w:themeColor="accent1"/>
      </w:tblBorders>
      <w:tblCellMar>
        <w:top w:w="57" w:type="dxa"/>
        <w:left w:w="170" w:type="dxa"/>
        <w:bottom w:w="57" w:type="dxa"/>
      </w:tblCellMar>
      <w:tblLook w:val="04A0"/>
      <w:tblCaption w:val="Sidhuvud"/>
    </w:tblPr>
    <w:tblGrid/>
    <w:tr>
      <w:trPr>
        <w:tblHeader/>
      </w:trPr>
      <w:tc>
        <w:tcPr>
          <w:tcW w:w="8504" w:type="dxa"/>
        </w:tcPr>
        <w:p>
          <w:pPr>
            <w:pStyle w:val="P10"/>
            <w:ind w:left="0"/>
          </w:pPr>
          <w:r>
            <w:t>Detaljplan för Hårtorp 1:7 m.fl., Vida Vättern</w:t>
          </w:r>
        </w:p>
      </w:tc>
    </w:tr>
  </w:tbl>
  <w:p>
    <w:pPr>
      <w:pStyle w:val="P10"/>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pPr>
  </w:p>
</w:hdr>
</file>

<file path=word/numbering.xml><?xml version="1.0" encoding="utf-8"?>
<w:numbering xmlns:w="http://schemas.openxmlformats.org/wordprocessingml/2006/main">
  <w:abstractNum w:abstractNumId="0">
    <w:nsid w:val="FFFFFF89"/>
    <w:multiLevelType w:val="hybridMultilevel"/>
    <w:lvl w:ilvl="0">
      <w:start w:val="1"/>
      <w:numFmt w:val="bullet"/>
      <w:pStyle w:val="P29"/>
      <w:suff w:val="tab"/>
      <w:lvlText w:val=""/>
      <w:lvlJc w:val="left"/>
      <w:pPr>
        <w:ind w:hanging="360" w:left="360"/>
        <w:tabs>
          <w:tab w:val="num" w:pos="360" w:leader="none"/>
        </w:tabs>
      </w:pPr>
      <w:rPr>
        <w:rFonts w:ascii="Symbol" w:hAnsi="Symbol" w:hint="default"/>
      </w:rPr>
    </w:lvl>
    <w:lvl w:ilvl="1" w:tplc="67A12FC8">
      <w:start w:val="1"/>
      <w:numFmt w:val="decimal"/>
      <w:suff w:val="tab"/>
      <w:lvlText w:val="%1."/>
      <w:lvlJc w:val="left"/>
      <w:pPr/>
      <w:rPr/>
    </w:lvl>
    <w:lvl w:ilvl="2" w:tplc="710425A8">
      <w:start w:val="1"/>
      <w:numFmt w:val="decimal"/>
      <w:suff w:val="tab"/>
      <w:lvlText w:val="%1."/>
      <w:lvlJc w:val="left"/>
      <w:pPr/>
      <w:rPr/>
    </w:lvl>
    <w:lvl w:ilvl="3" w:tplc="69A25171">
      <w:start w:val="1"/>
      <w:numFmt w:val="decimal"/>
      <w:suff w:val="tab"/>
      <w:lvlText w:val="%1."/>
      <w:lvlJc w:val="left"/>
      <w:pPr/>
      <w:rPr/>
    </w:lvl>
    <w:lvl w:ilvl="4" w:tplc="49AF13A4">
      <w:start w:val="1"/>
      <w:numFmt w:val="decimal"/>
      <w:suff w:val="tab"/>
      <w:lvlText w:val="%1."/>
      <w:lvlJc w:val="left"/>
      <w:pPr/>
      <w:rPr/>
    </w:lvl>
    <w:lvl w:ilvl="5" w:tplc="20A92350">
      <w:start w:val="1"/>
      <w:numFmt w:val="decimal"/>
      <w:suff w:val="tab"/>
      <w:lvlText w:val="%1."/>
      <w:lvlJc w:val="left"/>
      <w:pPr/>
      <w:rPr/>
    </w:lvl>
    <w:lvl w:ilvl="6" w:tplc="6924EC9D">
      <w:start w:val="1"/>
      <w:numFmt w:val="decimal"/>
      <w:suff w:val="tab"/>
      <w:lvlText w:val="%1."/>
      <w:lvlJc w:val="left"/>
      <w:pPr/>
      <w:rPr/>
    </w:lvl>
    <w:lvl w:ilvl="7" w:tplc="780DE95D">
      <w:start w:val="1"/>
      <w:numFmt w:val="decimal"/>
      <w:suff w:val="tab"/>
      <w:lvlText w:val="%1."/>
      <w:lvlJc w:val="left"/>
      <w:pPr/>
      <w:rPr/>
    </w:lvl>
    <w:lvl w:ilvl="8" w:tplc="34E28FA0">
      <w:start w:val="1"/>
      <w:numFmt w:val="decimal"/>
      <w:suff w:val="tab"/>
      <w:lvlText w:val="%1."/>
      <w:lvlJc w:val="left"/>
      <w:pPr/>
      <w:rPr/>
    </w:lvl>
  </w:abstractNum>
  <w:abstractNum w:abstractNumId="1">
    <w:nsid w:val="019726EC"/>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2">
    <w:nsid w:val="02104BF7"/>
    <w:multiLevelType w:val="multilevel"/>
    <w:tmpl w:val="0409001D"/>
    <w:styleLink w:val="N3"/>
    <w:lvl w:ilvl="0">
      <w:start w:val="1"/>
      <w:numFmt w:val="decimal"/>
      <w:suff w:val="tab"/>
      <w:lvlText w:val="%1."/>
      <w:lvlJc w:val="left"/>
      <w:pPr>
        <w:ind w:hanging="284" w:left="284"/>
        <w:tabs>
          <w:tab w:val="num" w:pos="284" w:leader="none"/>
        </w:tabs>
      </w:pPr>
      <w:rPr>
        <w:rFonts w:hint="default"/>
      </w:rPr>
    </w:lvl>
    <w:lvl w:ilvl="1">
      <w:start w:val="1"/>
      <w:numFmt w:val="lowerLetter"/>
      <w:suff w:val="tab"/>
      <w:lvlText w:val="%2)"/>
      <w:lvlJc w:val="left"/>
      <w:pPr>
        <w:ind w:hanging="283" w:left="567"/>
        <w:tabs>
          <w:tab w:val="num" w:pos="567" w:leader="none"/>
        </w:tabs>
      </w:pPr>
      <w:rPr>
        <w:rFonts w:hint="default"/>
      </w:rPr>
    </w:lvl>
    <w:lvl w:ilvl="2">
      <w:start w:val="1"/>
      <w:numFmt w:val="lowerRoman"/>
      <w:suff w:val="tab"/>
      <w:lvlText w:val="%3)"/>
      <w:lvlJc w:val="left"/>
      <w:pPr>
        <w:ind w:hanging="284" w:left="851"/>
        <w:tabs>
          <w:tab w:val="num" w:pos="851" w:leader="none"/>
        </w:tabs>
      </w:pPr>
      <w:rPr>
        <w:rFonts w:hint="default"/>
      </w:rPr>
    </w:lvl>
    <w:lvl w:ilvl="3">
      <w:start w:val="1"/>
      <w:numFmt w:val="bullet"/>
      <w:suff w:val="tab"/>
      <w:lvlText w:val="-"/>
      <w:lvlJc w:val="left"/>
      <w:pPr>
        <w:ind w:hanging="283" w:left="1134"/>
        <w:tabs>
          <w:tab w:val="num" w:pos="1134" w:leader="none"/>
        </w:tabs>
      </w:pPr>
      <w:rPr>
        <w:rFonts w:ascii="Arial" w:hAnsi="Arial" w:cs="Times New Roman" w:hint="default"/>
        <w:color w:val="auto"/>
        <w:szCs w:val="14"/>
      </w:rPr>
    </w:lvl>
    <w:lvl w:ilvl="4">
      <w:start w:val="1"/>
      <w:numFmt w:val="bullet"/>
      <w:suff w:val="tab"/>
      <w:lvlText w:val="-"/>
      <w:lvlJc w:val="left"/>
      <w:pPr>
        <w:ind w:hanging="284" w:left="1418"/>
        <w:tabs>
          <w:tab w:val="num" w:pos="1418" w:leader="none"/>
        </w:tabs>
      </w:pPr>
      <w:rPr>
        <w:rFonts w:ascii="Arial" w:hAnsi="Arial" w:cs="Times New Roman" w:hint="default"/>
        <w:color w:val="auto"/>
        <w:szCs w:val="14"/>
      </w:rPr>
    </w:lvl>
    <w:lvl w:ilvl="5">
      <w:start w:val="1"/>
      <w:numFmt w:val="bullet"/>
      <w:suff w:val="tab"/>
      <w:lvlText w:val="-"/>
      <w:lvlJc w:val="left"/>
      <w:pPr>
        <w:ind w:hanging="283" w:left="1701"/>
        <w:tabs>
          <w:tab w:val="num" w:pos="1701" w:leader="none"/>
        </w:tabs>
      </w:pPr>
      <w:rPr>
        <w:rFonts w:ascii="Arial" w:hAnsi="Arial" w:cs="Times New Roman" w:hint="default"/>
        <w:color w:val="auto"/>
        <w:szCs w:val="14"/>
      </w:rPr>
    </w:lvl>
    <w:lvl w:ilvl="6">
      <w:start w:val="1"/>
      <w:numFmt w:val="bullet"/>
      <w:suff w:val="tab"/>
      <w:lvlText w:val="-"/>
      <w:lvlJc w:val="left"/>
      <w:pPr>
        <w:ind w:hanging="284" w:left="1985"/>
        <w:tabs>
          <w:tab w:val="num" w:pos="1985" w:leader="none"/>
        </w:tabs>
      </w:pPr>
      <w:rPr>
        <w:rFonts w:ascii="Arial" w:hAnsi="Arial" w:cs="Times New Roman" w:hint="default"/>
        <w:color w:val="auto"/>
        <w:szCs w:val="14"/>
      </w:rPr>
    </w:lvl>
    <w:lvl w:ilvl="7">
      <w:start w:val="1"/>
      <w:numFmt w:val="bullet"/>
      <w:suff w:val="tab"/>
      <w:lvlText w:val="-"/>
      <w:lvlJc w:val="left"/>
      <w:pPr>
        <w:ind w:hanging="283" w:left="2268"/>
        <w:tabs>
          <w:tab w:val="num" w:pos="2268" w:leader="none"/>
        </w:tabs>
      </w:pPr>
      <w:rPr>
        <w:rFonts w:ascii="Arial" w:hAnsi="Arial" w:cs="Times New Roman" w:hint="default"/>
        <w:color w:val="auto"/>
        <w:szCs w:val="14"/>
      </w:rPr>
    </w:lvl>
    <w:lvl w:ilvl="8">
      <w:start w:val="1"/>
      <w:numFmt w:val="bullet"/>
      <w:suff w:val="tab"/>
      <w:lvlText w:val="-"/>
      <w:lvlJc w:val="left"/>
      <w:pPr>
        <w:ind w:hanging="284" w:left="2552"/>
        <w:tabs>
          <w:tab w:val="num" w:pos="2552" w:leader="none"/>
        </w:tabs>
      </w:pPr>
      <w:rPr>
        <w:rFonts w:ascii="Arial" w:hAnsi="Arial" w:cs="Times New Roman" w:hint="default"/>
        <w:color w:val="auto"/>
        <w:szCs w:val="14"/>
      </w:rPr>
    </w:lvl>
  </w:abstractNum>
  <w:abstractNum w:abstractNumId="3">
    <w:nsid w:val="023725E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
    <w:nsid w:val="07865645"/>
    <w:multiLevelType w:val="multilevel"/>
    <w:tmpl w:val="0409001D"/>
    <w:styleLink w:val="N4"/>
    <w:lvl w:ilvl="0">
      <w:start w:val="1"/>
      <w:numFmt w:val="bullet"/>
      <w:suff w:val="tab"/>
      <w:lvlText w:val="●"/>
      <w:lvlJc w:val="left"/>
      <w:pPr>
        <w:ind w:hanging="284" w:left="284"/>
        <w:tabs>
          <w:tab w:val="num" w:pos="284" w:leader="none"/>
        </w:tabs>
      </w:pPr>
      <w:rPr>
        <w:rFonts w:ascii="Arial" w:hAnsi="Arial" w:cs="Times New Roman" w:hint="default"/>
        <w:color w:val="auto"/>
        <w:szCs w:val="14"/>
      </w:rPr>
    </w:lvl>
    <w:lvl w:ilvl="1">
      <w:start w:val="1"/>
      <w:numFmt w:val="bullet"/>
      <w:suff w:val="tab"/>
      <w:lvlText w:val="-"/>
      <w:lvlJc w:val="left"/>
      <w:pPr>
        <w:ind w:hanging="283" w:left="567"/>
        <w:tabs>
          <w:tab w:val="num" w:pos="567" w:leader="none"/>
        </w:tabs>
      </w:pPr>
      <w:rPr>
        <w:rFonts w:ascii="Arial" w:hAnsi="Arial" w:cs="Times New Roman" w:hint="default"/>
        <w:color w:val="auto"/>
        <w:szCs w:val="14"/>
      </w:rPr>
    </w:lvl>
    <w:lvl w:ilvl="2">
      <w:start w:val="1"/>
      <w:numFmt w:val="bullet"/>
      <w:suff w:val="tab"/>
      <w:lvlText w:val="-"/>
      <w:lvlJc w:val="left"/>
      <w:pPr>
        <w:ind w:hanging="284" w:left="851"/>
        <w:tabs>
          <w:tab w:val="num" w:pos="851" w:leader="none"/>
        </w:tabs>
      </w:pPr>
      <w:rPr>
        <w:rFonts w:ascii="Arial" w:hAnsi="Arial" w:cs="Times New Roman" w:hint="default"/>
        <w:color w:val="auto"/>
        <w:szCs w:val="14"/>
      </w:rPr>
    </w:lvl>
    <w:lvl w:ilvl="3">
      <w:start w:val="1"/>
      <w:numFmt w:val="bullet"/>
      <w:suff w:val="tab"/>
      <w:lvlText w:val="-"/>
      <w:lvlJc w:val="left"/>
      <w:pPr>
        <w:ind w:hanging="283" w:left="1134"/>
        <w:tabs>
          <w:tab w:val="num" w:pos="1134" w:leader="none"/>
        </w:tabs>
      </w:pPr>
      <w:rPr>
        <w:rFonts w:ascii="Arial" w:hAnsi="Arial" w:cs="Times New Roman" w:hint="default"/>
        <w:color w:val="auto"/>
        <w:szCs w:val="14"/>
      </w:rPr>
    </w:lvl>
    <w:lvl w:ilvl="4">
      <w:start w:val="1"/>
      <w:numFmt w:val="bullet"/>
      <w:suff w:val="tab"/>
      <w:lvlText w:val="-"/>
      <w:lvlJc w:val="left"/>
      <w:pPr>
        <w:ind w:hanging="284" w:left="1418"/>
        <w:tabs>
          <w:tab w:val="num" w:pos="1418" w:leader="none"/>
        </w:tabs>
      </w:pPr>
      <w:rPr>
        <w:rFonts w:ascii="Arial" w:hAnsi="Arial" w:cs="Times New Roman" w:hint="default"/>
        <w:color w:val="auto"/>
        <w:szCs w:val="14"/>
      </w:rPr>
    </w:lvl>
    <w:lvl w:ilvl="5">
      <w:start w:val="1"/>
      <w:numFmt w:val="bullet"/>
      <w:suff w:val="tab"/>
      <w:lvlText w:val="-"/>
      <w:lvlJc w:val="left"/>
      <w:pPr>
        <w:ind w:hanging="283" w:left="1701"/>
        <w:tabs>
          <w:tab w:val="num" w:pos="1701" w:leader="none"/>
        </w:tabs>
      </w:pPr>
      <w:rPr>
        <w:rFonts w:ascii="Arial" w:hAnsi="Arial" w:cs="Times New Roman" w:hint="default"/>
        <w:color w:val="auto"/>
        <w:szCs w:val="14"/>
      </w:rPr>
    </w:lvl>
    <w:lvl w:ilvl="6">
      <w:start w:val="1"/>
      <w:numFmt w:val="bullet"/>
      <w:suff w:val="tab"/>
      <w:lvlText w:val="-"/>
      <w:lvlJc w:val="left"/>
      <w:pPr>
        <w:ind w:hanging="284" w:left="1985"/>
        <w:tabs>
          <w:tab w:val="num" w:pos="1985" w:leader="none"/>
        </w:tabs>
      </w:pPr>
      <w:rPr>
        <w:rFonts w:ascii="Arial" w:hAnsi="Arial" w:cs="Times New Roman" w:hint="default"/>
        <w:color w:val="auto"/>
        <w:szCs w:val="14"/>
      </w:rPr>
    </w:lvl>
    <w:lvl w:ilvl="7">
      <w:start w:val="1"/>
      <w:numFmt w:val="bullet"/>
      <w:suff w:val="tab"/>
      <w:lvlText w:val="-"/>
      <w:lvlJc w:val="left"/>
      <w:pPr>
        <w:ind w:hanging="283" w:left="2268"/>
        <w:tabs>
          <w:tab w:val="num" w:pos="2268" w:leader="none"/>
        </w:tabs>
      </w:pPr>
      <w:rPr>
        <w:rFonts w:ascii="Arial" w:hAnsi="Arial" w:cs="Times New Roman" w:hint="default"/>
        <w:color w:val="auto"/>
        <w:szCs w:val="14"/>
      </w:rPr>
    </w:lvl>
    <w:lvl w:ilvl="8">
      <w:start w:val="1"/>
      <w:numFmt w:val="bullet"/>
      <w:suff w:val="tab"/>
      <w:lvlText w:val="-"/>
      <w:lvlJc w:val="left"/>
      <w:pPr>
        <w:ind w:hanging="284" w:left="2552"/>
        <w:tabs>
          <w:tab w:val="num" w:pos="2552" w:leader="none"/>
        </w:tabs>
      </w:pPr>
      <w:rPr>
        <w:rFonts w:ascii="Arial" w:hAnsi="Arial" w:cs="Times New Roman" w:hint="default"/>
        <w:color w:val="auto"/>
        <w:szCs w:val="14"/>
      </w:rPr>
    </w:lvl>
  </w:abstractNum>
  <w:abstractNum w:abstractNumId="5">
    <w:nsid w:val="07F026CF"/>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6">
    <w:nsid w:val="08B95E24"/>
    <w:multiLevelType w:val="multilevel"/>
    <w:tmpl w:val="0409001D"/>
    <w:numStyleLink w:val="N2"/>
  </w:abstractNum>
  <w:abstractNum w:abstractNumId="7">
    <w:nsid w:val="0B2A0355"/>
    <w:multiLevelType w:val="multilevel"/>
    <w:lvl w:ilvl="0">
      <w:start w:val="1"/>
      <w:numFmt w:val="decimal"/>
      <w:suff w:val="tab"/>
      <w:lvlText w:val="%1."/>
      <w:lvlJc w:val="left"/>
      <w:pPr>
        <w:ind w:hanging="567" w:left="567"/>
        <w:tabs>
          <w:tab w:val="num" w:pos="567" w:leader="none"/>
        </w:tabs>
      </w:pPr>
      <w:rPr/>
    </w:lvl>
    <w:lvl w:ilvl="1">
      <w:start w:val="1"/>
      <w:numFmt w:val="decimal"/>
      <w:suff w:val="tab"/>
      <w:lvlText w:val="%1.%2."/>
      <w:lvlJc w:val="left"/>
      <w:pPr>
        <w:ind w:hanging="680" w:left="680"/>
        <w:tabs>
          <w:tab w:val="num" w:pos="680" w:leader="none"/>
        </w:tabs>
      </w:pPr>
      <w:rPr/>
    </w:lvl>
    <w:lvl w:ilvl="2">
      <w:start w:val="1"/>
      <w:numFmt w:val="decimal"/>
      <w:suff w:val="tab"/>
      <w:lvlText w:val="%1.%2.%3."/>
      <w:lvlJc w:val="left"/>
      <w:pPr>
        <w:ind w:hanging="850" w:left="850"/>
        <w:tabs>
          <w:tab w:val="num" w:pos="850" w:leader="none"/>
        </w:tabs>
      </w:pPr>
      <w:rPr/>
    </w:lvl>
    <w:lvl w:ilvl="3">
      <w:start w:val="1"/>
      <w:numFmt w:val="decimal"/>
      <w:suff w:val="tab"/>
      <w:lvlText w:val="%1.%2.%3.%4."/>
      <w:lvlJc w:val="left"/>
      <w:pPr>
        <w:ind w:hanging="992" w:left="992"/>
        <w:tabs>
          <w:tab w:val="num" w:pos="992" w:leader="none"/>
        </w:tabs>
      </w:pPr>
      <w:rPr/>
    </w:lvl>
    <w:lvl w:ilvl="4">
      <w:start w:val="1"/>
      <w:numFmt w:val="decimal"/>
      <w:lvlRestart w:val="3"/>
      <w:suff w:val="tab"/>
      <w:lvlText w:val="%1.%2.%3.%4.%5."/>
      <w:lvlJc w:val="left"/>
      <w:pPr>
        <w:ind w:hanging="992" w:left="992"/>
        <w:tabs>
          <w:tab w:val="num" w:pos="992" w:leader="none"/>
        </w:tabs>
      </w:pPr>
      <w:rPr/>
    </w:lvl>
    <w:lvl w:ilvl="5">
      <w:start w:val="1"/>
      <w:numFmt w:val="decimal"/>
      <w:suff w:val="tab"/>
      <w:lvlText w:val="%1.%2.%3.%4.%5.%6"/>
      <w:lvlJc w:val="left"/>
      <w:pPr>
        <w:ind w:hanging="1152" w:left="1152"/>
      </w:pPr>
      <w:rPr/>
    </w:lvl>
    <w:lvl w:ilvl="6">
      <w:start w:val="1"/>
      <w:numFmt w:val="decimal"/>
      <w:suff w:val="tab"/>
      <w:lvlText w:val="%1.%2.%3.%4.%5.%6.%7"/>
      <w:lvlJc w:val="left"/>
      <w:pPr>
        <w:ind w:hanging="1296" w:left="1296"/>
      </w:pPr>
      <w:rPr/>
    </w:lvl>
    <w:lvl w:ilvl="7">
      <w:start w:val="1"/>
      <w:numFmt w:val="decimal"/>
      <w:suff w:val="tab"/>
      <w:lvlText w:val="%1.%2.%3.%4.%5.%6.%7.%8"/>
      <w:lvlJc w:val="left"/>
      <w:pPr>
        <w:ind w:hanging="1440" w:left="1440"/>
      </w:pPr>
      <w:rPr/>
    </w:lvl>
    <w:lvl w:ilvl="8">
      <w:start w:val="1"/>
      <w:numFmt w:val="decimal"/>
      <w:suff w:val="tab"/>
      <w:lvlText w:val="%1.%2.%3.%4.%5.%6.%7.%8.%9"/>
      <w:lvlJc w:val="left"/>
      <w:pPr>
        <w:ind w:hanging="1584" w:left="1584"/>
      </w:pPr>
      <w:rPr/>
    </w:lvl>
  </w:abstractNum>
  <w:abstractNum w:abstractNumId="8">
    <w:nsid w:val="0B6C6874"/>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9">
    <w:nsid w:val="0BAB4237"/>
    <w:multiLevelType w:val="multilevel"/>
    <w:lvl w:ilvl="0">
      <w:start w:val="1"/>
      <w:numFmt w:val="decimal"/>
      <w:pStyle w:val="P1"/>
      <w:suff w:val="tab"/>
      <w:lvlText w:val="%1"/>
      <w:lvlJc w:val="left"/>
      <w:pPr>
        <w:ind w:hanging="737" w:left="737"/>
      </w:pPr>
      <w:rPr>
        <w:rFonts w:hint="default"/>
        <w:b w:val="0"/>
        <w:bCs w:val="0"/>
      </w:rPr>
    </w:lvl>
    <w:lvl w:ilvl="1">
      <w:start w:val="1"/>
      <w:numFmt w:val="decimal"/>
      <w:pStyle w:val="P2"/>
      <w:suff w:val="tab"/>
      <w:lvlText w:val="%1.%2"/>
      <w:lvlJc w:val="left"/>
      <w:pPr>
        <w:ind w:hanging="737" w:left="737"/>
      </w:pPr>
      <w:rPr>
        <w:rFonts w:hint="default"/>
      </w:rPr>
    </w:lvl>
    <w:lvl w:ilvl="2">
      <w:start w:val="1"/>
      <w:numFmt w:val="decimal"/>
      <w:pStyle w:val="P3"/>
      <w:suff w:val="tab"/>
      <w:lvlText w:val="%1.%2.%3"/>
      <w:lvlJc w:val="left"/>
      <w:pPr>
        <w:ind w:hanging="737" w:left="737"/>
      </w:pPr>
      <w:rPr>
        <w:rFonts w:hint="default"/>
      </w:rPr>
    </w:lvl>
    <w:lvl w:ilvl="3">
      <w:start w:val="1"/>
      <w:numFmt w:val="decimal"/>
      <w:suff w:val="tab"/>
      <w:lvlText w:val="(%4)"/>
      <w:lvlJc w:val="left"/>
      <w:pPr>
        <w:ind w:hanging="737" w:left="737"/>
      </w:pPr>
      <w:rPr>
        <w:rFonts w:hint="default"/>
      </w:rPr>
    </w:lvl>
    <w:lvl w:ilvl="4">
      <w:start w:val="1"/>
      <w:numFmt w:val="lowerLetter"/>
      <w:suff w:val="tab"/>
      <w:lvlText w:val="(%5)"/>
      <w:lvlJc w:val="left"/>
      <w:pPr>
        <w:ind w:hanging="737" w:left="737"/>
      </w:pPr>
      <w:rPr>
        <w:rFonts w:hint="default"/>
      </w:rPr>
    </w:lvl>
    <w:lvl w:ilvl="5">
      <w:start w:val="1"/>
      <w:numFmt w:val="lowerRoman"/>
      <w:suff w:val="tab"/>
      <w:lvlText w:val="(%6)"/>
      <w:lvlJc w:val="left"/>
      <w:pPr>
        <w:ind w:hanging="737" w:left="737"/>
      </w:pPr>
      <w:rPr>
        <w:rFonts w:hint="default"/>
      </w:rPr>
    </w:lvl>
    <w:lvl w:ilvl="6">
      <w:start w:val="1"/>
      <w:numFmt w:val="decimal"/>
      <w:suff w:val="tab"/>
      <w:lvlText w:val="%7."/>
      <w:lvlJc w:val="left"/>
      <w:pPr>
        <w:ind w:hanging="737" w:left="737"/>
      </w:pPr>
      <w:rPr>
        <w:rFonts w:hint="default"/>
      </w:rPr>
    </w:lvl>
    <w:lvl w:ilvl="7">
      <w:start w:val="1"/>
      <w:numFmt w:val="lowerLetter"/>
      <w:suff w:val="tab"/>
      <w:lvlText w:val="%8."/>
      <w:lvlJc w:val="left"/>
      <w:pPr>
        <w:ind w:hanging="737" w:left="737"/>
      </w:pPr>
      <w:rPr>
        <w:rFonts w:hint="default"/>
      </w:rPr>
    </w:lvl>
    <w:lvl w:ilvl="8">
      <w:start w:val="1"/>
      <w:numFmt w:val="lowerRoman"/>
      <w:suff w:val="tab"/>
      <w:lvlText w:val="%9."/>
      <w:lvlJc w:val="left"/>
      <w:pPr>
        <w:ind w:hanging="737" w:left="737"/>
      </w:pPr>
      <w:rPr>
        <w:rFonts w:hint="default"/>
      </w:rPr>
    </w:lvl>
  </w:abstractNum>
  <w:abstractNum w:abstractNumId="10">
    <w:nsid w:val="0C390E21"/>
    <w:multiLevelType w:val="multilevel"/>
    <w:lvl w:ilvl="0">
      <w:start w:val="1"/>
      <w:numFmt w:val="decimal"/>
      <w:suff w:val="tab"/>
      <w:lvlText w:val="%1."/>
      <w:lvlJc w:val="left"/>
      <w:pPr>
        <w:ind w:hanging="397" w:left="397"/>
        <w:tabs>
          <w:tab w:val="num" w:pos="397" w:leader="none"/>
        </w:tabs>
      </w:pPr>
      <w:rPr>
        <w:rFonts w:asciiTheme="minorHAnsi" w:hAnsiTheme="minorHAnsi" w:cs="Times New Roman" w:hint="default"/>
      </w:rPr>
    </w:lvl>
    <w:lvl w:ilvl="1">
      <w:start w:val="1"/>
      <w:numFmt w:val="lowerLetter"/>
      <w:suff w:val="tab"/>
      <w:lvlText w:val="%2)"/>
      <w:lvlJc w:val="left"/>
      <w:pPr>
        <w:ind w:hanging="397" w:left="794"/>
        <w:tabs>
          <w:tab w:val="num" w:pos="568" w:leader="none"/>
        </w:tabs>
      </w:pPr>
      <w:rPr>
        <w:rFonts w:asciiTheme="majorHAnsi" w:hAnsiTheme="majorHAnsi" w:cs="Times New Roman" w:hint="default"/>
      </w:rPr>
    </w:lvl>
    <w:lvl w:ilvl="2">
      <w:start w:val="1"/>
      <w:numFmt w:val="lowerRoman"/>
      <w:suff w:val="tab"/>
      <w:lvlText w:val="%3)"/>
      <w:lvlJc w:val="left"/>
      <w:pPr>
        <w:ind w:hanging="397" w:left="1191"/>
        <w:tabs>
          <w:tab w:val="num" w:pos="852" w:leader="none"/>
        </w:tabs>
      </w:pPr>
      <w:rPr>
        <w:rFonts w:asciiTheme="majorHAnsi" w:hAnsiTheme="majorHAnsi" w:cs="Times New Roman" w:hint="default"/>
      </w:rPr>
    </w:lvl>
    <w:lvl w:ilvl="3">
      <w:start w:val="1"/>
      <w:numFmt w:val="none"/>
      <w:suff w:val="tab"/>
      <w:lvlText w:val="-"/>
      <w:lvlJc w:val="left"/>
      <w:pPr>
        <w:ind w:hanging="397" w:left="1588"/>
        <w:tabs>
          <w:tab w:val="num" w:pos="1191" w:leader="none"/>
        </w:tabs>
      </w:pPr>
      <w:rPr>
        <w:rFonts w:asciiTheme="majorHAnsi" w:hAnsiTheme="majorHAnsi" w:cs="Times New Roman" w:hint="default"/>
      </w:rPr>
    </w:lvl>
    <w:lvl w:ilvl="4">
      <w:start w:val="1"/>
      <w:numFmt w:val="none"/>
      <w:suff w:val="tab"/>
      <w:lvlText w:val="-"/>
      <w:lvlJc w:val="left"/>
      <w:pPr>
        <w:ind w:hanging="397" w:left="1985"/>
        <w:tabs>
          <w:tab w:val="num" w:pos="1588" w:leader="none"/>
        </w:tabs>
      </w:pPr>
      <w:rPr>
        <w:rFonts w:asciiTheme="majorHAnsi" w:hAnsiTheme="majorHAnsi" w:cs="Times New Roman" w:hint="default"/>
      </w:rPr>
    </w:lvl>
    <w:lvl w:ilvl="5">
      <w:start w:val="1"/>
      <w:numFmt w:val="none"/>
      <w:suff w:val="tab"/>
      <w:lvlText w:val="-"/>
      <w:lvlJc w:val="left"/>
      <w:pPr>
        <w:ind w:hanging="396" w:left="2381"/>
        <w:tabs>
          <w:tab w:val="num" w:pos="1985" w:leader="none"/>
        </w:tabs>
      </w:pPr>
      <w:rPr>
        <w:rFonts w:asciiTheme="majorHAnsi" w:hAnsiTheme="majorHAnsi" w:cs="Times New Roman" w:hint="default"/>
      </w:rPr>
    </w:lvl>
    <w:lvl w:ilvl="6">
      <w:start w:val="1"/>
      <w:numFmt w:val="none"/>
      <w:suff w:val="tab"/>
      <w:lvlText w:val="-"/>
      <w:lvlJc w:val="left"/>
      <w:pPr>
        <w:ind w:hanging="397" w:left="2778"/>
        <w:tabs>
          <w:tab w:val="num" w:pos="2438" w:leader="none"/>
        </w:tabs>
      </w:pPr>
      <w:rPr>
        <w:rFonts w:asciiTheme="majorHAnsi" w:hAnsiTheme="majorHAnsi" w:cs="Times New Roman" w:hint="default"/>
      </w:rPr>
    </w:lvl>
    <w:lvl w:ilvl="7">
      <w:start w:val="1"/>
      <w:numFmt w:val="none"/>
      <w:suff w:val="tab"/>
      <w:lvlText w:val="-"/>
      <w:lvlJc w:val="left"/>
      <w:pPr>
        <w:ind w:hanging="397" w:left="3175"/>
        <w:tabs>
          <w:tab w:val="num" w:pos="2778" w:leader="none"/>
        </w:tabs>
      </w:pPr>
      <w:rPr>
        <w:rFonts w:asciiTheme="majorHAnsi" w:hAnsiTheme="majorHAnsi" w:cs="Times New Roman" w:hint="default"/>
      </w:rPr>
    </w:lvl>
    <w:lvl w:ilvl="8">
      <w:start w:val="1"/>
      <w:numFmt w:val="none"/>
      <w:suff w:val="tab"/>
      <w:lvlText w:val="%9-"/>
      <w:lvlJc w:val="left"/>
      <w:pPr>
        <w:ind w:hanging="397" w:left="3572"/>
        <w:tabs>
          <w:tab w:val="num" w:pos="3175" w:leader="none"/>
        </w:tabs>
      </w:pPr>
      <w:rPr>
        <w:rFonts w:asciiTheme="majorHAnsi" w:hAnsiTheme="majorHAnsi" w:cs="Times New Roman" w:hint="default"/>
      </w:rPr>
    </w:lvl>
  </w:abstractNum>
  <w:abstractNum w:abstractNumId="11">
    <w:nsid w:val="0DA92E3D"/>
    <w:multiLevelType w:val="multilevel"/>
    <w:lvl w:ilvl="0">
      <w:start w:val="1"/>
      <w:numFmt w:val="decimal"/>
      <w:suff w:val="tab"/>
      <w:lvlText w:val="%1."/>
      <w:lvlJc w:val="left"/>
      <w:pPr>
        <w:ind w:hanging="567" w:left="567"/>
        <w:tabs>
          <w:tab w:val="num" w:pos="567" w:leader="none"/>
        </w:tabs>
      </w:pPr>
      <w:rPr/>
    </w:lvl>
    <w:lvl w:ilvl="1">
      <w:start w:val="1"/>
      <w:numFmt w:val="decimal"/>
      <w:suff w:val="tab"/>
      <w:lvlText w:val="%1.%2."/>
      <w:lvlJc w:val="left"/>
      <w:pPr>
        <w:ind w:hanging="680" w:left="680"/>
        <w:tabs>
          <w:tab w:val="num" w:pos="680" w:leader="none"/>
        </w:tabs>
      </w:pPr>
      <w:rPr/>
    </w:lvl>
    <w:lvl w:ilvl="2">
      <w:start w:val="1"/>
      <w:numFmt w:val="decimal"/>
      <w:suff w:val="tab"/>
      <w:lvlText w:val="%1.%2.%3."/>
      <w:lvlJc w:val="left"/>
      <w:pPr>
        <w:ind w:hanging="850" w:left="850"/>
        <w:tabs>
          <w:tab w:val="num" w:pos="850" w:leader="none"/>
        </w:tabs>
      </w:pPr>
      <w:rPr/>
    </w:lvl>
    <w:lvl w:ilvl="3">
      <w:start w:val="1"/>
      <w:numFmt w:val="decimal"/>
      <w:suff w:val="tab"/>
      <w:lvlText w:val="%1.%2.%3.%4."/>
      <w:lvlJc w:val="left"/>
      <w:pPr>
        <w:ind w:hanging="992" w:left="992"/>
        <w:tabs>
          <w:tab w:val="num" w:pos="992" w:leader="none"/>
        </w:tabs>
      </w:pPr>
      <w:rPr/>
    </w:lvl>
    <w:lvl w:ilvl="4">
      <w:start w:val="1"/>
      <w:numFmt w:val="decimal"/>
      <w:lvlRestart w:val="3"/>
      <w:suff w:val="tab"/>
      <w:lvlText w:val="%1.%2.%3.%4.%5."/>
      <w:lvlJc w:val="left"/>
      <w:pPr>
        <w:ind w:hanging="992" w:left="992"/>
        <w:tabs>
          <w:tab w:val="num" w:pos="992" w:leader="none"/>
        </w:tabs>
      </w:pPr>
      <w:rPr/>
    </w:lvl>
    <w:lvl w:ilvl="5">
      <w:start w:val="1"/>
      <w:numFmt w:val="decimal"/>
      <w:suff w:val="tab"/>
      <w:lvlText w:val="%1.%2.%3.%4.%5.%6"/>
      <w:lvlJc w:val="left"/>
      <w:pPr>
        <w:ind w:hanging="1152" w:left="1152"/>
      </w:pPr>
      <w:rPr/>
    </w:lvl>
    <w:lvl w:ilvl="6">
      <w:start w:val="1"/>
      <w:numFmt w:val="decimal"/>
      <w:suff w:val="tab"/>
      <w:lvlText w:val="%1.%2.%3.%4.%5.%6.%7"/>
      <w:lvlJc w:val="left"/>
      <w:pPr>
        <w:ind w:hanging="1296" w:left="1296"/>
      </w:pPr>
      <w:rPr/>
    </w:lvl>
    <w:lvl w:ilvl="7">
      <w:start w:val="1"/>
      <w:numFmt w:val="decimal"/>
      <w:suff w:val="tab"/>
      <w:lvlText w:val="%1.%2.%3.%4.%5.%6.%7.%8"/>
      <w:lvlJc w:val="left"/>
      <w:pPr>
        <w:ind w:hanging="1440" w:left="1440"/>
      </w:pPr>
      <w:rPr/>
    </w:lvl>
    <w:lvl w:ilvl="8">
      <w:start w:val="1"/>
      <w:numFmt w:val="decimal"/>
      <w:suff w:val="tab"/>
      <w:lvlText w:val="%1.%2.%3.%4.%5.%6.%7.%8.%9"/>
      <w:lvlJc w:val="left"/>
      <w:pPr>
        <w:ind w:hanging="1584" w:left="1584"/>
      </w:pPr>
      <w:rPr/>
    </w:lvl>
  </w:abstractNum>
  <w:abstractNum w:abstractNumId="12">
    <w:nsid w:val="0FE504BB"/>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3">
    <w:nsid w:val="115C3621"/>
    <w:multiLevelType w:val="multilevel"/>
    <w:tmpl w:val="0409001D"/>
    <w:numStyleLink w:val="N2"/>
  </w:abstractNum>
  <w:abstractNum w:abstractNumId="14">
    <w:nsid w:val="121C6668"/>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5">
    <w:nsid w:val="15411E16"/>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6">
    <w:nsid w:val="15564C07"/>
    <w:multiLevelType w:val="multilevel"/>
    <w:lvl w:ilvl="0">
      <w:start w:val="1"/>
      <w:numFmt w:val="bullet"/>
      <w:suff w:val="tab"/>
      <w:lvlText w:val="●"/>
      <w:lvlJc w:val="left"/>
      <w:pPr>
        <w:ind w:hanging="360" w:left="720"/>
      </w:pPr>
      <w:rPr>
        <w:rFonts w:ascii="Noto Sans Symbols" w:hAnsi="Noto Sans Symbols" w:cs="Noto Sans Symbols" w:eastAsia="Noto Sans Symbols"/>
      </w:rPr>
    </w:lvl>
    <w:lvl w:ilvl="1">
      <w:start w:val="1"/>
      <w:numFmt w:val="bullet"/>
      <w:suff w:val="tab"/>
      <w:lvlText w:val="o"/>
      <w:lvlJc w:val="left"/>
      <w:pPr>
        <w:ind w:hanging="360" w:left="1440"/>
      </w:pPr>
      <w:rPr>
        <w:rFonts w:ascii="Courier New" w:hAnsi="Courier New" w:cs="Courier New" w:eastAsia="Courier New"/>
      </w:rPr>
    </w:lvl>
    <w:lvl w:ilvl="2">
      <w:start w:val="1"/>
      <w:numFmt w:val="bullet"/>
      <w:suff w:val="tab"/>
      <w:lvlText w:val="▪"/>
      <w:lvlJc w:val="left"/>
      <w:pPr>
        <w:ind w:hanging="360" w:left="2160"/>
      </w:pPr>
      <w:rPr>
        <w:rFonts w:ascii="Noto Sans Symbols" w:hAnsi="Noto Sans Symbols" w:cs="Noto Sans Symbols" w:eastAsia="Noto Sans Symbols"/>
      </w:rPr>
    </w:lvl>
    <w:lvl w:ilvl="3">
      <w:start w:val="1"/>
      <w:numFmt w:val="bullet"/>
      <w:suff w:val="tab"/>
      <w:lvlText w:val="●"/>
      <w:lvlJc w:val="left"/>
      <w:pPr>
        <w:ind w:hanging="360" w:left="2880"/>
      </w:pPr>
      <w:rPr>
        <w:rFonts w:ascii="Noto Sans Symbols" w:hAnsi="Noto Sans Symbols" w:cs="Noto Sans Symbols" w:eastAsia="Noto Sans Symbols"/>
      </w:rPr>
    </w:lvl>
    <w:lvl w:ilvl="4">
      <w:start w:val="1"/>
      <w:numFmt w:val="bullet"/>
      <w:suff w:val="tab"/>
      <w:lvlText w:val="o"/>
      <w:lvlJc w:val="left"/>
      <w:pPr>
        <w:ind w:hanging="360" w:left="3600"/>
      </w:pPr>
      <w:rPr>
        <w:rFonts w:ascii="Courier New" w:hAnsi="Courier New" w:cs="Courier New" w:eastAsia="Courier New"/>
      </w:rPr>
    </w:lvl>
    <w:lvl w:ilvl="5">
      <w:start w:val="1"/>
      <w:numFmt w:val="bullet"/>
      <w:suff w:val="tab"/>
      <w:lvlText w:val="▪"/>
      <w:lvlJc w:val="left"/>
      <w:pPr>
        <w:ind w:hanging="360" w:left="4320"/>
      </w:pPr>
      <w:rPr>
        <w:rFonts w:ascii="Noto Sans Symbols" w:hAnsi="Noto Sans Symbols" w:cs="Noto Sans Symbols" w:eastAsia="Noto Sans Symbols"/>
      </w:rPr>
    </w:lvl>
    <w:lvl w:ilvl="6">
      <w:start w:val="1"/>
      <w:numFmt w:val="bullet"/>
      <w:suff w:val="tab"/>
      <w:lvlText w:val="●"/>
      <w:lvlJc w:val="left"/>
      <w:pPr>
        <w:ind w:hanging="360" w:left="5040"/>
      </w:pPr>
      <w:rPr>
        <w:rFonts w:ascii="Noto Sans Symbols" w:hAnsi="Noto Sans Symbols" w:cs="Noto Sans Symbols" w:eastAsia="Noto Sans Symbols"/>
      </w:rPr>
    </w:lvl>
    <w:lvl w:ilvl="7">
      <w:start w:val="1"/>
      <w:numFmt w:val="bullet"/>
      <w:suff w:val="tab"/>
      <w:lvlText w:val="o"/>
      <w:lvlJc w:val="left"/>
      <w:pPr>
        <w:ind w:hanging="360" w:left="5760"/>
      </w:pPr>
      <w:rPr>
        <w:rFonts w:ascii="Courier New" w:hAnsi="Courier New" w:cs="Courier New" w:eastAsia="Courier New"/>
      </w:rPr>
    </w:lvl>
    <w:lvl w:ilvl="8">
      <w:start w:val="1"/>
      <w:numFmt w:val="bullet"/>
      <w:suff w:val="tab"/>
      <w:lvlText w:val="▪"/>
      <w:lvlJc w:val="left"/>
      <w:pPr>
        <w:ind w:hanging="360" w:left="6480"/>
      </w:pPr>
      <w:rPr>
        <w:rFonts w:ascii="Noto Sans Symbols" w:hAnsi="Noto Sans Symbols" w:cs="Noto Sans Symbols" w:eastAsia="Noto Sans Symbols"/>
      </w:rPr>
    </w:lvl>
  </w:abstractNum>
  <w:abstractNum w:abstractNumId="17">
    <w:nsid w:val="16F6203E"/>
    <w:multiLevelType w:val="multilevel"/>
    <w:tmpl w:val="0409001D"/>
    <w:numStyleLink w:val="N2"/>
  </w:abstractNum>
  <w:abstractNum w:abstractNumId="18">
    <w:nsid w:val="21166ECC"/>
    <w:multiLevelType w:val="multilevel"/>
    <w:lvl w:ilvl="0">
      <w:start w:val="1"/>
      <w:numFmt w:val="decimal"/>
      <w:suff w:val="tab"/>
      <w:lvlText w:val="%1."/>
      <w:lvlJc w:val="left"/>
      <w:pPr>
        <w:ind w:hanging="567" w:left="567"/>
        <w:tabs>
          <w:tab w:val="num" w:pos="567" w:leader="none"/>
        </w:tabs>
      </w:pPr>
      <w:rPr/>
    </w:lvl>
    <w:lvl w:ilvl="1">
      <w:start w:val="1"/>
      <w:numFmt w:val="decimal"/>
      <w:suff w:val="tab"/>
      <w:lvlText w:val="%1.%2."/>
      <w:lvlJc w:val="left"/>
      <w:pPr>
        <w:ind w:hanging="680" w:left="680"/>
        <w:tabs>
          <w:tab w:val="num" w:pos="680" w:leader="none"/>
        </w:tabs>
      </w:pPr>
      <w:rPr/>
    </w:lvl>
    <w:lvl w:ilvl="2">
      <w:start w:val="1"/>
      <w:numFmt w:val="decimal"/>
      <w:suff w:val="tab"/>
      <w:lvlText w:val="%1.%2.%3."/>
      <w:lvlJc w:val="left"/>
      <w:pPr>
        <w:ind w:hanging="850" w:left="850"/>
        <w:tabs>
          <w:tab w:val="num" w:pos="850" w:leader="none"/>
        </w:tabs>
      </w:pPr>
      <w:rPr/>
    </w:lvl>
    <w:lvl w:ilvl="3">
      <w:start w:val="1"/>
      <w:numFmt w:val="decimal"/>
      <w:suff w:val="tab"/>
      <w:lvlText w:val="%1.%2.%3.%4."/>
      <w:lvlJc w:val="left"/>
      <w:pPr>
        <w:ind w:hanging="992" w:left="992"/>
        <w:tabs>
          <w:tab w:val="num" w:pos="992" w:leader="none"/>
        </w:tabs>
      </w:pPr>
      <w:rPr/>
    </w:lvl>
    <w:lvl w:ilvl="4">
      <w:start w:val="1"/>
      <w:numFmt w:val="decimal"/>
      <w:lvlRestart w:val="3"/>
      <w:suff w:val="tab"/>
      <w:lvlText w:val="%1.%2.%3.%4.%5."/>
      <w:lvlJc w:val="left"/>
      <w:pPr>
        <w:ind w:hanging="992" w:left="992"/>
        <w:tabs>
          <w:tab w:val="num" w:pos="992" w:leader="none"/>
        </w:tabs>
      </w:pPr>
      <w:rPr/>
    </w:lvl>
    <w:lvl w:ilvl="5">
      <w:start w:val="1"/>
      <w:numFmt w:val="decimal"/>
      <w:suff w:val="tab"/>
      <w:lvlText w:val="%1.%2.%3.%4.%5.%6"/>
      <w:lvlJc w:val="left"/>
      <w:pPr>
        <w:ind w:hanging="1152" w:left="1152"/>
      </w:pPr>
      <w:rPr/>
    </w:lvl>
    <w:lvl w:ilvl="6">
      <w:start w:val="1"/>
      <w:numFmt w:val="decimal"/>
      <w:suff w:val="tab"/>
      <w:lvlText w:val="%1.%2.%3.%4.%5.%6.%7"/>
      <w:lvlJc w:val="left"/>
      <w:pPr>
        <w:ind w:hanging="1296" w:left="1296"/>
      </w:pPr>
      <w:rPr/>
    </w:lvl>
    <w:lvl w:ilvl="7">
      <w:start w:val="1"/>
      <w:numFmt w:val="decimal"/>
      <w:suff w:val="tab"/>
      <w:lvlText w:val="%1.%2.%3.%4.%5.%6.%7.%8"/>
      <w:lvlJc w:val="left"/>
      <w:pPr>
        <w:ind w:hanging="1440" w:left="1440"/>
      </w:pPr>
      <w:rPr/>
    </w:lvl>
    <w:lvl w:ilvl="8">
      <w:start w:val="1"/>
      <w:numFmt w:val="decimal"/>
      <w:suff w:val="tab"/>
      <w:lvlText w:val="%1.%2.%3.%4.%5.%6.%7.%8.%9"/>
      <w:lvlJc w:val="left"/>
      <w:pPr>
        <w:ind w:hanging="1584" w:left="1584"/>
      </w:pPr>
      <w:rPr/>
    </w:lvl>
  </w:abstractNum>
  <w:abstractNum w:abstractNumId="19">
    <w:nsid w:val="22512307"/>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20">
    <w:nsid w:val="26CA549A"/>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21">
    <w:nsid w:val="28F50B13"/>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22">
    <w:nsid w:val="29113814"/>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3">
    <w:nsid w:val="29C35579"/>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24">
    <w:nsid w:val="2AA82A4B"/>
    <w:multiLevelType w:val="multilevel"/>
    <w:tmpl w:val="0409001D"/>
    <w:numStyleLink w:val="N2"/>
  </w:abstractNum>
  <w:abstractNum w:abstractNumId="25">
    <w:nsid w:val="2BBD2D83"/>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26">
    <w:nsid w:val="2BCB41CA"/>
    <w:multiLevelType w:val="hybridMultilevel"/>
    <w:lvl w:ilvl="0" w:tplc="7C80A1FA">
      <w:start w:val="0"/>
      <w:numFmt w:val="bullet"/>
      <w:suff w:val="tab"/>
      <w:lvlText w:val="-"/>
      <w:lvlJc w:val="left"/>
      <w:pPr>
        <w:ind w:hanging="360" w:left="720"/>
      </w:pPr>
      <w:rPr>
        <w:rFonts w:ascii="Calibri" w:hAnsi="Calibri" w:cs="Calibri" w:eastAsia="Calibri"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7">
    <w:nsid w:val="2CF60E73"/>
    <w:multiLevelType w:val="multilevel"/>
    <w:lvl w:ilvl="0">
      <w:start w:val="1"/>
      <w:numFmt w:val="decimal"/>
      <w:pStyle w:val="P15"/>
      <w:suff w:val="tab"/>
      <w:lvlText w:val="%1."/>
      <w:lvlJc w:val="left"/>
      <w:pPr>
        <w:ind w:hanging="567" w:left="567"/>
        <w:tabs>
          <w:tab w:val="num" w:pos="567" w:leader="none"/>
        </w:tabs>
      </w:pPr>
      <w:rPr/>
    </w:lvl>
    <w:lvl w:ilvl="1">
      <w:start w:val="1"/>
      <w:numFmt w:val="decimal"/>
      <w:pStyle w:val="P16"/>
      <w:suff w:val="tab"/>
      <w:lvlText w:val="%1.%2."/>
      <w:lvlJc w:val="left"/>
      <w:pPr>
        <w:ind w:hanging="680" w:left="680"/>
        <w:tabs>
          <w:tab w:val="num" w:pos="680" w:leader="none"/>
        </w:tabs>
      </w:pPr>
      <w:rPr/>
    </w:lvl>
    <w:lvl w:ilvl="2">
      <w:start w:val="1"/>
      <w:numFmt w:val="decimal"/>
      <w:pStyle w:val="P17"/>
      <w:suff w:val="tab"/>
      <w:lvlText w:val="%1.%2.%3."/>
      <w:lvlJc w:val="left"/>
      <w:pPr>
        <w:ind w:hanging="850" w:left="850"/>
        <w:tabs>
          <w:tab w:val="num" w:pos="850" w:leader="none"/>
        </w:tabs>
      </w:pPr>
      <w:rPr/>
    </w:lvl>
    <w:lvl w:ilvl="3">
      <w:start w:val="1"/>
      <w:numFmt w:val="decimal"/>
      <w:pStyle w:val="P25"/>
      <w:suff w:val="tab"/>
      <w:lvlText w:val="%1.%2.%3.%4."/>
      <w:lvlJc w:val="left"/>
      <w:pPr>
        <w:ind w:hanging="992" w:left="992"/>
        <w:tabs>
          <w:tab w:val="num" w:pos="992" w:leader="none"/>
        </w:tabs>
      </w:pPr>
      <w:rPr/>
    </w:lvl>
    <w:lvl w:ilvl="4">
      <w:start w:val="1"/>
      <w:numFmt w:val="decimal"/>
      <w:lvlRestart w:val="3"/>
      <w:pStyle w:val="P26"/>
      <w:suff w:val="tab"/>
      <w:lvlText w:val="%1.%2.%3.%4.%5."/>
      <w:lvlJc w:val="left"/>
      <w:pPr>
        <w:ind w:hanging="992" w:left="992"/>
        <w:tabs>
          <w:tab w:val="num" w:pos="992" w:leader="none"/>
        </w:tabs>
      </w:pPr>
      <w:rPr/>
    </w:lvl>
    <w:lvl w:ilvl="5">
      <w:start w:val="1"/>
      <w:numFmt w:val="decimal"/>
      <w:suff w:val="tab"/>
      <w:lvlText w:val="%1.%2.%3.%4.%5.%6"/>
      <w:lvlJc w:val="left"/>
      <w:pPr>
        <w:ind w:hanging="1152" w:left="1152"/>
      </w:pPr>
      <w:rPr/>
    </w:lvl>
    <w:lvl w:ilvl="6">
      <w:start w:val="1"/>
      <w:numFmt w:val="decimal"/>
      <w:suff w:val="tab"/>
      <w:lvlText w:val="%1.%2.%3.%4.%5.%6.%7"/>
      <w:lvlJc w:val="left"/>
      <w:pPr>
        <w:ind w:hanging="1296" w:left="1296"/>
      </w:pPr>
      <w:rPr/>
    </w:lvl>
    <w:lvl w:ilvl="7">
      <w:start w:val="1"/>
      <w:numFmt w:val="decimal"/>
      <w:suff w:val="tab"/>
      <w:lvlText w:val="%1.%2.%3.%4.%5.%6.%7.%8"/>
      <w:lvlJc w:val="left"/>
      <w:pPr>
        <w:ind w:hanging="1440" w:left="1440"/>
      </w:pPr>
      <w:rPr/>
    </w:lvl>
    <w:lvl w:ilvl="8">
      <w:start w:val="1"/>
      <w:numFmt w:val="decimal"/>
      <w:pStyle w:val="P9"/>
      <w:suff w:val="tab"/>
      <w:lvlText w:val="%1.%2.%3.%4.%5.%6.%7.%8.%9"/>
      <w:lvlJc w:val="left"/>
      <w:pPr>
        <w:ind w:hanging="1584" w:left="1584"/>
      </w:pPr>
      <w:rPr/>
    </w:lvl>
  </w:abstractNum>
  <w:abstractNum w:abstractNumId="28">
    <w:nsid w:val="30241EEE"/>
    <w:multiLevelType w:val="multilevel"/>
    <w:lvl w:ilvl="0">
      <w:start w:val="1"/>
      <w:numFmt w:val="bullet"/>
      <w:suff w:val="tab"/>
      <w:lvlText w:val=""/>
      <w:lvlJc w:val="left"/>
      <w:pPr>
        <w:ind w:hanging="453" w:left="453"/>
        <w:tabs>
          <w:tab w:val="num" w:pos="453" w:leader="none"/>
        </w:tabs>
      </w:pPr>
      <w:rPr>
        <w:rFonts w:ascii="Symbol" w:hAnsi="Symbol" w:cs="Times New Roman" w:hint="default"/>
      </w:rPr>
    </w:lvl>
    <w:lvl w:ilvl="1">
      <w:start w:val="1"/>
      <w:numFmt w:val="lowerLetter"/>
      <w:suff w:val="tab"/>
      <w:lvlText w:val="-"/>
      <w:lvlJc w:val="left"/>
      <w:pPr>
        <w:ind w:hanging="454" w:left="907"/>
        <w:tabs>
          <w:tab w:val="num" w:pos="907" w:leader="none"/>
        </w:tabs>
      </w:pPr>
      <w:rPr>
        <w:rFonts w:ascii="Arial" w:hAnsi="Arial" w:cs="Arial"/>
      </w:rPr>
    </w:lvl>
    <w:lvl w:ilvl="2">
      <w:start w:val="1"/>
      <w:numFmt w:val="lowerRoman"/>
      <w:suff w:val="tab"/>
      <w:lvlText w:val="-"/>
      <w:lvlJc w:val="left"/>
      <w:pPr>
        <w:ind w:hanging="453" w:left="1360"/>
        <w:tabs>
          <w:tab w:val="num" w:pos="1360" w:leader="none"/>
        </w:tabs>
      </w:pPr>
      <w:rPr>
        <w:rFonts w:ascii="Arial" w:hAnsi="Arial" w:cs="Arial"/>
      </w:rPr>
    </w:lvl>
    <w:lvl w:ilvl="3">
      <w:start w:val="1"/>
      <w:numFmt w:val="bullet"/>
      <w:suff w:val="tab"/>
      <w:lvlText w:val="-"/>
      <w:lvlJc w:val="left"/>
      <w:pPr>
        <w:ind w:hanging="454" w:left="1814"/>
        <w:tabs>
          <w:tab w:val="num" w:pos="1814" w:leader="none"/>
        </w:tabs>
      </w:pPr>
      <w:rPr>
        <w:rFonts w:ascii="Arial" w:hAnsi="Arial" w:cs="Arial"/>
      </w:rPr>
    </w:lvl>
    <w:lvl w:ilvl="4">
      <w:start w:val="1"/>
      <w:numFmt w:val="lowerLetter"/>
      <w:suff w:val="tab"/>
      <w:lvlText w:val="-"/>
      <w:lvlJc w:val="left"/>
      <w:pPr>
        <w:ind w:hanging="453" w:left="2267"/>
        <w:tabs>
          <w:tab w:val="num" w:pos="2267" w:leader="none"/>
        </w:tabs>
      </w:pPr>
      <w:rPr>
        <w:rFonts w:ascii="Arial" w:hAnsi="Arial" w:cs="Arial"/>
      </w:rPr>
    </w:lvl>
    <w:lvl w:ilvl="5">
      <w:start w:val="1"/>
      <w:numFmt w:val="lowerRoman"/>
      <w:suff w:val="tab"/>
      <w:lvlText w:val="-"/>
      <w:lvlJc w:val="left"/>
      <w:pPr>
        <w:ind w:hanging="453" w:left="2720"/>
        <w:tabs>
          <w:tab w:val="num" w:pos="2720" w:leader="none"/>
        </w:tabs>
      </w:pPr>
      <w:rPr>
        <w:rFonts w:ascii="Arial" w:hAnsi="Arial" w:cs="Arial"/>
      </w:rPr>
    </w:lvl>
    <w:lvl w:ilvl="6">
      <w:start w:val="1"/>
      <w:numFmt w:val="bullet"/>
      <w:suff w:val="tab"/>
      <w:lvlText w:val="-"/>
      <w:lvlJc w:val="left"/>
      <w:pPr>
        <w:ind w:hanging="454" w:left="3174"/>
        <w:tabs>
          <w:tab w:val="num" w:pos="3174" w:leader="none"/>
        </w:tabs>
      </w:pPr>
      <w:rPr>
        <w:rFonts w:ascii="Arial" w:hAnsi="Arial" w:cs="Arial"/>
      </w:rPr>
    </w:lvl>
    <w:lvl w:ilvl="7">
      <w:start w:val="1"/>
      <w:numFmt w:val="lowerRoman"/>
      <w:suff w:val="tab"/>
      <w:lvlText w:val="-"/>
      <w:lvlJc w:val="left"/>
      <w:pPr>
        <w:ind w:hanging="453" w:left="3627"/>
        <w:tabs>
          <w:tab w:val="num" w:pos="3627" w:leader="none"/>
        </w:tabs>
      </w:pPr>
      <w:rPr>
        <w:rFonts w:ascii="Arial" w:hAnsi="Arial" w:cs="Arial"/>
      </w:rPr>
    </w:lvl>
    <w:lvl w:ilvl="8">
      <w:start w:val="1"/>
      <w:numFmt w:val="bullet"/>
      <w:suff w:val="tab"/>
      <w:lvlText w:val="-"/>
      <w:lvlJc w:val="left"/>
      <w:pPr>
        <w:ind w:hanging="454" w:left="4081"/>
        <w:tabs>
          <w:tab w:val="num" w:pos="4081" w:leader="none"/>
        </w:tabs>
      </w:pPr>
      <w:rPr>
        <w:rFonts w:ascii="Arial" w:hAnsi="Arial" w:cs="Arial"/>
      </w:rPr>
    </w:lvl>
  </w:abstractNum>
  <w:abstractNum w:abstractNumId="29">
    <w:nsid w:val="33562309"/>
    <w:multiLevelType w:val="multilevel"/>
    <w:tmpl w:val="0409001D"/>
    <w:styleLink w:val="N2"/>
    <w:lvl w:ilvl="0">
      <w:start w:val="1"/>
      <w:numFmt w:val="bullet"/>
      <w:suff w:val="tab"/>
      <w:lvlText w:val="•"/>
      <w:lvlJc w:val="left"/>
      <w:pPr>
        <w:ind w:hanging="340" w:left="340"/>
        <w:tabs>
          <w:tab w:val="num" w:pos="340" w:leader="none"/>
        </w:tabs>
      </w:pPr>
      <w:rPr>
        <w:rFonts w:ascii="Calibri" w:hAnsi="Calibri" w:hint="default"/>
      </w:rPr>
    </w:lvl>
    <w:lvl w:ilvl="1">
      <w:start w:val="1"/>
      <w:numFmt w:val="bullet"/>
      <w:suff w:val="tab"/>
      <w:lvlText w:val="-"/>
      <w:lvlJc w:val="left"/>
      <w:pPr>
        <w:ind w:hanging="340" w:left="680"/>
        <w:tabs>
          <w:tab w:val="num" w:pos="680" w:leader="none"/>
        </w:tabs>
      </w:pPr>
      <w:rPr>
        <w:rFonts w:ascii="Times New Roman" w:hAnsi="Times New Roman" w:cs="Times New Roman" w:hint="default"/>
        <w:sz w:val="24"/>
      </w:rPr>
    </w:lvl>
    <w:lvl w:ilvl="2">
      <w:start w:val="1"/>
      <w:numFmt w:val="bullet"/>
      <w:suff w:val="tab"/>
      <w:lvlText w:val="-"/>
      <w:lvlJc w:val="left"/>
      <w:pPr>
        <w:ind w:hanging="340" w:left="1020"/>
        <w:tabs>
          <w:tab w:val="num" w:pos="1020" w:leader="none"/>
        </w:tabs>
      </w:pPr>
      <w:rPr>
        <w:rFonts w:ascii="Times New Roman" w:hAnsi="Times New Roman" w:cs="Times New Roman" w:hint="default"/>
      </w:rPr>
    </w:lvl>
    <w:lvl w:ilvl="3">
      <w:start w:val="1"/>
      <w:numFmt w:val="bullet"/>
      <w:suff w:val="tab"/>
      <w:lvlText w:val="-"/>
      <w:lvlJc w:val="left"/>
      <w:pPr>
        <w:ind w:hanging="340" w:left="1360"/>
        <w:tabs>
          <w:tab w:val="num" w:pos="1360" w:leader="none"/>
        </w:tabs>
      </w:pPr>
      <w:rPr>
        <w:rFonts w:ascii="Times New Roman" w:hAnsi="Times New Roman" w:cs="Times New Roman" w:hint="default"/>
      </w:rPr>
    </w:lvl>
    <w:lvl w:ilvl="4">
      <w:start w:val="1"/>
      <w:numFmt w:val="bullet"/>
      <w:suff w:val="tab"/>
      <w:lvlText w:val="-"/>
      <w:lvlJc w:val="left"/>
      <w:pPr>
        <w:ind w:hanging="340" w:left="1700"/>
        <w:tabs>
          <w:tab w:val="num" w:pos="1700" w:leader="none"/>
        </w:tabs>
      </w:pPr>
      <w:rPr>
        <w:rFonts w:ascii="Times New Roman" w:hAnsi="Times New Roman" w:cs="Times New Roman" w:hint="default"/>
      </w:rPr>
    </w:lvl>
    <w:lvl w:ilvl="5">
      <w:start w:val="1"/>
      <w:numFmt w:val="lowerRoman"/>
      <w:suff w:val="tab"/>
      <w:lvlText w:val="(%6)"/>
      <w:lvlJc w:val="left"/>
      <w:pPr>
        <w:ind w:hanging="340" w:left="2040"/>
        <w:tabs>
          <w:tab w:val="num" w:pos="2040" w:leader="none"/>
        </w:tabs>
      </w:pPr>
      <w:rPr>
        <w:rFonts w:hint="default"/>
      </w:rPr>
    </w:lvl>
    <w:lvl w:ilvl="6">
      <w:start w:val="1"/>
      <w:numFmt w:val="decimal"/>
      <w:suff w:val="tab"/>
      <w:lvlText w:val="%7."/>
      <w:lvlJc w:val="left"/>
      <w:pPr>
        <w:ind w:hanging="340" w:left="2380"/>
        <w:tabs>
          <w:tab w:val="num" w:pos="2380" w:leader="none"/>
        </w:tabs>
      </w:pPr>
      <w:rPr>
        <w:rFonts w:hint="default"/>
      </w:rPr>
    </w:lvl>
    <w:lvl w:ilvl="7">
      <w:start w:val="1"/>
      <w:numFmt w:val="lowerLetter"/>
      <w:suff w:val="tab"/>
      <w:lvlText w:val="%8."/>
      <w:lvlJc w:val="left"/>
      <w:pPr>
        <w:ind w:hanging="340" w:left="2720"/>
        <w:tabs>
          <w:tab w:val="num" w:pos="2720" w:leader="none"/>
        </w:tabs>
      </w:pPr>
      <w:rPr>
        <w:rFonts w:hint="default"/>
      </w:rPr>
    </w:lvl>
    <w:lvl w:ilvl="8">
      <w:start w:val="1"/>
      <w:numFmt w:val="lowerRoman"/>
      <w:suff w:val="tab"/>
      <w:lvlText w:val="%9."/>
      <w:lvlJc w:val="left"/>
      <w:pPr>
        <w:ind w:hanging="340" w:left="3060"/>
        <w:tabs>
          <w:tab w:val="num" w:pos="3060" w:leader="none"/>
        </w:tabs>
      </w:pPr>
      <w:rPr>
        <w:rFonts w:hint="default"/>
      </w:rPr>
    </w:lvl>
  </w:abstractNum>
  <w:abstractNum w:abstractNumId="30">
    <w:nsid w:val="356E7F4D"/>
    <w:multiLevelType w:val="multilevel"/>
    <w:tmpl w:val="0409001D"/>
    <w:numStyleLink w:val="N1"/>
  </w:abstractNum>
  <w:abstractNum w:abstractNumId="31">
    <w:nsid w:val="378E7AA6"/>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32">
    <w:nsid w:val="382F17D5"/>
    <w:multiLevelType w:val="multilevel"/>
    <w:lvl w:ilvl="0">
      <w:start w:val="1"/>
      <w:numFmt w:val="decimal"/>
      <w:suff w:val="tab"/>
      <w:lvlText w:val="%1."/>
      <w:lvlJc w:val="left"/>
      <w:pPr>
        <w:ind w:hanging="453" w:left="453"/>
        <w:tabs>
          <w:tab w:val="num" w:pos="453" w:leader="none"/>
        </w:tabs>
      </w:pPr>
      <w:rPr>
        <w:rFonts w:ascii="Times New Roman" w:hAnsi="Times New Roman" w:cs="Times New Roman"/>
      </w:rPr>
    </w:lvl>
    <w:lvl w:ilvl="1">
      <w:start w:val="1"/>
      <w:numFmt w:val="lowerLetter"/>
      <w:suff w:val="tab"/>
      <w:lvlText w:val="%2)"/>
      <w:lvlJc w:val="left"/>
      <w:pPr>
        <w:ind w:hanging="454" w:left="907"/>
        <w:tabs>
          <w:tab w:val="num" w:pos="907" w:leader="none"/>
        </w:tabs>
      </w:pPr>
      <w:rPr>
        <w:rFonts w:ascii="Times New Roman" w:hAnsi="Times New Roman" w:cs="Times New Roman"/>
      </w:rPr>
    </w:lvl>
    <w:lvl w:ilvl="2">
      <w:start w:val="1"/>
      <w:numFmt w:val="lowerRoman"/>
      <w:suff w:val="tab"/>
      <w:lvlText w:val="%3)"/>
      <w:lvlJc w:val="left"/>
      <w:pPr>
        <w:ind w:hanging="453" w:left="1360"/>
        <w:tabs>
          <w:tab w:val="num" w:pos="1360" w:leader="none"/>
        </w:tabs>
      </w:pPr>
      <w:rPr>
        <w:rFonts w:ascii="Times New Roman" w:hAnsi="Times New Roman" w:cs="Times New Roman"/>
      </w:rPr>
    </w:lvl>
    <w:lvl w:ilvl="3">
      <w:start w:val="1"/>
      <w:numFmt w:val="lowerLetter"/>
      <w:suff w:val="tab"/>
      <w:lvlText w:val="-"/>
      <w:lvlJc w:val="left"/>
      <w:pPr>
        <w:ind w:hanging="454" w:left="1814"/>
        <w:tabs>
          <w:tab w:val="num" w:pos="1814" w:leader="none"/>
        </w:tabs>
      </w:pPr>
      <w:rPr>
        <w:rFonts w:ascii="Times New Roman" w:hAnsi="Times New Roman" w:cs="Times New Roman"/>
      </w:rPr>
    </w:lvl>
    <w:lvl w:ilvl="4">
      <w:start w:val="1"/>
      <w:numFmt w:val="lowerLetter"/>
      <w:suff w:val="tab"/>
      <w:lvlText w:val="-"/>
      <w:lvlJc w:val="left"/>
      <w:pPr>
        <w:ind w:hanging="453" w:left="2267"/>
        <w:tabs>
          <w:tab w:val="num" w:pos="2267" w:leader="none"/>
        </w:tabs>
      </w:pPr>
      <w:rPr>
        <w:rFonts w:ascii="Times New Roman" w:hAnsi="Times New Roman" w:cs="Times New Roman"/>
      </w:rPr>
    </w:lvl>
    <w:lvl w:ilvl="5">
      <w:start w:val="1"/>
      <w:numFmt w:val="lowerLetter"/>
      <w:suff w:val="tab"/>
      <w:lvlText w:val="-"/>
      <w:lvlJc w:val="left"/>
      <w:pPr>
        <w:ind w:hanging="453" w:left="2720"/>
        <w:tabs>
          <w:tab w:val="num" w:pos="2720" w:leader="none"/>
        </w:tabs>
      </w:pPr>
      <w:rPr>
        <w:rFonts w:ascii="Times New Roman" w:hAnsi="Times New Roman" w:cs="Times New Roman"/>
      </w:rPr>
    </w:lvl>
    <w:lvl w:ilvl="6">
      <w:start w:val="1"/>
      <w:numFmt w:val="lowerLetter"/>
      <w:suff w:val="tab"/>
      <w:lvlText w:val="-"/>
      <w:lvlJc w:val="left"/>
      <w:pPr>
        <w:ind w:hanging="454" w:left="3174"/>
        <w:tabs>
          <w:tab w:val="num" w:pos="3174" w:leader="none"/>
        </w:tabs>
      </w:pPr>
      <w:rPr>
        <w:rFonts w:ascii="Times New Roman" w:hAnsi="Times New Roman" w:cs="Times New Roman"/>
      </w:rPr>
    </w:lvl>
    <w:lvl w:ilvl="7">
      <w:start w:val="1"/>
      <w:numFmt w:val="lowerLetter"/>
      <w:suff w:val="tab"/>
      <w:lvlText w:val="-"/>
      <w:lvlJc w:val="left"/>
      <w:pPr>
        <w:ind w:hanging="453" w:left="3627"/>
        <w:tabs>
          <w:tab w:val="num" w:pos="3627" w:leader="none"/>
        </w:tabs>
      </w:pPr>
      <w:rPr>
        <w:rFonts w:ascii="Times New Roman" w:hAnsi="Times New Roman" w:cs="Times New Roman"/>
      </w:rPr>
    </w:lvl>
    <w:lvl w:ilvl="8">
      <w:start w:val="1"/>
      <w:numFmt w:val="lowerLetter"/>
      <w:suff w:val="tab"/>
      <w:lvlText w:val="-"/>
      <w:lvlJc w:val="left"/>
      <w:pPr>
        <w:ind w:hanging="454" w:left="4081"/>
        <w:tabs>
          <w:tab w:val="num" w:pos="4081" w:leader="none"/>
        </w:tabs>
      </w:pPr>
      <w:rPr>
        <w:rFonts w:ascii="Times New Roman" w:hAnsi="Times New Roman" w:cs="Times New Roman"/>
      </w:rPr>
    </w:lvl>
  </w:abstractNum>
  <w:abstractNum w:abstractNumId="33">
    <w:nsid w:val="3BE1741E"/>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34">
    <w:nsid w:val="3DFB1768"/>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35">
    <w:nsid w:val="44E25B7F"/>
    <w:multiLevelType w:val="multilevel"/>
    <w:lvl w:ilvl="0">
      <w:start w:val="1"/>
      <w:numFmt w:val="decimal"/>
      <w:suff w:val="tab"/>
      <w:lvlText w:val="%1"/>
      <w:lvlJc w:val="left"/>
      <w:pPr>
        <w:ind w:hanging="399" w:left="965"/>
      </w:pPr>
      <w:rPr>
        <w:rFonts w:ascii="Arial" w:hAnsi="Arial" w:cs="Arial" w:eastAsia="Arial" w:hint="default"/>
        <w:b w:val="0"/>
        <w:i w:val="0"/>
        <w:bCs w:val="0"/>
        <w:iCs w:val="0"/>
        <w:sz w:val="36"/>
        <w:szCs w:val="36"/>
        <w:spacing w:val="0"/>
        <w:w w:val="99"/>
        <w:lang w:val="sv-SE" w:bidi="ar-SA" w:eastAsia="en-US"/>
      </w:rPr>
    </w:lvl>
    <w:lvl w:ilvl="1">
      <w:start w:val="1"/>
      <w:numFmt w:val="decimal"/>
      <w:suff w:val="tab"/>
      <w:lvlText w:val="%1.%2"/>
      <w:lvlJc w:val="left"/>
      <w:pPr>
        <w:ind w:hanging="624" w:left="1190"/>
      </w:pPr>
      <w:rPr>
        <w:rFonts w:ascii="Arial" w:hAnsi="Arial" w:cs="Arial" w:eastAsia="Arial" w:hint="default"/>
        <w:b w:val="0"/>
        <w:i w:val="0"/>
        <w:bCs w:val="0"/>
        <w:iCs w:val="0"/>
        <w:sz w:val="32"/>
        <w:szCs w:val="32"/>
        <w:spacing w:val="-2"/>
        <w:w w:val="100"/>
        <w:lang w:val="sv-SE" w:bidi="ar-SA" w:eastAsia="en-US"/>
      </w:rPr>
    </w:lvl>
    <w:lvl w:ilvl="2">
      <w:start w:val="1"/>
      <w:numFmt w:val="decimal"/>
      <w:suff w:val="tab"/>
      <w:lvlText w:val="%1.%2.%3"/>
      <w:lvlJc w:val="left"/>
      <w:pPr>
        <w:ind w:hanging="725" w:left="1291"/>
      </w:pPr>
      <w:rPr>
        <w:rFonts w:ascii="Arial" w:hAnsi="Arial" w:cs="Arial" w:eastAsia="Arial" w:hint="default"/>
        <w:b w:val="0"/>
        <w:i w:val="0"/>
        <w:bCs w:val="0"/>
        <w:iCs w:val="0"/>
        <w:sz w:val="26"/>
        <w:szCs w:val="26"/>
        <w:spacing w:val="-1"/>
        <w:w w:val="99"/>
        <w:lang w:val="sv-SE" w:bidi="ar-SA" w:eastAsia="en-US"/>
      </w:rPr>
    </w:lvl>
    <w:lvl w:ilvl="3">
      <w:start w:val="0"/>
      <w:numFmt w:val="bullet"/>
      <w:suff w:val="tab"/>
      <w:lvlText w:val=""/>
      <w:lvlJc w:val="left"/>
      <w:pPr>
        <w:ind w:hanging="360" w:left="1286"/>
      </w:pPr>
      <w:rPr>
        <w:rFonts w:ascii="Symbol" w:hAnsi="Symbol" w:cs="Symbol" w:eastAsia="Symbol" w:hint="default"/>
        <w:b w:val="0"/>
        <w:i w:val="0"/>
        <w:bCs w:val="0"/>
        <w:iCs w:val="0"/>
        <w:sz w:val="22"/>
        <w:szCs w:val="22"/>
        <w:spacing w:val="0"/>
        <w:w w:val="100"/>
        <w:lang w:val="sv-SE" w:bidi="ar-SA" w:eastAsia="en-US"/>
      </w:rPr>
    </w:lvl>
    <w:lvl w:ilvl="4">
      <w:start w:val="0"/>
      <w:numFmt w:val="bullet"/>
      <w:suff w:val="tab"/>
      <w:lvlText w:val="•"/>
      <w:lvlJc w:val="left"/>
      <w:pPr>
        <w:ind w:hanging="360" w:left="1360"/>
      </w:pPr>
      <w:rPr>
        <w:rFonts w:hint="default"/>
        <w:lang w:val="sv-SE" w:bidi="ar-SA" w:eastAsia="en-US"/>
      </w:rPr>
    </w:lvl>
    <w:lvl w:ilvl="5">
      <w:start w:val="0"/>
      <w:numFmt w:val="bullet"/>
      <w:suff w:val="tab"/>
      <w:lvlText w:val="•"/>
      <w:lvlJc w:val="left"/>
      <w:pPr>
        <w:ind w:hanging="360" w:left="2668"/>
      </w:pPr>
      <w:rPr>
        <w:rFonts w:hint="default"/>
        <w:lang w:val="sv-SE" w:bidi="ar-SA" w:eastAsia="en-US"/>
      </w:rPr>
    </w:lvl>
    <w:lvl w:ilvl="6">
      <w:start w:val="0"/>
      <w:numFmt w:val="bullet"/>
      <w:suff w:val="tab"/>
      <w:lvlText w:val="•"/>
      <w:lvlJc w:val="left"/>
      <w:pPr>
        <w:ind w:hanging="360" w:left="3977"/>
      </w:pPr>
      <w:rPr>
        <w:rFonts w:hint="default"/>
        <w:lang w:val="sv-SE" w:bidi="ar-SA" w:eastAsia="en-US"/>
      </w:rPr>
    </w:lvl>
    <w:lvl w:ilvl="7">
      <w:start w:val="0"/>
      <w:numFmt w:val="bullet"/>
      <w:suff w:val="tab"/>
      <w:lvlText w:val="•"/>
      <w:lvlJc w:val="left"/>
      <w:pPr>
        <w:ind w:hanging="360" w:left="5286"/>
      </w:pPr>
      <w:rPr>
        <w:rFonts w:hint="default"/>
        <w:lang w:val="sv-SE" w:bidi="ar-SA" w:eastAsia="en-US"/>
      </w:rPr>
    </w:lvl>
    <w:lvl w:ilvl="8">
      <w:start w:val="0"/>
      <w:numFmt w:val="bullet"/>
      <w:suff w:val="tab"/>
      <w:lvlText w:val="•"/>
      <w:lvlJc w:val="left"/>
      <w:pPr>
        <w:ind w:hanging="360" w:left="6594"/>
      </w:pPr>
      <w:rPr>
        <w:rFonts w:hint="default"/>
        <w:lang w:val="sv-SE" w:bidi="ar-SA" w:eastAsia="en-US"/>
      </w:rPr>
    </w:lvl>
  </w:abstractNum>
  <w:abstractNum w:abstractNumId="36">
    <w:nsid w:val="475C5ADB"/>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7">
    <w:nsid w:val="4C2D2DF2"/>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38">
    <w:nsid w:val="4E5E3F19"/>
    <w:multiLevelType w:val="multilevel"/>
    <w:tmpl w:val="0409001D"/>
    <w:numStyleLink w:val="N2"/>
  </w:abstractNum>
  <w:abstractNum w:abstractNumId="39">
    <w:nsid w:val="4FD0214B"/>
    <w:multiLevelType w:val="multilevel"/>
    <w:lvl w:ilvl="0">
      <w:start w:val="1"/>
      <w:numFmt w:val="decimal"/>
      <w:suff w:val="tab"/>
      <w:lvlText w:val="%1."/>
      <w:lvlJc w:val="left"/>
      <w:pPr>
        <w:ind w:hanging="567" w:left="567"/>
        <w:tabs>
          <w:tab w:val="num" w:pos="567" w:leader="none"/>
        </w:tabs>
      </w:pPr>
      <w:rPr/>
    </w:lvl>
    <w:lvl w:ilvl="1">
      <w:start w:val="1"/>
      <w:numFmt w:val="decimal"/>
      <w:suff w:val="tab"/>
      <w:lvlText w:val="%1.%2."/>
      <w:lvlJc w:val="left"/>
      <w:pPr>
        <w:ind w:hanging="680" w:left="680"/>
        <w:tabs>
          <w:tab w:val="num" w:pos="680" w:leader="none"/>
        </w:tabs>
      </w:pPr>
      <w:rPr/>
    </w:lvl>
    <w:lvl w:ilvl="2">
      <w:start w:val="1"/>
      <w:numFmt w:val="decimal"/>
      <w:suff w:val="tab"/>
      <w:lvlText w:val="%1.%2.%3."/>
      <w:lvlJc w:val="left"/>
      <w:pPr>
        <w:ind w:hanging="850" w:left="850"/>
        <w:tabs>
          <w:tab w:val="num" w:pos="850" w:leader="none"/>
        </w:tabs>
      </w:pPr>
      <w:rPr/>
    </w:lvl>
    <w:lvl w:ilvl="3">
      <w:start w:val="1"/>
      <w:numFmt w:val="decimal"/>
      <w:suff w:val="tab"/>
      <w:lvlText w:val="%1.%2.%3.%4."/>
      <w:lvlJc w:val="left"/>
      <w:pPr>
        <w:ind w:hanging="992" w:left="992"/>
        <w:tabs>
          <w:tab w:val="num" w:pos="992" w:leader="none"/>
        </w:tabs>
      </w:pPr>
      <w:rPr/>
    </w:lvl>
    <w:lvl w:ilvl="4">
      <w:start w:val="1"/>
      <w:numFmt w:val="decimal"/>
      <w:lvlRestart w:val="3"/>
      <w:suff w:val="tab"/>
      <w:lvlText w:val="%1.%2.%3.%4.%5."/>
      <w:lvlJc w:val="left"/>
      <w:pPr>
        <w:ind w:hanging="992" w:left="992"/>
        <w:tabs>
          <w:tab w:val="num" w:pos="992" w:leader="none"/>
        </w:tabs>
      </w:pPr>
      <w:rPr/>
    </w:lvl>
    <w:lvl w:ilvl="5">
      <w:start w:val="1"/>
      <w:numFmt w:val="decimal"/>
      <w:suff w:val="tab"/>
      <w:lvlText w:val="%1.%2.%3.%4.%5.%6"/>
      <w:lvlJc w:val="left"/>
      <w:pPr>
        <w:ind w:hanging="1152" w:left="1152"/>
      </w:pPr>
      <w:rPr/>
    </w:lvl>
    <w:lvl w:ilvl="6">
      <w:start w:val="1"/>
      <w:numFmt w:val="decimal"/>
      <w:suff w:val="tab"/>
      <w:lvlText w:val="%1.%2.%3.%4.%5.%6.%7"/>
      <w:lvlJc w:val="left"/>
      <w:pPr>
        <w:ind w:hanging="1296" w:left="1296"/>
      </w:pPr>
      <w:rPr/>
    </w:lvl>
    <w:lvl w:ilvl="7">
      <w:start w:val="1"/>
      <w:numFmt w:val="decimal"/>
      <w:suff w:val="tab"/>
      <w:lvlText w:val="%1.%2.%3.%4.%5.%6.%7.%8"/>
      <w:lvlJc w:val="left"/>
      <w:pPr>
        <w:ind w:hanging="1440" w:left="1440"/>
      </w:pPr>
      <w:rPr/>
    </w:lvl>
    <w:lvl w:ilvl="8">
      <w:start w:val="1"/>
      <w:numFmt w:val="decimal"/>
      <w:suff w:val="tab"/>
      <w:lvlText w:val="%1.%2.%3.%4.%5.%6.%7.%8.%9"/>
      <w:lvlJc w:val="left"/>
      <w:pPr>
        <w:ind w:hanging="1584" w:left="1584"/>
      </w:pPr>
      <w:rPr/>
    </w:lvl>
  </w:abstractNum>
  <w:abstractNum w:abstractNumId="40">
    <w:nsid w:val="50BD2522"/>
    <w:multiLevelType w:val="multilevel"/>
    <w:tmpl w:val="0409001D"/>
    <w:numStyleLink w:val="N2"/>
  </w:abstractNum>
  <w:abstractNum w:abstractNumId="41">
    <w:nsid w:val="510B686C"/>
    <w:multiLevelType w:val="hybridMultilevel"/>
    <w:lvl w:ilvl="0" w:tplc="27123CDC">
      <w:start w:val="0"/>
      <w:numFmt w:val="bullet"/>
      <w:suff w:val="tab"/>
      <w:lvlText w:val="-"/>
      <w:lvlJc w:val="left"/>
      <w:pPr>
        <w:ind w:hanging="360" w:left="1286"/>
      </w:pPr>
      <w:rPr>
        <w:rFonts w:ascii="Arial" w:hAnsi="Arial" w:cs="Arial" w:eastAsia="Arial" w:hint="default"/>
        <w:b w:val="0"/>
        <w:i w:val="0"/>
        <w:bCs w:val="0"/>
        <w:iCs w:val="0"/>
        <w:sz w:val="22"/>
        <w:szCs w:val="22"/>
        <w:spacing w:val="0"/>
        <w:w w:val="100"/>
        <w:lang w:val="sv-SE" w:bidi="ar-SA" w:eastAsia="en-US"/>
      </w:rPr>
    </w:lvl>
    <w:lvl w:ilvl="1" w:tplc="0F78E076">
      <w:start w:val="0"/>
      <w:numFmt w:val="bullet"/>
      <w:suff w:val="tab"/>
      <w:lvlText w:val="•"/>
      <w:lvlJc w:val="left"/>
      <w:pPr>
        <w:ind w:hanging="360" w:left="2073"/>
      </w:pPr>
      <w:rPr>
        <w:rFonts w:hint="default"/>
        <w:lang w:val="sv-SE" w:bidi="ar-SA" w:eastAsia="en-US"/>
      </w:rPr>
    </w:lvl>
    <w:lvl w:ilvl="2" w:tplc="9476DF76">
      <w:start w:val="0"/>
      <w:numFmt w:val="bullet"/>
      <w:suff w:val="tab"/>
      <w:lvlText w:val="•"/>
      <w:lvlJc w:val="left"/>
      <w:pPr>
        <w:ind w:hanging="360" w:left="2866"/>
      </w:pPr>
      <w:rPr>
        <w:rFonts w:hint="default"/>
        <w:lang w:val="sv-SE" w:bidi="ar-SA" w:eastAsia="en-US"/>
      </w:rPr>
    </w:lvl>
    <w:lvl w:ilvl="3" w:tplc="6EF41D52">
      <w:start w:val="0"/>
      <w:numFmt w:val="bullet"/>
      <w:suff w:val="tab"/>
      <w:lvlText w:val="•"/>
      <w:lvlJc w:val="left"/>
      <w:pPr>
        <w:ind w:hanging="360" w:left="3659"/>
      </w:pPr>
      <w:rPr>
        <w:rFonts w:hint="default"/>
        <w:lang w:val="sv-SE" w:bidi="ar-SA" w:eastAsia="en-US"/>
      </w:rPr>
    </w:lvl>
    <w:lvl w:ilvl="4" w:tplc="47B41CB0">
      <w:start w:val="0"/>
      <w:numFmt w:val="bullet"/>
      <w:suff w:val="tab"/>
      <w:lvlText w:val="•"/>
      <w:lvlJc w:val="left"/>
      <w:pPr>
        <w:ind w:hanging="360" w:left="4452"/>
      </w:pPr>
      <w:rPr>
        <w:rFonts w:hint="default"/>
        <w:lang w:val="sv-SE" w:bidi="ar-SA" w:eastAsia="en-US"/>
      </w:rPr>
    </w:lvl>
    <w:lvl w:ilvl="5" w:tplc="E5CC8932">
      <w:start w:val="0"/>
      <w:numFmt w:val="bullet"/>
      <w:suff w:val="tab"/>
      <w:lvlText w:val="•"/>
      <w:lvlJc w:val="left"/>
      <w:pPr>
        <w:ind w:hanging="360" w:left="5246"/>
      </w:pPr>
      <w:rPr>
        <w:rFonts w:hint="default"/>
        <w:lang w:val="sv-SE" w:bidi="ar-SA" w:eastAsia="en-US"/>
      </w:rPr>
    </w:lvl>
    <w:lvl w:ilvl="6" w:tplc="BBDEDE72">
      <w:start w:val="0"/>
      <w:numFmt w:val="bullet"/>
      <w:suff w:val="tab"/>
      <w:lvlText w:val="•"/>
      <w:lvlJc w:val="left"/>
      <w:pPr>
        <w:ind w:hanging="360" w:left="6039"/>
      </w:pPr>
      <w:rPr>
        <w:rFonts w:hint="default"/>
        <w:lang w:val="sv-SE" w:bidi="ar-SA" w:eastAsia="en-US"/>
      </w:rPr>
    </w:lvl>
    <w:lvl w:ilvl="7" w:tplc="34D8A152">
      <w:start w:val="0"/>
      <w:numFmt w:val="bullet"/>
      <w:suff w:val="tab"/>
      <w:lvlText w:val="•"/>
      <w:lvlJc w:val="left"/>
      <w:pPr>
        <w:ind w:hanging="360" w:left="6832"/>
      </w:pPr>
      <w:rPr>
        <w:rFonts w:hint="default"/>
        <w:lang w:val="sv-SE" w:bidi="ar-SA" w:eastAsia="en-US"/>
      </w:rPr>
    </w:lvl>
    <w:lvl w:ilvl="8" w:tplc="3BB4D0FC">
      <w:start w:val="0"/>
      <w:numFmt w:val="bullet"/>
      <w:suff w:val="tab"/>
      <w:lvlText w:val="•"/>
      <w:lvlJc w:val="left"/>
      <w:pPr>
        <w:ind w:hanging="360" w:left="7625"/>
      </w:pPr>
      <w:rPr>
        <w:rFonts w:hint="default"/>
        <w:lang w:val="sv-SE" w:bidi="ar-SA" w:eastAsia="en-US"/>
      </w:rPr>
    </w:lvl>
  </w:abstractNum>
  <w:abstractNum w:abstractNumId="42">
    <w:nsid w:val="539F372A"/>
    <w:multiLevelType w:val="multilevel"/>
    <w:tmpl w:val="0409001D"/>
    <w:numStyleLink w:val="N2"/>
  </w:abstractNum>
  <w:abstractNum w:abstractNumId="43">
    <w:nsid w:val="53E1351F"/>
    <w:multiLevelType w:val="multilevel"/>
    <w:tmpl w:val="0409001D"/>
    <w:numStyleLink w:val="N1"/>
  </w:abstractNum>
  <w:abstractNum w:abstractNumId="44">
    <w:nsid w:val="5802193F"/>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45">
    <w:nsid w:val="5DA67D21"/>
    <w:multiLevelType w:val="multilevel"/>
    <w:tmpl w:val="0409001D"/>
    <w:numStyleLink w:val="N1"/>
  </w:abstractNum>
  <w:abstractNum w:abstractNumId="46">
    <w:nsid w:val="5EF81732"/>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47">
    <w:nsid w:val="607248C1"/>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48">
    <w:nsid w:val="636451EC"/>
    <w:multiLevelType w:val="multilevel"/>
    <w:lvl w:ilvl="0">
      <w:start w:val="1"/>
      <w:numFmt w:val="bullet"/>
      <w:suff w:val="tab"/>
      <w:lvlText w:val=""/>
      <w:lvlJc w:val="left"/>
      <w:pPr>
        <w:ind w:hanging="397" w:left="397"/>
        <w:tabs>
          <w:tab w:val="num" w:pos="397" w:leader="none"/>
        </w:tabs>
      </w:pPr>
      <w:rPr>
        <w:rFonts w:ascii="Symbol" w:hAnsi="Symbol" w:hint="default"/>
        <w:color w:val="auto"/>
      </w:rPr>
    </w:lvl>
    <w:lvl w:ilvl="1">
      <w:start w:val="1"/>
      <w:numFmt w:val="none"/>
      <w:suff w:val="tab"/>
      <w:lvlText w:val="%2-"/>
      <w:lvlJc w:val="left"/>
      <w:pPr>
        <w:ind w:hanging="397" w:left="794"/>
        <w:tabs>
          <w:tab w:val="num" w:pos="737" w:leader="none"/>
        </w:tabs>
      </w:pPr>
      <w:rPr>
        <w:rFonts w:ascii="Arial" w:hAnsi="Arial" w:cs="Arial" w:hint="default"/>
      </w:rPr>
    </w:lvl>
    <w:lvl w:ilvl="2">
      <w:start w:val="1"/>
      <w:numFmt w:val="none"/>
      <w:suff w:val="tab"/>
      <w:lvlText w:val="%3-"/>
      <w:lvlJc w:val="left"/>
      <w:pPr>
        <w:ind w:hanging="397" w:left="1191"/>
        <w:tabs>
          <w:tab w:val="num" w:pos="1021" w:leader="none"/>
        </w:tabs>
      </w:pPr>
      <w:rPr>
        <w:rFonts w:ascii="Arial" w:hAnsi="Arial" w:cs="Arial" w:hint="default"/>
      </w:rPr>
    </w:lvl>
    <w:lvl w:ilvl="3">
      <w:start w:val="1"/>
      <w:numFmt w:val="bullet"/>
      <w:suff w:val="tab"/>
      <w:lvlText w:val="-"/>
      <w:lvlJc w:val="left"/>
      <w:pPr>
        <w:ind w:hanging="397" w:left="1588"/>
        <w:tabs>
          <w:tab w:val="num" w:pos="1305" w:leader="none"/>
        </w:tabs>
      </w:pPr>
      <w:rPr>
        <w:rFonts w:ascii="Arial" w:hAnsi="Arial" w:hint="default"/>
      </w:rPr>
    </w:lvl>
    <w:lvl w:ilvl="4">
      <w:start w:val="1"/>
      <w:numFmt w:val="none"/>
      <w:suff w:val="tab"/>
      <w:lvlText w:val="%5-"/>
      <w:lvlJc w:val="left"/>
      <w:pPr>
        <w:ind w:hanging="397" w:left="1985"/>
        <w:tabs>
          <w:tab w:val="num" w:pos="1589" w:leader="none"/>
        </w:tabs>
      </w:pPr>
      <w:rPr>
        <w:rFonts w:ascii="Arial" w:hAnsi="Arial" w:cs="Arial" w:hint="default"/>
      </w:rPr>
    </w:lvl>
    <w:lvl w:ilvl="5">
      <w:start w:val="1"/>
      <w:numFmt w:val="none"/>
      <w:suff w:val="tab"/>
      <w:lvlText w:val="%6-"/>
      <w:lvlJc w:val="left"/>
      <w:pPr>
        <w:ind w:hanging="396" w:left="2381"/>
        <w:tabs>
          <w:tab w:val="num" w:pos="1985" w:leader="none"/>
        </w:tabs>
      </w:pPr>
      <w:rPr>
        <w:rFonts w:ascii="Arial" w:hAnsi="Arial" w:cs="Arial" w:hint="default"/>
      </w:rPr>
    </w:lvl>
    <w:lvl w:ilvl="6">
      <w:start w:val="1"/>
      <w:numFmt w:val="none"/>
      <w:suff w:val="tab"/>
      <w:lvlText w:val="-"/>
      <w:lvlJc w:val="left"/>
      <w:pPr>
        <w:ind w:hanging="397" w:left="2778"/>
        <w:tabs>
          <w:tab w:val="num" w:pos="2381" w:leader="none"/>
        </w:tabs>
      </w:pPr>
      <w:rPr>
        <w:rFonts w:hint="default"/>
      </w:rPr>
    </w:lvl>
    <w:lvl w:ilvl="7">
      <w:start w:val="1"/>
      <w:numFmt w:val="none"/>
      <w:suff w:val="tab"/>
      <w:lvlText w:val="%8-"/>
      <w:lvlJc w:val="left"/>
      <w:pPr>
        <w:ind w:hanging="397" w:left="3175"/>
        <w:tabs>
          <w:tab w:val="num" w:pos="2778" w:leader="none"/>
        </w:tabs>
      </w:pPr>
      <w:rPr>
        <w:rFonts w:ascii="Arial" w:hAnsi="Arial" w:cs="Arial" w:hint="default"/>
      </w:rPr>
    </w:lvl>
    <w:lvl w:ilvl="8">
      <w:start w:val="1"/>
      <w:numFmt w:val="none"/>
      <w:suff w:val="tab"/>
      <w:lvlText w:val=""/>
      <w:lvlJc w:val="left"/>
      <w:pPr>
        <w:ind w:hanging="397" w:left="3572"/>
        <w:tabs>
          <w:tab w:val="num" w:pos="3175" w:leader="none"/>
        </w:tabs>
      </w:pPr>
      <w:rPr>
        <w:rFonts w:hint="default"/>
      </w:rPr>
    </w:lvl>
  </w:abstractNum>
  <w:abstractNum w:abstractNumId="49">
    <w:nsid w:val="63E349AD"/>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50">
    <w:nsid w:val="64A427C0"/>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51">
    <w:nsid w:val="64CD49B7"/>
    <w:multiLevelType w:val="multilevel"/>
    <w:tmpl w:val="0409001D"/>
    <w:numStyleLink w:val="N1"/>
  </w:abstractNum>
  <w:abstractNum w:abstractNumId="52">
    <w:nsid w:val="64F54B07"/>
    <w:multiLevelType w:val="multilevel"/>
    <w:tmpl w:val="0409001D"/>
    <w:numStyleLink w:val="N1"/>
  </w:abstractNum>
  <w:abstractNum w:abstractNumId="53">
    <w:nsid w:val="65B21E75"/>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54">
    <w:nsid w:val="65EF5ADC"/>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55">
    <w:nsid w:val="66F040E2"/>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56">
    <w:nsid w:val="675E4D18"/>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57">
    <w:nsid w:val="67DA63E3"/>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58">
    <w:nsid w:val="6E1A2E51"/>
    <w:multiLevelType w:val="multilevel"/>
    <w:tmpl w:val="0409001D"/>
    <w:styleLink w:val="N1"/>
    <w:lvl w:ilvl="0">
      <w:start w:val="1"/>
      <w:numFmt w:val="decimal"/>
      <w:pStyle w:val="P34"/>
      <w:suff w:val="tab"/>
      <w:lvlText w:val="%1."/>
      <w:lvlJc w:val="left"/>
      <w:pPr>
        <w:ind w:hanging="340" w:left="340"/>
        <w:tabs>
          <w:tab w:val="num" w:pos="340" w:leader="none"/>
        </w:tabs>
      </w:pPr>
      <w:rPr/>
    </w:lvl>
    <w:lvl w:ilvl="1">
      <w:start w:val="1"/>
      <w:numFmt w:val="lowerLetter"/>
      <w:suff w:val="tab"/>
      <w:lvlText w:val="%2)"/>
      <w:lvlJc w:val="left"/>
      <w:pPr>
        <w:ind w:hanging="340" w:left="680"/>
        <w:tabs>
          <w:tab w:val="num" w:pos="680" w:leader="none"/>
        </w:tabs>
      </w:pPr>
      <w:rPr/>
    </w:lvl>
    <w:lvl w:ilvl="2">
      <w:start w:val="1"/>
      <w:numFmt w:val="lowerRoman"/>
      <w:suff w:val="tab"/>
      <w:lvlText w:val="%3)"/>
      <w:lvlJc w:val="left"/>
      <w:pPr>
        <w:ind w:hanging="340" w:left="1020"/>
        <w:tabs>
          <w:tab w:val="num" w:pos="1020" w:leader="none"/>
        </w:tabs>
      </w:pPr>
      <w:rPr/>
    </w:lvl>
    <w:lvl w:ilvl="3">
      <w:start w:val="1"/>
      <w:numFmt w:val="decimal"/>
      <w:suff w:val="tab"/>
      <w:lvlText w:val="%4"/>
      <w:lvlJc w:val="left"/>
      <w:pPr>
        <w:ind w:hanging="340" w:left="1360"/>
        <w:tabs>
          <w:tab w:val="num" w:pos="1360" w:leader="none"/>
        </w:tabs>
      </w:pPr>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59">
    <w:nsid w:val="77CB6E91"/>
    <w:multiLevelType w:val="multilevel"/>
    <w:lvl w:ilvl="0">
      <w:start w:val="1"/>
      <w:numFmt w:val="bullet"/>
      <w:suff w:val="tab"/>
      <w:lvlText w:val="●"/>
      <w:lvlJc w:val="left"/>
      <w:pPr>
        <w:ind w:hanging="360" w:left="720"/>
      </w:pPr>
      <w:rPr>
        <w:rFonts w:ascii="Noto Sans Symbols" w:hAnsi="Noto Sans Symbols" w:cs="Noto Sans Symbols" w:eastAsia="Noto Sans Symbols"/>
      </w:rPr>
    </w:lvl>
    <w:lvl w:ilvl="1">
      <w:start w:val="1"/>
      <w:numFmt w:val="bullet"/>
      <w:suff w:val="tab"/>
      <w:lvlText w:val="o"/>
      <w:lvlJc w:val="left"/>
      <w:pPr>
        <w:ind w:hanging="360" w:left="1440"/>
      </w:pPr>
      <w:rPr>
        <w:rFonts w:ascii="Courier New" w:hAnsi="Courier New" w:cs="Courier New" w:eastAsia="Courier New"/>
      </w:rPr>
    </w:lvl>
    <w:lvl w:ilvl="2">
      <w:start w:val="1"/>
      <w:numFmt w:val="bullet"/>
      <w:suff w:val="tab"/>
      <w:lvlText w:val="▪"/>
      <w:lvlJc w:val="left"/>
      <w:pPr>
        <w:ind w:hanging="360" w:left="2160"/>
      </w:pPr>
      <w:rPr>
        <w:rFonts w:ascii="Noto Sans Symbols" w:hAnsi="Noto Sans Symbols" w:cs="Noto Sans Symbols" w:eastAsia="Noto Sans Symbols"/>
      </w:rPr>
    </w:lvl>
    <w:lvl w:ilvl="3">
      <w:start w:val="1"/>
      <w:numFmt w:val="bullet"/>
      <w:suff w:val="tab"/>
      <w:lvlText w:val="●"/>
      <w:lvlJc w:val="left"/>
      <w:pPr>
        <w:ind w:hanging="360" w:left="2880"/>
      </w:pPr>
      <w:rPr>
        <w:rFonts w:ascii="Noto Sans Symbols" w:hAnsi="Noto Sans Symbols" w:cs="Noto Sans Symbols" w:eastAsia="Noto Sans Symbols"/>
      </w:rPr>
    </w:lvl>
    <w:lvl w:ilvl="4">
      <w:start w:val="1"/>
      <w:numFmt w:val="bullet"/>
      <w:suff w:val="tab"/>
      <w:lvlText w:val="o"/>
      <w:lvlJc w:val="left"/>
      <w:pPr>
        <w:ind w:hanging="360" w:left="3600"/>
      </w:pPr>
      <w:rPr>
        <w:rFonts w:ascii="Courier New" w:hAnsi="Courier New" w:cs="Courier New" w:eastAsia="Courier New"/>
      </w:rPr>
    </w:lvl>
    <w:lvl w:ilvl="5">
      <w:start w:val="1"/>
      <w:numFmt w:val="bullet"/>
      <w:suff w:val="tab"/>
      <w:lvlText w:val="▪"/>
      <w:lvlJc w:val="left"/>
      <w:pPr>
        <w:ind w:hanging="360" w:left="4320"/>
      </w:pPr>
      <w:rPr>
        <w:rFonts w:ascii="Noto Sans Symbols" w:hAnsi="Noto Sans Symbols" w:cs="Noto Sans Symbols" w:eastAsia="Noto Sans Symbols"/>
      </w:rPr>
    </w:lvl>
    <w:lvl w:ilvl="6">
      <w:start w:val="1"/>
      <w:numFmt w:val="bullet"/>
      <w:suff w:val="tab"/>
      <w:lvlText w:val="●"/>
      <w:lvlJc w:val="left"/>
      <w:pPr>
        <w:ind w:hanging="360" w:left="5040"/>
      </w:pPr>
      <w:rPr>
        <w:rFonts w:ascii="Noto Sans Symbols" w:hAnsi="Noto Sans Symbols" w:cs="Noto Sans Symbols" w:eastAsia="Noto Sans Symbols"/>
      </w:rPr>
    </w:lvl>
    <w:lvl w:ilvl="7">
      <w:start w:val="1"/>
      <w:numFmt w:val="bullet"/>
      <w:suff w:val="tab"/>
      <w:lvlText w:val="o"/>
      <w:lvlJc w:val="left"/>
      <w:pPr>
        <w:ind w:hanging="360" w:left="5760"/>
      </w:pPr>
      <w:rPr>
        <w:rFonts w:ascii="Courier New" w:hAnsi="Courier New" w:cs="Courier New" w:eastAsia="Courier New"/>
      </w:rPr>
    </w:lvl>
    <w:lvl w:ilvl="8">
      <w:start w:val="1"/>
      <w:numFmt w:val="bullet"/>
      <w:suff w:val="tab"/>
      <w:lvlText w:val="▪"/>
      <w:lvlJc w:val="left"/>
      <w:pPr>
        <w:ind w:hanging="360" w:left="6480"/>
      </w:pPr>
      <w:rPr>
        <w:rFonts w:ascii="Noto Sans Symbols" w:hAnsi="Noto Sans Symbols" w:cs="Noto Sans Symbols" w:eastAsia="Noto Sans Symbols"/>
      </w:rPr>
    </w:lvl>
  </w:abstractNum>
  <w:abstractNum w:abstractNumId="60">
    <w:nsid w:val="7ABE24AB"/>
    <w:multiLevelType w:val="multilevel"/>
    <w:lvl w:ilvl="0">
      <w:start w:val="1"/>
      <w:numFmt w:val="bullet"/>
      <w:pStyle w:val="P33"/>
      <w:suff w:val="tab"/>
      <w:lvlText w:val="•"/>
      <w:lvlJc w:val="left"/>
      <w:pPr>
        <w:ind w:hanging="340" w:left="340"/>
        <w:tabs>
          <w:tab w:val="num" w:pos="340" w:leader="none"/>
        </w:tabs>
      </w:pPr>
      <w:rPr>
        <w:rFonts w:ascii="Calibri" w:hAnsi="Calibri" w:hint="default"/>
      </w:rPr>
    </w:lvl>
    <w:lvl w:ilvl="1">
      <w:start w:val="1"/>
      <w:numFmt w:val="bullet"/>
      <w:suff w:val="tab"/>
      <w:lvlText w:val="-"/>
      <w:lvlJc w:val="left"/>
      <w:pPr>
        <w:ind w:hanging="340" w:left="680"/>
        <w:tabs>
          <w:tab w:val="num" w:pos="680" w:leader="none"/>
        </w:tabs>
      </w:pPr>
      <w:rPr>
        <w:rFonts w:ascii="Times New Roman" w:hAnsi="Times New Roman" w:cs="Times New Roman" w:hint="default"/>
        <w:sz w:val="24"/>
      </w:rPr>
    </w:lvl>
    <w:lvl w:ilvl="2">
      <w:start w:val="1"/>
      <w:numFmt w:val="bullet"/>
      <w:suff w:val="tab"/>
      <w:lvlText w:val="-"/>
      <w:lvlJc w:val="left"/>
      <w:pPr>
        <w:ind w:hanging="340" w:left="1020"/>
        <w:tabs>
          <w:tab w:val="num" w:pos="1020" w:leader="none"/>
        </w:tabs>
      </w:pPr>
      <w:rPr>
        <w:rFonts w:ascii="Times New Roman" w:hAnsi="Times New Roman" w:cs="Times New Roman" w:hint="default"/>
      </w:rPr>
    </w:lvl>
    <w:lvl w:ilvl="3">
      <w:start w:val="1"/>
      <w:numFmt w:val="bullet"/>
      <w:suff w:val="tab"/>
      <w:lvlText w:val="-"/>
      <w:lvlJc w:val="left"/>
      <w:pPr>
        <w:ind w:hanging="340" w:left="1360"/>
        <w:tabs>
          <w:tab w:val="num" w:pos="1360" w:leader="none"/>
        </w:tabs>
      </w:pPr>
      <w:rPr>
        <w:rFonts w:ascii="Times New Roman" w:hAnsi="Times New Roman" w:cs="Times New Roman" w:hint="default"/>
      </w:rPr>
    </w:lvl>
    <w:lvl w:ilvl="4">
      <w:start w:val="1"/>
      <w:numFmt w:val="lowerLetter"/>
      <w:suff w:val="tab"/>
      <w:lvlText w:val="(%5)"/>
      <w:lvlJc w:val="left"/>
      <w:pPr>
        <w:ind w:hanging="340" w:left="1700"/>
        <w:tabs>
          <w:tab w:val="num" w:pos="1700" w:leader="none"/>
        </w:tabs>
      </w:pPr>
      <w:rPr>
        <w:rFonts w:hint="default"/>
      </w:rPr>
    </w:lvl>
    <w:lvl w:ilvl="5">
      <w:start w:val="1"/>
      <w:numFmt w:val="lowerRoman"/>
      <w:suff w:val="tab"/>
      <w:lvlText w:val="(%6)"/>
      <w:lvlJc w:val="left"/>
      <w:pPr>
        <w:ind w:hanging="340" w:left="2040"/>
        <w:tabs>
          <w:tab w:val="num" w:pos="2040" w:leader="none"/>
        </w:tabs>
      </w:pPr>
      <w:rPr>
        <w:rFonts w:hint="default"/>
      </w:rPr>
    </w:lvl>
    <w:lvl w:ilvl="6">
      <w:start w:val="1"/>
      <w:numFmt w:val="decimal"/>
      <w:suff w:val="tab"/>
      <w:lvlText w:val="%7."/>
      <w:lvlJc w:val="left"/>
      <w:pPr>
        <w:ind w:hanging="340" w:left="2380"/>
        <w:tabs>
          <w:tab w:val="num" w:pos="2380" w:leader="none"/>
        </w:tabs>
      </w:pPr>
      <w:rPr>
        <w:rFonts w:hint="default"/>
      </w:rPr>
    </w:lvl>
    <w:lvl w:ilvl="7">
      <w:start w:val="1"/>
      <w:numFmt w:val="lowerLetter"/>
      <w:suff w:val="tab"/>
      <w:lvlText w:val="%8."/>
      <w:lvlJc w:val="left"/>
      <w:pPr>
        <w:ind w:hanging="340" w:left="2720"/>
        <w:tabs>
          <w:tab w:val="num" w:pos="2720" w:leader="none"/>
        </w:tabs>
      </w:pPr>
      <w:rPr>
        <w:rFonts w:hint="default"/>
      </w:rPr>
    </w:lvl>
    <w:lvl w:ilvl="8">
      <w:start w:val="1"/>
      <w:numFmt w:val="lowerRoman"/>
      <w:suff w:val="tab"/>
      <w:lvlText w:val="%9."/>
      <w:lvlJc w:val="left"/>
      <w:pPr>
        <w:ind w:hanging="340" w:left="3060"/>
        <w:tabs>
          <w:tab w:val="num" w:pos="3060" w:leader="none"/>
        </w:tabs>
      </w:pPr>
      <w:rPr>
        <w:rFonts w:hint="default"/>
      </w:rPr>
    </w:lvl>
  </w:abstractNum>
  <w:abstractNum w:abstractNumId="61">
    <w:nsid w:val="7AD05235"/>
    <w:multiLevelType w:val="multilevel"/>
    <w:tmpl w:val="0409001D"/>
    <w:numStyleLink w:val="N1"/>
  </w:abstractNum>
  <w:abstractNum w:abstractNumId="62">
    <w:nsid w:val="7B7A4AA5"/>
    <w:multiLevelType w:val="multilevel"/>
    <w:tmpl w:val="0409001D"/>
    <w:numStyleLink w:val="N2"/>
  </w:abstractNum>
  <w:abstractNum w:abstractNumId="63">
    <w:nsid w:val="7D57582D"/>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64">
    <w:nsid w:val="7D8F3507"/>
    <w:multiLevelType w:val="multilevel"/>
    <w:lvl w:ilvl="0">
      <w:start w:val="1"/>
      <w:numFmt w:val="bullet"/>
      <w:suff w:val="tab"/>
      <w:lvlText w:val="•"/>
      <w:lvlJc w:val="left"/>
      <w:pPr>
        <w:ind w:hanging="340" w:left="340"/>
      </w:pPr>
      <w:rPr>
        <w:rFonts w:ascii="Calibri" w:hAnsi="Calibri" w:cs="Calibri" w:eastAsia="Calibri"/>
      </w:rPr>
    </w:lvl>
    <w:lvl w:ilvl="1">
      <w:start w:val="1"/>
      <w:numFmt w:val="bullet"/>
      <w:suff w:val="tab"/>
      <w:lvlText w:val="-"/>
      <w:lvlJc w:val="left"/>
      <w:pPr>
        <w:ind w:hanging="340" w:left="680"/>
      </w:pPr>
      <w:rPr>
        <w:rFonts w:ascii="Times New Roman" w:hAnsi="Times New Roman" w:cs="Times New Roman" w:eastAsia="Times New Roman"/>
        <w:sz w:val="24"/>
        <w:szCs w:val="24"/>
      </w:rPr>
    </w:lvl>
    <w:lvl w:ilvl="2">
      <w:start w:val="1"/>
      <w:numFmt w:val="bullet"/>
      <w:suff w:val="tab"/>
      <w:lvlText w:val="-"/>
      <w:lvlJc w:val="left"/>
      <w:pPr>
        <w:ind w:hanging="340" w:left="1020"/>
      </w:pPr>
      <w:rPr>
        <w:rFonts w:ascii="Times New Roman" w:hAnsi="Times New Roman" w:cs="Times New Roman" w:eastAsia="Times New Roman"/>
      </w:rPr>
    </w:lvl>
    <w:lvl w:ilvl="3">
      <w:start w:val="1"/>
      <w:numFmt w:val="bullet"/>
      <w:suff w:val="tab"/>
      <w:lvlText w:val="-"/>
      <w:lvlJc w:val="left"/>
      <w:pPr>
        <w:ind w:hanging="340" w:left="1360"/>
      </w:pPr>
      <w:rPr>
        <w:rFonts w:ascii="Times New Roman" w:hAnsi="Times New Roman" w:cs="Times New Roman" w:eastAsia="Times New Roman"/>
      </w:rPr>
    </w:lvl>
    <w:lvl w:ilvl="4">
      <w:start w:val="1"/>
      <w:numFmt w:val="bullet"/>
      <w:suff w:val="tab"/>
      <w:lvlText w:val="-"/>
      <w:lvlJc w:val="left"/>
      <w:pPr>
        <w:ind w:hanging="340" w:left="1700"/>
      </w:pPr>
      <w:rPr>
        <w:rFonts w:ascii="Times New Roman" w:hAnsi="Times New Roman" w:cs="Times New Roman" w:eastAsia="Times New Roman"/>
      </w:rPr>
    </w:lvl>
    <w:lvl w:ilvl="5">
      <w:start w:val="1"/>
      <w:numFmt w:val="lowerRoman"/>
      <w:suff w:val="tab"/>
      <w:lvlText w:val="(%6)"/>
      <w:lvlJc w:val="left"/>
      <w:pPr>
        <w:ind w:hanging="340" w:left="2040"/>
      </w:pPr>
      <w:rPr/>
    </w:lvl>
    <w:lvl w:ilvl="6">
      <w:start w:val="1"/>
      <w:numFmt w:val="decimal"/>
      <w:suff w:val="tab"/>
      <w:lvlText w:val="%7."/>
      <w:lvlJc w:val="left"/>
      <w:pPr>
        <w:ind w:hanging="340" w:left="2380"/>
      </w:pPr>
      <w:rPr/>
    </w:lvl>
    <w:lvl w:ilvl="7">
      <w:start w:val="1"/>
      <w:numFmt w:val="lowerLetter"/>
      <w:suff w:val="tab"/>
      <w:lvlText w:val="%8."/>
      <w:lvlJc w:val="left"/>
      <w:pPr>
        <w:ind w:hanging="340" w:left="2720"/>
      </w:pPr>
      <w:rPr/>
    </w:lvl>
    <w:lvl w:ilvl="8">
      <w:start w:val="1"/>
      <w:numFmt w:val="lowerRoman"/>
      <w:suff w:val="tab"/>
      <w:lvlText w:val="%9."/>
      <w:lvlJc w:val="left"/>
      <w:pPr>
        <w:ind w:hanging="340" w:left="3060"/>
      </w:pPr>
      <w:rPr/>
    </w:lvl>
  </w:abstractNum>
  <w:abstractNum w:abstractNumId="65">
    <w:nsid w:val="7FA93C65"/>
    <w:multiLevelType w:val="multilevel"/>
    <w:lvl w:ilvl="0">
      <w:start w:val="1"/>
      <w:numFmt w:val="bullet"/>
      <w:suff w:val="tab"/>
      <w:lvlText w:val="●"/>
      <w:lvlJc w:val="left"/>
      <w:pPr>
        <w:ind w:hanging="360" w:left="720"/>
      </w:pPr>
      <w:rPr>
        <w:rFonts w:ascii="Noto Sans Symbols" w:hAnsi="Noto Sans Symbols" w:cs="Noto Sans Symbols" w:eastAsia="Noto Sans Symbols"/>
      </w:rPr>
    </w:lvl>
    <w:lvl w:ilvl="1">
      <w:start w:val="1"/>
      <w:numFmt w:val="bullet"/>
      <w:suff w:val="tab"/>
      <w:lvlText w:val="o"/>
      <w:lvlJc w:val="left"/>
      <w:pPr>
        <w:ind w:hanging="360" w:left="1440"/>
      </w:pPr>
      <w:rPr>
        <w:rFonts w:ascii="Courier New" w:hAnsi="Courier New" w:cs="Courier New" w:eastAsia="Courier New"/>
      </w:rPr>
    </w:lvl>
    <w:lvl w:ilvl="2">
      <w:start w:val="1"/>
      <w:numFmt w:val="bullet"/>
      <w:suff w:val="tab"/>
      <w:lvlText w:val="▪"/>
      <w:lvlJc w:val="left"/>
      <w:pPr>
        <w:ind w:hanging="360" w:left="2160"/>
      </w:pPr>
      <w:rPr>
        <w:rFonts w:ascii="Noto Sans Symbols" w:hAnsi="Noto Sans Symbols" w:cs="Noto Sans Symbols" w:eastAsia="Noto Sans Symbols"/>
      </w:rPr>
    </w:lvl>
    <w:lvl w:ilvl="3">
      <w:start w:val="1"/>
      <w:numFmt w:val="bullet"/>
      <w:suff w:val="tab"/>
      <w:lvlText w:val="●"/>
      <w:lvlJc w:val="left"/>
      <w:pPr>
        <w:ind w:hanging="360" w:left="2880"/>
      </w:pPr>
      <w:rPr>
        <w:rFonts w:ascii="Noto Sans Symbols" w:hAnsi="Noto Sans Symbols" w:cs="Noto Sans Symbols" w:eastAsia="Noto Sans Symbols"/>
      </w:rPr>
    </w:lvl>
    <w:lvl w:ilvl="4">
      <w:start w:val="1"/>
      <w:numFmt w:val="bullet"/>
      <w:suff w:val="tab"/>
      <w:lvlText w:val="o"/>
      <w:lvlJc w:val="left"/>
      <w:pPr>
        <w:ind w:hanging="360" w:left="3600"/>
      </w:pPr>
      <w:rPr>
        <w:rFonts w:ascii="Courier New" w:hAnsi="Courier New" w:cs="Courier New" w:eastAsia="Courier New"/>
      </w:rPr>
    </w:lvl>
    <w:lvl w:ilvl="5">
      <w:start w:val="1"/>
      <w:numFmt w:val="bullet"/>
      <w:suff w:val="tab"/>
      <w:lvlText w:val="▪"/>
      <w:lvlJc w:val="left"/>
      <w:pPr>
        <w:ind w:hanging="360" w:left="4320"/>
      </w:pPr>
      <w:rPr>
        <w:rFonts w:ascii="Noto Sans Symbols" w:hAnsi="Noto Sans Symbols" w:cs="Noto Sans Symbols" w:eastAsia="Noto Sans Symbols"/>
      </w:rPr>
    </w:lvl>
    <w:lvl w:ilvl="6">
      <w:start w:val="1"/>
      <w:numFmt w:val="bullet"/>
      <w:suff w:val="tab"/>
      <w:lvlText w:val="●"/>
      <w:lvlJc w:val="left"/>
      <w:pPr>
        <w:ind w:hanging="360" w:left="5040"/>
      </w:pPr>
      <w:rPr>
        <w:rFonts w:ascii="Noto Sans Symbols" w:hAnsi="Noto Sans Symbols" w:cs="Noto Sans Symbols" w:eastAsia="Noto Sans Symbols"/>
      </w:rPr>
    </w:lvl>
    <w:lvl w:ilvl="7">
      <w:start w:val="1"/>
      <w:numFmt w:val="bullet"/>
      <w:suff w:val="tab"/>
      <w:lvlText w:val="o"/>
      <w:lvlJc w:val="left"/>
      <w:pPr>
        <w:ind w:hanging="360" w:left="5760"/>
      </w:pPr>
      <w:rPr>
        <w:rFonts w:ascii="Courier New" w:hAnsi="Courier New" w:cs="Courier New" w:eastAsia="Courier New"/>
      </w:rPr>
    </w:lvl>
    <w:lvl w:ilvl="8">
      <w:start w:val="1"/>
      <w:numFmt w:val="bullet"/>
      <w:suff w:val="tab"/>
      <w:lvlText w:val="▪"/>
      <w:lvlJc w:val="left"/>
      <w:pPr>
        <w:ind w:hanging="360" w:left="6480"/>
      </w:pPr>
      <w:rPr>
        <w:rFonts w:ascii="Noto Sans Symbols" w:hAnsi="Noto Sans Symbols" w:cs="Noto Sans Symbols" w:eastAsia="Noto Sans Symbols"/>
      </w:rPr>
    </w:lvl>
  </w:abstractNum>
  <w:num w:numId="1">
    <w:abstractNumId w:val="2"/>
  </w:num>
  <w:num w:numId="2">
    <w:abstractNumId w:val="4"/>
  </w:num>
  <w:num w:numId="3">
    <w:abstractNumId w:val="0"/>
  </w:num>
  <w:num w:numId="4">
    <w:abstractNumId w:val="32"/>
  </w:num>
  <w:num w:numId="5">
    <w:abstractNumId w:val="28"/>
  </w:num>
  <w:num w:numId="6">
    <w:abstractNumId w:val="11"/>
  </w:num>
  <w:num w:numId="7">
    <w:abstractNumId w:val="18"/>
  </w:num>
  <w:num w:numId="8">
    <w:abstractNumId w:val="39"/>
  </w:num>
  <w:num w:numId="9">
    <w:abstractNumId w:val="7"/>
  </w:num>
  <w:num w:numId="10">
    <w:abstractNumId w:val="48"/>
  </w:num>
  <w:num w:numId="11">
    <w:abstractNumId w:val="10"/>
  </w:num>
  <w:num w:numId="12">
    <w:abstractNumId w:val="6"/>
  </w:num>
  <w:num w:numId="13">
    <w:abstractNumId w:val="13"/>
  </w:num>
  <w:num w:numId="14">
    <w:abstractNumId w:val="61"/>
  </w:num>
  <w:num w:numId="15">
    <w:abstractNumId w:val="38"/>
  </w:num>
  <w:num w:numId="16">
    <w:abstractNumId w:val="27"/>
  </w:num>
  <w:num w:numId="17">
    <w:abstractNumId w:val="45"/>
  </w:num>
  <w:num w:numId="18">
    <w:abstractNumId w:val="52"/>
  </w:num>
  <w:num w:numId="19">
    <w:abstractNumId w:val="10"/>
  </w:num>
  <w:num w:numId="20">
    <w:abstractNumId w:val="48"/>
  </w:num>
  <w:num w:numId="21">
    <w:abstractNumId w:val="58"/>
  </w:num>
  <w:num w:numId="22">
    <w:abstractNumId w:val="29"/>
  </w:num>
  <w:num w:numId="23">
    <w:abstractNumId w:val="0"/>
  </w:num>
  <w:num w:numId="24">
    <w:abstractNumId w:val="60"/>
  </w:num>
  <w:num w:numId="25">
    <w:abstractNumId w:val="42"/>
  </w:num>
  <w:num w:numId="26">
    <w:abstractNumId w:val="30"/>
  </w:num>
  <w:num w:numId="27">
    <w:abstractNumId w:val="62"/>
  </w:num>
  <w:num w:numId="28">
    <w:abstractNumId w:val="40"/>
  </w:num>
  <w:num w:numId="29">
    <w:abstractNumId w:val="43"/>
  </w:num>
  <w:num w:numId="30">
    <w:abstractNumId w:val="17"/>
  </w:num>
  <w:num w:numId="31">
    <w:abstractNumId w:val="51"/>
  </w:num>
  <w:num w:numId="32">
    <w:abstractNumId w:val="9"/>
  </w:num>
  <w:num w:numId="33">
    <w:abstractNumId w:val="24"/>
  </w:num>
  <w:num w:numId="34">
    <w:abstractNumId w:val="64"/>
  </w:num>
  <w:num w:numId="35">
    <w:abstractNumId w:val="16"/>
  </w:num>
  <w:num w:numId="36">
    <w:abstractNumId w:val="41"/>
  </w:num>
  <w:num w:numId="37">
    <w:abstractNumId w:val="36"/>
  </w:num>
  <w:num w:numId="38">
    <w:abstractNumId w:val="22"/>
  </w:num>
  <w:num w:numId="39">
    <w:abstractNumId w:val="65"/>
  </w:num>
  <w:num w:numId="40">
    <w:abstractNumId w:val="59"/>
  </w:num>
  <w:num w:numId="41">
    <w:abstractNumId w:val="25"/>
  </w:num>
  <w:num w:numId="42">
    <w:abstractNumId w:val="12"/>
  </w:num>
  <w:num w:numId="43">
    <w:abstractNumId w:val="35"/>
  </w:num>
  <w:num w:numId="44">
    <w:abstractNumId w:val="63"/>
  </w:num>
  <w:num w:numId="45">
    <w:abstractNumId w:val="49"/>
  </w:num>
  <w:num w:numId="46">
    <w:abstractNumId w:val="55"/>
  </w:num>
  <w:num w:numId="47">
    <w:abstractNumId w:val="44"/>
  </w:num>
  <w:num w:numId="48">
    <w:abstractNumId w:val="3"/>
  </w:num>
  <w:num w:numId="49">
    <w:abstractNumId w:val="26"/>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arDocumentPath" w:val="Yes"/>
    <w:docVar w:name="DVarLanguage" w:val="Sv"/>
    <w:docVar w:name="DVarPageNumberInserted" w:val="No"/>
  </w:docVars>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imes New Roman" w:eastAsiaTheme="minorEastAsia"/>
        <w:sz w:val="22"/>
        <w:szCs w:val="22"/>
        <w:lang w:val="en-US" w:bidi="ar-SA" w:eastAsia="en-US"/>
      </w:rPr>
    </w:rPrDefault>
    <w:pPrDefault>
      <w:pPr>
        <w:keepNext w:val="0"/>
        <w:keepLines w:val="0"/>
        <w:pageBreakBefore w:val="0"/>
        <w:widowControl w:val="1"/>
        <w:suppressLineNumbers w:val="0"/>
        <w:shd w:val="clear" w:fill="auto"/>
        <w:suppressAutoHyphens w:val="0"/>
        <w:spacing w:lineRule="atLeast" w:line="260" w:before="0" w:after="120" w:beforeAutospacing="0" w:afterAutospacing="0"/>
        <w:ind w:firstLine="0" w:left="0" w:right="0"/>
        <w:contextualSpacing w:val="0"/>
        <w:bidi w:val="0"/>
        <w:jc w:val="left"/>
        <w:outlineLvl w:val="9"/>
      </w:pPr>
    </w:pPrDefault>
  </w:docDefaults>
  <w:style w:type="paragraph" w:styleId="P0" w:default="1">
    <w:name w:val="Normal"/>
    <w:qFormat/>
    <w:pPr/>
    <w:rPr>
      <w:lang w:val="sv-SE"/>
    </w:rPr>
  </w:style>
  <w:style w:type="paragraph" w:styleId="P1">
    <w:name w:val="Heading 1"/>
    <w:basedOn w:val="P0"/>
    <w:next w:val="P0"/>
    <w:link w:val="C4"/>
    <w:qFormat/>
    <w:pPr>
      <w:keepNext w:val="1"/>
      <w:numPr>
        <w:numId w:val="32"/>
      </w:numPr>
      <w:spacing w:lineRule="atLeast" w:line="420" w:before="600" w:beforeAutospacing="0" w:afterAutospacing="0"/>
      <w:outlineLvl w:val="0"/>
    </w:pPr>
    <w:rPr>
      <w:rFonts w:asciiTheme="majorHAnsi" w:hAnsiTheme="majorHAnsi" w:eastAsiaTheme="majorEastAsia"/>
      <w:b w:val="1"/>
      <w:bCs w:val="1"/>
      <w:color w:val="000000"/>
      <w:sz w:val="36"/>
      <w:szCs w:val="28"/>
    </w:rPr>
  </w:style>
  <w:style w:type="paragraph" w:styleId="P2">
    <w:name w:val="Heading 2"/>
    <w:basedOn w:val="P0"/>
    <w:next w:val="P0"/>
    <w:link w:val="C6"/>
    <w:qFormat/>
    <w:pPr>
      <w:keepNext w:val="1"/>
      <w:numPr>
        <w:ilvl w:val="1"/>
        <w:numId w:val="32"/>
      </w:numPr>
      <w:spacing w:lineRule="atLeast" w:line="320" w:before="360" w:after="80" w:beforeAutospacing="0" w:afterAutospacing="0"/>
      <w:outlineLvl w:val="1"/>
    </w:pPr>
    <w:rPr>
      <w:rFonts w:asciiTheme="majorHAnsi" w:hAnsiTheme="majorHAnsi" w:eastAsiaTheme="majorEastAsia"/>
      <w:b w:val="1"/>
      <w:bCs w:val="1"/>
      <w:color w:val="000000" w:themeColor="text1"/>
      <w:sz w:val="28"/>
      <w:szCs w:val="26"/>
    </w:rPr>
  </w:style>
  <w:style w:type="paragraph" w:styleId="P3">
    <w:name w:val="Heading 3"/>
    <w:basedOn w:val="P0"/>
    <w:next w:val="P0"/>
    <w:link w:val="C5"/>
    <w:qFormat/>
    <w:pPr>
      <w:keepNext w:val="1"/>
      <w:numPr>
        <w:ilvl w:val="2"/>
        <w:numId w:val="32"/>
      </w:numPr>
      <w:spacing w:before="360" w:after="40" w:beforeAutospacing="0" w:afterAutospacing="0"/>
      <w:outlineLvl w:val="2"/>
    </w:pPr>
    <w:rPr>
      <w:rFonts w:asciiTheme="majorHAnsi" w:hAnsiTheme="majorHAnsi" w:eastAsiaTheme="majorEastAsia"/>
      <w:b w:val="1"/>
      <w:bCs w:val="1"/>
    </w:rPr>
  </w:style>
  <w:style w:type="paragraph" w:styleId="P4">
    <w:name w:val="Heading 4"/>
    <w:basedOn w:val="P0"/>
    <w:next w:val="P0"/>
    <w:link w:val="C7"/>
    <w:semiHidden/>
    <w:pPr>
      <w:keepNext w:val="1"/>
      <w:spacing w:lineRule="auto" w:line="240" w:before="360" w:after="40" w:beforeAutospacing="0" w:afterAutospacing="0"/>
      <w:outlineLvl w:val="3"/>
    </w:pPr>
    <w:rPr>
      <w:rFonts w:asciiTheme="majorHAnsi" w:hAnsiTheme="majorHAnsi"/>
      <w:b w:val="1"/>
      <w:bCs w:val="1"/>
      <w:iCs w:val="1"/>
    </w:rPr>
  </w:style>
  <w:style w:type="paragraph" w:styleId="P5">
    <w:name w:val="Heading 5"/>
    <w:basedOn w:val="P0"/>
    <w:next w:val="P0"/>
    <w:link w:val="C8"/>
    <w:semiHidden/>
    <w:pPr>
      <w:keepNext w:val="1"/>
      <w:spacing w:lineRule="atLeast" w:line="300" w:before="120" w:beforeAutospacing="0" w:afterAutospacing="0"/>
      <w:outlineLvl w:val="4"/>
    </w:pPr>
    <w:rPr/>
  </w:style>
  <w:style w:type="paragraph" w:styleId="P6">
    <w:name w:val="Heading 6"/>
    <w:basedOn w:val="P0"/>
    <w:next w:val="P0"/>
    <w:link w:val="C13"/>
    <w:semiHidden/>
    <w:pPr>
      <w:keepNext w:val="1"/>
      <w:spacing w:lineRule="atLeast" w:line="300" w:before="120" w:beforeAutospacing="0" w:afterAutospacing="0"/>
      <w:outlineLvl w:val="5"/>
    </w:pPr>
    <w:rPr>
      <w:iCs w:val="1"/>
    </w:rPr>
  </w:style>
  <w:style w:type="paragraph" w:styleId="P7">
    <w:name w:val="Heading 7"/>
    <w:basedOn w:val="P0"/>
    <w:next w:val="P0"/>
    <w:link w:val="C14"/>
    <w:semiHidden/>
    <w:pPr>
      <w:keepNext w:val="1"/>
      <w:spacing w:lineRule="atLeast" w:line="300" w:before="120" w:beforeAutospacing="0" w:afterAutospacing="0"/>
      <w:outlineLvl w:val="6"/>
    </w:pPr>
    <w:rPr>
      <w:rFonts w:eastAsiaTheme="majorEastAsia"/>
      <w:iCs w:val="1"/>
    </w:rPr>
  </w:style>
  <w:style w:type="paragraph" w:styleId="P8">
    <w:name w:val="Heading 8"/>
    <w:basedOn w:val="P0"/>
    <w:next w:val="P0"/>
    <w:link w:val="C15"/>
    <w:semiHidden/>
    <w:qFormat/>
    <w:pPr>
      <w:keepNext w:val="1"/>
      <w:keepLines w:val="1"/>
      <w:spacing w:before="200" w:beforeAutospacing="0" w:afterAutospacing="0"/>
      <w:outlineLvl w:val="7"/>
    </w:pPr>
    <w:rPr>
      <w:rFonts w:asciiTheme="majorHAnsi" w:hAnsiTheme="majorHAnsi" w:cstheme="majorBidi" w:eastAsiaTheme="majorEastAsia"/>
      <w:color w:val="404040" w:themeColor="text1" w:themeTint="BF"/>
    </w:rPr>
  </w:style>
  <w:style w:type="paragraph" w:styleId="P9">
    <w:name w:val="Heading 9"/>
    <w:basedOn w:val="P0"/>
    <w:next w:val="P0"/>
    <w:link w:val="C16"/>
    <w:semiHidden/>
    <w:qFormat/>
    <w:pPr>
      <w:keepNext w:val="1"/>
      <w:keepLines w:val="1"/>
      <w:numPr>
        <w:ilvl w:val="8"/>
        <w:numId w:val="16"/>
      </w:numPr>
      <w:spacing w:before="200" w:beforeAutospacing="0" w:afterAutospacing="0"/>
      <w:outlineLvl w:val="8"/>
    </w:pPr>
    <w:rPr>
      <w:rFonts w:asciiTheme="majorHAnsi" w:hAnsiTheme="majorHAnsi" w:cstheme="majorBidi" w:eastAsiaTheme="majorEastAsia"/>
      <w:i w:val="1"/>
      <w:iCs w:val="1"/>
      <w:color w:val="404040" w:themeColor="text1" w:themeTint="BF"/>
    </w:rPr>
  </w:style>
  <w:style w:type="paragraph" w:styleId="P10">
    <w:name w:val="Header"/>
    <w:basedOn w:val="P0"/>
    <w:link w:val="C21"/>
    <w:pPr>
      <w:tabs>
        <w:tab w:val="center" w:pos="4536" w:leader="none"/>
        <w:tab w:val="right" w:pos="9072" w:leader="none"/>
      </w:tabs>
      <w:spacing w:lineRule="auto" w:line="240" w:after="60" w:beforeAutospacing="0" w:afterAutospacing="0"/>
      <w:ind w:left="-680"/>
    </w:pPr>
    <w:rPr>
      <w:rFonts w:asciiTheme="majorHAnsi" w:hAnsiTheme="majorHAnsi"/>
      <w:sz w:val="20"/>
    </w:rPr>
  </w:style>
  <w:style w:type="paragraph" w:styleId="P11">
    <w:name w:val="Footer"/>
    <w:basedOn w:val="P0"/>
    <w:link w:val="C9"/>
    <w:semiHidden/>
    <w:pPr>
      <w:tabs>
        <w:tab w:val="center" w:pos="4536" w:leader="none"/>
        <w:tab w:val="right" w:pos="9072" w:leader="none"/>
      </w:tabs>
      <w:spacing w:lineRule="atLeast" w:line="200" w:after="0" w:beforeAutospacing="0" w:afterAutospacing="0"/>
    </w:pPr>
    <w:rPr>
      <w:rFonts w:asciiTheme="majorHAnsi" w:hAnsiTheme="majorHAnsi"/>
      <w:sz w:val="16"/>
    </w:rPr>
  </w:style>
  <w:style w:type="paragraph" w:styleId="P12">
    <w:name w:val="List Paragraph"/>
    <w:basedOn w:val="P0"/>
    <w:qFormat/>
    <w:pPr>
      <w:ind w:left="720"/>
    </w:pPr>
    <w:rPr/>
  </w:style>
  <w:style w:type="paragraph" w:styleId="P13">
    <w:name w:val="Sökväg"/>
    <w:basedOn w:val="P0"/>
    <w:semiHidden/>
    <w:pPr>
      <w:framePr w:wrap="around" w:vAnchor="page" w:hAnchor="page" w:x="398" w:y="4962"/>
    </w:pPr>
    <w:rPr>
      <w:color w:val="808080"/>
      <w:sz w:val="13"/>
      <w:szCs w:val="15"/>
    </w:rPr>
  </w:style>
  <w:style w:type="paragraph" w:styleId="P14">
    <w:name w:val="TOC Heading"/>
    <w:basedOn w:val="P1"/>
    <w:next w:val="P0"/>
    <w:pPr>
      <w:keepLines w:val="1"/>
      <w:numPr>
        <w:numId w:val="0"/>
      </w:numPr>
      <w:outlineLvl w:val="9"/>
    </w:pPr>
    <w:rPr>
      <w:rFonts w:cstheme="majorBidi"/>
      <w:szCs w:val="50"/>
      <w:lang w:eastAsia="sv-SE"/>
    </w:rPr>
  </w:style>
  <w:style w:type="paragraph" w:styleId="P15">
    <w:name w:val="Heading_1 No"/>
    <w:basedOn w:val="P0"/>
    <w:next w:val="P0"/>
    <w:link w:val="C10"/>
    <w:semiHidden/>
    <w:pPr>
      <w:keepNext w:val="1"/>
      <w:numPr>
        <w:numId w:val="16"/>
      </w:numPr>
      <w:spacing w:before="300" w:after="60" w:beforeAutospacing="0" w:afterAutospacing="0"/>
      <w:outlineLvl w:val="0"/>
    </w:pPr>
    <w:rPr>
      <w:rFonts w:asciiTheme="majorHAnsi" w:hAnsiTheme="majorHAnsi" w:cs="Arial" w:eastAsiaTheme="majorEastAsia"/>
      <w:color w:val="000000"/>
      <w:sz w:val="32"/>
      <w:szCs w:val="26"/>
      <w:lang w:eastAsia="sv-SE"/>
    </w:rPr>
  </w:style>
  <w:style w:type="paragraph" w:styleId="P16">
    <w:name w:val="Heading_2 No"/>
    <w:basedOn w:val="P0"/>
    <w:next w:val="P0"/>
    <w:link w:val="C11"/>
    <w:semiHidden/>
    <w:pPr>
      <w:keepNext w:val="1"/>
      <w:numPr>
        <w:ilvl w:val="1"/>
        <w:numId w:val="16"/>
      </w:numPr>
      <w:spacing w:before="300" w:after="60" w:beforeAutospacing="0" w:afterAutospacing="0"/>
      <w:outlineLvl w:val="1"/>
    </w:pPr>
    <w:rPr>
      <w:rFonts w:ascii="Arial" w:hAnsi="Arial" w:cs="Arial" w:eastAsiaTheme="majorEastAsia"/>
      <w:sz w:val="28"/>
      <w:szCs w:val="26"/>
      <w:lang w:eastAsia="sv-SE"/>
    </w:rPr>
  </w:style>
  <w:style w:type="paragraph" w:styleId="P17">
    <w:name w:val="Heading_3 No"/>
    <w:basedOn w:val="P0"/>
    <w:next w:val="P0"/>
    <w:link w:val="C12"/>
    <w:semiHidden/>
    <w:pPr>
      <w:keepNext w:val="1"/>
      <w:numPr>
        <w:ilvl w:val="2"/>
        <w:numId w:val="16"/>
      </w:numPr>
      <w:spacing w:before="300" w:beforeAutospacing="0" w:afterAutospacing="0"/>
      <w:ind w:hanging="851" w:left="851"/>
      <w:outlineLvl w:val="2"/>
    </w:pPr>
    <w:rPr>
      <w:rFonts w:asciiTheme="majorHAnsi" w:hAnsiTheme="majorHAnsi" w:cs="Arial" w:eastAsiaTheme="majorEastAsia"/>
      <w:szCs w:val="26"/>
      <w:lang w:eastAsia="sv-SE"/>
    </w:rPr>
  </w:style>
  <w:style w:type="paragraph" w:styleId="P18">
    <w:name w:val="Startsida - Huvudrubrik"/>
    <w:basedOn w:val="P0"/>
    <w:semiHidden/>
    <w:pPr>
      <w:spacing w:lineRule="exact" w:line="840" w:before="240" w:after="240" w:beforeAutospacing="0" w:afterAutospacing="0"/>
      <w:ind w:right="1701"/>
    </w:pPr>
    <w:rPr>
      <w:rFonts w:asciiTheme="majorHAnsi" w:hAnsiTheme="majorHAnsi"/>
      <w:b w:val="1"/>
      <w:color w:val="36BDBB"/>
      <w:sz w:val="72"/>
    </w:rPr>
  </w:style>
  <w:style w:type="paragraph" w:styleId="P19">
    <w:name w:val="Startsida - Underrubrik"/>
    <w:basedOn w:val="P0"/>
    <w:semiHidden/>
    <w:pPr/>
    <w:rPr>
      <w:rFonts w:asciiTheme="majorHAnsi" w:hAnsiTheme="majorHAnsi"/>
      <w:caps w:val="1"/>
      <w:color w:val="154061"/>
      <w:sz w:val="28"/>
      <w:szCs w:val="36"/>
    </w:rPr>
  </w:style>
  <w:style w:type="paragraph" w:styleId="P20">
    <w:name w:val="TOC 1"/>
    <w:basedOn w:val="P0"/>
    <w:next w:val="P0"/>
    <w:pPr>
      <w:tabs>
        <w:tab w:val="left" w:pos="440" w:leader="none"/>
        <w:tab w:val="right" w:pos="8505" w:leader="dot"/>
      </w:tabs>
      <w:spacing w:before="120" w:after="0" w:beforeAutospacing="0" w:afterAutospacing="0"/>
    </w:pPr>
    <w:rPr>
      <w:rFonts w:asciiTheme="majorHAnsi" w:hAnsiTheme="majorHAnsi"/>
      <w:b w:val="1"/>
    </w:rPr>
  </w:style>
  <w:style w:type="paragraph" w:styleId="P21">
    <w:name w:val="TOC 2"/>
    <w:basedOn w:val="P0"/>
    <w:next w:val="P0"/>
    <w:pPr>
      <w:tabs>
        <w:tab w:val="left" w:pos="1021" w:leader="none"/>
        <w:tab w:val="right" w:pos="8505" w:leader="dot"/>
      </w:tabs>
      <w:spacing w:after="0" w:beforeAutospacing="0" w:afterAutospacing="0"/>
      <w:ind w:left="454"/>
    </w:pPr>
    <w:rPr>
      <w:rFonts w:asciiTheme="majorHAnsi" w:hAnsiTheme="majorHAnsi"/>
    </w:rPr>
  </w:style>
  <w:style w:type="paragraph" w:styleId="P22">
    <w:name w:val="TOC 3"/>
    <w:basedOn w:val="P0"/>
    <w:next w:val="P0"/>
    <w:pPr>
      <w:tabs>
        <w:tab w:val="left" w:pos="1701" w:leader="none"/>
        <w:tab w:val="right" w:pos="8505" w:leader="dot"/>
      </w:tabs>
      <w:spacing w:after="0" w:beforeAutospacing="0" w:afterAutospacing="0"/>
      <w:ind w:left="1021"/>
    </w:pPr>
    <w:rPr>
      <w:rFonts w:asciiTheme="majorHAnsi" w:hAnsiTheme="majorHAnsi"/>
    </w:rPr>
  </w:style>
  <w:style w:type="paragraph" w:styleId="P23">
    <w:name w:val="Footnote Text"/>
    <w:basedOn w:val="P0"/>
    <w:link w:val="C17"/>
    <w:pPr>
      <w:spacing w:after="0" w:beforeAutospacing="0" w:afterAutospacing="0"/>
    </w:pPr>
    <w:rPr>
      <w:rFonts w:asciiTheme="majorHAnsi" w:hAnsiTheme="majorHAnsi"/>
      <w:sz w:val="20"/>
    </w:rPr>
  </w:style>
  <w:style w:type="paragraph" w:styleId="P24">
    <w:name w:val="Innehåll"/>
    <w:basedOn w:val="P0"/>
    <w:semiHidden/>
    <w:pPr>
      <w:spacing w:before="500" w:beforeAutospacing="0" w:afterAutospacing="0"/>
    </w:pPr>
    <w:rPr>
      <w:rFonts w:asciiTheme="majorHAnsi" w:hAnsiTheme="majorHAnsi"/>
      <w:b w:val="1"/>
      <w:color w:val="F9B000" w:themeColor="accent1"/>
      <w:sz w:val="50"/>
      <w:szCs w:val="26"/>
    </w:rPr>
  </w:style>
  <w:style w:type="paragraph" w:styleId="P25">
    <w:name w:val="Heading_4 No"/>
    <w:basedOn w:val="P0"/>
    <w:next w:val="P0"/>
    <w:link w:val="C18"/>
    <w:semiHidden/>
    <w:pPr>
      <w:keepNext w:val="1"/>
      <w:numPr>
        <w:ilvl w:val="3"/>
        <w:numId w:val="16"/>
      </w:numPr>
      <w:spacing w:before="240" w:beforeAutospacing="0" w:afterAutospacing="0"/>
      <w:outlineLvl w:val="3"/>
    </w:pPr>
    <w:rPr>
      <w:rFonts w:asciiTheme="majorHAnsi" w:hAnsiTheme="majorHAnsi" w:cs="Arial" w:eastAsiaTheme="majorEastAsia"/>
      <w:color w:val="000000"/>
      <w:szCs w:val="26"/>
      <w:lang w:eastAsia="sv-SE"/>
    </w:rPr>
  </w:style>
  <w:style w:type="paragraph" w:styleId="P26">
    <w:name w:val="Heading_5 No"/>
    <w:basedOn w:val="P0"/>
    <w:next w:val="P0"/>
    <w:link w:val="C19"/>
    <w:semiHidden/>
    <w:pPr>
      <w:keepNext w:val="1"/>
      <w:numPr>
        <w:ilvl w:val="4"/>
        <w:numId w:val="16"/>
      </w:numPr>
      <w:spacing w:before="240" w:beforeAutospacing="0" w:afterAutospacing="0"/>
      <w:outlineLvl w:val="4"/>
    </w:pPr>
    <w:rPr>
      <w:rFonts w:asciiTheme="majorHAnsi" w:hAnsiTheme="majorHAnsi" w:eastAsiaTheme="majorEastAsia"/>
      <w:color w:val="000000"/>
      <w:szCs w:val="26"/>
      <w:lang w:val="en-GB" w:eastAsia="sv-SE"/>
    </w:rPr>
  </w:style>
  <w:style w:type="paragraph" w:styleId="P27">
    <w:name w:val="TOC 4"/>
    <w:basedOn w:val="P0"/>
    <w:next w:val="P0"/>
    <w:pPr>
      <w:ind w:left="660"/>
    </w:pPr>
    <w:rPr/>
  </w:style>
  <w:style w:type="paragraph" w:styleId="P28">
    <w:name w:val="TOC 5"/>
    <w:basedOn w:val="P0"/>
    <w:next w:val="P0"/>
    <w:pPr>
      <w:spacing w:after="100" w:beforeAutospacing="0" w:afterAutospacing="0"/>
      <w:ind w:left="800"/>
    </w:pPr>
    <w:rPr/>
  </w:style>
  <w:style w:type="paragraph" w:styleId="P29">
    <w:name w:val="List Bullet"/>
    <w:basedOn w:val="P0"/>
    <w:semiHidden/>
    <w:pPr>
      <w:numPr>
        <w:numId w:val="23"/>
      </w:numPr>
      <w:contextualSpacing w:val="1"/>
    </w:pPr>
    <w:rPr/>
  </w:style>
  <w:style w:type="paragraph" w:styleId="P30">
    <w:name w:val="Normal (Web)"/>
    <w:basedOn w:val="P0"/>
    <w:pPr>
      <w:spacing w:lineRule="atLeast" w:line="210" w:after="210" w:beforeAutospacing="0" w:afterAutospacing="0"/>
      <w:jc w:val="both"/>
    </w:pPr>
    <w:rPr>
      <w:sz w:val="17"/>
      <w:szCs w:val="17"/>
      <w:lang w:val="en-GB" w:eastAsia="en-GB"/>
    </w:rPr>
  </w:style>
  <w:style w:type="paragraph" w:styleId="P31">
    <w:name w:val="Startsida - Författare och datum"/>
    <w:basedOn w:val="P19"/>
    <w:semiHidden/>
    <w:pPr/>
    <w:rPr>
      <w:sz w:val="24"/>
    </w:rPr>
  </w:style>
  <w:style w:type="paragraph" w:styleId="P32">
    <w:name w:val="Default"/>
    <w:pPr/>
    <w:rPr>
      <w:rFonts w:ascii="Calibri" w:hAnsi="Calibri" w:cs="Calibri"/>
      <w:color w:val="000000"/>
      <w:lang w:val="sv-SE"/>
    </w:rPr>
  </w:style>
  <w:style w:type="paragraph" w:styleId="P33">
    <w:name w:val="Lista - Punkter"/>
    <w:basedOn w:val="P12"/>
    <w:qFormat/>
    <w:pPr>
      <w:numPr>
        <w:numId w:val="24"/>
      </w:numPr>
    </w:pPr>
    <w:rPr/>
  </w:style>
  <w:style w:type="paragraph" w:styleId="P34">
    <w:name w:val="Lista - Nummer"/>
    <w:basedOn w:val="P12"/>
    <w:qFormat/>
    <w:pPr>
      <w:numPr>
        <w:numId w:val="31"/>
      </w:numPr>
    </w:pPr>
    <w:rPr/>
  </w:style>
  <w:style w:type="paragraph" w:styleId="P35">
    <w:name w:val="Balloon Text"/>
    <w:basedOn w:val="P0"/>
    <w:link w:val="C23"/>
    <w:semiHidden/>
    <w:pPr/>
    <w:rPr>
      <w:rFonts w:ascii="Segoe UI" w:hAnsi="Segoe UI" w:cs="Segoe UI"/>
      <w:sz w:val="18"/>
      <w:szCs w:val="18"/>
    </w:rPr>
  </w:style>
  <w:style w:type="paragraph" w:styleId="P36">
    <w:name w:val="Sidhuvud förstasida"/>
    <w:basedOn w:val="P10"/>
    <w:semiHidden/>
    <w:pPr/>
    <w:rPr/>
  </w:style>
  <w:style w:type="paragraph" w:styleId="P37">
    <w:name w:val="Dold rad"/>
    <w:basedOn w:val="P36"/>
    <w:semiHidden/>
    <w:pPr/>
    <w:rPr>
      <w:sz w:val="2"/>
    </w:rPr>
  </w:style>
  <w:style w:type="paragraph" w:styleId="P38">
    <w:name w:val="Profile"/>
    <w:basedOn w:val="P0"/>
    <w:semiHidden/>
    <w:pPr/>
    <w:rPr/>
  </w:style>
  <w:style w:type="paragraph" w:styleId="P39">
    <w:name w:val="Tillägg"/>
    <w:basedOn w:val="P11"/>
    <w:semiHidden/>
    <w:pPr/>
    <w:rPr>
      <w:sz w:val="20"/>
    </w:rPr>
  </w:style>
  <w:style w:type="paragraph" w:styleId="P40">
    <w:name w:val="Dokumentinformation"/>
    <w:basedOn w:val="P0"/>
    <w:semiHidden/>
    <w:pPr>
      <w:spacing w:lineRule="atLeast" w:line="240" w:after="0" w:beforeAutospacing="0" w:afterAutospacing="0"/>
    </w:pPr>
    <w:rPr>
      <w:rFonts w:asciiTheme="majorHAnsi" w:hAnsiTheme="majorHAnsi"/>
      <w:sz w:val="20"/>
    </w:rPr>
  </w:style>
  <w:style w:type="paragraph" w:styleId="P41">
    <w:name w:val="Adress"/>
    <w:basedOn w:val="P0"/>
    <w:semiHidden/>
    <w:pPr/>
    <w:rPr>
      <w:rFonts w:asciiTheme="majorHAnsi" w:hAnsiTheme="majorHAnsi"/>
    </w:rPr>
  </w:style>
  <w:style w:type="paragraph" w:styleId="P42">
    <w:name w:val="Etikett"/>
    <w:basedOn w:val="P0"/>
    <w:semiHidden/>
    <w:qFormat/>
    <w:pPr>
      <w:spacing w:lineRule="auto" w:line="240" w:after="0" w:beforeAutospacing="0" w:afterAutospacing="0"/>
    </w:pPr>
    <w:rPr>
      <w:rFonts w:eastAsia="Times New Roman"/>
      <w:sz w:val="14"/>
      <w:szCs w:val="16"/>
    </w:rPr>
  </w:style>
  <w:style w:type="paragraph" w:styleId="P43">
    <w:name w:val="Underrubrik - framsida"/>
    <w:basedOn w:val="P0"/>
    <w:pPr>
      <w:spacing w:lineRule="auto" w:line="240" w:after="0" w:beforeAutospacing="0" w:afterAutospacing="0"/>
    </w:pPr>
    <w:rPr>
      <w:rFonts w:asciiTheme="majorHAnsi" w:hAnsiTheme="majorHAnsi"/>
      <w:sz w:val="48"/>
    </w:rPr>
  </w:style>
  <w:style w:type="paragraph" w:styleId="P44">
    <w:name w:val="Huvudrubrik - framsida"/>
    <w:basedOn w:val="P0"/>
    <w:next w:val="P0"/>
    <w:pPr>
      <w:spacing w:lineRule="auto" w:line="240" w:after="360" w:beforeAutospacing="0" w:afterAutospacing="0"/>
    </w:pPr>
    <w:rPr>
      <w:rFonts w:asciiTheme="majorHAnsi" w:hAnsiTheme="majorHAnsi"/>
      <w:b w:val="1"/>
      <w:sz w:val="72"/>
    </w:rPr>
  </w:style>
  <w:style w:type="paragraph" w:styleId="P45">
    <w:name w:val="Caption"/>
    <w:basedOn w:val="P0"/>
    <w:next w:val="P0"/>
    <w:semiHidden/>
    <w:pPr>
      <w:spacing w:lineRule="auto" w:line="240" w:after="200" w:beforeAutospacing="0" w:afterAutospacing="0"/>
    </w:pPr>
    <w:rPr>
      <w:iCs w:val="1"/>
      <w:sz w:val="20"/>
      <w:szCs w:val="18"/>
    </w:rPr>
  </w:style>
  <w:style w:type="paragraph" w:styleId="P46">
    <w:name w:val="annotation text"/>
    <w:basedOn w:val="P0"/>
    <w:link w:val="C26"/>
    <w:pPr>
      <w:spacing w:lineRule="auto" w:line="240" w:beforeAutospacing="0" w:afterAutospacing="0"/>
    </w:pPr>
    <w:rPr>
      <w:rFonts w:ascii="Calibri" w:hAnsi="Calibri"/>
      <w:sz w:val="20"/>
      <w:szCs w:val="20"/>
    </w:rPr>
  </w:style>
  <w:style w:type="paragraph" w:styleId="P47">
    <w:name w:val="Subtitle"/>
    <w:basedOn w:val="P0"/>
    <w:link w:val="C27"/>
    <w:pPr/>
    <w:rPr>
      <w:rFonts w:ascii="Calibri" w:hAnsi="Calibri"/>
      <w:i w:val="1"/>
      <w:color w:val="4F81BD"/>
      <w:sz w:val="24"/>
    </w:rPr>
  </w:style>
  <w:style w:type="paragraph" w:styleId="P48">
    <w:name w:val="Table Paragraph"/>
    <w:basedOn w:val="P0"/>
    <w:qFormat/>
    <w:pPr>
      <w:widowControl w:val="0"/>
      <w:spacing w:lineRule="auto" w:line="240" w:after="0" w:beforeAutospacing="0" w:afterAutospacing="0"/>
      <w:ind w:left="110"/>
    </w:pPr>
    <w:rPr>
      <w:rFonts w:ascii="Arial" w:hAnsi="Arial" w:cs="Arial" w:eastAsia="Arial"/>
    </w:rPr>
  </w:style>
  <w:style w:type="paragraph" w:styleId="P49">
    <w:name w:val="TOC 6"/>
    <w:basedOn w:val="P0"/>
    <w:next w:val="P0"/>
    <w:pPr>
      <w:spacing w:lineRule="auto" w:line="259" w:after="100" w:beforeAutospacing="0" w:afterAutospacing="0"/>
      <w:ind w:left="1100"/>
    </w:pPr>
    <w:rPr>
      <w:rFonts w:cstheme="minorBidi"/>
      <w:lang w:eastAsia="sv-SE"/>
    </w:rPr>
  </w:style>
  <w:style w:type="paragraph" w:styleId="P50">
    <w:name w:val="TOC 7"/>
    <w:basedOn w:val="P0"/>
    <w:next w:val="P0"/>
    <w:pPr>
      <w:spacing w:lineRule="auto" w:line="259" w:after="100" w:beforeAutospacing="0" w:afterAutospacing="0"/>
      <w:ind w:left="1320"/>
    </w:pPr>
    <w:rPr>
      <w:rFonts w:cstheme="minorBidi"/>
      <w:lang w:eastAsia="sv-SE"/>
    </w:rPr>
  </w:style>
  <w:style w:type="paragraph" w:styleId="P51">
    <w:name w:val="TOC 8"/>
    <w:basedOn w:val="P0"/>
    <w:next w:val="P0"/>
    <w:pPr>
      <w:spacing w:lineRule="auto" w:line="259" w:after="100" w:beforeAutospacing="0" w:afterAutospacing="0"/>
      <w:ind w:left="1540"/>
    </w:pPr>
    <w:rPr>
      <w:rFonts w:cstheme="minorBidi"/>
      <w:lang w:eastAsia="sv-SE"/>
    </w:rPr>
  </w:style>
  <w:style w:type="paragraph" w:styleId="P52">
    <w:name w:val="TOC 9"/>
    <w:basedOn w:val="P0"/>
    <w:next w:val="P0"/>
    <w:pPr>
      <w:spacing w:lineRule="auto" w:line="259" w:after="100" w:beforeAutospacing="0" w:afterAutospacing="0"/>
      <w:ind w:left="1760"/>
    </w:pPr>
    <w:rPr>
      <w:rFonts w:cstheme="minorBidi"/>
      <w:lang w:eastAsia="sv-SE"/>
    </w:rPr>
  </w:style>
  <w:style w:type="paragraph" w:styleId="P53">
    <w:name w:val="annotation subject"/>
    <w:basedOn w:val="P46"/>
    <w:next w:val="P46"/>
    <w:link w:val="C30"/>
    <w:semiHidden/>
    <w:pPr/>
    <w:rPr>
      <w:rFonts w:asciiTheme="minorHAnsi"/>
      <w:b w:val="1"/>
      <w:bCs w:val="1"/>
    </w:rPr>
  </w:style>
  <w:style w:type="paragraph" w:styleId="P54">
    <w:name w:val="Revision"/>
    <w:hidden/>
    <w:semiHidden/>
    <w:pPr>
      <w:spacing w:lineRule="auto" w:line="240" w:after="0" w:beforeAutospacing="0" w:afterAutospacing="0"/>
    </w:pPr>
    <w:rPr>
      <w:lang w:val="sv-SE"/>
    </w:rPr>
  </w:style>
  <w:style w:type="paragraph" w:styleId="P55">
    <w:name w:val="Endnote Text"/>
    <w:link w:val="C33"/>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auto"/>
      <w:u w:val="single"/>
    </w:rPr>
  </w:style>
  <w:style w:type="character" w:styleId="C3">
    <w:name w:val="Page Number"/>
    <w:basedOn w:val="C0"/>
    <w:semiHidden/>
    <w:rPr>
      <w:rFonts w:asciiTheme="majorHAnsi" w:hAnsiTheme="majorHAnsi"/>
      <w:color w:val="auto"/>
    </w:rPr>
  </w:style>
  <w:style w:type="character" w:styleId="C4">
    <w:name w:val="Rubrik 1 Char"/>
    <w:link w:val="P1"/>
    <w:rPr>
      <w:rFonts w:asciiTheme="majorHAnsi" w:hAnsiTheme="majorHAnsi" w:eastAsiaTheme="majorEastAsia"/>
      <w:b w:val="1"/>
      <w:bCs w:val="1"/>
      <w:color w:val="000000"/>
      <w:sz w:val="36"/>
      <w:szCs w:val="28"/>
      <w:lang w:val="sv-SE"/>
    </w:rPr>
  </w:style>
  <w:style w:type="character" w:styleId="C5">
    <w:name w:val="Rubrik 3 Char"/>
    <w:link w:val="P3"/>
    <w:rPr>
      <w:rFonts w:asciiTheme="majorHAnsi" w:hAnsiTheme="majorHAnsi" w:eastAsiaTheme="majorEastAsia"/>
      <w:b w:val="1"/>
      <w:bCs w:val="1"/>
      <w:lang w:val="sv-SE"/>
    </w:rPr>
  </w:style>
  <w:style w:type="character" w:styleId="C6">
    <w:name w:val="Rubrik 2 Char"/>
    <w:link w:val="P2"/>
    <w:rPr>
      <w:rFonts w:asciiTheme="majorHAnsi" w:hAnsiTheme="majorHAnsi" w:eastAsiaTheme="majorEastAsia"/>
      <w:b w:val="1"/>
      <w:bCs w:val="1"/>
      <w:color w:val="000000" w:themeColor="text1"/>
      <w:sz w:val="28"/>
      <w:szCs w:val="26"/>
      <w:lang w:val="sv-SE"/>
    </w:rPr>
  </w:style>
  <w:style w:type="character" w:styleId="C7">
    <w:name w:val="Rubrik 4 Char"/>
    <w:link w:val="P4"/>
    <w:semiHidden/>
    <w:rPr>
      <w:rFonts w:asciiTheme="majorHAnsi" w:hAnsiTheme="majorHAnsi"/>
      <w:b w:val="1"/>
      <w:bCs w:val="1"/>
      <w:iCs w:val="1"/>
      <w:lang w:val="sv-SE"/>
    </w:rPr>
  </w:style>
  <w:style w:type="character" w:styleId="C8">
    <w:name w:val="Rubrik 5 Char"/>
    <w:link w:val="P5"/>
    <w:semiHidden/>
    <w:rPr>
      <w:lang w:val="sv-SE"/>
    </w:rPr>
  </w:style>
  <w:style w:type="character" w:styleId="C9">
    <w:name w:val="Sidfot Char"/>
    <w:link w:val="P11"/>
    <w:semiHidden/>
    <w:rPr>
      <w:rFonts w:asciiTheme="majorHAnsi" w:hAnsiTheme="majorHAnsi"/>
      <w:sz w:val="16"/>
      <w:lang w:val="sv-SE"/>
    </w:rPr>
  </w:style>
  <w:style w:type="character" w:styleId="C10">
    <w:name w:val="Heading_1 No Char"/>
    <w:basedOn w:val="C6"/>
    <w:link w:val="P15"/>
    <w:semiHidden/>
    <w:rPr>
      <w:rFonts w:asciiTheme="majorHAnsi" w:hAnsiTheme="majorHAnsi" w:cs="Arial" w:eastAsiaTheme="majorEastAsia"/>
      <w:b w:val="0"/>
      <w:bCs w:val="0"/>
      <w:color w:val="000000"/>
      <w:sz w:val="32"/>
      <w:szCs w:val="26"/>
      <w:lang w:val="sv-SE" w:eastAsia="sv-SE"/>
    </w:rPr>
  </w:style>
  <w:style w:type="character" w:styleId="C11">
    <w:name w:val="Heading_2 No Char"/>
    <w:basedOn w:val="C6"/>
    <w:link w:val="P16"/>
    <w:semiHidden/>
    <w:rPr>
      <w:rFonts w:ascii="Arial" w:hAnsi="Arial" w:cs="Arial" w:eastAsiaTheme="majorEastAsia"/>
      <w:b w:val="0"/>
      <w:bCs w:val="0"/>
      <w:color w:val="000000" w:themeColor="text1"/>
      <w:sz w:val="28"/>
      <w:szCs w:val="26"/>
      <w:lang w:val="sv-SE" w:eastAsia="sv-SE"/>
    </w:rPr>
  </w:style>
  <w:style w:type="character" w:styleId="C12">
    <w:name w:val="Heading_3 No Char"/>
    <w:basedOn w:val="C6"/>
    <w:link w:val="P17"/>
    <w:semiHidden/>
    <w:rPr>
      <w:rFonts w:asciiTheme="majorHAnsi" w:hAnsiTheme="majorHAnsi" w:cs="Arial" w:eastAsiaTheme="majorEastAsia"/>
      <w:b w:val="0"/>
      <w:bCs w:val="0"/>
      <w:color w:val="000000" w:themeColor="text1"/>
      <w:sz w:val="28"/>
      <w:szCs w:val="26"/>
      <w:lang w:val="sv-SE" w:eastAsia="sv-SE"/>
    </w:rPr>
  </w:style>
  <w:style w:type="character" w:styleId="C13">
    <w:name w:val="Rubrik 6 Char"/>
    <w:link w:val="P6"/>
    <w:semiHidden/>
    <w:rPr>
      <w:iCs w:val="1"/>
      <w:lang w:val="sv-SE"/>
    </w:rPr>
  </w:style>
  <w:style w:type="character" w:styleId="C14">
    <w:name w:val="Rubrik 7 Char"/>
    <w:basedOn w:val="C0"/>
    <w:link w:val="P7"/>
    <w:semiHidden/>
    <w:rPr>
      <w:rFonts w:eastAsiaTheme="majorEastAsia"/>
      <w:iCs w:val="1"/>
      <w:lang w:val="sv-SE"/>
    </w:rPr>
  </w:style>
  <w:style w:type="character" w:styleId="C15">
    <w:name w:val="Rubrik 8 Char"/>
    <w:basedOn w:val="C0"/>
    <w:link w:val="P8"/>
    <w:semiHidden/>
    <w:rPr>
      <w:rFonts w:asciiTheme="majorHAnsi" w:hAnsiTheme="majorHAnsi" w:cstheme="majorBidi" w:eastAsiaTheme="majorEastAsia"/>
      <w:color w:val="404040" w:themeColor="text1" w:themeTint="BF"/>
      <w:lang w:val="sv-SE"/>
    </w:rPr>
  </w:style>
  <w:style w:type="character" w:styleId="C16">
    <w:name w:val="Rubrik 9 Char"/>
    <w:basedOn w:val="C0"/>
    <w:link w:val="P9"/>
    <w:semiHidden/>
    <w:rPr>
      <w:rFonts w:asciiTheme="majorHAnsi" w:hAnsiTheme="majorHAnsi" w:cstheme="majorBidi" w:eastAsiaTheme="majorEastAsia"/>
      <w:i w:val="1"/>
      <w:iCs w:val="1"/>
      <w:color w:val="404040" w:themeColor="text1" w:themeTint="BF"/>
    </w:rPr>
  </w:style>
  <w:style w:type="character" w:styleId="C17">
    <w:name w:val="Fotnotstext Char"/>
    <w:basedOn w:val="C0"/>
    <w:link w:val="P23"/>
    <w:rPr>
      <w:rFonts w:asciiTheme="majorHAnsi" w:hAnsiTheme="majorHAnsi"/>
      <w:sz w:val="20"/>
    </w:rPr>
  </w:style>
  <w:style w:type="character" w:styleId="C18">
    <w:name w:val="Heading_4 No Char"/>
    <w:basedOn w:val="C6"/>
    <w:link w:val="P25"/>
    <w:semiHidden/>
    <w:rPr>
      <w:rFonts w:asciiTheme="majorHAnsi" w:hAnsiTheme="majorHAnsi" w:cs="Arial" w:eastAsiaTheme="majorEastAsia"/>
      <w:b w:val="0"/>
      <w:bCs w:val="0"/>
      <w:color w:val="000000"/>
      <w:sz w:val="28"/>
      <w:szCs w:val="26"/>
      <w:lang w:val="sv-SE" w:eastAsia="sv-SE"/>
    </w:rPr>
  </w:style>
  <w:style w:type="character" w:styleId="C19">
    <w:name w:val="Heading_5 No Char"/>
    <w:basedOn w:val="C6"/>
    <w:link w:val="P26"/>
    <w:semiHidden/>
    <w:rPr>
      <w:rFonts w:asciiTheme="majorHAnsi" w:hAnsiTheme="majorHAnsi" w:eastAsiaTheme="majorEastAsia"/>
      <w:b w:val="1"/>
      <w:bCs w:val="0"/>
      <w:color w:val="000000"/>
      <w:sz w:val="28"/>
      <w:szCs w:val="26"/>
      <w:lang w:val="en-GB" w:eastAsia="sv-SE"/>
    </w:rPr>
  </w:style>
  <w:style w:type="character" w:styleId="C20">
    <w:name w:val="Footnote Reference"/>
    <w:basedOn w:val="C0"/>
    <w:semiHidden/>
    <w:rPr>
      <w:vertAlign w:val="superscript"/>
    </w:rPr>
  </w:style>
  <w:style w:type="character" w:styleId="C21">
    <w:name w:val="Sidhuvud Char"/>
    <w:link w:val="P10"/>
    <w:rPr>
      <w:rFonts w:asciiTheme="majorHAnsi" w:hAnsiTheme="majorHAnsi"/>
      <w:sz w:val="20"/>
      <w:lang w:val="sv-SE"/>
    </w:rPr>
  </w:style>
  <w:style w:type="character" w:styleId="C22">
    <w:name w:val="Olöst omnämnande1"/>
    <w:basedOn w:val="C0"/>
    <w:semiHidden/>
    <w:rPr>
      <w:color w:val="808080"/>
      <w:shd w:val="clear" w:color="auto" w:fill="E6E6E6"/>
    </w:rPr>
  </w:style>
  <w:style w:type="character" w:styleId="C23">
    <w:name w:val="Ballongtext Char"/>
    <w:basedOn w:val="C0"/>
    <w:link w:val="P35"/>
    <w:semiHidden/>
    <w:rPr>
      <w:rFonts w:ascii="Segoe UI" w:hAnsi="Segoe UI" w:cs="Segoe UI"/>
      <w:sz w:val="18"/>
      <w:szCs w:val="18"/>
    </w:rPr>
  </w:style>
  <w:style w:type="character" w:styleId="C24">
    <w:name w:val="Placeholder Text1"/>
    <w:basedOn w:val="C0"/>
    <w:semiHidden/>
    <w:rPr>
      <w:color w:val="808080"/>
    </w:rPr>
  </w:style>
  <w:style w:type="character" w:styleId="C25">
    <w:name w:val="annotation reference"/>
    <w:basedOn w:val="C0"/>
    <w:semiHidden/>
    <w:rPr>
      <w:sz w:val="16"/>
      <w:szCs w:val="16"/>
    </w:rPr>
  </w:style>
  <w:style w:type="character" w:styleId="C26">
    <w:name w:val="Kommentarer Char"/>
    <w:basedOn w:val="C0"/>
    <w:link w:val="P46"/>
    <w:rPr>
      <w:rFonts w:ascii="Calibri" w:hAnsi="Calibri"/>
      <w:sz w:val="20"/>
      <w:szCs w:val="20"/>
      <w:lang w:val="sv-SE"/>
    </w:rPr>
  </w:style>
  <w:style w:type="character" w:styleId="C27">
    <w:name w:val="Underrubrik Char"/>
    <w:basedOn w:val="C0"/>
    <w:link w:val="P47"/>
    <w:rPr>
      <w:rFonts w:ascii="Calibri" w:hAnsi="Calibri"/>
      <w:i w:val="1"/>
      <w:color w:val="4F81BD"/>
      <w:sz w:val="24"/>
      <w:lang w:val="sv-SE"/>
    </w:rPr>
  </w:style>
  <w:style w:type="character" w:styleId="C28">
    <w:name w:val="Strong"/>
    <w:basedOn w:val="C0"/>
    <w:qFormat/>
    <w:rPr>
      <w:b w:val="1"/>
      <w:bCs w:val="1"/>
    </w:rPr>
  </w:style>
  <w:style w:type="character" w:styleId="C29">
    <w:name w:val="Unresolved Mention1"/>
    <w:basedOn w:val="C0"/>
    <w:semiHidden/>
    <w:rPr>
      <w:color w:val="605E5C"/>
      <w:shd w:val="clear" w:color="auto" w:fill="E1DFDD"/>
    </w:rPr>
  </w:style>
  <w:style w:type="character" w:styleId="C30">
    <w:name w:val="Kommentarsämne Char"/>
    <w:basedOn w:val="C26"/>
    <w:link w:val="P53"/>
    <w:semiHidden/>
    <w:rPr>
      <w:rFonts w:ascii="Calibri" w:hAnsi="Calibri"/>
      <w:b w:val="1"/>
      <w:bCs w:val="1"/>
      <w:sz w:val="20"/>
      <w:szCs w:val="20"/>
      <w:lang w:val="sv-SE"/>
    </w:rPr>
  </w:style>
  <w:style w:type="character" w:styleId="C31">
    <w:name w:val="Footnote Text Char"/>
    <w:semiHidden/>
    <w:rPr>
      <w:sz w:val="20"/>
      <w:szCs w:val="20"/>
    </w:rPr>
  </w:style>
  <w:style w:type="character" w:styleId="C32">
    <w:name w:val="Endnote Reference"/>
    <w:semiHidden/>
    <w:rPr>
      <w:vertAlign w:val="superscript"/>
    </w:rPr>
  </w:style>
  <w:style w:type="character" w:styleId="C33">
    <w:name w:val="Endnote Text Char"/>
    <w:link w:val="P55"/>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after="0" w:beforeAutospacing="0" w:afterAutospacing="0"/>
    </w:pPr>
    <w:rPr>
      <w:rFonts w:eastAsia="Times New Roman"/>
    </w:rPr>
    <w:tblPr>
      <w:tblCellMar>
        <w:left w:w="0" w:type="dxa"/>
        <w:right w:w="0" w:type="dxa"/>
      </w:tblCellMar>
    </w:tblPr>
    <w:trPr/>
    <w:tcPr/>
  </w:style>
  <w:style w:type="table" w:styleId="T3">
    <w:name w:val="Grid Table 7 Colorful Accent 6"/>
    <w:basedOn w:val="T0"/>
    <w:rPr>
      <w:color w:val="E32057" w:themeColor="accent6" w:themeShade="BF"/>
    </w:rPr>
    <w:tblPr>
      <w:tblStyleRowBandSize w:val="1"/>
      <w:tblStyleColBandSize w:val="1"/>
      <w:tblBorders>
        <w:top w:val="single" w:sz="4" w:space="0" w:shadow="0" w:frame="0" w:color="F4A7BD" w:themeColor="accent6" w:themeTint="99"/>
        <w:left w:val="single" w:sz="4" w:space="0" w:shadow="0" w:frame="0" w:color="F4A7BD" w:themeColor="accent6" w:themeTint="99"/>
        <w:bottom w:val="single" w:sz="4" w:space="0" w:shadow="0" w:frame="0" w:color="F4A7BD" w:themeColor="accent6" w:themeTint="99"/>
        <w:right w:val="single" w:sz="4" w:space="0" w:shadow="0" w:frame="0" w:color="F4A7BD" w:themeColor="accent6" w:themeTint="99"/>
        <w:insideH w:val="single" w:sz="4" w:space="0" w:shadow="0" w:frame="0" w:color="F4A7BD" w:themeColor="accent6" w:themeTint="99"/>
        <w:insideV w:val="single" w:sz="4" w:space="0" w:shadow="0" w:frame="0" w:color="F4A7BD" w:themeColor="accent6" w:themeTint="99"/>
      </w:tblBorders>
    </w:tblPr>
    <w:trPr/>
    <w:tcPr/>
    <w:tblStylePr w:type="swCell">
      <w:tblPr/>
      <w:trPr/>
      <w:tcPr>
        <w:tcBorders>
          <w:top w:val="single" w:sz="4" w:space="0" w:shadow="0" w:frame="0" w:color="F4A7BD" w:themeColor="accent6" w:themeTint="99"/>
        </w:tcBorders>
      </w:tcPr>
    </w:tblStylePr>
    <w:tblStylePr w:type="seCell">
      <w:tblPr/>
      <w:trPr/>
      <w:tcPr>
        <w:tcBorders>
          <w:top w:val="single" w:sz="4" w:space="0" w:shadow="0" w:frame="0" w:color="F4A7BD" w:themeColor="accent6" w:themeTint="99"/>
        </w:tcBorders>
      </w:tcPr>
    </w:tblStylePr>
    <w:tblStylePr w:type="nwCell">
      <w:tblPr/>
      <w:trPr/>
      <w:tcPr>
        <w:tcBorders>
          <w:bottom w:val="single" w:sz="4" w:space="0" w:shadow="0" w:frame="0" w:color="F4A7BD" w:themeColor="accent6" w:themeTint="99"/>
        </w:tcBorders>
      </w:tcPr>
    </w:tblStylePr>
    <w:tblStylePr w:type="neCell">
      <w:tblPr/>
      <w:trPr/>
      <w:tcPr>
        <w:tcBorders>
          <w:bottom w:val="single" w:sz="4" w:space="0" w:shadow="0" w:frame="0" w:color="F4A7BD" w:themeColor="accent6" w:themeTint="99"/>
        </w:tcBorders>
      </w:tcPr>
    </w:tblStylePr>
    <w:tblStylePr w:type="band1Horz">
      <w:tblPr/>
      <w:trPr/>
      <w:tcPr>
        <w:shd w:val="clear" w:color="auto" w:fill="FBE2E9" w:themeFill="accent6" w:themeFillTint="32"/>
      </w:tcPr>
    </w:tblStylePr>
    <w:tblStylePr w:type="band1Vert">
      <w:tblPr/>
      <w:trPr/>
      <w:tcPr>
        <w:shd w:val="clear" w:color="auto" w:fill="FBE2E9" w:themeFill="accent6" w:themeFillTint="32"/>
      </w:tcPr>
    </w:tblStylePr>
    <w:tblStylePr w:type="lastCol">
      <w:rPr>
        <w:i w:val="1"/>
        <w:iCs w:val="1"/>
      </w:rPr>
      <w:tblPr/>
      <w:trPr/>
      <w:tcPr>
        <w:tcBorders>
          <w:top w:val="nil"/>
          <w:bottom w:val="nil"/>
          <w:right w:val="nil"/>
          <w:insideH w:val="nil"/>
          <w:insideV w:val="nil"/>
        </w:tcBorders>
        <w:shd w:val="clear" w:color="auto" w:fill="FFFFFF" w:themeFill="background1"/>
      </w:tcPr>
    </w:tblStylePr>
    <w:tblStylePr w:type="firstCol">
      <w:pPr>
        <w:jc w:val="right"/>
      </w:pPr>
      <w:rPr>
        <w:i w:val="1"/>
        <w:iCs w:val="1"/>
      </w:rPr>
      <w:tblPr/>
      <w:trPr/>
      <w:tcPr>
        <w:tcBorders>
          <w:top w:val="nil"/>
          <w:left w:val="nil"/>
          <w:bottom w:val="nil"/>
          <w:insideH w:val="nil"/>
          <w:insideV w:val="nil"/>
        </w:tcBorders>
        <w:shd w:val="clear" w:color="auto" w:fill="FFFFFF" w:themeFill="background1"/>
      </w:tcPr>
    </w:tblStylePr>
    <w:tblStylePr w:type="lastRow">
      <w:rPr>
        <w:b w:val="1"/>
        <w:bCs w:val="1"/>
      </w:rPr>
      <w:tblPr/>
      <w:trPr/>
      <w:tcPr>
        <w:tcBorders>
          <w:left w:val="nil"/>
          <w:bottom w:val="nil"/>
          <w:right w:val="nil"/>
          <w:insideH w:val="nil"/>
          <w:insideV w:val="nil"/>
        </w:tcBorders>
        <w:shd w:val="clear" w:color="auto" w:fill="FFFFFF" w:themeFill="background1"/>
      </w:tcPr>
    </w:tblStylePr>
    <w:tblStylePr w:type="firstRow">
      <w:rPr>
        <w:b w:val="1"/>
        <w:bCs w:val="1"/>
      </w:rPr>
      <w:tblPr/>
      <w:trPr/>
      <w:tcPr>
        <w:tcBorders>
          <w:top w:val="nil"/>
          <w:left w:val="nil"/>
          <w:right w:val="nil"/>
          <w:insideH w:val="nil"/>
          <w:insideV w:val="nil"/>
        </w:tcBorders>
        <w:shd w:val="clear" w:color="auto" w:fill="FFFFFF" w:themeFill="background1"/>
      </w:tcPr>
    </w:tblStylePr>
  </w:style>
  <w:style w:type="table" w:styleId="T4">
    <w:name w:val="Grid Table Light"/>
    <w:basedOn w:val="T0"/>
    <w:tblPr>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style>
  <w:style w:type="table" w:styleId="T5">
    <w:name w:val="Ödeshögs kommun - utan linjer"/>
    <w:basedOn w:val="T0"/>
    <w:pPr>
      <w:spacing w:lineRule="auto" w:line="240" w:after="0" w:beforeAutospacing="0" w:afterAutospacing="0"/>
    </w:pPr>
    <w:rPr>
      <w:rFonts w:asciiTheme="majorHAnsi" w:hAnsiTheme="majorHAnsi"/>
    </w:rPr>
    <w:tblPr>
      <w:tblCellMar>
        <w:left w:w="0" w:type="dxa"/>
        <w:right w:w="0" w:type="dxa"/>
      </w:tblCellMar>
    </w:tblPr>
    <w:trPr/>
    <w:tcPr/>
    <w:tblStylePr w:type="firstRow">
      <w:rPr>
        <w:rFonts w:asciiTheme="majorHAnsi" w:hAnsiTheme="majorHAnsi"/>
        <w:b w:val="0"/>
      </w:rPr>
      <w:tblPr/>
      <w:trPr/>
      <w:tcPr/>
    </w:tblStylePr>
  </w:style>
  <w:style w:type="table" w:styleId="T6">
    <w:name w:val="Ödeshögs kommun - med linjer"/>
    <w:basedOn w:val="T0"/>
    <w:pPr>
      <w:spacing w:after="0" w:beforeAutospacing="0" w:afterAutospacing="0"/>
    </w:pPr>
    <w:tblPr>
      <w:tblBorders>
        <w:top w:val="single" w:sz="4" w:space="0" w:shadow="0" w:frame="0" w:color="7F7F7F" w:themeColor="text1" w:themeTint="80"/>
        <w:left w:val="single" w:sz="4" w:space="0" w:shadow="0" w:frame="0" w:color="7F7F7F" w:themeColor="text1" w:themeTint="80"/>
        <w:bottom w:val="single" w:sz="4" w:space="0" w:shadow="0" w:frame="0" w:color="7F7F7F" w:themeColor="text1" w:themeTint="80"/>
        <w:right w:val="single" w:sz="4" w:space="0" w:shadow="0" w:frame="0" w:color="7F7F7F" w:themeColor="text1" w:themeTint="80"/>
        <w:insideH w:val="single" w:sz="4" w:space="0" w:shadow="0" w:frame="0" w:color="7F7F7F" w:themeColor="text1" w:themeTint="80"/>
        <w:insideV w:val="single" w:sz="4" w:space="0" w:shadow="0" w:frame="0" w:color="7F7F7F" w:themeColor="text1" w:themeTint="80"/>
      </w:tblBorders>
      <w:tblCellMar>
        <w:top w:w="57" w:type="dxa"/>
        <w:left w:w="57" w:type="dxa"/>
        <w:bottom w:w="57" w:type="dxa"/>
        <w:right w:w="57" w:type="dxa"/>
      </w:tblCellMar>
    </w:tblPr>
    <w:trPr/>
    <w:tcPr/>
    <w:tblStylePr w:type="firstRow">
      <w:rPr>
        <w:rFonts w:asciiTheme="majorHAnsi" w:hAnsiTheme="majorHAnsi"/>
        <w:b w:val="1"/>
      </w:rPr>
      <w:tblPr/>
      <w:trPr/>
      <w:tcPr/>
    </w:tblStylePr>
  </w:style>
  <w:style w:type="table" w:styleId="T7">
    <w:name w:val="Ödeshögs kommun tabell"/>
    <w:basedOn w:val="T0"/>
    <w:pPr>
      <w:spacing w:after="0" w:beforeAutospacing="0" w:afterAutospacing="0"/>
    </w:pPr>
    <w:tblPr>
      <w:tblStyleRowBandSize w:val="1"/>
      <w:tblBorders>
        <w:bottom w:val="single" w:sz="4" w:space="0" w:shadow="0" w:frame="0" w:color="auto"/>
        <w:insideH w:val="single" w:sz="4" w:space="0" w:shadow="0" w:frame="0" w:color="auto"/>
        <w:insideV w:val="single" w:sz="4" w:space="0" w:shadow="0" w:frame="0" w:color="auto"/>
      </w:tblBorders>
      <w:tblCellMar>
        <w:top w:w="57" w:type="dxa"/>
        <w:left w:w="57" w:type="dxa"/>
        <w:bottom w:w="57" w:type="dxa"/>
        <w:right w:w="57" w:type="dxa"/>
      </w:tblCellMar>
    </w:tblPr>
    <w:trPr/>
    <w:tcPr/>
    <w:tblStylePr w:type="firstRow">
      <w:rPr>
        <w:rFonts w:asciiTheme="majorHAnsi" w:hAnsiTheme="majorHAnsi"/>
        <w:b w:val="1"/>
        <w:color w:val="FFFFFF" w:themeColor="background1"/>
        <w:sz w:val="21"/>
      </w:rPr>
      <w:tblPr/>
      <w:trPr/>
      <w:tcPr>
        <w:tcBorders>
          <w:top w:val="nil"/>
          <w:left w:val="nil"/>
          <w:bottom w:val="nil"/>
          <w:right w:val="nil"/>
          <w:insideH w:val="nil"/>
          <w:insideV w:val="nil"/>
          <w:tl2br w:val="nil"/>
          <w:tr2bl w:val="nil"/>
        </w:tcBorders>
        <w:shd w:val="clear" w:color="auto" w:fill="F9B000" w:themeFill="accent1"/>
      </w:tcPr>
    </w:tblStylePr>
  </w:style>
  <w:style w:type="table" w:styleId="T8">
    <w:name w:val="Table Normal1"/>
    <w:semiHidden/>
    <w:qFormat/>
    <w:pPr>
      <w:widowControl w:val="0"/>
      <w:spacing w:lineRule="auto" w:line="240" w:after="0" w:beforeAutospacing="0" w:afterAutospacing="0"/>
    </w:pPr>
    <w:rPr>
      <w:rFonts w:cstheme="minorBidi" w:eastAsiaTheme="minorHAnsi"/>
    </w:rPr>
    <w:tblPr>
      <w:tblInd w:w="0" w:type="dxa"/>
      <w:tblCellMar>
        <w:top w:w="0" w:type="dxa"/>
        <w:left w:w="0" w:type="dxa"/>
        <w:bottom w:w="0" w:type="dxa"/>
        <w:right w:w="0" w:type="dxa"/>
      </w:tblCellMar>
    </w:tblPr>
    <w:trPr/>
    <w:tcPr/>
  </w:style>
  <w:style w:type="table" w:styleId="T9">
    <w:name w:val="Tabellrutnät1"/>
    <w:basedOn w:val="T0"/>
    <w:pPr>
      <w:spacing w:after="0" w:beforeAutospacing="0" w:afterAutospacing="0"/>
    </w:pPr>
    <w:rPr>
      <w:rFonts w:ascii="Calibri" w:hAnsi="Calibri" w:eastAsia="Times New Roman"/>
    </w:rPr>
    <w:tblPr>
      <w:tblCellMar>
        <w:left w:w="0" w:type="dxa"/>
        <w:right w:w="0" w:type="dxa"/>
      </w:tblCellMar>
    </w:tblPr>
    <w:trPr/>
    <w:tcPr/>
  </w:style>
  <w:style w:type="table" w:styleId="T10">
    <w:name w:val="Tabellrutnät2"/>
    <w:basedOn w:val="T0"/>
    <w:pPr>
      <w:spacing w:after="0" w:beforeAutospacing="0" w:afterAutospacing="0"/>
    </w:pPr>
    <w:rPr>
      <w:rFonts w:ascii="Calibri" w:hAnsi="Calibri" w:eastAsia="Times New Roman"/>
    </w:rPr>
    <w:tblPr>
      <w:tblCellMar>
        <w:left w:w="0" w:type="dxa"/>
        <w:right w:w="0" w:type="dxa"/>
      </w:tblCellMar>
    </w:tblPr>
    <w:trPr/>
    <w:tcPr/>
  </w:style>
  <w:style w:type="numbering" w:styleId="N0">
    <w:name w:val="No List"/>
  </w:style>
  <w:style w:type="numbering" w:styleId="N1">
    <w:name w:val="Company_List"/>
    <w:pPr>
      <w:numPr>
        <w:numId w:val="21"/>
      </w:numPr>
    </w:pPr>
  </w:style>
  <w:style w:type="numbering" w:styleId="N2">
    <w:name w:val="Company_ListBullet"/>
    <w:pPr>
      <w:numPr>
        <w:numId w:val="22"/>
      </w:numPr>
    </w:pPr>
  </w:style>
  <w:style w:type="numbering" w:styleId="N3">
    <w:name w:val="Nummer lista"/>
    <w:pPr>
      <w:numPr>
        <w:numId w:val="1"/>
      </w:numPr>
    </w:pPr>
  </w:style>
  <w:style w:type="numbering" w:styleId="N4">
    <w:name w:val="Punkter lista"/>
    <w:pPr>
      <w:numPr>
        <w:numId w:val="2"/>
      </w:numPr>
    </w:pPr>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pn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jp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jp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jpg" /><Relationship Id="Relimage17" Type="http://schemas.openxmlformats.org/officeDocument/2006/relationships/image" Target="/media/image17.jpg" /><Relationship Id="Relimage18" Type="http://schemas.openxmlformats.org/officeDocument/2006/relationships/image" Target="/media/image18.png" /><Relationship Id="Relimage19" Type="http://schemas.openxmlformats.org/officeDocument/2006/relationships/image" Target="/media/image19.jpg" /><Relationship Id="Relimage20" Type="http://schemas.openxmlformats.org/officeDocument/2006/relationships/image" Target="/media/image20.jpg" /><Relationship Id="Relimage21" Type="http://schemas.openxmlformats.org/officeDocument/2006/relationships/image" Target="/media/image21.jpg" /><Relationship Id="Relimage22" Type="http://schemas.openxmlformats.org/officeDocument/2006/relationships/image" Target="/media/image22.pn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image27" Type="http://schemas.openxmlformats.org/officeDocument/2006/relationships/image" Target="/media/image27.emf" /><Relationship Id="Relimage28" Type="http://schemas.openxmlformats.org/officeDocument/2006/relationships/image" Target="/media/image28.png" /><Relationship Id="Relimage29" Type="http://schemas.openxmlformats.org/officeDocument/2006/relationships/image" Target="/media/image29.png" /><Relationship Id="Relimage30" Type="http://schemas.openxmlformats.org/officeDocument/2006/relationships/image" Target="/media/image30.jpg" /><Relationship Id="Relimage31" Type="http://schemas.openxmlformats.org/officeDocument/2006/relationships/image" Target="/media/image31.jpg" /><Relationship Id="Relimage32" Type="http://schemas.openxmlformats.org/officeDocument/2006/relationships/image" Target="/media/image32.png" /><Relationship Id="Relimage33" Type="http://schemas.openxmlformats.org/officeDocument/2006/relationships/image" Target="/media/image33.png" /><Relationship Id="Relimage34" Type="http://schemas.openxmlformats.org/officeDocument/2006/relationships/image" Target="/media/image34.png" /><Relationship Id="Relimage35" Type="http://schemas.openxmlformats.org/officeDocument/2006/relationships/image" Target="/media/image35.png" /><Relationship Id="Relimage36" Type="http://schemas.openxmlformats.org/officeDocument/2006/relationships/image" Target="/media/image36.png" /><Relationship Id="Relimage37" Type="http://schemas.openxmlformats.org/officeDocument/2006/relationships/image" Target="/media/image37.png" /><Relationship Id="Relimage38" Type="http://schemas.openxmlformats.org/officeDocument/2006/relationships/image" Target="/media/image38.png" /><Relationship Id="Relimage39" Type="http://schemas.openxmlformats.org/officeDocument/2006/relationships/image" Target="/media/image39.png" /><Relationship Id="Relimage40" Type="http://schemas.openxmlformats.org/officeDocument/2006/relationships/image" Target="/media/image40.emf" /><Relationship Id="Relimage41" Type="http://schemas.openxmlformats.org/officeDocument/2006/relationships/image" Target="/media/image41.emf" /><Relationship Id="Relimage42" Type="http://schemas.openxmlformats.org/officeDocument/2006/relationships/image" Target="/media/image42.png" /><Relationship Id="Relimage43" Type="http://schemas.openxmlformats.org/officeDocument/2006/relationships/image" Target="/media/image43.png" /><Relationship Id="Relimage44" Type="http://schemas.openxmlformats.org/officeDocument/2006/relationships/image" Target="/media/image44.png" /><Relationship Id="Relimage45" Type="http://schemas.openxmlformats.org/officeDocument/2006/relationships/image" Target="/media/image45.emf" /><Relationship Id="Relimage46" Type="http://schemas.openxmlformats.org/officeDocument/2006/relationships/image" Target="/media/image46.png" /><Relationship Id="Relimage47" Type="http://schemas.openxmlformats.org/officeDocument/2006/relationships/image" Target="/media/image47.png"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er3.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48" Type="http://schemas.openxmlformats.org/officeDocument/2006/relationships/image" Target="/media/image48.png" /><Relationship Id="Relimage49" Type="http://schemas.openxmlformats.org/officeDocument/2006/relationships/image" Target="/media/image49.png" /></Relationships>
</file>

<file path=word/_rels/header2.xml.rels>&#65279;<?xml version="1.0" encoding="utf-8"?><Relationships xmlns="http://schemas.openxmlformats.org/package/2006/relationships" />
</file>

<file path=word/_rels/header3.xml.rels>&#65279;<?xml version="1.0" encoding="utf-8"?><Relationships xmlns="http://schemas.openxmlformats.org/package/2006/relationships" />
</file>

<file path=word/theme/theme1.xml><?xml version="1.0" encoding="utf-8"?>
<a:theme xmlns:a="http://schemas.openxmlformats.org/drawingml/2006/main" name="Office Theme">
  <a:themeElements>
    <a:clrScheme name="Ödeshögs kommun">
      <a:dk1>
        <a:sysClr val="windowText" lastClr="000000"/>
      </a:dk1>
      <a:lt1>
        <a:sysClr val="window" lastClr="FFFFFF"/>
      </a:lt1>
      <a:dk2>
        <a:srgbClr val="A5A5A5"/>
      </a:dk2>
      <a:lt2>
        <a:srgbClr val="7F7F7F"/>
      </a:lt2>
      <a:accent1>
        <a:srgbClr val="F9B000"/>
      </a:accent1>
      <a:accent2>
        <a:srgbClr val="3EA3DC"/>
      </a:accent2>
      <a:accent3>
        <a:srgbClr val="E40040"/>
      </a:accent3>
      <a:accent4>
        <a:srgbClr val="FFDF43"/>
      </a:accent4>
      <a:accent5>
        <a:srgbClr val="6B9531"/>
      </a:accent5>
      <a:accent6>
        <a:srgbClr val="ED6D91"/>
      </a:accent6>
      <a:hlink>
        <a:srgbClr val="000000"/>
      </a:hlink>
      <a:folHlink>
        <a:srgbClr val="000000"/>
      </a:folHlink>
    </a:clrScheme>
    <a:fontScheme name="Ödeshögs kommu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lanbeskrivning xmlns:lmg="http://namespace.lantmateriet.se/distribution/geometri/v2" xmlns:gml="http://www.opengis.net/gml/3.2" xmlns="http://namespace.lantmateriet.se/distribution/geodatakatalog/planbeskrivning/v2">
  <versionGiltigFran>2026-02-03T11:50:37.8430783+01:00</versionGiltigFran>
  <detaljplansreferens>5a49e703-1b3a-4f62-86a8-7b3ba6926521</detaljplansreferens>
  <Objektmetadata>
    <programvara>GEOSECMA</programvara>
    <programvaruversion>20.6</programvaruversion>
  </Objektmetadata>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be_ärendeinformation03</identitet>
    <Lage>
      <planomrade>true</planomrade>
    </Lage>
    <Indelning>
      <tema>Beskrivning av detaljplanen</tema>
      <grupp>Ärendeinformation</grupp>
    </Indelning>
  </Omfattning>
  <Omfattning>
    <identitet>be_ärendeinformation04</identitet>
    <Lage>
      <planomrade>true</planomrade>
    </Lage>
    <Indelning>
      <tema>Beskrivning av detaljplanen</tema>
      <grupp>Ärendeinformation</grupp>
    </Indelning>
  </Omfattning>
  <Omfattning>
    <identitet>pf_fysiskmiljö01</identitet>
    <Lage>
      <planomrade>true</planomrade>
    </Lage>
    <Indelning>
      <tema>Planeringsförutsättningar</tema>
      <grupp>Fysisk miljö</grupp>
    </Indelning>
  </Omfattning>
  <Omfattning>
    <identitet>pf_fysiskmiljö02</identitet>
    <Lage>
      <planomrade>true</planomrade>
    </Lage>
    <Indelning>
      <tema>Planeringsförutsättningar</tema>
      <grupp>Fysisk miljö</grupp>
    </Indelning>
  </Omfattning>
  <Omfattning>
    <identitet>pu_detaljplan01</identitet>
    <Lage>
      <planomrade>true</planomrade>
    </Lage>
    <Indelning>
      <tema>Planeringsunderlag</tema>
      <grupp>Kommunala</grupp>
      <undergrupp>Detaljplan</undergrupp>
    </Indelning>
  </Omfattning>
  <Omfattning>
    <identitet>be_genomförandetid01</identitet>
    <Lage>
      <planomrade>true</planomrade>
    </Lage>
    <Indelning>
      <tema>Beskrivning av detaljplanen</tema>
      <grupp>Genomförandetid</grupp>
    </Indelning>
  </Omfattning>
  <Omfattning>
    <identitet>pu_översiktsplan01</identitet>
    <Lage>
      <planomrade>true</planomrade>
    </Lage>
    <Indelning>
      <tema>Planeringsunderlag</tema>
      <grupp>Kommunala</grupp>
      <undergrupp>Översiktsplan</undergrupp>
    </Indelning>
  </Omfattning>
  <Omfattning>
    <identitet>pu_detaljplan02</identitet>
    <Lage>
      <planomrade>true</planomrade>
    </Lage>
    <Indelning>
      <tema>Planeringsunderlag</tema>
      <grupp>Kommunala</grupp>
      <undergrupp>Detaljplan</undergrupp>
    </Indelning>
  </Omfattning>
  <Omfattning>
    <identitet>pu_kommunala01</identitet>
    <Lage>
      <planomrade>true</planomrade>
    </Lage>
    <Indelning>
      <tema>Planeringsunderlag</tema>
      <grupp>Kommunala</grupp>
    </Indelning>
  </Omfattning>
  <Omfattning>
    <identitet>pf_riksintressen01</identitet>
    <Lage>
      <planomrade>true</planomrade>
    </Lage>
    <Indelning>
      <tema>Planeringsförutsättningar</tema>
      <grupp>Riksintressen</grupp>
    </Indelning>
  </Omfattning>
  <Omfattning>
    <identitet>pf_naturvård01</identitet>
    <Lage>
      <planomrade>true</planomrade>
    </Lage>
    <Indelning>
      <tema>Planeringsförutsättningar</tema>
      <grupp>Riksintressen</grupp>
      <undergrupp>Naturvård</undergrupp>
    </Indelning>
  </Omfattning>
  <Omfattning>
    <identitet>pf_rörligtfriluftsliv01</identitet>
    <Lage>
      <planomrade>true</planomrade>
    </Lage>
    <Indelning>
      <tema>Planeringsförutsättningar</tema>
      <grupp>Riksintressen</grupp>
      <undergrupp>Rörligt friluftsliv</undergrupp>
    </Indelning>
  </Omfattning>
  <Omfattning>
    <identitet>pf_natura200001</identitet>
    <Lage>
      <planomrade>true</planomrade>
    </Lage>
    <Indelning>
      <tema>Planeringsförutsättningar</tema>
      <grupp>Riksintressen</grupp>
      <undergrupp>Natura 2000</undergrupp>
    </Indelning>
  </Omfattning>
  <Omfattning>
    <identitet>pf_natura200002</identitet>
    <Lage>
      <planomrade>true</planomrade>
    </Lage>
    <Indelning>
      <tema>Planeringsförutsättningar</tema>
      <grupp>Riksintressen</grupp>
      <undergrupp>Natura 2000</undergrupp>
    </Indelning>
  </Omfattning>
  <Omfattning>
    <identitet>pf_yrkesfiske01</identitet>
    <Lage>
      <planomrade>true</planomrade>
    </Lage>
    <Indelning>
      <tema>Planeringsförutsättningar</tema>
      <grupp>Riksintressen</grupp>
      <undergrupp>Yrkesfiske</undergrupp>
    </Indelning>
  </Omfattning>
  <Omfattning>
    <identitet>pf_områdesbestämmelser01</identitet>
    <Lage>
      <planomrade>true</planomrade>
    </Lage>
    <Indelning>
      <tema>Planeringsförutsättningar</tema>
      <grupp>Kommunala</grupp>
      <undergrupp>Områdesbestämmelser</undergrupp>
    </Indelning>
  </Omfattning>
  <Omfattning>
    <identitet>pf_totalförsvar01</identitet>
    <Lage>
      <planomrade>true</planomrade>
    </Lage>
    <Indelning>
      <tema>Planeringsförutsättningar</tema>
      <grupp>Riksintressen</grupp>
      <undergrupp>Totalförsvar</undergrupp>
    </Indelning>
  </Omfattning>
  <Omfattning>
    <identitet>pf_trafikkommunikation01</identitet>
    <Lage>
      <planomrade>true</planomrade>
    </Lage>
    <Indelning>
      <tema>Planeringsförutsättningar</tema>
      <grupp>Riksintressen</grupp>
      <undergrupp>Trafikkommunikation</undergrupp>
    </Indelning>
  </Omfattning>
  <Omfattning>
    <identitet>pf_strandskydd01</identitet>
    <Lage>
      <planomrade>true</planomrade>
    </Lage>
    <Indelning>
      <tema>Planeringsförutsättningar</tema>
      <grupp>Miljö</grupp>
      <undergrupp>Strandskydd</undergrupp>
    </Indelning>
  </Omfattning>
  <Omfattning>
    <identitet>pf_fysiskmiljö03</identitet>
    <Lage>
      <planomrade>true</planomrade>
    </Lage>
    <Indelning>
      <tema>Planeringsförutsättningar</tema>
      <grupp>Fysisk miljö</grupp>
    </Indelning>
  </Omfattning>
  <Omfattning>
    <identitet>ko_landskapsbild01</identitet>
    <Lage>
      <planomrade>true</planomrade>
    </Lage>
    <Indelning>
      <tema>Konsekvenser</tema>
      <grupp>Natur</grupp>
      <undergrupp>Landskapsbild</undergrupp>
    </Indelning>
  </Omfattning>
  <Omfattning>
    <identitet>ko_landskapsbild02</identitet>
    <Lage>
      <planomrade>true</planomrade>
    </Lage>
    <Indelning>
      <tema>Konsekvenser</tema>
      <grupp>Natur</grupp>
      <undergrupp>Landskapsbild</undergrupp>
    </Indelning>
  </Omfattning>
  <Omfattning>
    <identitet>pf_kulturmiljö01</identitet>
    <Lage>
      <planomrade>true</planomrade>
    </Lage>
    <Indelning>
      <tema>Planeringsförutsättningar</tema>
      <grupp>Kulturmiljö</grupp>
    </Indelning>
  </Omfattning>
  <Omfattning>
    <identitet>ko_kulturmiljövård01</identitet>
    <Lage>
      <planomrade>true</planomrade>
    </Lage>
    <Indelning>
      <tema>Konsekvenser</tema>
      <grupp>Riksintresse</grupp>
      <undergrupp>Kulturmiljövård</undergrupp>
    </Indelning>
  </Omfattning>
  <Omfattning>
    <identitet>pf_kulturmiljö02</identitet>
    <Lage>
      <planomrade>true</planomrade>
    </Lage>
    <Indelning>
      <tema>Planeringsförutsättningar</tema>
      <grupp>Kulturmiljö</grupp>
    </Indelning>
  </Omfattning>
  <Omfattning>
    <identitet>pu_naturinventering01</identitet>
    <Lage>
      <planomrade>true</planomrade>
    </Lage>
    <Indelning>
      <tema>Planeringsunderlag</tema>
      <grupp>Utredningar</grupp>
      <undergrupp>Naturinventering</undergrupp>
    </Indelning>
  </Omfattning>
  <Omfattning>
    <identitet>ko_natur01</identitet>
    <Lage>
      <planomrade>true</planomrade>
    </Lage>
    <Indelning>
      <tema>Konsekvenser</tema>
      <grupp>Natur</grupp>
    </Indelning>
  </Omfattning>
  <Omfattning>
    <identitet>pu_naturinventering02</identitet>
    <Lage>
      <planomrade>true</planomrade>
    </Lage>
    <Indelning>
      <tema>Planeringsunderlag</tema>
      <grupp>Utredningar</grupp>
      <undergrupp>Naturinventering</undergrupp>
    </Indelning>
  </Omfattning>
  <Omfattning>
    <identitet>ko_natur02</identitet>
    <Lage>
      <planomrade>true</planomrade>
    </Lage>
    <Indelning>
      <tema>Konsekvenser</tema>
      <grupp>Natur</grupp>
    </Indelning>
  </Omfattning>
  <Omfattning>
    <identitet>ko_trafik01</identitet>
    <Lage>
      <planomrade>true</planomrade>
    </Lage>
    <Indelning>
      <tema>Konsekvenser</tema>
      <grupp>Trafik</grupp>
    </Indelning>
  </Omfattning>
  <Omfattning>
    <identitet>ko_trafik02</identitet>
    <Lage>
      <planomrade>true</planomrade>
    </Lage>
    <Indelning>
      <tema>Konsekvenser</tema>
      <grupp>Trafik</grupp>
    </Indelning>
  </Omfattning>
  <Omfattning>
    <identitet>ko_gångochcykeltrafik01</identitet>
    <Lage>
      <planomrade>true</planomrade>
    </Lage>
    <Indelning>
      <tema>Konsekvenser</tema>
      <grupp>Trafik</grupp>
      <undergrupp>Gång- och cykeltrafik</undergrupp>
    </Indelning>
  </Omfattning>
  <Omfattning>
    <identitet>ko_trafik03</identitet>
    <Lage>
      <planomrade>true</planomrade>
    </Lage>
    <Indelning>
      <tema>Konsekvenser</tema>
      <grupp>Trafik</grupp>
    </Indelning>
  </Omfattning>
  <Omfattning>
    <identitet>pf_geotekniskaförhållanden01</identitet>
    <Lage>
      <planomrade>true</planomrade>
    </Lage>
    <Indelning>
      <tema>Planeringsförutsättningar</tema>
      <grupp>Geotekniska förhållanden</grupp>
    </Indelning>
  </Omfattning>
  <Omfattning>
    <identitet>pf_hälsaochsäkerhet01</identitet>
    <Lage>
      <planomrade>true</planomrade>
    </Lage>
    <Indelning>
      <tema>Planeringsförutsättningar</tema>
      <grupp>Hälsa och säkerhet</grupp>
    </Indelning>
  </Omfattning>
  <Omfattning>
    <identitet>ko_hälsaochsäkerhet01</identitet>
    <Lage>
      <planomrade>true</planomrade>
    </Lage>
    <Indelning>
      <tema>Konsekvenser</tema>
      <grupp>Hälsa och säkerhet</grupp>
    </Indelning>
  </Omfattning>
  <Omfattning>
    <identitet>pf_hälsaochsäkerhet02</identitet>
    <Lage>
      <planomrade>true</planomrade>
    </Lage>
    <Indelning>
      <tema>Planeringsförutsättningar</tema>
      <grupp>Hälsa och säkerhet</grupp>
    </Indelning>
  </Omfattning>
  <Omfattning>
    <identitet>pf_hälsaochsäkerhet03</identitet>
    <Lage>
      <planomrade>true</planomrade>
    </Lage>
    <Indelning>
      <tema>Planeringsförutsättningar</tema>
      <grupp>Hälsa och säkerhet</grupp>
    </Indelning>
  </Omfattning>
  <Omfattning>
    <identitet>ko_buller01</identitet>
    <Lage>
      <planomrade>true</planomrade>
    </Lage>
    <Indelning>
      <tema>Konsekvenser</tema>
      <grupp>Miljökvalitetsnormer</grupp>
      <undergrupp>Buller</undergrupp>
    </Indelning>
  </Omfattning>
  <Omfattning>
    <identitet>pf_omgivningsbuller01</identitet>
    <Lage>
      <planomrade>true</planomrade>
    </Lage>
    <Indelning>
      <tema>Planeringsförutsättningar</tema>
      <grupp>Hälsa och säkerhet</grupp>
      <undergrupp>Omgivningsbuller</unde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pf_riskförskred01</identitet>
    <Lage>
      <planomrade>true</planomrade>
    </Lage>
    <Indelning>
      <tema>Planeringsförutsättningar</tema>
      <grupp>Hälsa och säkerhet</grupp>
      <undergrupp>Risk för skred</undergrupp>
    </Indelning>
  </Omfattning>
  <Omfattning>
    <identitet>pf_riskförolyckor01</identitet>
    <Lage>
      <planomrade>true</planomrade>
    </Lage>
    <Indelning>
      <tema>Planeringsförutsättningar</tema>
      <grupp>Hälsa och säkerhet</grupp>
      <undergrupp>Risk för olyckor</undergrupp>
    </Indelning>
  </Omfattning>
  <Omfattning>
    <identitet>ko_olyckor01</identitet>
    <Lage>
      <planomrade>true</planomrade>
    </Lage>
    <Indelning>
      <tema>Konsekvenser</tema>
      <grupp>Hälsa och säkerhet</grupp>
      <undergrupp>Olyckor</undergrupp>
    </Indelning>
  </Omfattning>
  <Omfattning>
    <identitet>pf_dagvatten01</identitet>
    <Lage>
      <planomrade>true</planomrade>
    </Lage>
    <Indelning>
      <tema>Planeringsförutsättningar</tema>
      <grupp>Miljö</grupp>
      <undergrupp>Dagvatten</undergrupp>
    </Indelning>
  </Omfattning>
  <Omfattning>
    <identitet>ko_dagvatten01</identitet>
    <Lage>
      <planomrade>true</planomrade>
    </Lage>
    <Indelning>
      <tema>Konsekvenser</tema>
      <grupp>Miljö</grupp>
      <undergrupp>Dagvatten</undergrupp>
    </Indelning>
  </Omfattning>
  <Omfattning>
    <identitet>pf_miljökvalitetsnormer01</identitet>
    <Lage>
      <planomrade>true</planomrade>
    </Lage>
    <Indelning>
      <tema>Planeringsförutsättningar</tema>
      <grupp>Miljökvalitetsnormer</grupp>
    </Indelning>
  </Omfattning>
  <Omfattning>
    <identitet>ko_miljökvalitetsnormer01</identitet>
    <Lage>
      <planomrade>true</planomrade>
    </Lage>
    <Indelning>
      <tema>Konsekvenser</tema>
      <grupp>Miljökvalitetsnormer</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pu_miljökonsekvensbeskrivning01</identitet>
    <Lage>
      <planomrade>true</planomrade>
    </Lage>
    <Indelning>
      <tema>Planeringsunderlag</tema>
      <grupp>Kommunala</grupp>
      <undergrupp>Miljökonsekvensbeskrivning</undergrupp>
    </Indelning>
  </Omfattning>
  <Omfattning>
    <identitet>ko_miljökonsekvensbeskrivning01</identitet>
    <Lage>
      <planomrade>true</planomrade>
    </Lage>
    <Indelning>
      <tema>Konsekvenser</tema>
      <grupp>Miljö</grupp>
      <undergrupp>Miljökonsekvensbeskrivning</undergrupp>
    </Indelning>
  </Omfattning>
  <Omfattning>
    <identitet>ko_miljökonsekvensbeskrivning02</identitet>
    <Lage>
      <planomrade>true</planomrade>
    </Lage>
    <Indelning>
      <tema>Konsekvenser</tema>
      <grupp>Miljö</grupp>
      <undergrupp>Miljökonsekvensbeskrivning</undergrupp>
    </Indelning>
  </Omfattning>
  <Omfattning>
    <identitet>ko_vatten01</identitet>
    <Lage>
      <planomrade>true</planomrade>
    </Lage>
    <Indelning>
      <tema>Konsekvenser</tema>
      <grupp>Miljökvalitetsnormer</grupp>
      <undergrupp>Vatten</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gf_utbyggnadvattenochavlopp02</identitet>
    <Lage>
      <planomrade>true</planomrade>
    </Lage>
    <Indelning>
      <tema>Genomförandefrågor</tema>
      <grupp>Tekniska frågor</grupp>
      <undergrupp>Utbyggnad vatten och avlopp</undergrupp>
    </Indelning>
  </Omfattning>
  <Omfattning>
    <identitet>gf_tekniskafrågor01</identitet>
    <Lage>
      <planomrade>true</planomrade>
    </Lage>
    <Indelning>
      <tema>Genomförandefrågor</tema>
      <grupp>Tekniska frågor</grupp>
    </Indelning>
  </Omfattning>
  <Omfattning>
    <identitet>gf_tekniskafrågor02</identitet>
    <Lage>
      <planomrade>true</planomrade>
    </Lage>
    <Indelning>
      <tema>Genomförandefrågor</tema>
      <grupp>Tekniska frågor</grupp>
    </Indelning>
  </Omfattning>
  <Omfattning>
    <identitet>gf_tekniskafrågor03</identitet>
    <Lage>
      <planomrade>true</planomrade>
    </Lage>
    <Indelning>
      <tema>Genomförandefrågor</tema>
      <grupp>Tekniska frågor</grupp>
    </Indelning>
  </Omfattning>
  <Omfattning>
    <identitet>gf_tekniskafrågor04</identitet>
    <Lage>
      <planomrade>true</planomrade>
    </Lage>
    <Indelning>
      <tema>Genomförandefrågor</tema>
      <grupp>Tekniska frågor</grupp>
    </Indelning>
  </Omfattning>
  <Omfattning>
    <identitet>be_ärendeinformation05</identitet>
    <Lage>
      <planomrade>true</planomrade>
    </Lage>
    <Indelning>
      <tema>Beskrivning av detaljplanen</tema>
      <grupp>Ärendeinformation</grupp>
    </Indelning>
  </Omfattning>
  <Omfattning>
    <identitet>be_genomförandetid02</identitet>
    <Lage>
      <planomrade>true</planomrade>
    </Lage>
    <Indelning>
      <tema>Beskrivning av detaljplanen</tema>
      <grupp>Genomförandetid</grupp>
    </Indelning>
  </Omfattning>
  <Omfattning>
    <identitet>be_huvudmannaskap01</identitet>
    <Lage>
      <planomrade>true</planomrade>
    </Lage>
    <Indelning>
      <tema>Beskrivning av detaljplanen</tema>
      <grupp>Allmän plats</grupp>
      <undergrupp>Huvudmannaskap</undergrupp>
    </Indelning>
  </Omfattning>
  <Omfattning>
    <identitet>gf_exploateringsavtal01</identitet>
    <Lage>
      <planomrade>true</planomrade>
    </Lage>
    <Indelning>
      <tema>Genomförandefrågor</tema>
      <grupp>Organisatoriska frågor</grupp>
      <undergrupp>Exploateringsavtal</undergrupp>
    </Indelning>
  </Omfattning>
  <Omfattning>
    <identitet>gf_annat01</identitet>
    <Lage>
      <planomrade>true</planomrade>
    </Lage>
    <Indelning>
      <tema>Genomförandefrågor</tema>
      <grupp>Annat</grupp>
    </Indelning>
  </Omfattning>
  <Omfattning>
    <identitet>gf_exploateringsavtal02</identitet>
    <Lage>
      <planomrade>true</planomrade>
    </Lage>
    <Indelning>
      <tema>Genomförandefrågor</tema>
      <grupp>Organisatoriska frågor</grupp>
      <undergrupp>Exploateringsavtal</undergrupp>
    </Indelning>
  </Omfattning>
  <Omfattning>
    <identitet>gf_annat02</identitet>
    <Lage>
      <planomrade>true</planomrade>
    </Lage>
    <Indelning>
      <tema>Genomförandefrågor</tema>
      <grupp>Annat</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gf_förändradfastighetsindelning02</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gf_rättigheter02</identitet>
    <Lage>
      <planomrade>true</planomrade>
    </Lage>
    <Indelning>
      <tema>Genomförandefrågor</tema>
      <grupp>Fastighetsrättsliga frågor</grupp>
      <undergrupp>Rättigheter</undergrupp>
    </Indelning>
  </Omfattning>
  <Omfattning>
    <identitet>gf_rättigheter03</identitet>
    <Lage>
      <planomrade>true</planomrade>
    </Lage>
    <Indelning>
      <tema>Genomförandefrågor</tema>
      <grupp>Fastighetsrättsliga frågor</grupp>
      <undergrupp>Rättigheter</undergrupp>
    </Indelning>
  </Omfattning>
  <Omfattning>
    <identitet>gf_gemensamhetsanläggningar01</identitet>
    <Lage>
      <planomrade>true</planomrade>
    </Lage>
    <Indelning>
      <tema>Genomförandefrågor</tema>
      <grupp>Ekonomiska frågor</grupp>
      <undergrupp>Gemensamhetsanläggningar</undergrupp>
    </Indelning>
  </Omfattning>
  <Omfattning>
    <identitet>gf_planavgift01</identitet>
    <Lage>
      <planomrade>true</planomrade>
    </Lage>
    <Indelning>
      <tema>Genomförandefrågor</tema>
      <grupp>Ekonomiska frågor</grupp>
      <undergrupp>Planavgift</undergrupp>
    </Indelning>
  </Omfattning>
  <Omfattning>
    <identitet>gf_planekonomiskbedömning01</identitet>
    <Lage>
      <planomrade>true</planomrade>
    </Lage>
    <Indelning>
      <tema>Genomförandefrågor</tema>
      <grupp>Ekonomiska frågor</grupp>
      <undergrupp>Planekonomisk bedömning</undergrupp>
    </Indelning>
  </Omfattning>
  <Omfattning>
    <identitet>gf_annat03</identitet>
    <Lage>
      <planomrade>true</planomrade>
    </Lage>
    <Indelning>
      <tema>Genomförandefrågor</tema>
      <grupp>Annat</grupp>
    </Indelning>
  </Omfattning>
  <Omfattning>
    <identitet>be_ärendeinformation06</identitet>
    <Lage>
      <planomrade>true</planomrade>
    </Lage>
    <Indelning>
      <tema>Beskrivning av detaljplanen</tema>
      <grupp>Ärendeinformation</grupp>
    </Indelning>
  </Omfattning>
  <Omfattning>
    <identitet>ko_naturvård01</identitet>
    <Lage>
      <planomrade>true</planomrade>
    </Lage>
    <Indelning>
      <tema>Konsekvenser</tema>
      <grupp>Riksintresse</grupp>
      <undergrupp>Naturvård</undergrupp>
    </Indelning>
  </Omfattning>
  <Omfattning>
    <identitet>ko_rörligtfriluftsliv01</identitet>
    <Lage>
      <planomrade>true</planomrade>
    </Lage>
    <Indelning>
      <tema>Konsekvenser</tema>
      <grupp>Riksintresse</grupp>
      <undergrupp>Rörligt friluftsliv</undergrupp>
    </Indelning>
  </Omfattning>
  <Omfattning>
    <identitet>ko_natura200001</identitet>
    <Lage>
      <planomrade>true</planomrade>
    </Lage>
    <Indelning>
      <tema>Konsekvenser</tema>
      <grupp>Riksintresse</grupp>
      <undergrupp>Natura 2000</undergrupp>
    </Indelning>
  </Omfattning>
  <Omfattning>
    <identitet>ko_natura200002</identitet>
    <Lage>
      <planomrade>true</planomrade>
    </Lage>
    <Indelning>
      <tema>Konsekvenser</tema>
      <grupp>Riksintresse</grupp>
      <undergrupp>Natura 2000</undergrupp>
    </Indelning>
  </Omfattning>
  <Omfattning>
    <identitet>ko_yrkesfiske01</identitet>
    <Lage>
      <planomrade>true</planomrade>
    </Lage>
    <Indelning>
      <tema>Konsekvenser</tema>
      <grupp>Riksintresse</grupp>
      <undergrupp>Yrkesfiske</undergrupp>
    </Indelning>
  </Omfattning>
  <Omfattning>
    <identitet>ko_natur03</identitet>
    <Lage>
      <planomrade>true</planomrade>
    </Lage>
    <Indelning>
      <tema>Konsekvenser</tema>
      <grupp>Natur</grupp>
    </Indelning>
  </Omfattning>
  <Omfattning>
    <identitet>ko_totalförsvar01</identitet>
    <Lage>
      <planomrade>true</planomrade>
    </Lage>
    <Indelning>
      <tema>Konsekvenser</tema>
      <grupp>Riksintresse</grupp>
      <undergrupp>Totalförsvar</undergrupp>
    </Indelning>
  </Omfattning>
  <Omfattning>
    <identitet>ko_trafikkommunikation01</identitet>
    <Lage>
      <planomrade>true</planomrade>
    </Lage>
    <Indelning>
      <tema>Konsekvenser</tema>
      <grupp>Riksintresse</grupp>
      <undergrupp>Trafikkommunikation</undergrupp>
    </Indelning>
  </Omfattning>
  <Omfattning>
    <identitet>sy_syfte01</identitet>
    <Lage>
      <planomrade>true</planomrade>
    </Lage>
    <Indelning>
      <tema>Detaljplanens syfte</tema>
      <grupp>Syfte</grupp>
    </Indelning>
  </Omfattning>
  <Omfattning>
    <identitet>be_heladetaljplan01</identitet>
    <Lage>
      <planomrade>true</planomrade>
    </Lage>
    <Indelning>
      <tema>Beskrivning av detaljplanen</tema>
      <grupp>Hela detaljplan</grupp>
    </Indelning>
  </Omfattning>
  <Omfattning>
    <identitet>mo_motivtillreglering02</identitet>
    <Lage>
      <lmg:Yta>
        <lmg:absolutLagesosakerhetPlan>0</lmg:absolutLagesosakerhetPlan>
        <lmg:absolutLagesosakerhetHojd>0</lmg:absolutLagesosakerhetHojd>
        <lmg:hojdsystem>RH 2000</lmg:hojdsystem>
        <gml:Polygon gml:id="ID_0cce156a-3aa6-4e68-a107-2202b559be86" srsName="EPSG:3009" srsDimension="2">
          <gml:exterior>
            <gml:LinearRing gml:id="ID_a59f6592-2745-441f-abd9-487c5daa3fc3">
              <gml:posList>6448227.81 124680.279 6448222.266 124679.263 6448223.368 124673.959 6448210.022 124671.781 6448203.98 124670.795 6448195.306 124669.379 6448191.763 124668.552 6448181.783 124666.223 6448180.676 124667.538 6448179.81 124670.532 6448176.655 124675.932 6448168.105 124690.564 6448167 124692.11 6448152.169 124712.857 6448151.403 124716.177 6448152.475 124716.404 6448159.469 124716.804 6448162.957 124717.324 6448170.14 124718.396 6448197.239 124724.029 6448201.3 124725.003 6448211.747 124729.06 6448210.727 124732.728 6448210.072 124738.445 6448209.092 124738.047 6448199.986 124734.344 6448189.632 124734.108 6448184.35 124733.987 6448178.266 124733.849 6448155.736 124731.495 6448151.134 124731.014 6448149.249 124730.817 6448141.918 124730.051 6448137.293 124733.325 6448132.566 124736.672 6448132.242 124739.399 6448131.915 124742.157 6448129.888 124759.25 6448128.323 124759.082 6448123.652 124762.344 6448120.55 124770.299 6448125.866 124775.331 6448130.675 124779.834 6448134.739 124784.337 6448137.831 124787.763 6448138.787 124788.012 6448147.644 124790.32 6448148.533 124790.4 6448155.768 124788.313 6448166.859 124785.116 6448180.239 124781.258 6448180.852 124780.585 6448190.764 124782.591 6448200.664 124784.595 6448200.019 124788.398 6448193.196 124787.422 6448189.458 124786.887 6448181.597 124785.628 6448174.663 124787.343 6448167.173 124789.354 6448155.01 124792.618 6448148.985 124794.235 6448143.707 124795.592 6448144.35 124796.582 6448142.983 124796.454 6448138.462 124796.034 6448137.701 124793.724 6448128.541 124784.04 6448125.893 124781.523 6448123.863 124779.594 6448123.132 124778.896 6448119.227 124775.167 6448117.264 124773.294 6448116.134 124772.115 6448115.502 124771.344 6448114.946 124770.542 6448114.06 124768.911 6448113.826 124768.233 6448113.64 124767.465 6448111.747 124764.308 6448109.753 124763.028 6448106.208 124760.753 6448098.002 124759.81 6448091.63 124759.077 6448083.274 124758.115 6448078.201 124757.531 6448069.944 124756.982 6448067.921 124756.841 6448063.523 124759.132 6448060.302 124762.81 6448057.328 124767.404 6448054.067 124765.054 6448053.802 124760.988 6448049.734 124758.255 6448044.671 124758.323 6448033.9 124756.646 6448031.094 124756.007 6448024.127 124750.086 6448019.905 124747.993 6448020.03 124746.118 6448020.455 124739.749 6448023.437 124740.222 6448058.325 124745.762 6448060.944 124746.178 6448074.76 124747.181 6448103.675 124751.191 6448109.978 124752.065 6448111.557 124752.284 6448116.729 124752.354 6448118.689 124748.491 6448119.483 124741.387 6448120.293 124734.139 6448120.381 124733.349 6448121.156 124726.417 6448129.708 124711.288 6448131.225 124708.558 6448139.083 124701.237 6448142.054 124698.468 6448147.219 124691.038 6448145.562 124686.67 6448135.874 124686.989 6448114.982 124687.351 6448091.357 124686.743 6448080.016 124686.412 6448077.363 124686.335 6448064.062 124685.746 6448056.409 124685.073 6448049.479 124684.094 6448035.703 124681.621 6448015.28 124676.735 6448006.175 124675.226 6447968.891 124669.048 6447956.597 124667.011 6447956.346 124667.014 6447944.588 124667.167 6447940.621 124661.328 6447933.955 124661.297 6447931.467 124661.299 6447928.999 124661.302 6447923.181 124661.274 6447918.001 124661.262 6447914.324 124661.295 6447912.246 124661.314 6447907.643 124661.336 6447907.044 124661.339 6447901.077 124661.422 6447897.757 124661.447 6447896.274 124661.458 6447896.018 124661.463 6447890.711 124661.565 6447885.502 124661.648 6447882.912 124661.9 6447875.944 124661.549 6447872.749 124661.309 6447868.732 124661.006 6447869.676 124657.151 6447870.776 124653.988 6447871.062 124653.844 6447875.68 124653.67 6447876.133 124653.653 6447879.106 124653.435 6447881.948 124656.739 6447883.888 124659.003 6447885.126 124659.202 6447890.469 124659.076 6447893.985 124659.014 6447898.276 124658.939 6447901.349 124658.885 6447904.718 124658.861 6447910.815 124658.819 6447914.306 124658.795 6447918.834 124658.763 6447923.01 124658.734 6447928.204 124658.762 6447938.043 124658.814 6447942.231 124658.836 6447948.656 124659.228 6447949.986 124659.309 6447950.653 124659.539 6447950.6 124654.62 6447950.518 124647.024 6447959.054 124647.125 6447958.907 124659.536 6447994.66 124665.055 6448008.113 124667.217 6448027.47 124671.618 6448045.746 124675.322 6448061.744 124677.781 6448075.058 124678.604 6448095.4 124679.263 6448128.72 124679.264 6448146.054 124678.776 6448152.485 124678.595 6448160.021 124673.651 6448165.731 124665.16 6448165.368 124657.84 6448165.127 124652.97 6448164.833 124647.039 6448164.832 124646.968 6448164.82 124645.24 6448164.79 124640.987 6448164.684 124626.173 6448164.893 124614.116 6448164.928 124612.111 6448169.614 124612.108 6448169.458 124604.861 6448169.394 124601.843 6448169.351 124599.856 6448169.273 124599.027 6448169.065 124598.185 6448168.89 124597.72 6448168.476 124596.929 6448168.166 124596.481 6448167.935 124596.211 6448176.662 124595.67 6448176.457 124595.933 6448176.329 124596.115 6448176.099 124596.483 6448175.923 124596.815 6448175.762 124597.174 6448175.574 124597.711 6448175.469 124598.118 6448175.371 124598.72 6448175.34 124599.492 6448175.366 124600.514 6448177.767 124600.463 6448179.847 124600.444 6448179.954 124605.443 6448180.448 124628.343 6448180.414 124630.191 6448180.742 124640.16 6448181.225 124654.834 6448189.746 124655.78 6448189.742 124649.636 6448189.74 124647.89 6448189.735 124640.788 6448189.735 124640.21 6448189.734 124638.21 6448189.732 124635.708 6448189.732 124635.285 6448189.73 124632.469 6448189.729 124632.231 6448189.729 124631.86 6448189.728 124631.04 6448189.727 124628.191 6448206.104 124627.923 6448206.21 124630.726 6448215.667 124630.923 6448223.962 124631.254 6448223.715 124639.779 6448219.794 124638.978 6448207.806 124638.395 6448202.384 124642.198 6448202.152 124657.456 6448242.854 124666.26 6448245.786 124666.894 6448242.489 124682.971 6448239.538 124682.429 6448237.57 124682.069 6448233.984 124681.411 6448231.745 124681.001 6448231.591 124680.973 6448227.81 124680.279</gml:posList>
            </gml:LinearRing>
          </gml:exterior>
        </gml:Polygon>
      </lmg:Yta>
      <planbestammelsereferens>aa8109cb-2b59-48cd-b137-b9ab085a5db4</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6fc93ee3-3100-413f-b057-5cfc02a10079" srsName="EPSG:3009" srsDimension="2">
          <gml:exterior>
            <gml:LinearRing gml:id="ID_765d042f-c33e-4765-a949-a4e5f2c208e2">
              <gml:posList>6448260.589 124594.725 6448232.44 124593.883 6448205.628 124594.113 6448201.176 124594.152 6448181.777 124595.354 6448180.622 124595.425 6448176.662 124595.67 6448167.935 124596.211 6448162.901 124596.523 6448144.976 124597.634 6448143.351 124597.734 6448126.219 124598.796 6448107.832 124599.935 6448104.356 124600.15 6448072.869 124601.341 6448062.87 124601.719 6448056.428 124601.969 6448051.53 124602.16 6448051.206 124602.173 6448050.353 124602.206 6448050.052 124602.218 6448050.036 124602.218 6448045.364 124602.4 6448040.523 124602.734 6448039.671 124602.793 6448039.384 124602.813 6448038.393 124602.882 6448037.614 124602.935 6448032.652 124603.278 6448022.334 124604.043 6448020.723 124604.162 6448019.986 124604.216 6448019.148 124604.279 6448014.658 124604.611 6447984.211 124606.866 6447981.456 124607.07 6447981.033 124607.101 6447977.864 124607.336 6447976.521 124607.436 6447974.423 124607.591 6447968.811 124608.007 6447951.229 124609.309 6447951.127 124609.316 6447939.283 124610.194 6447924.378 124611.298 6447922.112 124611.465 6447920.695 124611.57 6447919.636 124611.649 6447890.513 124614.369 6447884.918 124614.891 6447884.503 124614.93 6447882.989 124615.072 6447881.108 124615.247 6447879.81 124615.369 6447879.271 124615.419 6447870.662 124616.223 6447870.177 124616.268 6447856.56 124617.54 6447855.432 124617.645 6447827.448 124620.259 6447808.944 124620.934 6447787.281 124621.725 6447784.928 124621.81 6447770.361 124622.342 6447764.584 124622.553 6447738.939 124623.488 6447738.588 124615.042 6447769.858 124613.239 6447789.487 124612.108 6447810.592 124610.865 6447834.434 124609.459 6447855.243 124608.235 6447874.972 124607.075 6447883.812 124606.541 6447921.403 124604.254 6447950.899 124602.459 6448013.817 124598.575 6448032.369 124597.421 6448045.135 124596.627 6448063.82 124595.504 6448074.25 124594.878 6448081.919 124594.417 6448126.352 124591.748 6448142.925 124590.753 6448168.107 124590.04 6448179.388 124589.8 6448201.186 124589.8 6448207.332 124589.857 6448261.551 124591.649 6448260.589 124594.725</gml:posList>
            </gml:LinearRing>
          </gml:exterior>
        </gml:Polygon>
      </lmg:Yta>
      <planbestammelsereferens>efc5a5ad-90a6-4fe9-acc0-c59d1ffc5815</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f3309ae0-910b-4ddf-ac95-986e5d6612ec" srsName="EPSG:3009" srsDimension="2">
          <gml:exterior>
            <gml:LinearRing gml:id="ID_e488740e-e2c3-425e-9e7b-b68787d4cf23">
              <gml:posList>6448130.675 124779.834 6448125.866 124775.331 6448120.55 124770.299 6448123.652 124762.344 6448128.323 124759.082 6448129.888 124759.25 6448129.411 124763.269 6448129.074 124766.118 6448128.495 124770.997 6448146.476 124774.198 6448169.958 124778.379 6448180.852 124780.585 6448180.239 124781.258 6448166.859 124785.116 6448155.768 124788.313 6448148.533 124790.4 6448147.644 124790.32 6448138.787 124788.012 6448137.831 124787.763 6448134.739 124784.337 6448130.675 124779.834</gml:posList>
            </gml:LinearRing>
          </gml:exterior>
        </gml:Polygon>
      </lmg:Yta>
      <planbestammelsereferens>d2f69538-4cdf-4502-a4b1-f2503e429d88</planbestammelsereferens>
    </Lage>
    <Lage>
      <lmg:Yta>
        <lmg:absolutLagesosakerhetPlan>0</lmg:absolutLagesosakerhetPlan>
        <lmg:absolutLagesosakerhetHojd>0</lmg:absolutLagesosakerhetHojd>
        <lmg:hojdsystem>RH 2000</lmg:hojdsystem>
        <gml:Polygon gml:id="ID_dfb5eea3-6e35-4fbc-b20b-42530fc659be" srsName="EPSG:3009" srsDimension="2">
          <gml:exterior>
            <gml:LinearRing gml:id="ID_8d0c024f-6d73-4491-b815-3616391139c6">
              <gml:posList>6448227.604 124754.366 6448210.965 124802.785 6448144.35 124796.582 6448143.707 124795.592 6448148.985 124794.235 6448155.01 124792.618 6448167.173 124789.354 6448174.663 124787.343 6448181.597 124785.628 6448189.458 124786.887 6448193.196 124787.422 6448200.019 124788.398 6448200.664 124784.595 6448202.327 124784.932 6448209.278 124786.339 6448212.231 124786.937 6448215.398 124776.433 6448215.708 124775.404 6448222.577 124752.623 6448220.142 124749.912 6448219.721 124749.444 6448217.277 124746.658 6448217.238 124746.614 6448211.66 124740.256 6448210.072 124738.445 6448210.727 124732.728 6448221.682 124743.268 6448224.231 124745.721 6448233.504 124701.723 6448235.513 124702.049 6448238.477 124702.53 6448235.236 124718.332 6448232.85 124729.966 6448228.202 124752.626 6448227.604 124754.366</gml:posList>
            </gml:LinearRing>
          </gml:exterior>
        </gml:Polygon>
      </lmg:Yta>
      <planbestammelsereferens>11119a19-7f43-4ced-9b77-b8dd6524e303</planbestammelsereferens>
    </Lage>
    <Lage>
      <lmg:Yta>
        <lmg:absolutLagesosakerhetPlan>0</lmg:absolutLagesosakerhetPlan>
        <lmg:absolutLagesosakerhetHojd>0</lmg:absolutLagesosakerhetHojd>
        <lmg:hojdsystem>RH 2000</lmg:hojdsystem>
        <gml:Polygon gml:id="ID_831a53db-0bb9-4d11-aa05-3eb5f163de50" srsName="EPSG:3009" srsDimension="2">
          <gml:exterior>
            <gml:LinearRing gml:id="ID_4283e78b-79f9-40da-b95f-720d73b45d84">
              <gml:posList>6448142.054 124698.468 6448127.029 124697.247 6448114.712 124696.246 6448074.012 124692.937 6448022.947 124686.743 6448022.857 124688.647 6448021.472 124688.301 6447991.037 124680.71 6447960.804 124676.63 6447933.297 124678.423 6447898.577 124677.799 6447895.816 124677.75 6447896.018 124661.463 6447896.274 124661.458 6447897.757 124661.447 6447901.077 124661.422 6447907.044 124661.339 6447907.643 124661.336 6447912.246 124661.314 6447914.324 124661.295 6447918.001 124661.262 6447923.181 124661.274 6447928.999 124661.302 6447931.467 124661.299 6447933.955 124661.297 6447940.621 124661.328 6447944.588 124667.167 6447956.346 124667.014 6447956.597 124667.011 6447968.891 124669.048 6448006.175 124675.226 6448015.28 124676.735 6448035.703 124681.621 6448049.479 124684.094 6448056.409 124685.073 6448064.062 124685.746 6448077.363 124686.335 6448080.016 124686.412 6448091.357 124686.743 6448114.982 124687.351 6448135.874 124686.989 6448145.562 124686.67 6448147.219 124691.038 6448142.054 124698.468</gml:posList>
            </gml:LinearRing>
          </gml:exterior>
        </gml:Polygon>
      </lmg:Yta>
      <planbestammelsereferens>1e910b62-797b-4f67-ad8a-d217437fb44b</planbestammelsereferens>
    </Lage>
    <Lage>
      <lmg:Yta>
        <lmg:absolutLagesosakerhetPlan>0</lmg:absolutLagesosakerhetPlan>
        <lmg:absolutLagesosakerhetHojd>0</lmg:absolutLagesosakerhetHojd>
        <lmg:hojdsystem>RH 2000</lmg:hojdsystem>
        <gml:Polygon gml:id="ID_4a4ce928-b07f-44c8-888d-21c637ccb82d" srsName="EPSG:3009" srsDimension="2">
          <gml:exterior>
            <gml:LinearRing gml:id="ID_f53d3766-6574-4b66-aee8-f515dd7d224b">
              <gml:posList>6448079.952 124645.232 6448063.778 124642.679 6448030.424 124640.239 6448017.125 124638.587 6447997.241 124636.117 6447959.2 124634.767 6447959.155 124638.619 6447959.054 124647.125 6447950.518 124647.024 6447950.6 124654.62 6447946.802 124646.43 6447945.98 124644.656 6447944.7 124641.895 6447941.398 124634.774 6447936.627 124634.903 6447932.247 124635.021 6447924.888 124635.544 6447921.992 124635.749 6447916.61 124636.131 6447916.517 124636.138 6447904.443 124636.995 6447901.137 124637.23 6447898.272 124637.434 6447891.109 124637.942 6447879.236 124638.785 6447878.067 124638.868 6447878.687 124626.796 6447878.776 124625.075 6447879.271 124615.419 6447879.81 124615.369 6447881.108 124615.247 6447882.989 124615.072 6447884.503 124614.93 6447883.19 124626.089 6447883.847 124633.581 6447902.756 124632.787 6447905.85 124632.657 6447906.329 124632.637 6447916.156 124632.224 6447931.991 124631.615 6447935.892 124631.465 6447937.144 124631.417 6447942.48 124631.212 6447952.691 124630.82 6447961.56 124630.479 6447966.88 124630.274 6447970.991 124630.116 6447982.686 124629.667 6447989.717 124629.836 6448006.323 124630.234 6448014.827 124630.439 6448016.536 124630.48 6448055.785 124631.422 6448061.457 124631.558 6448063.026 124633.149 6448063.55 124633.681 6448064.34 124634.482 6448066.258 124634.43 6448072.714 124634.257 6448077.582 124634.127 6448078.106 124634.113 6448082.263 124634.001 6448085.544 124633.9 6448085.94 124640.253 6448086.312 124646.236 6448079.952 124645.232</gml:posList>
            </gml:LinearRing>
          </gml:exterior>
        </gml:Polygon>
      </lmg:Yta>
      <planbestammelsereferens>78eb67e9-162a-4197-bc82-e83012cbbea0</planbestammelsereferens>
    </Lage>
    <Lage>
      <lmg:Yta>
        <lmg:absolutLagesosakerhetPlan>0</lmg:absolutLagesosakerhetPlan>
        <lmg:absolutLagesosakerhetHojd>0</lmg:absolutLagesosakerhetHojd>
        <lmg:hojdsystem>RH 2000</lmg:hojdsystem>
        <gml:Polygon gml:id="ID_21ea86b7-a9e5-4275-beb3-fb269bb24f52" srsName="EPSG:3009" srsDimension="2">
          <gml:exterior>
            <gml:LinearRing gml:id="ID_a41e966c-0ead-4b73-8802-aa7c6421b35c">
              <gml:posList>6448259.533 124599.872 6448256.474 124599.855 6448217.762 124599.649 6448192.455 124600.18 6448191.821 124600.193 6448179.847 124600.444 6448177.767 124600.463 6448175.366 124600.514 6448175.34 124599.492 6448175.371 124598.72 6448175.469 124598.118 6448175.574 124597.711 6448175.762 124597.174 6448175.923 124596.815 6448176.099 124596.483 6448176.329 124596.115 6448176.457 124595.933 6448176.662 124595.67 6448180.622 124595.425 6448181.777 124595.354 6448201.176 124594.152 6448205.628 124594.113 6448232.44 124593.883 6448260.589 124594.725 6448259.533 124599.872</gml:posList>
            </gml:LinearRing>
          </gml:exterior>
        </gml:Polygon>
      </lmg:Yta>
      <planbestammelsereferens>85a52c91-0ab1-449e-9379-1d29ac05d495</planbestammelsereferens>
    </Lage>
    <Lage>
      <lmg:Yta>
        <lmg:absolutLagesosakerhetPlan>0</lmg:absolutLagesosakerhetPlan>
        <lmg:absolutLagesosakerhetHojd>0</lmg:absolutLagesosakerhetHojd>
        <lmg:hojdsystem>RH 2000</lmg:hojdsystem>
        <gml:Polygon gml:id="ID_fa52d4e2-7c96-44c6-b118-ef86de3a8094" srsName="EPSG:3009" srsDimension="2">
          <gml:exterior>
            <gml:LinearRing gml:id="ID_02fbb714-3cea-4247-8812-e1bc04efeb99">
              <gml:posList>6448073.305 124607.329 6448072.869 124601.341 6448104.356 124600.15 6448107.832 124599.935 6448126.219 124598.796 6448143.351 124597.734 6448144.976 124597.634 6448162.901 124596.523 6448167.935 124596.211 6448168.166 124596.481 6448168.476 124596.929 6448168.89 124597.72 6448169.065 124598.185 6448169.273 124599.027 6448169.351 124599.856 6448169.394 124601.843 6448169.458 124604.861 6448169.614 124612.108 6448164.928 124612.111 6448157.004 124612.545 6448154.507 124612.682 6448153.302 124612.748 6448151.765 124612.832 6448142.579 124613.335 6448139.963 124613.478 6448136.84 124613.649 6448136.291 124613.679 6448128.599 124614.1 6448128.355 124614.114 6448128.016 124614.132 6448125.277 124614.282 6448122.903 124614.373 6448121.89 124614.412 6448116.818 124614.605 6448113.619 124614.728 6448111.718 124614.8 6448107.977 124614.943 6448106.363 124615.005 6448105.798 124615.027 6448101.544 124615.189 6448098.178 124615.318 6448086.418 124615.768 6448084.419 124615.844 6448084.231 124613.242 6448083.727 124606.253 6448080.304 124607.064 6448075.824 124607.233 6448074.547 124607.282 6448074.453 124607.285 6448073.305 124607.329</gml:posList>
            </gml:LinearRing>
          </gml:exterior>
        </gml:Polygon>
      </lmg:Yta>
      <planbestammelsereferens>42152355-39f6-45e0-820d-c5d7a0618158</planbestammelsereferens>
    </Lage>
    <Indelning>
      <tema>Motiv till detaljplanens regleringar</tema>
      <grupp>Motiv till reglering</grupp>
    </Indelning>
  </Omfattning>
  <Omfattning>
    <identitet>be_kvartersmark01</identitet>
    <Lage>
      <planomrade>true</planomrade>
    </Lage>
    <Indelning>
      <tema>Beskrivning av detaljplanen</tema>
      <grupp>Kvartersmark</grupp>
    </Indelning>
  </Omfattning>
  <Omfattning>
    <identitet>mo_motivtillreglering05</identitet>
    <Lage>
      <lmg:Yta>
        <lmg:absolutLagesosakerhetPlan>0</lmg:absolutLagesosakerhetPlan>
        <lmg:absolutLagesosakerhetHojd>0</lmg:absolutLagesosakerhetHojd>
        <lmg:hojdsystem>RH 2000</lmg:hojdsystem>
        <gml:Polygon gml:id="ID_3c951dd5-aa94-4beb-a1c6-be13f32da58f" srsName="EPSG:3009" srsDimension="2">
          <gml:exterior>
            <gml:LinearRing gml:id="ID_b959eeff-ce04-4866-b8e2-4c64784142d6">
              <gml:posList>6448242.854 124666.26 6448202.152 124657.456 6448202.384 124642.198 6448207.806 124638.395 6448219.794 124638.978 6448223.715 124639.779 6448223.962 124631.254 6448215.667 124630.923 6448206.21 124630.726 6448206.104 124627.923 6448189.727 124628.191 6448184.693 124628.273 6448180.448 124628.343 6448179.954 124605.443 6448179.847 124600.444 6448191.821 124600.193 6448192.455 124600.18 6448217.762 124599.649 6448256.474 124599.855 6448259.533 124599.872 6448257.047 124611.994 6448256.037 124616.918 6448256.004 124617.08 6448253.84 124627.632 6448252.849 124632.463 6448245.786 124666.894 6448242.854 124666.26</gml:posList>
            </gml:LinearRing>
          </gml:exterior>
        </gml:Polygon>
      </lmg:Yta>
      <planbestammelsereferens>c8bf8fea-5ad2-4950-950d-31fa1b5b988a</planbestammelsereferens>
    </Lage>
    <Lage>
      <lmg:Yta>
        <lmg:absolutLagesosakerhetPlan>0</lmg:absolutLagesosakerhetPlan>
        <lmg:absolutLagesosakerhetHojd>0</lmg:absolutLagesosakerhetHojd>
        <lmg:hojdsystem>RH 2000</lmg:hojdsystem>
        <gml:Polygon gml:id="ID_50b015c4-6764-45b9-aa59-1d72acc10953" srsName="EPSG:3009" srsDimension="2">
          <gml:exterior>
            <gml:LinearRing gml:id="ID_7f36f27e-7ea2-44e6-aeed-fbfcbbe85e66">
              <gml:posList>6448023.437 124740.222 6448020.455 124739.749 6448020.826 124731.857 6448022.805 124689.748 6448022.857 124688.647 6448022.947 124686.743 6448074.012 124692.937 6448114.712 124696.246 6448127.029 124697.247 6448142.054 124698.468 6448139.083 124701.237 6448131.225 124708.558 6448129.708 124711.288 6448121.156 124726.417 6448120.381 124733.349 6448120.293 124734.139 6448119.483 124741.387 6448118.689 124748.491 6448116.729 124752.354 6448111.557 124752.284 6448109.978 124752.065 6448103.675 124751.191 6448074.76 124747.181 6448060.944 124746.178 6448058.325 124745.762 6448023.437 124740.222</gml:posList>
            </gml:LinearRing>
          </gml:exterior>
        </gml:Polygon>
      </lmg:Yta>
      <planbestammelsereferens>da3be92e-9a79-42aa-ac68-7308296ef969</planbestammelsereferens>
    </Lage>
    <Lage>
      <lmg:Yta>
        <lmg:absolutLagesosakerhetPlan>0</lmg:absolutLagesosakerhetPlan>
        <lmg:absolutLagesosakerhetHojd>0</lmg:absolutLagesosakerhetHojd>
        <lmg:hojdsystem>RH 2000</lmg:hojdsystem>
        <gml:Polygon gml:id="ID_8e5b5feb-0732-4f37-bcd3-8579ef6e58b0" srsName="EPSG:3009" srsDimension="2">
          <gml:exterior>
            <gml:LinearRing gml:id="ID_7579ed5c-a947-4a15-ba7a-cbf759416590">
              <gml:posList>6448165.731 124665.16 6448160.021 124673.651 6448152.485 124678.595 6448146.054 124678.776 6448128.72 124679.264 6448095.4 124679.263 6448075.058 124678.604 6448061.744 124677.781 6448045.746 124675.322 6448027.47 124671.618 6448008.113 124667.217 6447994.66 124665.055 6447958.907 124659.536 6447959.054 124647.125 6447959.155 124638.619 6447959.2 124634.767 6447997.241 124636.117 6448017.125 124638.587 6448030.424 124640.239 6448063.778 124642.679 6448079.952 124645.232 6448086.312 124646.236 6448085.94 124640.253 6448085.544 124633.9 6448084.543 124617.841 6448084.419 124615.844 6448086.418 124615.768 6448098.178 124615.318 6448101.544 124615.189 6448105.798 124615.027 6448106.363 124615.005 6448107.977 124614.943 6448111.718 124614.8 6448113.619 124614.728 6448116.818 124614.605 6448121.89 124614.412 6448122.903 124614.373 6448125.277 124614.282 6448128.016 124614.132 6448128.355 124614.114 6448128.599 124614.1 6448136.291 124613.679 6448136.84 124613.649 6448139.963 124613.478 6448142.579 124613.335 6448151.765 124612.832 6448153.302 124612.748 6448154.507 124612.682 6448157.004 124612.545 6448164.928 124612.111 6448164.893 124614.116 6448164.684 124626.173 6448164.79 124640.987 6448164.82 124645.24 6448164.832 124646.968 6448164.833 124647.039 6448165.127 124652.97 6448165.368 124657.84 6448165.731 124665.16</gml:posList>
            </gml:LinearRing>
          </gml:exterior>
        </gml:Polygon>
      </lmg:Yta>
      <planbestammelsereferens>f8b899fc-01e3-4164-90b7-1dcf155b72ff</planbestammelsereferens>
    </Lage>
    <Lage>
      <lmg:Yta>
        <lmg:absolutLagesosakerhetPlan>0</lmg:absolutLagesosakerhetPlan>
        <lmg:absolutLagesosakerhetHojd>0</lmg:absolutLagesosakerhetHojd>
        <lmg:hojdsystem>RH 2000</lmg:hojdsystem>
        <gml:Polygon gml:id="ID_943693ba-f618-4697-95fb-2c863bc5e03b" srsName="EPSG:3009" srsDimension="2">
          <gml:exterior>
            <gml:LinearRing gml:id="ID_f034241a-7c42-4c7e-bb42-208f711c903c">
              <gml:posList>6448091.63 124759.077 6448098.002 124759.81 6448106.208 124760.753 6448109.753 124763.028 6448111.747 124764.308 6448111.061 124768.354 6448107.44 124789.732 6448095.747 124787.299 6448069.951 124781.934 6448069.944 124756.982 6448078.201 124757.531 6448083.274 124758.115 6448091.63 124759.077</gml:posList>
            </gml:LinearRing>
          </gml:exterior>
        </gml:Polygon>
      </lmg:Yta>
      <planbestammelsereferens>7114ab50-e7e1-4860-8e1d-c53c279cb2ac</planbestammelsereferens>
    </Lage>
    <Lage>
      <lmg:Yta>
        <lmg:absolutLagesosakerhetPlan>0</lmg:absolutLagesosakerhetPlan>
        <lmg:absolutLagesosakerhetHojd>0</lmg:absolutLagesosakerhetHojd>
        <lmg:hojdsystem>RH 2000</lmg:hojdsystem>
        <gml:Polygon gml:id="ID_a9317358-a276-43a4-b01e-2da2691fdabd" srsName="EPSG:3009" srsDimension="2">
          <gml:exterior>
            <gml:LinearRing gml:id="ID_b0e02fa4-94ba-4631-b35e-13b8011dfa1c">
              <gml:posList>6448146.476 124774.198 6448128.495 124770.997 6448129.074 124766.118 6448129.411 124763.269 6448129.888 124759.25 6448131.915 124742.157 6448132.242 124739.399 6448132.566 124736.672 6448137.293 124733.325 6448141.918 124730.051 6448149.249 124730.817 6448151.134 124731.014 6448155.736 124731.495 6448178.266 124733.849 6448184.35 124733.987 6448189.632 124734.108 6448199.986 124734.344 6448209.092 124738.047 6448210.072 124738.445 6448211.66 124740.256 6448217.238 124746.614 6448217.277 124746.658 6448219.721 124749.444 6448220.142 124749.912 6448222.577 124752.623 6448215.708 124775.404 6448215.398 124776.433 6448212.231 124786.937 6448209.278 124786.339 6448202.327 124784.932 6448200.664 124784.595 6448190.764 124782.591 6448180.852 124780.585 6448169.958 124778.379 6448146.476 124774.198</gml:posList>
            </gml:LinearRing>
          </gml:exterior>
        </gml:Polygon>
      </lmg:Yta>
      <planbestammelsereferens>be8306e9-8f8b-4771-9026-849b7679dd23</planbestammelsereferens>
    </Lage>
    <Lage>
      <lmg:Yta>
        <lmg:absolutLagesosakerhetPlan>0</lmg:absolutLagesosakerhetPlan>
        <lmg:absolutLagesosakerhetHojd>0</lmg:absolutLagesosakerhetHojd>
        <lmg:hojdsystem>RH 2000</lmg:hojdsystem>
        <gml:Polygon gml:id="ID_d4688781-7f49-45cf-a3ad-3cdae7e4f83d" srsName="EPSG:3009" srsDimension="2">
          <gml:exterior>
            <gml:LinearRing gml:id="ID_2503890a-1a83-4db0-9b3f-996b3efc439a">
              <gml:posList>6447870.776 124653.988 6447869.676 124657.151 6447868.732 124661.006 6447872.749 124661.309 6447875.944 124661.549 6447882.912 124661.9 6447885.502 124661.648 6447890.711 124661.565 6447896.018 124661.463 6447895.816 124677.75 6447838.928 124676.975 6447841.515 124673.888 6447853.465 124659.631 6447860.642 124659.729 6447863.422 124659.767 6447869.86 124652.13 6447864.176 124652.053 6447863.324 124652.041 6447859.866 124651.994 6447867.89 124642.421 6447870.412 124639.412 6447878.067 124638.868 6447879.236 124638.785 6447891.109 124637.942 6447898.272 124637.434 6447901.137 124637.23 6447904.443 124636.995 6447916.517 124636.138 6447916.61 124636.131 6447921.992 124635.749 6447924.888 124635.544 6447932.247 124635.021 6447936.627 124634.903 6447941.398 124634.774 6447944.7 124641.895 6447945.98 124644.656 6447946.802 124646.43 6447950.6 124654.62 6447950.653 124659.539 6447949.986 124659.309 6447948.656 124659.228 6447942.231 124658.836 6447938.043 124658.814 6447928.204 124658.762 6447923.01 124658.734 6447918.834 124658.763 6447914.306 124658.795 6447910.815 124658.819 6447904.718 124658.861 6447901.349 124658.885 6447898.276 124658.939 6447893.985 124659.014 6447890.469 124659.076 6447885.126 124659.202 6447883.888 124659.003 6447881.948 124656.739 6447879.106 124653.435 6447876.133 124653.653 6447875.68 124653.67 6447871.062 124653.844 6447870.776 124653.988</gml:posList>
            </gml:LinearRing>
          </gml:exterior>
        </gml:Polygon>
      </lmg:Yta>
      <planbestammelsereferens>062780c9-7187-4806-9857-a3581f4eb3f0</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31f1edb6-58c8-4535-be8d-53e97f01de1b" srsName="EPSG:3009" srsDimension="2">
          <gml:exterior>
            <gml:LinearRing gml:id="ID_3de30a5e-db79-48ad-88e8-82f977927178">
              <gml:posList>6448126.219 124793.638 6448107.44 124789.732 6448111.061 124768.354 6448111.747 124764.308 6448113.64 124767.465 6448113.826 124768.233 6448114.06 124768.911 6448114.946 124770.542 6448115.502 124771.344 6448116.134 124772.115 6448117.264 124773.294 6448119.227 124775.167 6448123.132 124778.896 6448123.863 124779.594 6448125.893 124781.523 6448128.541 124784.04 6448137.701 124793.724 6448138.462 124796.034 6448137.152 124795.912 6448126.219 124793.638</gml:posList>
            </gml:LinearRing>
          </gml:exterior>
        </gml:Polygon>
      </lmg:Yta>
      <planbestammelsereferens>25ff9cee-ef53-48c5-ac9f-25e9e87dad6e</planbestammelsereferens>
    </Lage>
    <Lage>
      <lmg:Yta>
        <lmg:absolutLagesosakerhetPlan>0</lmg:absolutLagesosakerhetPlan>
        <lmg:absolutLagesosakerhetHojd>0</lmg:absolutLagesosakerhetHojd>
        <lmg:hojdsystem>RH 2000</lmg:hojdsystem>
        <gml:Polygon gml:id="ID_2f159a0e-5d05-415f-ba7c-7e4c98f6babc" srsName="EPSG:3009" srsDimension="2">
          <gml:exterior>
            <gml:LinearRing gml:id="ID_25199f21-e141-47fa-8acf-809b4321a338">
              <gml:posList>6448183.293 124640.174 6448185.304 124640.185 6448188.282 124640.202 6448189.735 124640.21 6448189.735 124640.788 6448189.74 124647.89 6448189.742 124649.636 6448189.746 124655.78 6448181.225 124654.834 6448180.742 124640.16 6448181.377 124640.163 6448183.293 124640.174</gml:posList>
            </gml:LinearRing>
          </gml:exterior>
        </gml:Polygon>
      </lmg:Yta>
      <planbestammelsereferens>26ba2876-57b8-4060-878b-9bf1408f4161</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d68a184f-9f0d-4a88-a42d-67173e9b637d" srsName="EPSG:3009" srsDimension="2">
          <gml:exterior>
            <gml:LinearRing gml:id="ID_8e16fce2-1387-4f1a-bbda-ff949d743e9c">
              <gml:posList>6447853.465 124659.631 6447859.866 124651.994 6447863.324 124652.041 6447864.176 124652.053 6447869.86 124652.13 6447863.422 124659.767 6447860.642 124659.729 6447853.465 124659.631</gml:posList>
            </gml:LinearRing>
          </gml:exterior>
        </gml:Polygon>
      </lmg:Yta>
      <planbestammelsereferens>e3d9d4e1-5535-4960-b1e2-f774f80b1388</planbestammelsereferens>
    </Lage>
    <Lage>
      <lmg:Yta>
        <lmg:absolutLagesosakerhetPlan>0</lmg:absolutLagesosakerhetPlan>
        <lmg:absolutLagesosakerhetHojd>0</lmg:absolutLagesosakerhetHojd>
        <lmg:hojdsystem>RH 2000</lmg:hojdsystem>
        <gml:Polygon gml:id="ID_00a87c71-8afc-4921-982b-0ae8ea9326a9" srsName="EPSG:3009" srsDimension="2">
          <gml:exterior>
            <gml:LinearRing gml:id="ID_8d94a9a3-5496-4394-931a-6a1bc2afa151">
              <gml:posList>6448183.293 124640.174 6448181.377 124640.163 6448180.742 124640.16 6448180.414 124630.191 6448180.448 124628.343 6448184.693 124628.273 6448189.727 124628.191 6448189.728 124631.04 6448189.729 124631.86 6448189.729 124632.231 6448189.73 124632.469 6448189.732 124635.285 6448189.732 124635.708 6448189.734 124638.21 6448189.735 124640.21 6448188.282 124640.202 6448185.304 124640.185 6448183.293 124640.174</gml:posList>
            </gml:LinearRing>
          </gml:exterior>
        </gml:Polygon>
      </lmg:Yta>
      <planbestammelsereferens>f39614a7-ca7a-4a5d-b580-7ceb9c93e541</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88be7246-0637-4876-84f8-8a333f6d8440" srsName="EPSG:3009" srsDimension="2">
          <gml:exterior>
            <gml:LinearRing gml:id="ID_fa9ca853-6e2c-4f77-a256-e8ecb7f94d60">
              <gml:posList>6448240.903 124690.704 6448238.477 124702.53 6448235.513 124702.049 6448233.504 124701.723 6448230.539 124701.242 6448218.12 124699.228 6448220.575 124687.406 6448222.266 124679.263 6448227.81 124680.279 6448231.591 124680.973 6448231.745 124681.001 6448233.984 124681.411 6448237.57 124682.069 6448239.538 124682.429 6448242.489 124682.971 6448240.912 124690.659 6448240.903 124690.704</gml:posList>
            </gml:LinearRing>
          </gml:exterior>
        </gml:Polygon>
      </lmg:Yta>
      <planbestammelsereferens>cc11eaa5-0ad8-4d50-828b-7a40329b4d57</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f4321a87-f53f-4462-9187-1ecac71406cc" srsName="EPSG:3009" srsDimension="2">
          <gml:exterior>
            <gml:LinearRing gml:id="ID_de3b0077-a68e-41c5-88a4-c5d88e1b542c">
              <gml:posList>6447951.229 124610.725 6447951.127 124609.316 6447951.229 124609.309 6447968.811 124608.007 6447974.423 124607.591 6447976.521 124607.436 6447977.864 124607.336 6447981.033 124607.101 6447981.456 124607.07 6447984.211 124606.866 6448014.658 124604.611 6448019.148 124604.279 6448019.986 124604.216 6448020.723 124604.162 6448022.334 124604.043 6448032.652 124603.278 6448037.614 124602.935 6448038.393 124602.882 6448039.384 124602.813 6448039.671 124602.793 6448040.523 124602.734 6448045.364 124602.4 6448050.036 124602.218 6448050.052 124602.218 6448050.353 124602.206 6448051.206 124602.173 6448051.53 124602.16 6448056.428 124601.969 6448062.87 124601.719 6448072.869 124601.341 6448073.305 124607.329 6448074.453 124607.285 6448074.547 124607.282 6448075.824 124607.233 6448080.304 124607.064 6448083.727 124606.253 6448084.231 124613.242 6448084.419 124615.844 6448084.543 124617.841 6448085.544 124633.9 6448082.263 124634.001 6448078.106 124634.113 6448077.582 124634.127 6448072.714 124634.257 6448066.258 124634.43 6448064.34 124634.482 6448063.55 124633.681 6448063.026 124633.149 6448061.457 124631.558 6448055.785 124631.422 6448016.536 124630.48 6448014.827 124630.439 6448006.323 124630.234 6447989.717 124629.836 6447982.686 124629.667 6447970.991 124630.116 6447966.88 124630.274 6447961.56 124630.479 6447952.691 124630.82 6447952.654 124630.303 6447952.532 124628.627 6447952.53 124628.603 6447952.164 124623.569 6447952.062 124622.17 6447951.914 124620.134 6447951.229 124610.725</gml:posList>
            </gml:LinearRing>
          </gml:exterior>
        </gml:Polygon>
      </lmg:Yta>
      <planbestammelsereferens>af70b878-4bf4-4efb-ba31-e68903a6ca70</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341a2310-fa4f-4610-b286-8aacdc9a92fa" srsName="EPSG:3009" srsDimension="2">
          <gml:exterior>
            <gml:LinearRing gml:id="ID_080134b1-c360-4df4-91e2-29b53d78b627">
              <gml:posList>6447951.229 124610.725 6447951.127 124609.316 6447951.229 124609.309 6447968.811 124608.007 6447974.423 124607.591 6447976.521 124607.436 6447977.864 124607.336 6447981.033 124607.101 6447981.456 124607.07 6447984.211 124606.866 6448014.658 124604.611 6448019.148 124604.279 6448019.986 124604.216 6448020.723 124604.162 6448022.334 124604.043 6448032.652 124603.278 6448037.614 124602.935 6448038.393 124602.882 6448039.384 124602.813 6448039.671 124602.793 6448040.523 124602.734 6448045.364 124602.4 6448050.036 124602.218 6448050.052 124602.218 6448050.353 124602.206 6448051.206 124602.173 6448051.53 124602.16 6448056.428 124601.969 6448062.87 124601.719 6448072.869 124601.341 6448073.305 124607.329 6448074.453 124607.285 6448074.547 124607.282 6448075.824 124607.233 6448080.304 124607.064 6448083.727 124606.253 6448084.231 124613.242 6448084.419 124615.844 6448084.543 124617.841 6448085.544 124633.9 6448082.263 124634.001 6448078.106 124634.113 6448077.582 124634.127 6448072.714 124634.257 6448066.258 124634.43 6448064.34 124634.482 6448063.55 124633.681 6448063.026 124633.149 6448061.457 124631.558 6448055.785 124631.422 6448016.536 124630.48 6448014.827 124630.439 6448006.323 124630.234 6447989.717 124629.836 6447982.686 124629.667 6447970.991 124630.116 6447966.88 124630.274 6447961.56 124630.479 6447952.691 124630.82 6447952.654 124630.303 6447952.532 124628.627 6447952.53 124628.603 6447952.164 124623.569 6447952.062 124622.17 6447951.914 124620.134 6447951.229 124610.725</gml:posList>
            </gml:LinearRing>
          </gml:exterior>
        </gml:Polygon>
      </lmg:Yta>
      <planbestammelsereferens>e2bb7265-6d9a-4aef-8625-9a14edb94297</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7c9edf86-70d0-4f4a-9f90-821a3e7442b5" srsName="EPSG:3009" srsDimension="2">
          <gml:exterior>
            <gml:LinearRing gml:id="ID_c562af76-2030-4a0b-ac8b-227702041660">
              <gml:posList>6447739.318 124629.547 6447738.939 124623.488 6447764.584 124622.553 6447770.361 124622.342 6447784.928 124621.81 6447787.281 124621.725 6447808.944 124620.934 6447827.448 124620.259 6447855.432 124617.645 6447856.56 124617.54 6447870.177 124616.268 6447870.662 124616.223 6447879.271 124615.419 6447878.776 124625.075 6447878.687 124626.796 6447878.067 124638.868 6447870.412 124639.412 6447815.722 124643.301 6447739.318 124629.547</gml:posList>
            </gml:LinearRing>
          </gml:exterior>
        </gml:Polygon>
      </lmg:Yta>
      <planbestammelsereferens>e70472db-f760-4a96-aa7f-80d15b1ac57c</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9d0e58b3-de07-499e-9e4b-d29379e82681" srsName="EPSG:3009" srsDimension="2">
          <gml:exterior>
            <gml:LinearRing gml:id="ID_8dd81101-6380-4e4b-b0e6-56da81012419">
              <gml:posList>6447883.847 124633.581 6447883.19 124626.089 6447884.503 124614.93 6447884.918 124614.891 6447890.513 124614.369 6447919.636 124611.649 6447920.695 124611.57 6447922.112 124611.465 6447924.378 124611.298 6447939.283 124610.194 6447951.127 124609.316 6447951.229 124610.725 6447951.914 124620.134 6447952.062 124622.17 6447952.164 124623.569 6447952.53 124628.603 6447952.532 124628.627 6447952.654 124630.303 6447952.691 124630.82 6447942.48 124631.212 6447937.144 124631.417 6447935.892 124631.465 6447931.991 124631.615 6447916.156 124632.224 6447906.329 124632.637 6447905.85 124632.657 6447902.756 124632.787 6447883.847 124633.581</gml:posList>
            </gml:LinearRing>
          </gml:exterior>
        </gml:Polygon>
      </lmg:Yta>
      <planbestammelsereferens>980aaf1c-b7b6-4b70-a395-4bc1d2173ffe</planbestammelsereferens>
    </Lage>
    <Indelning>
      <tema>Motiv till detaljplanens regleringar</tema>
      <grupp>Motiv till reglering</grupp>
    </Indelning>
  </Omfattning>
  <Omfattning>
    <identitet>be_allmänplats01</identitet>
    <Lage>
      <planomrade>true</planomrade>
    </Lage>
    <Indelning>
      <tema>Beskrivning av detaljplanen</tema>
      <grupp>Allmän plats</grupp>
    </Indelning>
  </Omfattning>
  <Omfattning>
    <identitet>mo_motivtillreglering01</identitet>
    <Lage>
      <lmg:Yta>
        <lmg:absolutLagesosakerhetPlan>0</lmg:absolutLagesosakerhetPlan>
        <lmg:absolutLagesosakerhetHojd>0</lmg:absolutLagesosakerhetHojd>
        <lmg:hojdsystem>RH 2000</lmg:hojdsystem>
        <gml:Polygon gml:id="ID_225645df-b3ce-4d02-819e-a4bc70dd15cb" srsName="EPSG:3009" srsDimension="2">
          <gml:exterior>
            <gml:LinearRing gml:id="ID_1c2603f3-57c6-4821-b180-683f5eb9e635">
              <gml:posList>6448227.81 124680.279 6448222.266 124679.263 6448223.368 124673.959 6448210.022 124671.781 6448203.98 124670.795 6448195.306 124669.379 6448191.763 124668.552 6448181.783 124666.223 6448180.676 124667.538 6448179.81 124670.532 6448176.655 124675.932 6448168.105 124690.564 6448167 124692.11 6448152.169 124712.857 6448151.403 124716.177 6448152.475 124716.404 6448159.469 124716.804 6448162.957 124717.324 6448170.14 124718.396 6448197.239 124724.029 6448201.3 124725.003 6448211.747 124729.06 6448210.727 124732.728 6448210.072 124738.445 6448209.092 124738.047 6448199.986 124734.344 6448189.632 124734.108 6448184.35 124733.987 6448178.266 124733.849 6448155.736 124731.495 6448151.134 124731.014 6448149.249 124730.817 6448141.918 124730.051 6448137.293 124733.325 6448132.566 124736.672 6448132.242 124739.399 6448131.915 124742.157 6448129.888 124759.25 6448128.323 124759.082 6448123.652 124762.344 6448120.55 124770.299 6448125.866 124775.331 6448130.675 124779.834 6448134.739 124784.337 6448137.831 124787.763 6448138.787 124788.012 6448147.644 124790.32 6448148.533 124790.4 6448155.768 124788.313 6448166.859 124785.116 6448180.239 124781.258 6448180.852 124780.585 6448190.764 124782.591 6448200.664 124784.595 6448200.019 124788.398 6448193.196 124787.422 6448189.458 124786.887 6448181.597 124785.628 6448174.663 124787.343 6448167.173 124789.354 6448155.01 124792.618 6448148.985 124794.235 6448143.707 124795.592 6448144.35 124796.582 6448142.983 124796.454 6448138.462 124796.034 6448137.701 124793.724 6448128.541 124784.04 6448125.893 124781.523 6448123.863 124779.594 6448123.132 124778.896 6448119.227 124775.167 6448117.264 124773.294 6448116.134 124772.115 6448115.502 124771.344 6448114.946 124770.542 6448114.06 124768.911 6448113.826 124768.233 6448113.64 124767.465 6448111.747 124764.308 6448109.753 124763.028 6448106.208 124760.753 6448098.002 124759.81 6448091.63 124759.077 6448083.274 124758.115 6448078.201 124757.531 6448069.944 124756.982 6448067.921 124756.841 6448063.523 124759.132 6448060.302 124762.81 6448057.328 124767.404 6448054.067 124765.054 6448053.802 124760.988 6448049.734 124758.255 6448044.671 124758.323 6448033.9 124756.646 6448031.094 124756.007 6448024.127 124750.086 6448019.905 124747.993 6448020.03 124746.118 6448020.455 124739.749 6448023.437 124740.222 6448058.325 124745.762 6448060.944 124746.178 6448074.76 124747.181 6448103.675 124751.191 6448109.978 124752.065 6448111.557 124752.284 6448116.729 124752.354 6448118.689 124748.491 6448119.483 124741.387 6448120.293 124734.139 6448120.381 124733.349 6448121.156 124726.417 6448129.708 124711.288 6448131.225 124708.558 6448139.083 124701.237 6448142.054 124698.468 6448147.219 124691.038 6448145.562 124686.67 6448135.874 124686.989 6448114.982 124687.351 6448091.357 124686.743 6448080.016 124686.412 6448077.363 124686.335 6448064.062 124685.746 6448056.409 124685.073 6448049.479 124684.094 6448035.703 124681.621 6448015.28 124676.735 6448006.175 124675.226 6447968.891 124669.048 6447956.597 124667.011 6447956.346 124667.014 6447944.588 124667.167 6447940.621 124661.328 6447933.955 124661.297 6447931.467 124661.299 6447928.999 124661.302 6447923.181 124661.274 6447918.001 124661.262 6447914.324 124661.295 6447912.246 124661.314 6447907.643 124661.336 6447907.044 124661.339 6447901.077 124661.422 6447897.757 124661.447 6447896.274 124661.458 6447896.018 124661.463 6447890.711 124661.565 6447885.502 124661.648 6447882.912 124661.9 6447875.944 124661.549 6447872.749 124661.309 6447868.732 124661.006 6447869.676 124657.151 6447870.776 124653.988 6447871.062 124653.844 6447875.68 124653.67 6447876.133 124653.653 6447879.106 124653.435 6447881.948 124656.739 6447883.888 124659.003 6447885.126 124659.202 6447890.469 124659.076 6447893.985 124659.014 6447898.276 124658.939 6447901.349 124658.885 6447904.718 124658.861 6447910.815 124658.819 6447914.306 124658.795 6447918.834 124658.763 6447923.01 124658.734 6447928.204 124658.762 6447938.043 124658.814 6447942.231 124658.836 6447948.656 124659.228 6447949.986 124659.309 6447950.653 124659.539 6447950.6 124654.62 6447950.518 124647.024 6447959.054 124647.125 6447958.907 124659.536 6447994.66 124665.055 6448008.113 124667.217 6448027.47 124671.618 6448045.746 124675.322 6448061.744 124677.781 6448075.058 124678.604 6448095.4 124679.263 6448128.72 124679.264 6448146.054 124678.776 6448152.485 124678.595 6448160.021 124673.651 6448165.731 124665.16 6448165.368 124657.84 6448165.127 124652.97 6448164.833 124647.039 6448164.832 124646.968 6448164.82 124645.24 6448164.79 124640.987 6448164.684 124626.173 6448164.893 124614.116 6448164.928 124612.111 6448169.614 124612.108 6448169.458 124604.861 6448169.394 124601.843 6448169.351 124599.856 6448169.273 124599.027 6448169.065 124598.185 6448168.89 124597.72 6448168.476 124596.929 6448168.166 124596.481 6448167.935 124596.211 6448176.662 124595.67 6448176.457 124595.933 6448176.329 124596.115 6448176.099 124596.483 6448175.923 124596.815 6448175.762 124597.174 6448175.574 124597.711 6448175.469 124598.118 6448175.371 124598.72 6448175.34 124599.492 6448175.366 124600.514 6448177.767 124600.463 6448179.847 124600.444 6448179.954 124605.443 6448180.448 124628.343 6448180.414 124630.191 6448180.742 124640.16 6448181.225 124654.834 6448189.746 124655.78 6448189.742 124649.636 6448189.74 124647.89 6448189.735 124640.788 6448189.735 124640.21 6448189.734 124638.21 6448189.732 124635.708 6448189.732 124635.285 6448189.73 124632.469 6448189.729 124632.231 6448189.729 124631.86 6448189.728 124631.04 6448189.727 124628.191 6448206.104 124627.923 6448206.21 124630.726 6448215.667 124630.923 6448223.962 124631.254 6448223.715 124639.779 6448219.794 124638.978 6448207.806 124638.395 6448202.384 124642.198 6448202.152 124657.456 6448242.854 124666.26 6448245.786 124666.894 6448242.489 124682.971 6448239.538 124682.429 6448237.57 124682.069 6448233.984 124681.411 6448231.745 124681.001 6448231.591 124680.973 6448227.81 124680.279</gml:posList>
            </gml:LinearRing>
          </gml:exterior>
        </gml:Polygon>
      </lmg:Yta>
      <planbestammelsereferens>97207be9-6119-4a89-a2ec-669e48df1806</planbestammelsereferens>
    </Lage>
    <Lage>
      <lmg:Yta>
        <lmg:absolutLagesosakerhetPlan>0</lmg:absolutLagesosakerhetPlan>
        <lmg:absolutLagesosakerhetHojd>0</lmg:absolutLagesosakerhetHojd>
        <lmg:hojdsystem>RH 2000</lmg:hojdsystem>
        <gml:Polygon gml:id="ID_cdb61827-8144-4cd5-96f2-ad4fca545447" srsName="EPSG:3009" srsDimension="2">
          <gml:exterior>
            <gml:LinearRing gml:id="ID_cf933c66-22ce-4ec9-861d-635be183b303">
              <gml:posList>6448227.604 124754.366 6448210.965 124802.785 6448144.35 124796.582 6448143.707 124795.592 6448148.985 124794.235 6448155.01 124792.618 6448167.173 124789.354 6448174.663 124787.343 6448181.597 124785.628 6448189.458 124786.887 6448193.196 124787.422 6448200.019 124788.398 6448200.664 124784.595 6448202.327 124784.932 6448209.278 124786.339 6448212.231 124786.937 6448215.398 124776.433 6448215.708 124775.404 6448222.577 124752.623 6448220.142 124749.912 6448219.721 124749.444 6448217.277 124746.658 6448217.238 124746.614 6448211.66 124740.256 6448210.072 124738.445 6448210.727 124732.728 6448221.682 124743.268 6448224.231 124745.721 6448233.504 124701.723 6448235.513 124702.049 6448238.477 124702.53 6448235.236 124718.332 6448232.85 124729.966 6448228.202 124752.626 6448227.604 124754.366</gml:posList>
            </gml:LinearRing>
          </gml:exterior>
        </gml:Polygon>
      </lmg:Yta>
      <planbestammelsereferens>769206de-1810-48c1-b5de-5870e98b43bf</planbestammelsereferens>
    </Lage>
    <Lage>
      <lmg:Yta>
        <lmg:absolutLagesosakerhetPlan>0</lmg:absolutLagesosakerhetPlan>
        <lmg:absolutLagesosakerhetHojd>0</lmg:absolutLagesosakerhetHojd>
        <lmg:hojdsystem>RH 2000</lmg:hojdsystem>
        <gml:Polygon gml:id="ID_b8f108e0-de02-4013-8a12-f19e46ac9485" srsName="EPSG:3009" srsDimension="2">
          <gml:exterior>
            <gml:LinearRing gml:id="ID_273d5738-85c3-40db-aaec-13f0bdb3605e">
              <gml:posList>6448130.675 124779.834 6448125.866 124775.331 6448120.55 124770.299 6448123.652 124762.344 6448128.323 124759.082 6448129.888 124759.25 6448129.411 124763.269 6448129.074 124766.118 6448128.495 124770.997 6448146.476 124774.198 6448169.958 124778.379 6448180.852 124780.585 6448180.239 124781.258 6448166.859 124785.116 6448155.768 124788.313 6448148.533 124790.4 6448147.644 124790.32 6448138.787 124788.012 6448137.831 124787.763 6448134.739 124784.337 6448130.675 124779.834</gml:posList>
            </gml:LinearRing>
          </gml:exterior>
        </gml:Polygon>
      </lmg:Yta>
      <planbestammelsereferens>4342cc57-528b-4749-8bc1-4dbd639b00e4</planbestammelsereferens>
    </Lage>
    <Lage>
      <lmg:Yta>
        <lmg:absolutLagesosakerhetPlan>0</lmg:absolutLagesosakerhetPlan>
        <lmg:absolutLagesosakerhetHojd>0</lmg:absolutLagesosakerhetHojd>
        <lmg:hojdsystem>RH 2000</lmg:hojdsystem>
        <gml:Polygon gml:id="ID_0ec59fe3-2d55-457f-95a6-527d333ff862" srsName="EPSG:3009" srsDimension="2">
          <gml:exterior>
            <gml:LinearRing gml:id="ID_b05a73f8-b43f-4542-895e-a6484a885daf">
              <gml:posList>6448079.952 124645.232 6448063.778 124642.679 6448030.424 124640.239 6448017.125 124638.587 6447997.241 124636.117 6447959.2 124634.767 6447959.155 124638.619 6447959.054 124647.125 6447950.518 124647.024 6447950.6 124654.62 6447946.802 124646.43 6447945.98 124644.656 6447944.7 124641.895 6447941.398 124634.774 6447936.627 124634.903 6447932.247 124635.021 6447924.888 124635.544 6447921.992 124635.749 6447916.61 124636.131 6447916.517 124636.138 6447904.443 124636.995 6447901.137 124637.23 6447898.272 124637.434 6447891.109 124637.942 6447879.236 124638.785 6447878.067 124638.868 6447878.687 124626.796 6447878.776 124625.075 6447879.271 124615.419 6447879.81 124615.369 6447881.108 124615.247 6447882.989 124615.072 6447884.503 124614.93 6447883.19 124626.089 6447883.847 124633.581 6447902.756 124632.787 6447905.85 124632.657 6447906.329 124632.637 6447916.156 124632.224 6447931.991 124631.615 6447935.892 124631.465 6447937.144 124631.417 6447942.48 124631.212 6447952.691 124630.82 6447961.56 124630.479 6447966.88 124630.274 6447970.991 124630.116 6447982.686 124629.667 6447989.717 124629.836 6448006.323 124630.234 6448014.827 124630.439 6448016.536 124630.48 6448055.785 124631.422 6448061.457 124631.558 6448063.026 124633.149 6448063.55 124633.681 6448064.34 124634.482 6448066.258 124634.43 6448072.714 124634.257 6448077.582 124634.127 6448078.106 124634.113 6448082.263 124634.001 6448085.544 124633.9 6448085.94 124640.253 6448086.312 124646.236 6448079.952 124645.232</gml:posList>
            </gml:LinearRing>
          </gml:exterior>
        </gml:Polygon>
      </lmg:Yta>
      <planbestammelsereferens>5a02cbfb-a593-4a68-8c32-3835f50c65f5</planbestammelsereferens>
    </Lage>
    <Lage>
      <lmg:Yta>
        <lmg:absolutLagesosakerhetPlan>0</lmg:absolutLagesosakerhetPlan>
        <lmg:absolutLagesosakerhetHojd>0</lmg:absolutLagesosakerhetHojd>
        <lmg:hojdsystem>RH 2000</lmg:hojdsystem>
        <gml:Polygon gml:id="ID_44b892a4-fe08-442e-a037-f50418f5e5e0" srsName="EPSG:3009" srsDimension="2">
          <gml:exterior>
            <gml:LinearRing gml:id="ID_1a83cdf9-eca1-4b0a-9459-d4723698b63a">
              <gml:posList>6448073.305 124607.329 6448072.869 124601.341 6448104.356 124600.15 6448107.832 124599.935 6448126.219 124598.796 6448143.351 124597.734 6448144.976 124597.634 6448162.901 124596.523 6448167.935 124596.211 6448168.166 124596.481 6448168.476 124596.929 6448168.89 124597.72 6448169.065 124598.185 6448169.273 124599.027 6448169.351 124599.856 6448169.394 124601.843 6448169.458 124604.861 6448169.614 124612.108 6448164.928 124612.111 6448157.004 124612.545 6448154.507 124612.682 6448153.302 124612.748 6448151.765 124612.832 6448142.579 124613.335 6448139.963 124613.478 6448136.84 124613.649 6448136.291 124613.679 6448128.599 124614.1 6448128.355 124614.114 6448128.016 124614.132 6448125.277 124614.282 6448122.903 124614.373 6448121.89 124614.412 6448116.818 124614.605 6448113.619 124614.728 6448111.718 124614.8 6448107.977 124614.943 6448106.363 124615.005 6448105.798 124615.027 6448101.544 124615.189 6448098.178 124615.318 6448086.418 124615.768 6448084.419 124615.844 6448084.231 124613.242 6448083.727 124606.253 6448080.304 124607.064 6448075.824 124607.233 6448074.547 124607.282 6448074.453 124607.285 6448073.305 124607.329</gml:posList>
            </gml:LinearRing>
          </gml:exterior>
        </gml:Polygon>
      </lmg:Yta>
      <planbestammelsereferens>6d3820c9-e496-4d25-b7ac-52623748ca86</planbestammelsereferens>
    </Lage>
    <Lage>
      <lmg:Yta>
        <lmg:absolutLagesosakerhetPlan>0</lmg:absolutLagesosakerhetPlan>
        <lmg:absolutLagesosakerhetHojd>0</lmg:absolutLagesosakerhetHojd>
        <lmg:hojdsystem>RH 2000</lmg:hojdsystem>
        <gml:Polygon gml:id="ID_96c9e45f-1e30-4632-8387-32dbc1b56e86" srsName="EPSG:3009" srsDimension="2">
          <gml:exterior>
            <gml:LinearRing gml:id="ID_ea913690-e5ef-48af-bc16-3dbee842c3ab">
              <gml:posList>6448259.533 124599.872 6448256.474 124599.855 6448217.762 124599.649 6448192.455 124600.18 6448191.821 124600.193 6448179.847 124600.444 6448177.767 124600.463 6448175.366 124600.514 6448175.34 124599.492 6448175.371 124598.72 6448175.469 124598.118 6448175.574 124597.711 6448175.762 124597.174 6448175.923 124596.815 6448176.099 124596.483 6448176.329 124596.115 6448176.457 124595.933 6448176.662 124595.67 6448180.622 124595.425 6448181.777 124595.354 6448201.176 124594.152 6448205.628 124594.113 6448232.44 124593.883 6448260.589 124594.725 6448259.533 124599.872</gml:posList>
            </gml:LinearRing>
          </gml:exterior>
        </gml:Polygon>
      </lmg:Yta>
      <planbestammelsereferens>4a1aac62-c20e-4a2a-8ffe-8459db34d2f8</planbestammelsereferens>
    </Lage>
    <Lage>
      <lmg:Yta>
        <lmg:absolutLagesosakerhetPlan>0</lmg:absolutLagesosakerhetPlan>
        <lmg:absolutLagesosakerhetHojd>0</lmg:absolutLagesosakerhetHojd>
        <lmg:hojdsystem>RH 2000</lmg:hojdsystem>
        <gml:Polygon gml:id="ID_5d1b051a-cbd0-4c68-8fbb-6694f308e74d" srsName="EPSG:3009" srsDimension="2">
          <gml:exterior>
            <gml:LinearRing gml:id="ID_f32c4f78-938a-4bd8-ab30-6cad9e564987">
              <gml:posList>6448142.054 124698.468 6448127.029 124697.247 6448114.712 124696.246 6448074.012 124692.937 6448022.947 124686.743 6448022.857 124688.647 6448021.472 124688.301 6447991.037 124680.71 6447960.804 124676.63 6447933.297 124678.423 6447898.577 124677.799 6447895.816 124677.75 6447896.018 124661.463 6447896.274 124661.458 6447897.757 124661.447 6447901.077 124661.422 6447907.044 124661.339 6447907.643 124661.336 6447912.246 124661.314 6447914.324 124661.295 6447918.001 124661.262 6447923.181 124661.274 6447928.999 124661.302 6447931.467 124661.299 6447933.955 124661.297 6447940.621 124661.328 6447944.588 124667.167 6447956.346 124667.014 6447956.597 124667.011 6447968.891 124669.048 6448006.175 124675.226 6448015.28 124676.735 6448035.703 124681.621 6448049.479 124684.094 6448056.409 124685.073 6448064.062 124685.746 6448077.363 124686.335 6448080.016 124686.412 6448091.357 124686.743 6448114.982 124687.351 6448135.874 124686.989 6448145.562 124686.67 6448147.219 124691.038 6448142.054 124698.468</gml:posList>
            </gml:LinearRing>
          </gml:exterior>
        </gml:Polygon>
      </lmg:Yta>
      <planbestammelsereferens>c28105f9-d03c-46e7-8819-81b7e869e48a</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0b318f28-f43d-46b0-9a9e-a3115c415948" srsName="EPSG:3009" srsDimension="2">
          <gml:exterior>
            <gml:LinearRing gml:id="ID_4878470c-1a74-4d4a-b80c-6638c1934504">
              <gml:posList>6448125.277 124614.282 6448122.903 124614.373 6448121.89 124614.412 6448116.818 124614.605 6448113.619 124614.728 6448111.718 124614.8 6448107.977 124614.943 6448106.363 124615.005 6448105.798 124615.027 6448105.802 124614.735 6448105.807 124614.456 6448105.81 124614.297 6448105.833 124612.887 6448115.544 124612.179 6448125.004 124611.49 6448140.583 124610.355 6448141.89 124610.26 6448143.392 124610.15 6448152.222 124609.507 6448152.253 124609.495 6448154.25 124609.359 6448156.246 124609.187 6448156.704 124609.18 6448164.233 124608.631 6448164.409 124609.51 6448164.734 124611.138 6448164.928 124612.111 6448157.004 124612.545 6448154.507 124612.682 6448153.302 124612.748 6448151.765 124612.832 6448142.579 124613.335 6448139.963 124613.478 6448136.84 124613.649 6448136.291 124613.679 6448128.599 124614.1 6448128.355 124614.114 6448128.016 124614.132 6448125.277 124614.282</gml:posList>
            </gml:LinearRing>
          </gml:exterior>
        </gml:Polygon>
      </lmg:Yta>
      <planbestammelsereferens>946f8d06-1474-4ae6-838f-1bb52efb8ca5</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6858d838-d131-4e65-a7a2-77f3982ea6e8" srsName="EPSG:3009" srsDimension="2">
          <gml:exterior>
            <gml:LinearRing gml:id="ID_8e0ab9a4-4628-44b7-bac4-add3009c913d">
              <gml:posList>6448073.305 124607.329 6448072.869 124601.341 6448104.356 124600.15 6448107.832 124599.935 6448126.219 124598.796 6448143.351 124597.734 6448144.976 124597.634 6448162.901 124596.523 6448167.935 124596.211 6448168.166 124596.481 6448168.476 124596.929 6448168.89 124597.72 6448169.065 124598.185 6448169.273 124599.027 6448169.351 124599.856 6448169.394 124601.843 6448169.458 124604.861 6448169.614 124612.108 6448164.928 124612.111 6448157.004 124612.545 6448154.507 124612.682 6448153.302 124612.748 6448151.765 124612.832 6448142.579 124613.335 6448139.963 124613.478 6448136.84 124613.649 6448136.291 124613.679 6448128.599 124614.1 6448128.355 124614.114 6448128.016 124614.132 6448125.277 124614.282 6448122.903 124614.373 6448121.89 124614.412 6448116.818 124614.605 6448113.619 124614.728 6448111.718 124614.8 6448107.977 124614.943 6448106.363 124615.005 6448105.798 124615.027 6448101.544 124615.189 6448098.178 124615.318 6448086.418 124615.768 6448084.419 124615.844 6448084.231 124613.242 6448083.727 124606.253 6448080.304 124607.064 6448075.824 124607.233 6448074.547 124607.282 6448074.453 124607.285 6448073.305 124607.329</gml:posList>
            </gml:LinearRing>
          </gml:exterior>
        </gml:Polygon>
      </lmg:Yta>
      <planbestammelsereferens>d670c026-c0a4-461c-b8e2-15b8ddbdd271</planbestammelsereferens>
    </Lage>
    <Indelning>
      <tema>Motiv till detaljplanens regleringar</tema>
      <grupp>Motiv till reglering</grupp>
    </Indelning>
  </Omfattning>
  <Omfattning>
    <identitet>mo_motivtillreglering15</identitet>
    <Lage>
      <lmg:Linje>
        <lmg:absolutLagesosakerhetPlan>0.1</lmg:absolutLagesosakerhetPlan>
        <lmg:absolutLagesosakerhetHojd>0</lmg:absolutLagesosakerhetHojd>
        <lmg:hojdsystem>RH 2000</lmg:hojdsystem>
        <gml:LineString gml:id="ID_6fd4f2eb-3def-4dd3-8a28-e97db196685b" srsName="EPSG:3009" srsDimension="2">
          <gml:posList>6448260.589 124594.725 6448232.44 124593.883 6448205.628 124594.113 6448201.176 124594.152 6448181.777 124595.354</gml:posList>
        </gml:LineString>
      </lmg:Linje>
      <planbestammelsereferens>1b1a4d5b-26f6-4839-9f7a-7ee2db0a6087</planbestammelsereferens>
    </Lage>
    <Lage>
      <lmg:Linje>
        <lmg:absolutLagesosakerhetPlan>0.1</lmg:absolutLagesosakerhetPlan>
        <lmg:absolutLagesosakerhetHojd>0</lmg:absolutLagesosakerhetHojd>
        <lmg:hojdsystem>RH 2000</lmg:hojdsystem>
        <gml:LineString gml:id="ID_1bd37aa6-9bea-42a6-863f-a3fcd5471fbe" srsName="EPSG:3009" srsDimension="2">
          <gml:posList>6448162.901 124596.523 6448144.976 124597.634 6448143.351 124597.734 6448126.219 124598.796 6448107.832 124599.935 6448104.356 124600.15 6448072.869 124601.341</gml:posList>
        </gml:LineString>
      </lmg:Linje>
      <planbestammelsereferens>b58d1235-1d67-4cd2-8bbb-efc483293e62</planbestammelsereferens>
    </Lage>
    <Lage>
      <lmg:Linje>
        <lmg:absolutLagesosakerhetPlan>0.1</lmg:absolutLagesosakerhetPlan>
        <lmg:absolutLagesosakerhetHojd>0</lmg:absolutLagesosakerhetHojd>
        <lmg:hojdsystem>RH 2000</lmg:hojdsystem>
        <gml:LineString gml:id="ID_4ebd1ac1-69b6-48a6-8b26-1fc6dc6f49d7" srsName="EPSG:3009" srsDimension="2">
          <gml:posList>6447870.662 124616.223 6447870.177 124616.268 6447856.56 124617.54 6447855.432 124617.645 6447827.448 124620.259 6447808.944 124620.934 6447787.281 124621.725 6447784.928 124621.81</gml:posList>
        </gml:LineString>
      </lmg:Linje>
      <planbestammelsereferens>3c390024-c4fc-40a2-89c4-1e8afc1f14f2</planbestammelsereferens>
    </Lage>
    <Lage>
      <lmg:Linje>
        <lmg:absolutLagesosakerhetPlan>0.1</lmg:absolutLagesosakerhetPlan>
        <lmg:absolutLagesosakerhetHojd>0</lmg:absolutLagesosakerhetHojd>
        <lmg:hojdsystem>RH 2000</lmg:hojdsystem>
        <gml:LineString gml:id="ID_41cba1aa-7830-4057-8017-d51a75b69ed0" srsName="EPSG:3009" srsDimension="2">
          <gml:posList>6447770.361 124622.342 6447764.584 124622.553 6447738.939 124623.488</gml:posList>
        </gml:LineString>
      </lmg:Linje>
      <planbestammelsereferens>9b8d8486-12ce-4f9f-b4b9-35845b01c107</planbestammelsereferens>
    </Lage>
    <Lage>
      <lmg:Linje>
        <lmg:absolutLagesosakerhetPlan>0.1</lmg:absolutLagesosakerhetPlan>
        <lmg:absolutLagesosakerhetHojd>0</lmg:absolutLagesosakerhetHojd>
        <lmg:hojdsystem>RH 2000</lmg:hojdsystem>
        <gml:LineString gml:id="ID_b5c6e946-ca4a-4376-a524-dec9a7d35372" srsName="EPSG:3009" srsDimension="2">
          <gml:posList>6448179.847 124600.444 6448179.954 124605.443 6448180.448 124628.343</gml:posList>
        </gml:LineString>
      </lmg:Linje>
      <planbestammelsereferens>4c9596a5-358b-4ee5-ab4b-6bfd792fae85</planbestammelsereferens>
    </Lage>
    <Lage>
      <lmg:Linje>
        <lmg:absolutLagesosakerhetPlan>0.1</lmg:absolutLagesosakerhetPlan>
        <lmg:absolutLagesosakerhetHojd>0</lmg:absolutLagesosakerhetHojd>
        <lmg:hojdsystem>RH 2000</lmg:hojdsystem>
        <gml:LineString gml:id="ID_80213378-1578-4a79-8f48-001e5ba48b6b" srsName="EPSG:3009" srsDimension="2">
          <gml:posList>6448165.127 124652.97 6448165.368 124657.84 6448165.731 124665.16 6448160.021 124673.651 6448152.485 124678.595 6448146.054 124678.776</gml:posList>
        </gml:LineString>
      </lmg:Linje>
      <planbestammelsereferens>cec07dea-8b61-4b46-a3e5-b18d161f85e5</planbestammelsereferens>
    </Lage>
    <Lage>
      <lmg:Linje>
        <lmg:absolutLagesosakerhetPlan>0.1</lmg:absolutLagesosakerhetPlan>
        <lmg:absolutLagesosakerhetHojd>0</lmg:absolutLagesosakerhetHojd>
        <lmg:hojdsystem>RH 2000</lmg:hojdsystem>
        <gml:LineString gml:id="ID_689cc7b1-4c43-43db-bc20-fa3e99ab897c" srsName="EPSG:3009" srsDimension="2">
          <gml:posList>6448191.763 124668.552 6448181.783 124666.223 6448180.676 124667.538 6448179.81 124670.532 6448176.655 124675.932 6448168.105 124690.564 6448167 124692.11 6448152.169 124712.857 6448151.403 124716.177 6448152.475 124716.404 6448159.469 124716.804 6448162.957 124717.324</gml:posList>
        </gml:LineString>
      </lmg:Linje>
      <planbestammelsereferens>47509189-2089-4977-b1de-176ab373f418</planbestammelsereferens>
    </Lage>
    <Lage>
      <lmg:Linje>
        <lmg:absolutLagesosakerhetPlan>0.1</lmg:absolutLagesosakerhetPlan>
        <lmg:absolutLagesosakerhetHojd>0</lmg:absolutLagesosakerhetHojd>
        <lmg:hojdsystem>RH 2000</lmg:hojdsystem>
        <gml:LineString gml:id="ID_7f6336b3-7c92-45ba-b709-83691a3f8f14" srsName="EPSG:3009" srsDimension="2">
          <gml:posList>6448155.736 124731.495 6448151.134 124731.014 6448149.249 124730.817 6448141.918 124730.051 6448137.293 124733.325 6448132.566 124736.672 6448132.242 124739.399 6448131.915 124742.157</gml:posList>
        </gml:LineString>
      </lmg:Linje>
      <planbestammelsereferens>c8d5b711-d6c7-4354-8f37-3245aaebc131</planbestammelsereferens>
    </Lage>
    <Lage>
      <lmg:Linje>
        <lmg:absolutLagesosakerhetPlan>0.1</lmg:absolutLagesosakerhetPlan>
        <lmg:absolutLagesosakerhetHojd>0</lmg:absolutLagesosakerhetHojd>
        <lmg:hojdsystem>RH 2000</lmg:hojdsystem>
        <gml:LineString gml:id="ID_6d8131b2-5abd-4c1f-8aa0-a962659dc4dc" srsName="EPSG:3009" srsDimension="2">
          <gml:posList>6448111.747 124764.308 6448109.753 124763.028 6448106.208 124760.753 6448098.002 124759.81</gml:posList>
        </gml:LineString>
      </lmg:Linje>
      <planbestammelsereferens>846a8e94-656d-488b-aae8-c15f8d3b9c7d</planbestammelsereferens>
    </Lage>
    <Lage>
      <lmg:Linje>
        <lmg:absolutLagesosakerhetPlan>0.1</lmg:absolutLagesosakerhetPlan>
        <lmg:absolutLagesosakerhetHojd>0</lmg:absolutLagesosakerhetHojd>
        <lmg:hojdsystem>RH 2000</lmg:hojdsystem>
        <gml:LineString gml:id="ID_cc3fa71f-e75c-4084-aa39-bc43d529ab16" srsName="EPSG:3009" srsDimension="2">
          <gml:posList>6448121.156 124726.417 6448120.381 124733.349 6448120.293 124734.139 6448119.483 124741.387 6448118.689 124748.491 6448116.729 124752.354 6448111.557 124752.284 6448109.978 124752.065 6448103.675 124751.191</gml:posList>
        </gml:LineString>
      </lmg:Linje>
      <planbestammelsereferens>19317b42-e5a5-44c6-8f3d-1c31bda9e6f6</planbestammelsereferens>
    </Lage>
    <Lage>
      <lmg:Linje>
        <lmg:absolutLagesosakerhetPlan>0.1</lmg:absolutLagesosakerhetPlan>
        <lmg:absolutLagesosakerhetHojd>0</lmg:absolutLagesosakerhetHojd>
        <lmg:hojdsystem>RH 2000</lmg:hojdsystem>
        <gml:LineString gml:id="ID_2187df0d-3db8-43af-9ade-fd16f63d41cb" srsName="EPSG:3009" srsDimension="2">
          <gml:posList>6448202.384 124642.198 6448202.152 124657.456 6448242.854 124666.26 6448245.786 124666.894</gml:posList>
        </gml:LineString>
      </lmg:Linje>
      <planbestammelsereferens>fcf97f2b-c307-4549-9e81-045e54b90ab9</planbestammelsereferens>
    </Lage>
    <Lage>
      <lmg:Linje>
        <lmg:absolutLagesosakerhetPlan>0.1</lmg:absolutLagesosakerhetPlan>
        <lmg:absolutLagesosakerhetHojd>0</lmg:absolutLagesosakerhetHojd>
        <lmg:hojdsystem>RH 2000</lmg:hojdsystem>
        <gml:LineString gml:id="ID_22be6b15-a845-4b1c-932d-2682eefa84d8" srsName="EPSG:3009" srsDimension="2">
          <gml:posList>6448037.614 124602.935 6448038.393 124602.882 6448039.384 124602.813 6448039.671 124602.793 6448040.523 124602.734 6448045.364 124602.4 6448050.036 124602.218 6448050.052 124602.218 6448050.353 124602.206 6448051.206 124602.173 6448051.53 124602.16</gml:posList>
        </gml:LineString>
      </lmg:Linje>
      <planbestammelsereferens>c4e2e860-1aa0-4c98-91d9-6b166b2c9e58</planbestammelsereferens>
    </Lage>
    <Lage>
      <lmg:Linje>
        <lmg:absolutLagesosakerhetPlan>0.1</lmg:absolutLagesosakerhetPlan>
        <lmg:absolutLagesosakerhetHojd>0</lmg:absolutLagesosakerhetHojd>
        <lmg:hojdsystem>RH 2000</lmg:hojdsystem>
        <gml:LineString gml:id="ID_49abb41b-6e2a-45de-b182-36ae84e9a075" srsName="EPSG:3009" srsDimension="2">
          <gml:posList>6447974.423 124607.591 6447976.521 124607.436 6447977.864 124607.336 6447981.033 124607.101 6447981.456 124607.07 6447984.211 124606.866 6448014.658 124604.611 6448019.148 124604.279 6448019.986 124604.216 6448020.723 124604.162 6448022.334 124604.043</gml:posList>
        </gml:LineString>
      </lmg:Linje>
      <planbestammelsereferens>c23c7f2b-32e2-4d2f-bfc2-f242ae233b1d</planbestammelsereferens>
    </Lage>
    <Lage>
      <lmg:Linje>
        <lmg:absolutLagesosakerhetPlan>0.1</lmg:absolutLagesosakerhetPlan>
        <lmg:absolutLagesosakerhetHojd>0</lmg:absolutLagesosakerhetHojd>
        <lmg:hojdsystem>RH 2000</lmg:hojdsystem>
        <gml:LineString gml:id="ID_6105f656-9ffb-4c97-984e-2b721dcf7ccd" srsName="EPSG:3009" srsDimension="2">
          <gml:posList>6447939.283 124610.194 6447924.378 124611.298 6447922.112 124611.465 6447920.695 124611.57 6447919.636 124611.649 6447890.513 124614.369 6447884.918 124614.891 6447884.503 124614.93 6447882.989 124615.072 6447881.108 124615.247 6447879.81 124615.369</gml:posList>
        </gml:LineString>
      </lmg:Linje>
      <planbestammelsereferens>55383e6d-2c4c-45ec-926f-d2743968fdb2</planbestammelsereferens>
    </Lage>
    <Indelning>
      <tema>Motiv till detaljplanens regleringar</tema>
      <grupp>Motiv till reglering</grupp>
    </Indelning>
  </Omfattning>
  <Omfattning>
    <identitet>mo_motivtillreglering16</identitet>
    <Lage>
      <lmg:Yta>
        <lmg:absolutLagesosakerhetPlan>0.1</lmg:absolutLagesosakerhetPlan>
        <lmg:absolutLagesosakerhetHojd>0</lmg:absolutLagesosakerhetHojd>
        <lmg:hojdsystem>RH 2000</lmg:hojdsystem>
        <gml:Polygon gml:id="ID_7e0b45f5-c9dd-44da-a2b1-b1827d74c9a2" srsName="EPSG:3009" srsDimension="2">
          <gml:exterior>
            <gml:LinearRing gml:id="ID_903a5a54-855d-4696-95d7-3fdb1244e9f1">
              <gml:posList>6448127.029 124697.247 6448142.054 124698.468 6448139.083 124701.237 6448126.786 124700.237 6448073.709 124695.922 6448073.146 124695.854 6448029.159 124690.519 6448025.792 124690.11 6448025.445 124697.496 6448023.823 124731.998 6448023.437 124740.222 6448020.455 124739.749 6448020.826 124731.857 6448022.805 124689.748 6448022.857 124688.647 6448022.947 124686.743 6448074.012 124692.937 6448114.712 124696.246 6448127.029 124697.247</gml:posList>
            </gml:LinearRing>
          </gml:exterior>
        </gml:Polygon>
      </lmg:Yta>
      <planbestammelsereferens>ee93b0fb-9148-4e6d-9e5a-bf7d59b3a558</planbestammelsereferens>
    </Lage>
    <Lage>
      <lmg:Yta>
        <lmg:absolutLagesosakerhetPlan>0.1</lmg:absolutLagesosakerhetPlan>
        <lmg:absolutLagesosakerhetHojd>0</lmg:absolutLagesosakerhetHojd>
        <lmg:hojdsystem>RH 2000</lmg:hojdsystem>
        <gml:Polygon gml:id="ID_968d09ba-1f4a-446e-b043-163ad2f2b5a7" srsName="EPSG:3009" srsDimension="2">
          <gml:exterior>
            <gml:LinearRing gml:id="ID_74441fc8-1665-4b7d-bed6-59d5f0d3867c">
              <gml:posList>6448215.866 124764.49 6448216.021 124763.975 6448219.68 124751.84 6448220.142 124749.912 6448222.577 124752.623 6448215.708 124775.404 6448215.398 124776.433 6448212.231 124786.937 6448209.278 124786.339 6448210.492 124782.311 6448215.866 124764.49</gml:posList>
            </gml:LinearRing>
          </gml:exterior>
        </gml:Polygon>
      </lmg:Yta>
      <planbestammelsereferens>ae8a81e0-a6b1-4f66-9d97-ebdd46c2178d</planbestammelsereferens>
    </Lage>
    <Lage>
      <lmg:Yta>
        <lmg:absolutLagesosakerhetPlan>0.1</lmg:absolutLagesosakerhetPlan>
        <lmg:absolutLagesosakerhetHojd>0</lmg:absolutLagesosakerhetHojd>
        <lmg:hojdsystem>RH 2000</lmg:hojdsystem>
        <gml:Polygon gml:id="ID_1bbe1e73-7837-4aed-80ee-bac36855c64a" srsName="EPSG:3009" srsDimension="2">
          <gml:exterior>
            <gml:LinearRing gml:id="ID_ed2a4814-e18a-4465-b320-59e5635381d1">
              <gml:posList>6448223.773 124733.347 6448225.789 124723.781 6448229.946 124704.059 6448230.539 124701.242 6448233.504 124701.723 6448224.231 124745.721 6448221.682 124743.268 6448223.773 124733.347</gml:posList>
            </gml:LinearRing>
          </gml:exterior>
        </gml:Polygon>
      </lmg:Yta>
      <planbestammelsereferens>390e41b8-f67c-4316-b8b3-db99136672cd</planbestammelsereferens>
    </Lage>
    <Lage>
      <lmg:Yta>
        <lmg:absolutLagesosakerhetPlan>0.1</lmg:absolutLagesosakerhetPlan>
        <lmg:absolutLagesosakerhetHojd>0</lmg:absolutLagesosakerhetHojd>
        <lmg:hojdsystem>RH 2000</lmg:hojdsystem>
        <gml:Polygon gml:id="ID_b47cddf3-d010-4414-b7d7-6b47c0cd73ab" srsName="EPSG:3009" srsDimension="2">
          <gml:exterior>
            <gml:LinearRing gml:id="ID_728dfe95-4924-419f-8b3d-d881f881404b">
              <gml:posList>6448246.021 124650.82 6448246.634 124647.834 6448249.812 124632.336 6448255.45 124604.85 6448249.372 124604.817 6448217.801 124604.649 6448217.427 124604.657 6448182.81 124605.383 6448179.954 124605.443 6448179.847 124600.444 6448191.821 124600.193 6448192.455 124600.18 6448217.762 124599.649 6448256.474 124599.855 6448259.533 124599.872 6448257.047 124611.994 6448256.037 124616.918 6448256.004 124617.08 6448253.84 124627.632 6448252.849 124632.463 6448245.786 124666.894 6448242.854 124666.26 6448246.021 124650.82</gml:posList>
            </gml:LinearRing>
          </gml:exterior>
        </gml:Polygon>
      </lmg:Yta>
      <planbestammelsereferens>b38c5000-a608-4392-9d3b-9fbfdb5af24b</planbestammelsereferens>
    </Lage>
    <Lage>
      <lmg:Yta>
        <lmg:absolutLagesosakerhetPlan>0.1</lmg:absolutLagesosakerhetPlan>
        <lmg:absolutLagesosakerhetHojd>0</lmg:absolutLagesosakerhetHojd>
        <lmg:hojdsystem>RH 2000</lmg:hojdsystem>
        <gml:Polygon gml:id="ID_20e73dcf-6ddb-44ce-8e4c-d4379229e479" srsName="EPSG:3009" srsDimension="2">
          <gml:exterior>
            <gml:LinearRing gml:id="ID_afe0e70d-e413-43ac-8e83-433e12efb4a2">
              <gml:posList>6448086.312 124646.236 6448085.94 124640.253 6448088.184 124640.274 6448125.323 124640.62 6448135.522 124640.715 6448142.932 124640.784 6448145.815 124640.811 6448158.967 124640.933 6448162.626 124640.967 6448164.52 124640.985 6448164.79 124640.987 6448164.82 124645.24 6448164.832 124646.968 6448151.057 124646.849 6448148.528 124646.827 6448147.164 124646.815 6448146.952 124646.814 6448128.893 124646.658 6448128.355 124646.652 6448125.334 124646.622 6448095.115 124646.323 6448086.312 124646.236</gml:posList>
            </gml:LinearRing>
          </gml:exterior>
        </gml:Polygon>
      </lmg:Yta>
      <planbestammelsereferens>120502bd-ad35-4971-a262-5ccc645b824e</planbestammelsereferens>
    </Lage>
    <Lage>
      <lmg:Yta>
        <lmg:absolutLagesosakerhetPlan>0.1</lmg:absolutLagesosakerhetPlan>
        <lmg:absolutLagesosakerhetHojd>0</lmg:absolutLagesosakerhetHojd>
        <lmg:hojdsystem>RH 2000</lmg:hojdsystem>
        <gml:Polygon gml:id="ID_1675b532-47da-4209-9054-198a991faccd" srsName="EPSG:3009" srsDimension="2">
          <gml:exterior>
            <gml:LinearRing gml:id="ID_b7cdecb7-784e-48a1-8148-a9469087cab6">
              <gml:posList>6448072.895 124647.087 6448072.82 124645.742 6448079.952 124645.232 6448086.312 124646.236 6448095.115 124646.323 6448125.334 124646.622 6448128.355 124646.652 6448128.893 124646.658 6448146.952 124646.814 6448147.164 124646.815 6448148.528 124646.827 6448151.057 124646.849 6448164.832 124646.968 6448164.833 124647.039 6448165.127 124652.97 6448158.73 124652.927 6448155.246 124652.903 6448150.159 124652.868 6448128.862 124652.658 6448125.344 124652.623 6448100.357 124652.376 6448095.167 124652.324 6448085.812 124652.231 6448081.444 124651.542 6448073.07 124650.22 6448072.921 124647.556 6448072.895 124647.087</gml:posList>
            </gml:LinearRing>
          </gml:exterior>
        </gml:Polygon>
      </lmg:Yta>
      <planbestammelsereferens>694923a9-e9dc-45e9-9348-d367a987bf3a</planbestammelsereferens>
    </Lage>
    <Lage>
      <lmg:Yta>
        <lmg:absolutLagesosakerhetPlan>0.1</lmg:absolutLagesosakerhetPlan>
        <lmg:absolutLagesosakerhetHojd>0</lmg:absolutLagesosakerhetHojd>
        <lmg:hojdsystem>RH 2000</lmg:hojdsystem>
        <gml:Polygon gml:id="ID_15e9ab83-d7d5-43cd-a95a-0a295002aee4" srsName="EPSG:3009" srsDimension="2">
          <gml:exterior>
            <gml:LinearRing gml:id="ID_e3b2205f-dd8b-46eb-a29a-c50b11aec582">
              <gml:posList>6448072.921 124647.556 6448073.07 124650.22 6448073.072 124650.255 6448068.797 124650.57 6448063.297 124650.976 6448053.271 124651.715 6448029.177 124653.492 6448018.266 124654.297 6448017.57 124644.715 6448017.367 124641.916 6448017.224 124639.955 6448017.125 124638.587 6448030.424 124640.239 6448063.778 124642.679 6448079.952 124645.232 6448072.82 124645.742 6448072.895 124647.087 6448072.921 124647.556</gml:posList>
            </gml:LinearRing>
          </gml:exterior>
        </gml:Polygon>
      </lmg:Yta>
      <planbestammelsereferens>70bdc935-4462-4adf-ab5d-f045078058e3</planbestammelsereferens>
    </Lage>
    <Lage>
      <lmg:Yta>
        <lmg:absolutLagesosakerhetPlan>0.1</lmg:absolutLagesosakerhetPlan>
        <lmg:absolutLagesosakerhetHojd>0</lmg:absolutLagesosakerhetHojd>
        <lmg:hojdsystem>RH 2000</lmg:hojdsystem>
        <gml:Polygon gml:id="ID_3c2fe300-856d-4544-9517-11e7494ad8a8" srsName="EPSG:3009" srsDimension="2">
          <gml:exterior>
            <gml:LinearRing gml:id="ID_a8419191-9eac-4845-947d-7c72f858c63f">
              <gml:posList>6448003.11 124640.77 6447996.897 124639.974 6447993.794 124639.576 6447993.712 124639.574 6447989.017 124639.464 6447987.13 124639.42 6447978.551 124639.163 6447966.276 124638.795 6447959.155 124638.619 6447959.2 124634.767 6447997.241 124636.117 6448017.125 124638.587 6448017.224 124639.955 6448017.367 124641.916 6448017.57 124644.715 6448017.283 124644.653 6448017.362 124644.662 6448012.223 124641.938 6448004.79 124640.985 6448003.11 124640.77</gml:posList>
            </gml:LinearRing>
          </gml:exterior>
        </gml:Polygon>
      </lmg:Yta>
      <planbestammelsereferens>84b1dd13-4917-4a77-8bfb-6bb20a6ac08f</planbestammelsereferens>
    </Lage>
    <Lage>
      <lmg:Yta>
        <lmg:absolutLagesosakerhetPlan>0.1</lmg:absolutLagesosakerhetPlan>
        <lmg:absolutLagesosakerhetHojd>0</lmg:absolutLagesosakerhetHojd>
        <lmg:hojdsystem>RH 2000</lmg:hojdsystem>
        <gml:Polygon gml:id="ID_f9836a78-f89e-42e3-af25-ac5d12b4c24d" srsName="EPSG:3009" srsDimension="2">
          <gml:exterior>
            <gml:LinearRing gml:id="ID_2be66a43-f63f-4314-9bdc-c76d4f7a6ac8">
              <gml:posList>6447878.687 124626.796 6447878.067 124638.868 6447870.412 124639.412 6447870.235 124636.918 6447856.856 124637.87 6447855.052 124637.998 6447845.685 124638.664 6447844.256 124638.766 6447825.542 124640.096 6447822.489 124640.314 6447815.545 124640.807 6447815.722 124643.301 6447739.318 124629.547 6447738.939 124623.488 6447764.584 124622.553 6447770.361 124622.342 6447784.928 124621.81 6447787.281 124621.725 6447808.944 124620.934 6447827.448 124620.259 6447855.432 124617.645 6447856.56 124617.54 6447870.177 124616.268 6447870.662 124616.223 6447879.271 124615.419 6447878.776 124625.075 6447878.687 124626.796</gml:posList>
            </gml:LinearRing>
          </gml:exterior>
        </gml:Polygon>
      </lmg:Yta>
      <planbestammelsereferens>d1d74b1a-9082-4fe6-a041-1dd2d1ae4ced</planbestammelsereferens>
    </Lage>
    <Lage>
      <lmg:Yta>
        <lmg:absolutLagesosakerhetPlan>0.1</lmg:absolutLagesosakerhetPlan>
        <lmg:absolutLagesosakerhetHojd>0</lmg:absolutLagesosakerhetHojd>
        <lmg:hojdsystem>RH 2000</lmg:hojdsystem>
        <gml:Polygon gml:id="ID_5975979a-24c4-4066-ae66-31892c7995f6" srsName="EPSG:3009" srsDimension="2">
          <gml:exterior>
            <gml:LinearRing gml:id="ID_c30b733d-9604-491d-bc2a-a458302c6f9e">
              <gml:posList>6448061.457 124631.558 6448055.785 124631.422 6448016.536 124630.48 6448014.827 124630.439 6448006.323 124630.234 6447989.717 124629.836 6447982.686 124629.667 6447992.705 124629.398 6447997.978 124629.257 6448003.31 124629.113 6448010.31 124628.927 6448010.465 124628.923 6448014.709 124628.809 6448016.695 124628.756 6448017.31 124628.74 6448020.201 124628.662 6448024.31 124628.552 6448028.711 124628.434 6448031.31 124628.365 6448034.658 124628.275 6448038.31 124628.177 6448039.726 124628.139 6448063.672 124627.497 6448063.175 124628.408 6448063.057 124628.623 6448061.457 124631.558</gml:posList>
            </gml:LinearRing>
          </gml:exterior>
        </gml:Polygon>
      </lmg:Yta>
      <planbestammelsereferens>a77d5b76-7d8d-47bd-a520-2491e4c9ab63</planbestammelsereferens>
    </Lage>
    <Lage>
      <lmg:Yta>
        <lmg:absolutLagesosakerhetPlan>0.1</lmg:absolutLagesosakerhetPlan>
        <lmg:absolutLagesosakerhetHojd>0</lmg:absolutLagesosakerhetHojd>
        <lmg:hojdsystem>RH 2000</lmg:hojdsystem>
        <gml:Polygon gml:id="ID_4e4efa07-5209-421a-8829-1c858e642675" srsName="EPSG:3009" srsDimension="2">
          <gml:exterior>
            <gml:LinearRing gml:id="ID_d4fabbd6-0f97-4b47-8ad7-a79d2911596e">
              <gml:posList>6447870.776 124653.988 6447869.676 124657.151 6447868.732 124661.006 6447872.749 124661.309 6447875.944 124661.549 6447882.912 124661.9 6447885.502 124661.648 6447890.711 124661.565 6447896.018 124661.463 6447895.816 124677.75 6447838.928 124676.975 6447841.515 124673.888 6447853.465 124659.631 6447860.642 124659.729 6447863.422 124659.767 6447869.86 124652.13 6447864.176 124652.053 6447863.324 124652.041 6447859.866 124651.994 6447867.89 124642.421 6447870.412 124639.412 6447878.067 124638.868 6447879.236 124638.785 6447891.109 124637.942 6447898.272 124637.434 6447901.137 124637.23 6447904.443 124636.995 6447916.517 124636.138 6447916.61 124636.131 6447921.992 124635.749 6447924.888 124635.544 6447932.247 124635.021 6447936.627 124634.903 6447941.398 124634.774 6447944.7 124641.895 6447945.98 124644.656 6447946.802 124646.43 6447950.6 124654.62 6447950.653 124659.539 6447949.986 124659.309 6447948.656 124659.228 6447942.231 124658.836 6447938.043 124658.814 6447928.204 124658.762 6447923.01 124658.734 6447918.834 124658.763 6447914.306 124658.795 6447910.815 124658.819 6447904.718 124658.861 6447901.349 124658.885 6447898.276 124658.939 6447893.985 124659.014 6447890.469 124659.076 6447885.126 124659.202 6447883.888 124659.003 6447881.948 124656.739 6447879.106 124653.435 6447876.133 124653.653 6447875.68 124653.67 6447871.062 124653.844 6447870.776 124653.988</gml:posList>
            </gml:LinearRing>
          </gml:exterior>
          <gml:interior>
            <gml:LinearRing gml:id="ID_4a4f3f37-a09b-4af2-b523-811ddfcb2f1e">
              <gml:posList>6447887.724 124653.225 6447886.603 124650.828 6447886.11 124649.775 6447883.834 124644.907 6447881.52 124645.99 6447879.205 124647.072 6447884.401 124658.182 6447886.716 124657.1 6447889.03 124656.017 6447887.724 124653.225</gml:posList>
            </gml:LinearRing>
          </gml:interior>
          <gml:interior>
            <gml:LinearRing gml:id="ID_6bff61f5-ca10-41ec-8be6-6c07b7d144fe">
              <gml:posList>6447897.788 124650.578 6447895.173 124644.536 6447892.827 124645.551 6447890.481 124646.566 6447895.352 124657.823 6447897.698 124656.808 6447900.044 124655.792 6447898.04 124651.161 6447897.788 124650.578</gml:posList>
            </gml:LinearRing>
          </gml:interior>
          <gml:interior>
            <gml:LinearRing gml:id="ID_dfa0b8f1-5ac0-4e02-ab02-3d473f7389d1">
              <gml:posList>6447908.969 124650.952 6447908.545 124649.952 6447907.554 124647.611 6447905.897 124643.697 6447903.544 124644.694 6447901.191 124645.69 6447905.974 124656.984 6447908.327 124655.987 6447910.68 124654.991 6447908.969 124650.952</gml:posList>
            </gml:LinearRing>
          </gml:interior>
          <gml:interior>
            <gml:LinearRing gml:id="ID_7e987e57-9688-4e28-aec9-6baf75304dd2">
              <gml:posList>6447919.635 124650.111 6447919.372 124649.454 6447917.064 124643.684 6447914.694 124644.632 6447912.323 124645.58 6447916.877 124656.968 6447919.248 124656.02 6447921.619 124655.072 6447920.571 124652.451 6447919.635 124650.111</gml:posList>
            </gml:LinearRing>
          </gml:interior>
          <gml:interior>
            <gml:LinearRing gml:id="ID_f7483518-a2d6-46c3-bb1b-6139c73ce29b">
              <gml:posList>6447930.135 124649.221 6447930.014 124648.944 6447929.259 124647.223 6447927.756 124643.799 6447925.416 124644.825 6447923.076 124645.852 6447928.004 124657.083 6447930.344 124656.057 6447932.684 124655.03 6447930.135 124649.221</gml:posList>
            </gml:LinearRing>
          </gml:interior>
          <gml:interior>
            <gml:LinearRing gml:id="ID_eeadf971-6ea0-4f38-900b-daaad7bc9eae">
              <gml:posList>6447943.933 124650.927 6447943.377 124649.734 6447942.579 124648.019 6447940.61 124643.791 6447938.294 124644.869 6447935.978 124645.947 6447941.155 124657.066 6447943.471 124655.988 6447945.787 124654.91 6447943.933 124650.927</gml:posList>
            </gml:LinearRing>
          </gml:interior>
          <gml:interior>
            <gml:LinearRing gml:id="ID_53cb1e43-20d3-4548-b9d1-c899af1718b4">
              <gml:posList>6447873.775 124668.244 6447873.845 124663.287 6447871.29 124663.262 6447868.735 124663.237 6447868.608 124672.876 6447871.159 124672.901 6447873.709 124672.926 6447873.763 124669.081 6447873.775 124668.244</gml:posList>
            </gml:LinearRing>
          </gml:interior>
          <gml:interior>
            <gml:LinearRing gml:id="ID_53fd2386-e853-4c90-bed8-29ea1b023630">
              <gml:posList>6447882.797 124670.314 6447882.839 124667.935 6447882.844 124667.618 6447882.918 124663.476 6447877.817 124663.389 6447877.638 124673.027 6447882.747 124673.122 6447882.797 124670.314</gml:posList>
            </gml:LinearRing>
          </gml:interior>
          <gml:interior>
            <gml:LinearRing gml:id="ID_5c707080-001c-45ea-b499-fd0121add4f4">
              <gml:posList>6447891.872 124673.237 6447891.927 124668.747 6447891.933 124668.261 6447891.991 124663.598 6447886.882 124663.534 6447886.763 124673.174 6447891.872 124673.237</gml:posList>
            </gml:LinearRing>
          </gml:interior>
        </gml:Polygon>
      </lmg:Yta>
      <planbestammelsereferens>b23cb082-9b8b-4672-aa83-cf2a3d8ec072</planbestammelsereferens>
    </Lage>
    <Lage>
      <lmg:Yta>
        <lmg:absolutLagesosakerhetPlan>0.1</lmg:absolutLagesosakerhetPlan>
        <lmg:absolutLagesosakerhetHojd>0</lmg:absolutLagesosakerhetHojd>
        <lmg:hojdsystem>RH 2000</lmg:hojdsystem>
        <gml:Polygon gml:id="ID_0c8ae207-7761-4cef-ac30-3b8658454ed2" srsName="EPSG:3009" srsDimension="2">
          <gml:exterior>
            <gml:LinearRing gml:id="ID_813f21f9-85b2-475c-9470-464126fcf34f">
              <gml:posList>6447952.164 124623.569 6447952.53 124628.603 6447952.532 124628.627 6447952.654 124630.303 6447952.691 124630.82 6447942.48 124631.212 6447937.144 124631.417 6447935.892 124631.465 6447931.991 124631.615 6447916.156 124632.224 6447906.329 124632.637 6447905.85 124632.657 6447902.756 124632.787 6447883.847 124633.581 6447883.19 124626.089 6447884.503 124614.93 6447884.918 124614.891 6447890.513 124614.369 6447919.636 124611.649 6447920.695 124611.57 6447922.112 124611.465 6447924.378 124611.298 6447939.283 124610.194 6447951.127 124609.316 6447951.229 124610.725 6447951.914 124620.134 6447952.062 124622.17 6447952.164 124623.569</gml:posList>
            </gml:LinearRing>
          </gml:exterior>
          <gml:interior>
            <gml:LinearRing gml:id="ID_b3d67d0e-91f8-4808-bc94-e9152d88f76b">
              <gml:posList>6447892.996 124631.815 6447892.6 124626.423 6447892.512 124625.22 6447891.919 124617.139 6447884.57 124617.696 6447885.647 124632.372 6447892.996 124631.815</gml:posList>
            </gml:LinearRing>
          </gml:interior>
        </gml:Polygon>
      </lmg:Yta>
      <planbestammelsereferens>4c93e3cf-2f0e-4e40-ab7e-608765d202a3</planbestammelsereferens>
    </Lage>
    <Lage>
      <lmg:Yta>
        <lmg:absolutLagesosakerhetPlan>0.1</lmg:absolutLagesosakerhetPlan>
        <lmg:absolutLagesosakerhetHojd>0</lmg:absolutLagesosakerhetHojd>
        <lmg:hojdsystem>RH 2000</lmg:hojdsystem>
        <gml:Polygon gml:id="ID_5490c9d0-733a-46e0-bcee-d711bcd6a3ee" srsName="EPSG:3009" srsDimension="2">
          <gml:exterior>
            <gml:LinearRing gml:id="ID_c02fa835-7571-419b-9ae1-997084ed36cc">
              <gml:posList>6448082.263 124634.001 6448082.108 124631.871 6448082.028 124630.771 6448081.972 124629.991 6448081.634 124625.351 6448074.65 124625.502 6448073.795 124625.525 6448073.122 124625.543 6448070.55 124625.612 6448064.613 124625.771 6448064.619 124625.76 6448064.298 124621.346 6448063.918 124616.172 6448063.306 124607.707 6448038.326 124608.9 6448033.08 124609.263 6448030.103 124609.483 6448025.289 124609.84 6448024.712 124609.883 6448022.702 124610.031 6448013.81 124610.69 6448013.393 124610.721 6448010.465 124610.938 6448006.81 124611.208 6448003.024 124611.489 6447992.705 124612.253 6447981.48 124613.085 6447982.086 124621.413 6447982.314 124624.542 6447982.595 124628.413 6447982.686 124629.667 6447970.991 124630.116 6447966.88 124630.274 6447961.56 124630.479 6447952.691 124630.82 6447952.654 124630.303 6447952.532 124628.627 6447952.53 124628.603 6447952.164 124623.569 6447952.062 124622.17 6447951.914 124620.134 6447951.229 124610.725 6447951.127 124609.316 6447951.229 124609.309 6447968.811 124608.007 6447974.423 124607.591 6447976.521 124607.436 6447977.864 124607.336 6447981.033 124607.101 6447981.456 124607.07 6447984.211 124606.866 6448014.658 124604.611 6448019.148 124604.279 6448019.986 124604.216 6448020.723 124604.162 6448022.334 124604.043 6448032.652 124603.278 6448037.614 124602.935 6448038.393 124602.882 6448039.384 124602.813 6448039.671 124602.793 6448040.523 124602.734 6448045.364 124602.4 6448050.036 124602.218 6448050.052 124602.218 6448050.353 124602.206 6448051.206 124602.173 6448051.53 124602.16 6448056.428 124601.969 6448062.87 124601.719 6448072.869 124601.341 6448073.305 124607.329 6448074.453 124607.285 6448074.547 124607.282 6448075.824 124607.233 6448080.304 124607.064 6448083.727 124606.253 6448084.231 124613.242 6448084.419 124615.844 6448084.543 124617.841 6448085.544 124633.9 6448082.263 124634.001</gml:posList>
            </gml:LinearRing>
          </gml:exterior>
        </gml:Polygon>
      </lmg:Yta>
      <planbestammelsereferens>5f43e739-3069-4ca8-b7f7-ec9a448eecbd</planbestammelsereferens>
    </Lage>
    <Indelning>
      <tema>Motiv till detaljplanens regleringar</tema>
      <grupp>Motiv till reglering</grupp>
    </Indelning>
  </Omfattning>
  <Omfattning>
    <identitet>mo_motivtillreglering17</identitet>
    <Lage>
      <lmg:Yta>
        <lmg:absolutLagesosakerhetPlan>0.1</lmg:absolutLagesosakerhetPlan>
        <lmg:absolutLagesosakerhetHojd>0</lmg:absolutLagesosakerhetHojd>
        <lmg:hojdsystem>RH 2000</lmg:hojdsystem>
        <gml:Polygon gml:id="ID_e7d12c08-b364-41a8-8f8f-580e9f93b78e" srsName="EPSG:3009" srsDimension="2">
          <gml:exterior>
            <gml:LinearRing gml:id="ID_d0baa297-574e-4699-b38d-73a806009c89">
              <gml:posList>6447982.686 124629.667 6447982.595 124628.413 6447982.314 124624.542 6447982.086 124621.413 6447981.48 124613.085 6447992.705 124612.253 6448003.024 124611.489 6448006.81 124611.208 6448010.465 124610.938 6448013.393 124610.721 6448013.81 124610.69 6448022.702 124610.031 6448024.712 124609.883 6448025.289 124609.84 6448030.103 124609.483 6448033.08 124609.263 6448038.326 124608.9 6448038.727 124614.413 6448039.1 124619.537 6448039.234 124621.372 6448039.595 124626.34 6448039.726 124628.139 6448038.31 124628.177 6448034.658 124628.275 6448031.31 124628.365 6448028.711 124628.434 6448024.31 124628.552 6448020.201 124628.662 6448017.31 124628.74 6448016.695 124628.756 6448014.709 124628.809 6448010.465 124628.923 6448010.31 124628.927 6448003.31 124629.113 6447997.978 124629.257 6447992.705 124629.398 6447982.686 124629.667</gml:posList>
            </gml:LinearRing>
          </gml:exterior>
        </gml:Polygon>
      </lmg:Yta>
      <planbestammelsereferens>3c01cbae-0f2d-4afb-86f8-8ac6ab1903c8</planbestammelsereferens>
    </Lage>
    <Lage>
      <lmg:Yta>
        <lmg:absolutLagesosakerhetPlan>0.1</lmg:absolutLagesosakerhetPlan>
        <lmg:absolutLagesosakerhetHojd>0</lmg:absolutLagesosakerhetHojd>
        <lmg:hojdsystem>RH 2000</lmg:hojdsystem>
        <gml:Polygon gml:id="ID_483acc8a-1254-46d0-992a-2ba99e5d6851" srsName="EPSG:3009" srsDimension="2">
          <gml:exterior>
            <gml:LinearRing gml:id="ID_134769fc-ef51-4e55-a459-17d5af5cd861">
              <gml:posList>6448070.55 124625.612 6448073.122 124625.543 6448073.795 124625.525 6448074.65 124625.502 6448081.634 124625.351 6448081.972 124629.991 6448082.028 124630.771 6448082.108 124631.871 6448082.263 124634.001 6448078.106 124634.113 6448077.582 124634.127 6448072.714 124634.257 6448066.258 124634.43 6448064.34 124634.482 6448063.55 124633.681 6448063.026 124633.149 6448061.457 124631.558 6448063.057 124628.623 6448063.175 124628.408 6448063.672 124627.497 6448064.613 124625.771 6448070.55 124625.612</gml:posList>
            </gml:LinearRing>
          </gml:exterior>
        </gml:Polygon>
      </lmg:Yta>
      <planbestammelsereferens>fcbb8ea5-a15a-4aef-b564-d87d080fd68a</planbestammelsereferens>
    </Lage>
    <Lage>
      <lmg:Yta>
        <lmg:absolutLagesosakerhetPlan>0.1</lmg:absolutLagesosakerhetPlan>
        <lmg:absolutLagesosakerhetHojd>0</lmg:absolutLagesosakerhetHojd>
        <lmg:hojdsystem>RH 2000</lmg:hojdsystem>
        <gml:Polygon gml:id="ID_ca3ffc2f-2257-48c5-9c7a-9ca516092a45" srsName="EPSG:3009" srsDimension="2">
          <gml:exterior>
            <gml:LinearRing gml:id="ID_182ec2d5-9dcd-4568-b24e-e51eb81205db">
              <gml:posList>6447815.722 124643.301 6447815.545 124640.807 6447822.489 124640.314 6447825.542 124640.096 6447844.256 124638.766 6447845.685 124638.664 6447855.052 124637.998 6447856.856 124637.87 6447870.235 124636.918 6447870.412 124639.412 6447815.722 124643.301</gml:posList>
            </gml:LinearRing>
          </gml:exterior>
        </gml:Polygon>
      </lmg:Yta>
      <planbestammelsereferens>94d8846d-6824-468d-828b-613bfc36cbfb</planbestammelsereferens>
    </Lage>
    <Indelning>
      <tema>Motiv till detaljplanens regleringar</tema>
      <grupp>Motiv till reglering</grupp>
    </Indelning>
  </Omfattning>
  <Omfattning>
    <identitet>mo_motivtillreglering18</identitet>
    <Lage>
      <lmg:Yta>
        <lmg:absolutLagesosakerhetPlan>0</lmg:absolutLagesosakerhetPlan>
        <lmg:absolutLagesosakerhetHojd>0</lmg:absolutLagesosakerhetHojd>
        <lmg:hojdsystem>RH 2000</lmg:hojdsystem>
        <gml:Polygon gml:id="ID_45d4152c-f66e-4bbf-abd1-a6e291ff4374" srsName="EPSG:3009" srsDimension="2">
          <gml:exterior>
            <gml:LinearRing gml:id="ID_deae0b7f-02f2-4e31-a38d-5f346b7bb670">
              <gml:posList>6448151.057 124646.849 6448148.528 124646.827 6448147.164 124646.815 6448146.952 124646.814 6448128.893 124646.658 6448128.355 124646.652 6448125.334 124646.622 6448125.323 124640.62 6448125.302 124628.497 6448125.28 124616.283 6448125.277 124614.282 6448128.016 124614.132 6448128.355 124614.114 6448128.599 124614.1 6448136.291 124613.679 6448136.84 124613.649 6448139.963 124613.478 6448142.579 124613.335 6448151.765 124612.832 6448153.302 124612.748 6448154.507 124612.682 6448157.004 124612.545 6448164.928 124612.111 6448164.893 124614.116 6448164.684 124626.173 6448164.79 124640.987 6448164.82 124645.24 6448164.832 124646.968 6448151.057 124646.849</gml:posList>
            </gml:LinearRing>
          </gml:exterior>
        </gml:Polygon>
      </lmg:Yta>
      <planbestammelsereferens>9a988dfc-930e-43c9-bdff-b2e9ae03d75e</planbestammelsereferens>
    </Lage>
    <Lage>
      <lmg:Yta>
        <lmg:absolutLagesosakerhetPlan>0</lmg:absolutLagesosakerhetPlan>
        <lmg:absolutLagesosakerhetHojd>0</lmg:absolutLagesosakerhetHojd>
        <lmg:hojdsystem>RH 2000</lmg:hojdsystem>
        <gml:Polygon gml:id="ID_b9278e53-e841-4e41-be0c-5be027beb6a7" srsName="EPSG:3009" srsDimension="2">
          <gml:exterior>
            <gml:LinearRing gml:id="ID_17604cb9-8408-4f6c-929d-1a2a205a5d39">
              <gml:posList>6448095.167 124652.324 6448095.115 124646.323 6448125.334 124646.622 6448128.355 124646.652 6448128.893 124646.658 6448146.952 124646.814 6448147.164 124646.815 6448148.528 124646.827 6448151.057 124646.849 6448164.832 124646.968 6448164.833 124647.039 6448165.127 124652.97 6448165.368 124657.84 6448165.731 124665.16 6448160.021 124673.651 6448152.485 124678.595 6448146.054 124678.776 6448128.72 124679.264 6448095.4 124679.263 6448095.276 124664.906 6448095.247 124661.606 6448095.242 124660.944 6448095.167 124652.324</gml:posList>
            </gml:LinearRing>
          </gml:exterior>
        </gml:Polygon>
      </lmg:Yta>
      <planbestammelsereferens>a352cdfb-7718-470b-830c-b034ef954de9</planbestammelsereferens>
    </Lage>
    <Lage>
      <lmg:Yta>
        <lmg:absolutLagesosakerhetPlan>0</lmg:absolutLagesosakerhetPlan>
        <lmg:absolutLagesosakerhetHojd>0</lmg:absolutLagesosakerhetHojd>
        <lmg:hojdsystem>RH 2000</lmg:hojdsystem>
        <gml:Polygon gml:id="ID_1518eb64-342d-4e03-9cb1-b512f8477abf" srsName="EPSG:3009" srsDimension="2">
          <gml:exterior>
            <gml:LinearRing gml:id="ID_a50fd34c-387c-4735-a146-e295b5e2e500">
              <gml:posList>6448074.76 124747.181 6448060.944 124746.178 6448067.529 124715.59 6448069.089 124710.031 6448071.672 124700.823 6448073.146 124695.854 6448074.012 124692.937 6448114.712 124696.246 6448127.029 124697.247 6448142.054 124698.468 6448139.083 124701.237 6448131.225 124708.558 6448129.708 124711.288 6448121.156 124726.417 6448120.381 124733.349 6448120.293 124734.139 6448119.483 124741.387 6448118.689 124748.491 6448116.729 124752.354 6448111.557 124752.284 6448109.978 124752.065 6448103.675 124751.191 6448074.76 124747.181</gml:posList>
            </gml:LinearRing>
          </gml:exterior>
        </gml:Polygon>
      </lmg:Yta>
      <planbestammelsereferens>f6b0e3b9-a8f4-42b7-a3e9-16f4cd27a740</planbestammelsereferens>
    </Lage>
    <Lage>
      <lmg:Yta>
        <lmg:absolutLagesosakerhetPlan>0</lmg:absolutLagesosakerhetPlan>
        <lmg:absolutLagesosakerhetHojd>0</lmg:absolutLagesosakerhetHojd>
        <lmg:hojdsystem>RH 2000</lmg:hojdsystem>
        <gml:Polygon gml:id="ID_47c167e0-66b8-4480-87c9-e841a27bcc56" srsName="EPSG:3009" srsDimension="2">
          <gml:exterior>
            <gml:LinearRing gml:id="ID_c3e42a03-811e-432e-be0a-78286fb6486e">
              <gml:posList>6448023.437 124740.222 6448020.455 124739.749 6448020.826 124731.857 6448022.805 124689.748 6448022.857 124688.647 6448022.947 124686.743 6448074.012 124692.937 6448073.146 124695.854 6448071.672 124700.823 6448069.089 124710.031 6448067.529 124715.59 6448060.944 124746.178 6448058.325 124745.762 6448023.437 124740.222</gml:posList>
            </gml:LinearRing>
          </gml:exterior>
        </gml:Polygon>
      </lmg:Yta>
      <planbestammelsereferens>46cb13a2-0aa9-4d5d-967e-1d46b58e7f7d</planbestammelsereferens>
    </Lage>
    <Lage>
      <lmg:Yta>
        <lmg:absolutLagesosakerhetPlan>0</lmg:absolutLagesosakerhetPlan>
        <lmg:absolutLagesosakerhetHojd>0</lmg:absolutLagesosakerhetHojd>
        <lmg:hojdsystem>RH 2000</lmg:hojdsystem>
        <gml:Polygon gml:id="ID_c0430977-bfc3-4bdb-916f-b95f7454b4ed" srsName="EPSG:3009" srsDimension="2">
          <gml:exterior>
            <gml:LinearRing gml:id="ID_f71dcf1f-9662-4b6d-9a68-57de0262c1f8">
              <gml:posList>6448217.277 124746.658 6448219.721 124749.444 6448220.142 124749.912 6448222.577 124752.623 6448215.708 124775.404 6448215.398 124776.433 6448212.231 124786.937 6448209.278 124786.339 6448202.327 124784.932 6448200.664 124784.595 6448190.764 124782.591 6448180.852 124780.585 6448169.958 124778.379 6448178.266 124733.849 6448184.35 124733.987 6448189.632 124734.108 6448199.986 124734.344 6448209.092 124738.047 6448210.072 124738.445 6448211.66 124740.256 6448217.238 124746.614 6448217.277 124746.658</gml:posList>
            </gml:LinearRing>
          </gml:exterior>
        </gml:Polygon>
      </lmg:Yta>
      <planbestammelsereferens>f4a7ec0b-9a04-49c5-b63b-593a1e5282be</planbestammelsereferens>
    </Lage>
    <Lage>
      <lmg:Yta>
        <lmg:absolutLagesosakerhetPlan>0</lmg:absolutLagesosakerhetPlan>
        <lmg:absolutLagesosakerhetHojd>0</lmg:absolutLagesosakerhetHojd>
        <lmg:hojdsystem>RH 2000</lmg:hojdsystem>
        <gml:Polygon gml:id="ID_319e3a58-2920-41c7-a13f-8f204cc2c271" srsName="EPSG:3009" srsDimension="2">
          <gml:exterior>
            <gml:LinearRing gml:id="ID_ef4cb320-f21d-4b52-91af-dccd47078f11">
              <gml:posList>6448221.682 124743.268 6448210.727 124732.728 6448211.747 124729.06 6448201.3 124725.003 6448197.239 124724.029 6448170.14 124718.396 6448162.957 124717.324 6448159.469 124716.804 6448152.475 124716.404 6448151.403 124716.177 6448152.169 124712.857 6448167 124692.11 6448168.105 124690.564 6448203.302 124696.824 6448212.375 124698.296 6448214.85 124698.697 6448218.12 124699.228 6448230.539 124701.242 6448233.504 124701.723 6448224.231 124745.721 6448221.682 124743.268</gml:posList>
            </gml:LinearRing>
          </gml:exterior>
        </gml:Polygon>
      </lmg:Yta>
      <planbestammelsereferens>52c84676-bf8c-4793-969f-59fe368c2488</planbestammelsereferens>
    </Lage>
    <Lage>
      <lmg:Yta>
        <lmg:absolutLagesosakerhetPlan>0</lmg:absolutLagesosakerhetPlan>
        <lmg:absolutLagesosakerhetHojd>0</lmg:absolutLagesosakerhetHojd>
        <lmg:hojdsystem>RH 2000</lmg:hojdsystem>
        <gml:Polygon gml:id="ID_4998f31c-1021-4544-b875-9ada409ad2a8" srsName="EPSG:3009" srsDimension="2">
          <gml:exterior>
            <gml:LinearRing gml:id="ID_2da98cd0-40d5-450e-8b4d-ea0b459d1285">
              <gml:posList>6448222.266 124679.263 6448220.575 124687.406 6448218.12 124699.228 6448214.85 124698.697 6448212.375 124698.296 6448203.302 124696.824 6448168.105 124690.564 6448176.655 124675.932 6448179.81 124670.532 6448180.676 124667.538 6448181.783 124666.223 6448191.763 124668.552 6448195.306 124669.379 6448203.98 124670.795 6448210.022 124671.781 6448223.368 124673.959 6448222.266 124679.263</gml:posList>
            </gml:LinearRing>
          </gml:exterior>
        </gml:Polygon>
      </lmg:Yta>
      <planbestammelsereferens>a8c0476d-175e-4be2-8def-7fb036b6f6ab</planbestammelsereferens>
    </Lage>
    <Lage>
      <lmg:Yta>
        <lmg:absolutLagesosakerhetPlan>0</lmg:absolutLagesosakerhetPlan>
        <lmg:absolutLagesosakerhetHojd>0</lmg:absolutLagesosakerhetHojd>
        <lmg:hojdsystem>RH 2000</lmg:hojdsystem>
        <gml:Polygon gml:id="ID_8975ad93-fe3f-4dd4-af7f-a48bdbd178f7" srsName="EPSG:3009" srsDimension="2">
          <gml:exterior>
            <gml:LinearRing gml:id="ID_443b64af-10aa-445e-91d8-290555af8b50">
              <gml:posList>6447982.686 124629.667 6447982.595 124628.413 6447982.314 124624.542 6447982.086 124621.413 6447981.48 124613.085 6447992.705 124612.253 6448003.024 124611.489 6448006.81 124611.208 6448010.465 124610.938 6448013.393 124610.721 6448013.81 124610.69 6448022.702 124610.031 6448024.712 124609.883 6448025.289 124609.84 6448030.103 124609.483 6448033.08 124609.263 6448038.326 124608.9 6448038.727 124614.413 6448039.1 124619.537 6448039.234 124621.372 6448039.595 124626.34 6448039.726 124628.139 6448038.31 124628.177 6448034.658 124628.275 6448031.31 124628.365 6448028.711 124628.434 6448024.31 124628.552 6448020.201 124628.662 6448017.31 124628.74 6448016.695 124628.756 6448014.709 124628.809 6448010.465 124628.923 6448010.31 124628.927 6448003.31 124629.113 6447997.978 124629.257 6447992.705 124629.398 6447982.686 124629.667</gml:posList>
            </gml:LinearRing>
          </gml:exterior>
        </gml:Polygon>
      </lmg:Yta>
      <planbestammelsereferens>0f1159b9-0993-4ce7-8a4c-be50d2b0057f</planbestammelsereferens>
    </Lage>
    <Lage>
      <lmg:Yta>
        <lmg:absolutLagesosakerhetPlan>0</lmg:absolutLagesosakerhetPlan>
        <lmg:absolutLagesosakerhetHojd>0</lmg:absolutLagesosakerhetHojd>
        <lmg:hojdsystem>RH 2000</lmg:hojdsystem>
        <gml:Polygon gml:id="ID_f4ed250d-7d7a-4311-b473-a637360dad22" srsName="EPSG:3009" srsDimension="2">
          <gml:exterior>
            <gml:LinearRing gml:id="ID_95a52a00-101c-4675-bd74-6b8c7af54a60">
              <gml:posList>6448082.028 124630.771 6448082.108 124631.871 6448082.263 124634.001 6448078.106 124634.113 6448077.582 124634.127 6448072.714 124634.257 6448066.258 124634.43 6448064.34 124634.482 6448063.55 124633.681 6448063.026 124633.149 6448061.457 124631.558 6448063.057 124628.623 6448063.175 124628.408 6448063.672 124627.497 6448064.613 124625.771 6448070.55 124625.612 6448073.122 124625.543 6448073.795 124625.525 6448074.65 124625.502 6448081.634 124625.351 6448081.972 124629.991 6448082.028 124630.771</gml:posList>
            </gml:LinearRing>
          </gml:exterior>
        </gml:Polygon>
      </lmg:Yta>
      <planbestammelsereferens>2b1f1033-621b-4e54-a486-d509c11fc349</planbestammelsereferens>
    </Lage>
    <Lage>
      <lmg:Yta>
        <lmg:absolutLagesosakerhetPlan>0</lmg:absolutLagesosakerhetPlan>
        <lmg:absolutLagesosakerhetHojd>0</lmg:absolutLagesosakerhetHojd>
        <lmg:hojdsystem>RH 2000</lmg:hojdsystem>
        <gml:Polygon gml:id="ID_9172d9c7-2be9-477e-ba7e-36ffae2504bf" srsName="EPSG:3009" srsDimension="2">
          <gml:exterior>
            <gml:LinearRing gml:id="ID_aa2c5150-802b-47d8-872f-9b2a8e675fc3">
              <gml:posList>6447815.722 124643.301 6447815.545 124640.807 6447822.489 124640.314 6447825.542 124640.096 6447844.256 124638.766 6447845.685 124638.664 6447855.052 124637.998 6447856.856 124637.87 6447870.235 124636.918 6447870.412 124639.412 6447815.722 124643.301</gml:posList>
            </gml:LinearRing>
          </gml:exterior>
        </gml:Polygon>
      </lmg:Yta>
      <planbestammelsereferens>cc881516-44ef-42cc-8a2c-8ef6da44664e</planbestammelsereferens>
    </Lage>
    <Lage>
      <lmg:Yta>
        <lmg:absolutLagesosakerhetPlan>0</lmg:absolutLagesosakerhetPlan>
        <lmg:absolutLagesosakerhetHojd>0</lmg:absolutLagesosakerhetHojd>
        <lmg:hojdsystem>RH 2000</lmg:hojdsystem>
        <gml:Polygon gml:id="ID_935737f6-f36f-4ae8-9ee1-f855aad0f7fb" srsName="EPSG:3009" srsDimension="2">
          <gml:exterior>
            <gml:LinearRing gml:id="ID_957d72fe-ff1b-4c57-9aca-ef2da25922da">
              <gml:posList>6448169.958 124778.379 6448146.476 124774.198 6448128.495 124770.997 6448129.074 124766.118 6448129.411 124763.269 6448129.888 124759.25 6448131.915 124742.157 6448132.242 124739.399 6448132.566 124736.672 6448137.293 124733.325 6448141.918 124730.051 6448149.249 124730.817 6448151.134 124731.014 6448155.736 124731.495 6448178.266 124733.849 6448169.958 124778.379</gml:posList>
            </gml:LinearRing>
          </gml:exterior>
        </gml:Polygon>
      </lmg:Yta>
      <planbestammelsereferens>bc8af492-c41c-44dd-881f-ac0aa3b4ef26</planbestammelsereferens>
    </Lage>
    <Lage>
      <lmg:Yta>
        <lmg:absolutLagesosakerhetPlan>0</lmg:absolutLagesosakerhetPlan>
        <lmg:absolutLagesosakerhetHojd>0</lmg:absolutLagesosakerhetHojd>
        <lmg:hojdsystem>RH 2000</lmg:hojdsystem>
        <gml:Polygon gml:id="ID_815300dd-41e3-4f10-8f35-c76dd8864b22" srsName="EPSG:3009" srsDimension="2">
          <gml:exterior>
            <gml:LinearRing gml:id="ID_24449daf-a65b-4ce3-9d3d-b88edb2d703e">
              <gml:posList>6447870.776 124653.988 6447869.676 124657.151 6447868.732 124661.006 6447872.749 124661.309 6447875.944 124661.549 6447882.912 124661.9 6447885.502 124661.648 6447890.711 124661.565 6447896.018 124661.463 6447895.816 124677.75 6447838.928 124676.975 6447841.515 124673.888 6447853.465 124659.631 6447860.642 124659.729 6447863.422 124659.767 6447869.86 124652.13 6447864.176 124652.053 6447863.324 124652.041 6447859.866 124651.994 6447867.89 124642.421 6447870.412 124639.412 6447878.067 124638.868 6447879.236 124638.785 6447891.109 124637.942 6447898.272 124637.434 6447901.137 124637.23 6447904.443 124636.995 6447916.517 124636.138 6447916.61 124636.131 6447921.992 124635.749 6447924.888 124635.544 6447932.247 124635.021 6447936.627 124634.903 6447941.398 124634.774 6447944.7 124641.895 6447945.98 124644.656 6447946.802 124646.43 6447950.6 124654.62 6447950.653 124659.539 6447949.986 124659.309 6447948.656 124659.228 6447942.231 124658.836 6447938.043 124658.814 6447928.204 124658.762 6447923.01 124658.734 6447918.834 124658.763 6447914.306 124658.795 6447910.815 124658.819 6447904.718 124658.861 6447901.349 124658.885 6447898.276 124658.939 6447893.985 124659.014 6447890.469 124659.076 6447885.126 124659.202 6447883.888 124659.003 6447881.948 124656.739 6447879.106 124653.435 6447876.133 124653.653 6447875.68 124653.67 6447871.062 124653.844 6447870.776 124653.988</gml:posList>
            </gml:LinearRing>
          </gml:exterior>
          <gml:interior>
            <gml:LinearRing gml:id="ID_42020a92-b556-4b1c-bcd5-19e41b2c0848">
              <gml:posList>6447887.724 124653.225 6447886.603 124650.828 6447886.11 124649.775 6447883.834 124644.907 6447881.52 124645.99 6447879.205 124647.072 6447884.401 124658.182 6447886.716 124657.1 6447889.03 124656.017 6447887.724 124653.225</gml:posList>
            </gml:LinearRing>
          </gml:interior>
          <gml:interior>
            <gml:LinearRing gml:id="ID_62aba9d1-8b90-472b-8894-44f4783df646">
              <gml:posList>6447897.788 124650.578 6447895.173 124644.536 6447892.827 124645.551 6447890.481 124646.566 6447895.352 124657.823 6447897.698 124656.808 6447900.044 124655.792 6447898.04 124651.161 6447897.788 124650.578</gml:posList>
            </gml:LinearRing>
          </gml:interior>
          <gml:interior>
            <gml:LinearRing gml:id="ID_e252d6b2-4097-435b-b57f-19a380c8c5de">
              <gml:posList>6447908.969 124650.952 6447908.545 124649.952 6447907.554 124647.611 6447905.897 124643.697 6447903.544 124644.694 6447901.191 124645.69 6447905.974 124656.984 6447908.327 124655.987 6447910.68 124654.991 6447908.969 124650.952</gml:posList>
            </gml:LinearRing>
          </gml:interior>
          <gml:interior>
            <gml:LinearRing gml:id="ID_3c9a9e86-92ae-47d0-a98e-56e7262e8b43">
              <gml:posList>6447919.635 124650.111 6447919.372 124649.454 6447917.064 124643.684 6447914.694 124644.632 6447912.323 124645.58 6447916.877 124656.968 6447919.248 124656.02 6447921.619 124655.072 6447920.571 124652.451 6447919.635 124650.111</gml:posList>
            </gml:LinearRing>
          </gml:interior>
          <gml:interior>
            <gml:LinearRing gml:id="ID_e397d0f2-a49a-47b6-a652-c7259dc17b98">
              <gml:posList>6447930.135 124649.221 6447930.014 124648.944 6447929.259 124647.223 6447927.756 124643.799 6447925.416 124644.825 6447923.076 124645.852 6447928.004 124657.083 6447930.344 124656.057 6447932.684 124655.03 6447930.135 124649.221</gml:posList>
            </gml:LinearRing>
          </gml:interior>
          <gml:interior>
            <gml:LinearRing gml:id="ID_72f81753-e36d-4f98-a82e-d6188a80778c">
              <gml:posList>6447943.933 124650.927 6447943.377 124649.734 6447942.579 124648.019 6447940.61 124643.791 6447938.294 124644.869 6447935.978 124645.947 6447941.155 124657.066 6447943.471 124655.988 6447945.787 124654.91 6447943.933 124650.927</gml:posList>
            </gml:LinearRing>
          </gml:interior>
          <gml:interior>
            <gml:LinearRing gml:id="ID_c41bff83-1bce-4993-864a-69e20d44b527">
              <gml:posList>6447873.775 124668.244 6447873.845 124663.287 6447871.29 124663.262 6447868.735 124663.237 6447868.608 124672.876 6447871.159 124672.901 6447873.709 124672.926 6447873.763 124669.081 6447873.775 124668.244</gml:posList>
            </gml:LinearRing>
          </gml:interior>
          <gml:interior>
            <gml:LinearRing gml:id="ID_b6d6c7b7-ea3b-460f-93ca-9baeea201997">
              <gml:posList>6447882.797 124670.314 6447882.839 124667.935 6447882.844 124667.618 6447882.918 124663.476 6447877.817 124663.389 6447877.638 124673.027 6447882.747 124673.122 6447882.797 124670.314</gml:posList>
            </gml:LinearRing>
          </gml:interior>
          <gml:interior>
            <gml:LinearRing gml:id="ID_e3195c76-42dc-430e-8771-498ad7f9e5f5">
              <gml:posList>6447891.872 124673.237 6447891.927 124668.747 6447891.933 124668.261 6447891.991 124663.598 6447886.882 124663.534 6447886.763 124673.174 6447891.872 124673.237</gml:posList>
            </gml:LinearRing>
          </gml:interior>
        </gml:Polygon>
      </lmg:Yta>
      <planbestammelsereferens>81b397b9-f4a3-4ad3-9eea-78a7cd6131ee</planbestammelsereferens>
    </Lage>
    <Lage>
      <lmg:Yta>
        <lmg:absolutLagesosakerhetPlan>0</lmg:absolutLagesosakerhetPlan>
        <lmg:absolutLagesosakerhetHojd>0</lmg:absolutLagesosakerhetHojd>
        <lmg:hojdsystem>RH 2000</lmg:hojdsystem>
        <gml:Polygon gml:id="ID_1f2db5a7-f0c9-4bd1-a4eb-0e9419806ef3" srsName="EPSG:3009" srsDimension="2">
          <gml:exterior>
            <gml:LinearRing gml:id="ID_9857a550-712e-49b7-ae93-7687efea2659">
              <gml:posList>6447891.872 124673.237 6447886.763 124673.174 6447886.882 124663.534 6447891.991 124663.598 6447891.933 124668.261 6447891.927 124668.747 6447891.872 124673.237</gml:posList>
            </gml:LinearRing>
          </gml:exterior>
        </gml:Polygon>
      </lmg:Yta>
      <planbestammelsereferens>47cbc326-9529-4b2c-a002-2ef9b453064d</planbestammelsereferens>
    </Lage>
    <Lage>
      <lmg:Yta>
        <lmg:absolutLagesosakerhetPlan>0</lmg:absolutLagesosakerhetPlan>
        <lmg:absolutLagesosakerhetHojd>0</lmg:absolutLagesosakerhetHojd>
        <lmg:hojdsystem>RH 2000</lmg:hojdsystem>
        <gml:Polygon gml:id="ID_602737ca-22be-40c5-ab7e-bd9a38d2fe91" srsName="EPSG:3009" srsDimension="2">
          <gml:exterior>
            <gml:LinearRing gml:id="ID_6d6028df-0f57-4c5d-bab8-1dda7c4126a0">
              <gml:posList>6447882.797 124670.314 6447882.747 124673.122 6447877.638 124673.027 6447877.817 124663.389 6447882.918 124663.476 6447882.844 124667.618 6447882.839 124667.935 6447882.797 124670.314</gml:posList>
            </gml:LinearRing>
          </gml:exterior>
        </gml:Polygon>
      </lmg:Yta>
      <planbestammelsereferens>32afa048-8c70-4637-ac51-f5773e6172bb</planbestammelsereferens>
    </Lage>
    <Lage>
      <lmg:Yta>
        <lmg:absolutLagesosakerhetPlan>0</lmg:absolutLagesosakerhetPlan>
        <lmg:absolutLagesosakerhetHojd>0</lmg:absolutLagesosakerhetHojd>
        <lmg:hojdsystem>RH 2000</lmg:hojdsystem>
        <gml:Polygon gml:id="ID_b87bd007-bfce-4803-aec4-ff822928f676" srsName="EPSG:3009" srsDimension="2">
          <gml:exterior>
            <gml:LinearRing gml:id="ID_d8c389f4-2664-47f2-8c3a-aa0130a26f7c">
              <gml:posList>6447873.775 124668.244 6447873.763 124669.081 6447873.709 124672.926 6447871.159 124672.901 6447868.608 124672.876 6447868.735 124663.237 6447871.29 124663.262 6447873.845 124663.287 6447873.775 124668.244</gml:posList>
            </gml:LinearRing>
          </gml:exterior>
        </gml:Polygon>
      </lmg:Yta>
      <planbestammelsereferens>75ac8d27-9d92-45d8-8df9-38a26cd9d826</planbestammelsereferens>
    </Lage>
    <Lage>
      <lmg:Yta>
        <lmg:absolutLagesosakerhetPlan>0</lmg:absolutLagesosakerhetPlan>
        <lmg:absolutLagesosakerhetHojd>0</lmg:absolutLagesosakerhetHojd>
        <lmg:hojdsystem>RH 2000</lmg:hojdsystem>
        <gml:Polygon gml:id="ID_6a3401d7-6f76-4f7b-acab-30e7767f9e65" srsName="EPSG:3009" srsDimension="2">
          <gml:exterior>
            <gml:LinearRing gml:id="ID_36a4114d-83cc-4387-a2e5-f1ebd399f24a">
              <gml:posList>6447870.776 124653.988 6447869.676 124657.151 6447868.732 124661.006 6447872.749 124661.309 6447875.944 124661.549 6447882.912 124661.9 6447885.502 124661.648 6447890.711 124661.565 6447896.018 124661.463 6447895.816 124677.75 6447838.928 124676.975 6447841.515 124673.888 6447853.465 124659.631 6447860.642 124659.729 6447863.422 124659.767 6447869.86 124652.13 6447864.176 124652.053 6447863.324 124652.041 6447859.866 124651.994 6447867.89 124642.421 6447870.412 124639.412 6447878.067 124638.868 6447879.236 124638.785 6447891.109 124637.942 6447898.272 124637.434 6447901.137 124637.23 6447904.443 124636.995 6447916.517 124636.138 6447916.61 124636.131 6447921.992 124635.749 6447924.888 124635.544 6447932.247 124635.021 6447936.627 124634.903 6447941.398 124634.774 6447944.7 124641.895 6447945.98 124644.656 6447946.802 124646.43 6447950.6 124654.62 6447950.653 124659.539 6447949.986 124659.309 6447948.656 124659.228 6447942.231 124658.836 6447938.043 124658.814 6447928.204 124658.762 6447923.01 124658.734 6447918.834 124658.763 6447914.306 124658.795 6447910.815 124658.819 6447904.718 124658.861 6447901.349 124658.885 6447898.276 124658.939 6447893.985 124659.014 6447890.469 124659.076 6447885.126 124659.202 6447883.888 124659.003 6447881.948 124656.739 6447879.106 124653.435 6447876.133 124653.653 6447875.68 124653.67 6447871.062 124653.844 6447870.776 124653.988</gml:posList>
            </gml:LinearRing>
          </gml:exterior>
          <gml:interior>
            <gml:LinearRing gml:id="ID_f02aa1da-9ecd-44b2-bb35-d3d79648b2a0">
              <gml:posList>6447887.724 124653.225 6447886.603 124650.828 6447886.11 124649.775 6447883.834 124644.907 6447881.52 124645.99 6447879.205 124647.072 6447884.401 124658.182 6447886.716 124657.1 6447889.03 124656.017 6447887.724 124653.225</gml:posList>
            </gml:LinearRing>
          </gml:interior>
          <gml:interior>
            <gml:LinearRing gml:id="ID_88d172cf-fa6c-498b-bdce-5b801eecfc67">
              <gml:posList>6447897.788 124650.578 6447895.173 124644.536 6447892.827 124645.551 6447890.481 124646.566 6447895.352 124657.823 6447897.698 124656.808 6447900.044 124655.792 6447898.04 124651.161 6447897.788 124650.578</gml:posList>
            </gml:LinearRing>
          </gml:interior>
          <gml:interior>
            <gml:LinearRing gml:id="ID_5be430d4-de9f-439d-8f3a-5e5aeb0acc1a">
              <gml:posList>6447908.969 124650.952 6447908.545 124649.952 6447907.554 124647.611 6447905.897 124643.697 6447903.544 124644.694 6447901.191 124645.69 6447905.974 124656.984 6447908.327 124655.987 6447910.68 124654.991 6447908.969 124650.952</gml:posList>
            </gml:LinearRing>
          </gml:interior>
          <gml:interior>
            <gml:LinearRing gml:id="ID_5524f5ad-465c-44be-93cf-a2a4bc571ff9">
              <gml:posList>6447919.635 124650.111 6447919.372 124649.454 6447917.064 124643.684 6447914.694 124644.632 6447912.323 124645.58 6447916.877 124656.968 6447919.248 124656.02 6447921.619 124655.072 6447920.571 124652.451 6447919.635 124650.111</gml:posList>
            </gml:LinearRing>
          </gml:interior>
          <gml:interior>
            <gml:LinearRing gml:id="ID_b7bdc007-5aae-4a56-a80e-3bb77997bbbc">
              <gml:posList>6447930.135 124649.221 6447930.014 124648.944 6447929.259 124647.223 6447927.756 124643.799 6447925.416 124644.825 6447923.076 124645.852 6447928.004 124657.083 6447930.344 124656.057 6447932.684 124655.03 6447930.135 124649.221</gml:posList>
            </gml:LinearRing>
          </gml:interior>
          <gml:interior>
            <gml:LinearRing gml:id="ID_6a13a3f0-bd65-4394-a1d6-bde343635840">
              <gml:posList>6447943.933 124650.927 6447943.377 124649.734 6447942.579 124648.019 6447940.61 124643.791 6447938.294 124644.869 6447935.978 124645.947 6447941.155 124657.066 6447943.471 124655.988 6447945.787 124654.91 6447943.933 124650.927</gml:posList>
            </gml:LinearRing>
          </gml:interior>
          <gml:interior>
            <gml:LinearRing gml:id="ID_6643c24c-a73d-4c4e-90a5-9d99b68c1b51">
              <gml:posList>6447873.775 124668.244 6447873.845 124663.287 6447871.29 124663.262 6447868.735 124663.237 6447868.608 124672.876 6447871.159 124672.901 6447873.709 124672.926 6447873.763 124669.081 6447873.775 124668.244</gml:posList>
            </gml:LinearRing>
          </gml:interior>
          <gml:interior>
            <gml:LinearRing gml:id="ID_c655666c-b5d6-4c6f-a837-6001c2d41aa8">
              <gml:posList>6447882.797 124670.314 6447882.839 124667.935 6447882.844 124667.618 6447882.918 124663.476 6447877.817 124663.389 6447877.638 124673.027 6447882.747 124673.122 6447882.797 124670.314</gml:posList>
            </gml:LinearRing>
          </gml:interior>
          <gml:interior>
            <gml:LinearRing gml:id="ID_bffdcebf-1c92-42e0-ade3-87344642979f">
              <gml:posList>6447891.872 124673.237 6447891.927 124668.747 6447891.933 124668.261 6447891.991 124663.598 6447886.882 124663.534 6447886.763 124673.174 6447891.872 124673.237</gml:posList>
            </gml:LinearRing>
          </gml:interior>
        </gml:Polygon>
      </lmg:Yta>
      <planbestammelsereferens>79de301b-6a33-4ea3-a3b3-52d0913d36de</planbestammelsereferens>
    </Lage>
    <Lage>
      <lmg:Yta>
        <lmg:absolutLagesosakerhetPlan>0</lmg:absolutLagesosakerhetPlan>
        <lmg:absolutLagesosakerhetHojd>0</lmg:absolutLagesosakerhetHojd>
        <lmg:hojdsystem>RH 2000</lmg:hojdsystem>
        <gml:Polygon gml:id="ID_69ee8ddd-0307-4bab-93bf-775f0866a9e6" srsName="EPSG:3009" srsDimension="2">
          <gml:exterior>
            <gml:LinearRing gml:id="ID_9ca9a341-97fe-438a-a606-b2603446cce7">
              <gml:posList>6447870.776 124653.988 6447869.676 124657.151 6447868.732 124661.006 6447872.749 124661.309 6447875.944 124661.549 6447882.912 124661.9 6447885.502 124661.648 6447890.711 124661.565 6447896.018 124661.463 6447895.816 124677.75 6447838.928 124676.975 6447841.515 124673.888 6447853.465 124659.631 6447860.642 124659.729 6447863.422 124659.767 6447869.86 124652.13 6447864.176 124652.053 6447863.324 124652.041 6447859.866 124651.994 6447867.89 124642.421 6447870.412 124639.412 6447878.067 124638.868 6447879.236 124638.785 6447891.109 124637.942 6447898.272 124637.434 6447901.137 124637.23 6447904.443 124636.995 6447916.517 124636.138 6447916.61 124636.131 6447921.992 124635.749 6447924.888 124635.544 6447932.247 124635.021 6447936.627 124634.903 6447941.398 124634.774 6447944.7 124641.895 6447945.98 124644.656 6447946.802 124646.43 6447950.6 124654.62 6447950.653 124659.539 6447949.986 124659.309 6447948.656 124659.228 6447942.231 124658.836 6447938.043 124658.814 6447928.204 124658.762 6447923.01 124658.734 6447918.834 124658.763 6447914.306 124658.795 6447910.815 124658.819 6447904.718 124658.861 6447901.349 124658.885 6447898.276 124658.939 6447893.985 124659.014 6447890.469 124659.076 6447885.126 124659.202 6447883.888 124659.003 6447881.948 124656.739 6447879.106 124653.435 6447876.133 124653.653 6447875.68 124653.67 6447871.062 124653.844 6447870.776 124653.988</gml:posList>
            </gml:LinearRing>
          </gml:exterior>
          <gml:interior>
            <gml:LinearRing gml:id="ID_6fd13eee-b418-4f57-b2d2-78a3f6324813">
              <gml:posList>6447887.724 124653.225 6447886.603 124650.828 6447886.11 124649.775 6447883.834 124644.907 6447881.52 124645.99 6447879.205 124647.072 6447884.401 124658.182 6447886.716 124657.1 6447889.03 124656.017 6447887.724 124653.225</gml:posList>
            </gml:LinearRing>
          </gml:interior>
          <gml:interior>
            <gml:LinearRing gml:id="ID_495de950-3b6d-43fb-a34b-1b59c5fb23c1">
              <gml:posList>6447897.788 124650.578 6447895.173 124644.536 6447892.827 124645.551 6447890.481 124646.566 6447895.352 124657.823 6447897.698 124656.808 6447900.044 124655.792 6447898.04 124651.161 6447897.788 124650.578</gml:posList>
            </gml:LinearRing>
          </gml:interior>
          <gml:interior>
            <gml:LinearRing gml:id="ID_5652bdeb-73f6-486c-b527-f032e5798d0e">
              <gml:posList>6447908.969 124650.952 6447908.545 124649.952 6447907.554 124647.611 6447905.897 124643.697 6447903.544 124644.694 6447901.191 124645.69 6447905.974 124656.984 6447908.327 124655.987 6447910.68 124654.991 6447908.969 124650.952</gml:posList>
            </gml:LinearRing>
          </gml:interior>
          <gml:interior>
            <gml:LinearRing gml:id="ID_c0e243a1-e314-4fb1-afe2-8adb3c89ff6c">
              <gml:posList>6447919.635 124650.111 6447919.372 124649.454 6447917.064 124643.684 6447914.694 124644.632 6447912.323 124645.58 6447916.877 124656.968 6447919.248 124656.02 6447921.619 124655.072 6447920.571 124652.451 6447919.635 124650.111</gml:posList>
            </gml:LinearRing>
          </gml:interior>
          <gml:interior>
            <gml:LinearRing gml:id="ID_67378b94-c03f-4dfa-9d77-bb1b1bde4cf9">
              <gml:posList>6447930.135 124649.221 6447930.014 124648.944 6447929.259 124647.223 6447927.756 124643.799 6447925.416 124644.825 6447923.076 124645.852 6447928.004 124657.083 6447930.344 124656.057 6447932.684 124655.03 6447930.135 124649.221</gml:posList>
            </gml:LinearRing>
          </gml:interior>
          <gml:interior>
            <gml:LinearRing gml:id="ID_a13a8ced-c46a-42cc-b678-dd574bdebb7c">
              <gml:posList>6447943.933 124650.927 6447943.377 124649.734 6447942.579 124648.019 6447940.61 124643.791 6447938.294 124644.869 6447935.978 124645.947 6447941.155 124657.066 6447943.471 124655.988 6447945.787 124654.91 6447943.933 124650.927</gml:posList>
            </gml:LinearRing>
          </gml:interior>
          <gml:interior>
            <gml:LinearRing gml:id="ID_063b519e-8908-43d5-9346-302259705c40">
              <gml:posList>6447873.775 124668.244 6447873.845 124663.287 6447871.29 124663.262 6447868.735 124663.237 6447868.608 124672.876 6447871.159 124672.901 6447873.709 124672.926 6447873.763 124669.081 6447873.775 124668.244</gml:posList>
            </gml:LinearRing>
          </gml:interior>
          <gml:interior>
            <gml:LinearRing gml:id="ID_902a207d-05f6-4ba1-8fff-26a5f5f2bf04">
              <gml:posList>6447882.797 124670.314 6447882.839 124667.935 6447882.844 124667.618 6447882.918 124663.476 6447877.817 124663.389 6447877.638 124673.027 6447882.747 124673.122 6447882.797 124670.314</gml:posList>
            </gml:LinearRing>
          </gml:interior>
          <gml:interior>
            <gml:LinearRing gml:id="ID_ce6290ce-0bd5-4657-878e-60d44d6aca33">
              <gml:posList>6447891.872 124673.237 6447891.927 124668.747 6447891.933 124668.261 6447891.991 124663.598 6447886.882 124663.534 6447886.763 124673.174 6447891.872 124673.237</gml:posList>
            </gml:LinearRing>
          </gml:interior>
        </gml:Polygon>
      </lmg:Yta>
      <planbestammelsereferens>0a7b4f4f-ade5-44c4-affa-f04a83a42c4e</planbestammelsereferens>
    </Lage>
    <Lage>
      <lmg:Yta>
        <lmg:absolutLagesosakerhetPlan>0</lmg:absolutLagesosakerhetPlan>
        <lmg:absolutLagesosakerhetHojd>0</lmg:absolutLagesosakerhetHojd>
        <lmg:hojdsystem>RH 2000</lmg:hojdsystem>
        <gml:Polygon gml:id="ID_b5e085db-11e6-434c-96b2-8f65eb50cbb0" srsName="EPSG:3009" srsDimension="2">
          <gml:exterior>
            <gml:LinearRing gml:id="ID_11f4939b-0def-4139-8e8b-5370c5b3a10e">
              <gml:posList>6447870.776 124653.988 6447869.676 124657.151 6447868.732 124661.006 6447872.749 124661.309 6447875.944 124661.549 6447882.912 124661.9 6447885.502 124661.648 6447890.711 124661.565 6447896.018 124661.463 6447895.816 124677.75 6447838.928 124676.975 6447841.515 124673.888 6447853.465 124659.631 6447860.642 124659.729 6447863.422 124659.767 6447869.86 124652.13 6447864.176 124652.053 6447863.324 124652.041 6447859.866 124651.994 6447867.89 124642.421 6447870.412 124639.412 6447878.067 124638.868 6447879.236 124638.785 6447891.109 124637.942 6447898.272 124637.434 6447901.137 124637.23 6447904.443 124636.995 6447916.517 124636.138 6447916.61 124636.131 6447921.992 124635.749 6447924.888 124635.544 6447932.247 124635.021 6447936.627 124634.903 6447941.398 124634.774 6447944.7 124641.895 6447945.98 124644.656 6447946.802 124646.43 6447950.6 124654.62 6447950.653 124659.539 6447949.986 124659.309 6447948.656 124659.228 6447942.231 124658.836 6447938.043 124658.814 6447928.204 124658.762 6447923.01 124658.734 6447918.834 124658.763 6447914.306 124658.795 6447910.815 124658.819 6447904.718 124658.861 6447901.349 124658.885 6447898.276 124658.939 6447893.985 124659.014 6447890.469 124659.076 6447885.126 124659.202 6447883.888 124659.003 6447881.948 124656.739 6447879.106 124653.435 6447876.133 124653.653 6447875.68 124653.67 6447871.062 124653.844 6447870.776 124653.988</gml:posList>
            </gml:LinearRing>
          </gml:exterior>
          <gml:interior>
            <gml:LinearRing gml:id="ID_1b026780-0bf7-4687-83e7-401412d70b96">
              <gml:posList>6447887.724 124653.225 6447886.603 124650.828 6447886.11 124649.775 6447883.834 124644.907 6447881.52 124645.99 6447879.205 124647.072 6447884.401 124658.182 6447886.716 124657.1 6447889.03 124656.017 6447887.724 124653.225</gml:posList>
            </gml:LinearRing>
          </gml:interior>
          <gml:interior>
            <gml:LinearRing gml:id="ID_81f4e0bb-784f-47e7-925f-c69b2389560e">
              <gml:posList>6447897.788 124650.578 6447895.173 124644.536 6447892.827 124645.551 6447890.481 124646.566 6447895.352 124657.823 6447897.698 124656.808 6447900.044 124655.792 6447898.04 124651.161 6447897.788 124650.578</gml:posList>
            </gml:LinearRing>
          </gml:interior>
          <gml:interior>
            <gml:LinearRing gml:id="ID_0b52544e-a9e1-4cd5-9556-b29e6d65aa9c">
              <gml:posList>6447908.969 124650.952 6447908.545 124649.952 6447907.554 124647.611 6447905.897 124643.697 6447903.544 124644.694 6447901.191 124645.69 6447905.974 124656.984 6447908.327 124655.987 6447910.68 124654.991 6447908.969 124650.952</gml:posList>
            </gml:LinearRing>
          </gml:interior>
          <gml:interior>
            <gml:LinearRing gml:id="ID_9f83ad38-8d3b-471b-bfe9-61e25a98efc8">
              <gml:posList>6447919.635 124650.111 6447919.372 124649.454 6447917.064 124643.684 6447914.694 124644.632 6447912.323 124645.58 6447916.877 124656.968 6447919.248 124656.02 6447921.619 124655.072 6447920.571 124652.451 6447919.635 124650.111</gml:posList>
            </gml:LinearRing>
          </gml:interior>
          <gml:interior>
            <gml:LinearRing gml:id="ID_8a83a3ca-9f83-48c7-89ef-55936c2497a9">
              <gml:posList>6447930.135 124649.221 6447930.014 124648.944 6447929.259 124647.223 6447927.756 124643.799 6447925.416 124644.825 6447923.076 124645.852 6447928.004 124657.083 6447930.344 124656.057 6447932.684 124655.03 6447930.135 124649.221</gml:posList>
            </gml:LinearRing>
          </gml:interior>
          <gml:interior>
            <gml:LinearRing gml:id="ID_e99a8ee0-a873-4c7c-807c-6daf408cb5f3">
              <gml:posList>6447943.933 124650.927 6447943.377 124649.734 6447942.579 124648.019 6447940.61 124643.791 6447938.294 124644.869 6447935.978 124645.947 6447941.155 124657.066 6447943.471 124655.988 6447945.787 124654.91 6447943.933 124650.927</gml:posList>
            </gml:LinearRing>
          </gml:interior>
          <gml:interior>
            <gml:LinearRing gml:id="ID_8470cc9b-d6c1-422f-9b55-6d118530b09c">
              <gml:posList>6447873.775 124668.244 6447873.845 124663.287 6447871.29 124663.262 6447868.735 124663.237 6447868.608 124672.876 6447871.159 124672.901 6447873.709 124672.926 6447873.763 124669.081 6447873.775 124668.244</gml:posList>
            </gml:LinearRing>
          </gml:interior>
          <gml:interior>
            <gml:LinearRing gml:id="ID_ec817578-19b6-4301-8339-6b718170e316">
              <gml:posList>6447882.797 124670.314 6447882.839 124667.935 6447882.844 124667.618 6447882.918 124663.476 6447877.817 124663.389 6447877.638 124673.027 6447882.747 124673.122 6447882.797 124670.314</gml:posList>
            </gml:LinearRing>
          </gml:interior>
          <gml:interior>
            <gml:LinearRing gml:id="ID_9e259c0b-f8db-45b0-8f5e-253a01b11e1b">
              <gml:posList>6447891.872 124673.237 6447891.927 124668.747 6447891.933 124668.261 6447891.991 124663.598 6447886.882 124663.534 6447886.763 124673.174 6447891.872 124673.237</gml:posList>
            </gml:LinearRing>
          </gml:interior>
        </gml:Polygon>
      </lmg:Yta>
      <planbestammelsereferens>0aead882-8e9e-446a-801d-628891bf6edc</planbestammelsereferens>
    </Lage>
    <Lage>
      <lmg:Yta>
        <lmg:absolutLagesosakerhetPlan>0</lmg:absolutLagesosakerhetPlan>
        <lmg:absolutLagesosakerhetHojd>0</lmg:absolutLagesosakerhetHojd>
        <lmg:hojdsystem>RH 2000</lmg:hojdsystem>
        <gml:Polygon gml:id="ID_6cb091ab-752f-4ad7-959c-606d661200ab" srsName="EPSG:3009" srsDimension="2">
          <gml:exterior>
            <gml:LinearRing gml:id="ID_43978882-2f63-41b2-a5b2-810dc789f8e2">
              <gml:posList>6447892.6 124626.423 6447892.996 124631.815 6447885.647 124632.372 6447884.57 124617.696 6447891.919 124617.139 6447892.512 124625.22 6447892.6 124626.423</gml:posList>
            </gml:LinearRing>
          </gml:exterior>
        </gml:Polygon>
      </lmg:Yta>
      <planbestammelsereferens>762daf1e-2b28-4416-81a8-1ce3935093fc</planbestammelsereferens>
    </Lage>
    <Lage>
      <lmg:Yta>
        <lmg:absolutLagesosakerhetPlan>0</lmg:absolutLagesosakerhetPlan>
        <lmg:absolutLagesosakerhetHojd>0</lmg:absolutLagesosakerhetHojd>
        <lmg:hojdsystem>RH 2000</lmg:hojdsystem>
        <gml:Polygon gml:id="ID_d7a425b3-d019-45ae-869e-0afbefe20cf3" srsName="EPSG:3009" srsDimension="2">
          <gml:exterior>
            <gml:LinearRing gml:id="ID_48a2bee3-9e2a-4334-82e5-e31e44688d6b">
              <gml:posList>6448101.544 124615.189 6448105.798 124615.027 6448106.363 124615.005 6448107.977 124614.943 6448111.718 124614.8 6448113.619 124614.728 6448116.818 124614.605 6448121.89 124614.412 6448122.903 124614.373 6448125.277 124614.282 6448125.28 124616.283 6448125.302 124628.497 6448125.323 124640.62 6448125.334 124646.622 6448095.115 124646.323 6448086.312 124646.236 6448085.94 124640.253 6448085.544 124633.9 6448084.543 124617.841 6448084.419 124615.844 6448086.418 124615.768 6448098.178 124615.318 6448101.544 124615.189</gml:posList>
            </gml:LinearRing>
          </gml:exterior>
        </gml:Polygon>
      </lmg:Yta>
      <planbestammelsereferens>ede2f7dd-6f60-43b0-8b55-a81bfa94a533</planbestammelsereferens>
    </Lage>
    <Lage>
      <lmg:Yta>
        <lmg:absolutLagesosakerhetPlan>0</lmg:absolutLagesosakerhetPlan>
        <lmg:absolutLagesosakerhetHojd>0</lmg:absolutLagesosakerhetHojd>
        <lmg:hojdsystem>RH 2000</lmg:hojdsystem>
        <gml:Polygon gml:id="ID_9bf60dfb-6849-4b3a-b0ef-e887eaa12bad" srsName="EPSG:3009" srsDimension="2">
          <gml:exterior>
            <gml:LinearRing gml:id="ID_77248fd0-fa98-4f2d-8364-e6fa457e2b14">
              <gml:posList>6448095.276 124664.906 6448095.4 124679.263 6448075.058 124678.604 6448061.744 124677.781 6448045.746 124675.322 6448027.47 124671.618 6448008.113 124667.217 6447994.66 124665.055 6447958.907 124659.536 6447959.054 124647.125 6447959.155 124638.619 6447959.2 124634.767 6447997.241 124636.117 6448017.125 124638.587 6448030.424 124640.239 6448063.778 124642.679 6448079.952 124645.232 6448086.312 124646.236 6448095.115 124646.323 6448095.167 124652.324 6448095.242 124660.944 6448095.247 124661.606 6448095.276 124664.906</gml:posList>
            </gml:LinearRing>
          </gml:exterior>
        </gml:Polygon>
      </lmg:Yta>
      <planbestammelsereferens>797decb2-797c-4e61-883a-7553fcfc0c5a</planbestammelsereferens>
    </Lage>
    <Lage>
      <lmg:Yta>
        <lmg:absolutLagesosakerhetPlan>0</lmg:absolutLagesosakerhetPlan>
        <lmg:absolutLagesosakerhetHojd>0</lmg:absolutLagesosakerhetHojd>
        <lmg:hojdsystem>RH 2000</lmg:hojdsystem>
        <gml:Polygon gml:id="ID_6c39d3e6-6ffb-43fb-ab59-e8b74929a663" srsName="EPSG:3009" srsDimension="2">
          <gml:exterior>
            <gml:LinearRing gml:id="ID_2d5c33f4-94df-4b4a-b0c0-35c71acd8e1a">
              <gml:posList>6448091.63 124759.077 6448098.002 124759.81 6448106.208 124760.753 6448109.753 124763.028 6448111.747 124764.308 6448111.061 124768.354 6448107.44 124789.732 6448095.747 124787.299 6448069.951 124781.934 6448069.944 124756.982 6448078.201 124757.531 6448083.274 124758.115 6448091.63 124759.077</gml:posList>
            </gml:LinearRing>
          </gml:exterior>
        </gml:Polygon>
      </lmg:Yta>
      <planbestammelsereferens>e630e5b6-1cd9-4c18-80b1-70373d809bbe</planbestammelsereferens>
    </Lage>
    <Lage>
      <lmg:Yta>
        <lmg:absolutLagesosakerhetPlan>0</lmg:absolutLagesosakerhetPlan>
        <lmg:absolutLagesosakerhetHojd>0</lmg:absolutLagesosakerhetHojd>
        <lmg:hojdsystem>RH 2000</lmg:hojdsystem>
        <gml:Polygon gml:id="ID_a816a6c8-4fc5-4fad-8af1-602f23a311d5" srsName="EPSG:3009" srsDimension="2">
          <gml:exterior>
            <gml:LinearRing gml:id="ID_6a3544db-1b4b-4036-a6bd-96b01e4c96d0">
              <gml:posList>6447951.229 124610.725 6447951.127 124609.316 6447951.229 124609.309 6447968.811 124608.007 6447974.423 124607.591 6447976.521 124607.436 6447977.864 124607.336 6447981.033 124607.101 6447981.456 124607.07 6447984.211 124606.866 6448014.658 124604.611 6448019.148 124604.279 6448019.986 124604.216 6448020.723 124604.162 6448022.334 124604.043 6448032.652 124603.278 6448037.614 124602.935 6448038.393 124602.882 6448039.384 124602.813 6448039.671 124602.793 6448040.523 124602.734 6448045.364 124602.4 6448050.036 124602.218 6448050.052 124602.218 6448050.353 124602.206 6448051.206 124602.173 6448051.53 124602.16 6448056.428 124601.969 6448062.87 124601.719 6448072.869 124601.341 6448073.305 124607.329 6448074.453 124607.285 6448074.547 124607.282 6448075.824 124607.233 6448080.304 124607.064 6448083.727 124606.253 6448084.231 124613.242 6448084.419 124615.844 6448084.543 124617.841 6448085.544 124633.9 6448082.263 124634.001 6448078.106 124634.113 6448077.582 124634.127 6448072.714 124634.257 6448066.258 124634.43 6448064.34 124634.482 6448063.55 124633.681 6448063.026 124633.149 6448061.457 124631.558 6448055.785 124631.422 6448016.536 124630.48 6448014.827 124630.439 6448006.323 124630.234 6447989.717 124629.836 6447982.686 124629.667 6447970.991 124630.116 6447966.88 124630.274 6447961.56 124630.479 6447952.691 124630.82 6447952.654 124630.303 6447952.532 124628.627 6447952.53 124628.603 6447952.164 124623.569 6447952.062 124622.17 6447951.914 124620.134 6447951.229 124610.725</gml:posList>
            </gml:LinearRing>
          </gml:exterior>
        </gml:Polygon>
      </lmg:Yta>
      <planbestammelsereferens>e94d3f36-6940-4d4d-89a8-29ebbd9ca59a</planbestammelsereferens>
    </Lage>
    <Lage>
      <lmg:Yta>
        <lmg:absolutLagesosakerhetPlan>0</lmg:absolutLagesosakerhetPlan>
        <lmg:absolutLagesosakerhetHojd>0</lmg:absolutLagesosakerhetHojd>
        <lmg:hojdsystem>RH 2000</lmg:hojdsystem>
        <gml:Polygon gml:id="ID_557d616c-bc8b-4ef3-bd41-6732d0ad38d5" srsName="EPSG:3009" srsDimension="2">
          <gml:exterior>
            <gml:LinearRing gml:id="ID_d7821616-626d-4b14-8461-a518001bc06a">
              <gml:posList>6448242.854 124666.26 6448202.152 124657.456 6448202.384 124642.198 6448207.806 124638.395 6448219.794 124638.978 6448223.715 124639.779 6448223.962 124631.254 6448215.667 124630.923 6448206.21 124630.726 6448206.104 124627.923 6448189.727 124628.191 6448184.693 124628.273 6448180.448 124628.343 6448179.954 124605.443 6448179.847 124600.444 6448191.821 124600.193 6448192.455 124600.18 6448217.762 124599.649 6448256.474 124599.855 6448259.533 124599.872 6448257.047 124611.994 6448256.037 124616.918 6448256.004 124617.08 6448253.84 124627.632 6448252.849 124632.463 6448245.786 124666.894 6448242.854 124666.26</gml:posList>
            </gml:LinearRing>
          </gml:exterior>
        </gml:Polygon>
      </lmg:Yta>
      <planbestammelsereferens>a6d155aa-502e-493d-92cb-05c151c33131</planbestammelsereferens>
    </Lage>
    <Lage>
      <lmg:Yta>
        <lmg:absolutLagesosakerhetPlan>0</lmg:absolutLagesosakerhetPlan>
        <lmg:absolutLagesosakerhetHojd>0</lmg:absolutLagesosakerhetHojd>
        <lmg:hojdsystem>RH 2000</lmg:hojdsystem>
        <gml:Polygon gml:id="ID_5292d2e0-d203-4d85-8588-a938f29d030d" srsName="EPSG:3009" srsDimension="2">
          <gml:exterior>
            <gml:LinearRing gml:id="ID_d0cf4a96-b78f-4300-95ae-f59039987d59">
              <gml:posList>6448126.219 124793.638 6448107.44 124789.732 6448111.061 124768.354 6448111.747 124764.308 6448113.64 124767.465 6448113.826 124768.233 6448114.06 124768.911 6448114.946 124770.542 6448115.502 124771.344 6448116.134 124772.115 6448117.264 124773.294 6448119.227 124775.167 6448123.132 124778.896 6448123.863 124779.594 6448125.893 124781.523 6448128.541 124784.04 6448137.701 124793.724 6448138.462 124796.034 6448137.152 124795.912 6448126.219 124793.638</gml:posList>
            </gml:LinearRing>
          </gml:exterior>
        </gml:Polygon>
      </lmg:Yta>
      <planbestammelsereferens>fff0d162-ae2f-40af-9bc0-9ec21480931e</planbestammelsereferens>
    </Lage>
    <Lage>
      <lmg:Yta>
        <lmg:absolutLagesosakerhetPlan>0</lmg:absolutLagesosakerhetPlan>
        <lmg:absolutLagesosakerhetHojd>0</lmg:absolutLagesosakerhetHojd>
        <lmg:hojdsystem>RH 2000</lmg:hojdsystem>
        <gml:Polygon gml:id="ID_2ba27895-f40e-4da5-a2a3-14bea6ea879e" srsName="EPSG:3009" srsDimension="2">
          <gml:exterior>
            <gml:LinearRing gml:id="ID_fb199e46-3eb1-47c1-b060-8c04f851daac">
              <gml:posList>6448240.903 124690.704 6448238.477 124702.53 6448235.513 124702.049 6448233.504 124701.723 6448230.539 124701.242 6448218.12 124699.228 6448220.575 124687.406 6448222.266 124679.263 6448227.81 124680.279 6448231.591 124680.973 6448231.745 124681.001 6448233.984 124681.411 6448237.57 124682.069 6448239.538 124682.429 6448242.489 124682.971 6448240.912 124690.659 6448240.903 124690.704</gml:posList>
            </gml:LinearRing>
          </gml:exterior>
        </gml:Polygon>
      </lmg:Yta>
      <planbestammelsereferens>a05d6bca-de15-44be-a6c8-e5140aaf3bef</planbestammelsereferens>
    </Lage>
    <Lage>
      <lmg:Yta>
        <lmg:absolutLagesosakerhetPlan>0</lmg:absolutLagesosakerhetPlan>
        <lmg:absolutLagesosakerhetHojd>0</lmg:absolutLagesosakerhetHojd>
        <lmg:hojdsystem>RH 2000</lmg:hojdsystem>
        <gml:Polygon gml:id="ID_1279e26d-0276-412d-b124-5fed7b1ed50f" srsName="EPSG:3009" srsDimension="2">
          <gml:exterior>
            <gml:LinearRing gml:id="ID_05806cdc-6535-4bbf-914c-3e1750d5f2be">
              <gml:posList>6447870.776 124653.988 6447869.676 124657.151 6447868.732 124661.006 6447872.749 124661.309 6447875.944 124661.549 6447882.912 124661.9 6447885.502 124661.648 6447890.711 124661.565 6447896.018 124661.463 6447895.816 124677.75 6447838.928 124676.975 6447841.515 124673.888 6447853.465 124659.631 6447860.642 124659.729 6447863.422 124659.767 6447869.86 124652.13 6447864.176 124652.053 6447863.324 124652.041 6447859.866 124651.994 6447867.89 124642.421 6447870.412 124639.412 6447878.067 124638.868 6447879.236 124638.785 6447891.109 124637.942 6447898.272 124637.434 6447901.137 124637.23 6447904.443 124636.995 6447916.517 124636.138 6447916.61 124636.131 6447921.992 124635.749 6447924.888 124635.544 6447932.247 124635.021 6447936.627 124634.903 6447941.398 124634.774 6447944.7 124641.895 6447945.98 124644.656 6447946.802 124646.43 6447950.6 124654.62 6447950.653 124659.539 6447949.986 124659.309 6447948.656 124659.228 6447942.231 124658.836 6447938.043 124658.814 6447928.204 124658.762 6447923.01 124658.734 6447918.834 124658.763 6447914.306 124658.795 6447910.815 124658.819 6447904.718 124658.861 6447901.349 124658.885 6447898.276 124658.939 6447893.985 124659.014 6447890.469 124659.076 6447885.126 124659.202 6447883.888 124659.003 6447881.948 124656.739 6447879.106 124653.435 6447876.133 124653.653 6447875.68 124653.67 6447871.062 124653.844 6447870.776 124653.988</gml:posList>
            </gml:LinearRing>
          </gml:exterior>
        </gml:Polygon>
      </lmg:Yta>
      <planbestammelsereferens>434aeaba-788e-446d-b4da-796fb610d0c6</planbestammelsereferens>
    </Lage>
    <Lage>
      <lmg:Yta>
        <lmg:absolutLagesosakerhetPlan>0</lmg:absolutLagesosakerhetPlan>
        <lmg:absolutLagesosakerhetHojd>0</lmg:absolutLagesosakerhetHojd>
        <lmg:hojdsystem>RH 2000</lmg:hojdsystem>
        <gml:Polygon gml:id="ID_1ddc12c4-92c0-48ce-8a11-1f27dc594fb7" srsName="EPSG:3009" srsDimension="2">
          <gml:exterior>
            <gml:LinearRing gml:id="ID_05458d4d-d683-497a-bb1f-8586842d419e">
              <gml:posList>6447870.776 124653.988 6447869.676 124657.151 6447868.732 124661.006 6447872.749 124661.309 6447875.944 124661.549 6447882.912 124661.9 6447885.502 124661.648 6447890.711 124661.565 6447896.018 124661.463 6447895.816 124677.75 6447838.928 124676.975 6447841.515 124673.888 6447853.465 124659.631 6447860.642 124659.729 6447863.422 124659.767 6447869.86 124652.13 6447864.176 124652.053 6447863.324 124652.041 6447859.866 124651.994 6447867.89 124642.421 6447870.412 124639.412 6447878.067 124638.868 6447879.236 124638.785 6447891.109 124637.942 6447898.272 124637.434 6447901.137 124637.23 6447904.443 124636.995 6447916.517 124636.138 6447916.61 124636.131 6447921.992 124635.749 6447924.888 124635.544 6447932.247 124635.021 6447936.627 124634.903 6447941.398 124634.774 6447944.7 124641.895 6447945.98 124644.656 6447946.802 124646.43 6447950.6 124654.62 6447950.653 124659.539 6447949.986 124659.309 6447948.656 124659.228 6447942.231 124658.836 6447938.043 124658.814 6447928.204 124658.762 6447923.01 124658.734 6447918.834 124658.763 6447914.306 124658.795 6447910.815 124658.819 6447904.718 124658.861 6447901.349 124658.885 6447898.276 124658.939 6447893.985 124659.014 6447890.469 124659.076 6447885.126 124659.202 6447883.888 124659.003 6447881.948 124656.739 6447879.106 124653.435 6447876.133 124653.653 6447875.68 124653.67 6447871.062 124653.844 6447870.776 124653.988</gml:posList>
            </gml:LinearRing>
          </gml:exterior>
        </gml:Polygon>
      </lmg:Yta>
      <planbestammelsereferens>2a75af5b-9354-4e7d-9a22-f5f78eb5d1d0</planbestammelsereferens>
    </Lage>
    <Lage>
      <lmg:Yta>
        <lmg:absolutLagesosakerhetPlan>0</lmg:absolutLagesosakerhetPlan>
        <lmg:absolutLagesosakerhetHojd>0</lmg:absolutLagesosakerhetHojd>
        <lmg:hojdsystem>RH 2000</lmg:hojdsystem>
        <gml:Polygon gml:id="ID_5adda960-95c9-40b6-8773-e5955eba00df" srsName="EPSG:3009" srsDimension="2">
          <gml:exterior>
            <gml:LinearRing gml:id="ID_f379d415-6a65-413b-9bfc-2fd4f76e4b02">
              <gml:posList>6447853.465 124659.631 6447859.866 124651.994 6447863.324 124652.041 6447864.176 124652.053 6447869.86 124652.13 6447863.422 124659.767 6447860.642 124659.729 6447853.465 124659.631</gml:posList>
            </gml:LinearRing>
          </gml:exterior>
        </gml:Polygon>
      </lmg:Yta>
      <planbestammelsereferens>9e5f1413-c0c2-4cef-9610-df8e5a87544c</planbestammelsereferens>
    </Lage>
    <Lage>
      <lmg:Yta>
        <lmg:absolutLagesosakerhetPlan>0</lmg:absolutLagesosakerhetPlan>
        <lmg:absolutLagesosakerhetHojd>0</lmg:absolutLagesosakerhetHojd>
        <lmg:hojdsystem>RH 2000</lmg:hojdsystem>
        <gml:Polygon gml:id="ID_506f5a9b-3680-421f-aa93-d3a2b2f42e62" srsName="EPSG:3009" srsDimension="2">
          <gml:exterior>
            <gml:LinearRing gml:id="ID_10db9653-41d0-4da1-b93e-f411cd2781f7">
              <gml:posList>6448183.293 124640.174 6448185.304 124640.185 6448188.282 124640.202 6448189.735 124640.21 6448189.735 124640.788 6448189.74 124647.89 6448189.742 124649.636 6448189.746 124655.78 6448181.225 124654.834 6448180.742 124640.16 6448181.377 124640.163 6448183.293 124640.174</gml:posList>
            </gml:LinearRing>
          </gml:exterior>
        </gml:Polygon>
      </lmg:Yta>
      <planbestammelsereferens>ac729498-afc0-4ae8-9242-e416dda0ef9e</planbestammelsereferens>
    </Lage>
    <Lage>
      <lmg:Yta>
        <lmg:absolutLagesosakerhetPlan>0</lmg:absolutLagesosakerhetPlan>
        <lmg:absolutLagesosakerhetHojd>0</lmg:absolutLagesosakerhetHojd>
        <lmg:hojdsystem>RH 2000</lmg:hojdsystem>
        <gml:Polygon gml:id="ID_a70a7809-5f6d-47ed-94ba-5301df9919d5" srsName="EPSG:3009" srsDimension="2">
          <gml:exterior>
            <gml:LinearRing gml:id="ID_a8e9c5d3-252d-4bbf-befd-165604a9e28e">
              <gml:posList>6448183.293 124640.174 6448181.377 124640.163 6448180.742 124640.16 6448180.414 124630.191 6448180.448 124628.343 6448184.693 124628.273 6448189.727 124628.191 6448189.728 124631.04 6448189.729 124631.86 6448189.729 124632.231 6448189.73 124632.469 6448189.732 124635.285 6448189.732 124635.708 6448189.734 124638.21 6448189.735 124640.21 6448188.282 124640.202 6448185.304 124640.185 6448183.293 124640.174</gml:posList>
            </gml:LinearRing>
          </gml:exterior>
        </gml:Polygon>
      </lmg:Yta>
      <planbestammelsereferens>3c417964-16b7-4d89-9bfb-172f12672ef0</planbestammelsereferens>
    </Lage>
    <Indelning>
      <tema>Motiv till detaljplanens regleringar</tema>
      <grupp>Motiv till reglering</grupp>
    </Indelning>
  </Omfattning>
  <Omfattning>
    <identitet>mo_motivtillreglering19</identitet>
    <Lage>
      <lmg:Yta>
        <lmg:absolutLagesosakerhetPlan>0</lmg:absolutLagesosakerhetPlan>
        <lmg:absolutLagesosakerhetHojd>0</lmg:absolutLagesosakerhetHojd>
        <lmg:hojdsystem>RH 2000</lmg:hojdsystem>
        <gml:Polygon gml:id="ID_6a087189-9b85-43df-bdf5-3b317087d6b2" srsName="EPSG:3009" srsDimension="2">
          <gml:exterior>
            <gml:LinearRing gml:id="ID_620cc870-da16-47c2-98b6-3370c59d7127">
              <gml:posList>6448240.903 124690.704 6448238.477 124702.53 6448235.513 124702.049 6448233.504 124701.723 6448230.539 124701.242 6448218.12 124699.228 6448220.575 124687.406 6448222.266 124679.263 6448227.81 124680.279 6448231.591 124680.973 6448231.745 124681.001 6448233.984 124681.411 6448237.57 124682.069 6448239.538 124682.429 6448242.489 124682.971 6448240.912 124690.659 6448240.903 124690.704</gml:posList>
            </gml:LinearRing>
          </gml:exterior>
        </gml:Polygon>
      </lmg:Yta>
      <planbestammelsereferens>453825ee-64f2-4e4e-a708-926685e5eb10</planbestammelsereferens>
    </Lage>
    <Lage>
      <lmg:Yta>
        <lmg:absolutLagesosakerhetPlan>0</lmg:absolutLagesosakerhetPlan>
        <lmg:absolutLagesosakerhetHojd>0</lmg:absolutLagesosakerhetHojd>
        <lmg:hojdsystem>RH 2000</lmg:hojdsystem>
        <gml:Polygon gml:id="ID_3db6d885-7ca7-4adf-9fc5-ab4aedc011a7" srsName="EPSG:3009" srsDimension="2">
          <gml:exterior>
            <gml:LinearRing gml:id="ID_11c30cf4-1aac-42ef-b400-392233fb31bd">
              <gml:posList>6448126.219 124793.638 6448107.44 124789.732 6448111.061 124768.354 6448111.747 124764.308 6448113.64 124767.465 6448113.826 124768.233 6448114.06 124768.911 6448114.946 124770.542 6448115.502 124771.344 6448116.134 124772.115 6448117.264 124773.294 6448119.227 124775.167 6448123.132 124778.896 6448123.863 124779.594 6448125.893 124781.523 6448128.541 124784.04 6448137.701 124793.724 6448138.462 124796.034 6448137.152 124795.912 6448126.219 124793.638</gml:posList>
            </gml:LinearRing>
          </gml:exterior>
        </gml:Polygon>
      </lmg:Yta>
      <planbestammelsereferens>7a458022-1743-44a3-a316-23be832a6801</planbestammelsereferens>
    </Lage>
    <Lage>
      <lmg:Yta>
        <lmg:absolutLagesosakerhetPlan>0</lmg:absolutLagesosakerhetPlan>
        <lmg:absolutLagesosakerhetHojd>0</lmg:absolutLagesosakerhetHojd>
        <lmg:hojdsystem>RH 2000</lmg:hojdsystem>
        <gml:Polygon gml:id="ID_41f74834-b4dd-4d70-b796-111095afce75" srsName="EPSG:3009" srsDimension="2">
          <gml:exterior>
            <gml:LinearRing gml:id="ID_441fdf3e-b6ed-4977-833b-f509b053ec27">
              <gml:posList>6448183.293 124640.174 6448185.304 124640.185 6448188.282 124640.202 6448189.735 124640.21 6448189.735 124640.788 6448189.74 124647.89 6448189.742 124649.636 6448189.746 124655.78 6448181.225 124654.834 6448180.742 124640.16 6448181.377 124640.163 6448183.293 124640.174</gml:posList>
            </gml:LinearRing>
          </gml:exterior>
        </gml:Polygon>
      </lmg:Yta>
      <planbestammelsereferens>f6061b62-a86b-4c28-bb96-23936f5998e8</planbestammelsereferens>
    </Lage>
    <Indelning>
      <tema>Motiv till detaljplanens regleringar</tema>
      <grupp>Motiv till reglering</grupp>
    </Indelning>
  </Omfattning>
  <Omfattning>
    <identitet>mo_motivtillreglering20</identitet>
    <Lage>
      <lmg:Yta>
        <lmg:absolutLagesosakerhetPlan>0</lmg:absolutLagesosakerhetPlan>
        <lmg:absolutLagesosakerhetHojd>0</lmg:absolutLagesosakerhetHojd>
        <lmg:hojdsystem>RH 2000</lmg:hojdsystem>
        <gml:Polygon gml:id="ID_7dac9103-73fc-4cf5-8ba8-0e97248f75a7" srsName="EPSG:3009" srsDimension="2">
          <gml:exterior>
            <gml:LinearRing gml:id="ID_c37c636e-9f2a-47a8-89e3-9fc1e9cd8464">
              <gml:posList>6448086.312 124646.236 6448085.94 124640.253 6448088.184 124640.274 6448125.323 124640.62 6448135.522 124640.715 6448142.932 124640.784 6448145.815 124640.811 6448158.967 124640.933 6448162.626 124640.967 6448164.52 124640.985 6448164.79 124640.987 6448164.82 124645.24 6448164.832 124646.968 6448151.057 124646.849 6448148.528 124646.827 6448147.164 124646.815 6448146.952 124646.814 6448128.893 124646.658 6448128.355 124646.652 6448125.334 124646.622 6448095.115 124646.323 6448086.312 124646.236</gml:posList>
            </gml:LinearRing>
          </gml:exterior>
        </gml:Polygon>
      </lmg:Yta>
      <planbestammelsereferens>dea23f1b-01db-44a1-9d9e-e74e05836042</planbestammelsereferens>
    </Lage>
    <Indelning>
      <tema>Motiv till detaljplanens regleringar</tema>
      <grupp>Motiv till reglering</grupp>
    </Indelning>
  </Omfattning>
  <Omfattning>
    <identitet>mo_motivtillreglering21</identitet>
    <Lage>
      <lmg:Yta>
        <lmg:absolutLagesosakerhetPlan>0</lmg:absolutLagesosakerhetPlan>
        <lmg:absolutLagesosakerhetHojd>0</lmg:absolutLagesosakerhetHojd>
        <lmg:hojdsystem>RH 2000</lmg:hojdsystem>
        <gml:Polygon gml:id="ID_fc48ac71-67f9-4733-b289-e04ab1ed1b11" srsName="EPSG:3009" srsDimension="2">
          <gml:exterior>
            <gml:LinearRing gml:id="ID_2b93b6d2-4332-4fdb-b088-22abdcd4e8ee">
              <gml:posList>6448151.057 124646.849 6448148.528 124646.827 6448147.164 124646.815 6448146.952 124646.814 6448128.893 124646.658 6448128.355 124646.652 6448125.334 124646.622 6448125.323 124640.62 6448125.302 124628.497 6448125.28 124616.283 6448125.277 124614.282 6448128.016 124614.132 6448128.355 124614.114 6448128.599 124614.1 6448136.291 124613.679 6448136.84 124613.649 6448139.963 124613.478 6448142.579 124613.335 6448151.765 124612.832 6448153.302 124612.748 6448154.507 124612.682 6448157.004 124612.545 6448164.928 124612.111 6448164.893 124614.116 6448164.684 124626.173 6448164.79 124640.987 6448164.82 124645.24 6448164.832 124646.968 6448151.057 124646.849</gml:posList>
            </gml:LinearRing>
          </gml:exterior>
        </gml:Polygon>
      </lmg:Yta>
      <planbestammelsereferens>aaca0118-b05c-4ec0-af9f-90217b6f7192</planbestammelsereferens>
    </Lage>
    <Lage>
      <lmg:Yta>
        <lmg:absolutLagesosakerhetPlan>0</lmg:absolutLagesosakerhetPlan>
        <lmg:absolutLagesosakerhetHojd>0</lmg:absolutLagesosakerhetHojd>
        <lmg:hojdsystem>RH 2000</lmg:hojdsystem>
        <gml:Polygon gml:id="ID_b115896c-77b6-48ab-b10e-678b36fcaa1d" srsName="EPSG:3009" srsDimension="2">
          <gml:exterior>
            <gml:LinearRing gml:id="ID_e13604f1-6199-43de-9831-5a03220ff564">
              <gml:posList>6448074.76 124747.181 6448060.944 124746.178 6448067.529 124715.59 6448069.089 124710.031 6448071.672 124700.823 6448073.146 124695.854 6448074.012 124692.937 6448114.712 124696.246 6448127.029 124697.247 6448142.054 124698.468 6448139.083 124701.237 6448131.225 124708.558 6448129.708 124711.288 6448121.156 124726.417 6448120.381 124733.349 6448120.293 124734.139 6448119.483 124741.387 6448118.689 124748.491 6448116.729 124752.354 6448111.557 124752.284 6448109.978 124752.065 6448103.675 124751.191 6448074.76 124747.181</gml:posList>
            </gml:LinearRing>
          </gml:exterior>
        </gml:Polygon>
      </lmg:Yta>
      <planbestammelsereferens>cdef2035-2ab2-444c-b78a-41867045ae4c</planbestammelsereferens>
    </Lage>
    <Lage>
      <lmg:Yta>
        <lmg:absolutLagesosakerhetPlan>0</lmg:absolutLagesosakerhetPlan>
        <lmg:absolutLagesosakerhetHojd>0</lmg:absolutLagesosakerhetHojd>
        <lmg:hojdsystem>RH 2000</lmg:hojdsystem>
        <gml:Polygon gml:id="ID_fb8c6ccf-186d-4880-9f3c-54e3300d340c" srsName="EPSG:3009" srsDimension="2">
          <gml:exterior>
            <gml:LinearRing gml:id="ID_aced5f29-e556-4ed7-b15b-0793da2a3536">
              <gml:posList>6448023.437 124740.222 6448020.455 124739.749 6448020.826 124731.857 6448022.805 124689.748 6448022.857 124688.647 6448022.947 124686.743 6448074.012 124692.937 6448073.146 124695.854 6448071.672 124700.823 6448069.089 124710.031 6448067.529 124715.59 6448060.944 124746.178 6448058.325 124745.762 6448023.437 124740.222</gml:posList>
            </gml:LinearRing>
          </gml:exterior>
        </gml:Polygon>
      </lmg:Yta>
      <planbestammelsereferens>50f1101b-9656-44be-9a74-3c0931ffaec4</planbestammelsereferens>
    </Lage>
    <Lage>
      <lmg:Yta>
        <lmg:absolutLagesosakerhetPlan>0</lmg:absolutLagesosakerhetPlan>
        <lmg:absolutLagesosakerhetHojd>0</lmg:absolutLagesosakerhetHojd>
        <lmg:hojdsystem>RH 2000</lmg:hojdsystem>
        <gml:Polygon gml:id="ID_ad227036-b816-43dd-a9ca-b06fdab17fba" srsName="EPSG:3009" srsDimension="2">
          <gml:exterior>
            <gml:LinearRing gml:id="ID_97afd94c-8b8e-4f9a-a710-d09bda44d599">
              <gml:posList>6448222.266 124679.263 6448220.575 124687.406 6448218.12 124699.228 6448214.85 124698.697 6448212.375 124698.296 6448203.302 124696.824 6448168.105 124690.564 6448176.655 124675.932 6448179.81 124670.532 6448180.676 124667.538 6448181.783 124666.223 6448191.763 124668.552 6448195.306 124669.379 6448203.98 124670.795 6448210.022 124671.781 6448223.368 124673.959 6448222.266 124679.263</gml:posList>
            </gml:LinearRing>
          </gml:exterior>
        </gml:Polygon>
      </lmg:Yta>
      <planbestammelsereferens>d15bc24e-8b76-46fe-923c-49108639726a</planbestammelsereferens>
    </Lage>
    <Lage>
      <lmg:Yta>
        <lmg:absolutLagesosakerhetPlan>0</lmg:absolutLagesosakerhetPlan>
        <lmg:absolutLagesosakerhetHojd>0</lmg:absolutLagesosakerhetHojd>
        <lmg:hojdsystem>RH 2000</lmg:hojdsystem>
        <gml:Polygon gml:id="ID_62c0d26d-a788-4765-8787-bc22eea153c4" srsName="EPSG:3009" srsDimension="2">
          <gml:exterior>
            <gml:LinearRing gml:id="ID_293b4582-cb6f-444b-a2f1-79adb84917ce">
              <gml:posList>6448101.544 124615.189 6448105.798 124615.027 6448106.363 124615.005 6448107.977 124614.943 6448111.718 124614.8 6448113.619 124614.728 6448116.818 124614.605 6448121.89 124614.412 6448122.903 124614.373 6448125.277 124614.282 6448125.28 124616.283 6448125.302 124628.497 6448125.323 124640.62 6448125.334 124646.622 6448095.115 124646.323 6448086.312 124646.236 6448085.94 124640.253 6448085.544 124633.9 6448084.543 124617.841 6448084.419 124615.844 6448086.418 124615.768 6448098.178 124615.318 6448101.544 124615.189</gml:posList>
            </gml:LinearRing>
          </gml:exterior>
        </gml:Polygon>
      </lmg:Yta>
      <planbestammelsereferens>cc2126f6-b76b-4aa1-809f-c6cc9278faf4</planbestammelsereferens>
    </Lage>
    <Lage>
      <lmg:Yta>
        <lmg:absolutLagesosakerhetPlan>0</lmg:absolutLagesosakerhetPlan>
        <lmg:absolutLagesosakerhetHojd>0</lmg:absolutLagesosakerhetHojd>
        <lmg:hojdsystem>RH 2000</lmg:hojdsystem>
        <gml:Polygon gml:id="ID_2ba46f34-9d26-4b67-b19b-b0f67a442c95" srsName="EPSG:3009" srsDimension="2">
          <gml:exterior>
            <gml:LinearRing gml:id="ID_22ddd8b3-6a18-42a7-a125-c14798ee1564">
              <gml:posList>6448242.854 124666.26 6448202.152 124657.456 6448202.384 124642.198 6448207.806 124638.395 6448219.794 124638.978 6448223.715 124639.779 6448223.962 124631.254 6448215.667 124630.923 6448206.21 124630.726 6448206.104 124627.923 6448189.727 124628.191 6448184.693 124628.273 6448180.448 124628.343 6448179.954 124605.443 6448179.847 124600.444 6448191.821 124600.193 6448192.455 124600.18 6448217.762 124599.649 6448256.474 124599.855 6448259.533 124599.872 6448257.047 124611.994 6448256.037 124616.918 6448256.004 124617.08 6448253.84 124627.632 6448252.849 124632.463 6448245.786 124666.894 6448242.854 124666.26</gml:posList>
            </gml:LinearRing>
          </gml:exterior>
        </gml:Polygon>
      </lmg:Yta>
      <planbestammelsereferens>3658c41a-71bb-47d4-b2a0-0944fdb4713b</planbestammelsereferens>
    </Lage>
    <Indelning>
      <tema>Motiv till detaljplanens regleringar</tema>
      <grupp>Motiv till reglering</grupp>
    </Indelning>
  </Omfattning>
  <Omfattning>
    <identitet>mo_motivtillreglering22</identitet>
    <Lage>
      <lmg:Yta>
        <lmg:absolutLagesosakerhetPlan>0</lmg:absolutLagesosakerhetPlan>
        <lmg:absolutLagesosakerhetHojd>0</lmg:absolutLagesosakerhetHojd>
        <lmg:hojdsystem>RH 2000</lmg:hojdsystem>
        <gml:Polygon gml:id="ID_c4264476-7b5e-4a92-9fd5-bf401b196c12" srsName="EPSG:3009" srsDimension="2">
          <gml:exterior>
            <gml:LinearRing gml:id="ID_1dcb3983-0e3f-4442-b808-77e2ce83d2d3">
              <gml:posList>6448095.167 124652.324 6448095.115 124646.323 6448125.334 124646.622 6448128.355 124646.652 6448128.893 124646.658 6448146.952 124646.814 6448147.164 124646.815 6448148.528 124646.827 6448151.057 124646.849 6448164.832 124646.968 6448164.833 124647.039 6448165.127 124652.97 6448165.368 124657.84 6448165.731 124665.16 6448160.021 124673.651 6448152.485 124678.595 6448146.054 124678.776 6448128.72 124679.264 6448095.4 124679.263 6448095.276 124664.906 6448095.247 124661.606 6448095.242 124660.944 6448095.167 124652.324</gml:posList>
            </gml:LinearRing>
          </gml:exterior>
        </gml:Polygon>
      </lmg:Yta>
      <planbestammelsereferens>b33e33fb-57e3-49bb-944a-1b760ebca607</planbestammelsereferens>
    </Lage>
    <Lage>
      <lmg:Yta>
        <lmg:absolutLagesosakerhetPlan>0</lmg:absolutLagesosakerhetPlan>
        <lmg:absolutLagesosakerhetHojd>0</lmg:absolutLagesosakerhetHojd>
        <lmg:hojdsystem>RH 2000</lmg:hojdsystem>
        <gml:Polygon gml:id="ID_ba288e08-71f1-4f52-b2ad-2077eabaa882" srsName="EPSG:3009" srsDimension="2">
          <gml:exterior>
            <gml:LinearRing gml:id="ID_e7d239c3-7a9b-4af8-ba61-d2d218f75ce1">
              <gml:posList>6448217.277 124746.658 6448219.721 124749.444 6448220.142 124749.912 6448222.577 124752.623 6448215.708 124775.404 6448215.398 124776.433 6448212.231 124786.937 6448209.278 124786.339 6448202.327 124784.932 6448200.664 124784.595 6448190.764 124782.591 6448180.852 124780.585 6448169.958 124778.379 6448178.266 124733.849 6448184.35 124733.987 6448189.632 124734.108 6448199.986 124734.344 6448209.092 124738.047 6448210.072 124738.445 6448211.66 124740.256 6448217.238 124746.614 6448217.277 124746.658</gml:posList>
            </gml:LinearRing>
          </gml:exterior>
        </gml:Polygon>
      </lmg:Yta>
      <planbestammelsereferens>2533175b-b68b-401f-b7ea-3a091a75fd2b</planbestammelsereferens>
    </Lage>
    <Lage>
      <lmg:Yta>
        <lmg:absolutLagesosakerhetPlan>0</lmg:absolutLagesosakerhetPlan>
        <lmg:absolutLagesosakerhetHojd>0</lmg:absolutLagesosakerhetHojd>
        <lmg:hojdsystem>RH 2000</lmg:hojdsystem>
        <gml:Polygon gml:id="ID_847999e8-3489-4ccb-9764-aa826cb4c9eb" srsName="EPSG:3009" srsDimension="2">
          <gml:exterior>
            <gml:LinearRing gml:id="ID_9e965ee7-76a7-4b7e-bca2-fa6db865a244">
              <gml:posList>6448221.682 124743.268 6448210.727 124732.728 6448211.747 124729.06 6448201.3 124725.003 6448197.239 124724.029 6448170.14 124718.396 6448162.957 124717.324 6448159.469 124716.804 6448152.475 124716.404 6448151.403 124716.177 6448152.169 124712.857 6448167 124692.11 6448168.105 124690.564 6448203.302 124696.824 6448212.375 124698.296 6448214.85 124698.697 6448218.12 124699.228 6448230.539 124701.242 6448233.504 124701.723 6448224.231 124745.721 6448221.682 124743.268</gml:posList>
            </gml:LinearRing>
          </gml:exterior>
        </gml:Polygon>
      </lmg:Yta>
      <planbestammelsereferens>6fb3f096-2684-4aef-a231-1a6c266d845b</planbestammelsereferens>
    </Lage>
    <Lage>
      <lmg:Yta>
        <lmg:absolutLagesosakerhetPlan>0</lmg:absolutLagesosakerhetPlan>
        <lmg:absolutLagesosakerhetHojd>0</lmg:absolutLagesosakerhetHojd>
        <lmg:hojdsystem>RH 2000</lmg:hojdsystem>
        <gml:Polygon gml:id="ID_47a78e15-49eb-48ec-a4b7-5aad9cdd7583" srsName="EPSG:3009" srsDimension="2">
          <gml:exterior>
            <gml:LinearRing gml:id="ID_3406eb26-0611-4db8-9db4-1febca910528">
              <gml:posList>6448169.958 124778.379 6448146.476 124774.198 6448128.495 124770.997 6448129.074 124766.118 6448129.411 124763.269 6448129.888 124759.25 6448131.915 124742.157 6448132.242 124739.399 6448132.566 124736.672 6448137.293 124733.325 6448141.918 124730.051 6448149.249 124730.817 6448151.134 124731.014 6448155.736 124731.495 6448178.266 124733.849 6448169.958 124778.379</gml:posList>
            </gml:LinearRing>
          </gml:exterior>
        </gml:Polygon>
      </lmg:Yta>
      <planbestammelsereferens>6b27f842-400a-4818-bcc8-c72e5024973f</planbestammelsereferens>
    </Lage>
    <Lage>
      <lmg:Yta>
        <lmg:absolutLagesosakerhetPlan>0</lmg:absolutLagesosakerhetPlan>
        <lmg:absolutLagesosakerhetHojd>0</lmg:absolutLagesosakerhetHojd>
        <lmg:hojdsystem>RH 2000</lmg:hojdsystem>
        <gml:Polygon gml:id="ID_e2cdd02a-79a0-4d44-bf06-d5fa39ba0d75" srsName="EPSG:3009" srsDimension="2">
          <gml:exterior>
            <gml:LinearRing gml:id="ID_1746c27b-fb08-4e4d-81fb-4cf70ee382b5">
              <gml:posList>6448095.276 124664.906 6448095.4 124679.263 6448075.058 124678.604 6448061.744 124677.781 6448045.746 124675.322 6448027.47 124671.618 6448008.113 124667.217 6447994.66 124665.055 6447958.907 124659.536 6447959.054 124647.125 6447959.155 124638.619 6447959.2 124634.767 6447997.241 124636.117 6448017.125 124638.587 6448030.424 124640.239 6448063.778 124642.679 6448079.952 124645.232 6448086.312 124646.236 6448095.115 124646.323 6448095.167 124652.324 6448095.242 124660.944 6448095.247 124661.606 6448095.276 124664.906</gml:posList>
            </gml:LinearRing>
          </gml:exterior>
        </gml:Polygon>
      </lmg:Yta>
      <planbestammelsereferens>aa5cd782-197e-4704-a442-7207c692be31</planbestammelsereferens>
    </Lage>
    <Lage>
      <lmg:Yta>
        <lmg:absolutLagesosakerhetPlan>0</lmg:absolutLagesosakerhetPlan>
        <lmg:absolutLagesosakerhetHojd>0</lmg:absolutLagesosakerhetHojd>
        <lmg:hojdsystem>RH 2000</lmg:hojdsystem>
        <gml:Polygon gml:id="ID_8263b83b-53b4-45b7-af23-cb9b2b0168d3" srsName="EPSG:3009" srsDimension="2">
          <gml:exterior>
            <gml:LinearRing gml:id="ID_e4c2b67a-dfe5-47c6-a395-e05d8de6c4b3">
              <gml:posList>6448091.63 124759.077 6448098.002 124759.81 6448106.208 124760.753 6448109.753 124763.028 6448111.747 124764.308 6448111.061 124768.354 6448107.44 124789.732 6448095.747 124787.299 6448069.951 124781.934 6448069.944 124756.982 6448078.201 124757.531 6448083.274 124758.115 6448091.63 124759.077</gml:posList>
            </gml:LinearRing>
          </gml:exterior>
        </gml:Polygon>
      </lmg:Yta>
      <planbestammelsereferens>c84e88e0-a907-4c66-8e5f-93ebbef06eba</planbestammelsereferens>
    </Lage>
    <Indelning>
      <tema>Motiv till detaljplanens regleringar</tema>
      <grupp>Motiv till reglering</grupp>
    </Indelning>
  </Omfattning>
  <Omfattning>
    <identitet>mo_motivtillreglering23</identitet>
    <Lage>
      <lmg:Yta>
        <lmg:absolutLagesosakerhetPlan>0</lmg:absolutLagesosakerhetPlan>
        <lmg:absolutLagesosakerhetHojd>0</lmg:absolutLagesosakerhetHojd>
        <lmg:hojdsystem>RH 2000</lmg:hojdsystem>
        <gml:Polygon gml:id="ID_c899cf03-9bfd-4d1b-a0d8-f135b789c44d" srsName="EPSG:3009" srsDimension="2">
          <gml:exterior>
            <gml:LinearRing gml:id="ID_b8dce863-75c2-4c67-9b64-5ed97606b613">
              <gml:posList>6448221.682 124743.268 6448210.727 124732.728 6448211.747 124729.06 6448201.3 124725.003 6448197.239 124724.029 6448170.14 124718.396 6448162.957 124717.324 6448159.469 124716.804 6448152.475 124716.404 6448151.403 124716.177 6448152.169 124712.857 6448167 124692.11 6448168.105 124690.564 6448203.302 124696.824 6448212.375 124698.296 6448214.85 124698.697 6448218.12 124699.228 6448230.539 124701.242 6448233.504 124701.723 6448224.231 124745.721 6448221.682 124743.268</gml:posList>
            </gml:LinearRing>
          </gml:exterior>
        </gml:Polygon>
      </lmg:Yta>
      <planbestammelsereferens>9af708f9-6e24-4a13-9527-e9cfcf709a9b</planbestammelsereferens>
    </Lage>
    <Lage>
      <lmg:Yta>
        <lmg:absolutLagesosakerhetPlan>0</lmg:absolutLagesosakerhetPlan>
        <lmg:absolutLagesosakerhetHojd>0</lmg:absolutLagesosakerhetHojd>
        <lmg:hojdsystem>RH 2000</lmg:hojdsystem>
        <gml:Polygon gml:id="ID_97931b17-ea41-441b-bba1-fe38f65866a2" srsName="EPSG:3009" srsDimension="2">
          <gml:exterior>
            <gml:LinearRing gml:id="ID_a07b1ca4-085a-480e-a9b6-e6a01593f360">
              <gml:posList>6448222.266 124679.263 6448220.575 124687.406 6448218.12 124699.228 6448214.85 124698.697 6448212.375 124698.296 6448203.302 124696.824 6448168.105 124690.564 6448176.655 124675.932 6448179.81 124670.532 6448180.676 124667.538 6448181.783 124666.223 6448191.763 124668.552 6448195.306 124669.379 6448203.98 124670.795 6448210.022 124671.781 6448223.368 124673.959 6448222.266 124679.263</gml:posList>
            </gml:LinearRing>
          </gml:exterior>
        </gml:Polygon>
      </lmg:Yta>
      <planbestammelsereferens>40a8ee04-7333-44ff-958f-385f653bed3b</planbestammelsereferens>
    </Lage>
    <Lage>
      <lmg:Yta>
        <lmg:absolutLagesosakerhetPlan>0</lmg:absolutLagesosakerhetPlan>
        <lmg:absolutLagesosakerhetHojd>0</lmg:absolutLagesosakerhetHojd>
        <lmg:hojdsystem>RH 2000</lmg:hojdsystem>
        <gml:Polygon gml:id="ID_a90b6b83-45fc-49b4-bd02-092a68c2c791" srsName="EPSG:3009" srsDimension="2">
          <gml:exterior>
            <gml:LinearRing gml:id="ID_9e7f567f-09c0-4ca1-98d2-07a924cfb636">
              <gml:posList>6448023.437 124740.222 6448020.455 124739.749 6448020.826 124731.857 6448022.805 124689.748 6448022.857 124688.647 6448022.947 124686.743 6448074.012 124692.937 6448073.146 124695.854 6448071.672 124700.823 6448069.089 124710.031 6448067.529 124715.59 6448060.944 124746.178 6448058.325 124745.762 6448023.437 124740.222</gml:posList>
            </gml:LinearRing>
          </gml:exterior>
        </gml:Polygon>
      </lmg:Yta>
      <planbestammelsereferens>98466ff7-262f-48c5-892b-3abd7a4da7ca</planbestammelsereferens>
    </Lage>
    <Lage>
      <lmg:Yta>
        <lmg:absolutLagesosakerhetPlan>0</lmg:absolutLagesosakerhetPlan>
        <lmg:absolutLagesosakerhetHojd>0</lmg:absolutLagesosakerhetHojd>
        <lmg:hojdsystem>RH 2000</lmg:hojdsystem>
        <gml:Polygon gml:id="ID_02c9e86b-378d-426f-95de-4c84630399dd" srsName="EPSG:3009" srsDimension="2">
          <gml:exterior>
            <gml:LinearRing gml:id="ID_6ed1db2b-395c-49f5-9b26-f18041dbedcd">
              <gml:posList>6448074.76 124747.181 6448060.944 124746.178 6448067.529 124715.59 6448069.089 124710.031 6448071.672 124700.823 6448073.146 124695.854 6448074.012 124692.937 6448114.712 124696.246 6448127.029 124697.247 6448142.054 124698.468 6448139.083 124701.237 6448131.225 124708.558 6448129.708 124711.288 6448121.156 124726.417 6448120.381 124733.349 6448120.293 124734.139 6448119.483 124741.387 6448118.689 124748.491 6448116.729 124752.354 6448111.557 124752.284 6448109.978 124752.065 6448103.675 124751.191 6448074.76 124747.181</gml:posList>
            </gml:LinearRing>
          </gml:exterior>
        </gml:Polygon>
      </lmg:Yta>
      <planbestammelsereferens>3add44bc-f17a-41bf-adb7-8c2ed9dbe460</planbestammelsereferens>
    </Lage>
    <Lage>
      <lmg:Yta>
        <lmg:absolutLagesosakerhetPlan>0</lmg:absolutLagesosakerhetPlan>
        <lmg:absolutLagesosakerhetHojd>0</lmg:absolutLagesosakerhetHojd>
        <lmg:hojdsystem>RH 2000</lmg:hojdsystem>
        <gml:Polygon gml:id="ID_572fbccb-9c3e-4eaf-b46f-d1ffeb25e984" srsName="EPSG:3009" srsDimension="2">
          <gml:exterior>
            <gml:LinearRing gml:id="ID_0b1f155c-a31d-479d-9f3a-3a4418c4c466">
              <gml:posList>6448217.277 124746.658 6448219.721 124749.444 6448220.142 124749.912 6448222.577 124752.623 6448215.708 124775.404 6448215.398 124776.433 6448212.231 124786.937 6448209.278 124786.339 6448202.327 124784.932 6448200.664 124784.595 6448190.764 124782.591 6448180.852 124780.585 6448169.958 124778.379 6448178.266 124733.849 6448184.35 124733.987 6448189.632 124734.108 6448199.986 124734.344 6448209.092 124738.047 6448210.072 124738.445 6448211.66 124740.256 6448217.238 124746.614 6448217.277 124746.658</gml:posList>
            </gml:LinearRing>
          </gml:exterior>
        </gml:Polygon>
      </lmg:Yta>
      <planbestammelsereferens>572776f8-50be-46ea-bd33-d6110209891f</planbestammelsereferens>
    </Lage>
    <Lage>
      <lmg:Yta>
        <lmg:absolutLagesosakerhetPlan>0</lmg:absolutLagesosakerhetPlan>
        <lmg:absolutLagesosakerhetHojd>0</lmg:absolutLagesosakerhetHojd>
        <lmg:hojdsystem>RH 2000</lmg:hojdsystem>
        <gml:Polygon gml:id="ID_b9d441a1-7169-44ee-8fce-f5badd52a03f" srsName="EPSG:3009" srsDimension="2">
          <gml:exterior>
            <gml:LinearRing gml:id="ID_1814e611-fb5d-4895-83e6-d0d7fcda184a">
              <gml:posList>6448095.167 124652.324 6448095.115 124646.323 6448125.334 124646.622 6448128.355 124646.652 6448128.893 124646.658 6448146.952 124646.814 6448147.164 124646.815 6448148.528 124646.827 6448151.057 124646.849 6448164.832 124646.968 6448164.833 124647.039 6448165.127 124652.97 6448165.368 124657.84 6448165.731 124665.16 6448160.021 124673.651 6448152.485 124678.595 6448146.054 124678.776 6448128.72 124679.264 6448095.4 124679.263 6448095.276 124664.906 6448095.247 124661.606 6448095.242 124660.944 6448095.167 124652.324</gml:posList>
            </gml:LinearRing>
          </gml:exterior>
        </gml:Polygon>
      </lmg:Yta>
      <planbestammelsereferens>229ba07e-06b6-4d4a-9bc8-92d915456ea4</planbestammelsereferens>
    </Lage>
    <Lage>
      <lmg:Yta>
        <lmg:absolutLagesosakerhetPlan>0</lmg:absolutLagesosakerhetPlan>
        <lmg:absolutLagesosakerhetHojd>0</lmg:absolutLagesosakerhetHojd>
        <lmg:hojdsystem>RH 2000</lmg:hojdsystem>
        <gml:Polygon gml:id="ID_db7f2a2c-3dbb-4905-8caf-593c33241202" srsName="EPSG:3009" srsDimension="2">
          <gml:exterior>
            <gml:LinearRing gml:id="ID_e5349abc-ca20-432b-8ee6-24abc9d42240">
              <gml:posList>6448151.057 124646.849 6448148.528 124646.827 6448147.164 124646.815 6448146.952 124646.814 6448128.893 124646.658 6448128.355 124646.652 6448125.334 124646.622 6448125.323 124640.62 6448125.302 124628.497 6448125.28 124616.283 6448125.277 124614.282 6448128.016 124614.132 6448128.355 124614.114 6448128.599 124614.1 6448136.291 124613.679 6448136.84 124613.649 6448139.963 124613.478 6448142.579 124613.335 6448151.765 124612.832 6448153.302 124612.748 6448154.507 124612.682 6448157.004 124612.545 6448164.928 124612.111 6448164.893 124614.116 6448164.684 124626.173 6448164.79 124640.987 6448164.82 124645.24 6448164.832 124646.968 6448151.057 124646.849</gml:posList>
            </gml:LinearRing>
          </gml:exterior>
        </gml:Polygon>
      </lmg:Yta>
      <planbestammelsereferens>12ea4fca-c1db-43a2-ab58-4d2c539d0cc1</planbestammelsereferens>
    </Lage>
    <Lage>
      <lmg:Yta>
        <lmg:absolutLagesosakerhetPlan>0</lmg:absolutLagesosakerhetPlan>
        <lmg:absolutLagesosakerhetHojd>0</lmg:absolutLagesosakerhetHojd>
        <lmg:hojdsystem>RH 2000</lmg:hojdsystem>
        <gml:Polygon gml:id="ID_0388167c-088d-4c73-8af5-7404e0649b93" srsName="EPSG:3009" srsDimension="2">
          <gml:exterior>
            <gml:LinearRing gml:id="ID_3a0dec9c-5e2f-4b2d-bd50-512ad42a023e">
              <gml:posList>6448101.544 124615.189 6448105.798 124615.027 6448106.363 124615.005 6448107.977 124614.943 6448111.718 124614.8 6448113.619 124614.728 6448116.818 124614.605 6448121.89 124614.412 6448122.903 124614.373 6448125.277 124614.282 6448125.28 124616.283 6448125.302 124628.497 6448125.323 124640.62 6448125.334 124646.622 6448095.115 124646.323 6448086.312 124646.236 6448085.94 124640.253 6448085.544 124633.9 6448084.543 124617.841 6448084.419 124615.844 6448086.418 124615.768 6448098.178 124615.318 6448101.544 124615.189</gml:posList>
            </gml:LinearRing>
          </gml:exterior>
        </gml:Polygon>
      </lmg:Yta>
      <planbestammelsereferens>03ee3397-3f55-4634-b302-b643faff7ae3</planbestammelsereferens>
    </Lage>
    <Lage>
      <lmg:Yta>
        <lmg:absolutLagesosakerhetPlan>0</lmg:absolutLagesosakerhetPlan>
        <lmg:absolutLagesosakerhetHojd>0</lmg:absolutLagesosakerhetHojd>
        <lmg:hojdsystem>RH 2000</lmg:hojdsystem>
        <gml:Polygon gml:id="ID_d037b7d4-1f5c-4da8-abd4-cb269fb99776" srsName="EPSG:3009" srsDimension="2">
          <gml:exterior>
            <gml:LinearRing gml:id="ID_20835bcc-c601-4a85-8f48-8f07d62c47d1">
              <gml:posList>6448095.276 124664.906 6448095.4 124679.263 6448075.058 124678.604 6448061.744 124677.781 6448045.746 124675.322 6448027.47 124671.618 6448008.113 124667.217 6447994.66 124665.055 6447958.907 124659.536 6447959.054 124647.125 6447959.155 124638.619 6447959.2 124634.767 6447997.241 124636.117 6448017.125 124638.587 6448030.424 124640.239 6448063.778 124642.679 6448079.952 124645.232 6448086.312 124646.236 6448095.115 124646.323 6448095.167 124652.324 6448095.242 124660.944 6448095.247 124661.606 6448095.276 124664.906</gml:posList>
            </gml:LinearRing>
          </gml:exterior>
        </gml:Polygon>
      </lmg:Yta>
      <planbestammelsereferens>9b9c200b-7461-4632-8a11-7e92a5fc427a</planbestammelsereferens>
    </Lage>
    <Lage>
      <lmg:Yta>
        <lmg:absolutLagesosakerhetPlan>0</lmg:absolutLagesosakerhetPlan>
        <lmg:absolutLagesosakerhetHojd>0</lmg:absolutLagesosakerhetHojd>
        <lmg:hojdsystem>RH 2000</lmg:hojdsystem>
        <gml:Polygon gml:id="ID_d50e09ca-16a8-4652-bbb1-d7e597c90559" srsName="EPSG:3009" srsDimension="2">
          <gml:exterior>
            <gml:LinearRing gml:id="ID_2bd61be2-9812-4d4d-ab7b-7e6ec7438cd4">
              <gml:posList>6448091.63 124759.077 6448098.002 124759.81 6448106.208 124760.753 6448109.753 124763.028 6448111.747 124764.308 6448111.061 124768.354 6448107.44 124789.732 6448095.747 124787.299 6448069.951 124781.934 6448069.944 124756.982 6448078.201 124757.531 6448083.274 124758.115 6448091.63 124759.077</gml:posList>
            </gml:LinearRing>
          </gml:exterior>
        </gml:Polygon>
      </lmg:Yta>
      <planbestammelsereferens>9a9f35be-c324-4d4e-b100-0ce7e3b1b592</planbestammelsereferens>
    </Lage>
    <Lage>
      <lmg:Yta>
        <lmg:absolutLagesosakerhetPlan>0</lmg:absolutLagesosakerhetPlan>
        <lmg:absolutLagesosakerhetHojd>0</lmg:absolutLagesosakerhetHojd>
        <lmg:hojdsystem>RH 2000</lmg:hojdsystem>
        <gml:Polygon gml:id="ID_7e53d486-5c76-4501-bb9e-51fd4a2fe579" srsName="EPSG:3009" srsDimension="2">
          <gml:exterior>
            <gml:LinearRing gml:id="ID_4fc339e0-0457-4880-8720-c4b47afc99be">
              <gml:posList>6448242.854 124666.26 6448202.152 124657.456 6448202.384 124642.198 6448207.806 124638.395 6448219.794 124638.978 6448223.715 124639.779 6448223.962 124631.254 6448215.667 124630.923 6448206.21 124630.726 6448206.104 124627.923 6448189.727 124628.191 6448184.693 124628.273 6448180.448 124628.343 6448179.954 124605.443 6448179.847 124600.444 6448191.821 124600.193 6448192.455 124600.18 6448217.762 124599.649 6448256.474 124599.855 6448259.533 124599.872 6448257.047 124611.994 6448256.037 124616.918 6448256.004 124617.08 6448253.84 124627.632 6448252.849 124632.463 6448245.786 124666.894 6448242.854 124666.26</gml:posList>
            </gml:LinearRing>
          </gml:exterior>
        </gml:Polygon>
      </lmg:Yta>
      <planbestammelsereferens>e65dd4bc-288e-4087-81cd-c00601a65dbc</planbestammelsereferens>
    </Lage>
    <Indelning>
      <tema>Motiv till detaljplanens regleringar</tema>
      <grupp>Motiv till reglering</grupp>
    </Indelning>
  </Omfattning>
  <Omfattning>
    <identitet>mo_motivtillreglering24</identitet>
    <Lage>
      <lmg:Yta>
        <lmg:absolutLagesosakerhetPlan>0</lmg:absolutLagesosakerhetPlan>
        <lmg:absolutLagesosakerhetHojd>0</lmg:absolutLagesosakerhetHojd>
        <lmg:hojdsystem>RH 2000</lmg:hojdsystem>
        <gml:Polygon gml:id="ID_5c108c0a-ddfe-4d30-a413-91a3d0400ec9" srsName="EPSG:3009" srsDimension="2">
          <gml:exterior>
            <gml:LinearRing gml:id="ID_da63f315-51ef-45b2-8b23-b8359daf0ccc">
              <gml:posList>6448151.057 124646.849 6448148.528 124646.827 6448147.164 124646.815 6448146.952 124646.814 6448128.893 124646.658 6448128.355 124646.652 6448125.334 124646.622 6448125.323 124640.62 6448125.302 124628.497 6448125.28 124616.283 6448125.277 124614.282 6448128.016 124614.132 6448128.355 124614.114 6448128.599 124614.1 6448136.291 124613.679 6448136.84 124613.649 6448139.963 124613.478 6448142.579 124613.335 6448151.765 124612.832 6448153.302 124612.748 6448154.507 124612.682 6448157.004 124612.545 6448164.928 124612.111 6448164.893 124614.116 6448164.684 124626.173 6448164.79 124640.987 6448164.82 124645.24 6448164.832 124646.968 6448151.057 124646.849</gml:posList>
            </gml:LinearRing>
          </gml:exterior>
        </gml:Polygon>
      </lmg:Yta>
      <planbestammelsereferens>f0e0472b-9c69-47e6-9026-737f7a10c2e7</planbestammelsereferens>
    </Lage>
    <Lage>
      <lmg:Yta>
        <lmg:absolutLagesosakerhetPlan>0</lmg:absolutLagesosakerhetPlan>
        <lmg:absolutLagesosakerhetHojd>0</lmg:absolutLagesosakerhetHojd>
        <lmg:hojdsystem>RH 2000</lmg:hojdsystem>
        <gml:Polygon gml:id="ID_97d03933-c2de-4efc-b74f-3e9fda86a3c1" srsName="EPSG:3009" srsDimension="2">
          <gml:exterior>
            <gml:LinearRing gml:id="ID_7c218079-caf2-4f73-b6f5-09a8436c1f60">
              <gml:posList>6448095.167 124652.324 6448095.115 124646.323 6448125.334 124646.622 6448128.355 124646.652 6448128.893 124646.658 6448146.952 124646.814 6448147.164 124646.815 6448148.528 124646.827 6448151.057 124646.849 6448164.832 124646.968 6448164.833 124647.039 6448165.127 124652.97 6448165.368 124657.84 6448165.731 124665.16 6448160.021 124673.651 6448152.485 124678.595 6448146.054 124678.776 6448128.72 124679.264 6448095.4 124679.263 6448095.276 124664.906 6448095.247 124661.606 6448095.242 124660.944 6448095.167 124652.324</gml:posList>
            </gml:LinearRing>
          </gml:exterior>
        </gml:Polygon>
      </lmg:Yta>
      <planbestammelsereferens>17d2a2bf-2045-45db-a46e-28850b06f01f</planbestammelsereferens>
    </Lage>
    <Lage>
      <lmg:Yta>
        <lmg:absolutLagesosakerhetPlan>0</lmg:absolutLagesosakerhetPlan>
        <lmg:absolutLagesosakerhetHojd>0</lmg:absolutLagesosakerhetHojd>
        <lmg:hojdsystem>RH 2000</lmg:hojdsystem>
        <gml:Polygon gml:id="ID_d4078b00-0a13-468c-88ef-d7fd3f988ed4" srsName="EPSG:3009" srsDimension="2">
          <gml:exterior>
            <gml:LinearRing gml:id="ID_de7b04c9-5806-4557-aaeb-e756f28def44">
              <gml:posList>6448074.76 124747.181 6448060.944 124746.178 6448067.529 124715.59 6448069.089 124710.031 6448071.672 124700.823 6448073.146 124695.854 6448074.012 124692.937 6448114.712 124696.246 6448127.029 124697.247 6448142.054 124698.468 6448139.083 124701.237 6448131.225 124708.558 6448129.708 124711.288 6448121.156 124726.417 6448120.381 124733.349 6448120.293 124734.139 6448119.483 124741.387 6448118.689 124748.491 6448116.729 124752.354 6448111.557 124752.284 6448109.978 124752.065 6448103.675 124751.191 6448074.76 124747.181</gml:posList>
            </gml:LinearRing>
          </gml:exterior>
        </gml:Polygon>
      </lmg:Yta>
      <planbestammelsereferens>d27e2fb4-d1a7-40e2-8f57-23d84628a5c4</planbestammelsereferens>
    </Lage>
    <Lage>
      <lmg:Yta>
        <lmg:absolutLagesosakerhetPlan>0</lmg:absolutLagesosakerhetPlan>
        <lmg:absolutLagesosakerhetHojd>0</lmg:absolutLagesosakerhetHojd>
        <lmg:hojdsystem>RH 2000</lmg:hojdsystem>
        <gml:Polygon gml:id="ID_35fd4c19-19ee-4e1f-b0f6-ad20a23406e3" srsName="EPSG:3009" srsDimension="2">
          <gml:exterior>
            <gml:LinearRing gml:id="ID_fba51963-e313-4f07-a85e-9dadb89d8520">
              <gml:posList>6448217.277 124746.658 6448219.721 124749.444 6448220.142 124749.912 6448222.577 124752.623 6448215.708 124775.404 6448215.398 124776.433 6448212.231 124786.937 6448209.278 124786.339 6448202.327 124784.932 6448200.664 124784.595 6448190.764 124782.591 6448180.852 124780.585 6448169.958 124778.379 6448178.266 124733.849 6448184.35 124733.987 6448189.632 124734.108 6448199.986 124734.344 6448209.092 124738.047 6448210.072 124738.445 6448211.66 124740.256 6448217.238 124746.614 6448217.277 124746.658</gml:posList>
            </gml:LinearRing>
          </gml:exterior>
        </gml:Polygon>
      </lmg:Yta>
      <planbestammelsereferens>5955f958-1e95-426c-931f-d42030cd6df8</planbestammelsereferens>
    </Lage>
    <Lage>
      <lmg:Yta>
        <lmg:absolutLagesosakerhetPlan>0</lmg:absolutLagesosakerhetPlan>
        <lmg:absolutLagesosakerhetHojd>0</lmg:absolutLagesosakerhetHojd>
        <lmg:hojdsystem>RH 2000</lmg:hojdsystem>
        <gml:Polygon gml:id="ID_469f614a-71c4-482c-8aa8-c9d94a02c59f" srsName="EPSG:3009" srsDimension="2">
          <gml:exterior>
            <gml:LinearRing gml:id="ID_6bba2872-26a3-4dea-9a3f-c07468b6cc0c">
              <gml:posList>6448221.682 124743.268 6448210.727 124732.728 6448211.747 124729.06 6448201.3 124725.003 6448197.239 124724.029 6448170.14 124718.396 6448162.957 124717.324 6448159.469 124716.804 6448152.475 124716.404 6448151.403 124716.177 6448152.169 124712.857 6448167 124692.11 6448168.105 124690.564 6448203.302 124696.824 6448212.375 124698.296 6448214.85 124698.697 6448218.12 124699.228 6448230.539 124701.242 6448233.504 124701.723 6448224.231 124745.721 6448221.682 124743.268</gml:posList>
            </gml:LinearRing>
          </gml:exterior>
        </gml:Polygon>
      </lmg:Yta>
      <planbestammelsereferens>50563b1d-7c3f-420b-9e59-efa688289e96</planbestammelsereferens>
    </Lage>
    <Lage>
      <lmg:Yta>
        <lmg:absolutLagesosakerhetPlan>0</lmg:absolutLagesosakerhetPlan>
        <lmg:absolutLagesosakerhetHojd>0</lmg:absolutLagesosakerhetHojd>
        <lmg:hojdsystem>RH 2000</lmg:hojdsystem>
        <gml:Polygon gml:id="ID_cb52e3cd-2c3b-426b-be23-0fe3ec272c51" srsName="EPSG:3009" srsDimension="2">
          <gml:exterior>
            <gml:LinearRing gml:id="ID_d2971692-6cb6-4f14-9df0-2a81b83904c8">
              <gml:posList>6448222.266 124679.263 6448220.575 124687.406 6448218.12 124699.228 6448214.85 124698.697 6448212.375 124698.296 6448203.302 124696.824 6448168.105 124690.564 6448176.655 124675.932 6448179.81 124670.532 6448180.676 124667.538 6448181.783 124666.223 6448191.763 124668.552 6448195.306 124669.379 6448203.98 124670.795 6448210.022 124671.781 6448223.368 124673.959 6448222.266 124679.263</gml:posList>
            </gml:LinearRing>
          </gml:exterior>
        </gml:Polygon>
      </lmg:Yta>
      <planbestammelsereferens>9595b6c6-bc6e-478d-a841-729b6d21fcff</planbestammelsereferens>
    </Lage>
    <Lage>
      <lmg:Yta>
        <lmg:absolutLagesosakerhetPlan>0</lmg:absolutLagesosakerhetPlan>
        <lmg:absolutLagesosakerhetHojd>0</lmg:absolutLagesosakerhetHojd>
        <lmg:hojdsystem>RH 2000</lmg:hojdsystem>
        <gml:Polygon gml:id="ID_5fa24bcf-85ce-4751-b0a9-ad805380e5ef" srsName="EPSG:3009" srsDimension="2">
          <gml:exterior>
            <gml:LinearRing gml:id="ID_da599410-6f58-4909-9025-d78a2142dc75">
              <gml:posList>6448169.958 124778.379 6448146.476 124774.198 6448128.495 124770.997 6448129.074 124766.118 6448129.411 124763.269 6448129.888 124759.25 6448131.915 124742.157 6448132.242 124739.399 6448132.566 124736.672 6448137.293 124733.325 6448141.918 124730.051 6448149.249 124730.817 6448151.134 124731.014 6448155.736 124731.495 6448178.266 124733.849 6448169.958 124778.379</gml:posList>
            </gml:LinearRing>
          </gml:exterior>
        </gml:Polygon>
      </lmg:Yta>
      <planbestammelsereferens>385eac72-ca4c-4e33-b96a-35e9a57e30ca</planbestammelsereferens>
    </Lage>
    <Lage>
      <lmg:Yta>
        <lmg:absolutLagesosakerhetPlan>0</lmg:absolutLagesosakerhetPlan>
        <lmg:absolutLagesosakerhetHojd>0</lmg:absolutLagesosakerhetHojd>
        <lmg:hojdsystem>RH 2000</lmg:hojdsystem>
        <gml:Polygon gml:id="ID_d1688dc4-f408-4141-97be-199dc3b76002" srsName="EPSG:3009" srsDimension="2">
          <gml:exterior>
            <gml:LinearRing gml:id="ID_f85e569c-90bf-4daf-85a8-90f8b5d8e0be">
              <gml:posList>6448023.437 124740.222 6448020.455 124739.749 6448020.826 124731.857 6448022.805 124689.748 6448022.857 124688.647 6448022.947 124686.743 6448074.012 124692.937 6448073.146 124695.854 6448071.672 124700.823 6448069.089 124710.031 6448067.529 124715.59 6448060.944 124746.178 6448058.325 124745.762 6448023.437 124740.222</gml:posList>
            </gml:LinearRing>
          </gml:exterior>
        </gml:Polygon>
      </lmg:Yta>
      <planbestammelsereferens>50df8dad-e441-4b9a-80bb-fac408637e6a</planbestammelsereferens>
    </Lage>
    <Lage>
      <lmg:Yta>
        <lmg:absolutLagesosakerhetPlan>0</lmg:absolutLagesosakerhetPlan>
        <lmg:absolutLagesosakerhetHojd>0</lmg:absolutLagesosakerhetHojd>
        <lmg:hojdsystem>RH 2000</lmg:hojdsystem>
        <gml:Polygon gml:id="ID_caaca32e-df32-4f87-bdd2-48ed9bacdfbb" srsName="EPSG:3009" srsDimension="2">
          <gml:exterior>
            <gml:LinearRing gml:id="ID_f33507fc-0946-405f-8f8a-4ccb13cda573">
              <gml:posList>6448101.544 124615.189 6448105.798 124615.027 6448106.363 124615.005 6448107.977 124614.943 6448111.718 124614.8 6448113.619 124614.728 6448116.818 124614.605 6448121.89 124614.412 6448122.903 124614.373 6448125.277 124614.282 6448125.28 124616.283 6448125.302 124628.497 6448125.323 124640.62 6448125.334 124646.622 6448095.115 124646.323 6448086.312 124646.236 6448085.94 124640.253 6448085.544 124633.9 6448084.543 124617.841 6448084.419 124615.844 6448086.418 124615.768 6448098.178 124615.318 6448101.544 124615.189</gml:posList>
            </gml:LinearRing>
          </gml:exterior>
        </gml:Polygon>
      </lmg:Yta>
      <planbestammelsereferens>d0bdca71-3ba3-4c55-9e8d-0b7ea0e420f1</planbestammelsereferens>
    </Lage>
    <Lage>
      <lmg:Yta>
        <lmg:absolutLagesosakerhetPlan>0</lmg:absolutLagesosakerhetPlan>
        <lmg:absolutLagesosakerhetHojd>0</lmg:absolutLagesosakerhetHojd>
        <lmg:hojdsystem>RH 2000</lmg:hojdsystem>
        <gml:Polygon gml:id="ID_95243d40-b6b5-4c99-8fa9-9799ada1efce" srsName="EPSG:3009" srsDimension="2">
          <gml:exterior>
            <gml:LinearRing gml:id="ID_831dca2a-5586-4d49-98ea-c855d25ca5cb">
              <gml:posList>6448095.276 124664.906 6448095.4 124679.263 6448075.058 124678.604 6448061.744 124677.781 6448045.746 124675.322 6448027.47 124671.618 6448008.113 124667.217 6447994.66 124665.055 6447958.907 124659.536 6447959.054 124647.125 6447959.155 124638.619 6447959.2 124634.767 6447997.241 124636.117 6448017.125 124638.587 6448030.424 124640.239 6448063.778 124642.679 6448079.952 124645.232 6448086.312 124646.236 6448095.115 124646.323 6448095.167 124652.324 6448095.242 124660.944 6448095.247 124661.606 6448095.276 124664.906</gml:posList>
            </gml:LinearRing>
          </gml:exterior>
        </gml:Polygon>
      </lmg:Yta>
      <planbestammelsereferens>1bf09794-89f9-4d22-83b4-79ae089ef09a</planbestammelsereferens>
    </Lage>
    <Lage>
      <lmg:Yta>
        <lmg:absolutLagesosakerhetPlan>0</lmg:absolutLagesosakerhetPlan>
        <lmg:absolutLagesosakerhetHojd>0</lmg:absolutLagesosakerhetHojd>
        <lmg:hojdsystem>RH 2000</lmg:hojdsystem>
        <gml:Polygon gml:id="ID_bf4c8125-e24d-4936-b483-315c25a39daf" srsName="EPSG:3009" srsDimension="2">
          <gml:exterior>
            <gml:LinearRing gml:id="ID_5f2189cf-a482-4c52-9eac-ef29759db5bf">
              <gml:posList>6448242.854 124666.26 6448202.152 124657.456 6448202.384 124642.198 6448207.806 124638.395 6448219.794 124638.978 6448223.715 124639.779 6448223.962 124631.254 6448215.667 124630.923 6448206.21 124630.726 6448206.104 124627.923 6448189.727 124628.191 6448184.693 124628.273 6448180.448 124628.343 6448179.954 124605.443 6448179.847 124600.444 6448191.821 124600.193 6448192.455 124600.18 6448217.762 124599.649 6448256.474 124599.855 6448259.533 124599.872 6448257.047 124611.994 6448256.037 124616.918 6448256.004 124617.08 6448253.84 124627.632 6448252.849 124632.463 6448245.786 124666.894 6448242.854 124666.26</gml:posList>
            </gml:LinearRing>
          </gml:exterior>
        </gml:Polygon>
      </lmg:Yta>
      <planbestammelsereferens>567555ee-ac33-468e-b94a-778c3e732970</planbestammelsereferens>
    </Lage>
    <Lage>
      <lmg:Yta>
        <lmg:absolutLagesosakerhetPlan>0</lmg:absolutLagesosakerhetPlan>
        <lmg:absolutLagesosakerhetHojd>0</lmg:absolutLagesosakerhetHojd>
        <lmg:hojdsystem>RH 2000</lmg:hojdsystem>
        <gml:Polygon gml:id="ID_4da12eed-a728-4f22-aed6-10c15ca5dbca" srsName="EPSG:3009" srsDimension="2">
          <gml:exterior>
            <gml:LinearRing gml:id="ID_d4b6b423-a16a-4fa2-9674-383fce523f52">
              <gml:posList>6448091.63 124759.077 6448098.002 124759.81 6448106.208 124760.753 6448109.753 124763.028 6448111.747 124764.308 6448111.061 124768.354 6448107.44 124789.732 6448095.747 124787.299 6448069.951 124781.934 6448069.944 124756.982 6448078.201 124757.531 6448083.274 124758.115 6448091.63 124759.077</gml:posList>
            </gml:LinearRing>
          </gml:exterior>
        </gml:Polygon>
      </lmg:Yta>
      <planbestammelsereferens>4c6e8de3-ed6b-4956-8ace-29d55f7cec69</planbestammelsereferens>
    </Lage>
    <Indelning>
      <tema>Motiv till detaljplanens regleringar</tema>
      <grupp>Motiv till reglering</grupp>
    </Indelning>
  </Omfattning>
  <Omfattning>
    <identitet>mo_motivtillreglering25</identitet>
    <Lage>
      <lmg:Yta>
        <lmg:absolutLagesosakerhetPlan>0</lmg:absolutLagesosakerhetPlan>
        <lmg:absolutLagesosakerhetHojd>0</lmg:absolutLagesosakerhetHojd>
        <lmg:hojdsystem>RH 2000</lmg:hojdsystem>
        <gml:Polygon gml:id="ID_a631f477-ddae-43d9-b21b-f52beb0a96c4" srsName="EPSG:3009" srsDimension="2">
          <gml:exterior>
            <gml:LinearRing gml:id="ID_9b05163c-fe1b-45b9-90ef-d85836a34d87">
              <gml:posList>6448072.921 124647.556 6448073.07 124650.22 6448073.072 124650.255 6448068.797 124650.57 6448063.297 124650.976 6448053.271 124651.715 6448029.177 124653.492 6448018.266 124654.297 6448017.57 124644.715 6448017.367 124641.916 6448017.224 124639.955 6448017.125 124638.587 6448030.424 124640.239 6448063.778 124642.679 6448079.952 124645.232 6448072.82 124645.742 6448072.895 124647.087 6448072.921 124647.556</gml:posList>
            </gml:LinearRing>
          </gml:exterior>
        </gml:Polygon>
      </lmg:Yta>
      <planbestammelsereferens>e70ba3a8-9e93-45dc-ae81-36bbc114c98a</planbestammelsereferens>
    </Lage>
    <Indelning>
      <tema>Motiv till detaljplanens regleringar</tema>
      <grupp>Motiv till reglering</grupp>
    </Indelning>
  </Omfattning>
  <Omfattning>
    <identitet>mo_motivtillreglering26</identitet>
    <Lage>
      <lmg:Yta>
        <lmg:absolutLagesosakerhetPlan>0</lmg:absolutLagesosakerhetPlan>
        <lmg:absolutLagesosakerhetHojd>0</lmg:absolutLagesosakerhetHojd>
        <lmg:hojdsystem>RH 2000</lmg:hojdsystem>
        <gml:Polygon gml:id="ID_c285d4b0-c9d5-42c3-9844-fba519e384b0" srsName="EPSG:3009" srsDimension="2">
          <gml:exterior>
            <gml:LinearRing gml:id="ID_901007d0-c2bc-4f81-9a1e-cf8ce7c356d9">
              <gml:posList>6448101.544 124615.189 6448105.798 124615.027 6448106.363 124615.005 6448107.977 124614.943 6448111.718 124614.8 6448113.619 124614.728 6448116.818 124614.605 6448121.89 124614.412 6448122.903 124614.373 6448125.277 124614.282 6448125.28 124616.283 6448125.302 124628.497 6448125.323 124640.62 6448125.334 124646.622 6448095.115 124646.323 6448086.312 124646.236 6448085.94 124640.253 6448085.544 124633.9 6448084.543 124617.841 6448084.419 124615.844 6448086.418 124615.768 6448098.178 124615.318 6448101.544 124615.189</gml:posList>
            </gml:LinearRing>
          </gml:exterior>
        </gml:Polygon>
      </lmg:Yta>
      <planbestammelsereferens>94dbf014-dfd5-4a83-9d9f-1e232a317b40</planbestammelsereferens>
    </Lage>
    <Lage>
      <lmg:Yta>
        <lmg:absolutLagesosakerhetPlan>0</lmg:absolutLagesosakerhetPlan>
        <lmg:absolutLagesosakerhetHojd>0</lmg:absolutLagesosakerhetHojd>
        <lmg:hojdsystem>RH 2000</lmg:hojdsystem>
        <gml:Polygon gml:id="ID_24430596-9d17-4f7a-ba4e-76d989095986" srsName="EPSG:3009" srsDimension="2">
          <gml:exterior>
            <gml:LinearRing gml:id="ID_7df0335c-0c52-471c-beef-73862480c817">
              <gml:posList>6448095.276 124664.906 6448095.4 124679.263 6448075.058 124678.604 6448061.744 124677.781 6448045.746 124675.322 6448027.47 124671.618 6448008.113 124667.217 6447994.66 124665.055 6447958.907 124659.536 6447959.054 124647.125 6447959.155 124638.619 6447959.2 124634.767 6447997.241 124636.117 6448017.125 124638.587 6448030.424 124640.239 6448063.778 124642.679 6448079.952 124645.232 6448086.312 124646.236 6448095.115 124646.323 6448095.167 124652.324 6448095.242 124660.944 6448095.247 124661.606 6448095.276 124664.906</gml:posList>
            </gml:LinearRing>
          </gml:exterior>
        </gml:Polygon>
      </lmg:Yta>
      <planbestammelsereferens>4f336a88-080f-49ec-854f-993582fcfa2a</planbestammelsereferens>
    </Lage>
    <Indelning>
      <tema>Motiv till detaljplanens regleringar</tema>
      <grupp>Motiv till reglering</grupp>
    </Indelning>
  </Omfattning>
  <Omfattning>
    <identitet>mo_motivtillreglering27</identitet>
    <Lage>
      <lmg:Yta>
        <lmg:absolutLagesosakerhetPlan>0</lmg:absolutLagesosakerhetPlan>
        <lmg:absolutLagesosakerhetHojd>0</lmg:absolutLagesosakerhetHojd>
        <lmg:hojdsystem>RH 2000</lmg:hojdsystem>
        <gml:Polygon gml:id="ID_239bb3a8-94f8-4895-9e78-2b3d6e35ade8" srsName="EPSG:3009" srsDimension="2">
          <gml:exterior>
            <gml:LinearRing gml:id="ID_b212e1ba-1263-4264-8087-932ff5b7f0da">
              <gml:posList>6448101.544 124615.189 6448105.798 124615.027 6448106.363 124615.005 6448107.977 124614.943 6448111.718 124614.8 6448113.619 124614.728 6448116.818 124614.605 6448121.89 124614.412 6448122.903 124614.373 6448125.277 124614.282 6448125.28 124616.283 6448125.302 124628.497 6448125.323 124640.62 6448125.334 124646.622 6448095.115 124646.323 6448086.312 124646.236 6448085.94 124640.253 6448085.544 124633.9 6448084.543 124617.841 6448084.419 124615.844 6448086.418 124615.768 6448098.178 124615.318 6448101.544 124615.189</gml:posList>
            </gml:LinearRing>
          </gml:exterior>
        </gml:Polygon>
      </lmg:Yta>
      <planbestammelsereferens>1ef569b3-eb8f-40af-b2bf-cdb647400ece</planbestammelsereferens>
    </Lage>
    <Lage>
      <lmg:Yta>
        <lmg:absolutLagesosakerhetPlan>0</lmg:absolutLagesosakerhetPlan>
        <lmg:absolutLagesosakerhetHojd>0</lmg:absolutLagesosakerhetHojd>
        <lmg:hojdsystem>RH 2000</lmg:hojdsystem>
        <gml:Polygon gml:id="ID_dfe8311b-c10a-4994-ab7f-4c9b80feab02" srsName="EPSG:3009" srsDimension="2">
          <gml:exterior>
            <gml:LinearRing gml:id="ID_ae21ba50-0f16-4122-9d90-6067a1ebbeb5">
              <gml:posList>6448095.276 124664.906 6448095.4 124679.263 6448075.058 124678.604 6448061.744 124677.781 6448045.746 124675.322 6448027.47 124671.618 6448008.113 124667.217 6447994.66 124665.055 6447958.907 124659.536 6447959.054 124647.125 6447959.155 124638.619 6447959.2 124634.767 6447997.241 124636.117 6448017.125 124638.587 6448030.424 124640.239 6448063.778 124642.679 6448079.952 124645.232 6448086.312 124646.236 6448095.115 124646.323 6448095.167 124652.324 6448095.242 124660.944 6448095.247 124661.606 6448095.276 124664.906</gml:posList>
            </gml:LinearRing>
          </gml:exterior>
        </gml:Polygon>
      </lmg:Yta>
      <planbestammelsereferens>8fc713c3-2b76-4bc1-8538-6c4b0f1325ed</planbestammelsereferens>
    </Lage>
    <Indelning>
      <tema>Motiv till detaljplanens regleringar</tema>
      <grupp>Motiv till reglering</grupp>
    </Indelning>
  </Omfattning>
  <Omfattning>
    <identitet>mo_motivtillreglering28</identitet>
    <Lage>
      <lmg:Yta>
        <lmg:absolutLagesosakerhetPlan>0</lmg:absolutLagesosakerhetPlan>
        <lmg:absolutLagesosakerhetHojd>0</lmg:absolutLagesosakerhetHojd>
        <lmg:hojdsystem>RH 2000</lmg:hojdsystem>
        <gml:Polygon gml:id="ID_5a0871e8-b6ce-4262-aef8-742bcdbc806a" srsName="EPSG:3009" srsDimension="2">
          <gml:exterior>
            <gml:LinearRing gml:id="ID_5ee993d4-9492-4b08-a08d-80d6a77d29e0">
              <gml:posList>6448151.057 124646.849 6448148.528 124646.827 6448147.164 124646.815 6448146.952 124646.814 6448128.893 124646.658 6448128.355 124646.652 6448125.334 124646.622 6448125.323 124640.62 6448125.302 124628.497 6448125.28 124616.283 6448125.277 124614.282 6448128.016 124614.132 6448128.355 124614.114 6448128.599 124614.1 6448136.291 124613.679 6448136.84 124613.649 6448139.963 124613.478 6448142.579 124613.335 6448151.765 124612.832 6448153.302 124612.748 6448154.507 124612.682 6448157.004 124612.545 6448164.928 124612.111 6448164.893 124614.116 6448164.684 124626.173 6448164.79 124640.987 6448164.82 124645.24 6448164.832 124646.968 6448151.057 124646.849</gml:posList>
            </gml:LinearRing>
          </gml:exterior>
        </gml:Polygon>
      </lmg:Yta>
      <planbestammelsereferens>09549b36-ca7e-45de-9a74-0c07211d4be8</planbestammelsereferens>
    </Lage>
    <Lage>
      <lmg:Yta>
        <lmg:absolutLagesosakerhetPlan>0</lmg:absolutLagesosakerhetPlan>
        <lmg:absolutLagesosakerhetHojd>0</lmg:absolutLagesosakerhetHojd>
        <lmg:hojdsystem>RH 2000</lmg:hojdsystem>
        <gml:Polygon gml:id="ID_958c18ba-a1b6-4ac3-9b96-82eb041fa058" srsName="EPSG:3009" srsDimension="2">
          <gml:exterior>
            <gml:LinearRing gml:id="ID_16e4ec24-8c49-4e4a-b8d7-072163fefbdf">
              <gml:posList>6448095.167 124652.324 6448095.115 124646.323 6448125.334 124646.622 6448128.355 124646.652 6448128.893 124646.658 6448146.952 124646.814 6448147.164 124646.815 6448148.528 124646.827 6448151.057 124646.849 6448164.832 124646.968 6448164.833 124647.039 6448165.127 124652.97 6448165.368 124657.84 6448165.731 124665.16 6448160.021 124673.651 6448152.485 124678.595 6448146.054 124678.776 6448128.72 124679.264 6448095.4 124679.263 6448095.276 124664.906 6448095.247 124661.606 6448095.242 124660.944 6448095.167 124652.324</gml:posList>
            </gml:LinearRing>
          </gml:exterior>
        </gml:Polygon>
      </lmg:Yta>
      <planbestammelsereferens>81a20b44-8930-4ffd-901d-794c474c4b38</planbestammelsereferens>
    </Lage>
    <Lage>
      <lmg:Yta>
        <lmg:absolutLagesosakerhetPlan>0</lmg:absolutLagesosakerhetPlan>
        <lmg:absolutLagesosakerhetHojd>0</lmg:absolutLagesosakerhetHojd>
        <lmg:hojdsystem>RH 2000</lmg:hojdsystem>
        <gml:Polygon gml:id="ID_76a7a593-cb5a-4b53-9bb6-30cd09a23dd7" srsName="EPSG:3009" srsDimension="2">
          <gml:exterior>
            <gml:LinearRing gml:id="ID_8ff7718a-540a-455c-8d23-c31235eafabc">
              <gml:posList>6448074.76 124747.181 6448060.944 124746.178 6448067.529 124715.59 6448069.089 124710.031 6448071.672 124700.823 6448073.146 124695.854 6448074.012 124692.937 6448114.712 124696.246 6448127.029 124697.247 6448142.054 124698.468 6448139.083 124701.237 6448131.225 124708.558 6448129.708 124711.288 6448121.156 124726.417 6448120.381 124733.349 6448120.293 124734.139 6448119.483 124741.387 6448118.689 124748.491 6448116.729 124752.354 6448111.557 124752.284 6448109.978 124752.065 6448103.675 124751.191 6448074.76 124747.181</gml:posList>
            </gml:LinearRing>
          </gml:exterior>
        </gml:Polygon>
      </lmg:Yta>
      <planbestammelsereferens>16fff90b-e4c7-4bac-acf4-38d4b5fa65cf</planbestammelsereferens>
    </Lage>
    <Lage>
      <lmg:Yta>
        <lmg:absolutLagesosakerhetPlan>0</lmg:absolutLagesosakerhetPlan>
        <lmg:absolutLagesosakerhetHojd>0</lmg:absolutLagesosakerhetHojd>
        <lmg:hojdsystem>RH 2000</lmg:hojdsystem>
        <gml:Polygon gml:id="ID_c48ee426-da21-4f88-8b60-3d263bf1e5f3" srsName="EPSG:3009" srsDimension="2">
          <gml:exterior>
            <gml:LinearRing gml:id="ID_35b8e5a3-66a2-4383-a322-3927f287abc3">
              <gml:posList>6448023.437 124740.222 6448020.455 124739.749 6448020.826 124731.857 6448022.805 124689.748 6448022.857 124688.647 6448022.947 124686.743 6448074.012 124692.937 6448073.146 124695.854 6448071.672 124700.823 6448069.089 124710.031 6448067.529 124715.59 6448060.944 124746.178 6448058.325 124745.762 6448023.437 124740.222</gml:posList>
            </gml:LinearRing>
          </gml:exterior>
        </gml:Polygon>
      </lmg:Yta>
      <planbestammelsereferens>1ea00f8c-878a-48a9-a750-e09c56083af3</planbestammelsereferens>
    </Lage>
    <Lage>
      <lmg:Yta>
        <lmg:absolutLagesosakerhetPlan>0</lmg:absolutLagesosakerhetPlan>
        <lmg:absolutLagesosakerhetHojd>0</lmg:absolutLagesosakerhetHojd>
        <lmg:hojdsystem>RH 2000</lmg:hojdsystem>
        <gml:Polygon gml:id="ID_5670a395-f435-49ff-a585-b8cdaac2d2ed" srsName="EPSG:3009" srsDimension="2">
          <gml:exterior>
            <gml:LinearRing gml:id="ID_9a1be496-d03e-4b03-823b-a60c9c9fb96f">
              <gml:posList>6448217.277 124746.658 6448219.721 124749.444 6448220.142 124749.912 6448222.577 124752.623 6448215.708 124775.404 6448215.398 124776.433 6448212.231 124786.937 6448209.278 124786.339 6448202.327 124784.932 6448200.664 124784.595 6448190.764 124782.591 6448180.852 124780.585 6448169.958 124778.379 6448178.266 124733.849 6448184.35 124733.987 6448189.632 124734.108 6448199.986 124734.344 6448209.092 124738.047 6448210.072 124738.445 6448211.66 124740.256 6448217.238 124746.614 6448217.277 124746.658</gml:posList>
            </gml:LinearRing>
          </gml:exterior>
        </gml:Polygon>
      </lmg:Yta>
      <planbestammelsereferens>92341e90-26c9-43ea-b72c-75437f4e0d36</planbestammelsereferens>
    </Lage>
    <Lage>
      <lmg:Yta>
        <lmg:absolutLagesosakerhetPlan>0</lmg:absolutLagesosakerhetPlan>
        <lmg:absolutLagesosakerhetHojd>0</lmg:absolutLagesosakerhetHojd>
        <lmg:hojdsystem>RH 2000</lmg:hojdsystem>
        <gml:Polygon gml:id="ID_613e727f-344f-4d6a-b033-0ea0be623729" srsName="EPSG:3009" srsDimension="2">
          <gml:exterior>
            <gml:LinearRing gml:id="ID_c0eb4ac2-72b2-4a8b-b70f-af90f87ce734">
              <gml:posList>6448221.682 124743.268 6448210.727 124732.728 6448211.747 124729.06 6448201.3 124725.003 6448197.239 124724.029 6448170.14 124718.396 6448162.957 124717.324 6448159.469 124716.804 6448152.475 124716.404 6448151.403 124716.177 6448152.169 124712.857 6448167 124692.11 6448168.105 124690.564 6448203.302 124696.824 6448212.375 124698.296 6448214.85 124698.697 6448218.12 124699.228 6448230.539 124701.242 6448233.504 124701.723 6448224.231 124745.721 6448221.682 124743.268</gml:posList>
            </gml:LinearRing>
          </gml:exterior>
        </gml:Polygon>
      </lmg:Yta>
      <planbestammelsereferens>f596ff10-3a2e-4a62-ad1c-0b1e0593b913</planbestammelsereferens>
    </Lage>
    <Lage>
      <lmg:Yta>
        <lmg:absolutLagesosakerhetPlan>0</lmg:absolutLagesosakerhetPlan>
        <lmg:absolutLagesosakerhetHojd>0</lmg:absolutLagesosakerhetHojd>
        <lmg:hojdsystem>RH 2000</lmg:hojdsystem>
        <gml:Polygon gml:id="ID_4238a885-3eb1-47c6-b2be-38977e75dbb6" srsName="EPSG:3009" srsDimension="2">
          <gml:exterior>
            <gml:LinearRing gml:id="ID_cdf5edb3-0930-4b2b-8e8a-a096c3271bcd">
              <gml:posList>6448222.266 124679.263 6448220.575 124687.406 6448218.12 124699.228 6448214.85 124698.697 6448212.375 124698.296 6448203.302 124696.824 6448168.105 124690.564 6448176.655 124675.932 6448179.81 124670.532 6448180.676 124667.538 6448181.783 124666.223 6448191.763 124668.552 6448195.306 124669.379 6448203.98 124670.795 6448210.022 124671.781 6448223.368 124673.959 6448222.266 124679.263</gml:posList>
            </gml:LinearRing>
          </gml:exterior>
        </gml:Polygon>
      </lmg:Yta>
      <planbestammelsereferens>c3273af4-7e51-4f36-a894-dbc5e720e693</planbestammelsereferens>
    </Lage>
    <Lage>
      <lmg:Yta>
        <lmg:absolutLagesosakerhetPlan>0</lmg:absolutLagesosakerhetPlan>
        <lmg:absolutLagesosakerhetHojd>0</lmg:absolutLagesosakerhetHojd>
        <lmg:hojdsystem>RH 2000</lmg:hojdsystem>
        <gml:Polygon gml:id="ID_8fd21c05-e6f2-43dc-af1b-a87451ece4be" srsName="EPSG:3009" srsDimension="2">
          <gml:exterior>
            <gml:LinearRing gml:id="ID_e3d3655a-ec0e-491a-9c53-f7342debb88a">
              <gml:posList>6448101.544 124615.189 6448105.798 124615.027 6448106.363 124615.005 6448107.977 124614.943 6448111.718 124614.8 6448113.619 124614.728 6448116.818 124614.605 6448121.89 124614.412 6448122.903 124614.373 6448125.277 124614.282 6448125.28 124616.283 6448125.302 124628.497 6448125.323 124640.62 6448125.334 124646.622 6448095.115 124646.323 6448086.312 124646.236 6448085.94 124640.253 6448085.544 124633.9 6448084.543 124617.841 6448084.419 124615.844 6448086.418 124615.768 6448098.178 124615.318 6448101.544 124615.189</gml:posList>
            </gml:LinearRing>
          </gml:exterior>
        </gml:Polygon>
      </lmg:Yta>
      <planbestammelsereferens>a7d58561-73e9-4e3f-84fe-5dfef1723c61</planbestammelsereferens>
    </Lage>
    <Lage>
      <lmg:Yta>
        <lmg:absolutLagesosakerhetPlan>0</lmg:absolutLagesosakerhetPlan>
        <lmg:absolutLagesosakerhetHojd>0</lmg:absolutLagesosakerhetHojd>
        <lmg:hojdsystem>RH 2000</lmg:hojdsystem>
        <gml:Polygon gml:id="ID_33614f2e-e5d5-43f7-9a15-be652b871c57" srsName="EPSG:3009" srsDimension="2">
          <gml:exterior>
            <gml:LinearRing gml:id="ID_90235964-3242-4bf5-9c93-6ba69528ab91">
              <gml:posList>6448095.276 124664.906 6448095.4 124679.263 6448075.058 124678.604 6448061.744 124677.781 6448045.746 124675.322 6448027.47 124671.618 6448008.113 124667.217 6447994.66 124665.055 6447958.907 124659.536 6447959.054 124647.125 6447959.155 124638.619 6447959.2 124634.767 6447997.241 124636.117 6448017.125 124638.587 6448030.424 124640.239 6448063.778 124642.679 6448079.952 124645.232 6448086.312 124646.236 6448095.115 124646.323 6448095.167 124652.324 6448095.242 124660.944 6448095.247 124661.606 6448095.276 124664.906</gml:posList>
            </gml:LinearRing>
          </gml:exterior>
        </gml:Polygon>
      </lmg:Yta>
      <planbestammelsereferens>bb99e557-567b-4585-b217-2152b5242f89</planbestammelsereferens>
    </Lage>
    <Lage>
      <lmg:Yta>
        <lmg:absolutLagesosakerhetPlan>0</lmg:absolutLagesosakerhetPlan>
        <lmg:absolutLagesosakerhetHojd>0</lmg:absolutLagesosakerhetHojd>
        <lmg:hojdsystem>RH 2000</lmg:hojdsystem>
        <gml:Polygon gml:id="ID_838dd621-88f7-4448-b53d-e11721cba9d4" srsName="EPSG:3009" srsDimension="2">
          <gml:exterior>
            <gml:LinearRing gml:id="ID_99c70993-1d6c-4e1c-b020-1cef15d688c0">
              <gml:posList>6448091.63 124759.077 6448098.002 124759.81 6448106.208 124760.753 6448109.753 124763.028 6448111.747 124764.308 6448111.061 124768.354 6448107.44 124789.732 6448095.747 124787.299 6448069.951 124781.934 6448069.944 124756.982 6448078.201 124757.531 6448083.274 124758.115 6448091.63 124759.077</gml:posList>
            </gml:LinearRing>
          </gml:exterior>
        </gml:Polygon>
      </lmg:Yta>
      <planbestammelsereferens>376a9a59-803e-4dee-9216-62e5a3124f40</planbestammelsereferens>
    </Lage>
    <Lage>
      <lmg:Yta>
        <lmg:absolutLagesosakerhetPlan>0</lmg:absolutLagesosakerhetPlan>
        <lmg:absolutLagesosakerhetHojd>0</lmg:absolutLagesosakerhetHojd>
        <lmg:hojdsystem>RH 2000</lmg:hojdsystem>
        <gml:Polygon gml:id="ID_e25393b0-4924-4c2d-af44-359263c2eea9" srsName="EPSG:3009" srsDimension="2">
          <gml:exterior>
            <gml:LinearRing gml:id="ID_0714c0b3-7757-4454-8624-5702f47360d3">
              <gml:posList>6448242.854 124666.26 6448202.152 124657.456 6448202.384 124642.198 6448207.806 124638.395 6448219.794 124638.978 6448223.715 124639.779 6448223.962 124631.254 6448215.667 124630.923 6448206.21 124630.726 6448206.104 124627.923 6448189.727 124628.191 6448184.693 124628.273 6448180.448 124628.343 6448179.954 124605.443 6448179.847 124600.444 6448191.821 124600.193 6448192.455 124600.18 6448217.762 124599.649 6448256.474 124599.855 6448259.533 124599.872 6448257.047 124611.994 6448256.037 124616.918 6448256.004 124617.08 6448253.84 124627.632 6448252.849 124632.463 6448245.786 124666.894 6448242.854 124666.26</gml:posList>
            </gml:LinearRing>
          </gml:exterior>
        </gml:Polygon>
      </lmg:Yta>
      <planbestammelsereferens>7600862f-2a49-43df-8732-d50a7e0d4be8</planbestammelsereferens>
    </Lage>
    <Indelning>
      <tema>Motiv till detaljplanens regleringar</tema>
      <grupp>Motiv till reglering</grupp>
    </Indelning>
  </Omfattning>
  <Omfattning>
    <identitet>mo_motivtillreglering29</identitet>
    <Lage>
      <lmg:Yta>
        <lmg:absolutLagesosakerhetPlan>0</lmg:absolutLagesosakerhetPlan>
        <lmg:absolutLagesosakerhetHojd>0</lmg:absolutLagesosakerhetHojd>
        <lmg:hojdsystem>RH 2000</lmg:hojdsystem>
        <gml:Polygon gml:id="ID_1c3e9630-ba10-4f79-8104-1342fd091944" srsName="EPSG:3009" srsDimension="2">
          <gml:exterior>
            <gml:LinearRing gml:id="ID_87eae50a-929b-479f-a0f4-71aaf798215e">
              <gml:posList>6448151.057 124646.849 6448148.528 124646.827 6448147.164 124646.815 6448146.952 124646.814 6448128.893 124646.658 6448128.355 124646.652 6448125.334 124646.622 6448125.323 124640.62 6448125.302 124628.497 6448125.28 124616.283 6448125.277 124614.282 6448128.016 124614.132 6448128.355 124614.114 6448128.599 124614.1 6448136.291 124613.679 6448136.84 124613.649 6448139.963 124613.478 6448142.579 124613.335 6448151.765 124612.832 6448153.302 124612.748 6448154.507 124612.682 6448157.004 124612.545 6448164.928 124612.111 6448164.893 124614.116 6448164.684 124626.173 6448164.79 124640.987 6448164.82 124645.24 6448164.832 124646.968 6448151.057 124646.849</gml:posList>
            </gml:LinearRing>
          </gml:exterior>
        </gml:Polygon>
      </lmg:Yta>
      <planbestammelsereferens>cc6b7c32-b885-4de1-9247-58e235ba4e56</planbestammelsereferens>
    </Lage>
    <Lage>
      <lmg:Yta>
        <lmg:absolutLagesosakerhetPlan>0</lmg:absolutLagesosakerhetPlan>
        <lmg:absolutLagesosakerhetHojd>0</lmg:absolutLagesosakerhetHojd>
        <lmg:hojdsystem>RH 2000</lmg:hojdsystem>
        <gml:Polygon gml:id="ID_52d01432-6953-41c4-9d54-256ee1c8a184" srsName="EPSG:3009" srsDimension="2">
          <gml:exterior>
            <gml:LinearRing gml:id="ID_97b8fd40-f774-45bb-8290-68c74df84394">
              <gml:posList>6448095.167 124652.324 6448095.115 124646.323 6448125.334 124646.622 6448128.355 124646.652 6448128.893 124646.658 6448146.952 124646.814 6448147.164 124646.815 6448148.528 124646.827 6448151.057 124646.849 6448164.832 124646.968 6448164.833 124647.039 6448165.127 124652.97 6448165.368 124657.84 6448165.731 124665.16 6448160.021 124673.651 6448152.485 124678.595 6448146.054 124678.776 6448128.72 124679.264 6448095.4 124679.263 6448095.276 124664.906 6448095.247 124661.606 6448095.242 124660.944 6448095.167 124652.324</gml:posList>
            </gml:LinearRing>
          </gml:exterior>
        </gml:Polygon>
      </lmg:Yta>
      <planbestammelsereferens>053a0cd4-8d1f-4b9f-b8c0-aed7ef54e938</planbestammelsereferens>
    </Lage>
    <Lage>
      <lmg:Yta>
        <lmg:absolutLagesosakerhetPlan>0</lmg:absolutLagesosakerhetPlan>
        <lmg:absolutLagesosakerhetHojd>0</lmg:absolutLagesosakerhetHojd>
        <lmg:hojdsystem>RH 2000</lmg:hojdsystem>
        <gml:Polygon gml:id="ID_cc38b6dc-e355-4300-b353-1451d950809f" srsName="EPSG:3009" srsDimension="2">
          <gml:exterior>
            <gml:LinearRing gml:id="ID_a7001166-f298-4996-b04d-08a237ca5e0a">
              <gml:posList>6448074.76 124747.181 6448060.944 124746.178 6448067.529 124715.59 6448069.089 124710.031 6448071.672 124700.823 6448073.146 124695.854 6448074.012 124692.937 6448114.712 124696.246 6448127.029 124697.247 6448142.054 124698.468 6448139.083 124701.237 6448131.225 124708.558 6448129.708 124711.288 6448121.156 124726.417 6448120.381 124733.349 6448120.293 124734.139 6448119.483 124741.387 6448118.689 124748.491 6448116.729 124752.354 6448111.557 124752.284 6448109.978 124752.065 6448103.675 124751.191 6448074.76 124747.181</gml:posList>
            </gml:LinearRing>
          </gml:exterior>
        </gml:Polygon>
      </lmg:Yta>
      <planbestammelsereferens>e7655fe7-8543-4b2c-90e5-9b6d45efb2f1</planbestammelsereferens>
    </Lage>
    <Lage>
      <lmg:Yta>
        <lmg:absolutLagesosakerhetPlan>0</lmg:absolutLagesosakerhetPlan>
        <lmg:absolutLagesosakerhetHojd>0</lmg:absolutLagesosakerhetHojd>
        <lmg:hojdsystem>RH 2000</lmg:hojdsystem>
        <gml:Polygon gml:id="ID_9034c364-b782-41d1-ba9e-37ef055c6920" srsName="EPSG:3009" srsDimension="2">
          <gml:exterior>
            <gml:LinearRing gml:id="ID_75d6ba7c-6f4e-4035-96b1-3279b0058a20">
              <gml:posList>6448023.437 124740.222 6448020.455 124739.749 6448020.826 124731.857 6448022.805 124689.748 6448022.857 124688.647 6448022.947 124686.743 6448074.012 124692.937 6448073.146 124695.854 6448071.672 124700.823 6448069.089 124710.031 6448067.529 124715.59 6448060.944 124746.178 6448058.325 124745.762 6448023.437 124740.222</gml:posList>
            </gml:LinearRing>
          </gml:exterior>
        </gml:Polygon>
      </lmg:Yta>
      <planbestammelsereferens>c71efbb1-9af6-4a46-a7d7-90efabc219d7</planbestammelsereferens>
    </Lage>
    <Lage>
      <lmg:Yta>
        <lmg:absolutLagesosakerhetPlan>0</lmg:absolutLagesosakerhetPlan>
        <lmg:absolutLagesosakerhetHojd>0</lmg:absolutLagesosakerhetHojd>
        <lmg:hojdsystem>RH 2000</lmg:hojdsystem>
        <gml:Polygon gml:id="ID_9cd78a6f-0908-49ed-b66d-767404b4fccc" srsName="EPSG:3009" srsDimension="2">
          <gml:exterior>
            <gml:LinearRing gml:id="ID_11d6a8b0-f52f-42cd-9967-7273c5028365">
              <gml:posList>6448217.277 124746.658 6448219.721 124749.444 6448220.142 124749.912 6448222.577 124752.623 6448215.708 124775.404 6448215.398 124776.433 6448212.231 124786.937 6448209.278 124786.339 6448202.327 124784.932 6448200.664 124784.595 6448190.764 124782.591 6448180.852 124780.585 6448169.958 124778.379 6448178.266 124733.849 6448184.35 124733.987 6448189.632 124734.108 6448199.986 124734.344 6448209.092 124738.047 6448210.072 124738.445 6448211.66 124740.256 6448217.238 124746.614 6448217.277 124746.658</gml:posList>
            </gml:LinearRing>
          </gml:exterior>
        </gml:Polygon>
      </lmg:Yta>
      <planbestammelsereferens>57f9954d-dd76-4ab5-9906-421097ed1f8b</planbestammelsereferens>
    </Lage>
    <Lage>
      <lmg:Yta>
        <lmg:absolutLagesosakerhetPlan>0</lmg:absolutLagesosakerhetPlan>
        <lmg:absolutLagesosakerhetHojd>0</lmg:absolutLagesosakerhetHojd>
        <lmg:hojdsystem>RH 2000</lmg:hojdsystem>
        <gml:Polygon gml:id="ID_c077dd1e-1fbd-4525-aa78-5f8cfb775866" srsName="EPSG:3009" srsDimension="2">
          <gml:exterior>
            <gml:LinearRing gml:id="ID_e5d5561d-ceee-4f82-993e-cb2a0e53059a">
              <gml:posList>6448221.682 124743.268 6448210.727 124732.728 6448211.747 124729.06 6448201.3 124725.003 6448197.239 124724.029 6448170.14 124718.396 6448162.957 124717.324 6448159.469 124716.804 6448152.475 124716.404 6448151.403 124716.177 6448152.169 124712.857 6448167 124692.11 6448168.105 124690.564 6448203.302 124696.824 6448212.375 124698.296 6448214.85 124698.697 6448218.12 124699.228 6448230.539 124701.242 6448233.504 124701.723 6448224.231 124745.721 6448221.682 124743.268</gml:posList>
            </gml:LinearRing>
          </gml:exterior>
        </gml:Polygon>
      </lmg:Yta>
      <planbestammelsereferens>0f26c56d-c927-4e07-a5da-8da2339cebd3</planbestammelsereferens>
    </Lage>
    <Lage>
      <lmg:Yta>
        <lmg:absolutLagesosakerhetPlan>0</lmg:absolutLagesosakerhetPlan>
        <lmg:absolutLagesosakerhetHojd>0</lmg:absolutLagesosakerhetHojd>
        <lmg:hojdsystem>RH 2000</lmg:hojdsystem>
        <gml:Polygon gml:id="ID_18c88b1c-ad5e-4a25-ab29-fbdb33ddddfc" srsName="EPSG:3009" srsDimension="2">
          <gml:exterior>
            <gml:LinearRing gml:id="ID_575b23a2-e183-4ffa-93a3-0218e8d79bd8">
              <gml:posList>6448222.266 124679.263 6448220.575 124687.406 6448218.12 124699.228 6448214.85 124698.697 6448212.375 124698.296 6448203.302 124696.824 6448168.105 124690.564 6448176.655 124675.932 6448179.81 124670.532 6448180.676 124667.538 6448181.783 124666.223 6448191.763 124668.552 6448195.306 124669.379 6448203.98 124670.795 6448210.022 124671.781 6448223.368 124673.959 6448222.266 124679.263</gml:posList>
            </gml:LinearRing>
          </gml:exterior>
        </gml:Polygon>
      </lmg:Yta>
      <planbestammelsereferens>3653d6f7-35b1-4bcd-8036-ea32549f3b40</planbestammelsereferens>
    </Lage>
    <Lage>
      <lmg:Yta>
        <lmg:absolutLagesosakerhetPlan>0</lmg:absolutLagesosakerhetPlan>
        <lmg:absolutLagesosakerhetHojd>0</lmg:absolutLagesosakerhetHojd>
        <lmg:hojdsystem>RH 2000</lmg:hojdsystem>
        <gml:Polygon gml:id="ID_deaf9dc0-0c85-43ba-a5ec-95a170837938" srsName="EPSG:3009" srsDimension="2">
          <gml:exterior>
            <gml:LinearRing gml:id="ID_f361bb75-4513-4f6f-ba7e-9d45dc6f6384">
              <gml:posList>6448101.544 124615.189 6448105.798 124615.027 6448106.363 124615.005 6448107.977 124614.943 6448111.718 124614.8 6448113.619 124614.728 6448116.818 124614.605 6448121.89 124614.412 6448122.903 124614.373 6448125.277 124614.282 6448125.28 124616.283 6448125.302 124628.497 6448125.323 124640.62 6448125.334 124646.622 6448095.115 124646.323 6448086.312 124646.236 6448085.94 124640.253 6448085.544 124633.9 6448084.543 124617.841 6448084.419 124615.844 6448086.418 124615.768 6448098.178 124615.318 6448101.544 124615.189</gml:posList>
            </gml:LinearRing>
          </gml:exterior>
        </gml:Polygon>
      </lmg:Yta>
      <planbestammelsereferens>ae0e9bd5-7c5c-4834-acb3-b31595ae80e9</planbestammelsereferens>
    </Lage>
    <Lage>
      <lmg:Yta>
        <lmg:absolutLagesosakerhetPlan>0</lmg:absolutLagesosakerhetPlan>
        <lmg:absolutLagesosakerhetHojd>0</lmg:absolutLagesosakerhetHojd>
        <lmg:hojdsystem>RH 2000</lmg:hojdsystem>
        <gml:Polygon gml:id="ID_fe96d75d-b05f-4602-a8c6-d12654733d70" srsName="EPSG:3009" srsDimension="2">
          <gml:exterior>
            <gml:LinearRing gml:id="ID_8540b173-1127-4bce-a800-6d06df4f8c92">
              <gml:posList>6448095.276 124664.906 6448095.4 124679.263 6448075.058 124678.604 6448061.744 124677.781 6448045.746 124675.322 6448027.47 124671.618 6448008.113 124667.217 6447994.66 124665.055 6447958.907 124659.536 6447959.054 124647.125 6447959.155 124638.619 6447959.2 124634.767 6447997.241 124636.117 6448017.125 124638.587 6448030.424 124640.239 6448063.778 124642.679 6448079.952 124645.232 6448086.312 124646.236 6448095.115 124646.323 6448095.167 124652.324 6448095.242 124660.944 6448095.247 124661.606 6448095.276 124664.906</gml:posList>
            </gml:LinearRing>
          </gml:exterior>
        </gml:Polygon>
      </lmg:Yta>
      <planbestammelsereferens>6f4395e9-5dd7-4daa-b9df-98134b909e49</planbestammelsereferens>
    </Lage>
    <Lage>
      <lmg:Yta>
        <lmg:absolutLagesosakerhetPlan>0</lmg:absolutLagesosakerhetPlan>
        <lmg:absolutLagesosakerhetHojd>0</lmg:absolutLagesosakerhetHojd>
        <lmg:hojdsystem>RH 2000</lmg:hojdsystem>
        <gml:Polygon gml:id="ID_1834af94-29b5-4670-8370-1f71cde6b95b" srsName="EPSG:3009" srsDimension="2">
          <gml:exterior>
            <gml:LinearRing gml:id="ID_db750a04-c446-4ca1-aa30-ab5cd632f65e">
              <gml:posList>6448091.63 124759.077 6448098.002 124759.81 6448106.208 124760.753 6448109.753 124763.028 6448111.747 124764.308 6448111.061 124768.354 6448107.44 124789.732 6448095.747 124787.299 6448069.951 124781.934 6448069.944 124756.982 6448078.201 124757.531 6448083.274 124758.115 6448091.63 124759.077</gml:posList>
            </gml:LinearRing>
          </gml:exterior>
        </gml:Polygon>
      </lmg:Yta>
      <planbestammelsereferens>5283c84e-7f7b-415b-b01d-a592d92fd8c3</planbestammelsereferens>
    </Lage>
    <Lage>
      <lmg:Yta>
        <lmg:absolutLagesosakerhetPlan>0</lmg:absolutLagesosakerhetPlan>
        <lmg:absolutLagesosakerhetHojd>0</lmg:absolutLagesosakerhetHojd>
        <lmg:hojdsystem>RH 2000</lmg:hojdsystem>
        <gml:Polygon gml:id="ID_e7830a40-245e-4faf-913a-aa1386b20a53" srsName="EPSG:3009" srsDimension="2">
          <gml:exterior>
            <gml:LinearRing gml:id="ID_3cc896d3-3697-4ccc-b396-6f259a7016f8">
              <gml:posList>6448242.854 124666.26 6448202.152 124657.456 6448202.384 124642.198 6448207.806 124638.395 6448219.794 124638.978 6448223.715 124639.779 6448223.962 124631.254 6448215.667 124630.923 6448206.21 124630.726 6448206.104 124627.923 6448189.727 124628.191 6448184.693 124628.273 6448180.448 124628.343 6448179.954 124605.443 6448179.847 124600.444 6448191.821 124600.193 6448192.455 124600.18 6448217.762 124599.649 6448256.474 124599.855 6448259.533 124599.872 6448257.047 124611.994 6448256.037 124616.918 6448256.004 124617.08 6448253.84 124627.632 6448252.849 124632.463 6448245.786 124666.894 6448242.854 124666.26</gml:posList>
            </gml:LinearRing>
          </gml:exterior>
        </gml:Polygon>
      </lmg:Yta>
      <planbestammelsereferens>9541ed4f-e333-4ce8-8fb0-78960636a247</planbestammelsereferens>
    </Lage>
    <Indelning>
      <tema>Motiv till detaljplanens regleringar</tema>
      <grupp>Motiv till reglering</grupp>
    </Indelning>
  </Omfattning>
  <Omfattning>
    <identitet>mo_motivtillreglering30</identitet>
    <Lage>
      <lmg:Yta>
        <lmg:absolutLagesosakerhetPlan>0</lmg:absolutLagesosakerhetPlan>
        <lmg:absolutLagesosakerhetHojd>0</lmg:absolutLagesosakerhetHojd>
        <lmg:hojdsystem>RH 2000</lmg:hojdsystem>
        <gml:Polygon gml:id="ID_90baf3a4-84cd-46a8-9f1c-c659cdb2ee53" srsName="EPSG:3009" srsDimension="2">
          <gml:exterior>
            <gml:LinearRing gml:id="ID_19de1f09-35ce-4f7b-b53b-47465d165a7a">
              <gml:posList>6448242.854 124666.26 6448202.152 124657.456 6448202.384 124642.198 6448207.806 124638.395 6448219.794 124638.978 6448223.715 124639.779 6448223.962 124631.254 6448215.667 124630.923 6448206.21 124630.726 6448206.104 124627.923 6448189.727 124628.191 6448184.693 124628.273 6448180.448 124628.343 6448179.954 124605.443 6448179.847 124600.444 6448191.821 124600.193 6448192.455 124600.18 6448217.762 124599.649 6448256.474 124599.855 6448259.533 124599.872 6448257.047 124611.994 6448256.037 124616.918 6448256.004 124617.08 6448253.84 124627.632 6448252.849 124632.463 6448245.786 124666.894 6448242.854 124666.26</gml:posList>
            </gml:LinearRing>
          </gml:exterior>
        </gml:Polygon>
      </lmg:Yta>
      <planbestammelsereferens>62878afd-8370-45b4-82d6-1512a84e67f9</planbestammelsereferens>
    </Lage>
    <Lage>
      <lmg:Yta>
        <lmg:absolutLagesosakerhetPlan>0</lmg:absolutLagesosakerhetPlan>
        <lmg:absolutLagesosakerhetHojd>0</lmg:absolutLagesosakerhetHojd>
        <lmg:hojdsystem>RH 2000</lmg:hojdsystem>
        <gml:Polygon gml:id="ID_8a8361c9-8c51-4794-b6a3-646e18fd0390" srsName="EPSG:3009" srsDimension="2">
          <gml:exterior>
            <gml:LinearRing gml:id="ID_30d745e0-ce2f-4908-8526-db5a875cb802">
              <gml:posList>6448183.293 124640.174 6448185.304 124640.185 6448188.282 124640.202 6448189.735 124640.21 6448189.735 124640.788 6448189.74 124647.89 6448189.742 124649.636 6448189.746 124655.78 6448181.225 124654.834 6448180.742 124640.16 6448181.377 124640.163 6448183.293 124640.174</gml:posList>
            </gml:LinearRing>
          </gml:exterior>
        </gml:Polygon>
      </lmg:Yta>
      <planbestammelsereferens>dd3bd5d4-f98a-4f3a-8e79-c46c984aa30b</planbestammelsereferens>
    </Lage>
    <Indelning>
      <tema>Motiv till detaljplanens regleringar</tema>
      <grupp>Motiv till reglering</grupp>
    </Indelning>
  </Omfattning>
  <Omfattning>
    <identitet>mo_motivtillreglering31</identitet>
    <Lage>
      <lmg:Yta>
        <lmg:absolutLagesosakerhetPlan>0</lmg:absolutLagesosakerhetPlan>
        <lmg:absolutLagesosakerhetHojd>0</lmg:absolutLagesosakerhetHojd>
        <lmg:hojdsystem>RH 2000</lmg:hojdsystem>
        <gml:Polygon gml:id="ID_bf28eb27-98a1-4e39-b8c7-c1365e43ebca" srsName="EPSG:3009" srsDimension="2">
          <gml:exterior>
            <gml:LinearRing gml:id="ID_a410daa2-c2b9-480f-93f3-ba67fc7dc281">
              <gml:posList>6448151.057 124646.849 6448148.528 124646.827 6448147.164 124646.815 6448146.952 124646.814 6448128.893 124646.658 6448128.355 124646.652 6448125.334 124646.622 6448125.323 124640.62 6448125.302 124628.497 6448125.28 124616.283 6448125.277 124614.282 6448128.016 124614.132 6448128.355 124614.114 6448128.599 124614.1 6448136.291 124613.679 6448136.84 124613.649 6448139.963 124613.478 6448142.579 124613.335 6448151.765 124612.832 6448153.302 124612.748 6448154.507 124612.682 6448157.004 124612.545 6448164.928 124612.111 6448164.893 124614.116 6448164.684 124626.173 6448164.79 124640.987 6448164.82 124645.24 6448164.832 124646.968 6448151.057 124646.849</gml:posList>
            </gml:LinearRing>
          </gml:exterior>
        </gml:Polygon>
      </lmg:Yta>
      <planbestammelsereferens>fe391fef-1c20-4430-b764-0856e7a471fa</planbestammelsereferens>
    </Lage>
    <Lage>
      <lmg:Yta>
        <lmg:absolutLagesosakerhetPlan>0</lmg:absolutLagesosakerhetPlan>
        <lmg:absolutLagesosakerhetHojd>0</lmg:absolutLagesosakerhetHojd>
        <lmg:hojdsystem>RH 2000</lmg:hojdsystem>
        <gml:Polygon gml:id="ID_ca6cc349-7a4e-43f6-a262-0e9f94347925" srsName="EPSG:3009" srsDimension="2">
          <gml:exterior>
            <gml:LinearRing gml:id="ID_54ee4963-5157-4b52-97f9-094a015ef8c4">
              <gml:posList>6448095.167 124652.324 6448095.115 124646.323 6448125.334 124646.622 6448128.355 124646.652 6448128.893 124646.658 6448146.952 124646.814 6448147.164 124646.815 6448148.528 124646.827 6448151.057 124646.849 6448164.832 124646.968 6448164.833 124647.039 6448165.127 124652.97 6448165.368 124657.84 6448165.731 124665.16 6448160.021 124673.651 6448152.485 124678.595 6448146.054 124678.776 6448128.72 124679.264 6448095.4 124679.263 6448095.276 124664.906 6448095.247 124661.606 6448095.242 124660.944 6448095.167 124652.324</gml:posList>
            </gml:LinearRing>
          </gml:exterior>
        </gml:Polygon>
      </lmg:Yta>
      <planbestammelsereferens>de4d4f1d-82c4-45cb-b537-f1216059d536</planbestammelsereferens>
    </Lage>
    <Lage>
      <lmg:Yta>
        <lmg:absolutLagesosakerhetPlan>0</lmg:absolutLagesosakerhetPlan>
        <lmg:absolutLagesosakerhetHojd>0</lmg:absolutLagesosakerhetHojd>
        <lmg:hojdsystem>RH 2000</lmg:hojdsystem>
        <gml:Polygon gml:id="ID_c115200b-b9f0-49cf-8293-3f93b9459e76" srsName="EPSG:3009" srsDimension="2">
          <gml:exterior>
            <gml:LinearRing gml:id="ID_baeb3f08-528a-4d90-83cb-07b158f43ed7">
              <gml:posList>6448023.437 124740.222 6448020.455 124739.749 6448020.826 124731.857 6448022.805 124689.748 6448022.857 124688.647 6448022.947 124686.743 6448074.012 124692.937 6448073.146 124695.854 6448071.672 124700.823 6448069.089 124710.031 6448067.529 124715.59 6448060.944 124746.178 6448058.325 124745.762 6448023.437 124740.222</gml:posList>
            </gml:LinearRing>
          </gml:exterior>
        </gml:Polygon>
      </lmg:Yta>
      <planbestammelsereferens>58218904-6281-4e26-8bfc-57d26e6cd814</planbestammelsereferens>
    </Lage>
    <Lage>
      <lmg:Yta>
        <lmg:absolutLagesosakerhetPlan>0</lmg:absolutLagesosakerhetPlan>
        <lmg:absolutLagesosakerhetHojd>0</lmg:absolutLagesosakerhetHojd>
        <lmg:hojdsystem>RH 2000</lmg:hojdsystem>
        <gml:Polygon gml:id="ID_e1fe27bb-8a24-4ed0-a15f-08e7faaca84c" srsName="EPSG:3009" srsDimension="2">
          <gml:exterior>
            <gml:LinearRing gml:id="ID_577bda29-f251-4355-b9e6-ea4e92d82fdd">
              <gml:posList>6448217.277 124746.658 6448219.721 124749.444 6448220.142 124749.912 6448222.577 124752.623 6448215.708 124775.404 6448215.398 124776.433 6448212.231 124786.937 6448209.278 124786.339 6448202.327 124784.932 6448200.664 124784.595 6448190.764 124782.591 6448180.852 124780.585 6448169.958 124778.379 6448178.266 124733.849 6448184.35 124733.987 6448189.632 124734.108 6448199.986 124734.344 6448209.092 124738.047 6448210.072 124738.445 6448211.66 124740.256 6448217.238 124746.614 6448217.277 124746.658</gml:posList>
            </gml:LinearRing>
          </gml:exterior>
        </gml:Polygon>
      </lmg:Yta>
      <planbestammelsereferens>969afb9d-88d9-4c3f-bb36-02aaa7616c84</planbestammelsereferens>
    </Lage>
    <Lage>
      <lmg:Yta>
        <lmg:absolutLagesosakerhetPlan>0</lmg:absolutLagesosakerhetPlan>
        <lmg:absolutLagesosakerhetHojd>0</lmg:absolutLagesosakerhetHojd>
        <lmg:hojdsystem>RH 2000</lmg:hojdsystem>
        <gml:Polygon gml:id="ID_b49e142a-45fd-4926-978a-29b270418a7e" srsName="EPSG:3009" srsDimension="2">
          <gml:exterior>
            <gml:LinearRing gml:id="ID_c7a1d6cf-0ebd-4591-a982-e0b3ae39c506">
              <gml:posList>6448221.682 124743.268 6448210.727 124732.728 6448211.747 124729.06 6448201.3 124725.003 6448197.239 124724.029 6448170.14 124718.396 6448162.957 124717.324 6448159.469 124716.804 6448152.475 124716.404 6448151.403 124716.177 6448152.169 124712.857 6448167 124692.11 6448168.105 124690.564 6448203.302 124696.824 6448212.375 124698.296 6448214.85 124698.697 6448218.12 124699.228 6448230.539 124701.242 6448233.504 124701.723 6448224.231 124745.721 6448221.682 124743.268</gml:posList>
            </gml:LinearRing>
          </gml:exterior>
        </gml:Polygon>
      </lmg:Yta>
      <planbestammelsereferens>572aa7db-0423-4874-885a-4a9ec1c3cd74</planbestammelsereferens>
    </Lage>
    <Lage>
      <lmg:Yta>
        <lmg:absolutLagesosakerhetPlan>0</lmg:absolutLagesosakerhetPlan>
        <lmg:absolutLagesosakerhetHojd>0</lmg:absolutLagesosakerhetHojd>
        <lmg:hojdsystem>RH 2000</lmg:hojdsystem>
        <gml:Polygon gml:id="ID_c0708998-fac0-4f75-93ac-35c843a6c299" srsName="EPSG:3009" srsDimension="2">
          <gml:exterior>
            <gml:LinearRing gml:id="ID_ff3ec13a-d682-4e1d-92fb-abd6a0e17590">
              <gml:posList>6448222.266 124679.263 6448220.575 124687.406 6448218.12 124699.228 6448214.85 124698.697 6448212.375 124698.296 6448203.302 124696.824 6448168.105 124690.564 6448176.655 124675.932 6448179.81 124670.532 6448180.676 124667.538 6448181.783 124666.223 6448191.763 124668.552 6448195.306 124669.379 6448203.98 124670.795 6448210.022 124671.781 6448223.368 124673.959 6448222.266 124679.263</gml:posList>
            </gml:LinearRing>
          </gml:exterior>
        </gml:Polygon>
      </lmg:Yta>
      <planbestammelsereferens>cfbcd647-67b7-4896-bbd3-c6cb561c5aa8</planbestammelsereferens>
    </Lage>
    <Lage>
      <lmg:Yta>
        <lmg:absolutLagesosakerhetPlan>0</lmg:absolutLagesosakerhetPlan>
        <lmg:absolutLagesosakerhetHojd>0</lmg:absolutLagesosakerhetHojd>
        <lmg:hojdsystem>RH 2000</lmg:hojdsystem>
        <gml:Polygon gml:id="ID_342b40f0-ad6f-4823-a199-805701ceb243" srsName="EPSG:3009" srsDimension="2">
          <gml:exterior>
            <gml:LinearRing gml:id="ID_c33dd923-194b-4963-a2d0-9debddcebf46">
              <gml:posList>6448169.958 124778.379 6448146.476 124774.198 6448128.495 124770.997 6448129.074 124766.118 6448129.411 124763.269 6448129.888 124759.25 6448131.915 124742.157 6448132.242 124739.399 6448132.566 124736.672 6448137.293 124733.325 6448141.918 124730.051 6448149.249 124730.817 6448151.134 124731.014 6448155.736 124731.495 6448178.266 124733.849 6448169.958 124778.379</gml:posList>
            </gml:LinearRing>
          </gml:exterior>
        </gml:Polygon>
      </lmg:Yta>
      <planbestammelsereferens>5613e281-fc00-49c5-81bc-3b7c8fda660b</planbestammelsereferens>
    </Lage>
    <Lage>
      <lmg:Yta>
        <lmg:absolutLagesosakerhetPlan>0</lmg:absolutLagesosakerhetPlan>
        <lmg:absolutLagesosakerhetHojd>0</lmg:absolutLagesosakerhetHojd>
        <lmg:hojdsystem>RH 2000</lmg:hojdsystem>
        <gml:Polygon gml:id="ID_389f3290-467e-46b5-8c50-7538184feb9d" srsName="EPSG:3009" srsDimension="2">
          <gml:exterior>
            <gml:LinearRing gml:id="ID_2b3897e5-f03c-4b2c-908f-7ee9292057f4">
              <gml:posList>6448074.76 124747.181 6448060.944 124746.178 6448067.529 124715.59 6448069.089 124710.031 6448071.672 124700.823 6448073.146 124695.854 6448074.012 124692.937 6448114.712 124696.246 6448127.029 124697.247 6448142.054 124698.468 6448139.083 124701.237 6448131.225 124708.558 6448129.708 124711.288 6448121.156 124726.417 6448120.381 124733.349 6448120.293 124734.139 6448119.483 124741.387 6448118.689 124748.491 6448116.729 124752.354 6448111.557 124752.284 6448109.978 124752.065 6448103.675 124751.191 6448074.76 124747.181</gml:posList>
            </gml:LinearRing>
          </gml:exterior>
        </gml:Polygon>
      </lmg:Yta>
      <planbestammelsereferens>231df5c1-335a-42e6-84bc-db3aaa647b82</planbestammelsereferens>
    </Lage>
    <Lage>
      <lmg:Yta>
        <lmg:absolutLagesosakerhetPlan>0</lmg:absolutLagesosakerhetPlan>
        <lmg:absolutLagesosakerhetHojd>0</lmg:absolutLagesosakerhetHojd>
        <lmg:hojdsystem>RH 2000</lmg:hojdsystem>
        <gml:Polygon gml:id="ID_f32cc896-7ae1-4195-9476-4df87fcbc641" srsName="EPSG:3009" srsDimension="2">
          <gml:exterior>
            <gml:LinearRing gml:id="ID_5182d0fe-a3f2-48fe-974c-1263db931786">
              <gml:posList>6448101.544 124615.189 6448105.798 124615.027 6448106.363 124615.005 6448107.977 124614.943 6448111.718 124614.8 6448113.619 124614.728 6448116.818 124614.605 6448121.89 124614.412 6448122.903 124614.373 6448125.277 124614.282 6448125.28 124616.283 6448125.302 124628.497 6448125.323 124640.62 6448125.334 124646.622 6448095.115 124646.323 6448086.312 124646.236 6448085.94 124640.253 6448085.544 124633.9 6448084.543 124617.841 6448084.419 124615.844 6448086.418 124615.768 6448098.178 124615.318 6448101.544 124615.189</gml:posList>
            </gml:LinearRing>
          </gml:exterior>
        </gml:Polygon>
      </lmg:Yta>
      <planbestammelsereferens>18ff6c2a-f320-40a6-af8b-6b7133685b79</planbestammelsereferens>
    </Lage>
    <Lage>
      <lmg:Yta>
        <lmg:absolutLagesosakerhetPlan>0</lmg:absolutLagesosakerhetPlan>
        <lmg:absolutLagesosakerhetHojd>0</lmg:absolutLagesosakerhetHojd>
        <lmg:hojdsystem>RH 2000</lmg:hojdsystem>
        <gml:Polygon gml:id="ID_4778d77e-68cc-4a66-8d7b-e78fb67a4195" srsName="EPSG:3009" srsDimension="2">
          <gml:exterior>
            <gml:LinearRing gml:id="ID_3164d798-11a9-46b9-97c0-25008a9c799d">
              <gml:posList>6448095.276 124664.906 6448095.4 124679.263 6448075.058 124678.604 6448061.744 124677.781 6448045.746 124675.322 6448027.47 124671.618 6448008.113 124667.217 6447994.66 124665.055 6447958.907 124659.536 6447959.054 124647.125 6447959.155 124638.619 6447959.2 124634.767 6447997.241 124636.117 6448017.125 124638.587 6448030.424 124640.239 6448063.778 124642.679 6448079.952 124645.232 6448086.312 124646.236 6448095.115 124646.323 6448095.167 124652.324 6448095.242 124660.944 6448095.247 124661.606 6448095.276 124664.906</gml:posList>
            </gml:LinearRing>
          </gml:exterior>
        </gml:Polygon>
      </lmg:Yta>
      <planbestammelsereferens>ad0e315f-353d-4248-afcf-348a39fc7b86</planbestammelsereferens>
    </Lage>
    <Lage>
      <lmg:Yta>
        <lmg:absolutLagesosakerhetPlan>0</lmg:absolutLagesosakerhetPlan>
        <lmg:absolutLagesosakerhetHojd>0</lmg:absolutLagesosakerhetHojd>
        <lmg:hojdsystem>RH 2000</lmg:hojdsystem>
        <gml:Polygon gml:id="ID_a8def87c-67ae-414f-ab9c-e5598db45be6" srsName="EPSG:3009" srsDimension="2">
          <gml:exterior>
            <gml:LinearRing gml:id="ID_0cf9e4d4-82d9-48e5-9dce-0ed0b7f90a92">
              <gml:posList>6448242.854 124666.26 6448202.152 124657.456 6448202.384 124642.198 6448207.806 124638.395 6448219.794 124638.978 6448223.715 124639.779 6448223.962 124631.254 6448215.667 124630.923 6448206.21 124630.726 6448206.104 124627.923 6448189.727 124628.191 6448184.693 124628.273 6448180.448 124628.343 6448179.954 124605.443 6448179.847 124600.444 6448191.821 124600.193 6448192.455 124600.18 6448217.762 124599.649 6448256.474 124599.855 6448259.533 124599.872 6448257.047 124611.994 6448256.037 124616.918 6448256.004 124617.08 6448253.84 124627.632 6448252.849 124632.463 6448245.786 124666.894 6448242.854 124666.26</gml:posList>
            </gml:LinearRing>
          </gml:exterior>
        </gml:Polygon>
      </lmg:Yta>
      <planbestammelsereferens>37aadfda-9470-4281-8fc9-07823f126dc1</planbestammelsereferens>
    </Lage>
    <Lage>
      <lmg:Yta>
        <lmg:absolutLagesosakerhetPlan>0</lmg:absolutLagesosakerhetPlan>
        <lmg:absolutLagesosakerhetHojd>0</lmg:absolutLagesosakerhetHojd>
        <lmg:hojdsystem>RH 2000</lmg:hojdsystem>
        <gml:Polygon gml:id="ID_0d82e538-c89e-4474-8edf-814d5f1f4dd7" srsName="EPSG:3009" srsDimension="2">
          <gml:exterior>
            <gml:LinearRing gml:id="ID_a1d758bb-f948-4321-9c56-e5be58e91348">
              <gml:posList>6448091.63 124759.077 6448098.002 124759.81 6448106.208 124760.753 6448109.753 124763.028 6448111.747 124764.308 6448111.061 124768.354 6448107.44 124789.732 6448095.747 124787.299 6448069.951 124781.934 6448069.944 124756.982 6448078.201 124757.531 6448083.274 124758.115 6448091.63 124759.077</gml:posList>
            </gml:LinearRing>
          </gml:exterior>
        </gml:Polygon>
      </lmg:Yta>
      <planbestammelsereferens>978037ca-00e2-4d8b-bd05-adfc9988c643</planbestammelsereferens>
    </Lage>
    <Indelning>
      <tema>Motiv till detaljplanens regleringar</tema>
      <grupp>Motiv till reglering</grupp>
    </Indelning>
  </Omfattning>
  <Omfattning>
    <identitet>mo_motivtillreglering32</identitet>
    <Lage>
      <lmg:Yta>
        <lmg:absolutLagesosakerhetPlan>0</lmg:absolutLagesosakerhetPlan>
        <lmg:absolutLagesosakerhetHojd>0</lmg:absolutLagesosakerhetHojd>
        <lmg:hojdsystem>RH 2000</lmg:hojdsystem>
        <gml:Polygon gml:id="ID_73e181ef-5f9d-4127-99d3-f1375b5f70a3" srsName="EPSG:3009" srsDimension="2">
          <gml:exterior>
            <gml:LinearRing gml:id="ID_2bd4dd25-3416-420a-aecf-ad77c6ce85da">
              <gml:posList>6448151.057 124646.849 6448148.528 124646.827 6448147.164 124646.815 6448146.952 124646.814 6448128.893 124646.658 6448128.355 124646.652 6448125.334 124646.622 6448125.323 124640.62 6448125.302 124628.497 6448125.28 124616.283 6448125.277 124614.282 6448128.016 124614.132 6448128.355 124614.114 6448128.599 124614.1 6448136.291 124613.679 6448136.84 124613.649 6448139.963 124613.478 6448142.579 124613.335 6448151.765 124612.832 6448153.302 124612.748 6448154.507 124612.682 6448157.004 124612.545 6448164.928 124612.111 6448164.893 124614.116 6448164.684 124626.173 6448164.79 124640.987 6448164.82 124645.24 6448164.832 124646.968 6448151.057 124646.849</gml:posList>
            </gml:LinearRing>
          </gml:exterior>
        </gml:Polygon>
      </lmg:Yta>
      <planbestammelsereferens>5e2d9ea6-83f1-4d6a-8066-e3a5920c9416</planbestammelsereferens>
    </Lage>
    <Lage>
      <lmg:Yta>
        <lmg:absolutLagesosakerhetPlan>0</lmg:absolutLagesosakerhetPlan>
        <lmg:absolutLagesosakerhetHojd>0</lmg:absolutLagesosakerhetHojd>
        <lmg:hojdsystem>RH 2000</lmg:hojdsystem>
        <gml:Polygon gml:id="ID_13c863ac-c707-448d-89e3-59cb9348a84c" srsName="EPSG:3009" srsDimension="2">
          <gml:exterior>
            <gml:LinearRing gml:id="ID_04c9390f-2def-4138-9d5f-666277fbbaab">
              <gml:posList>6448095.167 124652.324 6448095.115 124646.323 6448125.334 124646.622 6448128.355 124646.652 6448128.893 124646.658 6448146.952 124646.814 6448147.164 124646.815 6448148.528 124646.827 6448151.057 124646.849 6448164.832 124646.968 6448164.833 124647.039 6448165.127 124652.97 6448165.368 124657.84 6448165.731 124665.16 6448160.021 124673.651 6448152.485 124678.595 6448146.054 124678.776 6448128.72 124679.264 6448095.4 124679.263 6448095.276 124664.906 6448095.247 124661.606 6448095.242 124660.944 6448095.167 124652.324</gml:posList>
            </gml:LinearRing>
          </gml:exterior>
        </gml:Polygon>
      </lmg:Yta>
      <planbestammelsereferens>a64a9c35-fd7c-4cc5-ab19-7f8ebce16253</planbestammelsereferens>
    </Lage>
    <Lage>
      <lmg:Yta>
        <lmg:absolutLagesosakerhetPlan>0</lmg:absolutLagesosakerhetPlan>
        <lmg:absolutLagesosakerhetHojd>0</lmg:absolutLagesosakerhetHojd>
        <lmg:hojdsystem>RH 2000</lmg:hojdsystem>
        <gml:Polygon gml:id="ID_8f253303-6af2-4a09-a5c8-5a279bbf8488" srsName="EPSG:3009" srsDimension="2">
          <gml:exterior>
            <gml:LinearRing gml:id="ID_15b048fb-2da9-4053-90f3-210a158c772b">
              <gml:posList>6448074.76 124747.181 6448060.944 124746.178 6448067.529 124715.59 6448069.089 124710.031 6448071.672 124700.823 6448073.146 124695.854 6448074.012 124692.937 6448114.712 124696.246 6448127.029 124697.247 6448142.054 124698.468 6448139.083 124701.237 6448131.225 124708.558 6448129.708 124711.288 6448121.156 124726.417 6448120.381 124733.349 6448120.293 124734.139 6448119.483 124741.387 6448118.689 124748.491 6448116.729 124752.354 6448111.557 124752.284 6448109.978 124752.065 6448103.675 124751.191 6448074.76 124747.181</gml:posList>
            </gml:LinearRing>
          </gml:exterior>
        </gml:Polygon>
      </lmg:Yta>
      <planbestammelsereferens>12417a31-dd18-414f-8877-cec8969749f2</planbestammelsereferens>
    </Lage>
    <Lage>
      <lmg:Yta>
        <lmg:absolutLagesosakerhetPlan>0</lmg:absolutLagesosakerhetPlan>
        <lmg:absolutLagesosakerhetHojd>0</lmg:absolutLagesosakerhetHojd>
        <lmg:hojdsystem>RH 2000</lmg:hojdsystem>
        <gml:Polygon gml:id="ID_f7692523-dab3-4f3f-85b1-fa78862d8301" srsName="EPSG:3009" srsDimension="2">
          <gml:exterior>
            <gml:LinearRing gml:id="ID_45b1db62-4b73-4576-a101-b73e974e198d">
              <gml:posList>6448023.437 124740.222 6448020.455 124739.749 6448020.826 124731.857 6448022.805 124689.748 6448022.857 124688.647 6448022.947 124686.743 6448074.012 124692.937 6448073.146 124695.854 6448071.672 124700.823 6448069.089 124710.031 6448067.529 124715.59 6448060.944 124746.178 6448058.325 124745.762 6448023.437 124740.222</gml:posList>
            </gml:LinearRing>
          </gml:exterior>
        </gml:Polygon>
      </lmg:Yta>
      <planbestammelsereferens>d11dc315-433d-4544-8c3b-483b0eb134e7</planbestammelsereferens>
    </Lage>
    <Lage>
      <lmg:Yta>
        <lmg:absolutLagesosakerhetPlan>0</lmg:absolutLagesosakerhetPlan>
        <lmg:absolutLagesosakerhetHojd>0</lmg:absolutLagesosakerhetHojd>
        <lmg:hojdsystem>RH 2000</lmg:hojdsystem>
        <gml:Polygon gml:id="ID_2d81d1a3-911c-44b6-a846-7eb03e00fae9" srsName="EPSG:3009" srsDimension="2">
          <gml:exterior>
            <gml:LinearRing gml:id="ID_7b720811-70fe-431e-b532-ef4cc89af66a">
              <gml:posList>6448217.277 124746.658 6448219.721 124749.444 6448220.142 124749.912 6448222.577 124752.623 6448215.708 124775.404 6448215.398 124776.433 6448212.231 124786.937 6448209.278 124786.339 6448202.327 124784.932 6448200.664 124784.595 6448190.764 124782.591 6448180.852 124780.585 6448169.958 124778.379 6448178.266 124733.849 6448184.35 124733.987 6448189.632 124734.108 6448199.986 124734.344 6448209.092 124738.047 6448210.072 124738.445 6448211.66 124740.256 6448217.238 124746.614 6448217.277 124746.658</gml:posList>
            </gml:LinearRing>
          </gml:exterior>
        </gml:Polygon>
      </lmg:Yta>
      <planbestammelsereferens>838d0072-c4a4-4163-b528-38fc8a1210f0</planbestammelsereferens>
    </Lage>
    <Lage>
      <lmg:Yta>
        <lmg:absolutLagesosakerhetPlan>0</lmg:absolutLagesosakerhetPlan>
        <lmg:absolutLagesosakerhetHojd>0</lmg:absolutLagesosakerhetHojd>
        <lmg:hojdsystem>RH 2000</lmg:hojdsystem>
        <gml:Polygon gml:id="ID_6ecc3237-b611-4e9f-bb07-1c3de288085d" srsName="EPSG:3009" srsDimension="2">
          <gml:exterior>
            <gml:LinearRing gml:id="ID_262e7b20-c36a-4768-9670-9932542ab375">
              <gml:posList>6448221.682 124743.268 6448210.727 124732.728 6448211.747 124729.06 6448201.3 124725.003 6448197.239 124724.029 6448170.14 124718.396 6448162.957 124717.324 6448159.469 124716.804 6448152.475 124716.404 6448151.403 124716.177 6448152.169 124712.857 6448167 124692.11 6448168.105 124690.564 6448203.302 124696.824 6448212.375 124698.296 6448214.85 124698.697 6448218.12 124699.228 6448230.539 124701.242 6448233.504 124701.723 6448224.231 124745.721 6448221.682 124743.268</gml:posList>
            </gml:LinearRing>
          </gml:exterior>
        </gml:Polygon>
      </lmg:Yta>
      <planbestammelsereferens>16656fec-9c40-4ab8-8f35-ec899a24fc52</planbestammelsereferens>
    </Lage>
    <Lage>
      <lmg:Yta>
        <lmg:absolutLagesosakerhetPlan>0</lmg:absolutLagesosakerhetPlan>
        <lmg:absolutLagesosakerhetHojd>0</lmg:absolutLagesosakerhetHojd>
        <lmg:hojdsystem>RH 2000</lmg:hojdsystem>
        <gml:Polygon gml:id="ID_cca9e849-2dcd-4f26-b5bb-b63704a95c08" srsName="EPSG:3009" srsDimension="2">
          <gml:exterior>
            <gml:LinearRing gml:id="ID_2cc26134-0b5e-44f9-a5d6-428a6b531e86">
              <gml:posList>6448222.266 124679.263 6448220.575 124687.406 6448218.12 124699.228 6448214.85 124698.697 6448212.375 124698.296 6448203.302 124696.824 6448168.105 124690.564 6448176.655 124675.932 6448179.81 124670.532 6448180.676 124667.538 6448181.783 124666.223 6448191.763 124668.552 6448195.306 124669.379 6448203.98 124670.795 6448210.022 124671.781 6448223.368 124673.959 6448222.266 124679.263</gml:posList>
            </gml:LinearRing>
          </gml:exterior>
        </gml:Polygon>
      </lmg:Yta>
      <planbestammelsereferens>db01158e-c259-441c-b83b-24538147c446</planbestammelsereferens>
    </Lage>
    <Lage>
      <lmg:Yta>
        <lmg:absolutLagesosakerhetPlan>0</lmg:absolutLagesosakerhetPlan>
        <lmg:absolutLagesosakerhetHojd>0</lmg:absolutLagesosakerhetHojd>
        <lmg:hojdsystem>RH 2000</lmg:hojdsystem>
        <gml:Polygon gml:id="ID_8b2c168f-fb77-4632-8373-0d6d302a28ab" srsName="EPSG:3009" srsDimension="2">
          <gml:exterior>
            <gml:LinearRing gml:id="ID_d24aca2a-5f7b-49b5-a77e-ab8675b98c16">
              <gml:posList>6448101.544 124615.189 6448105.798 124615.027 6448106.363 124615.005 6448107.977 124614.943 6448111.718 124614.8 6448113.619 124614.728 6448116.818 124614.605 6448121.89 124614.412 6448122.903 124614.373 6448125.277 124614.282 6448125.28 124616.283 6448125.302 124628.497 6448125.323 124640.62 6448125.334 124646.622 6448095.115 124646.323 6448086.312 124646.236 6448085.94 124640.253 6448085.544 124633.9 6448084.543 124617.841 6448084.419 124615.844 6448086.418 124615.768 6448098.178 124615.318 6448101.544 124615.189</gml:posList>
            </gml:LinearRing>
          </gml:exterior>
        </gml:Polygon>
      </lmg:Yta>
      <planbestammelsereferens>a110429a-de91-4d17-942b-f2a65305f0cf</planbestammelsereferens>
    </Lage>
    <Lage>
      <lmg:Yta>
        <lmg:absolutLagesosakerhetPlan>0</lmg:absolutLagesosakerhetPlan>
        <lmg:absolutLagesosakerhetHojd>0</lmg:absolutLagesosakerhetHojd>
        <lmg:hojdsystem>RH 2000</lmg:hojdsystem>
        <gml:Polygon gml:id="ID_d7b88945-4bbd-4b12-a11d-a4e14948375c" srsName="EPSG:3009" srsDimension="2">
          <gml:exterior>
            <gml:LinearRing gml:id="ID_30a1d895-303b-48be-8aa2-239a51fec846">
              <gml:posList>6448095.276 124664.906 6448095.4 124679.263 6448075.058 124678.604 6448061.744 124677.781 6448045.746 124675.322 6448027.47 124671.618 6448008.113 124667.217 6447994.66 124665.055 6447958.907 124659.536 6447959.054 124647.125 6447959.155 124638.619 6447959.2 124634.767 6447997.241 124636.117 6448017.125 124638.587 6448030.424 124640.239 6448063.778 124642.679 6448079.952 124645.232 6448086.312 124646.236 6448095.115 124646.323 6448095.167 124652.324 6448095.242 124660.944 6448095.247 124661.606 6448095.276 124664.906</gml:posList>
            </gml:LinearRing>
          </gml:exterior>
        </gml:Polygon>
      </lmg:Yta>
      <planbestammelsereferens>1e218d32-3f5f-4d44-9840-69633e94a439</planbestammelsereferens>
    </Lage>
    <Lage>
      <lmg:Yta>
        <lmg:absolutLagesosakerhetPlan>0</lmg:absolutLagesosakerhetPlan>
        <lmg:absolutLagesosakerhetHojd>0</lmg:absolutLagesosakerhetHojd>
        <lmg:hojdsystem>RH 2000</lmg:hojdsystem>
        <gml:Polygon gml:id="ID_25d5e05c-fd38-45ff-b397-95e633f5115f" srsName="EPSG:3009" srsDimension="2">
          <gml:exterior>
            <gml:LinearRing gml:id="ID_05f3cb1b-1653-45fe-b463-e2f0be0aeb8f">
              <gml:posList>6448091.63 124759.077 6448098.002 124759.81 6448106.208 124760.753 6448109.753 124763.028 6448111.747 124764.308 6448111.061 124768.354 6448107.44 124789.732 6448095.747 124787.299 6448069.951 124781.934 6448069.944 124756.982 6448078.201 124757.531 6448083.274 124758.115 6448091.63 124759.077</gml:posList>
            </gml:LinearRing>
          </gml:exterior>
        </gml:Polygon>
      </lmg:Yta>
      <planbestammelsereferens>f3215de0-eacb-43d5-bf62-e179ca99bf1b</planbestammelsereferens>
    </Lage>
    <Lage>
      <lmg:Yta>
        <lmg:absolutLagesosakerhetPlan>0</lmg:absolutLagesosakerhetPlan>
        <lmg:absolutLagesosakerhetHojd>0</lmg:absolutLagesosakerhetHojd>
        <lmg:hojdsystem>RH 2000</lmg:hojdsystem>
        <gml:Polygon gml:id="ID_1efa7229-03da-4832-86e9-cf02764a5d95" srsName="EPSG:3009" srsDimension="2">
          <gml:exterior>
            <gml:LinearRing gml:id="ID_c0aefb0f-06a5-4020-be47-cacab40fc560">
              <gml:posList>6448242.854 124666.26 6448202.152 124657.456 6448202.384 124642.198 6448207.806 124638.395 6448219.794 124638.978 6448223.715 124639.779 6448223.962 124631.254 6448215.667 124630.923 6448206.21 124630.726 6448206.104 124627.923 6448189.727 124628.191 6448184.693 124628.273 6448180.448 124628.343 6448179.954 124605.443 6448179.847 124600.444 6448191.821 124600.193 6448192.455 124600.18 6448217.762 124599.649 6448256.474 124599.855 6448259.533 124599.872 6448257.047 124611.994 6448256.037 124616.918 6448256.004 124617.08 6448253.84 124627.632 6448252.849 124632.463 6448245.786 124666.894 6448242.854 124666.26</gml:posList>
            </gml:LinearRing>
          </gml:exterior>
        </gml:Polygon>
      </lmg:Yta>
      <planbestammelsereferens>a6369a70-8c99-4b7c-b622-ded96e3a6c5b</planbestammelsereferens>
    </Lage>
    <Indelning>
      <tema>Motiv till detaljplanens regleringar</tema>
      <grupp>Motiv till reglering</grupp>
    </Indelning>
  </Omfattning>
  <Omfattning>
    <identitet>mo_motivtillreglering33</identitet>
    <Lage>
      <lmg:Yta>
        <lmg:absolutLagesosakerhetPlan>0</lmg:absolutLagesosakerhetPlan>
        <lmg:absolutLagesosakerhetHojd>0</lmg:absolutLagesosakerhetHojd>
        <lmg:hojdsystem>RH 2000</lmg:hojdsystem>
        <gml:Polygon gml:id="ID_8249b30a-4db0-49e0-94f4-e84148c2c5fa" srsName="EPSG:3009" srsDimension="2">
          <gml:exterior>
            <gml:LinearRing gml:id="ID_e5ce0cce-c5f3-43f1-bf43-4b017e8f552c">
              <gml:posList>6448222.266 124679.263 6448220.575 124687.406 6448218.12 124699.228 6448214.85 124698.697 6448212.375 124698.296 6448203.302 124696.824 6448168.105 124690.564 6448176.655 124675.932 6448179.81 124670.532 6448180.676 124667.538 6448181.783 124666.223 6448191.763 124668.552 6448195.306 124669.379 6448203.98 124670.795 6448210.022 124671.781 6448223.368 124673.959 6448222.266 124679.263</gml:posList>
            </gml:LinearRing>
          </gml:exterior>
        </gml:Polygon>
      </lmg:Yta>
      <planbestammelsereferens>f0fc3c9d-2933-4ae7-aa52-9bc97d9c552b</planbestammelsereferens>
    </Lage>
    <Lage>
      <lmg:Yta>
        <lmg:absolutLagesosakerhetPlan>0</lmg:absolutLagesosakerhetPlan>
        <lmg:absolutLagesosakerhetHojd>0</lmg:absolutLagesosakerhetHojd>
        <lmg:hojdsystem>RH 2000</lmg:hojdsystem>
        <gml:Polygon gml:id="ID_a95015ee-54ae-4d7d-9cb2-d12d94d7fac0" srsName="EPSG:3009" srsDimension="2">
          <gml:exterior>
            <gml:LinearRing gml:id="ID_6bdfcdcf-c490-4f97-bf07-2e9a01199049">
              <gml:posList>6448221.682 124743.268 6448210.727 124732.728 6448211.747 124729.06 6448201.3 124725.003 6448197.239 124724.029 6448170.14 124718.396 6448162.957 124717.324 6448159.469 124716.804 6448152.475 124716.404 6448151.403 124716.177 6448152.169 124712.857 6448167 124692.11 6448168.105 124690.564 6448203.302 124696.824 6448212.375 124698.296 6448214.85 124698.697 6448218.12 124699.228 6448230.539 124701.242 6448233.504 124701.723 6448224.231 124745.721 6448221.682 124743.268</gml:posList>
            </gml:LinearRing>
          </gml:exterior>
        </gml:Polygon>
      </lmg:Yta>
      <planbestammelsereferens>7d1b34e0-7f2b-4b32-9cb9-405ffc410721</planbestammelsereferens>
    </Lage>
    <Lage>
      <lmg:Yta>
        <lmg:absolutLagesosakerhetPlan>0</lmg:absolutLagesosakerhetPlan>
        <lmg:absolutLagesosakerhetHojd>0</lmg:absolutLagesosakerhetHojd>
        <lmg:hojdsystem>RH 2000</lmg:hojdsystem>
        <gml:Polygon gml:id="ID_a7f6b975-f6f0-4630-b1e7-f631e1a9cf70" srsName="EPSG:3009" srsDimension="2">
          <gml:exterior>
            <gml:LinearRing gml:id="ID_989a0fd3-ba3c-4bbd-92d4-99f4cff3d46f">
              <gml:posList>6448217.277 124746.658 6448219.721 124749.444 6448220.142 124749.912 6448222.577 124752.623 6448215.708 124775.404 6448215.398 124776.433 6448212.231 124786.937 6448209.278 124786.339 6448202.327 124784.932 6448200.664 124784.595 6448190.764 124782.591 6448180.852 124780.585 6448169.958 124778.379 6448178.266 124733.849 6448184.35 124733.987 6448189.632 124734.108 6448199.986 124734.344 6448209.092 124738.047 6448210.072 124738.445 6448211.66 124740.256 6448217.238 124746.614 6448217.277 124746.658</gml:posList>
            </gml:LinearRing>
          </gml:exterior>
        </gml:Polygon>
      </lmg:Yta>
      <planbestammelsereferens>4e1529a3-b183-43c1-b27f-c33e0e46e3d3</planbestammelsereferens>
    </Lage>
    <Lage>
      <lmg:Yta>
        <lmg:absolutLagesosakerhetPlan>0</lmg:absolutLagesosakerhetPlan>
        <lmg:absolutLagesosakerhetHojd>0</lmg:absolutLagesosakerhetHojd>
        <lmg:hojdsystem>RH 2000</lmg:hojdsystem>
        <gml:Polygon gml:id="ID_74aba467-b28c-41a2-ae1d-3b912c28f9d2" srsName="EPSG:3009" srsDimension="2">
          <gml:exterior>
            <gml:LinearRing gml:id="ID_4113f20c-cb7a-4e60-9a8e-d260ab19e358">
              <gml:posList>6448074.76 124747.181 6448060.944 124746.178 6448067.529 124715.59 6448069.089 124710.031 6448071.672 124700.823 6448073.146 124695.854 6448074.012 124692.937 6448114.712 124696.246 6448127.029 124697.247 6448142.054 124698.468 6448139.083 124701.237 6448131.225 124708.558 6448129.708 124711.288 6448121.156 124726.417 6448120.381 124733.349 6448120.293 124734.139 6448119.483 124741.387 6448118.689 124748.491 6448116.729 124752.354 6448111.557 124752.284 6448109.978 124752.065 6448103.675 124751.191 6448074.76 124747.181</gml:posList>
            </gml:LinearRing>
          </gml:exterior>
        </gml:Polygon>
      </lmg:Yta>
      <planbestammelsereferens>607a9245-398c-48ea-8b14-fe84b2f6580f</planbestammelsereferens>
    </Lage>
    <Lage>
      <lmg:Yta>
        <lmg:absolutLagesosakerhetPlan>0</lmg:absolutLagesosakerhetPlan>
        <lmg:absolutLagesosakerhetHojd>0</lmg:absolutLagesosakerhetHojd>
        <lmg:hojdsystem>RH 2000</lmg:hojdsystem>
        <gml:Polygon gml:id="ID_2aa4e6b4-4d62-41e6-94ac-fead995efeba" srsName="EPSG:3009" srsDimension="2">
          <gml:exterior>
            <gml:LinearRing gml:id="ID_9700c80b-a166-413c-b0e5-b32daafbc800">
              <gml:posList>6448023.437 124740.222 6448020.455 124739.749 6448020.826 124731.857 6448022.805 124689.748 6448022.857 124688.647 6448022.947 124686.743 6448074.012 124692.937 6448073.146 124695.854 6448071.672 124700.823 6448069.089 124710.031 6448067.529 124715.59 6448060.944 124746.178 6448058.325 124745.762 6448023.437 124740.222</gml:posList>
            </gml:LinearRing>
          </gml:exterior>
        </gml:Polygon>
      </lmg:Yta>
      <planbestammelsereferens>ed4a1186-ae62-4f88-b56b-ddd5260fcfde</planbestammelsereferens>
    </Lage>
    <Lage>
      <lmg:Yta>
        <lmg:absolutLagesosakerhetPlan>0</lmg:absolutLagesosakerhetPlan>
        <lmg:absolutLagesosakerhetHojd>0</lmg:absolutLagesosakerhetHojd>
        <lmg:hojdsystem>RH 2000</lmg:hojdsystem>
        <gml:Polygon gml:id="ID_3abb2560-709b-47c2-a5bc-76892e643471" srsName="EPSG:3009" srsDimension="2">
          <gml:exterior>
            <gml:LinearRing gml:id="ID_10a9d5f2-50b1-4d3a-8c87-bf76e79bb973">
              <gml:posList>6448151.057 124646.849 6448148.528 124646.827 6448147.164 124646.815 6448146.952 124646.814 6448128.893 124646.658 6448128.355 124646.652 6448125.334 124646.622 6448125.323 124640.62 6448125.302 124628.497 6448125.28 124616.283 6448125.277 124614.282 6448128.016 124614.132 6448128.355 124614.114 6448128.599 124614.1 6448136.291 124613.679 6448136.84 124613.649 6448139.963 124613.478 6448142.579 124613.335 6448151.765 124612.832 6448153.302 124612.748 6448154.507 124612.682 6448157.004 124612.545 6448164.928 124612.111 6448164.893 124614.116 6448164.684 124626.173 6448164.79 124640.987 6448164.82 124645.24 6448164.832 124646.968 6448151.057 124646.849</gml:posList>
            </gml:LinearRing>
          </gml:exterior>
        </gml:Polygon>
      </lmg:Yta>
      <planbestammelsereferens>62121966-464a-474f-99a3-554ea4cf0d47</planbestammelsereferens>
    </Lage>
    <Lage>
      <lmg:Yta>
        <lmg:absolutLagesosakerhetPlan>0</lmg:absolutLagesosakerhetPlan>
        <lmg:absolutLagesosakerhetHojd>0</lmg:absolutLagesosakerhetHojd>
        <lmg:hojdsystem>RH 2000</lmg:hojdsystem>
        <gml:Polygon gml:id="ID_0a147ed0-08d1-4d55-8bd0-43951356bb8c" srsName="EPSG:3009" srsDimension="2">
          <gml:exterior>
            <gml:LinearRing gml:id="ID_731488ea-d7ef-428f-811b-8b468f95974e">
              <gml:posList>6448095.167 124652.324 6448095.115 124646.323 6448125.334 124646.622 6448128.355 124646.652 6448128.893 124646.658 6448146.952 124646.814 6448147.164 124646.815 6448148.528 124646.827 6448151.057 124646.849 6448164.832 124646.968 6448164.833 124647.039 6448165.127 124652.97 6448165.368 124657.84 6448165.731 124665.16 6448160.021 124673.651 6448152.485 124678.595 6448146.054 124678.776 6448128.72 124679.264 6448095.4 124679.263 6448095.276 124664.906 6448095.247 124661.606 6448095.242 124660.944 6448095.167 124652.324</gml:posList>
            </gml:LinearRing>
          </gml:exterior>
        </gml:Polygon>
      </lmg:Yta>
      <planbestammelsereferens>bd7dc266-a474-4caf-aa37-2ed7b1142c17</planbestammelsereferens>
    </Lage>
    <Lage>
      <lmg:Yta>
        <lmg:absolutLagesosakerhetPlan>0</lmg:absolutLagesosakerhetPlan>
        <lmg:absolutLagesosakerhetHojd>0</lmg:absolutLagesosakerhetHojd>
        <lmg:hojdsystem>RH 2000</lmg:hojdsystem>
        <gml:Polygon gml:id="ID_bfdeaf1e-bccf-4f7e-91bc-9d9542e6154c" srsName="EPSG:3009" srsDimension="2">
          <gml:exterior>
            <gml:LinearRing gml:id="ID_61796244-43dd-442f-a69b-ece3d96f44d4">
              <gml:posList>6448101.544 124615.189 6448105.798 124615.027 6448106.363 124615.005 6448107.977 124614.943 6448111.718 124614.8 6448113.619 124614.728 6448116.818 124614.605 6448121.89 124614.412 6448122.903 124614.373 6448125.277 124614.282 6448125.28 124616.283 6448125.302 124628.497 6448125.323 124640.62 6448125.334 124646.622 6448095.115 124646.323 6448086.312 124646.236 6448085.94 124640.253 6448085.544 124633.9 6448084.543 124617.841 6448084.419 124615.844 6448086.418 124615.768 6448098.178 124615.318 6448101.544 124615.189</gml:posList>
            </gml:LinearRing>
          </gml:exterior>
        </gml:Polygon>
      </lmg:Yta>
      <planbestammelsereferens>b607023d-df0c-4952-86a1-871df78e19b6</planbestammelsereferens>
    </Lage>
    <Lage>
      <lmg:Yta>
        <lmg:absolutLagesosakerhetPlan>0</lmg:absolutLagesosakerhetPlan>
        <lmg:absolutLagesosakerhetHojd>0</lmg:absolutLagesosakerhetHojd>
        <lmg:hojdsystem>RH 2000</lmg:hojdsystem>
        <gml:Polygon gml:id="ID_f6857606-32a9-44ba-a47a-02f0aecf280b" srsName="EPSG:3009" srsDimension="2">
          <gml:exterior>
            <gml:LinearRing gml:id="ID_1472e860-8612-402e-a753-8c0461a5b7cb">
              <gml:posList>6448095.276 124664.906 6448095.4 124679.263 6448075.058 124678.604 6448061.744 124677.781 6448045.746 124675.322 6448027.47 124671.618 6448008.113 124667.217 6447994.66 124665.055 6447958.907 124659.536 6447959.054 124647.125 6447959.155 124638.619 6447959.2 124634.767 6447997.241 124636.117 6448017.125 124638.587 6448030.424 124640.239 6448063.778 124642.679 6448079.952 124645.232 6448086.312 124646.236 6448095.115 124646.323 6448095.167 124652.324 6448095.242 124660.944 6448095.247 124661.606 6448095.276 124664.906</gml:posList>
            </gml:LinearRing>
          </gml:exterior>
        </gml:Polygon>
      </lmg:Yta>
      <planbestammelsereferens>f456735d-e646-4a98-b6ec-6f2386a0772c</planbestammelsereferens>
    </Lage>
    <Lage>
      <lmg:Yta>
        <lmg:absolutLagesosakerhetPlan>0</lmg:absolutLagesosakerhetPlan>
        <lmg:absolutLagesosakerhetHojd>0</lmg:absolutLagesosakerhetHojd>
        <lmg:hojdsystem>RH 2000</lmg:hojdsystem>
        <gml:Polygon gml:id="ID_672ff46b-bd13-48bc-a82c-8a0fa12f5911" srsName="EPSG:3009" srsDimension="2">
          <gml:exterior>
            <gml:LinearRing gml:id="ID_0c0ba724-1f3a-4bd4-abf7-0da63f03b4c5">
              <gml:posList>6448242.854 124666.26 6448202.152 124657.456 6448202.384 124642.198 6448207.806 124638.395 6448219.794 124638.978 6448223.715 124639.779 6448223.962 124631.254 6448215.667 124630.923 6448206.21 124630.726 6448206.104 124627.923 6448189.727 124628.191 6448184.693 124628.273 6448180.448 124628.343 6448179.954 124605.443 6448179.847 124600.444 6448191.821 124600.193 6448192.455 124600.18 6448217.762 124599.649 6448256.474 124599.855 6448259.533 124599.872 6448257.047 124611.994 6448256.037 124616.918 6448256.004 124617.08 6448253.84 124627.632 6448252.849 124632.463 6448245.786 124666.894 6448242.854 124666.26</gml:posList>
            </gml:LinearRing>
          </gml:exterior>
        </gml:Polygon>
      </lmg:Yta>
      <planbestammelsereferens>8d399178-1c7a-4f15-b40a-c63096a7b2e9</planbestammelsereferens>
    </Lage>
    <Lage>
      <lmg:Yta>
        <lmg:absolutLagesosakerhetPlan>0</lmg:absolutLagesosakerhetPlan>
        <lmg:absolutLagesosakerhetHojd>0</lmg:absolutLagesosakerhetHojd>
        <lmg:hojdsystem>RH 2000</lmg:hojdsystem>
        <gml:Polygon gml:id="ID_8b46282f-772d-4222-a4a1-1ef75c6c9144" srsName="EPSG:3009" srsDimension="2">
          <gml:exterior>
            <gml:LinearRing gml:id="ID_a99a7a38-cfe8-4725-a2e5-e8b5ec6fe269">
              <gml:posList>6448091.63 124759.077 6448098.002 124759.81 6448106.208 124760.753 6448109.753 124763.028 6448111.747 124764.308 6448111.061 124768.354 6448107.44 124789.732 6448095.747 124787.299 6448069.951 124781.934 6448069.944 124756.982 6448078.201 124757.531 6448083.274 124758.115 6448091.63 124759.077</gml:posList>
            </gml:LinearRing>
          </gml:exterior>
        </gml:Polygon>
      </lmg:Yta>
      <planbestammelsereferens>a29405a1-d93b-4d3f-a1c2-c3d6a79bdceb</planbestammelsereferens>
    </Lage>
    <Indelning>
      <tema>Motiv till detaljplanens regleringar</tema>
      <grupp>Motiv till reglering</grupp>
    </Indelning>
  </Omfattning>
  <Omfattning>
    <identitet>mo_motivtillreglering34</identitet>
    <Lage>
      <lmg:Yta>
        <lmg:absolutLagesosakerhetPlan>0</lmg:absolutLagesosakerhetPlan>
        <lmg:absolutLagesosakerhetHojd>0</lmg:absolutLagesosakerhetHojd>
        <lmg:hojdsystem>RH 2000</lmg:hojdsystem>
        <gml:Polygon gml:id="ID_f924e282-2148-4c35-a470-1672cbb8a2ad" srsName="EPSG:3009" srsDimension="2">
          <gml:exterior>
            <gml:LinearRing gml:id="ID_5230bf7c-43c9-4a66-a17f-884261e0c190">
              <gml:posList>6448151.057 124646.849 6448148.528 124646.827 6448147.164 124646.815 6448146.952 124646.814 6448128.893 124646.658 6448128.355 124646.652 6448125.334 124646.622 6448125.323 124640.62 6448125.302 124628.497 6448125.28 124616.283 6448125.277 124614.282 6448128.016 124614.132 6448128.355 124614.114 6448128.599 124614.1 6448136.291 124613.679 6448136.84 124613.649 6448139.963 124613.478 6448142.579 124613.335 6448151.765 124612.832 6448153.302 124612.748 6448154.507 124612.682 6448157.004 124612.545 6448164.928 124612.111 6448164.893 124614.116 6448164.684 124626.173 6448164.79 124640.987 6448164.82 124645.24 6448164.832 124646.968 6448151.057 124646.849</gml:posList>
            </gml:LinearRing>
          </gml:exterior>
        </gml:Polygon>
      </lmg:Yta>
      <planbestammelsereferens>ce4cc8c4-4e1c-4054-b61b-0c95d8b74ad2</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b9fde97b-15f3-469a-ad9e-849ef55bc7c6}">
  <ds:schemaRefs>
    <ds:schemaRef ds:uri="http://schemas.microsoft.com/vsto/samples"/>
  </ds:schemaRefs>
</ds:datastoreItem>
</file>

<file path=customXml/itemProps2.xml><?xml version="1.0" encoding="utf-8"?>
<ds:datastoreItem xmlns:ds="http://schemas.openxmlformats.org/officeDocument/2006/customXml" ds:itemID="83860ea3-81af-4f8f-9342-3622f6294303">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Rapport</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Linus Leion-Welin</dc:creator>
  <dcterms:created xsi:type="dcterms:W3CDTF">2025-05-30T06:32:00Z</dcterms:created>
  <cp:lastModifiedBy>Linus Leion-Welin</cp:lastModifiedBy>
  <cp:lastPrinted>2025-07-01T08:19:00Z</cp:lastPrinted>
  <dcterms:modified xsi:type="dcterms:W3CDTF">2026-02-03T10:50:45Z</dcterms:modified>
  <cp:revision>92</cp:revision>
</cp:coreProperties>
</file>