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
    <w:p/>
    <w:p/>
    <w:p/>
    <w:p/>
    <w:p/>
    <w:p/>
    <w:p/>
    <w:p/>
    <w:p>
      <w:pPr>
        <w:rPr>
          <w:rStyle w:val="C9"/>
        </w:rPr>
      </w:pPr>
      <w:bookmarkStart w:id="0" w:name="be_ärendeinformation02"/>
      <w:r>
        <w:rPr>
          <w:rFonts w:ascii="Calibri" w:hAnsi="Calibri"/>
          <w:b w:val="1"/>
          <w:bCs w:val="1"/>
          <w:sz w:val="52"/>
        </w:rPr>
        <w:t>Detaljplan för Holms gård</w:t>
      </w:r>
      <w:bookmarkEnd w:id="0"/>
    </w:p>
    <w:p>
      <w:pPr>
        <w:rPr>
          <w:highlight w:val="yellow"/>
        </w:rPr>
      </w:pPr>
    </w:p>
    <w:p>
      <w:pPr>
        <w:rPr>
          <w:highlight w:val="yellow"/>
        </w:rPr>
      </w:pPr>
    </w:p>
    <w:p>
      <w:pPr>
        <w:rPr>
          <w:rFonts w:asciiTheme="minorHAnsi" w:hAnsiTheme="minorHAnsi" w:cstheme="minorHAnsi"/>
          <w:b w:val="1"/>
          <w:sz w:val="36"/>
        </w:rPr>
      </w:pPr>
      <w:bookmarkStart w:id="1" w:name="be_ärendeinformation01"/>
      <w:r>
        <w:rPr>
          <w:rFonts w:asciiTheme="minorHAnsi" w:hAnsiTheme="minorHAnsi" w:cstheme="minorHAnsi"/>
          <w:b w:val="1"/>
          <w:sz w:val="36"/>
        </w:rPr>
        <w:t>Vindelns kommun, Västerbottens län</w:t>
      </w:r>
      <w:bookmarkEnd w:id="1"/>
    </w:p>
    <w:p>
      <w:pPr>
        <w:rPr>
          <w:rFonts w:asciiTheme="minorHAnsi" w:hAnsiTheme="minorHAnsi" w:cstheme="minorHAnsi"/>
          <w:b w:val="1"/>
        </w:rPr>
      </w:pPr>
    </w:p>
    <w:p/>
    <w:p>
      <w:pPr>
        <w:pStyle w:val="P2"/>
        <w:rPr>
          <w:noProof w:val="0"/>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pStyle w:val="P2"/>
        <w:rPr>
          <w:noProof w:val="0"/>
        </w:rPr>
      </w:pPr>
    </w:p>
    <w:p>
      <w:pPr>
        <w:spacing w:after="4" w:beforeAutospacing="0" w:afterAutospacing="0"/>
        <w:rPr>
          <w:rFonts w:ascii="Arial" w:hAnsi="Arial"/>
          <w:sz w:val="18"/>
          <w:szCs w:val="16"/>
        </w:rPr>
      </w:pPr>
      <w:r>
        <w:rPr>
          <w:sz w:val="18"/>
          <w:szCs w:val="16"/>
        </w:rPr>
        <w:t>Standardförfarande</w:t>
      </w:r>
    </w:p>
    <w:p>
      <w:pPr>
        <w:spacing w:after="4" w:beforeAutospacing="0" w:afterAutospacing="0"/>
        <w:ind w:right="667"/>
        <w:rPr>
          <w:sz w:val="18"/>
          <w:szCs w:val="16"/>
        </w:rPr>
      </w:pPr>
      <w:r>
        <w:rPr>
          <w:sz w:val="18"/>
          <w:szCs w:val="16"/>
        </w:rPr>
        <w:t xml:space="preserve">Plan- och bygglagen (SFS 2010:900) </w:t>
      </w:r>
    </w:p>
    <w:p>
      <w:pPr>
        <w:spacing w:after="4" w:beforeAutospacing="0" w:afterAutospacing="0"/>
        <w:ind w:right="667"/>
        <w:rPr>
          <w:sz w:val="18"/>
          <w:szCs w:val="16"/>
        </w:rPr>
      </w:pPr>
      <w:r>
        <w:rPr>
          <w:sz w:val="18"/>
          <w:szCs w:val="16"/>
        </w:rPr>
        <w:t>2024-02-24</w:t>
      </w:r>
    </w:p>
    <w:p>
      <w:pPr>
        <w:pStyle w:val="P2"/>
        <w:rPr>
          <w:noProof w:val="0"/>
        </w:rPr>
      </w:pPr>
    </w:p>
    <w:p>
      <w:pPr>
        <w:pStyle w:val="P2"/>
        <w:rPr>
          <w:noProof w:val="0"/>
        </w:rPr>
      </w:pPr>
      <w:r>
        <w:rPr>
          <w:noProof w:val="0"/>
        </w:rPr>
        <w:br w:type="page"/>
      </w:r>
      <w:bookmarkStart w:id="2" w:name="_Toc350329031"/>
      <w:bookmarkStart w:id="3" w:name="_Toc153889984"/>
      <w:r>
        <w:rPr>
          <w:noProof w:val="0"/>
        </w:rPr>
        <w:t>Innehållsförteckning</w:t>
      </w:r>
      <w:bookmarkEnd w:id="2"/>
      <w:bookmarkEnd w:id="3"/>
    </w:p>
    <w:p>
      <w:pPr>
        <w:pStyle w:val="P15"/>
        <w:tabs>
          <w:tab w:val="right" w:pos="9628" w:leader="dot"/>
        </w:tabs>
        <w:rPr>
          <w:rFonts w:asciiTheme="minorHAnsi" w:hAnsiTheme="minorHAnsi" w:cstheme="minorBidi" w:eastAsiaTheme="minorEastAsia"/>
          <w:noProof w:val="1"/>
          <w:sz w:val="22"/>
          <w:szCs w:val="22"/>
          <w:kern w:val="2"/>
        </w:rPr>
      </w:pPr>
      <w:r>
        <w:fldChar w:fldCharType="begin"/>
      </w:r>
      <w:r>
        <w:instrText xml:space="preserve"> TOC \o "1-3" \h \z \u </w:instrText>
      </w:r>
      <w:r>
        <w:fldChar w:fldCharType="separate"/>
      </w:r>
      <w:hyperlink w:anchor="_Toc153889984">
        <w:r>
          <w:rPr>
            <w:rStyle w:val="C2"/>
            <w:noProof w:val="1"/>
          </w:rPr>
          <w:t>Innehållsförteckning</w:t>
        </w:r>
        <w:r>
          <w:rPr>
            <w:noProof w:val="1"/>
          </w:rPr>
          <w:tab/>
        </w:r>
        <w:r>
          <w:rPr>
            <w:noProof w:val="1"/>
          </w:rPr>
          <w:fldChar w:fldCharType="begin"/>
        </w:r>
        <w:r>
          <w:rPr>
            <w:noProof w:val="1"/>
          </w:rPr>
          <w:instrText xml:space="preserve"> PAGEREF _Toc153889984 \h </w:instrText>
        </w:r>
        <w:r>
          <w:rPr>
            <w:noProof w:val="1"/>
          </w:rPr>
          <w:fldChar w:fldCharType="separate"/>
        </w:r>
        <w:r>
          <w:rPr>
            <w:noProof w:val="1"/>
          </w:rPr>
          <w:t>2</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89985">
        <w:r>
          <w:rPr>
            <w:rStyle w:val="C2"/>
            <w:noProof w:val="1"/>
          </w:rPr>
          <w:t>1</w:t>
        </w:r>
        <w:r>
          <w:rPr>
            <w:rFonts w:asciiTheme="minorHAnsi" w:hAnsiTheme="minorHAnsi" w:cstheme="minorBidi" w:eastAsiaTheme="minorEastAsia"/>
            <w:noProof w:val="1"/>
            <w:sz w:val="22"/>
            <w:szCs w:val="22"/>
            <w:kern w:val="2"/>
          </w:rPr>
          <w:tab/>
        </w:r>
        <w:r>
          <w:rPr>
            <w:rStyle w:val="C2"/>
            <w:noProof w:val="1"/>
          </w:rPr>
          <w:t>Planhandlingar</w:t>
        </w:r>
        <w:r>
          <w:rPr>
            <w:noProof w:val="1"/>
          </w:rPr>
          <w:tab/>
        </w:r>
        <w:r>
          <w:rPr>
            <w:noProof w:val="1"/>
          </w:rPr>
          <w:fldChar w:fldCharType="begin"/>
        </w:r>
        <w:r>
          <w:rPr>
            <w:noProof w:val="1"/>
          </w:rPr>
          <w:instrText xml:space="preserve"> PAGEREF _Toc153889985 \h </w:instrText>
        </w:r>
        <w:r>
          <w:rPr>
            <w:noProof w:val="1"/>
          </w:rPr>
          <w:fldChar w:fldCharType="separate"/>
        </w:r>
        <w:r>
          <w:rPr>
            <w:noProof w:val="1"/>
          </w:rPr>
          <w:t>5</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89986">
        <w:r>
          <w:rPr>
            <w:rStyle w:val="C2"/>
            <w:noProof w:val="1"/>
          </w:rPr>
          <w:t>2</w:t>
        </w:r>
        <w:r>
          <w:rPr>
            <w:rFonts w:asciiTheme="minorHAnsi" w:hAnsiTheme="minorHAnsi" w:cstheme="minorBidi" w:eastAsiaTheme="minorEastAsia"/>
            <w:noProof w:val="1"/>
            <w:sz w:val="22"/>
            <w:szCs w:val="22"/>
            <w:kern w:val="2"/>
          </w:rPr>
          <w:tab/>
        </w:r>
        <w:r>
          <w:rPr>
            <w:rStyle w:val="C2"/>
            <w:noProof w:val="1"/>
          </w:rPr>
          <w:t>Planförfarande och tidplan för planarbetet</w:t>
        </w:r>
        <w:r>
          <w:rPr>
            <w:noProof w:val="1"/>
          </w:rPr>
          <w:tab/>
        </w:r>
        <w:r>
          <w:rPr>
            <w:noProof w:val="1"/>
          </w:rPr>
          <w:fldChar w:fldCharType="begin"/>
        </w:r>
        <w:r>
          <w:rPr>
            <w:noProof w:val="1"/>
          </w:rPr>
          <w:instrText xml:space="preserve"> PAGEREF _Toc153889986 \h </w:instrText>
        </w:r>
        <w:r>
          <w:rPr>
            <w:noProof w:val="1"/>
          </w:rPr>
          <w:fldChar w:fldCharType="separate"/>
        </w:r>
        <w:r>
          <w:rPr>
            <w:noProof w:val="1"/>
          </w:rPr>
          <w:t>5</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89987">
        <w:r>
          <w:rPr>
            <w:rStyle w:val="C2"/>
            <w:noProof w:val="1"/>
          </w:rPr>
          <w:t>3</w:t>
        </w:r>
        <w:r>
          <w:rPr>
            <w:rFonts w:asciiTheme="minorHAnsi" w:hAnsiTheme="minorHAnsi" w:cstheme="minorBidi" w:eastAsiaTheme="minorEastAsia"/>
            <w:noProof w:val="1"/>
            <w:sz w:val="22"/>
            <w:szCs w:val="22"/>
            <w:kern w:val="2"/>
          </w:rPr>
          <w:tab/>
        </w:r>
        <w:r>
          <w:rPr>
            <w:rStyle w:val="C2"/>
            <w:noProof w:val="1"/>
          </w:rPr>
          <w:t>Vad är en detaljplan?</w:t>
        </w:r>
        <w:r>
          <w:rPr>
            <w:noProof w:val="1"/>
          </w:rPr>
          <w:tab/>
        </w:r>
        <w:r>
          <w:rPr>
            <w:noProof w:val="1"/>
          </w:rPr>
          <w:fldChar w:fldCharType="begin"/>
        </w:r>
        <w:r>
          <w:rPr>
            <w:noProof w:val="1"/>
          </w:rPr>
          <w:instrText xml:space="preserve"> PAGEREF _Toc153889987 \h </w:instrText>
        </w:r>
        <w:r>
          <w:rPr>
            <w:noProof w:val="1"/>
          </w:rPr>
          <w:fldChar w:fldCharType="separate"/>
        </w:r>
        <w:r>
          <w:rPr>
            <w:noProof w:val="1"/>
          </w:rPr>
          <w:t>6</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89988">
        <w:r>
          <w:rPr>
            <w:rStyle w:val="C2"/>
            <w:noProof w:val="1"/>
          </w:rPr>
          <w:t>4</w:t>
        </w:r>
        <w:r>
          <w:rPr>
            <w:rFonts w:asciiTheme="minorHAnsi" w:hAnsiTheme="minorHAnsi" w:cstheme="minorBidi" w:eastAsiaTheme="minorEastAsia"/>
            <w:noProof w:val="1"/>
            <w:sz w:val="22"/>
            <w:szCs w:val="22"/>
            <w:kern w:val="2"/>
          </w:rPr>
          <w:tab/>
        </w:r>
        <w:r>
          <w:rPr>
            <w:rStyle w:val="C2"/>
            <w:noProof w:val="1"/>
          </w:rPr>
          <w:t>Detaljplanens syfte</w:t>
        </w:r>
        <w:r>
          <w:rPr>
            <w:noProof w:val="1"/>
          </w:rPr>
          <w:tab/>
        </w:r>
        <w:r>
          <w:rPr>
            <w:noProof w:val="1"/>
          </w:rPr>
          <w:fldChar w:fldCharType="begin"/>
        </w:r>
        <w:r>
          <w:rPr>
            <w:noProof w:val="1"/>
          </w:rPr>
          <w:instrText xml:space="preserve"> PAGEREF _Toc153889988 \h </w:instrText>
        </w:r>
        <w:r>
          <w:rPr>
            <w:noProof w:val="1"/>
          </w:rPr>
          <w:fldChar w:fldCharType="separate"/>
        </w:r>
        <w:r>
          <w:rPr>
            <w:noProof w:val="1"/>
          </w:rPr>
          <w:t>6</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89989">
        <w:r>
          <w:rPr>
            <w:rStyle w:val="C2"/>
            <w:noProof w:val="1"/>
          </w:rPr>
          <w:t>4.1 Syfte</w:t>
        </w:r>
        <w:r>
          <w:rPr>
            <w:noProof w:val="1"/>
          </w:rPr>
          <w:tab/>
        </w:r>
        <w:r>
          <w:rPr>
            <w:noProof w:val="1"/>
          </w:rPr>
          <w:fldChar w:fldCharType="begin"/>
        </w:r>
        <w:r>
          <w:rPr>
            <w:noProof w:val="1"/>
          </w:rPr>
          <w:instrText xml:space="preserve"> PAGEREF _Toc153889989 \h </w:instrText>
        </w:r>
        <w:r>
          <w:rPr>
            <w:noProof w:val="1"/>
          </w:rPr>
          <w:fldChar w:fldCharType="separate"/>
        </w:r>
        <w:r>
          <w:rPr>
            <w:noProof w:val="1"/>
          </w:rPr>
          <w:t>6</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89990">
        <w:r>
          <w:rPr>
            <w:rStyle w:val="C2"/>
            <w:noProof w:val="1"/>
          </w:rPr>
          <w:t>5</w:t>
        </w:r>
        <w:r>
          <w:rPr>
            <w:rFonts w:asciiTheme="minorHAnsi" w:hAnsiTheme="minorHAnsi" w:cstheme="minorBidi" w:eastAsiaTheme="minorEastAsia"/>
            <w:noProof w:val="1"/>
            <w:sz w:val="22"/>
            <w:szCs w:val="22"/>
            <w:kern w:val="2"/>
          </w:rPr>
          <w:tab/>
        </w:r>
        <w:r>
          <w:rPr>
            <w:rStyle w:val="C2"/>
            <w:noProof w:val="1"/>
          </w:rPr>
          <w:t>Beskrivning av detaljplanen</w:t>
        </w:r>
        <w:r>
          <w:rPr>
            <w:noProof w:val="1"/>
          </w:rPr>
          <w:tab/>
        </w:r>
        <w:r>
          <w:rPr>
            <w:noProof w:val="1"/>
          </w:rPr>
          <w:fldChar w:fldCharType="begin"/>
        </w:r>
        <w:r>
          <w:rPr>
            <w:noProof w:val="1"/>
          </w:rPr>
          <w:instrText xml:space="preserve"> PAGEREF _Toc153889990 \h </w:instrText>
        </w:r>
        <w:r>
          <w:rPr>
            <w:noProof w:val="1"/>
          </w:rPr>
          <w:fldChar w:fldCharType="separate"/>
        </w:r>
        <w:r>
          <w:rPr>
            <w:noProof w:val="1"/>
          </w:rPr>
          <w:t>7</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89991">
        <w:r>
          <w:rPr>
            <w:rStyle w:val="C2"/>
            <w:noProof w:val="1"/>
          </w:rPr>
          <w:t>5.1 Hela detaljplanen</w:t>
        </w:r>
        <w:r>
          <w:rPr>
            <w:noProof w:val="1"/>
          </w:rPr>
          <w:tab/>
        </w:r>
        <w:r>
          <w:rPr>
            <w:noProof w:val="1"/>
          </w:rPr>
          <w:fldChar w:fldCharType="begin"/>
        </w:r>
        <w:r>
          <w:rPr>
            <w:noProof w:val="1"/>
          </w:rPr>
          <w:instrText xml:space="preserve"> PAGEREF _Toc153889991 \h </w:instrText>
        </w:r>
        <w:r>
          <w:rPr>
            <w:noProof w:val="1"/>
          </w:rPr>
          <w:fldChar w:fldCharType="separate"/>
        </w:r>
        <w:r>
          <w:rPr>
            <w:noProof w:val="1"/>
          </w:rPr>
          <w:t>7</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89992">
        <w:r>
          <w:rPr>
            <w:rStyle w:val="C2"/>
            <w:noProof w:val="1"/>
          </w:rPr>
          <w:t>5.2 Genomförandetid</w:t>
        </w:r>
        <w:r>
          <w:rPr>
            <w:noProof w:val="1"/>
          </w:rPr>
          <w:tab/>
        </w:r>
        <w:r>
          <w:rPr>
            <w:noProof w:val="1"/>
          </w:rPr>
          <w:fldChar w:fldCharType="begin"/>
        </w:r>
        <w:r>
          <w:rPr>
            <w:noProof w:val="1"/>
          </w:rPr>
          <w:instrText xml:space="preserve"> PAGEREF _Toc153889992 \h </w:instrText>
        </w:r>
        <w:r>
          <w:rPr>
            <w:noProof w:val="1"/>
          </w:rPr>
          <w:fldChar w:fldCharType="separate"/>
        </w:r>
        <w:r>
          <w:rPr>
            <w:noProof w:val="1"/>
          </w:rPr>
          <w:t>7</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89993">
        <w:r>
          <w:rPr>
            <w:rStyle w:val="C2"/>
            <w:noProof w:val="1"/>
          </w:rPr>
          <w:t>5.3 Allmän plats</w:t>
        </w:r>
        <w:r>
          <w:rPr>
            <w:noProof w:val="1"/>
          </w:rPr>
          <w:tab/>
        </w:r>
        <w:r>
          <w:rPr>
            <w:noProof w:val="1"/>
          </w:rPr>
          <w:fldChar w:fldCharType="begin"/>
        </w:r>
        <w:r>
          <w:rPr>
            <w:noProof w:val="1"/>
          </w:rPr>
          <w:instrText xml:space="preserve"> PAGEREF _Toc153889993 \h </w:instrText>
        </w:r>
        <w:r>
          <w:rPr>
            <w:noProof w:val="1"/>
          </w:rPr>
          <w:fldChar w:fldCharType="separate"/>
        </w:r>
        <w:r>
          <w:rPr>
            <w:noProof w:val="1"/>
          </w:rPr>
          <w:t>7</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89994">
        <w:r>
          <w:rPr>
            <w:rStyle w:val="C2"/>
            <w:noProof w:val="1"/>
          </w:rPr>
          <w:t>5.3.1 Huvudmannaskap</w:t>
        </w:r>
        <w:r>
          <w:rPr>
            <w:noProof w:val="1"/>
          </w:rPr>
          <w:tab/>
        </w:r>
        <w:r>
          <w:rPr>
            <w:noProof w:val="1"/>
          </w:rPr>
          <w:fldChar w:fldCharType="begin"/>
        </w:r>
        <w:r>
          <w:rPr>
            <w:noProof w:val="1"/>
          </w:rPr>
          <w:instrText xml:space="preserve"> PAGEREF _Toc153889994 \h </w:instrText>
        </w:r>
        <w:r>
          <w:rPr>
            <w:noProof w:val="1"/>
          </w:rPr>
          <w:fldChar w:fldCharType="separate"/>
        </w:r>
        <w:r>
          <w:rPr>
            <w:noProof w:val="1"/>
          </w:rPr>
          <w:t>7</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89995">
        <w:r>
          <w:rPr>
            <w:rStyle w:val="C2"/>
            <w:noProof w:val="1"/>
          </w:rPr>
          <w:t>5.4 Kvartersmark</w:t>
        </w:r>
        <w:r>
          <w:rPr>
            <w:noProof w:val="1"/>
          </w:rPr>
          <w:tab/>
        </w:r>
        <w:r>
          <w:rPr>
            <w:noProof w:val="1"/>
          </w:rPr>
          <w:fldChar w:fldCharType="begin"/>
        </w:r>
        <w:r>
          <w:rPr>
            <w:noProof w:val="1"/>
          </w:rPr>
          <w:instrText xml:space="preserve"> PAGEREF _Toc153889995 \h </w:instrText>
        </w:r>
        <w:r>
          <w:rPr>
            <w:noProof w:val="1"/>
          </w:rPr>
          <w:fldChar w:fldCharType="separate"/>
        </w:r>
        <w:r>
          <w:rPr>
            <w:noProof w:val="1"/>
          </w:rPr>
          <w:t>7</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89996">
        <w:r>
          <w:rPr>
            <w:rStyle w:val="C2"/>
            <w:noProof w:val="1"/>
          </w:rPr>
          <w:t>5.5 Befintligt</w:t>
        </w:r>
        <w:r>
          <w:rPr>
            <w:noProof w:val="1"/>
          </w:rPr>
          <w:tab/>
        </w:r>
        <w:r>
          <w:rPr>
            <w:noProof w:val="1"/>
          </w:rPr>
          <w:fldChar w:fldCharType="begin"/>
        </w:r>
        <w:r>
          <w:rPr>
            <w:noProof w:val="1"/>
          </w:rPr>
          <w:instrText xml:space="preserve"> PAGEREF _Toc153889996 \h </w:instrText>
        </w:r>
        <w:r>
          <w:rPr>
            <w:noProof w:val="1"/>
          </w:rPr>
          <w:fldChar w:fldCharType="separate"/>
        </w:r>
        <w:r>
          <w:rPr>
            <w:noProof w:val="1"/>
          </w:rPr>
          <w:t>7</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89997">
        <w:r>
          <w:rPr>
            <w:rStyle w:val="C2"/>
            <w:noProof w:val="1"/>
          </w:rPr>
          <w:t>6</w:t>
        </w:r>
        <w:r>
          <w:rPr>
            <w:rFonts w:asciiTheme="minorHAnsi" w:hAnsiTheme="minorHAnsi" w:cstheme="minorBidi" w:eastAsiaTheme="minorEastAsia"/>
            <w:noProof w:val="1"/>
            <w:sz w:val="22"/>
            <w:szCs w:val="22"/>
            <w:kern w:val="2"/>
          </w:rPr>
          <w:tab/>
        </w:r>
        <w:r>
          <w:rPr>
            <w:rStyle w:val="C2"/>
            <w:noProof w:val="1"/>
          </w:rPr>
          <w:t>MOTIV TILL DETALJPLANENS REGLERINGAR</w:t>
        </w:r>
        <w:r>
          <w:rPr>
            <w:noProof w:val="1"/>
          </w:rPr>
          <w:tab/>
        </w:r>
        <w:r>
          <w:rPr>
            <w:noProof w:val="1"/>
          </w:rPr>
          <w:fldChar w:fldCharType="begin"/>
        </w:r>
        <w:r>
          <w:rPr>
            <w:noProof w:val="1"/>
          </w:rPr>
          <w:instrText xml:space="preserve"> PAGEREF _Toc153889997 \h </w:instrText>
        </w:r>
        <w:r>
          <w:rPr>
            <w:noProof w:val="1"/>
          </w:rPr>
          <w:fldChar w:fldCharType="separate"/>
        </w:r>
        <w:r>
          <w:rPr>
            <w:noProof w:val="1"/>
          </w:rPr>
          <w:t>8</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89998">
        <w:r>
          <w:rPr>
            <w:rStyle w:val="C2"/>
            <w:noProof w:val="1"/>
          </w:rPr>
          <w:t>6.1 Motiv till regleringar</w:t>
        </w:r>
        <w:r>
          <w:rPr>
            <w:noProof w:val="1"/>
          </w:rPr>
          <w:tab/>
        </w:r>
        <w:r>
          <w:rPr>
            <w:noProof w:val="1"/>
          </w:rPr>
          <w:fldChar w:fldCharType="begin"/>
        </w:r>
        <w:r>
          <w:rPr>
            <w:noProof w:val="1"/>
          </w:rPr>
          <w:instrText xml:space="preserve"> PAGEREF _Toc153889998 \h </w:instrText>
        </w:r>
        <w:r>
          <w:rPr>
            <w:noProof w:val="1"/>
          </w:rPr>
          <w:fldChar w:fldCharType="separate"/>
        </w:r>
        <w:r>
          <w:rPr>
            <w:noProof w:val="1"/>
          </w:rPr>
          <w:t>8</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89999">
        <w:r>
          <w:rPr>
            <w:rStyle w:val="C2"/>
            <w:noProof w:val="1"/>
          </w:rPr>
          <w:t>6.1.1 allmän platsmark</w:t>
        </w:r>
        <w:r>
          <w:rPr>
            <w:noProof w:val="1"/>
          </w:rPr>
          <w:tab/>
        </w:r>
        <w:r>
          <w:rPr>
            <w:noProof w:val="1"/>
          </w:rPr>
          <w:fldChar w:fldCharType="begin"/>
        </w:r>
        <w:r>
          <w:rPr>
            <w:noProof w:val="1"/>
          </w:rPr>
          <w:instrText xml:space="preserve"> PAGEREF _Toc153889999 \h </w:instrText>
        </w:r>
        <w:r>
          <w:rPr>
            <w:noProof w:val="1"/>
          </w:rPr>
          <w:fldChar w:fldCharType="separate"/>
        </w:r>
        <w:r>
          <w:rPr>
            <w:noProof w:val="1"/>
          </w:rPr>
          <w:t>8</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00">
        <w:r>
          <w:rPr>
            <w:rStyle w:val="C2"/>
            <w:noProof w:val="1"/>
          </w:rPr>
          <w:t>6.1.2 kvartersmark</w:t>
        </w:r>
        <w:r>
          <w:rPr>
            <w:noProof w:val="1"/>
          </w:rPr>
          <w:tab/>
        </w:r>
        <w:r>
          <w:rPr>
            <w:noProof w:val="1"/>
          </w:rPr>
          <w:fldChar w:fldCharType="begin"/>
        </w:r>
        <w:r>
          <w:rPr>
            <w:noProof w:val="1"/>
          </w:rPr>
          <w:instrText xml:space="preserve"> PAGEREF _Toc153890000 \h </w:instrText>
        </w:r>
        <w:r>
          <w:rPr>
            <w:noProof w:val="1"/>
          </w:rPr>
          <w:fldChar w:fldCharType="separate"/>
        </w:r>
        <w:r>
          <w:rPr>
            <w:noProof w:val="1"/>
          </w:rPr>
          <w:t>8</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90001">
        <w:r>
          <w:rPr>
            <w:rStyle w:val="C2"/>
            <w:noProof w:val="1"/>
          </w:rPr>
          <w:t>7</w:t>
        </w:r>
        <w:r>
          <w:rPr>
            <w:rFonts w:asciiTheme="minorHAnsi" w:hAnsiTheme="minorHAnsi" w:cstheme="minorBidi" w:eastAsiaTheme="minorEastAsia"/>
            <w:noProof w:val="1"/>
            <w:sz w:val="22"/>
            <w:szCs w:val="22"/>
            <w:kern w:val="2"/>
          </w:rPr>
          <w:tab/>
        </w:r>
        <w:r>
          <w:rPr>
            <w:rStyle w:val="C2"/>
            <w:noProof w:val="1"/>
          </w:rPr>
          <w:t>PLANERINGSFÖRUTSÄTTNINGAR</w:t>
        </w:r>
        <w:r>
          <w:rPr>
            <w:noProof w:val="1"/>
          </w:rPr>
          <w:tab/>
        </w:r>
        <w:r>
          <w:rPr>
            <w:noProof w:val="1"/>
          </w:rPr>
          <w:fldChar w:fldCharType="begin"/>
        </w:r>
        <w:r>
          <w:rPr>
            <w:noProof w:val="1"/>
          </w:rPr>
          <w:instrText xml:space="preserve"> PAGEREF _Toc153890001 \h </w:instrText>
        </w:r>
        <w:r>
          <w:rPr>
            <w:noProof w:val="1"/>
          </w:rPr>
          <w:fldChar w:fldCharType="separate"/>
        </w:r>
        <w:r>
          <w:rPr>
            <w:noProof w:val="1"/>
          </w:rPr>
          <w:t>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02">
        <w:r>
          <w:rPr>
            <w:rStyle w:val="C2"/>
            <w:noProof w:val="1"/>
          </w:rPr>
          <w:t>7.1 Kommunala</w:t>
        </w:r>
        <w:r>
          <w:rPr>
            <w:noProof w:val="1"/>
          </w:rPr>
          <w:tab/>
        </w:r>
        <w:r>
          <w:rPr>
            <w:noProof w:val="1"/>
          </w:rPr>
          <w:fldChar w:fldCharType="begin"/>
        </w:r>
        <w:r>
          <w:rPr>
            <w:noProof w:val="1"/>
          </w:rPr>
          <w:instrText xml:space="preserve"> PAGEREF _Toc153890002 \h </w:instrText>
        </w:r>
        <w:r>
          <w:rPr>
            <w:noProof w:val="1"/>
          </w:rPr>
          <w:fldChar w:fldCharType="separate"/>
        </w:r>
        <w:r>
          <w:rPr>
            <w:noProof w:val="1"/>
          </w:rPr>
          <w:t>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03">
        <w:r>
          <w:rPr>
            <w:rStyle w:val="C2"/>
            <w:noProof w:val="1"/>
          </w:rPr>
          <w:t>7.1.1 Detaljplan</w:t>
        </w:r>
        <w:r>
          <w:rPr>
            <w:noProof w:val="1"/>
          </w:rPr>
          <w:tab/>
        </w:r>
        <w:r>
          <w:rPr>
            <w:noProof w:val="1"/>
          </w:rPr>
          <w:fldChar w:fldCharType="begin"/>
        </w:r>
        <w:r>
          <w:rPr>
            <w:noProof w:val="1"/>
          </w:rPr>
          <w:instrText xml:space="preserve"> PAGEREF _Toc153890003 \h </w:instrText>
        </w:r>
        <w:r>
          <w:rPr>
            <w:noProof w:val="1"/>
          </w:rPr>
          <w:fldChar w:fldCharType="separate"/>
        </w:r>
        <w:r>
          <w:rPr>
            <w:noProof w:val="1"/>
          </w:rPr>
          <w:t>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04">
        <w:r>
          <w:rPr>
            <w:rStyle w:val="C2"/>
            <w:noProof w:val="1"/>
          </w:rPr>
          <w:t>7.1.2 Planbesked</w:t>
        </w:r>
        <w:r>
          <w:rPr>
            <w:noProof w:val="1"/>
          </w:rPr>
          <w:tab/>
        </w:r>
        <w:r>
          <w:rPr>
            <w:noProof w:val="1"/>
          </w:rPr>
          <w:fldChar w:fldCharType="begin"/>
        </w:r>
        <w:r>
          <w:rPr>
            <w:noProof w:val="1"/>
          </w:rPr>
          <w:instrText xml:space="preserve"> PAGEREF _Toc153890004 \h </w:instrText>
        </w:r>
        <w:r>
          <w:rPr>
            <w:noProof w:val="1"/>
          </w:rPr>
          <w:fldChar w:fldCharType="separate"/>
        </w:r>
        <w:r>
          <w:rPr>
            <w:noProof w:val="1"/>
          </w:rPr>
          <w:t>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05">
        <w:r>
          <w:rPr>
            <w:rStyle w:val="C2"/>
            <w:noProof w:val="1"/>
          </w:rPr>
          <w:t>7.1.3 Översiktsplan</w:t>
        </w:r>
        <w:r>
          <w:rPr>
            <w:noProof w:val="1"/>
          </w:rPr>
          <w:tab/>
        </w:r>
        <w:r>
          <w:rPr>
            <w:noProof w:val="1"/>
          </w:rPr>
          <w:fldChar w:fldCharType="begin"/>
        </w:r>
        <w:r>
          <w:rPr>
            <w:noProof w:val="1"/>
          </w:rPr>
          <w:instrText xml:space="preserve"> PAGEREF _Toc153890005 \h </w:instrText>
        </w:r>
        <w:r>
          <w:rPr>
            <w:noProof w:val="1"/>
          </w:rPr>
          <w:fldChar w:fldCharType="separate"/>
        </w:r>
        <w:r>
          <w:rPr>
            <w:noProof w:val="1"/>
          </w:rPr>
          <w:t>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06">
        <w:r>
          <w:rPr>
            <w:rStyle w:val="C2"/>
            <w:noProof w:val="1"/>
          </w:rPr>
          <w:t>7.2 Riksintressen</w:t>
        </w:r>
        <w:r>
          <w:rPr>
            <w:noProof w:val="1"/>
          </w:rPr>
          <w:tab/>
        </w:r>
        <w:r>
          <w:rPr>
            <w:noProof w:val="1"/>
          </w:rPr>
          <w:fldChar w:fldCharType="begin"/>
        </w:r>
        <w:r>
          <w:rPr>
            <w:noProof w:val="1"/>
          </w:rPr>
          <w:instrText xml:space="preserve"> PAGEREF _Toc153890006 \h </w:instrText>
        </w:r>
        <w:r>
          <w:rPr>
            <w:noProof w:val="1"/>
          </w:rPr>
          <w:fldChar w:fldCharType="separate"/>
        </w:r>
        <w:r>
          <w:rPr>
            <w:noProof w:val="1"/>
          </w:rPr>
          <w:t>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07">
        <w:r>
          <w:rPr>
            <w:rStyle w:val="C2"/>
            <w:noProof w:val="1"/>
          </w:rPr>
          <w:t>7.2.1 Skyddade vattendrag</w:t>
        </w:r>
        <w:r>
          <w:rPr>
            <w:noProof w:val="1"/>
          </w:rPr>
          <w:tab/>
        </w:r>
        <w:r>
          <w:rPr>
            <w:noProof w:val="1"/>
          </w:rPr>
          <w:fldChar w:fldCharType="begin"/>
        </w:r>
        <w:r>
          <w:rPr>
            <w:noProof w:val="1"/>
          </w:rPr>
          <w:instrText xml:space="preserve"> PAGEREF _Toc153890007 \h </w:instrText>
        </w:r>
        <w:r>
          <w:rPr>
            <w:noProof w:val="1"/>
          </w:rPr>
          <w:fldChar w:fldCharType="separate"/>
        </w:r>
        <w:r>
          <w:rPr>
            <w:noProof w:val="1"/>
          </w:rPr>
          <w:t>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08">
        <w:r>
          <w:rPr>
            <w:rStyle w:val="C2"/>
            <w:noProof w:val="1"/>
          </w:rPr>
          <w:t>7.3 Miljökvalitetsnormer</w:t>
        </w:r>
        <w:r>
          <w:rPr>
            <w:noProof w:val="1"/>
          </w:rPr>
          <w:tab/>
        </w:r>
        <w:r>
          <w:rPr>
            <w:noProof w:val="1"/>
          </w:rPr>
          <w:fldChar w:fldCharType="begin"/>
        </w:r>
        <w:r>
          <w:rPr>
            <w:noProof w:val="1"/>
          </w:rPr>
          <w:instrText xml:space="preserve"> PAGEREF _Toc153890008 \h </w:instrText>
        </w:r>
        <w:r>
          <w:rPr>
            <w:noProof w:val="1"/>
          </w:rPr>
          <w:fldChar w:fldCharType="separate"/>
        </w:r>
        <w:r>
          <w:rPr>
            <w:noProof w:val="1"/>
          </w:rPr>
          <w:t>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09">
        <w:r>
          <w:rPr>
            <w:rStyle w:val="C2"/>
            <w:noProof w:val="1"/>
          </w:rPr>
          <w:t>7.3.1 Luft</w:t>
        </w:r>
        <w:r>
          <w:rPr>
            <w:noProof w:val="1"/>
          </w:rPr>
          <w:tab/>
        </w:r>
        <w:r>
          <w:rPr>
            <w:noProof w:val="1"/>
          </w:rPr>
          <w:fldChar w:fldCharType="begin"/>
        </w:r>
        <w:r>
          <w:rPr>
            <w:noProof w:val="1"/>
          </w:rPr>
          <w:instrText xml:space="preserve"> PAGEREF _Toc153890009 \h </w:instrText>
        </w:r>
        <w:r>
          <w:rPr>
            <w:noProof w:val="1"/>
          </w:rPr>
          <w:fldChar w:fldCharType="separate"/>
        </w:r>
        <w:r>
          <w:rPr>
            <w:noProof w:val="1"/>
          </w:rPr>
          <w:t>10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10">
        <w:r>
          <w:rPr>
            <w:rStyle w:val="C2"/>
            <w:noProof w:val="1"/>
          </w:rPr>
          <w:t>7.3.2 Vatten</w:t>
        </w:r>
        <w:r>
          <w:rPr>
            <w:noProof w:val="1"/>
          </w:rPr>
          <w:tab/>
        </w:r>
        <w:r>
          <w:rPr>
            <w:noProof w:val="1"/>
          </w:rPr>
          <w:fldChar w:fldCharType="begin"/>
        </w:r>
        <w:r>
          <w:rPr>
            <w:noProof w:val="1"/>
          </w:rPr>
          <w:instrText xml:space="preserve"> PAGEREF _Toc153890010 \h </w:instrText>
        </w:r>
        <w:r>
          <w:rPr>
            <w:noProof w:val="1"/>
          </w:rPr>
          <w:fldChar w:fldCharType="separate"/>
        </w:r>
        <w:r>
          <w:rPr>
            <w:noProof w:val="1"/>
          </w:rPr>
          <w:t>10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11">
        <w:r>
          <w:rPr>
            <w:rStyle w:val="C2"/>
            <w:noProof w:val="1"/>
          </w:rPr>
          <w:t>7.3.3 Buller</w:t>
        </w:r>
        <w:r>
          <w:rPr>
            <w:noProof w:val="1"/>
          </w:rPr>
          <w:tab/>
        </w:r>
        <w:r>
          <w:rPr>
            <w:noProof w:val="1"/>
          </w:rPr>
          <w:fldChar w:fldCharType="begin"/>
        </w:r>
        <w:r>
          <w:rPr>
            <w:noProof w:val="1"/>
          </w:rPr>
          <w:instrText xml:space="preserve"> PAGEREF _Toc153890011 \h </w:instrText>
        </w:r>
        <w:r>
          <w:rPr>
            <w:noProof w:val="1"/>
          </w:rPr>
          <w:fldChar w:fldCharType="separate"/>
        </w:r>
        <w:r>
          <w:rPr>
            <w:noProof w:val="1"/>
          </w:rPr>
          <w:t>11</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12">
        <w:r>
          <w:rPr>
            <w:rStyle w:val="C2"/>
            <w:noProof w:val="1"/>
          </w:rPr>
          <w:t>7.4 Hälsa och säkerhet</w:t>
        </w:r>
        <w:r>
          <w:rPr>
            <w:noProof w:val="1"/>
          </w:rPr>
          <w:tab/>
        </w:r>
        <w:r>
          <w:rPr>
            <w:noProof w:val="1"/>
          </w:rPr>
          <w:fldChar w:fldCharType="begin"/>
        </w:r>
        <w:r>
          <w:rPr>
            <w:noProof w:val="1"/>
          </w:rPr>
          <w:instrText xml:space="preserve"> PAGEREF _Toc153890012 \h </w:instrText>
        </w:r>
        <w:r>
          <w:rPr>
            <w:noProof w:val="1"/>
          </w:rPr>
          <w:fldChar w:fldCharType="separate"/>
        </w:r>
        <w:r>
          <w:rPr>
            <w:noProof w:val="1"/>
          </w:rPr>
          <w:t>11</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13">
        <w:r>
          <w:rPr>
            <w:rStyle w:val="C2"/>
            <w:noProof w:val="1"/>
          </w:rPr>
          <w:t>7.4.1 Omgivningsbuller</w:t>
        </w:r>
        <w:r>
          <w:rPr>
            <w:noProof w:val="1"/>
          </w:rPr>
          <w:tab/>
        </w:r>
        <w:r>
          <w:rPr>
            <w:noProof w:val="1"/>
          </w:rPr>
          <w:fldChar w:fldCharType="begin"/>
        </w:r>
        <w:r>
          <w:rPr>
            <w:noProof w:val="1"/>
          </w:rPr>
          <w:instrText xml:space="preserve"> PAGEREF _Toc153890013 \h </w:instrText>
        </w:r>
        <w:r>
          <w:rPr>
            <w:noProof w:val="1"/>
          </w:rPr>
          <w:fldChar w:fldCharType="separate"/>
        </w:r>
        <w:r>
          <w:rPr>
            <w:noProof w:val="1"/>
          </w:rPr>
          <w:t>11</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14">
        <w:r>
          <w:rPr>
            <w:rStyle w:val="C2"/>
            <w:noProof w:val="1"/>
          </w:rPr>
          <w:t>7.4.2 Risk för olyckor</w:t>
        </w:r>
        <w:r>
          <w:rPr>
            <w:noProof w:val="1"/>
          </w:rPr>
          <w:tab/>
        </w:r>
        <w:r>
          <w:rPr>
            <w:noProof w:val="1"/>
          </w:rPr>
          <w:fldChar w:fldCharType="begin"/>
        </w:r>
        <w:r>
          <w:rPr>
            <w:noProof w:val="1"/>
          </w:rPr>
          <w:instrText xml:space="preserve"> PAGEREF _Toc153890014 \h </w:instrText>
        </w:r>
        <w:r>
          <w:rPr>
            <w:noProof w:val="1"/>
          </w:rPr>
          <w:fldChar w:fldCharType="separate"/>
        </w:r>
        <w:r>
          <w:rPr>
            <w:noProof w:val="1"/>
          </w:rPr>
          <w:t>12</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15">
        <w:r>
          <w:rPr>
            <w:rStyle w:val="C2"/>
            <w:noProof w:val="1"/>
          </w:rPr>
          <w:t>7.4.3 Risk för översvämning</w:t>
        </w:r>
        <w:r>
          <w:rPr>
            <w:noProof w:val="1"/>
          </w:rPr>
          <w:tab/>
        </w:r>
        <w:r>
          <w:rPr>
            <w:noProof w:val="1"/>
          </w:rPr>
          <w:fldChar w:fldCharType="begin"/>
        </w:r>
        <w:r>
          <w:rPr>
            <w:noProof w:val="1"/>
          </w:rPr>
          <w:instrText xml:space="preserve"> PAGEREF _Toc153890015 \h </w:instrText>
        </w:r>
        <w:r>
          <w:rPr>
            <w:noProof w:val="1"/>
          </w:rPr>
          <w:fldChar w:fldCharType="separate"/>
        </w:r>
        <w:r>
          <w:rPr>
            <w:noProof w:val="1"/>
          </w:rPr>
          <w:t>12</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16">
        <w:r>
          <w:rPr>
            <w:rStyle w:val="C2"/>
            <w:noProof w:val="1"/>
          </w:rPr>
          <w:t>7.4.4 Risk för erosion</w:t>
        </w:r>
        <w:r>
          <w:rPr>
            <w:noProof w:val="1"/>
          </w:rPr>
          <w:tab/>
        </w:r>
        <w:r>
          <w:rPr>
            <w:noProof w:val="1"/>
          </w:rPr>
          <w:fldChar w:fldCharType="begin"/>
        </w:r>
        <w:r>
          <w:rPr>
            <w:noProof w:val="1"/>
          </w:rPr>
          <w:instrText xml:space="preserve"> PAGEREF _Toc153890016 \h </w:instrText>
        </w:r>
        <w:r>
          <w:rPr>
            <w:noProof w:val="1"/>
          </w:rPr>
          <w:fldChar w:fldCharType="separate"/>
        </w:r>
        <w:r>
          <w:rPr>
            <w:noProof w:val="1"/>
          </w:rPr>
          <w:t>12</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17">
        <w:r>
          <w:rPr>
            <w:rStyle w:val="C2"/>
            <w:noProof w:val="1"/>
          </w:rPr>
          <w:t>Risken för erosion till följd av översvämning bedöms vara liten.</w:t>
        </w:r>
        <w:r>
          <w:rPr>
            <w:noProof w:val="1"/>
          </w:rPr>
          <w:tab/>
        </w:r>
        <w:r>
          <w:rPr>
            <w:noProof w:val="1"/>
          </w:rPr>
          <w:fldChar w:fldCharType="begin"/>
        </w:r>
        <w:r>
          <w:rPr>
            <w:noProof w:val="1"/>
          </w:rPr>
          <w:instrText xml:space="preserve"> PAGEREF _Toc153890017 \h </w:instrText>
        </w:r>
        <w:r>
          <w:rPr>
            <w:noProof w:val="1"/>
          </w:rPr>
          <w:fldChar w:fldCharType="separate"/>
        </w:r>
        <w:r>
          <w:rPr>
            <w:noProof w:val="1"/>
          </w:rPr>
          <w:t>12</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18">
        <w:r>
          <w:rPr>
            <w:rStyle w:val="C2"/>
            <w:noProof w:val="1"/>
          </w:rPr>
          <w:t>7.5 Kulturmiljö</w:t>
        </w:r>
        <w:r>
          <w:rPr>
            <w:noProof w:val="1"/>
          </w:rPr>
          <w:tab/>
        </w:r>
        <w:r>
          <w:rPr>
            <w:noProof w:val="1"/>
          </w:rPr>
          <w:fldChar w:fldCharType="begin"/>
        </w:r>
        <w:r>
          <w:rPr>
            <w:noProof w:val="1"/>
          </w:rPr>
          <w:instrText xml:space="preserve"> PAGEREF _Toc153890018 \h </w:instrText>
        </w:r>
        <w:r>
          <w:rPr>
            <w:noProof w:val="1"/>
          </w:rPr>
          <w:fldChar w:fldCharType="separate"/>
        </w:r>
        <w:r>
          <w:rPr>
            <w:noProof w:val="1"/>
          </w:rPr>
          <w:t>12</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19">
        <w:r>
          <w:rPr>
            <w:rStyle w:val="C2"/>
            <w:noProof w:val="1"/>
          </w:rPr>
          <w:t>7.6 Fysisk miljö</w:t>
        </w:r>
        <w:r>
          <w:rPr>
            <w:noProof w:val="1"/>
          </w:rPr>
          <w:tab/>
        </w:r>
        <w:r>
          <w:rPr>
            <w:noProof w:val="1"/>
          </w:rPr>
          <w:fldChar w:fldCharType="begin"/>
        </w:r>
        <w:r>
          <w:rPr>
            <w:noProof w:val="1"/>
          </w:rPr>
          <w:instrText xml:space="preserve"> PAGEREF _Toc153890019 \h </w:instrText>
        </w:r>
        <w:r>
          <w:rPr>
            <w:noProof w:val="1"/>
          </w:rPr>
          <w:fldChar w:fldCharType="separate"/>
        </w:r>
        <w:r>
          <w:rPr>
            <w:noProof w:val="1"/>
          </w:rPr>
          <w:t>12</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20">
        <w:r>
          <w:rPr>
            <w:rStyle w:val="C2"/>
            <w:noProof w:val="1"/>
          </w:rPr>
          <w:t>7.7 Teknik</w:t>
        </w:r>
        <w:r>
          <w:rPr>
            <w:noProof w:val="1"/>
          </w:rPr>
          <w:tab/>
        </w:r>
        <w:r>
          <w:rPr>
            <w:noProof w:val="1"/>
          </w:rPr>
          <w:fldChar w:fldCharType="begin"/>
        </w:r>
        <w:r>
          <w:rPr>
            <w:noProof w:val="1"/>
          </w:rPr>
          <w:instrText xml:space="preserve"> PAGEREF _Toc153890020 \h </w:instrText>
        </w:r>
        <w:r>
          <w:rPr>
            <w:noProof w:val="1"/>
          </w:rPr>
          <w:fldChar w:fldCharType="separate"/>
        </w:r>
        <w:r>
          <w:rPr>
            <w:noProof w:val="1"/>
          </w:rPr>
          <w:t>13</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21">
        <w:r>
          <w:rPr>
            <w:rStyle w:val="C2"/>
            <w:noProof w:val="1"/>
          </w:rPr>
          <w:t>7.8 Service</w:t>
        </w:r>
        <w:r>
          <w:rPr>
            <w:noProof w:val="1"/>
          </w:rPr>
          <w:tab/>
        </w:r>
        <w:r>
          <w:rPr>
            <w:noProof w:val="1"/>
          </w:rPr>
          <w:fldChar w:fldCharType="begin"/>
        </w:r>
        <w:r>
          <w:rPr>
            <w:noProof w:val="1"/>
          </w:rPr>
          <w:instrText xml:space="preserve"> PAGEREF _Toc153890021 \h </w:instrText>
        </w:r>
        <w:r>
          <w:rPr>
            <w:noProof w:val="1"/>
          </w:rPr>
          <w:fldChar w:fldCharType="separate"/>
        </w:r>
        <w:r>
          <w:rPr>
            <w:noProof w:val="1"/>
          </w:rPr>
          <w:t>13</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22">
        <w:r>
          <w:rPr>
            <w:rStyle w:val="C2"/>
            <w:noProof w:val="1"/>
          </w:rPr>
          <w:t>7.9 Trafik</w:t>
        </w:r>
        <w:r>
          <w:rPr>
            <w:noProof w:val="1"/>
          </w:rPr>
          <w:tab/>
        </w:r>
        <w:r>
          <w:rPr>
            <w:noProof w:val="1"/>
          </w:rPr>
          <w:fldChar w:fldCharType="begin"/>
        </w:r>
        <w:r>
          <w:rPr>
            <w:noProof w:val="1"/>
          </w:rPr>
          <w:instrText xml:space="preserve"> PAGEREF _Toc153890022 \h </w:instrText>
        </w:r>
        <w:r>
          <w:rPr>
            <w:noProof w:val="1"/>
          </w:rPr>
          <w:fldChar w:fldCharType="separate"/>
        </w:r>
        <w:r>
          <w:rPr>
            <w:noProof w:val="1"/>
          </w:rPr>
          <w:t>13</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90023">
        <w:r>
          <w:rPr>
            <w:rStyle w:val="C2"/>
            <w:noProof w:val="1"/>
          </w:rPr>
          <w:t>8</w:t>
        </w:r>
        <w:r>
          <w:rPr>
            <w:rFonts w:asciiTheme="minorHAnsi" w:hAnsiTheme="minorHAnsi" w:cstheme="minorBidi" w:eastAsiaTheme="minorEastAsia"/>
            <w:noProof w:val="1"/>
            <w:sz w:val="22"/>
            <w:szCs w:val="22"/>
            <w:kern w:val="2"/>
          </w:rPr>
          <w:tab/>
        </w:r>
        <w:r>
          <w:rPr>
            <w:rStyle w:val="C2"/>
            <w:noProof w:val="1"/>
          </w:rPr>
          <w:t>PLANERINGSUNDERLAG</w:t>
        </w:r>
        <w:r>
          <w:rPr>
            <w:noProof w:val="1"/>
          </w:rPr>
          <w:tab/>
        </w:r>
        <w:r>
          <w:rPr>
            <w:noProof w:val="1"/>
          </w:rPr>
          <w:fldChar w:fldCharType="begin"/>
        </w:r>
        <w:r>
          <w:rPr>
            <w:noProof w:val="1"/>
          </w:rPr>
          <w:instrText xml:space="preserve"> PAGEREF _Toc153890023 \h </w:instrText>
        </w:r>
        <w:r>
          <w:rPr>
            <w:noProof w:val="1"/>
          </w:rPr>
          <w:fldChar w:fldCharType="separate"/>
        </w:r>
        <w:r>
          <w:rPr>
            <w:noProof w:val="1"/>
          </w:rPr>
          <w:t>14</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24">
        <w:r>
          <w:rPr>
            <w:rStyle w:val="C2"/>
            <w:noProof w:val="1"/>
          </w:rPr>
          <w:t>8.1 Kommunala</w:t>
        </w:r>
        <w:r>
          <w:rPr>
            <w:noProof w:val="1"/>
          </w:rPr>
          <w:tab/>
        </w:r>
        <w:r>
          <w:rPr>
            <w:noProof w:val="1"/>
          </w:rPr>
          <w:fldChar w:fldCharType="begin"/>
        </w:r>
        <w:r>
          <w:rPr>
            <w:noProof w:val="1"/>
          </w:rPr>
          <w:instrText xml:space="preserve"> PAGEREF _Toc153890024 \h </w:instrText>
        </w:r>
        <w:r>
          <w:rPr>
            <w:noProof w:val="1"/>
          </w:rPr>
          <w:fldChar w:fldCharType="separate"/>
        </w:r>
        <w:r>
          <w:rPr>
            <w:noProof w:val="1"/>
          </w:rPr>
          <w:t>14</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25">
        <w:r>
          <w:rPr>
            <w:rStyle w:val="C2"/>
            <w:noProof w:val="1"/>
          </w:rPr>
          <w:t>8.1.1 Detaljplan</w:t>
        </w:r>
        <w:r>
          <w:rPr>
            <w:noProof w:val="1"/>
          </w:rPr>
          <w:tab/>
        </w:r>
        <w:r>
          <w:rPr>
            <w:noProof w:val="1"/>
          </w:rPr>
          <w:fldChar w:fldCharType="begin"/>
        </w:r>
        <w:r>
          <w:rPr>
            <w:noProof w:val="1"/>
          </w:rPr>
          <w:instrText xml:space="preserve"> PAGEREF _Toc153890025 \h </w:instrText>
        </w:r>
        <w:r>
          <w:rPr>
            <w:noProof w:val="1"/>
          </w:rPr>
          <w:fldChar w:fldCharType="separate"/>
        </w:r>
        <w:r>
          <w:rPr>
            <w:noProof w:val="1"/>
          </w:rPr>
          <w:t>14</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26">
        <w:r>
          <w:rPr>
            <w:rStyle w:val="C2"/>
            <w:noProof w:val="1"/>
          </w:rPr>
          <w:t>8.1.2 Grundkarta</w:t>
        </w:r>
        <w:r>
          <w:rPr>
            <w:noProof w:val="1"/>
          </w:rPr>
          <w:tab/>
        </w:r>
        <w:r>
          <w:rPr>
            <w:noProof w:val="1"/>
          </w:rPr>
          <w:fldChar w:fldCharType="begin"/>
        </w:r>
        <w:r>
          <w:rPr>
            <w:noProof w:val="1"/>
          </w:rPr>
          <w:instrText xml:space="preserve"> PAGEREF _Toc153890026 \h </w:instrText>
        </w:r>
        <w:r>
          <w:rPr>
            <w:noProof w:val="1"/>
          </w:rPr>
          <w:fldChar w:fldCharType="separate"/>
        </w:r>
        <w:r>
          <w:rPr>
            <w:noProof w:val="1"/>
          </w:rPr>
          <w:t>14</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27">
        <w:r>
          <w:rPr>
            <w:rStyle w:val="C2"/>
            <w:noProof w:val="1"/>
          </w:rPr>
          <w:t>8.1.3 Översiktsplan</w:t>
        </w:r>
        <w:r>
          <w:rPr>
            <w:noProof w:val="1"/>
          </w:rPr>
          <w:tab/>
        </w:r>
        <w:r>
          <w:rPr>
            <w:noProof w:val="1"/>
          </w:rPr>
          <w:fldChar w:fldCharType="begin"/>
        </w:r>
        <w:r>
          <w:rPr>
            <w:noProof w:val="1"/>
          </w:rPr>
          <w:instrText xml:space="preserve"> PAGEREF _Toc153890027 \h </w:instrText>
        </w:r>
        <w:r>
          <w:rPr>
            <w:noProof w:val="1"/>
          </w:rPr>
          <w:fldChar w:fldCharType="separate"/>
        </w:r>
        <w:r>
          <w:rPr>
            <w:noProof w:val="1"/>
          </w:rPr>
          <w:t>14</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28">
        <w:r>
          <w:rPr>
            <w:rStyle w:val="C2"/>
            <w:noProof w:val="1"/>
          </w:rPr>
          <w:t>8.1.4 Undersökning enligt 6 kap. 6§ plan- och bygglagen (2010:900)</w:t>
        </w:r>
        <w:r>
          <w:rPr>
            <w:noProof w:val="1"/>
          </w:rPr>
          <w:tab/>
        </w:r>
        <w:r>
          <w:rPr>
            <w:noProof w:val="1"/>
          </w:rPr>
          <w:fldChar w:fldCharType="begin"/>
        </w:r>
        <w:r>
          <w:rPr>
            <w:noProof w:val="1"/>
          </w:rPr>
          <w:instrText xml:space="preserve"> PAGEREF _Toc153890028 \h </w:instrText>
        </w:r>
        <w:r>
          <w:rPr>
            <w:noProof w:val="1"/>
          </w:rPr>
          <w:fldChar w:fldCharType="separate"/>
        </w:r>
        <w:r>
          <w:rPr>
            <w:noProof w:val="1"/>
          </w:rPr>
          <w:t>14</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29">
        <w:r>
          <w:rPr>
            <w:rStyle w:val="C2"/>
            <w:noProof w:val="1"/>
          </w:rPr>
          <w:t>8.2 Utredningar</w:t>
        </w:r>
        <w:r>
          <w:rPr>
            <w:noProof w:val="1"/>
          </w:rPr>
          <w:tab/>
        </w:r>
        <w:r>
          <w:rPr>
            <w:noProof w:val="1"/>
          </w:rPr>
          <w:fldChar w:fldCharType="begin"/>
        </w:r>
        <w:r>
          <w:rPr>
            <w:noProof w:val="1"/>
          </w:rPr>
          <w:instrText xml:space="preserve"> PAGEREF _Toc153890029 \h </w:instrText>
        </w:r>
        <w:r>
          <w:rPr>
            <w:noProof w:val="1"/>
          </w:rPr>
          <w:fldChar w:fldCharType="separate"/>
        </w:r>
        <w:r>
          <w:rPr>
            <w:noProof w:val="1"/>
          </w:rPr>
          <w:t>14</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30">
        <w:r>
          <w:rPr>
            <w:rStyle w:val="C2"/>
            <w:noProof w:val="1"/>
          </w:rPr>
          <w:t>8.2.1 Bullerutredning</w:t>
        </w:r>
        <w:r>
          <w:rPr>
            <w:noProof w:val="1"/>
          </w:rPr>
          <w:tab/>
        </w:r>
        <w:r>
          <w:rPr>
            <w:noProof w:val="1"/>
          </w:rPr>
          <w:fldChar w:fldCharType="begin"/>
        </w:r>
        <w:r>
          <w:rPr>
            <w:noProof w:val="1"/>
          </w:rPr>
          <w:instrText xml:space="preserve"> PAGEREF _Toc153890030 \h </w:instrText>
        </w:r>
        <w:r>
          <w:rPr>
            <w:noProof w:val="1"/>
          </w:rPr>
          <w:fldChar w:fldCharType="separate"/>
        </w:r>
        <w:r>
          <w:rPr>
            <w:noProof w:val="1"/>
          </w:rPr>
          <w:t>14</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31">
        <w:r>
          <w:rPr>
            <w:rStyle w:val="C2"/>
            <w:noProof w:val="1"/>
          </w:rPr>
          <w:t>8.2.2 Riskutredning</w:t>
        </w:r>
        <w:r>
          <w:rPr>
            <w:noProof w:val="1"/>
          </w:rPr>
          <w:tab/>
        </w:r>
        <w:r>
          <w:rPr>
            <w:noProof w:val="1"/>
          </w:rPr>
          <w:fldChar w:fldCharType="begin"/>
        </w:r>
        <w:r>
          <w:rPr>
            <w:noProof w:val="1"/>
          </w:rPr>
          <w:instrText xml:space="preserve"> PAGEREF _Toc153890031 \h </w:instrText>
        </w:r>
        <w:r>
          <w:rPr>
            <w:noProof w:val="1"/>
          </w:rPr>
          <w:fldChar w:fldCharType="separate"/>
        </w:r>
        <w:r>
          <w:rPr>
            <w:noProof w:val="1"/>
          </w:rPr>
          <w:t>15</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32">
        <w:r>
          <w:rPr>
            <w:rStyle w:val="C2"/>
            <w:noProof w:val="1"/>
          </w:rPr>
          <w:t>8.2.3 Kulturmiljöutredning</w:t>
        </w:r>
        <w:r>
          <w:rPr>
            <w:noProof w:val="1"/>
          </w:rPr>
          <w:tab/>
        </w:r>
        <w:r>
          <w:rPr>
            <w:noProof w:val="1"/>
          </w:rPr>
          <w:fldChar w:fldCharType="begin"/>
        </w:r>
        <w:r>
          <w:rPr>
            <w:noProof w:val="1"/>
          </w:rPr>
          <w:instrText xml:space="preserve"> PAGEREF _Toc153890032 \h </w:instrText>
        </w:r>
        <w:r>
          <w:rPr>
            <w:noProof w:val="1"/>
          </w:rPr>
          <w:fldChar w:fldCharType="separate"/>
        </w:r>
        <w:r>
          <w:rPr>
            <w:noProof w:val="1"/>
          </w:rPr>
          <w:t>17</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90033">
        <w:r>
          <w:rPr>
            <w:rStyle w:val="C2"/>
            <w:noProof w:val="1"/>
          </w:rPr>
          <w:t>9</w:t>
        </w:r>
        <w:r>
          <w:rPr>
            <w:rFonts w:asciiTheme="minorHAnsi" w:hAnsiTheme="minorHAnsi" w:cstheme="minorBidi" w:eastAsiaTheme="minorEastAsia"/>
            <w:noProof w:val="1"/>
            <w:sz w:val="22"/>
            <w:szCs w:val="22"/>
            <w:kern w:val="2"/>
          </w:rPr>
          <w:tab/>
        </w:r>
        <w:r>
          <w:rPr>
            <w:rStyle w:val="C2"/>
            <w:noProof w:val="1"/>
          </w:rPr>
          <w:t>KONSEKVENSER</w:t>
        </w:r>
        <w:r>
          <w:rPr>
            <w:noProof w:val="1"/>
          </w:rPr>
          <w:tab/>
        </w:r>
        <w:r>
          <w:rPr>
            <w:noProof w:val="1"/>
          </w:rPr>
          <w:fldChar w:fldCharType="begin"/>
        </w:r>
        <w:r>
          <w:rPr>
            <w:noProof w:val="1"/>
          </w:rPr>
          <w:instrText xml:space="preserve"> PAGEREF _Toc153890033 \h </w:instrText>
        </w:r>
        <w:r>
          <w:rPr>
            <w:noProof w:val="1"/>
          </w:rPr>
          <w:fldChar w:fldCharType="separate"/>
        </w:r>
        <w:r>
          <w:rPr>
            <w:noProof w:val="1"/>
          </w:rPr>
          <w:t>19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34">
        <w:r>
          <w:rPr>
            <w:rStyle w:val="C2"/>
            <w:noProof w:val="1"/>
          </w:rPr>
          <w:t>9.1 Fastigheter och rättigheter</w:t>
        </w:r>
        <w:r>
          <w:rPr>
            <w:noProof w:val="1"/>
          </w:rPr>
          <w:tab/>
        </w:r>
        <w:r>
          <w:rPr>
            <w:noProof w:val="1"/>
          </w:rPr>
          <w:fldChar w:fldCharType="begin"/>
        </w:r>
        <w:r>
          <w:rPr>
            <w:noProof w:val="1"/>
          </w:rPr>
          <w:instrText xml:space="preserve"> PAGEREF _Toc153890034 \h </w:instrText>
        </w:r>
        <w:r>
          <w:rPr>
            <w:noProof w:val="1"/>
          </w:rPr>
          <w:fldChar w:fldCharType="separate"/>
        </w:r>
        <w:r>
          <w:rPr>
            <w:noProof w:val="1"/>
          </w:rPr>
          <w:t>19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35">
        <w:r>
          <w:rPr>
            <w:rStyle w:val="C2"/>
            <w:noProof w:val="1"/>
          </w:rPr>
          <w:t>9.2 Miljökvalitetsnormer</w:t>
        </w:r>
        <w:r>
          <w:rPr>
            <w:noProof w:val="1"/>
          </w:rPr>
          <w:tab/>
        </w:r>
        <w:r>
          <w:rPr>
            <w:noProof w:val="1"/>
          </w:rPr>
          <w:fldChar w:fldCharType="begin"/>
        </w:r>
        <w:r>
          <w:rPr>
            <w:noProof w:val="1"/>
          </w:rPr>
          <w:instrText xml:space="preserve"> PAGEREF _Toc153890035 \h </w:instrText>
        </w:r>
        <w:r>
          <w:rPr>
            <w:noProof w:val="1"/>
          </w:rPr>
          <w:fldChar w:fldCharType="separate"/>
        </w:r>
        <w:r>
          <w:rPr>
            <w:noProof w:val="1"/>
          </w:rPr>
          <w:t>19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36">
        <w:r>
          <w:rPr>
            <w:rStyle w:val="C2"/>
            <w:noProof w:val="1"/>
          </w:rPr>
          <w:t>9.3 Hälsa och säkerhet</w:t>
        </w:r>
        <w:r>
          <w:rPr>
            <w:noProof w:val="1"/>
          </w:rPr>
          <w:tab/>
        </w:r>
        <w:r>
          <w:rPr>
            <w:noProof w:val="1"/>
          </w:rPr>
          <w:fldChar w:fldCharType="begin"/>
        </w:r>
        <w:r>
          <w:rPr>
            <w:noProof w:val="1"/>
          </w:rPr>
          <w:instrText xml:space="preserve"> PAGEREF _Toc153890036 \h </w:instrText>
        </w:r>
        <w:r>
          <w:rPr>
            <w:noProof w:val="1"/>
          </w:rPr>
          <w:fldChar w:fldCharType="separate"/>
        </w:r>
        <w:r>
          <w:rPr>
            <w:noProof w:val="1"/>
          </w:rPr>
          <w:t>19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37">
        <w:r>
          <w:rPr>
            <w:rStyle w:val="C2"/>
            <w:noProof w:val="1"/>
          </w:rPr>
          <w:t>9.3.1 Beräkning av omgivningsbuller</w:t>
        </w:r>
        <w:r>
          <w:rPr>
            <w:noProof w:val="1"/>
          </w:rPr>
          <w:tab/>
        </w:r>
        <w:r>
          <w:rPr>
            <w:noProof w:val="1"/>
          </w:rPr>
          <w:fldChar w:fldCharType="begin"/>
        </w:r>
        <w:r>
          <w:rPr>
            <w:noProof w:val="1"/>
          </w:rPr>
          <w:instrText xml:space="preserve"> PAGEREF _Toc153890037 \h </w:instrText>
        </w:r>
        <w:r>
          <w:rPr>
            <w:noProof w:val="1"/>
          </w:rPr>
          <w:fldChar w:fldCharType="separate"/>
        </w:r>
        <w:r>
          <w:rPr>
            <w:noProof w:val="1"/>
          </w:rPr>
          <w:t>19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38">
        <w:r>
          <w:rPr>
            <w:rStyle w:val="C2"/>
            <w:noProof w:val="1"/>
          </w:rPr>
          <w:t>9.3.2 Översvämning</w:t>
        </w:r>
        <w:r>
          <w:rPr>
            <w:noProof w:val="1"/>
          </w:rPr>
          <w:tab/>
        </w:r>
        <w:r>
          <w:rPr>
            <w:noProof w:val="1"/>
          </w:rPr>
          <w:fldChar w:fldCharType="begin"/>
        </w:r>
        <w:r>
          <w:rPr>
            <w:noProof w:val="1"/>
          </w:rPr>
          <w:instrText xml:space="preserve"> PAGEREF _Toc153890038 \h </w:instrText>
        </w:r>
        <w:r>
          <w:rPr>
            <w:noProof w:val="1"/>
          </w:rPr>
          <w:fldChar w:fldCharType="separate"/>
        </w:r>
        <w:r>
          <w:rPr>
            <w:noProof w:val="1"/>
          </w:rPr>
          <w:t>19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39">
        <w:r>
          <w:rPr>
            <w:rStyle w:val="C2"/>
            <w:noProof w:val="1"/>
          </w:rPr>
          <w:t>9.3.3 Olyckor</w:t>
        </w:r>
        <w:r>
          <w:rPr>
            <w:noProof w:val="1"/>
          </w:rPr>
          <w:tab/>
        </w:r>
        <w:r>
          <w:rPr>
            <w:noProof w:val="1"/>
          </w:rPr>
          <w:fldChar w:fldCharType="begin"/>
        </w:r>
        <w:r>
          <w:rPr>
            <w:noProof w:val="1"/>
          </w:rPr>
          <w:instrText xml:space="preserve"> PAGEREF _Toc153890039 \h </w:instrText>
        </w:r>
        <w:r>
          <w:rPr>
            <w:noProof w:val="1"/>
          </w:rPr>
          <w:fldChar w:fldCharType="separate"/>
        </w:r>
        <w:r>
          <w:rPr>
            <w:noProof w:val="1"/>
          </w:rPr>
          <w:t>19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40">
        <w:r>
          <w:rPr>
            <w:rStyle w:val="C2"/>
            <w:noProof w:val="1"/>
          </w:rPr>
          <w:t>9.4 Riksintresse</w:t>
        </w:r>
        <w:r>
          <w:rPr>
            <w:noProof w:val="1"/>
          </w:rPr>
          <w:tab/>
        </w:r>
        <w:r>
          <w:rPr>
            <w:noProof w:val="1"/>
          </w:rPr>
          <w:fldChar w:fldCharType="begin"/>
        </w:r>
        <w:r>
          <w:rPr>
            <w:noProof w:val="1"/>
          </w:rPr>
          <w:instrText xml:space="preserve"> PAGEREF _Toc153890040 \h </w:instrText>
        </w:r>
        <w:r>
          <w:rPr>
            <w:noProof w:val="1"/>
          </w:rPr>
          <w:fldChar w:fldCharType="separate"/>
        </w:r>
        <w:r>
          <w:rPr>
            <w:noProof w:val="1"/>
          </w:rPr>
          <w:t>19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41">
        <w:r>
          <w:rPr>
            <w:rStyle w:val="C2"/>
            <w:noProof w:val="1"/>
          </w:rPr>
          <w:t>9.4.1 Skyddade vattendrag</w:t>
        </w:r>
        <w:r>
          <w:rPr>
            <w:noProof w:val="1"/>
          </w:rPr>
          <w:tab/>
        </w:r>
        <w:r>
          <w:rPr>
            <w:noProof w:val="1"/>
          </w:rPr>
          <w:fldChar w:fldCharType="begin"/>
        </w:r>
        <w:r>
          <w:rPr>
            <w:noProof w:val="1"/>
          </w:rPr>
          <w:instrText xml:space="preserve"> PAGEREF _Toc153890041 \h </w:instrText>
        </w:r>
        <w:r>
          <w:rPr>
            <w:noProof w:val="1"/>
          </w:rPr>
          <w:fldChar w:fldCharType="separate"/>
        </w:r>
        <w:r>
          <w:rPr>
            <w:noProof w:val="1"/>
          </w:rPr>
          <w:t>19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42">
        <w:r>
          <w:rPr>
            <w:rStyle w:val="C2"/>
            <w:noProof w:val="1"/>
          </w:rPr>
          <w:t>9.5 Trafik</w:t>
        </w:r>
        <w:r>
          <w:rPr>
            <w:noProof w:val="1"/>
          </w:rPr>
          <w:tab/>
        </w:r>
        <w:r>
          <w:rPr>
            <w:noProof w:val="1"/>
          </w:rPr>
          <w:fldChar w:fldCharType="begin"/>
        </w:r>
        <w:r>
          <w:rPr>
            <w:noProof w:val="1"/>
          </w:rPr>
          <w:instrText xml:space="preserve"> PAGEREF _Toc153890042 \h </w:instrText>
        </w:r>
        <w:r>
          <w:rPr>
            <w:noProof w:val="1"/>
          </w:rPr>
          <w:fldChar w:fldCharType="separate"/>
        </w:r>
        <w:r>
          <w:rPr>
            <w:noProof w:val="1"/>
          </w:rPr>
          <w:t>19</w:t>
        </w:r>
        <w:r>
          <w:rPr>
            <w:noProof w:val="1"/>
          </w:rPr>
          <w:fldChar w:fldCharType="end"/>
        </w:r>
      </w:hyperlink>
    </w:p>
    <w:p>
      <w:pPr>
        <w:pStyle w:val="P10"/>
        <w:tabs>
          <w:tab w:val="left" w:pos="480" w:leader="none"/>
        </w:tabs>
        <w:rPr>
          <w:rFonts w:asciiTheme="minorHAnsi" w:hAnsiTheme="minorHAnsi" w:cstheme="minorBidi" w:eastAsiaTheme="minorEastAsia"/>
          <w:noProof w:val="1"/>
          <w:sz w:val="22"/>
          <w:szCs w:val="22"/>
          <w:kern w:val="2"/>
        </w:rPr>
      </w:pPr>
      <w:hyperlink w:anchor="_Toc153890043">
        <w:r>
          <w:rPr>
            <w:rStyle w:val="C2"/>
            <w:noProof w:val="1"/>
          </w:rPr>
          <w:t>10</w:t>
        </w:r>
        <w:r>
          <w:rPr>
            <w:rFonts w:asciiTheme="minorHAnsi" w:hAnsiTheme="minorHAnsi" w:cstheme="minorBidi" w:eastAsiaTheme="minorEastAsia"/>
            <w:noProof w:val="1"/>
            <w:sz w:val="22"/>
            <w:szCs w:val="22"/>
            <w:kern w:val="2"/>
          </w:rPr>
          <w:tab/>
        </w:r>
        <w:r>
          <w:rPr>
            <w:rStyle w:val="C2"/>
            <w:noProof w:val="1"/>
          </w:rPr>
          <w:t>Genomförandefrågor</w:t>
        </w:r>
        <w:r>
          <w:rPr>
            <w:noProof w:val="1"/>
          </w:rPr>
          <w:tab/>
        </w:r>
        <w:r>
          <w:rPr>
            <w:noProof w:val="1"/>
          </w:rPr>
          <w:fldChar w:fldCharType="begin"/>
        </w:r>
        <w:r>
          <w:rPr>
            <w:noProof w:val="1"/>
          </w:rPr>
          <w:instrText xml:space="preserve"> PAGEREF _Toc153890043 \h </w:instrText>
        </w:r>
        <w:r>
          <w:rPr>
            <w:noProof w:val="1"/>
          </w:rPr>
          <w:fldChar w:fldCharType="separate"/>
        </w:r>
        <w:r>
          <w:rPr>
            <w:noProof w:val="1"/>
          </w:rPr>
          <w:t>19</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44">
        <w:r>
          <w:rPr>
            <w:rStyle w:val="C2"/>
            <w:noProof w:val="1"/>
          </w:rPr>
          <w:t>10.1 Mark- och utrymmesförvärv</w:t>
        </w:r>
        <w:r>
          <w:rPr>
            <w:noProof w:val="1"/>
          </w:rPr>
          <w:tab/>
        </w:r>
        <w:r>
          <w:rPr>
            <w:noProof w:val="1"/>
          </w:rPr>
          <w:fldChar w:fldCharType="begin"/>
        </w:r>
        <w:r>
          <w:rPr>
            <w:noProof w:val="1"/>
          </w:rPr>
          <w:instrText xml:space="preserve"> PAGEREF _Toc153890044 \h </w:instrText>
        </w:r>
        <w:r>
          <w:rPr>
            <w:noProof w:val="1"/>
          </w:rPr>
          <w:fldChar w:fldCharType="separate"/>
        </w:r>
        <w:r>
          <w:rPr>
            <w:noProof w:val="1"/>
          </w:rPr>
          <w:t>19</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45">
        <w:r>
          <w:rPr>
            <w:rStyle w:val="C2"/>
            <w:noProof w:val="1"/>
          </w:rPr>
          <w:t>10.1.1 Skyldighet inlösen, huvudman</w:t>
        </w:r>
        <w:r>
          <w:rPr>
            <w:noProof w:val="1"/>
          </w:rPr>
          <w:tab/>
        </w:r>
        <w:r>
          <w:rPr>
            <w:noProof w:val="1"/>
          </w:rPr>
          <w:fldChar w:fldCharType="begin"/>
        </w:r>
        <w:r>
          <w:rPr>
            <w:noProof w:val="1"/>
          </w:rPr>
          <w:instrText xml:space="preserve"> PAGEREF _Toc153890045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46">
        <w:r>
          <w:rPr>
            <w:rStyle w:val="C2"/>
            <w:noProof w:val="1"/>
          </w:rPr>
          <w:t>10.1.2 Rätt till inlösen, huvudman</w:t>
        </w:r>
        <w:r>
          <w:rPr>
            <w:noProof w:val="1"/>
          </w:rPr>
          <w:tab/>
        </w:r>
        <w:r>
          <w:rPr>
            <w:noProof w:val="1"/>
          </w:rPr>
          <w:fldChar w:fldCharType="begin"/>
        </w:r>
        <w:r>
          <w:rPr>
            <w:noProof w:val="1"/>
          </w:rPr>
          <w:instrText xml:space="preserve"> PAGEREF _Toc153890046 \h </w:instrText>
        </w:r>
        <w:r>
          <w:rPr>
            <w:noProof w:val="1"/>
          </w:rPr>
          <w:fldChar w:fldCharType="separate"/>
        </w:r>
        <w:r>
          <w:rPr>
            <w:noProof w:val="1"/>
          </w:rPr>
          <w:t>20</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47">
        <w:r>
          <w:rPr>
            <w:rStyle w:val="C2"/>
            <w:noProof w:val="1"/>
          </w:rPr>
          <w:t>10.2 Fastighetsrättsliga frågor</w:t>
        </w:r>
        <w:r>
          <w:rPr>
            <w:noProof w:val="1"/>
          </w:rPr>
          <w:tab/>
        </w:r>
        <w:r>
          <w:rPr>
            <w:noProof w:val="1"/>
          </w:rPr>
          <w:fldChar w:fldCharType="begin"/>
        </w:r>
        <w:r>
          <w:rPr>
            <w:noProof w:val="1"/>
          </w:rPr>
          <w:instrText xml:space="preserve"> PAGEREF _Toc153890047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48">
        <w:r>
          <w:rPr>
            <w:rStyle w:val="C2"/>
            <w:noProof w:val="1"/>
          </w:rPr>
          <w:t>10.2.1 Förändrad fastighetsindelning</w:t>
        </w:r>
        <w:r>
          <w:rPr>
            <w:noProof w:val="1"/>
          </w:rPr>
          <w:tab/>
        </w:r>
        <w:r>
          <w:rPr>
            <w:noProof w:val="1"/>
          </w:rPr>
          <w:fldChar w:fldCharType="begin"/>
        </w:r>
        <w:r>
          <w:rPr>
            <w:noProof w:val="1"/>
          </w:rPr>
          <w:instrText xml:space="preserve"> PAGEREF _Toc153890048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49">
        <w:r>
          <w:rPr>
            <w:rStyle w:val="C2"/>
            <w:noProof w:val="1"/>
          </w:rPr>
          <w:t>10.2.2 Rättigheter</w:t>
        </w:r>
        <w:r>
          <w:rPr>
            <w:noProof w:val="1"/>
          </w:rPr>
          <w:tab/>
        </w:r>
        <w:r>
          <w:rPr>
            <w:noProof w:val="1"/>
          </w:rPr>
          <w:fldChar w:fldCharType="begin"/>
        </w:r>
        <w:r>
          <w:rPr>
            <w:noProof w:val="1"/>
          </w:rPr>
          <w:instrText xml:space="preserve"> PAGEREF _Toc153890049 \h </w:instrText>
        </w:r>
        <w:r>
          <w:rPr>
            <w:noProof w:val="1"/>
          </w:rPr>
          <w:fldChar w:fldCharType="separate"/>
        </w:r>
        <w:r>
          <w:rPr>
            <w:noProof w:val="1"/>
          </w:rPr>
          <w:t>20</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50">
        <w:r>
          <w:rPr>
            <w:rStyle w:val="C2"/>
            <w:noProof w:val="1"/>
          </w:rPr>
          <w:t>10.3 Tekniska frågor</w:t>
        </w:r>
        <w:r>
          <w:rPr>
            <w:noProof w:val="1"/>
          </w:rPr>
          <w:tab/>
        </w:r>
        <w:r>
          <w:rPr>
            <w:noProof w:val="1"/>
          </w:rPr>
          <w:fldChar w:fldCharType="begin"/>
        </w:r>
        <w:r>
          <w:rPr>
            <w:noProof w:val="1"/>
          </w:rPr>
          <w:instrText xml:space="preserve"> PAGEREF _Toc153890050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51">
        <w:r>
          <w:rPr>
            <w:rStyle w:val="C2"/>
            <w:noProof w:val="1"/>
          </w:rPr>
          <w:t>10.3.1 Utbyggnad allmän plats</w:t>
        </w:r>
        <w:r>
          <w:rPr>
            <w:noProof w:val="1"/>
          </w:rPr>
          <w:tab/>
        </w:r>
        <w:r>
          <w:rPr>
            <w:noProof w:val="1"/>
          </w:rPr>
          <w:fldChar w:fldCharType="begin"/>
        </w:r>
        <w:r>
          <w:rPr>
            <w:noProof w:val="1"/>
          </w:rPr>
          <w:instrText xml:space="preserve"> PAGEREF _Toc153890051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52">
        <w:r>
          <w:rPr>
            <w:rStyle w:val="C2"/>
            <w:noProof w:val="1"/>
          </w:rPr>
          <w:t>10.3.2 Utbyggnad vatten och avlopp</w:t>
        </w:r>
        <w:r>
          <w:rPr>
            <w:noProof w:val="1"/>
          </w:rPr>
          <w:tab/>
        </w:r>
        <w:r>
          <w:rPr>
            <w:noProof w:val="1"/>
          </w:rPr>
          <w:fldChar w:fldCharType="begin"/>
        </w:r>
        <w:r>
          <w:rPr>
            <w:noProof w:val="1"/>
          </w:rPr>
          <w:instrText xml:space="preserve"> PAGEREF _Toc153890052 \h </w:instrText>
        </w:r>
        <w:r>
          <w:rPr>
            <w:noProof w:val="1"/>
          </w:rPr>
          <w:fldChar w:fldCharType="separate"/>
        </w:r>
        <w:r>
          <w:rPr>
            <w:noProof w:val="1"/>
          </w:rPr>
          <w:t>20</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53">
        <w:r>
          <w:rPr>
            <w:rStyle w:val="C2"/>
            <w:noProof w:val="1"/>
          </w:rPr>
          <w:t>10.4 Ekonomiska frågor</w:t>
        </w:r>
        <w:r>
          <w:rPr>
            <w:noProof w:val="1"/>
          </w:rPr>
          <w:tab/>
        </w:r>
        <w:r>
          <w:rPr>
            <w:noProof w:val="1"/>
          </w:rPr>
          <w:fldChar w:fldCharType="begin"/>
        </w:r>
        <w:r>
          <w:rPr>
            <w:noProof w:val="1"/>
          </w:rPr>
          <w:instrText xml:space="preserve"> PAGEREF _Toc153890053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54">
        <w:r>
          <w:rPr>
            <w:rStyle w:val="C2"/>
            <w:noProof w:val="1"/>
          </w:rPr>
          <w:t>10.4.1 Planekonomisk bedömning</w:t>
        </w:r>
        <w:r>
          <w:rPr>
            <w:noProof w:val="1"/>
          </w:rPr>
          <w:tab/>
        </w:r>
        <w:r>
          <w:rPr>
            <w:noProof w:val="1"/>
          </w:rPr>
          <w:fldChar w:fldCharType="begin"/>
        </w:r>
        <w:r>
          <w:rPr>
            <w:noProof w:val="1"/>
          </w:rPr>
          <w:instrText xml:space="preserve"> PAGEREF _Toc153890054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55">
        <w:r>
          <w:rPr>
            <w:rStyle w:val="C2"/>
            <w:noProof w:val="1"/>
          </w:rPr>
          <w:t>10.4.2 Planavgift</w:t>
        </w:r>
        <w:r>
          <w:rPr>
            <w:noProof w:val="1"/>
          </w:rPr>
          <w:tab/>
        </w:r>
        <w:r>
          <w:rPr>
            <w:noProof w:val="1"/>
          </w:rPr>
          <w:fldChar w:fldCharType="begin"/>
        </w:r>
        <w:r>
          <w:rPr>
            <w:noProof w:val="1"/>
          </w:rPr>
          <w:instrText xml:space="preserve"> PAGEREF _Toc153890055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56">
        <w:r>
          <w:rPr>
            <w:rStyle w:val="C2"/>
            <w:noProof w:val="1"/>
          </w:rPr>
          <w:t>10.4.3 Ersättningsanspråk</w:t>
        </w:r>
        <w:r>
          <w:rPr>
            <w:noProof w:val="1"/>
          </w:rPr>
          <w:tab/>
        </w:r>
        <w:r>
          <w:rPr>
            <w:noProof w:val="1"/>
          </w:rPr>
          <w:fldChar w:fldCharType="begin"/>
        </w:r>
        <w:r>
          <w:rPr>
            <w:noProof w:val="1"/>
          </w:rPr>
          <w:instrText xml:space="preserve"> PAGEREF _Toc153890056 \h </w:instrText>
        </w:r>
        <w:r>
          <w:rPr>
            <w:noProof w:val="1"/>
          </w:rPr>
          <w:fldChar w:fldCharType="separate"/>
        </w:r>
        <w:r>
          <w:rPr>
            <w:noProof w:val="1"/>
          </w:rPr>
          <w:t>20</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57">
        <w:r>
          <w:rPr>
            <w:rStyle w:val="C2"/>
            <w:noProof w:val="1"/>
          </w:rPr>
          <w:t>10.4.4 Drift allmän plats</w:t>
        </w:r>
        <w:r>
          <w:rPr>
            <w:noProof w:val="1"/>
          </w:rPr>
          <w:tab/>
        </w:r>
        <w:r>
          <w:rPr>
            <w:noProof w:val="1"/>
          </w:rPr>
          <w:fldChar w:fldCharType="begin"/>
        </w:r>
        <w:r>
          <w:rPr>
            <w:noProof w:val="1"/>
          </w:rPr>
          <w:instrText xml:space="preserve"> PAGEREF _Toc153890057 \h </w:instrText>
        </w:r>
        <w:r>
          <w:rPr>
            <w:noProof w:val="1"/>
          </w:rPr>
          <w:fldChar w:fldCharType="separate"/>
        </w:r>
        <w:r>
          <w:rPr>
            <w:noProof w:val="1"/>
          </w:rPr>
          <w:t>21</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58">
        <w:r>
          <w:rPr>
            <w:rStyle w:val="C2"/>
            <w:noProof w:val="1"/>
          </w:rPr>
          <w:t>10.4.5 Drift vatten och avlopp</w:t>
        </w:r>
        <w:r>
          <w:rPr>
            <w:noProof w:val="1"/>
          </w:rPr>
          <w:tab/>
        </w:r>
        <w:r>
          <w:rPr>
            <w:noProof w:val="1"/>
          </w:rPr>
          <w:fldChar w:fldCharType="begin"/>
        </w:r>
        <w:r>
          <w:rPr>
            <w:noProof w:val="1"/>
          </w:rPr>
          <w:instrText xml:space="preserve"> PAGEREF _Toc153890058 \h </w:instrText>
        </w:r>
        <w:r>
          <w:rPr>
            <w:noProof w:val="1"/>
          </w:rPr>
          <w:fldChar w:fldCharType="separate"/>
        </w:r>
        <w:r>
          <w:rPr>
            <w:noProof w:val="1"/>
          </w:rPr>
          <w:t>21</w:t>
        </w:r>
        <w:r>
          <w:rPr>
            <w:noProof w:val="1"/>
          </w:rPr>
          <w:fldChar w:fldCharType="end"/>
        </w:r>
      </w:hyperlink>
    </w:p>
    <w:p>
      <w:pPr>
        <w:pStyle w:val="P15"/>
        <w:tabs>
          <w:tab w:val="right" w:pos="9628" w:leader="dot"/>
        </w:tabs>
        <w:rPr>
          <w:rFonts w:asciiTheme="minorHAnsi" w:hAnsiTheme="minorHAnsi" w:cstheme="minorBidi" w:eastAsiaTheme="minorEastAsia"/>
          <w:noProof w:val="1"/>
          <w:sz w:val="22"/>
          <w:szCs w:val="22"/>
          <w:kern w:val="2"/>
        </w:rPr>
      </w:pPr>
      <w:hyperlink w:anchor="_Toc153890059">
        <w:r>
          <w:rPr>
            <w:rStyle w:val="C2"/>
            <w:noProof w:val="1"/>
          </w:rPr>
          <w:t>10.5 Kulturvärden</w:t>
        </w:r>
        <w:r>
          <w:rPr>
            <w:noProof w:val="1"/>
          </w:rPr>
          <w:tab/>
        </w:r>
        <w:r>
          <w:rPr>
            <w:noProof w:val="1"/>
          </w:rPr>
          <w:fldChar w:fldCharType="begin"/>
        </w:r>
        <w:r>
          <w:rPr>
            <w:noProof w:val="1"/>
          </w:rPr>
          <w:instrText xml:space="preserve"> PAGEREF _Toc153890059 \h </w:instrText>
        </w:r>
        <w:r>
          <w:rPr>
            <w:noProof w:val="1"/>
          </w:rPr>
          <w:fldChar w:fldCharType="separate"/>
        </w:r>
        <w:r>
          <w:rPr>
            <w:noProof w:val="1"/>
          </w:rPr>
          <w:t>21</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60">
        <w:r>
          <w:rPr>
            <w:rStyle w:val="C2"/>
            <w:noProof w:val="1"/>
          </w:rPr>
          <w:t>10.5.1 Rivningsförbud</w:t>
        </w:r>
        <w:r>
          <w:rPr>
            <w:noProof w:val="1"/>
          </w:rPr>
          <w:tab/>
        </w:r>
        <w:r>
          <w:rPr>
            <w:noProof w:val="1"/>
          </w:rPr>
          <w:fldChar w:fldCharType="begin"/>
        </w:r>
        <w:r>
          <w:rPr>
            <w:noProof w:val="1"/>
          </w:rPr>
          <w:instrText xml:space="preserve"> PAGEREF _Toc153890060 \h </w:instrText>
        </w:r>
        <w:r>
          <w:rPr>
            <w:noProof w:val="1"/>
          </w:rPr>
          <w:fldChar w:fldCharType="separate"/>
        </w:r>
        <w:r>
          <w:rPr>
            <w:noProof w:val="1"/>
          </w:rPr>
          <w:t>21</w:t>
        </w:r>
        <w:r>
          <w:rPr>
            <w:noProof w:val="1"/>
          </w:rPr>
          <w:fldChar w:fldCharType="end"/>
        </w:r>
      </w:hyperlink>
    </w:p>
    <w:p>
      <w:pPr>
        <w:pStyle w:val="P16"/>
        <w:tabs>
          <w:tab w:val="right" w:pos="9628" w:leader="dot"/>
        </w:tabs>
        <w:rPr>
          <w:rFonts w:asciiTheme="minorHAnsi" w:hAnsiTheme="minorHAnsi" w:cstheme="minorBidi" w:eastAsiaTheme="minorEastAsia"/>
          <w:noProof w:val="1"/>
          <w:sz w:val="22"/>
          <w:szCs w:val="22"/>
          <w:kern w:val="2"/>
        </w:rPr>
      </w:pPr>
      <w:hyperlink w:anchor="_Toc153890061">
        <w:r>
          <w:rPr>
            <w:rStyle w:val="C2"/>
            <w:noProof w:val="1"/>
          </w:rPr>
          <w:t>10.5.2 Bevarandekrav</w:t>
        </w:r>
        <w:r>
          <w:rPr>
            <w:noProof w:val="1"/>
          </w:rPr>
          <w:tab/>
        </w:r>
        <w:r>
          <w:rPr>
            <w:noProof w:val="1"/>
          </w:rPr>
          <w:fldChar w:fldCharType="begin"/>
        </w:r>
        <w:r>
          <w:rPr>
            <w:noProof w:val="1"/>
          </w:rPr>
          <w:instrText xml:space="preserve"> PAGEREF _Toc153890061 \h </w:instrText>
        </w:r>
        <w:r>
          <w:rPr>
            <w:noProof w:val="1"/>
          </w:rPr>
          <w:fldChar w:fldCharType="separate"/>
        </w:r>
        <w:r>
          <w:rPr>
            <w:noProof w:val="1"/>
          </w:rPr>
          <w:t>21</w:t>
        </w:r>
        <w:r>
          <w:rPr>
            <w:noProof w:val="1"/>
          </w:rPr>
          <w:fldChar w:fldCharType="end"/>
        </w:r>
      </w:hyperlink>
    </w:p>
    <w:p>
      <w:pPr>
        <w:rPr>
          <w:rStyle w:val="C5"/>
          <w:rFonts w:ascii="Georgia" w:hAnsi="Georgia"/>
          <w:b w:val="0"/>
          <w:bCs w:val="0"/>
          <w:noProof w:val="0"/>
          <w:color w:val="auto"/>
          <w:sz w:val="24"/>
          <w:szCs w:val="20"/>
          <w:lang w:eastAsia="sv-SE"/>
        </w:rPr>
      </w:pPr>
      <w:r>
        <w:fldChar w:fldCharType="end"/>
      </w:r>
      <w:r>
        <w:br w:type="page"/>
      </w:r>
    </w:p>
    <w:p>
      <w:pPr>
        <w:pStyle w:val="P18"/>
      </w:pPr>
      <w:bookmarkStart w:id="4" w:name="_Toc153889985"/>
      <w:bookmarkStart w:id="5" w:name="_Toc90561124"/>
      <w:bookmarkStart w:id="6" w:name="_Toc89445972"/>
      <w:r>
        <w:t>Planhandlingar</w:t>
      </w:r>
      <w:bookmarkEnd w:id="4"/>
      <w:r>
        <w:t xml:space="preserve"> </w:t>
      </w:r>
    </w:p>
    <w:p>
      <w:pPr>
        <w:rPr>
          <w:color w:val="000000" w:themeColor="text1"/>
        </w:rPr>
      </w:pPr>
      <w:r>
        <w:rPr>
          <w:color w:val="000000" w:themeColor="text1"/>
        </w:rPr>
        <w:t xml:space="preserve">Detaljplanen omfattar följande handlingar: </w:t>
      </w:r>
    </w:p>
    <w:p>
      <w:pPr>
        <w:rPr>
          <w:color w:val="000000" w:themeColor="text1"/>
        </w:rPr>
      </w:pPr>
    </w:p>
    <w:p>
      <w:pPr>
        <w:pStyle w:val="P17"/>
        <w:numPr>
          <w:ilvl w:val="0"/>
          <w:numId w:val="6"/>
        </w:numPr>
        <w:rPr>
          <w:color w:val="000000" w:themeColor="text1"/>
        </w:rPr>
      </w:pPr>
      <w:r>
        <w:rPr>
          <w:color w:val="000000" w:themeColor="text1"/>
        </w:rPr>
        <w:t xml:space="preserve">Plankarta med bestämmelser </w:t>
      </w:r>
      <w:r>
        <w:t>2023-01-23</w:t>
      </w:r>
    </w:p>
    <w:p>
      <w:pPr>
        <w:pStyle w:val="P17"/>
        <w:numPr>
          <w:ilvl w:val="0"/>
          <w:numId w:val="6"/>
        </w:numPr>
        <w:rPr>
          <w:color w:val="000000" w:themeColor="text1"/>
        </w:rPr>
      </w:pPr>
      <w:r>
        <w:rPr>
          <w:color w:val="000000" w:themeColor="text1"/>
        </w:rPr>
        <w:t>Planbeskrivning (denna handling) 202</w:t>
      </w:r>
      <w:r>
        <w:t>3-11-23</w:t>
      </w:r>
    </w:p>
    <w:p>
      <w:pPr>
        <w:pStyle w:val="P17"/>
        <w:numPr>
          <w:ilvl w:val="0"/>
          <w:numId w:val="6"/>
        </w:numPr>
      </w:pPr>
      <w:r>
        <w:t>Samrådsredogörelse 2023-11-23</w:t>
      </w:r>
    </w:p>
    <w:p>
      <w:pPr>
        <w:pStyle w:val="P17"/>
        <w:numPr>
          <w:ilvl w:val="0"/>
          <w:numId w:val="6"/>
        </w:numPr>
        <w:rPr>
          <w:color w:val="000000" w:themeColor="text1"/>
        </w:rPr>
      </w:pPr>
      <w:r>
        <w:rPr>
          <w:color w:val="000000" w:themeColor="text1"/>
        </w:rPr>
        <w:t>Grundkarta, aktualitet</w:t>
      </w:r>
    </w:p>
    <w:p>
      <w:pPr>
        <w:pStyle w:val="P17"/>
        <w:numPr>
          <w:ilvl w:val="0"/>
          <w:numId w:val="6"/>
        </w:numPr>
        <w:rPr>
          <w:color w:val="000000" w:themeColor="text1"/>
        </w:rPr>
      </w:pPr>
      <w:r>
        <w:rPr>
          <w:color w:val="000000" w:themeColor="text1"/>
        </w:rPr>
        <w:t>Fastighetsförteckning, aktualitet 2023-12-01</w:t>
      </w:r>
    </w:p>
    <w:p>
      <w:pPr>
        <w:pStyle w:val="P17"/>
        <w:numPr>
          <w:ilvl w:val="0"/>
          <w:numId w:val="6"/>
        </w:numPr>
        <w:rPr>
          <w:color w:val="000000" w:themeColor="text1"/>
        </w:rPr>
      </w:pPr>
      <w:r>
        <w:rPr>
          <w:color w:val="000000" w:themeColor="text1"/>
        </w:rPr>
        <w:t xml:space="preserve">Undersökning om betydande miljöpåverkan </w:t>
      </w:r>
      <w:r>
        <w:t>2023-05-22</w:t>
      </w:r>
    </w:p>
    <w:p>
      <w:pPr>
        <w:pStyle w:val="P17"/>
        <w:numPr>
          <w:ilvl w:val="0"/>
          <w:numId w:val="6"/>
        </w:numPr>
        <w:rPr>
          <w:color w:val="000000" w:themeColor="text1"/>
        </w:rPr>
      </w:pPr>
      <w:r>
        <w:t>Kulturmiljöstudie 2023-06-27</w:t>
      </w:r>
    </w:p>
    <w:p>
      <w:pPr>
        <w:rPr>
          <w:color w:val="000000" w:themeColor="text1"/>
        </w:rPr>
      </w:pPr>
    </w:p>
    <w:p>
      <w:pPr>
        <w:rPr>
          <w:color w:val="000000" w:themeColor="text1"/>
        </w:rPr>
      </w:pPr>
      <w:r>
        <w:rPr>
          <w:color w:val="000000" w:themeColor="text1"/>
        </w:rPr>
        <w:t xml:space="preserve">Av ovanstående handlingar är det endast plankarta med bestämmelser som har juridisk </w:t>
      </w:r>
    </w:p>
    <w:p>
      <w:pPr>
        <w:rPr>
          <w:color w:val="000000" w:themeColor="text1"/>
        </w:rPr>
      </w:pPr>
      <w:r>
        <w:rPr>
          <w:color w:val="000000" w:themeColor="text1"/>
        </w:rPr>
        <w:t xml:space="preserve">verkan. </w:t>
      </w:r>
    </w:p>
    <w:p>
      <w:pPr>
        <w:rPr>
          <w:color w:val="000000" w:themeColor="text1"/>
        </w:rPr>
      </w:pPr>
    </w:p>
    <w:p>
      <w:pPr>
        <w:pStyle w:val="P18"/>
      </w:pPr>
      <w:bookmarkStart w:id="7" w:name="_Toc85532671"/>
      <w:bookmarkStart w:id="8" w:name="_Toc129601549"/>
      <w:bookmarkStart w:id="9" w:name="_Toc153889986"/>
      <w:r>
        <w:t>Planförfarande och tidplan för planarbetet</w:t>
      </w:r>
      <w:bookmarkEnd w:id="7"/>
      <w:bookmarkEnd w:id="8"/>
      <w:bookmarkEnd w:id="9"/>
      <w:r>
        <w:t xml:space="preserve"> </w:t>
      </w:r>
    </w:p>
    <w:p>
      <w:pPr>
        <w:rPr>
          <w:color w:val="000000" w:themeColor="text1"/>
          <w:lang w:eastAsia="en-US"/>
        </w:rPr>
      </w:pPr>
      <w:r>
        <w:rPr>
          <w:color w:val="000000" w:themeColor="text1"/>
          <w:lang w:eastAsia="en-US"/>
        </w:rPr>
        <w:t xml:space="preserve">Miljö- och byggnadsnämnden i Vindelns kommun beslutade den 16 mars 2023 att ge positivt planbesked för ny detaljplan för Holms gård, fastigheten Bryggaren 3 i Vindelns tätort. Planen avviker inte från Vindelns kommuns översiktliga planering och handläggs med </w:t>
      </w:r>
      <w:r>
        <w:rPr>
          <w:color w:val="000000" w:themeColor="text1"/>
          <w:rtl w:val="0"/>
          <w:lang w:val="sv-SE" w:bidi="sv-SE" w:eastAsia="sv-SE"/>
        </w:rPr>
        <w:t>standard</w:t>
      </w:r>
      <w:r>
        <w:rPr>
          <w:color w:val="000000" w:themeColor="text1"/>
          <w:lang w:eastAsia="en-US"/>
        </w:rPr>
        <w:t>förfarande i enlighet med plan- och bygglagens 5:e kapitel (2010:900).</w:t>
      </w:r>
    </w:p>
    <w:p>
      <w:pPr>
        <w:rPr>
          <w:color w:val="000000" w:themeColor="text1"/>
          <w:lang w:eastAsia="en-US"/>
        </w:rPr>
      </w:pPr>
    </w:p>
    <w:p>
      <w:pPr>
        <w:rPr>
          <w:color w:val="000000" w:themeColor="text1"/>
          <w:lang w:eastAsia="en-US"/>
        </w:rPr>
      </w:pPr>
      <w:r>
        <w:rPr>
          <w:color w:val="000000" w:themeColor="text1"/>
          <w:lang w:eastAsia="en-US"/>
        </w:rPr>
        <w:t xml:space="preserve">Boverkets allmänna råd om planbestämmelser för detaljplan är vägledande. </w:t>
      </w:r>
    </w:p>
    <w:p>
      <w:pPr>
        <w:rPr>
          <w:color w:val="000000" w:themeColor="text1"/>
          <w:lang w:eastAsia="en-US"/>
        </w:rPr>
      </w:pPr>
    </w:p>
    <w:p>
      <w:pPr>
        <w:rPr>
          <w:color w:val="000000" w:themeColor="text1"/>
          <w:lang w:eastAsia="en-US"/>
        </w:rPr>
      </w:pPr>
      <w:r>
        <w:rPr>
          <w:color w:val="000000" w:themeColor="text1"/>
          <w:lang w:eastAsia="en-US"/>
        </w:rPr>
        <w:t xml:space="preserve">Planförfarandets olika steg redovisas nedan: </w:t>
      </w:r>
    </w:p>
    <w:p>
      <w:pPr>
        <w:ind w:left="737"/>
        <w:rPr>
          <w:lang w:eastAsia="en-US"/>
        </w:rPr>
      </w:pPr>
      <w:r>
        <w:rPr>
          <w:b w:val="1"/>
          <w:color w:val="000000" w:themeColor="text1"/>
          <w:lang w:eastAsia="en-US"/>
        </w:rPr>
        <w:t>Samråd.</w:t>
      </w:r>
      <w:r>
        <w:rPr>
          <w:color w:val="000000" w:themeColor="text1"/>
          <w:lang w:eastAsia="en-US"/>
        </w:rPr>
        <w:t xml:space="preserve"> Samrådet syftar till att samla in information, önskemål och synpunkter </w:t>
      </w:r>
      <w:r>
        <w:rPr>
          <w:lang w:eastAsia="en-US"/>
        </w:rPr>
        <w:t xml:space="preserve">som berör planförslaget i ett tidigt skede i detaljplanearbetet. Dialog förs med länsstyrelsen, berörda myndigheter och kommuner, kända sakägare och boende, föreningar, allmänhet med flera. Syftet med samrådet är att förbättra beslutsunderlaget och att ge möjlighet till insyn och påverkan.  </w:t>
      </w:r>
    </w:p>
    <w:p>
      <w:pPr>
        <w:ind w:left="737"/>
        <w:rPr>
          <w:lang w:eastAsia="en-US"/>
        </w:rPr>
      </w:pPr>
    </w:p>
    <w:p>
      <w:pPr>
        <w:ind w:left="737"/>
        <w:rPr>
          <w:lang w:eastAsia="en-US"/>
        </w:rPr>
      </w:pPr>
      <w:r>
        <w:rPr>
          <w:b w:val="1"/>
          <w:bCs w:val="1"/>
          <w:lang w:eastAsia="en-US"/>
        </w:rPr>
        <w:t>Samrådsredogörelse.</w:t>
      </w:r>
      <w:r>
        <w:rPr>
          <w:lang w:eastAsia="en-US"/>
        </w:rPr>
        <w:t xml:space="preserve"> Efter samrådet sammanställs inkomna synpunkter i en samrådsredogörelse. Handlingarna revideras då det bedöms vara relevant. Samrådsredogörelsen ingår inte formellt i processen, men bedöms öka tydligheten inför granskningen.  </w:t>
      </w:r>
    </w:p>
    <w:p>
      <w:pPr>
        <w:ind w:left="737"/>
        <w:rPr>
          <w:lang w:eastAsia="en-US"/>
        </w:rPr>
      </w:pPr>
    </w:p>
    <w:p>
      <w:pPr>
        <w:ind w:left="737"/>
        <w:rPr>
          <w:color w:val="000000" w:themeColor="text1"/>
          <w:lang w:eastAsia="en-US"/>
        </w:rPr>
      </w:pPr>
      <w:r>
        <w:rPr>
          <w:b w:val="1"/>
          <w:bCs w:val="1"/>
          <w:lang w:eastAsia="en-US"/>
        </w:rPr>
        <w:t>Underrättelse och granskning.</w:t>
      </w:r>
      <w:r>
        <w:rPr>
          <w:lang w:eastAsia="en-US"/>
        </w:rPr>
        <w:t xml:space="preserve"> Innan planen antas ska kommunen låta förslaget till detaljplan granskas i 30 dagar. Inför granskningen ska kommunen underrätta dem som berörs av förslaget, exempelvis sakägare, boende och övriga som har yttrat sig under samrådet om förslaget till detaljplan. Den som vill lämna synpunkter på förslaget ska göra detta skriftligen. Efter granskningen kan kommunen endast göra mindre ändringar av planförslaget. Om förslaget ändras väsentligt efter granskningen </w:t>
      </w:r>
      <w:r>
        <w:rPr>
          <w:color w:val="000000" w:themeColor="text1"/>
          <w:lang w:eastAsia="en-US"/>
        </w:rPr>
        <w:t xml:space="preserve">ska en ny granskning genomföras.  </w:t>
      </w:r>
    </w:p>
    <w:p>
      <w:pPr>
        <w:ind w:left="737"/>
        <w:rPr>
          <w:color w:val="000000" w:themeColor="text1"/>
          <w:lang w:eastAsia="en-US"/>
        </w:rPr>
      </w:pPr>
    </w:p>
    <w:p>
      <w:pPr>
        <w:ind w:left="737"/>
        <w:rPr>
          <w:color w:val="000000" w:themeColor="text1"/>
          <w:lang w:eastAsia="en-US"/>
        </w:rPr>
      </w:pPr>
      <w:r>
        <w:rPr>
          <w:b w:val="1"/>
          <w:color w:val="000000" w:themeColor="text1"/>
          <w:lang w:eastAsia="en-US"/>
        </w:rPr>
        <w:t>Granskningsutlåtande.</w:t>
      </w:r>
      <w:r>
        <w:rPr>
          <w:color w:val="000000" w:themeColor="text1"/>
          <w:lang w:eastAsia="en-US"/>
        </w:rPr>
        <w:t xml:space="preserve"> Efter granskningstiden sammanställs inkomna synpunkter tillsammans med kommunens förslag till revideringar i ett granskningsutlåtande. Även synpunkterna från samrådet ska inkluderas i granskningsutlåtandet om dessa inte sammanställts tidigare. Handlingarna revideras då det bedöms vara relevant.  </w:t>
      </w:r>
    </w:p>
    <w:p>
      <w:pPr>
        <w:ind w:left="737"/>
        <w:rPr>
          <w:color w:val="000000" w:themeColor="text1"/>
          <w:lang w:eastAsia="en-US"/>
        </w:rPr>
      </w:pPr>
    </w:p>
    <w:p>
      <w:pPr>
        <w:ind w:left="737"/>
        <w:rPr>
          <w:color w:val="000000" w:themeColor="text1"/>
          <w:lang w:eastAsia="en-US"/>
        </w:rPr>
      </w:pPr>
      <w:r>
        <w:rPr>
          <w:b w:val="1"/>
          <w:color w:val="000000" w:themeColor="text1"/>
          <w:lang w:eastAsia="en-US"/>
        </w:rPr>
        <w:t>Antagande.</w:t>
      </w:r>
      <w:r>
        <w:rPr>
          <w:color w:val="000000" w:themeColor="text1"/>
          <w:lang w:eastAsia="en-US"/>
        </w:rPr>
        <w:t xml:space="preserve"> Detaljplanen antas av miljö- och byggnadsnämnden, eller i vissa fall av kommunfullmäktige.  </w:t>
      </w:r>
    </w:p>
    <w:p>
      <w:pPr>
        <w:ind w:left="737"/>
        <w:rPr>
          <w:color w:val="000000" w:themeColor="text1"/>
          <w:lang w:eastAsia="en-US"/>
        </w:rPr>
      </w:pPr>
    </w:p>
    <w:p>
      <w:pPr>
        <w:ind w:left="737"/>
        <w:rPr>
          <w:color w:val="000000" w:themeColor="text1"/>
          <w:lang w:eastAsia="en-US"/>
        </w:rPr>
      </w:pPr>
      <w:r>
        <w:rPr>
          <w:b w:val="1"/>
          <w:color w:val="000000" w:themeColor="text1"/>
          <w:lang w:eastAsia="en-US"/>
        </w:rPr>
        <w:t>Laga kraft.</w:t>
      </w:r>
      <w:r>
        <w:rPr>
          <w:color w:val="000000" w:themeColor="text1"/>
          <w:lang w:eastAsia="en-US"/>
        </w:rPr>
        <w:t xml:space="preserve"> Om inget överklagande inkommit 3 veckor efter antagandet vinner detaljplanen laga kraft. Bygglov kan därefter medges.</w:t>
      </w:r>
    </w:p>
    <w:p>
      <w:pPr>
        <w:rPr>
          <w:color w:val="000000" w:themeColor="text1"/>
          <w:lang w:eastAsia="en-US"/>
        </w:rPr>
      </w:pPr>
    </w:p>
    <w:p>
      <w:pPr>
        <w:pStyle w:val="P18"/>
      </w:pPr>
      <w:bookmarkStart w:id="10" w:name="_Toc85532672"/>
      <w:bookmarkStart w:id="11" w:name="_Toc129601550"/>
      <w:bookmarkStart w:id="12" w:name="_Toc153889987"/>
      <w:r>
        <w:t>Vad är en detaljplan?</w:t>
      </w:r>
      <w:bookmarkEnd w:id="10"/>
      <w:bookmarkEnd w:id="11"/>
      <w:bookmarkEnd w:id="12"/>
      <w:r>
        <w:t xml:space="preserve"> </w:t>
      </w:r>
    </w:p>
    <w:p>
      <w:pPr>
        <w:rPr>
          <w:color w:val="000000" w:themeColor="text1"/>
        </w:rPr>
      </w:pPr>
      <w:r>
        <w:rPr>
          <w:color w:val="000000" w:themeColor="text1"/>
        </w:rPr>
        <w:t>Kommunen kan reglera användningen av mark- och vattenområden samt bebyggelse och byggnadsverk inom kommunens gränser. Detta görs exempelvis genom framtagande av detaljplaner. I en detaljplan regleras markens användning till exempelvis mark för bostä</w:t>
      </w:r>
      <w:r>
        <w:rPr>
          <w:color w:val="000000" w:themeColor="text1"/>
        </w:rPr>
        <w:softHyphen/>
      </w:r>
      <w:r>
        <w:rPr>
          <w:color w:val="000000" w:themeColor="text1"/>
        </w:rPr>
        <w:t xml:space="preserve">der, handel, industri, naturmark, gatumark o.s.v. Ett detaljplanearbete utreder exempelvis i vilken omfattning platsen tål att bebyggas och vilka markåtgärder som kan tillåtas. Det kan också ställas krav på utformning. Arbetet utmynnar i ett antal planbestämmelser som redovisas i en plankarta. Bestämmelserna reglerar vad som får byggas, men är inte tvingande.  </w:t>
      </w:r>
    </w:p>
    <w:p>
      <w:pPr>
        <w:rPr>
          <w:color w:val="000000" w:themeColor="text1"/>
        </w:rPr>
      </w:pPr>
    </w:p>
    <w:p>
      <w:r>
        <w:rPr>
          <w:color w:val="000000" w:themeColor="text1"/>
        </w:rPr>
        <w:t xml:space="preserve">Ex: På mark planlagd för industri får industribyggnader uppföras, men marken kan också lämnas obebyggd om behovet saknas. Däremot får man inte uppföra bostäder där utan att upprätta en ny detaljplan anpassad för bostäder. Detsamma gäller regleringar för omfattning: en bestämmelse om största byggnadsarea eller högsta totalhöjd </w:t>
      </w:r>
      <w:r>
        <w:t xml:space="preserve">anger hur mycket som maximalt får byggas, men denna rätt behöver inte utnyttjas. </w:t>
      </w:r>
    </w:p>
    <w:p>
      <w:r>
        <w:t xml:space="preserve"> </w:t>
      </w:r>
    </w:p>
    <w:p>
      <w:r>
        <w:t xml:space="preserve">Planbestämmelserna ligger sedan till grund för exempelvis handläggning av bygglov. </w:t>
      </w:r>
    </w:p>
    <w:p/>
    <w:p>
      <w:pPr>
        <w:pStyle w:val="P18"/>
      </w:pPr>
      <w:bookmarkStart w:id="13" w:name="_Toc153889988"/>
      <w:r>
        <w:t>D</w:t>
      </w:r>
      <w:bookmarkEnd w:id="5"/>
      <w:bookmarkEnd w:id="6"/>
      <w:r>
        <w:t>etaljplanens syfte</w:t>
      </w:r>
      <w:bookmarkEnd w:id="13"/>
    </w:p>
    <w:p>
      <w:pPr>
        <w:pStyle w:val="P19"/>
        <w:tabs>
          <w:tab w:val="left" w:pos="1304" w:leader="none"/>
        </w:tabs>
        <w:ind w:left="576"/>
        <w:rPr>
          <w:szCs w:val="28"/>
        </w:rPr>
      </w:pPr>
      <w:bookmarkStart w:id="14" w:name="_Toc90561125"/>
      <w:bookmarkStart w:id="15" w:name="_Toc89445973"/>
      <w:bookmarkStart w:id="16" w:name="_Toc153889989"/>
      <w:r>
        <w:rPr>
          <w:caps w:val="0"/>
          <w:szCs w:val="28"/>
        </w:rPr>
        <w:t>Syfte</w:t>
      </w:r>
      <w:bookmarkEnd w:id="14"/>
      <w:bookmarkEnd w:id="15"/>
      <w:bookmarkEnd w:id="16"/>
    </w:p>
    <w:p>
      <w:pPr>
        <w:rPr>
          <w:shd w:val="clear" w:color="auto" w:fill="FFFFFF"/>
        </w:rPr>
      </w:pPr>
      <w:bookmarkStart w:id="17" w:name="sy_syfte01"/>
      <w:r>
        <w:rPr>
          <w:shd w:val="clear" w:color="auto" w:fill="FFFFFF"/>
        </w:rPr>
        <w:t xml:space="preserve">Detaljplanens syfte är att ändra användning från </w:t>
      </w:r>
      <w:r>
        <w:rPr>
          <w:i w:val="1"/>
          <w:shd w:val="clear" w:color="auto" w:fill="FFFFFF"/>
        </w:rPr>
        <w:t>Allmän användning</w:t>
      </w:r>
      <w:r>
        <w:rPr>
          <w:shd w:val="clear" w:color="auto" w:fill="FFFFFF"/>
        </w:rPr>
        <w:t xml:space="preserve"> till den ursprungliga användningen </w:t>
      </w:r>
      <w:r>
        <w:rPr>
          <w:i w:val="1"/>
          <w:shd w:val="clear" w:color="auto" w:fill="FFFFFF"/>
        </w:rPr>
        <w:t>Bostad</w:t>
      </w:r>
      <w:r>
        <w:rPr>
          <w:shd w:val="clear" w:color="auto" w:fill="FFFFFF"/>
        </w:rPr>
        <w:t xml:space="preserve">, samt att möjliggöra ytterligare verksamhet såsom </w:t>
      </w:r>
      <w:r>
        <w:rPr>
          <w:i w:val="1"/>
          <w:shd w:val="clear" w:color="auto" w:fill="FFFFFF"/>
        </w:rPr>
        <w:t>Kontor</w:t>
      </w:r>
      <w:r>
        <w:rPr>
          <w:shd w:val="clear" w:color="auto" w:fill="FFFFFF"/>
        </w:rPr>
        <w:t xml:space="preserve"> och viss </w:t>
      </w:r>
      <w:r>
        <w:rPr>
          <w:i w:val="1"/>
          <w:shd w:val="clear" w:color="auto" w:fill="FFFFFF"/>
        </w:rPr>
        <w:t>Centrumverksamhet</w:t>
      </w:r>
      <w:r>
        <w:rPr>
          <w:shd w:val="clear" w:color="auto" w:fill="FFFFFF"/>
        </w:rPr>
        <w:t>. Syftet är också att bevara de kulturmiljövärden som finns på platsen, och dessa sätter i stor mån ramarna för vilken användning som anses lämplig på platsen.</w:t>
      </w:r>
      <w:bookmarkEnd w:id="17"/>
      <w:r>
        <w:rPr>
          <w:shd w:val="clear" w:color="auto" w:fill="FFFFFF"/>
        </w:rPr>
        <w:t xml:space="preserve"> </w:t>
      </w:r>
    </w:p>
    <w:p>
      <w:pPr>
        <w:pStyle w:val="P18"/>
        <w:rPr>
          <w:u w:val="single"/>
        </w:rPr>
      </w:pPr>
      <w:bookmarkStart w:id="18" w:name="_Toc90561126"/>
      <w:bookmarkStart w:id="19" w:name="_Toc89445974"/>
      <w:bookmarkStart w:id="20" w:name="_Toc153889990"/>
      <w:r>
        <w:t>B</w:t>
      </w:r>
      <w:bookmarkEnd w:id="18"/>
      <w:bookmarkEnd w:id="19"/>
      <w:r>
        <w:t>eskrivning av detaljplanen</w:t>
      </w:r>
      <w:bookmarkEnd w:id="20"/>
    </w:p>
    <w:p>
      <w:pPr>
        <w:pStyle w:val="P19"/>
        <w:tabs>
          <w:tab w:val="left" w:pos="1304" w:leader="none"/>
        </w:tabs>
        <w:ind w:left="576"/>
        <w:rPr>
          <w:szCs w:val="28"/>
        </w:rPr>
      </w:pPr>
      <w:bookmarkStart w:id="21" w:name="_Toc90561127"/>
      <w:bookmarkStart w:id="22" w:name="_Toc89445975"/>
      <w:bookmarkStart w:id="23" w:name="_Toc153889991"/>
      <w:r>
        <w:rPr>
          <w:caps w:val="0"/>
          <w:szCs w:val="28"/>
        </w:rPr>
        <w:t>Hela detaljplanen</w:t>
      </w:r>
      <w:bookmarkEnd w:id="21"/>
      <w:bookmarkEnd w:id="22"/>
      <w:bookmarkEnd w:id="23"/>
      <w:bookmarkStart w:id="24" w:name="_Toc89445976"/>
    </w:p>
    <w:p>
      <w:pPr>
        <w:rPr>
          <w:shd w:val="clear" w:color="auto" w:fill="FFFFFF"/>
        </w:rPr>
      </w:pPr>
      <w:bookmarkStart w:id="25" w:name="be_heladetaljplan01"/>
      <w:r>
        <w:rPr>
          <w:shd w:val="clear" w:color="auto" w:fill="FFFFFF"/>
        </w:rPr>
        <w:t>Planområdet omfattar fastigheten Bryggaren 3 i Vindelns tätort, Vindelns kommun. Fastigheten tillika planområdet har en areal på 3 751 m2. Detaljplanen avser endast ändrad användning, ej nybyggnation. Förutom ändrade användningsbestämmelser tydliggör planen vilka hänsyn som ska tas till platsens kulturvärden, exempelvis fasaders utformning och lämplig placering av eventuell komplementbyggnad. Detta för att möjliggöra att viss utveckling av platsen kan ske utan att äventyra det kulturhistoriska värdet. Inom ramarna för detta kulturvärdesskydd tillåts därför en rad användningar som bedöms kunna inrymmas på platsen utan yttre åverkan på fastigheten. Exempelvis tillåts kafé, restaurang och detaljhandel utom handel med skrymmande varor, användningar som potentiellt skulle kunna ha en större områdespåverkan. De två huvudbyggnadernas yttre karaktär skyddas genom en bestämmelse om att bevara dess yttre utformning vad gäller volym, färgsättning, form och gestaltning. Syftet är att inga förvanskande ingrepp ska kunna göras, såsom tillbyggnad, eller uppförande av lastkaj vid etablering av verksamhet. Bedömningen är att endast verksamheter med relativt begränsad varuhantering lämpar sig på platsen.</w:t>
      </w:r>
    </w:p>
    <w:p>
      <w:pPr>
        <w:rPr>
          <w:b w:val="1"/>
          <w:bCs w:val="1"/>
          <w:caps w:val="1"/>
          <w:sz w:val="36"/>
        </w:rPr>
      </w:pPr>
      <w:bookmarkEnd w:id="25"/>
    </w:p>
    <w:p>
      <w:pPr>
        <w:pStyle w:val="P19"/>
        <w:tabs>
          <w:tab w:val="left" w:pos="1304" w:leader="none"/>
        </w:tabs>
        <w:ind w:left="576"/>
        <w:rPr>
          <w:szCs w:val="28"/>
        </w:rPr>
      </w:pPr>
      <w:bookmarkStart w:id="26" w:name="_Toc90561128"/>
      <w:bookmarkStart w:id="27" w:name="_Toc153889992"/>
      <w:r>
        <w:rPr>
          <w:caps w:val="0"/>
          <w:szCs w:val="28"/>
        </w:rPr>
        <w:t>Genomförandetid</w:t>
      </w:r>
      <w:bookmarkEnd w:id="24"/>
      <w:bookmarkEnd w:id="26"/>
      <w:bookmarkEnd w:id="27"/>
    </w:p>
    <w:p>
      <w:pPr>
        <w:rPr>
          <w:shd w:val="clear" w:color="auto" w:fill="FFFFFF"/>
        </w:rPr>
      </w:pPr>
      <w:bookmarkStart w:id="28" w:name="_Toc89445977"/>
      <w:r>
        <w:rPr>
          <w:shd w:val="clear" w:color="auto" w:fill="FFFFFF"/>
        </w:rPr>
        <w:t xml:space="preserve"> </w:t>
      </w:r>
      <w:bookmarkStart w:id="29" w:name="be_genomförandetid01"/>
      <w:r>
        <w:rPr>
          <w:shd w:val="clear" w:color="auto" w:fill="FFFFFF"/>
        </w:rPr>
        <w:t xml:space="preserve">Detaljplanens genomförandetid är 5 år. </w:t>
      </w:r>
      <w:bookmarkEnd w:id="29"/>
    </w:p>
    <w:p>
      <w:pPr>
        <w:rPr>
          <w:sz w:val="36"/>
        </w:rPr>
      </w:pPr>
    </w:p>
    <w:p>
      <w:pPr>
        <w:pStyle w:val="P19"/>
        <w:tabs>
          <w:tab w:val="left" w:pos="1304" w:leader="none"/>
        </w:tabs>
        <w:ind w:left="576"/>
        <w:rPr>
          <w:szCs w:val="28"/>
        </w:rPr>
      </w:pPr>
      <w:bookmarkStart w:id="30" w:name="_Toc90561129"/>
      <w:bookmarkStart w:id="31" w:name="_Toc153889993"/>
      <w:r>
        <w:rPr>
          <w:caps w:val="0"/>
          <w:szCs w:val="28"/>
        </w:rPr>
        <w:t>Allmän plats</w:t>
      </w:r>
      <w:bookmarkEnd w:id="28"/>
      <w:bookmarkEnd w:id="30"/>
      <w:bookmarkEnd w:id="31"/>
    </w:p>
    <w:p>
      <w:pPr>
        <w:rPr>
          <w:shd w:val="clear" w:color="auto" w:fill="FFFFFF"/>
        </w:rPr>
      </w:pPr>
      <w:bookmarkStart w:id="32" w:name="Kartlänk_13"/>
      <w:r>
        <w:rPr>
          <w:shd w:val="clear" w:color="auto" w:fill="FFFFFF"/>
        </w:rPr>
        <w:t xml:space="preserve"> </w:t>
      </w:r>
      <w:bookmarkStart w:id="33" w:name="be_allmänplats01"/>
      <w:r>
        <w:rPr>
          <w:shd w:val="clear" w:color="auto" w:fill="FFFFFF"/>
        </w:rPr>
        <w:t>Del av planen utgörs av allmän plats [GATA].</w:t>
      </w:r>
      <w:bookmarkEnd w:id="33"/>
      <w:r>
        <w:rPr>
          <w:shd w:val="clear" w:color="auto" w:fill="FFFFFF"/>
        </w:rPr>
        <w:t xml:space="preserve"> </w:t>
      </w:r>
    </w:p>
    <w:p>
      <w:bookmarkEnd w:id="32"/>
    </w:p>
    <w:p>
      <w:pPr>
        <w:pStyle w:val="P20"/>
        <w:rPr>
          <w:szCs w:val="24"/>
        </w:rPr>
      </w:pPr>
      <w:bookmarkStart w:id="34" w:name="_Toc90561130"/>
      <w:bookmarkStart w:id="35" w:name="_Toc89445978"/>
      <w:bookmarkStart w:id="36" w:name="_Toc153889994"/>
      <w:r>
        <w:rPr>
          <w:caps w:val="0"/>
          <w:szCs w:val="24"/>
        </w:rPr>
        <w:t>Huvudmannaskap</w:t>
      </w:r>
      <w:bookmarkEnd w:id="34"/>
      <w:bookmarkEnd w:id="35"/>
      <w:bookmarkEnd w:id="36"/>
    </w:p>
    <w:p>
      <w:bookmarkStart w:id="37" w:name="Kartlänk_12"/>
      <w:r>
        <w:t xml:space="preserve"> </w:t>
      </w:r>
      <w:bookmarkStart w:id="38" w:name="be_huvudmannaskap01"/>
      <w:r>
        <w:t xml:space="preserve">Allmän plats [GATA] har kommunalt huvudmannaskap. </w:t>
      </w:r>
      <w:bookmarkEnd w:id="38"/>
    </w:p>
    <w:p>
      <w:bookmarkEnd w:id="37"/>
    </w:p>
    <w:p>
      <w:pPr>
        <w:pStyle w:val="P19"/>
        <w:tabs>
          <w:tab w:val="left" w:pos="1304" w:leader="none"/>
        </w:tabs>
        <w:ind w:left="576"/>
        <w:rPr>
          <w:szCs w:val="28"/>
        </w:rPr>
      </w:pPr>
      <w:bookmarkStart w:id="39" w:name="_Toc90561131"/>
      <w:bookmarkStart w:id="40" w:name="_Toc89445979"/>
      <w:bookmarkStart w:id="41" w:name="_Toc153889995"/>
      <w:r>
        <w:rPr>
          <w:caps w:val="0"/>
          <w:szCs w:val="28"/>
        </w:rPr>
        <w:t>Kvartersmark</w:t>
      </w:r>
      <w:bookmarkEnd w:id="39"/>
      <w:bookmarkEnd w:id="40"/>
      <w:bookmarkEnd w:id="41"/>
    </w:p>
    <w:p>
      <w:pPr>
        <w:rPr>
          <w:shd w:val="clear" w:color="auto" w:fill="FFFFFF"/>
        </w:rPr>
      </w:pPr>
      <w:bookmarkStart w:id="42" w:name="Kartlänk_14"/>
      <w:r>
        <w:rPr>
          <w:shd w:val="clear" w:color="auto" w:fill="FFFFFF"/>
        </w:rPr>
        <w:t xml:space="preserve"> </w:t>
      </w:r>
      <w:bookmarkStart w:id="43" w:name="be_kvartersmark01"/>
      <w:r>
        <w:rPr>
          <w:shd w:val="clear" w:color="auto" w:fill="FFFFFF"/>
        </w:rPr>
        <w:t>Kvartersmark för bostad [B], kontor [K] samt centrumverksamhet utom handel med skrymmande varor [C</w:t>
      </w:r>
      <w:r>
        <w:rPr>
          <w:shd w:val="clear" w:color="auto" w:fill="FFFFFF"/>
          <w:vertAlign w:val="subscript"/>
        </w:rPr>
        <w:t>1</w:t>
      </w:r>
      <w:r>
        <w:rPr>
          <w:shd w:val="clear" w:color="auto" w:fill="FFFFFF"/>
        </w:rPr>
        <w:t xml:space="preserve">]. </w:t>
      </w:r>
      <w:bookmarkEnd w:id="43"/>
    </w:p>
    <w:p>
      <w:bookmarkEnd w:id="42"/>
    </w:p>
    <w:p>
      <w:pPr>
        <w:pStyle w:val="P19"/>
        <w:tabs>
          <w:tab w:val="left" w:pos="1304" w:leader="none"/>
        </w:tabs>
        <w:ind w:left="576"/>
        <w:rPr>
          <w:szCs w:val="28"/>
        </w:rPr>
      </w:pPr>
      <w:bookmarkStart w:id="44" w:name="_Toc90561133"/>
      <w:bookmarkStart w:id="45" w:name="_Toc89445981"/>
      <w:bookmarkStart w:id="46" w:name="_Toc153889996"/>
      <w:r>
        <w:rPr>
          <w:caps w:val="0"/>
          <w:szCs w:val="28"/>
        </w:rPr>
        <w:t>Befintligt</w:t>
      </w:r>
      <w:bookmarkEnd w:id="44"/>
      <w:bookmarkEnd w:id="45"/>
      <w:bookmarkEnd w:id="46"/>
    </w:p>
    <w:p>
      <w:pPr>
        <w:rPr>
          <w:shd w:val="clear" w:color="auto" w:fill="FFFFFF"/>
        </w:rPr>
      </w:pPr>
      <w:bookmarkStart w:id="47" w:name="_Toc89445982"/>
      <w:bookmarkStart w:id="48" w:name="be_befintligt01"/>
      <w:r>
        <w:rPr>
          <w:shd w:val="clear" w:color="auto" w:fill="FFFFFF"/>
        </w:rPr>
        <w:t xml:space="preserve">Fastigheten är idag bebyggd med två äldre byggnader: en mangårdsbyggnad daterad till ca 1856, samt en annexbyggnad i form av en parstuga, uppförd kring samma tid. Byggnaderna har ursprungligen använts som bostad, men sedan 1944 tjänat som bl.a. sjukstuga, förskola, ungdomsgård, hobbylokaler. Senast fungerade de som förskola. Byggnaderna är interiört renoverade och inredda som kontor. </w:t>
      </w:r>
      <w:bookmarkEnd w:id="47"/>
      <w:r>
        <w:rPr>
          <w:shd w:val="clear" w:color="auto" w:fill="FFFFFF"/>
        </w:rPr>
        <w:t xml:space="preserve">En del av fastigheten upptas av en allmän gata, Mikaelsvägen. Den delen är i dagsläget planlagd som </w:t>
      </w:r>
      <w:r>
        <w:rPr>
          <w:i w:val="1"/>
          <w:shd w:val="clear" w:color="auto" w:fill="FFFFFF"/>
        </w:rPr>
        <w:t>kulturreservat</w:t>
      </w:r>
      <w:r>
        <w:rPr>
          <w:shd w:val="clear" w:color="auto" w:fill="FFFFFF"/>
        </w:rPr>
        <w:t xml:space="preserve">, då befintlig gata var tänkt att dras om. Denna plan har dock inte förverkligats. </w:t>
      </w:r>
      <w:bookmarkEnd w:id="48"/>
      <w:r>
        <w:rPr>
          <w:shd w:val="clear" w:color="auto" w:fill="FFFFFF"/>
        </w:rPr>
        <w:t xml:space="preserve"> </w:t>
      </w:r>
    </w:p>
    <w:p/>
    <w:p>
      <w:pPr>
        <w:pStyle w:val="P18"/>
        <w:tabs>
          <w:tab w:val="clear" w:pos="360" w:leader="none"/>
          <w:tab w:val="left" w:pos="1304" w:leader="none"/>
        </w:tabs>
      </w:pPr>
      <w:bookmarkStart w:id="49" w:name="_Toc90561137"/>
      <w:bookmarkStart w:id="50" w:name="_Toc89445985"/>
      <w:bookmarkStart w:id="51" w:name="_Toc153889997"/>
      <w:r>
        <w:rPr>
          <w:caps w:val="0"/>
          <w:szCs w:val="36"/>
        </w:rPr>
        <w:t>MOTIV TILL DETALJPLANENS REGLERINGAR</w:t>
      </w:r>
      <w:bookmarkEnd w:id="49"/>
      <w:bookmarkEnd w:id="50"/>
      <w:bookmarkEnd w:id="51"/>
    </w:p>
    <w:p>
      <w:pPr>
        <w:pStyle w:val="P19"/>
        <w:tabs>
          <w:tab w:val="left" w:pos="1304" w:leader="none"/>
        </w:tabs>
        <w:ind w:left="576"/>
        <w:rPr>
          <w:szCs w:val="28"/>
        </w:rPr>
      </w:pPr>
      <w:bookmarkStart w:id="52" w:name="_Toc90561138"/>
      <w:bookmarkStart w:id="53" w:name="_Toc89445986"/>
      <w:bookmarkStart w:id="54" w:name="_Toc153889998"/>
      <w:r>
        <w:rPr>
          <w:caps w:val="0"/>
          <w:szCs w:val="28"/>
        </w:rPr>
        <w:t>Motiv till regleringar</w:t>
      </w:r>
      <w:bookmarkEnd w:id="52"/>
      <w:bookmarkEnd w:id="53"/>
      <w:bookmarkEnd w:id="54"/>
    </w:p>
    <w:p>
      <w:pPr>
        <w:pStyle w:val="P20"/>
      </w:pPr>
      <w:bookmarkStart w:id="55" w:name="_Toc90561139"/>
      <w:bookmarkStart w:id="56" w:name="_Toc89445987"/>
      <w:bookmarkStart w:id="57" w:name="_Toc153889999"/>
      <w:r>
        <w:t>allmän plats</w:t>
      </w:r>
      <w:bookmarkEnd w:id="55"/>
      <w:bookmarkEnd w:id="56"/>
      <w:r>
        <w:t>mark</w:t>
      </w:r>
      <w:bookmarkEnd w:id="57"/>
    </w:p>
    <w:p>
      <w:r>
        <w:t>Användning av Allmän platsmark</w:t>
      </w:r>
    </w:p>
    <w:p>
      <w:bookmarkStart w:id="58" w:name="be_allmänplats02"/>
      <w:r>
        <w:t>GATA – allmän gata</w:t>
      </w:r>
      <w:bookmarkEnd w:id="58"/>
      <w:r>
        <w:t xml:space="preserve">: </w:t>
      </w:r>
      <w:bookmarkStart w:id="59" w:name="mo_motivtillreglering01"/>
      <w:r>
        <w:t>planmässig bekräftelse av befintlig gata</w:t>
      </w:r>
      <w:bookmarkEnd w:id="59"/>
      <w:r>
        <w:t>.</w:t>
      </w:r>
    </w:p>
    <w:p>
      <w:pPr>
        <w:pStyle w:val="P20"/>
        <w:numPr>
          <w:ilvl w:val="0"/>
          <w:numId w:val="0"/>
        </w:numPr>
        <w:ind w:firstLine="0" w:left="0"/>
      </w:pPr>
    </w:p>
    <w:p>
      <w:pPr>
        <w:pStyle w:val="P20"/>
      </w:pPr>
      <w:bookmarkStart w:id="60" w:name="_Toc153890000"/>
      <w:r>
        <w:t>kvartersmark</w:t>
      </w:r>
      <w:bookmarkEnd w:id="60"/>
    </w:p>
    <w:p>
      <w:r>
        <w:t>Användning av kvartersmark</w:t>
      </w:r>
    </w:p>
    <w:p>
      <w:bookmarkStart w:id="61" w:name="be_kvartersmark02"/>
      <w:r>
        <w:t>B</w:t>
      </w:r>
      <w:r>
        <w:rPr>
          <w:vertAlign w:val="subscript"/>
        </w:rPr>
        <w:t>1</w:t>
      </w:r>
      <w:r>
        <w:t xml:space="preserve"> – 1- och 2-bostadshus</w:t>
      </w:r>
      <w:bookmarkEnd w:id="61"/>
      <w:r>
        <w:t xml:space="preserve">: </w:t>
      </w:r>
      <w:bookmarkStart w:id="62" w:name="mo_motivtillreglering02"/>
      <w:r>
        <w:t>byggnaderna på fastigheten uppfördes ursprungligen som bostäder och en del av syftet med detaljplanen är att de åter ska kunna användas till detta</w:t>
      </w:r>
      <w:bookmarkEnd w:id="62"/>
      <w:r>
        <w:t>.</w:t>
      </w:r>
    </w:p>
    <w:p>
      <w:bookmarkStart w:id="63" w:name="be_kvartersmark03"/>
      <w:r>
        <w:t>K - kontor</w:t>
      </w:r>
      <w:bookmarkEnd w:id="63"/>
      <w:r>
        <w:t xml:space="preserve">: </w:t>
      </w:r>
      <w:bookmarkStart w:id="64" w:name="mo_motivtillreglering03"/>
      <w:r>
        <w:t>fastigheten ska även kunna inhysa kontor. Användningen kontor innebär en verksamhet med liten omgivningspåverkan där arbetet i huvudsak sker i kundens frånvaro, och där varuhanteringen är liten eller obefintlig</w:t>
      </w:r>
      <w:bookmarkEnd w:id="64"/>
      <w:r>
        <w:t>.</w:t>
      </w:r>
    </w:p>
    <w:p>
      <w:bookmarkStart w:id="65" w:name="be_kvartersmark04"/>
      <w:r>
        <w:t>C</w:t>
      </w:r>
      <w:r>
        <w:rPr>
          <w:vertAlign w:val="subscript"/>
        </w:rPr>
        <w:t>1</w:t>
      </w:r>
      <w:r>
        <w:t xml:space="preserve"> - centrumverksamhet utom handel med skrymmande varor</w:t>
      </w:r>
      <w:bookmarkEnd w:id="65"/>
      <w:r>
        <w:t xml:space="preserve">: </w:t>
      </w:r>
      <w:bookmarkStart w:id="66" w:name="mo_motivtillreglering04"/>
      <w:r>
        <w:t>centrumverksamhet som inte kräver omfattande leveranser bedöms kunna inrymmas på platsen. Ett mindre kafé eller restaurang kan utgöra ett lämpligt komplement till bostäderna i området, liksom behandlingsverksamheter såsom frisör, massör, fotvård. Mindre butik bedöms också kunna inrymmas i lokalen. Bestämmelsen om skydd av fasadernas utformning sätter ramarna för vilken typ av verksamhet som kan inrymmas</w:t>
      </w:r>
      <w:bookmarkEnd w:id="66"/>
      <w:r>
        <w:t xml:space="preserve">. </w:t>
      </w:r>
    </w:p>
    <w:p/>
    <w:p>
      <w:r>
        <w:t>Egenskapsbestämmelser för kvartersmark</w:t>
      </w:r>
    </w:p>
    <w:p>
      <w:bookmarkStart w:id="67" w:name="be_kvartersmark05"/>
      <w:bookmarkStart w:id="68" w:name="Kartlänk_03"/>
      <w:r>
        <w:t>q</w:t>
      </w:r>
      <w:r>
        <w:rPr>
          <w:vertAlign w:val="subscript"/>
        </w:rPr>
        <w:t>1</w:t>
      </w:r>
      <w:r>
        <w:t xml:space="preserve"> – Byggnads ursprungliga utformning i fråga om form, fasader, tak och materialitet ska bibehållas</w:t>
      </w:r>
      <w:bookmarkEnd w:id="67"/>
      <w:r>
        <w:t xml:space="preserve">: </w:t>
      </w:r>
      <w:bookmarkStart w:id="69" w:name="mo_motivtillreglering05"/>
      <w:r>
        <w:t>byggnaderna har ett kulturhistoriskt värde som ska värnas</w:t>
      </w:r>
      <w:bookmarkEnd w:id="69"/>
      <w:r>
        <w:t xml:space="preserve">. </w:t>
      </w:r>
      <w:bookmarkEnd w:id="68"/>
    </w:p>
    <w:p>
      <w:bookmarkStart w:id="70" w:name="be_kvartersmark06"/>
      <w:bookmarkStart w:id="71" w:name="Kartlänk_05"/>
      <w:r>
        <w:t>p</w:t>
      </w:r>
      <w:r>
        <w:rPr>
          <w:vertAlign w:val="subscript"/>
        </w:rPr>
        <w:t>1</w:t>
      </w:r>
      <w:r>
        <w:t xml:space="preserve"> – byggnaderna ska vara placerade runt ett gårdstun</w:t>
      </w:r>
      <w:bookmarkEnd w:id="70"/>
      <w:r>
        <w:t xml:space="preserve">: </w:t>
      </w:r>
      <w:bookmarkStart w:id="72" w:name="mo_motivtillreglering06"/>
      <w:r>
        <w:t>den ursprungliga gårdsstrukturen är i stort bevarad och har ett kulturhistoriskt värde som ska värnas.</w:t>
      </w:r>
      <w:bookmarkEnd w:id="71"/>
      <w:bookmarkEnd w:id="72"/>
    </w:p>
    <w:p>
      <w:bookmarkStart w:id="73" w:name="be_kvartersmark07"/>
      <w:bookmarkStart w:id="74" w:name="Kartlänk_08"/>
      <w:r>
        <w:t>Marken får inte förses med byggnadsverk</w:t>
      </w:r>
      <w:bookmarkEnd w:id="73"/>
      <w:r>
        <w:t xml:space="preserve"> – marken får inte förses med byggnadsverk: </w:t>
      </w:r>
      <w:bookmarkStart w:id="75" w:name="mo_motivtillreglering07"/>
      <w:r>
        <w:t>för att säkra en god bebyggelsestruktur med hänsyn till kulturvärden, ska delar av tomten inte bebyggas.</w:t>
      </w:r>
      <w:bookmarkEnd w:id="74"/>
      <w:bookmarkEnd w:id="75"/>
    </w:p>
    <w:p>
      <w:bookmarkStart w:id="76" w:name="be_kvartersmark08"/>
      <w:bookmarkStart w:id="77" w:name="Kartlänk_06"/>
      <w:r>
        <w:t>Marken får endast förses med komplementbyggnad</w:t>
      </w:r>
      <w:bookmarkEnd w:id="76"/>
      <w:r>
        <w:t xml:space="preserve"> – marken får endast förses med komplementbyggnad: </w:t>
      </w:r>
      <w:bookmarkStart w:id="78" w:name="mo_motivtillreglering08"/>
      <w:r>
        <w:t>det är inte lämpligt att bebygga tomten med fler huvudbyggnader</w:t>
      </w:r>
    </w:p>
    <w:p>
      <w:bookmarkEnd w:id="78"/>
      <w:bookmarkStart w:id="79" w:name="be_kvartersmark09"/>
      <w:r>
        <w:t>e – största byggnadsarea är 18% av fastighetsarean inom användningsområdet</w:t>
      </w:r>
      <w:bookmarkEnd w:id="79"/>
      <w:r>
        <w:t xml:space="preserve">: </w:t>
      </w:r>
      <w:bookmarkStart w:id="80" w:name="mo_motivtillreglering09"/>
      <w:r>
        <w:t>för att bevara gårdsstrukturen bör inte fastigheten bebyggas för tätt.</w:t>
      </w:r>
    </w:p>
    <w:p>
      <w:bookmarkEnd w:id="80"/>
      <w:bookmarkStart w:id="81" w:name="be_kvartersmark10"/>
      <w:r>
        <w:t>h – högsta nockhöjd på komplementbyggnad är 4,5 m</w:t>
      </w:r>
      <w:bookmarkEnd w:id="81"/>
      <w:r>
        <w:rPr>
          <w:rtl w:val="0"/>
          <w:lang w:val="sv-SE" w:bidi="sv-SE" w:eastAsia="sv-SE"/>
        </w:rPr>
        <w:t xml:space="preserve">: </w:t>
      </w:r>
      <w:bookmarkStart w:id="82" w:name="mo_motivtillreglering10"/>
      <w:r>
        <w:rPr>
          <w:rtl w:val="0"/>
          <w:lang w:val="sv-SE" w:bidi="sv-SE" w:eastAsia="sv-SE"/>
        </w:rPr>
        <w:t>komplementbyggnader ska underordna sig huvudbyggnader.</w:t>
      </w:r>
    </w:p>
    <w:p>
      <w:bookmarkEnd w:id="77"/>
      <w:bookmarkEnd w:id="82"/>
      <w:bookmarkStart w:id="83" w:name="be_kvartersmark11"/>
      <w:bookmarkStart w:id="84" w:name="Kartlänk_11"/>
      <w:r>
        <w:t>u – markreservat för allmännyttiga underjordiska ledningar</w:t>
      </w:r>
      <w:bookmarkEnd w:id="83"/>
      <w:r>
        <w:t xml:space="preserve">: </w:t>
      </w:r>
      <w:bookmarkStart w:id="85" w:name="mo_motivtillreglering11"/>
      <w:r>
        <w:t>allmän VA-ledning är dragen över fastigheten</w:t>
      </w:r>
      <w:bookmarkEnd w:id="85"/>
      <w:r>
        <w:t>.</w:t>
      </w:r>
    </w:p>
    <w:p>
      <w:bookmarkEnd w:id="84"/>
      <w:bookmarkStart w:id="86" w:name="be_kvartersmark12"/>
      <w:bookmarkStart w:id="87" w:name="Kartlänk_04"/>
      <w:r>
        <w:t>r – Byggnad får inte rivas</w:t>
      </w:r>
      <w:bookmarkEnd w:id="86"/>
      <w:r>
        <w:t xml:space="preserve">: </w:t>
      </w:r>
      <w:bookmarkStart w:id="88" w:name="mo_motivtillreglering12"/>
      <w:r>
        <w:t>byggnaden har ett kulturhistoriskt värde och ska bevaras.</w:t>
      </w:r>
      <w:bookmarkEnd w:id="87"/>
      <w:bookmarkEnd w:id="88"/>
    </w:p>
    <w:p>
      <w:bookmarkStart w:id="89" w:name="be_kvartersmark13"/>
      <w:bookmarkStart w:id="90" w:name="Kartlänk_07"/>
      <w:r>
        <w:t>a</w:t>
      </w:r>
      <w:r>
        <w:rPr>
          <w:vertAlign w:val="subscript"/>
        </w:rPr>
        <w:t>1</w:t>
      </w:r>
      <w:r>
        <w:t xml:space="preserve"> – Bygglov krävs även för åtgärder som avses i PBL 9 kap. 4-4 c §§ samt 4 f §</w:t>
      </w:r>
      <w:bookmarkEnd w:id="89"/>
      <w:r>
        <w:t xml:space="preserve">: </w:t>
      </w:r>
      <w:bookmarkStart w:id="91" w:name="mo_motivtillreglering13"/>
      <w:r>
        <w:t>fastigheten besitter kulturvärden och placering och utformning av byggnader är av vikt även vid mindre åtgärder.</w:t>
      </w:r>
      <w:bookmarkEnd w:id="90"/>
      <w:bookmarkEnd w:id="91"/>
    </w:p>
    <w:p>
      <w:bookmarkStart w:id="92" w:name="be_kvartersmark14"/>
      <w:bookmarkStart w:id="93" w:name="Kartlänk_09"/>
      <w:r>
        <w:t>b</w:t>
      </w:r>
      <w:r>
        <w:rPr>
          <w:vertAlign w:val="subscript"/>
        </w:rPr>
        <w:t>1</w:t>
      </w:r>
      <w:r>
        <w:t xml:space="preserve"> – mark ska vara genomsläpplig</w:t>
      </w:r>
      <w:bookmarkEnd w:id="92"/>
      <w:r>
        <w:t xml:space="preserve">: </w:t>
      </w:r>
      <w:bookmarkStart w:id="94" w:name="mo_motivtillreglering14"/>
      <w:r>
        <w:t>marken ska vara genomsläpplig för att underlätta infiltrering vid kraftiga regn</w:t>
      </w:r>
      <w:bookmarkEnd w:id="93"/>
      <w:bookmarkEnd w:id="94"/>
    </w:p>
    <w:p>
      <w:bookmarkStart w:id="95" w:name="be_kvartersmark15"/>
      <w:r>
        <w:t>Fasader ska vara av trä</w:t>
      </w:r>
      <w:bookmarkEnd w:id="95"/>
      <w:r>
        <w:t xml:space="preserve">: </w:t>
      </w:r>
      <w:bookmarkStart w:id="96" w:name="mo_motivtillreglering15"/>
      <w:r>
        <w:t>fasadernas uttryck ska anpassas till befintlig bebyggelse</w:t>
      </w:r>
      <w:bookmarkEnd w:id="96"/>
      <w:r>
        <w:t>.</w:t>
      </w:r>
    </w:p>
    <w:p>
      <w:bookmarkStart w:id="97" w:name="be_kvartersmark16"/>
      <w:r>
        <w:t>Bebyggelse ska underordna sig mangårdsbyggnad och parstuga vad gäller volym, färgsättning, form och gestaltning</w:t>
      </w:r>
      <w:bookmarkEnd w:id="97"/>
      <w:r>
        <w:t xml:space="preserve">: </w:t>
      </w:r>
      <w:bookmarkStart w:id="98" w:name="mo_motivtillreglering16"/>
      <w:r>
        <w:t>eventuell tillkommande bebyggelse ska förhålla sig till de två äldre byggnaderna på så sätt att dessa tydligt är huvudbyggnader, och underordnas dem.</w:t>
      </w:r>
      <w:bookmarkEnd w:id="98"/>
    </w:p>
    <w:p>
      <w:pPr>
        <w:pStyle w:val="P18"/>
        <w:tabs>
          <w:tab w:val="clear" w:pos="360" w:leader="none"/>
          <w:tab w:val="left" w:pos="1304" w:leader="none"/>
        </w:tabs>
        <w:rPr>
          <w:szCs w:val="36"/>
        </w:rPr>
      </w:pPr>
      <w:bookmarkStart w:id="99" w:name="_Toc90561145"/>
      <w:bookmarkStart w:id="100" w:name="_Toc89445991"/>
      <w:bookmarkStart w:id="101" w:name="_Toc153890001"/>
      <w:r>
        <w:rPr>
          <w:szCs w:val="36"/>
        </w:rPr>
        <w:t>PLANERINGSFÖRUTSÄTTNINGAR</w:t>
      </w:r>
      <w:bookmarkEnd w:id="99"/>
      <w:bookmarkEnd w:id="100"/>
      <w:bookmarkEnd w:id="101"/>
    </w:p>
    <w:p>
      <w:pPr>
        <w:pStyle w:val="P19"/>
        <w:tabs>
          <w:tab w:val="left" w:pos="1304" w:leader="none"/>
        </w:tabs>
        <w:ind w:left="576"/>
        <w:rPr>
          <w:szCs w:val="28"/>
        </w:rPr>
      </w:pPr>
      <w:bookmarkStart w:id="102" w:name="_Toc90561146"/>
      <w:bookmarkStart w:id="103" w:name="_Toc89445992"/>
      <w:bookmarkStart w:id="104" w:name="_Toc153890002"/>
      <w:r>
        <w:rPr>
          <w:caps w:val="0"/>
          <w:szCs w:val="28"/>
        </w:rPr>
        <w:t>Kommunala</w:t>
      </w:r>
      <w:bookmarkEnd w:id="102"/>
      <w:bookmarkEnd w:id="103"/>
      <w:bookmarkEnd w:id="104"/>
    </w:p>
    <w:p/>
    <w:p>
      <w:pPr>
        <w:pStyle w:val="P20"/>
        <w:numPr>
          <w:ilvl w:val="2"/>
          <w:numId w:val="3"/>
        </w:numPr>
        <w:rPr>
          <w:szCs w:val="24"/>
        </w:rPr>
      </w:pPr>
      <w:bookmarkStart w:id="105" w:name="_Toc90561147"/>
      <w:bookmarkStart w:id="106" w:name="_Toc89445993"/>
      <w:bookmarkStart w:id="107" w:name="_Toc153890003"/>
      <w:r>
        <w:rPr>
          <w:caps w:val="0"/>
          <w:szCs w:val="24"/>
        </w:rPr>
        <w:t>Detaljplan</w:t>
      </w:r>
      <w:bookmarkEnd w:id="105"/>
      <w:bookmarkEnd w:id="106"/>
      <w:bookmarkEnd w:id="107"/>
      <w:r>
        <w:rPr>
          <w:caps w:val="0"/>
          <w:szCs w:val="24"/>
        </w:rPr>
        <w:t xml:space="preserve"> </w:t>
      </w:r>
    </w:p>
    <w:p>
      <w:bookmarkStart w:id="108" w:name="pf_detaljplan01"/>
      <w:r>
        <w:rPr>
          <w:shd w:val="clear" w:color="auto" w:fill="FFFFFF"/>
        </w:rPr>
        <w:t xml:space="preserve">Fastigheten berörs idag av två detaljplaner: </w:t>
      </w:r>
      <w:r>
        <w:rPr>
          <w:i w:val="1"/>
          <w:shd w:val="clear" w:color="auto" w:fill="FFFFFF"/>
        </w:rPr>
        <w:t xml:space="preserve">Förslag till ändring av stadsplan för södra infarten m.m. inom Vindelns tätort </w:t>
      </w:r>
      <w:r>
        <w:rPr>
          <w:shd w:val="clear" w:color="auto" w:fill="FFFFFF"/>
        </w:rPr>
        <w:t xml:space="preserve">(lokal beteckning V73; lantmäteriets beteckning 24-P1986-22) från 1985, samt </w:t>
      </w:r>
      <w:r>
        <w:rPr>
          <w:i w:val="1"/>
          <w:shd w:val="clear" w:color="auto" w:fill="FFFFFF"/>
        </w:rPr>
        <w:t>Detaljplan för del av kvarteret Löjtnanten m.m. inom Vindelns tätort</w:t>
      </w:r>
      <w:r>
        <w:rPr>
          <w:shd w:val="clear" w:color="auto" w:fill="FFFFFF"/>
        </w:rPr>
        <w:t xml:space="preserve"> (V95; 2404-P94/3) från 1994. Befintlig detaljplan reglerar användningen av fastigheten till </w:t>
      </w:r>
      <w:r>
        <w:rPr>
          <w:i w:val="1"/>
          <w:shd w:val="clear" w:color="auto" w:fill="FFFFFF"/>
        </w:rPr>
        <w:t>allmän användning</w:t>
      </w:r>
      <w:r>
        <w:rPr>
          <w:shd w:val="clear" w:color="auto" w:fill="FFFFFF"/>
        </w:rPr>
        <w:t xml:space="preserve"> samt </w:t>
      </w:r>
      <w:r>
        <w:rPr>
          <w:i w:val="1"/>
          <w:shd w:val="clear" w:color="auto" w:fill="FFFFFF"/>
        </w:rPr>
        <w:t>kulturreservat</w:t>
      </w:r>
      <w:r>
        <w:rPr>
          <w:shd w:val="clear" w:color="auto" w:fill="FFFFFF"/>
        </w:rPr>
        <w:t xml:space="preserve">, och tomten har huserat en rad olika verksamheter, nu senast förskola. En del av fastigheten upptas av en allmän gata, denna är i dagsläget planlagd som </w:t>
      </w:r>
      <w:r>
        <w:rPr>
          <w:i w:val="1"/>
          <w:shd w:val="clear" w:color="auto" w:fill="FFFFFF"/>
        </w:rPr>
        <w:t>kulturreservat</w:t>
      </w:r>
      <w:r>
        <w:rPr>
          <w:shd w:val="clear" w:color="auto" w:fill="FFFFFF"/>
        </w:rPr>
        <w:t>, då befintlig gata var tänkt att dras om. Denna plan har dock inte förverkligats</w:t>
      </w:r>
      <w:r>
        <w:t xml:space="preserve">. </w:t>
      </w:r>
      <w:bookmarkEnd w:id="108"/>
      <w:bookmarkStart w:id="109" w:name="_Toc89445994"/>
    </w:p>
    <w:p>
      <w:bookmarkEnd w:id="109"/>
    </w:p>
    <w:p>
      <w:pPr>
        <w:pStyle w:val="P20"/>
        <w:numPr>
          <w:ilvl w:val="2"/>
          <w:numId w:val="3"/>
        </w:numPr>
        <w:rPr>
          <w:szCs w:val="24"/>
        </w:rPr>
      </w:pPr>
      <w:bookmarkStart w:id="110" w:name="_Toc89445997"/>
      <w:bookmarkStart w:id="111" w:name="_Toc153890004"/>
      <w:bookmarkStart w:id="112" w:name="_Toc90561151"/>
      <w:r>
        <w:rPr>
          <w:caps w:val="0"/>
          <w:szCs w:val="24"/>
        </w:rPr>
        <w:t>Planbesked</w:t>
      </w:r>
      <w:bookmarkEnd w:id="110"/>
      <w:bookmarkEnd w:id="111"/>
      <w:r>
        <w:rPr>
          <w:caps w:val="0"/>
          <w:szCs w:val="24"/>
        </w:rPr>
        <w:t xml:space="preserve"> </w:t>
      </w:r>
      <w:bookmarkEnd w:id="112"/>
    </w:p>
    <w:p>
      <w:bookmarkStart w:id="113" w:name="pf_planbesked01"/>
      <w:r>
        <w:t>Positivt planbesked gavs av miljö- och byggnadsnämnden den 16 mars 2023</w:t>
      </w:r>
      <w:bookmarkEnd w:id="113"/>
      <w:r>
        <w:t xml:space="preserve">. </w:t>
      </w:r>
    </w:p>
    <w:p/>
    <w:p>
      <w:pPr>
        <w:pStyle w:val="P20"/>
        <w:numPr>
          <w:ilvl w:val="2"/>
          <w:numId w:val="3"/>
        </w:numPr>
        <w:rPr>
          <w:szCs w:val="24"/>
        </w:rPr>
      </w:pPr>
      <w:bookmarkStart w:id="114" w:name="_Toc90561153"/>
      <w:bookmarkStart w:id="115" w:name="_Toc89445999"/>
      <w:bookmarkStart w:id="116" w:name="_Toc153890005"/>
      <w:r>
        <w:rPr>
          <w:caps w:val="0"/>
          <w:szCs w:val="24"/>
        </w:rPr>
        <w:t>Översiktsplan</w:t>
      </w:r>
      <w:bookmarkEnd w:id="114"/>
      <w:bookmarkEnd w:id="115"/>
      <w:bookmarkEnd w:id="116"/>
    </w:p>
    <w:p>
      <w:bookmarkStart w:id="117" w:name="pf_översiktsplan01"/>
      <w:bookmarkStart w:id="118" w:name="_Hlk90559718"/>
      <w:r>
        <w:t xml:space="preserve">I den fördjupade översiktsplanen för Vindelns tätort (antagen av kommunfullmäktige den 14 juni 2022) anges platsen som </w:t>
      </w:r>
      <w:r>
        <w:rPr>
          <w:i w:val="1"/>
        </w:rPr>
        <w:t>blandad bebyggelse/centrum</w:t>
      </w:r>
      <w:r>
        <w:t>, med användningen bostäder, handel, centrumverksamhet och kontor. Där anges också att området är känsligt för rivningar, och att ny bebyggelse ska anpassas i volym och skala till kulturhistoriskt värdefull bebyggelse. Detaljplanen följer således den fördjupade översiktsplanen.</w:t>
      </w:r>
      <w:bookmarkEnd w:id="117"/>
    </w:p>
    <w:p>
      <w:bookmarkEnd w:id="118"/>
    </w:p>
    <w:p>
      <w:pPr>
        <w:pStyle w:val="P19"/>
        <w:tabs>
          <w:tab w:val="left" w:pos="1304" w:leader="none"/>
        </w:tabs>
        <w:ind w:left="576"/>
        <w:rPr>
          <w:szCs w:val="28"/>
        </w:rPr>
      </w:pPr>
      <w:bookmarkStart w:id="119" w:name="_Toc90561156"/>
      <w:bookmarkStart w:id="120" w:name="_Toc89446002"/>
      <w:bookmarkStart w:id="121" w:name="_Toc153890006"/>
      <w:r>
        <w:rPr>
          <w:caps w:val="0"/>
          <w:szCs w:val="28"/>
        </w:rPr>
        <w:t>Riksintressen</w:t>
      </w:r>
      <w:bookmarkEnd w:id="119"/>
      <w:bookmarkEnd w:id="120"/>
      <w:bookmarkEnd w:id="121"/>
    </w:p>
    <w:p>
      <w:pPr>
        <w:rPr>
          <w:shd w:val="clear" w:color="auto" w:fill="FFFFFF"/>
        </w:rPr>
      </w:pPr>
      <w:r>
        <w:rPr>
          <w:shd w:val="clear" w:color="auto" w:fill="FFFFFF"/>
        </w:rPr>
        <w:t xml:space="preserve"> </w:t>
      </w:r>
    </w:p>
    <w:p>
      <w:pPr>
        <w:pStyle w:val="P20"/>
        <w:rPr>
          <w:szCs w:val="24"/>
        </w:rPr>
      </w:pPr>
      <w:bookmarkStart w:id="122" w:name="_Toc90561175"/>
      <w:bookmarkStart w:id="123" w:name="_Toc89446021"/>
      <w:bookmarkStart w:id="124" w:name="_Toc153890007"/>
      <w:r>
        <w:rPr>
          <w:caps w:val="0"/>
          <w:szCs w:val="24"/>
        </w:rPr>
        <w:t>Skyddade vattendrag</w:t>
      </w:r>
      <w:bookmarkEnd w:id="122"/>
      <w:bookmarkEnd w:id="123"/>
      <w:bookmarkEnd w:id="124"/>
    </w:p>
    <w:p>
      <w:bookmarkStart w:id="125" w:name="pf_skyddadevattendrag01"/>
      <w:r>
        <w:t>Planområdet ligger inom område för riksintresset skyddade vattendrag: Vindelälven med tillhörande käll- och biflöden. Detaljplanen bedöms inte ha nämnvärd påverkan på riksintresset.</w:t>
      </w:r>
      <w:bookmarkEnd w:id="125"/>
      <w:r>
        <w:t xml:space="preserve"> </w:t>
      </w:r>
    </w:p>
    <w:p/>
    <w:p>
      <w:pPr>
        <w:pStyle w:val="P19"/>
        <w:tabs>
          <w:tab w:val="left" w:pos="1304" w:leader="none"/>
        </w:tabs>
        <w:ind w:left="576"/>
        <w:rPr>
          <w:szCs w:val="28"/>
        </w:rPr>
      </w:pPr>
      <w:bookmarkStart w:id="126" w:name="_Toc90561184"/>
      <w:bookmarkStart w:id="127" w:name="_Toc89446030"/>
      <w:bookmarkStart w:id="128" w:name="_Toc153890008"/>
      <w:r>
        <w:rPr>
          <w:caps w:val="0"/>
          <w:szCs w:val="28"/>
        </w:rPr>
        <w:t>Miljökvalitetsnormer</w:t>
      </w:r>
      <w:bookmarkEnd w:id="126"/>
      <w:bookmarkEnd w:id="127"/>
      <w:bookmarkEnd w:id="128"/>
    </w:p>
    <w:p>
      <w:pPr>
        <w:rPr>
          <w:lang w:eastAsia="en-US"/>
        </w:rPr>
      </w:pPr>
      <w:bookmarkStart w:id="129" w:name="pf_miljökvalitetsnormer01"/>
      <w:r>
        <w:rPr>
          <w:shd w:val="clear" w:color="auto" w:fill="FFFFFF"/>
        </w:rPr>
        <w:t xml:space="preserve">En undersökning om betydande miljöpåverkan har gjorts. Enligt genomgången finns inte för någon faktor </w:t>
      </w:r>
      <w:r>
        <w:rPr>
          <w:lang w:eastAsia="en-US"/>
        </w:rPr>
        <w:t xml:space="preserve">anledning att anta att det finns risk för betydande miljöpåverkan. Inte heller sammanvägning av de faktorer då det finns risk för inverkan leder till slutsatsen att den sammanlagda inverkan kan jämföras med betydande miljöpåverkan. </w:t>
      </w:r>
    </w:p>
    <w:p>
      <w:pPr>
        <w:rPr>
          <w:lang w:eastAsia="en-US"/>
        </w:rPr>
      </w:pPr>
    </w:p>
    <w:p>
      <w:pPr>
        <w:rPr>
          <w:shd w:val="clear" w:color="auto" w:fill="FFFFFF"/>
        </w:rPr>
      </w:pPr>
      <w:r>
        <w:rPr>
          <w:lang w:eastAsia="en-US"/>
        </w:rPr>
        <w:t>Det finns inte anledning att anta att miljökvalitetsnorm kommer att överskridas.</w:t>
      </w:r>
      <w:r>
        <w:rPr>
          <w:shd w:val="clear" w:color="auto" w:fill="FFFFFF"/>
        </w:rPr>
        <w:t xml:space="preserve"> </w:t>
      </w:r>
      <w:bookmarkEnd w:id="129"/>
    </w:p>
    <w:p/>
    <w:p>
      <w:pPr>
        <w:pStyle w:val="P20"/>
        <w:rPr>
          <w:szCs w:val="24"/>
        </w:rPr>
      </w:pPr>
      <w:bookmarkStart w:id="130" w:name="_Toc90561185"/>
      <w:bookmarkStart w:id="131" w:name="_Toc89446031"/>
      <w:bookmarkStart w:id="132" w:name="_Toc153890009"/>
      <w:r>
        <w:rPr>
          <w:caps w:val="0"/>
          <w:szCs w:val="24"/>
        </w:rPr>
        <w:t>Luft</w:t>
      </w:r>
      <w:bookmarkEnd w:id="130"/>
      <w:bookmarkEnd w:id="131"/>
      <w:bookmarkEnd w:id="132"/>
    </w:p>
    <w:p>
      <w:pPr>
        <w:pStyle w:val="P30"/>
        <w:rPr>
          <w:rFonts w:cs="Times New Roman" w:eastAsia="Times New Roman"/>
          <w:color w:val="auto"/>
          <w:szCs w:val="20"/>
        </w:rPr>
      </w:pPr>
      <w:bookmarkStart w:id="133" w:name="pf_luft01"/>
      <w:r>
        <w:rPr>
          <w:rFonts w:cs="Times New Roman" w:eastAsia="Times New Roman"/>
          <w:color w:val="auto"/>
          <w:szCs w:val="20"/>
        </w:rPr>
        <w:t xml:space="preserve">Det finns svenska miljökvalitetsnormer (MKN) för den högsta tillåtna halten i utomhusluft av kvävedioxid och kväveoxider, svaveldioxid, kolmonoxid, ozon, bensen, fina partiklar (PM10 och PM2,5), bens(a)pyren, arsenik, kadmium, nickel och bly i utomhusluft. </w:t>
      </w:r>
    </w:p>
    <w:p>
      <w:pPr>
        <w:pStyle w:val="P30"/>
        <w:rPr>
          <w:rFonts w:cs="Times New Roman" w:eastAsia="Times New Roman"/>
          <w:color w:val="auto"/>
          <w:szCs w:val="20"/>
        </w:rPr>
      </w:pPr>
      <w:r>
        <w:rPr>
          <w:rFonts w:cs="Times New Roman" w:eastAsia="Times New Roman"/>
          <w:color w:val="auto"/>
          <w:szCs w:val="20"/>
        </w:rPr>
        <w:t xml:space="preserve">MKN för kvävedioxid (NO2) och partiklar (PM 10) är aktuella för föreliggande planförslag. </w:t>
      </w:r>
    </w:p>
    <w:p>
      <w:pPr>
        <w:pStyle w:val="P30"/>
        <w:rPr>
          <w:rFonts w:cs="Times New Roman" w:eastAsia="Times New Roman"/>
          <w:color w:val="auto"/>
          <w:szCs w:val="20"/>
        </w:rPr>
      </w:pPr>
      <w:r>
        <w:rPr>
          <w:rFonts w:cs="Times New Roman" w:eastAsia="Times New Roman"/>
          <w:color w:val="auto"/>
          <w:szCs w:val="20"/>
        </w:rPr>
        <w:t xml:space="preserve">Fordonstrafiken i Vindeln är, i likhet med övriga Västerbottens län, en av de viktigaste källorna till lokalt genererade luftföroreningar. Enligt regional årlig uppföljning (RUS) är kvävedioxidhalterna i Västerbottens län relativt höga i Umeå och Skellefteå, men övriga kommuner såsom Vindelns kommun har låga halter. </w:t>
      </w:r>
    </w:p>
    <w:p/>
    <w:p>
      <w:r>
        <w:t>I Vindelns tätort har luftmätningar genomförts mellan år 1997 och år 2001. Enligt beräkningar utifrån tidigare genomförda mätningar låg kommunen t.ex. på gränsen för att vara skyldiga att mäta PM10, enligt upprättad projektredovisning 2002-01-31 avseende Projekt hälsorelaterad miljöövervakning – resultat från luftmätningar under säsongen 2000-2001 (Dnr 2002-0014.403). Fjärrvärmenätet i kommunen har utvecklats sedan mätningarna genomfördes, varav luftutsläppen från uppvärmning av bland annat bostadshus inom kommunen bedöms ha minskat. Trafiken i kommunen bedöms ha ökat något sedan mätningarna genomfördes, dock inte i den utsträckningen så att MKN för luftkvalitet riskerar att överskridas. Planförslaget bedöms inte heller medföra sådant tillskott till trafiken att MKN för utomhusluft riskerar att överskridas.</w:t>
      </w:r>
    </w:p>
    <w:p/>
    <w:p>
      <w:pPr>
        <w:pStyle w:val="P30"/>
      </w:pPr>
      <w:r>
        <w:rPr>
          <w:rFonts w:cs="Times New Roman" w:eastAsia="Times New Roman"/>
          <w:color w:val="auto"/>
          <w:szCs w:val="20"/>
        </w:rPr>
        <w:t xml:space="preserve">Utifrån den inledande kartläggningen och objektiva skattningen av luftkvalitet i Vindelns kommun 2023 görs den sammanfattande bedömningen att miljökvalitetsnormer och utvärderingströsklar inte överskrids i Vindelns kommun. Det bedöms därför att det inte finns behov till en fördjupad kartläggning för samtliga luftföroreningar. </w:t>
      </w:r>
      <w:bookmarkEnd w:id="133"/>
    </w:p>
    <w:p/>
    <w:p>
      <w:pPr>
        <w:pStyle w:val="P20"/>
        <w:rPr>
          <w:szCs w:val="24"/>
        </w:rPr>
      </w:pPr>
      <w:bookmarkStart w:id="134" w:name="_Toc90561186"/>
      <w:bookmarkStart w:id="135" w:name="_Toc89446032"/>
      <w:bookmarkStart w:id="136" w:name="_Toc153890010"/>
      <w:r>
        <w:rPr>
          <w:caps w:val="0"/>
          <w:szCs w:val="24"/>
        </w:rPr>
        <w:t>Vatten</w:t>
      </w:r>
      <w:bookmarkEnd w:id="134"/>
      <w:bookmarkEnd w:id="135"/>
      <w:bookmarkEnd w:id="136"/>
    </w:p>
    <w:p>
      <w:pPr>
        <w:pStyle w:val="P30"/>
        <w:rPr>
          <w:sz w:val="23"/>
          <w:szCs w:val="23"/>
        </w:rPr>
      </w:pPr>
      <w:bookmarkStart w:id="137" w:name="pf_vatten01"/>
      <w:r>
        <w:rPr>
          <w:sz w:val="23"/>
          <w:szCs w:val="23"/>
        </w:rPr>
        <w:t xml:space="preserve">MKN för ytvatten är uppdelade i dels ekologisk status, dels kemisk status, och består av ett antal kvalitetsfaktorer (ekologisk status) och parametrar. Det tillstånd eller status en ytvattenförekomst har bestämts av vattenförekomstens ekologiska status eller kemiska status, status för vattenkvaliteten är god om båda kan bedömas som god. </w:t>
      </w:r>
    </w:p>
    <w:p>
      <w:pPr>
        <w:pStyle w:val="P30"/>
        <w:rPr>
          <w:sz w:val="23"/>
          <w:szCs w:val="23"/>
        </w:rPr>
      </w:pPr>
    </w:p>
    <w:p>
      <w:pPr>
        <w:pStyle w:val="P30"/>
        <w:rPr>
          <w:sz w:val="23"/>
          <w:szCs w:val="23"/>
        </w:rPr>
      </w:pPr>
      <w:r>
        <w:rPr>
          <w:sz w:val="23"/>
          <w:szCs w:val="23"/>
        </w:rPr>
        <w:t xml:space="preserve">Vindelälven är utpekad som en prioriterad dricksvattenresurs i den regionala planen för dricksvattenförsörjning. Älven bedöms idag ha måttlig ekologisk status, Kemisk status uppnår ej god. </w:t>
      </w:r>
    </w:p>
    <w:p>
      <w:pPr>
        <w:pStyle w:val="P30"/>
        <w:rPr>
          <w:sz w:val="23"/>
          <w:szCs w:val="23"/>
        </w:rPr>
      </w:pPr>
      <w:bookmarkEnd w:id="137"/>
    </w:p>
    <w:p>
      <w:pPr>
        <w:pStyle w:val="P31"/>
        <w:keepNext w:val="1"/>
      </w:pPr>
      <w:bookmarkStart w:id="138" w:name="pf_vatten02"/>
      <w:r>
        <w:t xml:space="preserve">Tabell </w:t>
      </w:r>
      <w:r>
        <w:fldChar w:fldCharType="begin"/>
      </w:r>
      <w:r>
        <w:instrText xml:space="preserve"> SEQ Tabell \* ARABIC </w:instrText>
      </w:r>
      <w:r>
        <w:fldChar w:fldCharType="separate"/>
      </w:r>
      <w:r>
        <w:rPr>
          <w:noProof w:val="1"/>
        </w:rPr>
        <w:t>1</w:t>
      </w:r>
      <w:r>
        <w:rPr>
          <w:noProof w:val="1"/>
        </w:rPr>
        <w:fldChar w:fldCharType="end"/>
      </w:r>
      <w:r>
        <w:t xml:space="preserve"> Nuvarande status och MKN för vattenförekomster.</w:t>
      </w:r>
    </w:p>
    <w:tbl>
      <w:tblPr>
        <w:tblStyle w:val="T2"/>
        <w:tblW w:w="0" w:type="auto"/>
        <w:tblLook w:val="04A0"/>
      </w:tblPr>
      <w:tblGrid/>
      <w:tr>
        <w:tc>
          <w:tcPr>
            <w:tcW w:w="1788" w:type="dxa"/>
            <w:shd w:val="clear" w:color="auto" w:fill="DFEBF7" w:themeFill="accent1" w:themeFillTint="31"/>
          </w:tcPr>
          <w:p>
            <w:pPr>
              <w:pStyle w:val="P30"/>
              <w:rPr>
                <w:b w:val="1"/>
                <w:sz w:val="18"/>
                <w:szCs w:val="18"/>
              </w:rPr>
            </w:pPr>
            <w:r>
              <w:rPr>
                <w:b w:val="1"/>
                <w:sz w:val="18"/>
                <w:szCs w:val="18"/>
              </w:rPr>
              <w:t>Vattenförekomst</w:t>
            </w:r>
          </w:p>
        </w:tc>
        <w:tc>
          <w:tcPr>
            <w:tcW w:w="1694" w:type="dxa"/>
            <w:shd w:val="clear" w:color="auto" w:fill="DFEBF7" w:themeFill="accent1" w:themeFillTint="31"/>
          </w:tcPr>
          <w:p>
            <w:pPr>
              <w:pStyle w:val="P30"/>
              <w:rPr>
                <w:b w:val="1"/>
                <w:sz w:val="18"/>
                <w:szCs w:val="18"/>
              </w:rPr>
            </w:pPr>
            <w:r>
              <w:rPr>
                <w:b w:val="1"/>
                <w:sz w:val="18"/>
                <w:szCs w:val="18"/>
              </w:rPr>
              <w:t>Ekologisk status/potential</w:t>
            </w:r>
          </w:p>
        </w:tc>
        <w:tc>
          <w:tcPr>
            <w:tcW w:w="919" w:type="dxa"/>
            <w:shd w:val="clear" w:color="auto" w:fill="DFEBF7" w:themeFill="accent1" w:themeFillTint="31"/>
          </w:tcPr>
          <w:p>
            <w:pPr>
              <w:pStyle w:val="P30"/>
              <w:rPr>
                <w:b w:val="1"/>
                <w:sz w:val="18"/>
                <w:szCs w:val="18"/>
              </w:rPr>
            </w:pPr>
            <w:r>
              <w:rPr>
                <w:b w:val="1"/>
                <w:sz w:val="18"/>
                <w:szCs w:val="18"/>
              </w:rPr>
              <w:t>Kemisk status</w:t>
            </w:r>
          </w:p>
        </w:tc>
        <w:tc>
          <w:tcPr>
            <w:tcW w:w="2244" w:type="dxa"/>
            <w:shd w:val="clear" w:color="auto" w:fill="DFEBF7" w:themeFill="accent1" w:themeFillTint="31"/>
          </w:tcPr>
          <w:p>
            <w:pPr>
              <w:pStyle w:val="P30"/>
              <w:rPr>
                <w:b w:val="1"/>
                <w:sz w:val="18"/>
                <w:szCs w:val="18"/>
              </w:rPr>
            </w:pPr>
            <w:r>
              <w:rPr>
                <w:b w:val="1"/>
                <w:sz w:val="18"/>
                <w:szCs w:val="18"/>
              </w:rPr>
              <w:t>MKN ekologisk status</w:t>
            </w:r>
          </w:p>
        </w:tc>
        <w:tc>
          <w:tcPr>
            <w:tcW w:w="2848" w:type="dxa"/>
            <w:shd w:val="clear" w:color="auto" w:fill="DFEBF7" w:themeFill="accent1" w:themeFillTint="31"/>
          </w:tcPr>
          <w:p>
            <w:pPr>
              <w:pStyle w:val="P30"/>
              <w:rPr>
                <w:b w:val="1"/>
                <w:sz w:val="18"/>
                <w:szCs w:val="18"/>
              </w:rPr>
            </w:pPr>
            <w:r>
              <w:rPr>
                <w:b w:val="1"/>
                <w:sz w:val="18"/>
                <w:szCs w:val="18"/>
              </w:rPr>
              <w:t>MKN kemisk status</w:t>
            </w:r>
          </w:p>
        </w:tc>
      </w:tr>
      <w:tr>
        <w:tc>
          <w:tcPr>
            <w:tcW w:w="1788" w:type="dxa"/>
          </w:tcPr>
          <w:p>
            <w:pPr>
              <w:pStyle w:val="P30"/>
              <w:rPr>
                <w:sz w:val="18"/>
                <w:szCs w:val="18"/>
              </w:rPr>
            </w:pPr>
            <w:r>
              <w:rPr>
                <w:sz w:val="18"/>
                <w:szCs w:val="18"/>
              </w:rPr>
              <w:t>Vindelälven</w:t>
            </w:r>
          </w:p>
        </w:tc>
        <w:tc>
          <w:tcPr>
            <w:tcW w:w="1694" w:type="dxa"/>
          </w:tcPr>
          <w:p>
            <w:pPr>
              <w:pStyle w:val="P30"/>
              <w:rPr>
                <w:sz w:val="18"/>
                <w:szCs w:val="18"/>
              </w:rPr>
            </w:pPr>
            <w:r>
              <w:rPr>
                <w:sz w:val="18"/>
                <w:szCs w:val="18"/>
              </w:rPr>
              <w:t>Måttlig</w:t>
            </w:r>
          </w:p>
        </w:tc>
        <w:tc>
          <w:tcPr>
            <w:tcW w:w="919" w:type="dxa"/>
          </w:tcPr>
          <w:p>
            <w:pPr>
              <w:pStyle w:val="P30"/>
              <w:rPr>
                <w:sz w:val="18"/>
                <w:szCs w:val="18"/>
              </w:rPr>
            </w:pPr>
            <w:r>
              <w:rPr>
                <w:sz w:val="18"/>
                <w:szCs w:val="18"/>
              </w:rPr>
              <w:t>Uppnår ej god</w:t>
            </w:r>
          </w:p>
        </w:tc>
        <w:tc>
          <w:tcPr>
            <w:tcW w:w="2244" w:type="dxa"/>
          </w:tcPr>
          <w:p>
            <w:pPr>
              <w:pStyle w:val="P30"/>
              <w:rPr>
                <w:sz w:val="18"/>
                <w:szCs w:val="18"/>
              </w:rPr>
            </w:pPr>
            <w:r>
              <w:rPr>
                <w:sz w:val="18"/>
                <w:szCs w:val="18"/>
              </w:rPr>
              <w:t>God ekologisk status 2033</w:t>
            </w:r>
          </w:p>
        </w:tc>
        <w:tc>
          <w:tcPr>
            <w:tcW w:w="2848" w:type="dxa"/>
          </w:tcPr>
          <w:p>
            <w:pPr>
              <w:pStyle w:val="P30"/>
              <w:rPr>
                <w:sz w:val="18"/>
                <w:szCs w:val="18"/>
              </w:rPr>
            </w:pPr>
            <w:r>
              <w:rPr>
                <w:sz w:val="18"/>
                <w:szCs w:val="18"/>
              </w:rPr>
              <w:t>God kemisk ytvattenstatus med undantag för bromerad difenyleter och kvicksilver/kvicksilverföreningar</w:t>
            </w:r>
          </w:p>
        </w:tc>
      </w:tr>
    </w:tbl>
    <w:p>
      <w:pPr>
        <w:pStyle w:val="P30"/>
        <w:rPr>
          <w:sz w:val="23"/>
          <w:szCs w:val="23"/>
        </w:rPr>
      </w:pPr>
      <w:bookmarkEnd w:id="138"/>
    </w:p>
    <w:p>
      <w:pPr>
        <w:widowControl w:val="1"/>
        <w:rPr>
          <w:rFonts w:cs="Georgia" w:eastAsia="Cambria"/>
          <w:color w:val="000000"/>
          <w:sz w:val="23"/>
          <w:szCs w:val="23"/>
        </w:rPr>
      </w:pPr>
      <w:bookmarkStart w:id="139" w:name="pf_vatten03"/>
      <w:r>
        <w:rPr>
          <w:rFonts w:cs="Georgia" w:eastAsia="Cambria"/>
          <w:color w:val="000000"/>
          <w:sz w:val="23"/>
          <w:szCs w:val="23"/>
        </w:rPr>
        <w:t>Vattenmyndigheterna har det övergripande ansvaret att se till att EU:s ramdirektiv för vatten genomförs i Sverige. Grundvatten, sjöar, vattendrag och kustvatten har delats in i vattenförekomster för vilka bedömning har skett vilken ekologisk, kemisk eller kvantitativ status som vattnet har och vilka krav som ställs för att kunna upprätthålla och förbättra denna status.</w:t>
      </w:r>
    </w:p>
    <w:p>
      <w:pPr>
        <w:widowControl w:val="1"/>
        <w:rPr>
          <w:rFonts w:cs="Georgia" w:eastAsia="Cambria"/>
          <w:color w:val="000000"/>
          <w:sz w:val="23"/>
          <w:szCs w:val="23"/>
        </w:rPr>
      </w:pPr>
    </w:p>
    <w:p>
      <w:pPr>
        <w:widowControl w:val="1"/>
        <w:rPr>
          <w:rFonts w:cs="Georgia" w:eastAsia="Cambria"/>
          <w:color w:val="000000"/>
          <w:sz w:val="23"/>
          <w:szCs w:val="23"/>
        </w:rPr>
      </w:pPr>
      <w:r>
        <w:rPr>
          <w:rFonts w:cs="Georgia" w:eastAsia="Cambria"/>
          <w:color w:val="000000"/>
          <w:sz w:val="23"/>
          <w:szCs w:val="23"/>
        </w:rPr>
        <w:t>Bottenvikens vattendistrikt är Sveriges nordligaste vattendistrikt och omfattar hela Norrbottens län samt större delen av Västerbottens län. Länsstyrelsen i Norrbottens län har utsetts till vattenmyndighet i distriktet. Beslutade MKN innebär kortfattat att alla ytvattenförekomster ska uppnå eller behålla hög eller god ekologisk status och god kemisk ytvattenstatus samt att alla grundvattenförekomster ska uppnå eller behålla god kvantitativ status och god kemisk grundvattenstatus (om inte undantag har meddelats). Yt- och grundvattenstatusen får generellt inte försämras.</w:t>
      </w:r>
    </w:p>
    <w:p>
      <w:pPr>
        <w:widowControl w:val="1"/>
        <w:rPr>
          <w:rFonts w:cs="Georgia" w:eastAsia="Cambria"/>
          <w:color w:val="000000"/>
          <w:sz w:val="23"/>
          <w:szCs w:val="23"/>
        </w:rPr>
      </w:pPr>
    </w:p>
    <w:p>
      <w:pPr>
        <w:widowControl w:val="1"/>
        <w:rPr>
          <w:rFonts w:cs="Georgia" w:eastAsia="Cambria"/>
          <w:sz w:val="22"/>
          <w:szCs w:val="22"/>
        </w:rPr>
      </w:pPr>
      <w:r>
        <w:rPr>
          <w:rFonts w:cs="Georgia" w:eastAsia="Cambria"/>
          <w:sz w:val="22"/>
          <w:szCs w:val="22"/>
        </w:rPr>
        <w:t>Vindelälven, liksom samtliga vattendrag inom distriktet, uppnår ej god kemisk status för ytvattenförekomst. Detta beror på att gränsvärden överskrids för kvicksilver/kvicksilverföreningar samt bromerad difenyleter. Dessa ämnen sprids långväga via atmosfären och i en sådan utsträckning att det anses tekniskt omöjligt att sänka halterna till de nivåer som motsvarar god kemisk ytvattenstatus. Ämnena omfattas därför av ett undantag från miljökvalitetsnormen. Lokala påverkanskällor ska dock åtgärdas.</w:t>
      </w:r>
    </w:p>
    <w:p>
      <w:pPr>
        <w:widowControl w:val="1"/>
        <w:rPr>
          <w:rFonts w:cs="Georgia" w:eastAsia="Cambria"/>
          <w:sz w:val="22"/>
          <w:szCs w:val="22"/>
        </w:rPr>
      </w:pPr>
    </w:p>
    <w:p>
      <w:pPr>
        <w:widowControl w:val="1"/>
        <w:rPr>
          <w:rFonts w:cs="Georgia" w:eastAsia="Cambria"/>
          <w:sz w:val="22"/>
          <w:szCs w:val="22"/>
        </w:rPr>
      </w:pPr>
      <w:r>
        <w:rPr>
          <w:rFonts w:cs="Georgia" w:eastAsia="Cambria"/>
          <w:sz w:val="22"/>
          <w:szCs w:val="22"/>
        </w:rPr>
        <w:t xml:space="preserve">Vindelälven uppnår måttlig ekologisk status, </w:t>
      </w:r>
      <w:r>
        <w:rPr>
          <w:sz w:val="23"/>
          <w:szCs w:val="23"/>
        </w:rPr>
        <w:t xml:space="preserve">både vad gäller avrinningsområdet kring Vindeln samt vattendraget i sig. </w:t>
      </w:r>
      <w:r>
        <w:rPr>
          <w:rFonts w:cs="Georgia" w:eastAsia="Cambria"/>
          <w:sz w:val="22"/>
          <w:szCs w:val="22"/>
        </w:rPr>
        <w:t>Detta beror bl.a. på effekter av tidigare flottningsverksamhet samt skogsbruk. Av tekniska skäl och p.g.a. naturliga förhållanden kan god ekologisk status inte uppnås genast, och en tidsfrist till 2033 har därför satts.</w:t>
      </w:r>
    </w:p>
    <w:p>
      <w:pPr>
        <w:pStyle w:val="P30"/>
        <w:rPr>
          <w:sz w:val="23"/>
          <w:szCs w:val="23"/>
        </w:rPr>
      </w:pPr>
    </w:p>
    <w:p>
      <w:pPr>
        <w:pStyle w:val="P30"/>
      </w:pPr>
      <w:r>
        <w:rPr>
          <w:sz w:val="23"/>
          <w:szCs w:val="23"/>
        </w:rPr>
        <w:t>Planområdet ligger på visst avstånd från Vindelälven och medför inget fysiskt intrång i vattenförekomsten. Ingen grundvattenförekomst berörs av planförslaget.</w:t>
      </w:r>
      <w:r>
        <w:t xml:space="preserve"> Utveckling enligt planförslaget bedöms inte påverka huruvida god status för vattenförekomster kan uppnås/upprätthållas.</w:t>
      </w:r>
      <w:bookmarkEnd w:id="139"/>
      <w:r>
        <w:t xml:space="preserve"> </w:t>
      </w:r>
    </w:p>
    <w:p/>
    <w:p>
      <w:pPr>
        <w:pStyle w:val="P20"/>
        <w:rPr>
          <w:szCs w:val="24"/>
        </w:rPr>
      </w:pPr>
      <w:bookmarkStart w:id="140" w:name="_Toc90561187"/>
      <w:bookmarkStart w:id="141" w:name="_Toc89446033"/>
      <w:bookmarkStart w:id="142" w:name="_Toc153890011"/>
      <w:r>
        <w:rPr>
          <w:caps w:val="0"/>
          <w:szCs w:val="24"/>
        </w:rPr>
        <w:t>Buller</w:t>
      </w:r>
      <w:bookmarkEnd w:id="140"/>
      <w:bookmarkEnd w:id="141"/>
      <w:bookmarkEnd w:id="142"/>
    </w:p>
    <w:p>
      <w:pPr>
        <w:widowControl w:val="1"/>
      </w:pPr>
      <w:bookmarkStart w:id="143" w:name="pf_buller01"/>
      <w:r>
        <w:t>MKN för buller bygger på ett EG-direktiv för buller som infördes i svensk</w:t>
      </w:r>
    </w:p>
    <w:p>
      <w:pPr>
        <w:widowControl w:val="1"/>
      </w:pPr>
      <w:r>
        <w:t>lagstiftning i förordning (2004:675) om omgivningsbuller. Enligt förordningen</w:t>
      </w:r>
    </w:p>
    <w:p>
      <w:pPr>
        <w:widowControl w:val="1"/>
      </w:pPr>
      <w:r>
        <w:t>finns en skyldighet att kartlägga buller och upprätta åtgärdsprogram samt sträva</w:t>
      </w:r>
    </w:p>
    <w:p>
      <w:pPr>
        <w:widowControl w:val="1"/>
      </w:pPr>
      <w:r>
        <w:t>efter att omgivningsbuller inte medför skadliga effekter på människors hälsa.</w:t>
      </w:r>
    </w:p>
    <w:p>
      <w:pPr>
        <w:widowControl w:val="1"/>
      </w:pPr>
      <w:r>
        <w:t>Kravet på kartering börjar gälla när ett samhälle har fler än 100 000 innevånare.</w:t>
      </w:r>
    </w:p>
    <w:p>
      <w:pPr>
        <w:widowControl w:val="1"/>
      </w:pPr>
    </w:p>
    <w:p>
      <w:pPr>
        <w:widowControl w:val="1"/>
      </w:pPr>
      <w:r>
        <w:t>Eftersom Vindeln har färre än 100 000 innevånare, finns det inte något formellt</w:t>
      </w:r>
    </w:p>
    <w:p>
      <w:pPr>
        <w:widowControl w:val="1"/>
      </w:pPr>
      <w:r>
        <w:t>krav på bullerkartering. Det finns därför inte heller några beslutade</w:t>
      </w:r>
    </w:p>
    <w:p>
      <w:pPr>
        <w:widowControl w:val="1"/>
      </w:pPr>
      <w:r>
        <w:t>miljökvalitetsnormer. En översiktlig beräkning av buller inom planområdet har</w:t>
      </w:r>
    </w:p>
    <w:p>
      <w:pPr>
        <w:widowControl w:val="1"/>
      </w:pPr>
      <w:r>
        <w:t>utförts och gällande riktvärden för buller vid bostäder klaras, se avsnitt bullerutredning.</w:t>
      </w:r>
      <w:bookmarkEnd w:id="143"/>
    </w:p>
    <w:p/>
    <w:p>
      <w:pPr>
        <w:pStyle w:val="P19"/>
        <w:tabs>
          <w:tab w:val="left" w:pos="1304" w:leader="none"/>
        </w:tabs>
        <w:ind w:left="576"/>
        <w:rPr>
          <w:szCs w:val="28"/>
        </w:rPr>
      </w:pPr>
      <w:bookmarkStart w:id="144" w:name="_Toc90561192"/>
      <w:bookmarkStart w:id="145" w:name="_Toc89446038"/>
      <w:bookmarkStart w:id="146" w:name="_Toc153890012"/>
      <w:r>
        <w:rPr>
          <w:caps w:val="0"/>
          <w:szCs w:val="28"/>
        </w:rPr>
        <w:t>Hälsa och säkerhet</w:t>
      </w:r>
      <w:bookmarkEnd w:id="144"/>
      <w:bookmarkEnd w:id="145"/>
      <w:bookmarkEnd w:id="146"/>
    </w:p>
    <w:p/>
    <w:p>
      <w:pPr>
        <w:pStyle w:val="P20"/>
        <w:rPr>
          <w:szCs w:val="24"/>
        </w:rPr>
      </w:pPr>
      <w:bookmarkStart w:id="147" w:name="_Toc90561193"/>
      <w:bookmarkStart w:id="148" w:name="_Toc89446039"/>
      <w:bookmarkStart w:id="149" w:name="_Toc153890013"/>
      <w:r>
        <w:rPr>
          <w:caps w:val="0"/>
          <w:szCs w:val="24"/>
        </w:rPr>
        <w:t>Omgivningsbuller</w:t>
      </w:r>
      <w:bookmarkEnd w:id="147"/>
      <w:bookmarkEnd w:id="148"/>
      <w:bookmarkEnd w:id="149"/>
      <w:r>
        <w:rPr>
          <w:caps w:val="0"/>
          <w:szCs w:val="24"/>
        </w:rPr>
        <w:t xml:space="preserve"> </w:t>
      </w:r>
    </w:p>
    <w:p>
      <w:r>
        <w:t xml:space="preserve"> </w:t>
      </w:r>
      <w:bookmarkStart w:id="150" w:name="pf_omgivningsbuller01"/>
      <w:r>
        <w:t>Området beräknas klara riktlinjer för buller</w:t>
      </w:r>
      <w:bookmarkEnd w:id="150"/>
      <w:r>
        <w:t>, se avsnitt bullerutredning.</w:t>
      </w:r>
    </w:p>
    <w:p/>
    <w:p>
      <w:pPr>
        <w:pStyle w:val="P20"/>
        <w:rPr>
          <w:szCs w:val="24"/>
        </w:rPr>
      </w:pPr>
      <w:bookmarkStart w:id="151" w:name="_Toc90561194"/>
      <w:bookmarkStart w:id="152" w:name="_Toc89446040"/>
      <w:bookmarkStart w:id="153" w:name="_Toc153890014"/>
      <w:r>
        <w:rPr>
          <w:caps w:val="0"/>
          <w:szCs w:val="24"/>
        </w:rPr>
        <w:t>Risk för olyckor</w:t>
      </w:r>
      <w:bookmarkEnd w:id="151"/>
      <w:bookmarkEnd w:id="152"/>
      <w:bookmarkEnd w:id="153"/>
      <w:r>
        <w:rPr>
          <w:caps w:val="0"/>
          <w:szCs w:val="24"/>
        </w:rPr>
        <w:t xml:space="preserve"> </w:t>
      </w:r>
    </w:p>
    <w:p>
      <w:bookmarkStart w:id="154" w:name="pf_riskförolyckor01"/>
      <w:r>
        <w:t xml:space="preserve">En riskutredning har gjorts avseende närheten till transportled för farligt gods. Förhållandena bedöms vara sådana att inga särskilda åtgärder behöver vidtas. Se avsnitt riksutredning. </w:t>
      </w:r>
      <w:bookmarkEnd w:id="154"/>
    </w:p>
    <w:p/>
    <w:p>
      <w:pPr>
        <w:pStyle w:val="P20"/>
        <w:rPr>
          <w:szCs w:val="24"/>
        </w:rPr>
      </w:pPr>
      <w:bookmarkStart w:id="155" w:name="_Toc90561195"/>
      <w:bookmarkStart w:id="156" w:name="_Toc89446041"/>
      <w:bookmarkStart w:id="157" w:name="_Toc153890015"/>
      <w:r>
        <w:rPr>
          <w:caps w:val="0"/>
          <w:szCs w:val="24"/>
        </w:rPr>
        <w:t>Risk för översvämning</w:t>
      </w:r>
      <w:bookmarkEnd w:id="155"/>
      <w:bookmarkEnd w:id="156"/>
      <w:bookmarkEnd w:id="157"/>
      <w:r>
        <w:rPr>
          <w:caps w:val="0"/>
          <w:szCs w:val="24"/>
        </w:rPr>
        <w:t xml:space="preserve"> </w:t>
      </w:r>
    </w:p>
    <w:p>
      <w:bookmarkStart w:id="158" w:name="pf_riskföröversvämning01"/>
      <w:r>
        <w:t>En skyfallskartering har tagits fram för Vindelns tätort. Den visar att området på mangårdsbyggnadens baksida riskerar höga flöden i händelse av kraftigt regn. Området kan komma att översvämmas med upp till en meters vattendjup vid 100-årsregn, och desto mer vid Köpenhamnsregn. Denna del ska inte bebyggas och inte heller hårdgöras.</w:t>
      </w:r>
      <w:bookmarkEnd w:id="158"/>
    </w:p>
    <w:p>
      <w:bookmarkStart w:id="159" w:name="pf_riskföröversvämning02"/>
    </w:p>
    <w:p>
      <w:r>
        <w:rPr>
          <w:noProof w:val="1"/>
        </w:rPr>
        <w:drawing>
          <wp:inline xmlns:wp="http://schemas.openxmlformats.org/drawingml/2006/wordprocessingDrawing" distT="0" distB="0" distL="0" distR="0">
            <wp:extent cx="2755265" cy="584835"/>
            <wp:effectExtent l="0" t="0" r="6985" b="5715"/>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ckenfrklrng_100.PNG"/>
                    <pic:cNvPicPr/>
                  </pic:nvPicPr>
                  <pic:blipFill dpi="0">
                    <a:blip xmlns:r="http://schemas.openxmlformats.org/officeDocument/2006/relationships" r:embed="Relimage1"/>
                    <a:srcRect t="4941" r="46302"/>
                    <a:stretch>
                      <a:fillRect/>
                    </a:stretch>
                  </pic:blipFill>
                  <pic:spPr bwMode="auto">
                    <a:xfrm>
                      <a:off x="0" y="0"/>
                      <a:ext cx="2775284" cy="589374"/>
                    </a:xfrm>
                    <a:prstGeom prst="rect"/>
                    <a:ln>
                      <a:noFill/>
                    </a:ln>
                  </pic:spPr>
                </pic:pic>
              </a:graphicData>
            </a:graphic>
          </wp:inline>
        </w:drawing>
      </w:r>
    </w:p>
    <w:p>
      <w:pPr>
        <w:keepNext w:val="1"/>
      </w:pPr>
      <w:r>
        <w:rPr>
          <w:noProof w:val="1"/>
        </w:rPr>
        <w:drawing>
          <wp:inline xmlns:wp="http://schemas.openxmlformats.org/drawingml/2006/wordprocessingDrawing" distT="0" distB="0" distL="0" distR="0">
            <wp:extent cx="2796540" cy="2565400"/>
            <wp:effectExtent l="0" t="0" r="3810" b="635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attendjup_100.png"/>
                    <pic:cNvPicPr/>
                  </pic:nvPicPr>
                  <pic:blipFill dpi="0">
                    <a:blip xmlns:r="http://schemas.openxmlformats.org/officeDocument/2006/relationships" r:embed="Relimage2" cstate="print"/>
                    <a:srcRect l="6496" t="12364" r="11715" b="34575"/>
                    <a:stretch>
                      <a:fillRect/>
                    </a:stretch>
                  </pic:blipFill>
                  <pic:spPr bwMode="auto">
                    <a:xfrm>
                      <a:off x="0" y="0"/>
                      <a:ext cx="2818481" cy="2585880"/>
                    </a:xfrm>
                    <a:prstGeom prst="rect"/>
                    <a:ln>
                      <a:noFill/>
                    </a:ln>
                  </pic:spPr>
                </pic:pic>
              </a:graphicData>
            </a:graphic>
          </wp:inline>
        </w:drawing>
      </w:r>
      <w:r>
        <w:t xml:space="preserve">       </w:t>
      </w:r>
      <w:r>
        <w:rPr>
          <w:noProof w:val="1"/>
        </w:rPr>
        <w:drawing>
          <wp:inline xmlns:wp="http://schemas.openxmlformats.org/drawingml/2006/wordprocessingDrawing" distT="0" distB="0" distL="0" distR="0">
            <wp:extent cx="2824480" cy="2565400"/>
            <wp:effectExtent l="0" t="0" r="0" b="635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attendjup_cph.png"/>
                    <pic:cNvPicPr/>
                  </pic:nvPicPr>
                  <pic:blipFill dpi="0">
                    <a:blip xmlns:r="http://schemas.openxmlformats.org/officeDocument/2006/relationships" r:embed="Relimage3" cstate="print"/>
                    <a:srcRect l="6443" t="12317" r="11120" b="34731"/>
                    <a:stretch>
                      <a:fillRect/>
                    </a:stretch>
                  </pic:blipFill>
                  <pic:spPr bwMode="auto">
                    <a:xfrm>
                      <a:off x="0" y="0"/>
                      <a:ext cx="2825086" cy="2566329"/>
                    </a:xfrm>
                    <a:prstGeom prst="rect"/>
                    <a:ln>
                      <a:noFill/>
                    </a:ln>
                  </pic:spPr>
                </pic:pic>
              </a:graphicData>
            </a:graphic>
          </wp:inline>
        </w:drawing>
      </w:r>
    </w:p>
    <w:p>
      <w:pPr>
        <w:pStyle w:val="P31"/>
      </w:pPr>
      <w:r>
        <w:t xml:space="preserve">Figur </w:t>
      </w:r>
      <w:r>
        <w:fldChar w:fldCharType="begin"/>
      </w:r>
      <w:r>
        <w:instrText xml:space="preserve"> SEQ Figur \* ARABIC </w:instrText>
      </w:r>
      <w:r>
        <w:fldChar w:fldCharType="separate"/>
      </w:r>
      <w:r>
        <w:rPr>
          <w:noProof w:val="1"/>
        </w:rPr>
        <w:t>1</w:t>
      </w:r>
      <w:r>
        <w:rPr>
          <w:noProof w:val="1"/>
        </w:rPr>
        <w:fldChar w:fldCharType="end"/>
      </w:r>
      <w:r>
        <w:t xml:space="preserve"> Beräknat max. vattendjup vid 100-årsregn</w:t>
        <w:tab/>
        <w:t xml:space="preserve">        Figur 2 Beräknat max. vattendjup vid Köpenhamnsregn</w:t>
      </w:r>
    </w:p>
    <w:p>
      <w:pPr>
        <w:pStyle w:val="P20"/>
        <w:ind w:left="664"/>
        <w:rPr>
          <w:caps w:val="0"/>
          <w:szCs w:val="24"/>
        </w:rPr>
      </w:pPr>
      <w:bookmarkEnd w:id="159"/>
      <w:bookmarkStart w:id="160" w:name="_Toc153890016"/>
      <w:r>
        <w:rPr>
          <w:caps w:val="0"/>
          <w:szCs w:val="24"/>
        </w:rPr>
        <w:t>Risk för erosion</w:t>
      </w:r>
      <w:bookmarkEnd w:id="160"/>
      <w:r>
        <w:rPr>
          <w:caps w:val="0"/>
          <w:szCs w:val="24"/>
        </w:rPr>
        <w:tab/>
      </w:r>
    </w:p>
    <w:p>
      <w:pPr>
        <w:pStyle w:val="P20"/>
        <w:numPr>
          <w:ilvl w:val="0"/>
          <w:numId w:val="0"/>
        </w:numPr>
        <w:ind w:firstLine="0" w:left="0"/>
        <w:rPr>
          <w:caps w:val="0"/>
          <w:szCs w:val="24"/>
        </w:rPr>
      </w:pPr>
      <w:bookmarkStart w:id="161" w:name="_Toc153890017"/>
      <w:bookmarkStart w:id="162" w:name="pf_riskförerosion01"/>
      <w:r>
        <w:rPr>
          <w:rFonts w:ascii="Georgia" w:hAnsi="Georgia" w:cs="Times New Roman" w:eastAsia="Times New Roman"/>
          <w:b w:val="0"/>
          <w:caps w:val="0"/>
          <w:color w:val="auto"/>
          <w:szCs w:val="20"/>
        </w:rPr>
        <w:t>Risken för erosion till följd av översvämning bedöms vara liten.</w:t>
      </w:r>
      <w:bookmarkEnd w:id="161"/>
      <w:bookmarkEnd w:id="162"/>
    </w:p>
    <w:p>
      <w:pPr>
        <w:pStyle w:val="P19"/>
        <w:numPr>
          <w:ilvl w:val="0"/>
          <w:numId w:val="0"/>
        </w:numPr>
        <w:tabs>
          <w:tab w:val="left" w:pos="1304" w:leader="none"/>
        </w:tabs>
        <w:ind w:firstLine="0" w:left="0"/>
        <w:rPr>
          <w:szCs w:val="28"/>
        </w:rPr>
      </w:pPr>
      <w:bookmarkStart w:id="163" w:name="_Toc90561202"/>
      <w:bookmarkStart w:id="164" w:name="_Toc89446047"/>
    </w:p>
    <w:p>
      <w:pPr>
        <w:pStyle w:val="P19"/>
        <w:tabs>
          <w:tab w:val="left" w:pos="1304" w:leader="none"/>
        </w:tabs>
        <w:ind w:left="576"/>
        <w:rPr>
          <w:szCs w:val="28"/>
        </w:rPr>
      </w:pPr>
      <w:bookmarkStart w:id="165" w:name="_Toc153890018"/>
      <w:r>
        <w:rPr>
          <w:caps w:val="0"/>
          <w:szCs w:val="28"/>
        </w:rPr>
        <w:t>Kulturmiljö</w:t>
      </w:r>
      <w:bookmarkEnd w:id="163"/>
      <w:bookmarkEnd w:id="164"/>
      <w:bookmarkEnd w:id="165"/>
    </w:p>
    <w:p>
      <w:pPr>
        <w:rPr>
          <w:shd w:val="clear" w:color="auto" w:fill="FFFFFF"/>
        </w:rPr>
      </w:pPr>
      <w:bookmarkStart w:id="166" w:name="gf_kulturvärden01"/>
      <w:r>
        <w:rPr>
          <w:shd w:val="clear" w:color="auto" w:fill="FFFFFF"/>
        </w:rPr>
        <w:t>Platsen besitter kulturhistoriska värden, och en kulturmiljöstudie har därför genomförts. Hänsyn ska tas vid eventuell ny byggnation och vid andra ändringar.</w:t>
      </w:r>
      <w:bookmarkEnd w:id="166"/>
      <w:r>
        <w:rPr>
          <w:shd w:val="clear" w:color="auto" w:fill="FFFFFF"/>
        </w:rPr>
        <w:t xml:space="preserve"> Se mer i avsnittet kulturmiljöutredning.</w:t>
      </w:r>
    </w:p>
    <w:p/>
    <w:p>
      <w:pPr>
        <w:pStyle w:val="P19"/>
        <w:tabs>
          <w:tab w:val="left" w:pos="1304" w:leader="none"/>
        </w:tabs>
        <w:ind w:left="576"/>
        <w:rPr>
          <w:szCs w:val="28"/>
        </w:rPr>
      </w:pPr>
      <w:bookmarkStart w:id="167" w:name="_Toc90561206"/>
      <w:bookmarkStart w:id="168" w:name="_Toc89446051"/>
      <w:bookmarkStart w:id="169" w:name="_Toc153890019"/>
      <w:r>
        <w:rPr>
          <w:caps w:val="0"/>
          <w:szCs w:val="28"/>
        </w:rPr>
        <w:t>Fysisk miljö</w:t>
      </w:r>
      <w:bookmarkEnd w:id="167"/>
      <w:bookmarkEnd w:id="168"/>
      <w:bookmarkEnd w:id="169"/>
      <w:r>
        <w:rPr>
          <w:caps w:val="0"/>
          <w:szCs w:val="28"/>
        </w:rPr>
        <w:t xml:space="preserve"> </w:t>
      </w:r>
    </w:p>
    <w:p>
      <w:bookmarkStart w:id="170" w:name="pf_fysiskmiljö01"/>
      <w:r>
        <w:t xml:space="preserve">Området ligger centralt i Vindelns tätort, inom ett område med företrädesvis småhusbebyggelse. Omgivande bebyggelse härstammar i stort från tidigt till sent 1900-tal. Platsen ligger inte inom område för riksintresse kulturmiljö, men har i sig ett kulturhistoriskt stort värde som en av de riktigt gamla gårdarna på orten. Fastigheten ligger just invid Mikaelsvägens utfart mot väg 363/Storvägen, som är genomfartsled och leder söderut till Umeå och norrut till Ammarnäs. </w:t>
      </w:r>
      <w:bookmarkEnd w:id="170"/>
    </w:p>
    <w:p/>
    <w:p>
      <w:pPr>
        <w:pStyle w:val="P19"/>
        <w:tabs>
          <w:tab w:val="left" w:pos="1304" w:leader="none"/>
        </w:tabs>
        <w:ind w:left="576"/>
      </w:pPr>
      <w:bookmarkStart w:id="171" w:name="_Toc153890020"/>
      <w:r>
        <w:rPr>
          <w:caps w:val="0"/>
          <w:szCs w:val="28"/>
        </w:rPr>
        <w:t>Teknik</w:t>
      </w:r>
      <w:bookmarkEnd w:id="171"/>
      <w:r>
        <w:t xml:space="preserve"> </w:t>
      </w:r>
    </w:p>
    <w:p>
      <w:bookmarkStart w:id="172" w:name="pf_teknik01"/>
      <w:r>
        <w:t xml:space="preserve">Planområdet ingår i kommunalt verksamhetsområde för vatten, spillvatten och dagvatten. </w:t>
      </w:r>
      <w:bookmarkEnd w:id="172"/>
    </w:p>
    <w:p/>
    <w:p>
      <w:pPr>
        <w:pStyle w:val="P19"/>
        <w:tabs>
          <w:tab w:val="left" w:pos="1304" w:leader="none"/>
        </w:tabs>
        <w:ind w:left="576"/>
        <w:rPr>
          <w:szCs w:val="28"/>
        </w:rPr>
      </w:pPr>
      <w:bookmarkStart w:id="173" w:name="_Toc90561209"/>
      <w:bookmarkStart w:id="174" w:name="_Toc89446054"/>
      <w:bookmarkStart w:id="175" w:name="_Toc153890021"/>
      <w:r>
        <w:rPr>
          <w:caps w:val="0"/>
          <w:szCs w:val="28"/>
        </w:rPr>
        <w:t>Service</w:t>
      </w:r>
      <w:bookmarkEnd w:id="173"/>
      <w:bookmarkEnd w:id="174"/>
      <w:bookmarkEnd w:id="175"/>
      <w:r>
        <w:rPr>
          <w:caps w:val="0"/>
          <w:szCs w:val="28"/>
        </w:rPr>
        <w:t xml:space="preserve"> </w:t>
      </w:r>
    </w:p>
    <w:p>
      <w:bookmarkStart w:id="176" w:name="pf_service01"/>
      <w:r>
        <w:rPr>
          <w:rtl w:val="0"/>
          <w:lang w:val="sv-SE" w:bidi="sv-SE" w:eastAsia="sv-SE"/>
        </w:rPr>
        <w:t>P</w:t>
      </w:r>
      <w:r>
        <w:t xml:space="preserve">lanområdet har livsmedelsbutik, drivmedelsstation och förskola inom ett par hundra meters avstånd. Centrum med ytterligare butiker ligger ca 500 m bort, järnvägsstationen likaså. </w:t>
      </w:r>
      <w:bookmarkEnd w:id="176"/>
    </w:p>
    <w:p/>
    <w:p>
      <w:pPr>
        <w:pStyle w:val="P19"/>
        <w:tabs>
          <w:tab w:val="left" w:pos="1304" w:leader="none"/>
        </w:tabs>
        <w:ind w:left="576"/>
        <w:rPr>
          <w:szCs w:val="28"/>
        </w:rPr>
      </w:pPr>
      <w:bookmarkStart w:id="177" w:name="_Toc90561210"/>
      <w:bookmarkStart w:id="178" w:name="_Toc89446055"/>
      <w:bookmarkStart w:id="179" w:name="_Toc153890022"/>
      <w:r>
        <w:rPr>
          <w:caps w:val="0"/>
          <w:szCs w:val="28"/>
        </w:rPr>
        <w:t>Trafik</w:t>
      </w:r>
      <w:bookmarkEnd w:id="177"/>
      <w:bookmarkEnd w:id="178"/>
      <w:bookmarkEnd w:id="179"/>
      <w:r>
        <w:rPr>
          <w:caps w:val="0"/>
          <w:szCs w:val="28"/>
        </w:rPr>
        <w:t xml:space="preserve"> </w:t>
      </w:r>
    </w:p>
    <w:p>
      <w:pPr>
        <w:rPr>
          <w:sz w:val="40"/>
          <w:u w:val="single"/>
        </w:rPr>
      </w:pPr>
      <w:bookmarkStart w:id="180" w:name="pf_trafik01"/>
      <w:r>
        <w:t xml:space="preserve">Fastigheten angörs med bil från Mikaelsvägen. Till fots och med cykel kan man komma via Hantverkarvägen. </w:t>
      </w:r>
      <w:bookmarkEnd w:id="180"/>
      <w:r>
        <w:br w:type="page"/>
      </w:r>
    </w:p>
    <w:p>
      <w:pPr>
        <w:pStyle w:val="P18"/>
        <w:tabs>
          <w:tab w:val="clear" w:pos="360" w:leader="none"/>
          <w:tab w:val="left" w:pos="1304" w:leader="none"/>
        </w:tabs>
        <w:rPr>
          <w:szCs w:val="36"/>
          <w:u w:val="single"/>
        </w:rPr>
      </w:pPr>
      <w:bookmarkStart w:id="181" w:name="_Toc90561212"/>
      <w:bookmarkStart w:id="182" w:name="_Toc89446057"/>
      <w:bookmarkStart w:id="183" w:name="_Toc153890023"/>
      <w:r>
        <w:rPr>
          <w:szCs w:val="36"/>
        </w:rPr>
        <w:t>PLANERINGSUNDERLAG</w:t>
      </w:r>
      <w:bookmarkEnd w:id="181"/>
      <w:bookmarkEnd w:id="182"/>
      <w:bookmarkEnd w:id="183"/>
    </w:p>
    <w:p>
      <w:pPr>
        <w:pStyle w:val="P19"/>
        <w:tabs>
          <w:tab w:val="left" w:pos="1304" w:leader="none"/>
        </w:tabs>
        <w:ind w:left="576"/>
        <w:rPr>
          <w:szCs w:val="28"/>
        </w:rPr>
      </w:pPr>
      <w:bookmarkStart w:id="184" w:name="_Toc90561213"/>
      <w:bookmarkStart w:id="185" w:name="_Toc89446058"/>
      <w:bookmarkStart w:id="186" w:name="_Toc153890024"/>
      <w:r>
        <w:rPr>
          <w:caps w:val="0"/>
          <w:szCs w:val="28"/>
        </w:rPr>
        <w:t>Kommunala</w:t>
      </w:r>
      <w:bookmarkEnd w:id="184"/>
      <w:bookmarkEnd w:id="185"/>
      <w:bookmarkEnd w:id="186"/>
    </w:p>
    <w:p/>
    <w:p>
      <w:pPr>
        <w:pStyle w:val="P20"/>
        <w:rPr>
          <w:szCs w:val="24"/>
        </w:rPr>
      </w:pPr>
      <w:bookmarkStart w:id="187" w:name="_Toc90561214"/>
      <w:bookmarkStart w:id="188" w:name="_Toc89446059"/>
      <w:bookmarkStart w:id="189" w:name="_Toc153890025"/>
      <w:r>
        <w:rPr>
          <w:caps w:val="0"/>
          <w:szCs w:val="24"/>
        </w:rPr>
        <w:t>Detaljplan</w:t>
      </w:r>
      <w:bookmarkEnd w:id="187"/>
      <w:bookmarkEnd w:id="188"/>
      <w:bookmarkEnd w:id="189"/>
    </w:p>
    <w:p>
      <w:pPr>
        <w:rPr>
          <w:shd w:val="clear" w:color="auto" w:fill="FFFFFF"/>
        </w:rPr>
      </w:pPr>
      <w:bookmarkStart w:id="190" w:name="pu_detaljplan01"/>
      <w:r>
        <w:rPr>
          <w:i w:val="1"/>
          <w:shd w:val="clear" w:color="auto" w:fill="FFFFFF"/>
        </w:rPr>
        <w:t xml:space="preserve">Förslag till ändring av stadsplan för södra infarten m.m. inom Vindelns tätort </w:t>
      </w:r>
      <w:r>
        <w:rPr>
          <w:shd w:val="clear" w:color="auto" w:fill="FFFFFF"/>
        </w:rPr>
        <w:t>(lokal beteckning V73; lantmäteriets beteckning 24-P1986-22) från 1985. Reglerar fastigheten till Allmänt ändamål/kulturreservat.</w:t>
      </w:r>
    </w:p>
    <w:p>
      <w:pPr>
        <w:rPr>
          <w:shd w:val="clear" w:color="auto" w:fill="FFFFFF"/>
        </w:rPr>
      </w:pPr>
    </w:p>
    <w:p>
      <w:r>
        <w:rPr>
          <w:i w:val="1"/>
          <w:shd w:val="clear" w:color="auto" w:fill="FFFFFF"/>
        </w:rPr>
        <w:t>Detaljplan för del av kvarteret Löjtnanten m.m. inom Vindelns tätort</w:t>
      </w:r>
      <w:r>
        <w:rPr>
          <w:shd w:val="clear" w:color="auto" w:fill="FFFFFF"/>
        </w:rPr>
        <w:t xml:space="preserve"> (V95; 2404-P94/3) från 1994. Reglerar del av fastigheten till kulturreservat.</w:t>
      </w:r>
      <w:bookmarkEnd w:id="190"/>
    </w:p>
    <w:p>
      <w:pPr>
        <w:pStyle w:val="P20"/>
        <w:numPr>
          <w:ilvl w:val="0"/>
          <w:numId w:val="0"/>
        </w:numPr>
        <w:ind w:firstLine="0" w:left="0"/>
      </w:pPr>
    </w:p>
    <w:p>
      <w:pPr>
        <w:pStyle w:val="P20"/>
        <w:rPr>
          <w:szCs w:val="24"/>
        </w:rPr>
      </w:pPr>
      <w:bookmarkStart w:id="191" w:name="_Toc90561216"/>
      <w:bookmarkStart w:id="192" w:name="_Toc89446061"/>
      <w:bookmarkStart w:id="193" w:name="_Toc153890026"/>
      <w:r>
        <w:rPr>
          <w:caps w:val="0"/>
          <w:szCs w:val="24"/>
        </w:rPr>
        <w:t>Grundkarta</w:t>
      </w:r>
      <w:bookmarkEnd w:id="191"/>
      <w:bookmarkEnd w:id="192"/>
      <w:bookmarkEnd w:id="193"/>
    </w:p>
    <w:p>
      <w:bookmarkStart w:id="194" w:name="pu_grundkarta01"/>
      <w:r>
        <w:t>Grundkarta för Holms gård</w:t>
      </w:r>
    </w:p>
    <w:p>
      <w:r>
        <w:t>Koordinatsystem plan: Sweref99 20 15</w:t>
      </w:r>
    </w:p>
    <w:p>
      <w:r>
        <w:t>Höjdsystem: RH2000</w:t>
      </w:r>
    </w:p>
    <w:p>
      <w:r>
        <w:t>Mätmetod: Digital fotogrammetri</w:t>
      </w:r>
    </w:p>
    <w:p>
      <w:r>
        <w:t>Mätnoggrannhet: 0,08 m. Noggrannheten bedöms vara tillräcklig för planens syfte.</w:t>
      </w:r>
    </w:p>
    <w:p>
      <w:r>
        <w:t>Mätdatum: 20 juni 2022</w:t>
      </w:r>
      <w:bookmarkEnd w:id="194"/>
    </w:p>
    <w:p/>
    <w:p>
      <w:pPr>
        <w:pStyle w:val="P20"/>
        <w:rPr>
          <w:szCs w:val="24"/>
        </w:rPr>
      </w:pPr>
      <w:bookmarkStart w:id="195" w:name="_Toc90561217"/>
      <w:bookmarkStart w:id="196" w:name="_Toc89446062"/>
      <w:bookmarkStart w:id="197" w:name="_Toc153890027"/>
      <w:r>
        <w:rPr>
          <w:caps w:val="0"/>
          <w:szCs w:val="24"/>
        </w:rPr>
        <w:t>Översiktsplan</w:t>
      </w:r>
      <w:bookmarkEnd w:id="195"/>
      <w:bookmarkEnd w:id="196"/>
      <w:bookmarkEnd w:id="197"/>
    </w:p>
    <w:p>
      <w:bookmarkStart w:id="198" w:name="pu_översiktsplan01"/>
      <w:r>
        <w:t xml:space="preserve">Fördjupad översiktsplan för Vindelns tätort, antagen av kommunfullmäktige den 14 juni 2022. Planförslaget följer den fördjupade översiktsplanen. </w:t>
      </w:r>
      <w:bookmarkEnd w:id="198"/>
    </w:p>
    <w:p/>
    <w:p>
      <w:pPr>
        <w:pStyle w:val="P20"/>
        <w:rPr>
          <w:szCs w:val="24"/>
        </w:rPr>
      </w:pPr>
      <w:bookmarkStart w:id="199" w:name="_Toc90561218"/>
      <w:bookmarkStart w:id="200" w:name="_Toc89446063"/>
      <w:bookmarkStart w:id="201" w:name="_Toc153890028"/>
      <w:r>
        <w:rPr>
          <w:caps w:val="0"/>
          <w:szCs w:val="24"/>
        </w:rPr>
        <w:t>Undersökning enligt 6 kap. 6§ plan- och bygglagen (2010:900)</w:t>
      </w:r>
      <w:bookmarkEnd w:id="199"/>
      <w:bookmarkEnd w:id="200"/>
      <w:bookmarkEnd w:id="201"/>
    </w:p>
    <w:p>
      <w:bookmarkStart w:id="202" w:name="pu_undersökningenl6kap6_mb01"/>
      <w:r>
        <w:t xml:space="preserve">En undersökning om betydande miljöpåverkan har gjorts, undersökningen biläggs planhandlingarna. Enligt genomgången finns det inte för någon faktor anledning att anta att det finns risk för betydande miljöpåverkan. Inte heller sammanvägning av de faktorer då det finns risk för inverkan leder till slutsatsen att den sammanlagda inverkan kan jämföras med betydande miljöpåverkan. </w:t>
      </w:r>
    </w:p>
    <w:p/>
    <w:p>
      <w:r>
        <w:t xml:space="preserve">Det finns inte anledning att anta att miljökvalitetsnorm kommer att överskridas. </w:t>
      </w:r>
      <w:bookmarkEnd w:id="202"/>
    </w:p>
    <w:p/>
    <w:p>
      <w:pPr>
        <w:pStyle w:val="P19"/>
        <w:tabs>
          <w:tab w:val="left" w:pos="1304" w:leader="none"/>
        </w:tabs>
        <w:ind w:left="576"/>
        <w:rPr>
          <w:szCs w:val="28"/>
        </w:rPr>
      </w:pPr>
      <w:bookmarkStart w:id="203" w:name="_Toc90561221"/>
      <w:bookmarkStart w:id="204" w:name="_Toc89446066"/>
      <w:bookmarkStart w:id="205" w:name="_Toc153890029"/>
      <w:r>
        <w:rPr>
          <w:caps w:val="0"/>
          <w:szCs w:val="28"/>
        </w:rPr>
        <w:t>Utredningar</w:t>
      </w:r>
      <w:bookmarkEnd w:id="203"/>
      <w:bookmarkEnd w:id="204"/>
      <w:bookmarkEnd w:id="205"/>
    </w:p>
    <w:p>
      <w:r>
        <w:rPr>
          <w:shd w:val="clear" w:color="auto" w:fill="FFFFFF"/>
        </w:rPr>
        <w:t xml:space="preserve"> </w:t>
      </w:r>
    </w:p>
    <w:p>
      <w:pPr>
        <w:pStyle w:val="P20"/>
        <w:rPr>
          <w:szCs w:val="24"/>
        </w:rPr>
      </w:pPr>
      <w:bookmarkStart w:id="206" w:name="_Toc90561228"/>
      <w:bookmarkStart w:id="207" w:name="_Toc89446073"/>
      <w:bookmarkStart w:id="208" w:name="_Toc153890030"/>
      <w:r>
        <w:rPr>
          <w:caps w:val="0"/>
          <w:szCs w:val="24"/>
        </w:rPr>
        <w:t>Bullerutredning</w:t>
      </w:r>
      <w:bookmarkEnd w:id="206"/>
      <w:bookmarkEnd w:id="207"/>
      <w:bookmarkEnd w:id="208"/>
    </w:p>
    <w:p>
      <w:bookmarkStart w:id="209" w:name="pu_bullerutredning01"/>
      <w:r>
        <w:t>Fastigheten är belägen intill väg 363/Storvägen. Hastigheten är begränsad till 50 km/h.</w:t>
      </w:r>
    </w:p>
    <w:p/>
    <w:p>
      <w:r>
        <w:t xml:space="preserve">Trafikverkets mätning från 2017 i kombination med uppräkningstal för trafiktillväxt ger en prognos för 2040 på 3879 fordon. </w:t>
      </w:r>
    </w:p>
    <w:p>
      <w:pPr>
        <w:keepNext w:val="1"/>
      </w:pPr>
      <w:r>
        <w:rPr>
          <w:noProof w:val="1"/>
        </w:rPr>
        <w:drawing>
          <wp:inline xmlns:wp="http://schemas.openxmlformats.org/drawingml/2006/wordprocessingDrawing" distT="0" distB="0" distL="0" distR="0">
            <wp:extent cx="6120130" cy="432816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ur mycket bullrar vägtrafiken_diagram1.png"/>
                    <pic:cNvPicPr/>
                  </pic:nvPicPr>
                  <pic:blipFill dpi="0">
                    <a:blip xmlns:r="http://schemas.openxmlformats.org/officeDocument/2006/relationships" r:embed="Relimage4" cstate="print"/>
                    <a:srcRect/>
                    <a:stretch>
                      <a:fillRect/>
                    </a:stretch>
                  </pic:blipFill>
                  <pic:spPr>
                    <a:xfrm>
                      <a:off x="0" y="0"/>
                      <a:ext cx="6120130" cy="4328160"/>
                    </a:xfrm>
                    <a:prstGeom prst="rect"/>
                  </pic:spPr>
                </pic:pic>
              </a:graphicData>
            </a:graphic>
          </wp:inline>
        </w:drawing>
      </w:r>
    </w:p>
    <w:p>
      <w:pPr>
        <w:pStyle w:val="P31"/>
      </w:pPr>
      <w:r>
        <w:t xml:space="preserve">Figur </w:t>
      </w:r>
      <w:r>
        <w:fldChar w:fldCharType="begin"/>
      </w:r>
      <w:r>
        <w:instrText xml:space="preserve"> SEQ Figur \* ARABIC </w:instrText>
      </w:r>
      <w:r>
        <w:fldChar w:fldCharType="separate"/>
      </w:r>
      <w:r>
        <w:rPr>
          <w:noProof w:val="1"/>
        </w:rPr>
        <w:t>2</w:t>
      </w:r>
      <w:r>
        <w:rPr>
          <w:noProof w:val="1"/>
        </w:rPr>
        <w:fldChar w:fldCharType="end"/>
      </w:r>
      <w:r>
        <w:t xml:space="preserve"> Beräknade bullernivåer från vägtrafik  för fasader samt gårdsplan.</w:t>
      </w:r>
    </w:p>
    <w:p>
      <w:r>
        <w:t xml:space="preserve">Avstånd från vägmitt till annexbyggnadens fasad är ca 22 m. Till mitt på gårdsplan är det ca 42 m, till mangårdsbyggnadens fasad ca 55 m. Enligt boverkets modell för bullerberäkning blir den dygnsekvivalenta ljudnivån vid annexbyggnadens fasad ca 59 dBA, mitt på gårdsplanen ca 55 dBA, vid mangårdsbyggnadens fasad ca 53 dBA. </w:t>
      </w:r>
    </w:p>
    <w:p/>
    <w:p>
      <w:r>
        <w:t>En bullerutredning för järnväg gjordes 2019 på fastigheten Skolläraren 2, ca 200 m norr om planområdet. Beräkningen gav att ljudnivå vid fasad mot järnväg var 56 dBA. Givet att denna fasad ligger ca 30 m från spårmitt, medan närmsta fasad på det aktuella planområdet ligger på ett avstånd av ca 90 m från spårmitt, är bedömningen att bullernivåerna från järnväg sannolikt är lägre i aktuellt fall. Se bilaga för detaljer.</w:t>
      </w:r>
    </w:p>
    <w:p>
      <w:pPr>
        <w:rPr>
          <w:i w:val="1"/>
          <w:iCs w:val="1"/>
          <w:color w:val="44546A" w:themeColor="text2"/>
          <w:sz w:val="18"/>
          <w:szCs w:val="18"/>
        </w:rPr>
      </w:pPr>
    </w:p>
    <w:p>
      <w:r>
        <w:t xml:space="preserve">Gällande riktvärden för ekvivalent ljudnivå är 60 dBA vid bostadsfasad, samt 50 dBA vi uteplats, vilket innebär att fasaderna för båda byggnaderna klarar sig strax under. Om uteplats ska anordnas bör denna förläggas där någon av byggnaderna kan fungera som barriär. </w:t>
      </w:r>
      <w:bookmarkEnd w:id="209"/>
    </w:p>
    <w:p/>
    <w:p>
      <w:pPr>
        <w:pStyle w:val="P20"/>
        <w:rPr>
          <w:szCs w:val="24"/>
        </w:rPr>
      </w:pPr>
      <w:bookmarkStart w:id="210" w:name="_Toc90561230"/>
      <w:bookmarkStart w:id="211" w:name="_Toc89446075"/>
      <w:bookmarkStart w:id="212" w:name="_Toc153890031"/>
      <w:r>
        <w:rPr>
          <w:caps w:val="0"/>
          <w:szCs w:val="24"/>
        </w:rPr>
        <w:t>Riskutredning</w:t>
      </w:r>
      <w:bookmarkEnd w:id="210"/>
      <w:bookmarkEnd w:id="211"/>
      <w:bookmarkEnd w:id="212"/>
    </w:p>
    <w:p>
      <w:bookmarkStart w:id="213" w:name="pu_riskutredning01"/>
      <w:r>
        <w:t>Fastigheten är belägen intill väg 363/Storvägen, samt stambanan, som båda är transportleder för farligt gods. Med tanke på detta har en riskbedömning gjorts.</w:t>
      </w:r>
    </w:p>
    <w:p/>
    <w:p>
      <w:r>
        <w:t xml:space="preserve">Prognos för 2040 på 3466 personbilar och 413 tunga fordon. Givet att klassificeringen av tunga fordon ändrats sedan 2017 är detta sannolikt högt räknat för den kategorin. </w:t>
      </w:r>
    </w:p>
    <w:p/>
    <w:p>
      <w:r>
        <w:t xml:space="preserve">Enligt länsstyrelsernas </w:t>
      </w:r>
      <w:r>
        <w:rPr>
          <w:i w:val="1"/>
        </w:rPr>
        <w:t>Riktlinjer - skyddsavstånd till transportleder för farligt gods i Norrbottens och Västerbottens län</w:t>
      </w:r>
      <w:r>
        <w:t xml:space="preserve"> föranleder uppskattad trafikmängd och hastighet inga åtgärder för tänkt användning, normalkänslig verksamhet. För känslig verksamhet rekommenderas ett skyddsavstånd på 20 m från vägkant, eller 10 m om invallning gjorts. Närmaste byggnad på fastigheten ligger ca 18 m från vägkant, vilket innebär att avståndet även för den känsligaste klassen i det närmaste uppnås. Landskapet är dock flackt, vilket gör att spridning av giftiga gaser vid eventuell olycka är större. En rekommendation är att friskluftsintag placeras högt samt att mekanisk till- och frånluft används.</w:t>
      </w:r>
    </w:p>
    <w:p/>
    <w:p>
      <w:r>
        <w:t>För stambanan mellan Vännäs och Hällnäs är rekommenderat skyddsavstånd för aktuell användning 30 m. Mellan spåret och bostadshusen är det ca 85 m.</w:t>
      </w:r>
    </w:p>
    <w:p/>
    <w:p>
      <w:pPr>
        <w:keepNext w:val="1"/>
      </w:pPr>
      <w:r>
        <w:rPr>
          <w:noProof w:val="1"/>
        </w:rPr>
        <w:drawing>
          <wp:inline xmlns:wp="http://schemas.openxmlformats.org/drawingml/2006/wordprocessingDrawing" distT="0" distB="0" distL="0" distR="0">
            <wp:extent cx="5831205" cy="483870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pic:nvPicPr>
                  <pic:blipFill dpi="0">
                    <a:blip xmlns:r="http://schemas.openxmlformats.org/officeDocument/2006/relationships" r:embed="Relimage5"/>
                    <a:srcRect/>
                    <a:stretch>
                      <a:fillRect/>
                    </a:stretch>
                  </pic:blipFill>
                  <pic:spPr>
                    <a:xfrm>
                      <a:off x="0" y="0"/>
                      <a:ext cx="5849722" cy="4853554"/>
                    </a:xfrm>
                    <a:prstGeom prst="rect"/>
                  </pic:spPr>
                </pic:pic>
              </a:graphicData>
            </a:graphic>
          </wp:inline>
        </w:drawing>
      </w:r>
    </w:p>
    <w:p>
      <w:pPr>
        <w:pStyle w:val="P31"/>
      </w:pPr>
      <w:r>
        <w:t xml:space="preserve">Figur </w:t>
      </w:r>
      <w:r>
        <w:fldChar w:fldCharType="begin"/>
      </w:r>
      <w:r>
        <w:instrText xml:space="preserve"> SEQ Figur \* ARABIC </w:instrText>
      </w:r>
      <w:r>
        <w:fldChar w:fldCharType="separate"/>
      </w:r>
      <w:r>
        <w:rPr>
          <w:noProof w:val="1"/>
        </w:rPr>
        <w:t>3</w:t>
      </w:r>
      <w:r>
        <w:rPr>
          <w:noProof w:val="1"/>
        </w:rPr>
        <w:fldChar w:fldCharType="end"/>
      </w:r>
      <w:r>
        <w:t xml:space="preserve"> vy från 3D-modell Vindeln med avstånd till väg och järnväg</w:t>
      </w:r>
      <w:bookmarkEnd w:id="213"/>
    </w:p>
    <w:p>
      <w:r>
        <w:t xml:space="preserve"> </w:t>
      </w:r>
    </w:p>
    <w:p/>
    <w:p>
      <w:pPr>
        <w:pStyle w:val="P20"/>
        <w:rPr>
          <w:szCs w:val="24"/>
        </w:rPr>
      </w:pPr>
      <w:bookmarkStart w:id="214" w:name="_Toc90561233"/>
      <w:bookmarkStart w:id="215" w:name="_Toc89446078"/>
      <w:bookmarkStart w:id="216" w:name="_Toc153890032"/>
      <w:r>
        <w:rPr>
          <w:caps w:val="0"/>
          <w:szCs w:val="24"/>
        </w:rPr>
        <w:t>Kulturmiljöutredning</w:t>
      </w:r>
      <w:bookmarkEnd w:id="214"/>
      <w:bookmarkEnd w:id="215"/>
      <w:bookmarkEnd w:id="216"/>
    </w:p>
    <w:p>
      <w:pPr>
        <w:pStyle w:val="P20"/>
        <w:numPr>
          <w:ilvl w:val="0"/>
          <w:numId w:val="0"/>
        </w:numPr>
        <w:ind w:hanging="380" w:left="720"/>
        <w:rPr>
          <w:szCs w:val="24"/>
        </w:rPr>
      </w:pPr>
    </w:p>
    <w:p>
      <w:pPr>
        <w:pStyle w:val="P20"/>
        <w:numPr>
          <w:ilvl w:val="0"/>
          <w:numId w:val="0"/>
        </w:numPr>
        <w:ind w:hanging="380" w:left="720"/>
        <w:rPr>
          <w:szCs w:val="24"/>
        </w:rPr>
      </w:pPr>
    </w:p>
    <w:p>
      <w:pPr>
        <w:keepNext w:val="1"/>
      </w:pPr>
      <w:bookmarkStart w:id="217" w:name="pu_kulturmiljöutredning01"/>
      <w:r>
        <w:rPr>
          <w:noProof w:val="1"/>
        </w:rPr>
        <w:drawing>
          <wp:inline xmlns:wp="http://schemas.openxmlformats.org/drawingml/2006/wordprocessingDrawing" distT="0" distB="0" distL="0" distR="0">
            <wp:extent cx="1852295" cy="2143125"/>
            <wp:effectExtent l="0" t="0" r="0" b="0"/>
            <wp:docPr id="2110577051" name="Bildobjekt 8" descr="En bild som visar byggnad, vägg, utomhus, Kompositmateria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77051" name="Bildobjekt 8" descr="En bild som visar byggnad, vägg, utomhus, Kompositmaterial&#10;&#10;Automatiskt genererad beskrivning"/>
                    <pic:cNvPicPr/>
                  </pic:nvPicPr>
                  <pic:blipFill dpi="0">
                    <a:blip xmlns:r="http://schemas.openxmlformats.org/officeDocument/2006/relationships" r:embed="Relimage6"/>
                    <a:srcRect/>
                    <a:stretch>
                      <a:fillRect/>
                    </a:stretch>
                  </pic:blipFill>
                  <pic:spPr>
                    <a:xfrm>
                      <a:off x="0" y="0"/>
                      <a:ext cx="1860735" cy="2152702"/>
                    </a:xfrm>
                    <a:prstGeom prst="rect"/>
                  </pic:spPr>
                </pic:pic>
              </a:graphicData>
            </a:graphic>
          </wp:inline>
        </w:drawing>
      </w:r>
      <w:r>
        <w:rPr>
          <w:noProof w:val="1"/>
        </w:rPr>
        <w:t xml:space="preserve"> </w:t>
      </w:r>
      <w:r>
        <w:rPr>
          <w:noProof w:val="1"/>
        </w:rPr>
        <w:drawing>
          <wp:inline xmlns:wp="http://schemas.openxmlformats.org/drawingml/2006/wordprocessingDrawing" distT="0" distB="0" distL="0" distR="0">
            <wp:extent cx="1980565" cy="2362200"/>
            <wp:effectExtent l="0" t="0" r="635" b="0"/>
            <wp:docPr id="1412652857" name="Bildobjekt 10" descr="En bild som visar byggnad, fönster, trappor,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652857" name="Bildobjekt 10" descr="En bild som visar byggnad, fönster, trappor, utomhus&#10;&#10;Automatiskt genererad beskrivning"/>
                    <pic:cNvPicPr/>
                  </pic:nvPicPr>
                  <pic:blipFill dpi="0">
                    <a:blip xmlns:r="http://schemas.openxmlformats.org/officeDocument/2006/relationships" r:embed="Relimage7" cstate="print"/>
                    <a:srcRect t="1" b="3854"/>
                    <a:stretch>
                      <a:fillRect/>
                    </a:stretch>
                  </pic:blipFill>
                  <pic:spPr bwMode="auto">
                    <a:xfrm>
                      <a:off x="0" y="0"/>
                      <a:ext cx="1986713" cy="2369534"/>
                    </a:xfrm>
                    <a:prstGeom prst="rect"/>
                    <a:ln>
                      <a:noFill/>
                    </a:ln>
                  </pic:spPr>
                </pic:pic>
              </a:graphicData>
            </a:graphic>
          </wp:inline>
        </w:drawing>
      </w:r>
      <w:r>
        <w:rPr>
          <w:noProof w:val="1"/>
        </w:rPr>
        <w:t xml:space="preserve"> </w:t>
      </w:r>
      <w:r>
        <w:rPr>
          <w:noProof w:val="1"/>
        </w:rPr>
        <w:drawing>
          <wp:inline xmlns:wp="http://schemas.openxmlformats.org/drawingml/2006/wordprocessingDrawing" distT="0" distB="0" distL="0" distR="0">
            <wp:extent cx="2101850" cy="2361565"/>
            <wp:effectExtent l="0" t="0" r="0" b="635"/>
            <wp:docPr id="302560540" name="Bildobjekt 9" descr="En bild som visar byggnad, utomhus, egendom, Husdör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60540" name="Bildobjekt 9" descr="En bild som visar byggnad, utomhus, egendom, Husdörr&#10;&#10;Automatiskt genererad beskrivning"/>
                    <pic:cNvPicPr/>
                  </pic:nvPicPr>
                  <pic:blipFill dpi="0">
                    <a:blip xmlns:r="http://schemas.openxmlformats.org/officeDocument/2006/relationships" r:embed="Relimage8" cstate="print"/>
                    <a:srcRect/>
                    <a:stretch>
                      <a:fillRect/>
                    </a:stretch>
                  </pic:blipFill>
                  <pic:spPr>
                    <a:xfrm>
                      <a:off x="0" y="0"/>
                      <a:ext cx="2119329" cy="2380782"/>
                    </a:xfrm>
                    <a:prstGeom prst="rect"/>
                  </pic:spPr>
                </pic:pic>
              </a:graphicData>
            </a:graphic>
          </wp:inline>
        </w:drawing>
      </w:r>
    </w:p>
    <w:p>
      <w:pPr>
        <w:pStyle w:val="P31"/>
        <w:jc w:val="both"/>
      </w:pPr>
      <w:r>
        <w:t xml:space="preserve">Figur </w:t>
      </w:r>
      <w:r>
        <w:fldChar w:fldCharType="begin"/>
      </w:r>
      <w:r>
        <w:instrText xml:space="preserve"> SEQ Figur \* ARABIC </w:instrText>
      </w:r>
      <w:r>
        <w:fldChar w:fldCharType="separate"/>
      </w:r>
      <w:r>
        <w:rPr>
          <w:noProof w:val="1"/>
        </w:rPr>
        <w:t>4</w:t>
      </w:r>
      <w:r>
        <w:rPr>
          <w:noProof w:val="1"/>
        </w:rPr>
        <w:fldChar w:fldCharType="end"/>
      </w:r>
      <w:r>
        <w:t xml:space="preserve">-6 Mangårdsbyggnadens fasadpanel med bågfriser och </w:t>
      </w:r>
      <w:r>
        <w:rPr>
          <w:noProof w:val="1"/>
        </w:rPr>
        <w:t>konsoler för takfoten. Frontespisen med glasverandan och förstukvistens pelare. Annexet är marginellt enklare, även här med pilastrar både vid knutar och på långsidans fasad.</w:t>
      </w:r>
    </w:p>
    <w:p/>
    <w:p/>
    <w:p>
      <w:pPr>
        <w:rPr>
          <w:noProof w:val="1"/>
        </w:rPr>
      </w:pPr>
      <w:r>
        <w:rPr>
          <w:noProof w:val="1"/>
        </w:rPr>
        <w:drawing>
          <wp:anchor xmlns:wp="http://schemas.openxmlformats.org/drawingml/2006/wordprocessingDrawing" distT="0" distB="0" distL="114300" distR="114300" simplePos="0" relativeHeight="251659266" behindDoc="1" locked="0" layoutInCell="1" allowOverlap="1">
            <wp:simplePos x="0" y="0"/>
            <wp:positionH relativeFrom="column">
              <wp:posOffset>4133850</wp:posOffset>
            </wp:positionH>
            <wp:positionV relativeFrom="paragraph">
              <wp:posOffset>87630</wp:posOffset>
            </wp:positionV>
            <wp:extent cx="1693545" cy="1894840"/>
            <wp:effectExtent l="0" t="0" r="1905" b="0"/>
            <wp:wrapTight wrapText="bothSides">
              <wp:wrapPolygon edited="0">
                <wp:start x="0" y="0"/>
                <wp:lineTo x="0" y="21282"/>
                <wp:lineTo x="21381" y="21282"/>
                <wp:lineTo x="21381" y="0"/>
                <wp:lineTo x="0" y="0"/>
              </wp:wrapPolygon>
            </wp:wrapTight>
            <wp:docPr id="1103916548" name="Bildobjekt 4" descr="En bild som visar skiss, rita, Barnkons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16548" name="Bildobjekt 4" descr="En bild som visar skiss, rita, Barnkonst, konst&#10;&#10;Automatiskt genererad beskrivning"/>
                    <pic:cNvPicPr/>
                  </pic:nvPicPr>
                  <pic:blipFill dpi="0">
                    <a:blip xmlns:r="http://schemas.openxmlformats.org/officeDocument/2006/relationships" r:embed="Relimage9" cstate="print"/>
                    <a:srcRect t="7230"/>
                    <a:stretch>
                      <a:fillRect/>
                    </a:stretch>
                  </pic:blipFill>
                  <pic:spPr bwMode="auto">
                    <a:xfrm>
                      <a:off x="0" y="0"/>
                      <a:ext cx="1693545" cy="1894840"/>
                    </a:xfrm>
                    <a:prstGeom prst="rect"/>
                    <a:ln>
                      <a:noFill/>
                    </a:ln>
                  </pic:spPr>
                </pic:pic>
              </a:graphicData>
            </a:graphic>
          </wp:anchor>
        </w:drawing>
      </w:r>
      <w:r>
        <w:t xml:space="preserve">En kulturmiljöstudie har gjorts av gården och byggnadernas exteriörer, interiört har de </w:t>
      </w:r>
    </w:p>
    <w:p>
      <w:r>
        <w:rPr>
          <w:noProof w:val="1"/>
        </w:rPr>
        <mc:AlternateContent>
          <mc:Choice Requires="wps">
            <w:drawing>
              <wp:anchor xmlns:wp="http://schemas.openxmlformats.org/drawingml/2006/wordprocessingDrawing" distT="0" distB="0" distL="114300" distR="114300" simplePos="0" relativeHeight="251659267" behindDoc="1" locked="0" layoutInCell="1" allowOverlap="1">
                <wp:simplePos x="0" y="0"/>
                <wp:positionH relativeFrom="column">
                  <wp:posOffset>4418965</wp:posOffset>
                </wp:positionH>
                <wp:positionV relativeFrom="paragraph">
                  <wp:posOffset>1863725</wp:posOffset>
                </wp:positionV>
                <wp:extent cx="1693545" cy="635"/>
                <wp:effectExtent l="0" t="0" r="0" b="0"/>
                <wp:wrapTight wrapText="bothSides">
                  <wp:wrapPolygon edited="0">
                    <wp:start x="0" y="0"/>
                    <wp:lineTo x="0" y="21600"/>
                    <wp:lineTo x="21600" y="21600"/>
                    <wp:lineTo x="21600" y="0"/>
                  </wp:wrapPolygon>
                </wp:wrapTight>
                <wp:docPr id="1681506113" name="Textruta 1"/>
                <wp:cNvGraphicFramePr/>
                <a:graphic xmlns:a="http://schemas.openxmlformats.org/drawingml/2006/main">
                  <a:graphicData uri="http://schemas.microsoft.com/office/word/2010/wordprocessingShape">
                    <wps:wsp>
                      <wps:cNvSpPr txBox="1"/>
                      <wps:spPr>
                        <a:xfrm>
                          <a:off x="0" y="0"/>
                          <a:ext cx="169354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1"/>
                              <w:rPr>
                                <w:noProof w:val="1"/>
                                <w:sz w:val="24"/>
                                <w:szCs w:val="20"/>
                              </w:rPr>
                            </w:pPr>
                            <w:r>
                              <w:t>Figur 7 Fönstrens kornischer.</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 o:spid="_x0000_s1026" style="position:absolute;width:133.35pt;height:0.05pt;z-index:251659267;mso-wrap-distance-left:9pt;mso-wrap-distance-top:0pt;mso-wrap-distance-right:9pt;mso-wrap-distance-bottom:0pt;margin-left:347.95pt;margin-top:146.75pt;mso-position-horizontal:absolute;mso-position-horizontal-relative:text;mso-position-vertical:absolute;mso-position-vertical-relative:text" o:allowincell="t" fillcolor="#FFFFFF" stroked="f">
                <v:textbox style="mso-fit-shape-to-text:t" inset="0mm,0mm,0mm,0mm">
                  <w:txbxContent>
                    <w:p>
                      <w:pPr>
                        <w:pStyle w:val="P31"/>
                        <w:rPr>
                          <w:noProof w:val="1"/>
                          <w:sz w:val="24"/>
                          <w:szCs w:val="20"/>
                        </w:rPr>
                      </w:pPr>
                      <w:r>
                        <w:t>Figur 7 Fönstrens kornischer.</w:t>
                      </w:r>
                    </w:p>
                  </w:txbxContent>
                </v:textbox>
                <w10:wrap type="tight" anchory="line"/>
              </v:shape>
            </w:pict>
          </mc:Fallback>
        </mc:AlternateContent>
      </w:r>
      <w:r>
        <w:t>förändrats för att passa de verksamheter som huserat där under åren. Tomten har ursprungligen haft en annan utbredning än nuvarande fastighetsgränser gör gällande, och det ska också ha funnits ekonomibyggnader. Fastigheten bedöms ha kulturhistoriska värden som bör bevaras, trots viss förvanskning av byggnaderna. Bl.a. fasadsnickerierna med locklistpanel med bågfriser, kraftigt profilerade konsoler, dekorativa pilastrar, fönstrens kornischer, den konstfullt spröjsade glasverandan och förstukvistens dekorativa pelare, bidrar till byggnadernas kulturhistoriska värden. Likaså gårdsstrukturen.</w:t>
      </w:r>
    </w:p>
    <w:p>
      <w:pPr>
        <w:widowControl w:val="1"/>
      </w:pPr>
    </w:p>
    <w:p>
      <w:pPr>
        <w:widowControl w:val="1"/>
      </w:pPr>
      <w:r>
        <w:t xml:space="preserve">Värdebärare för platsen är: </w:t>
      </w:r>
    </w:p>
    <w:p>
      <w:pPr>
        <w:widowControl w:val="1"/>
      </w:pPr>
      <w:r>
        <w:t xml:space="preserve">• Gårdsstrukturen, placeringen av byggnader </w:t>
      </w:r>
    </w:p>
    <w:p>
      <w:pPr>
        <w:widowControl w:val="1"/>
      </w:pPr>
      <w:r>
        <w:t xml:space="preserve">• Parken/grönytan på mangårdens baksida </w:t>
      </w:r>
    </w:p>
    <w:p>
      <w:pPr>
        <w:widowControl w:val="1"/>
      </w:pPr>
      <w:r>
        <w:t xml:space="preserve">• Den rika träornamentiken i byggnadernas fasader </w:t>
      </w:r>
    </w:p>
    <w:p>
      <w:pPr>
        <w:widowControl w:val="1"/>
      </w:pPr>
      <w:r>
        <w:t xml:space="preserve">• Karaktären av bostadshus för bättre medlade </w:t>
      </w:r>
    </w:p>
    <w:p>
      <w:pPr>
        <w:widowControl w:val="1"/>
      </w:pPr>
      <w:r>
        <w:t xml:space="preserve">• Material och färgsättning </w:t>
      </w:r>
    </w:p>
    <w:p>
      <w:pPr>
        <w:widowControl w:val="1"/>
      </w:pPr>
    </w:p>
    <w:p>
      <w:pPr>
        <w:widowControl w:val="1"/>
        <w:rPr>
          <w:noProof w:val="1"/>
        </w:rPr>
      </w:pPr>
    </w:p>
    <w:p>
      <w:pPr>
        <w:widowControl w:val="1"/>
        <w:rPr>
          <w:i w:val="1"/>
        </w:rPr>
      </w:pPr>
    </w:p>
    <w:p>
      <w:pPr>
        <w:widowControl w:val="1"/>
        <w:rPr>
          <w:i w:val="1"/>
        </w:rPr>
      </w:pPr>
    </w:p>
    <w:p>
      <w:pPr>
        <w:widowControl w:val="1"/>
      </w:pPr>
      <w:r>
        <w:rPr>
          <w:noProof w:val="1"/>
        </w:rPr>
        <w:drawing>
          <wp:anchor xmlns:wp="http://schemas.openxmlformats.org/drawingml/2006/wordprocessingDrawing" distT="0" distB="0" distL="114300" distR="114300" simplePos="0" relativeHeight="251659265" behindDoc="1" locked="0" layoutInCell="1" allowOverlap="1">
            <wp:simplePos x="0" y="0"/>
            <wp:positionH relativeFrom="column">
              <wp:posOffset>-635</wp:posOffset>
            </wp:positionH>
            <wp:positionV relativeFrom="paragraph">
              <wp:posOffset>43180</wp:posOffset>
            </wp:positionV>
            <wp:extent cx="1764030" cy="1876425"/>
            <wp:effectExtent l="0" t="0" r="7620" b="9525"/>
            <wp:wrapTight wrapText="bothSides">
              <wp:wrapPolygon edited="0">
                <wp:start x="0" y="0"/>
                <wp:lineTo x="0" y="21490"/>
                <wp:lineTo x="21460" y="21490"/>
                <wp:lineTo x="21460" y="0"/>
                <wp:lineTo x="0" y="0"/>
              </wp:wrapPolygon>
            </wp:wrapTight>
            <wp:docPr id="2017068534" name="Bildobjekt 3" descr="En bild som visar skiss, rita, Linjekons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68534" name="Bildobjekt 3" descr="En bild som visar skiss, rita, Linjekonst, konst&#10;&#10;Automatiskt genererad beskrivning"/>
                    <pic:cNvPicPr/>
                  </pic:nvPicPr>
                  <pic:blipFill dpi="0">
                    <a:blip xmlns:r="http://schemas.openxmlformats.org/officeDocument/2006/relationships" r:embed="Relimage10" cstate="print"/>
                    <a:srcRect/>
                    <a:stretch>
                      <a:fillRect/>
                    </a:stretch>
                  </pic:blipFill>
                  <pic:spPr>
                    <a:xfrm>
                      <a:off x="0" y="0"/>
                      <a:ext cx="1764030" cy="1876425"/>
                    </a:xfrm>
                    <a:prstGeom prst="rect"/>
                  </pic:spPr>
                </pic:pic>
              </a:graphicData>
            </a:graphic>
          </wp:anchor>
        </w:drawing>
      </w:r>
      <w:r>
        <w:rPr>
          <w:i w:val="1"/>
        </w:rPr>
        <w:t xml:space="preserve">För mangårdsbyggnaden och parstugan </w:t>
      </w:r>
      <w:r>
        <w:t xml:space="preserve">ska fasadernas </w:t>
      </w:r>
    </w:p>
    <w:p>
      <w:pPr>
        <w:widowControl w:val="1"/>
      </w:pPr>
      <w:r>
        <w:t>snickerier bevaras till utformning och materialitet</w:t>
      </w:r>
      <w:r>
        <w:rPr>
          <w:sz w:val="22"/>
          <w:szCs w:val="22"/>
        </w:rPr>
        <w:t xml:space="preserve">. </w:t>
      </w:r>
      <w:r>
        <w:t xml:space="preserve">Mangårdsbyggnaden har i viss mån förvanskats i och med att den byggts till med ramp och träaltan, samt att fönster bytts i nedre plan, till nya med grövre dimensioner. Byggnaderna ska inte byggas till. Färgsättning ska bevaras eller bytas mot annan historiskt korrekt kulör. Linoljefärg bör användas. Tak ska vara i tegel. Användning som medför hög trafikgenomströmning bör undvikas, av samma skäl bör antalet bostäder på fastigheten begränsas. </w:t>
      </w:r>
    </w:p>
    <w:p>
      <w:pPr>
        <w:widowControl w:val="1"/>
      </w:pPr>
    </w:p>
    <w:p>
      <w:pPr>
        <w:widowControl w:val="1"/>
        <w:ind w:left="2948"/>
      </w:pPr>
      <w:r>
        <w:rPr>
          <w:noProof w:val="1"/>
        </w:rPr>
        <mc:AlternateContent>
          <mc:Choice Requires="wps">
            <w:drawing>
              <wp:anchor xmlns:wp="http://schemas.openxmlformats.org/drawingml/2006/wordprocessingDrawing" distT="0" distB="0" distL="114300" distR="114300" simplePos="0" relativeHeight="251659268" behindDoc="1" locked="0" layoutInCell="1" allowOverlap="1">
                <wp:simplePos x="0" y="0"/>
                <wp:positionH relativeFrom="column">
                  <wp:posOffset>-207645</wp:posOffset>
                </wp:positionH>
                <wp:positionV relativeFrom="paragraph">
                  <wp:posOffset>311785</wp:posOffset>
                </wp:positionV>
                <wp:extent cx="1764030" cy="635"/>
                <wp:effectExtent l="0" t="0" r="0" b="0"/>
                <wp:wrapTight wrapText="bothSides">
                  <wp:wrapPolygon edited="0">
                    <wp:start x="0" y="0"/>
                    <wp:lineTo x="0" y="21600"/>
                    <wp:lineTo x="21600" y="21600"/>
                    <wp:lineTo x="21600" y="0"/>
                  </wp:wrapPolygon>
                </wp:wrapTight>
                <wp:docPr id="1602513699" name="Textruta 1"/>
                <wp:cNvGraphicFramePr/>
                <a:graphic xmlns:a="http://schemas.openxmlformats.org/drawingml/2006/main">
                  <a:graphicData uri="http://schemas.microsoft.com/office/word/2010/wordprocessingShape">
                    <wps:wsp>
                      <wps:cNvSpPr txBox="1"/>
                      <wps:spPr>
                        <a:xfrm>
                          <a:off x="0" y="0"/>
                          <a:ext cx="176403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1"/>
                              <w:rPr>
                                <w:sz w:val="24"/>
                                <w:szCs w:val="20"/>
                              </w:rPr>
                            </w:pPr>
                            <w:r>
                              <w:t>Figur 8 Konsoler för takfoten.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 o:spid="_x0000_s1027" style="position:absolute;width:138.9pt;height:0.05pt;z-index:251659268;mso-wrap-distance-left:9pt;mso-wrap-distance-top:0pt;mso-wrap-distance-right:9pt;mso-wrap-distance-bottom:0pt;margin-left:-16.35pt;margin-top:24.55pt;mso-position-horizontal:absolute;mso-position-horizontal-relative:text;mso-position-vertical:absolute;mso-position-vertical-relative:text" o:allowincell="t" fillcolor="#FFFFFF" stroked="f">
                <v:textbox style="mso-fit-shape-to-text:t" inset="0mm,0mm,0mm,0mm">
                  <w:txbxContent>
                    <w:p>
                      <w:pPr>
                        <w:pStyle w:val="P31"/>
                        <w:rPr>
                          <w:sz w:val="24"/>
                          <w:szCs w:val="20"/>
                        </w:rPr>
                      </w:pPr>
                      <w:r>
                        <w:t>Figur 8 Konsoler för takfoten.</w:t>
                      </w:r>
                    </w:p>
                  </w:txbxContent>
                </v:textbox>
                <w10:wrap type="tight" anchory="line"/>
              </v:shape>
            </w:pict>
          </mc:Fallback>
        </mc:AlternateContent>
      </w:r>
      <w:r>
        <w:rPr>
          <w:noProof w:val="1"/>
        </w:rPr>
        <w:drawing>
          <wp:anchor xmlns:wp="http://schemas.openxmlformats.org/drawingml/2006/wordprocessingDrawing" distT="0" distB="0" distL="114300" distR="114300" simplePos="0" relativeHeight="251659264" behindDoc="1" locked="0" layoutInCell="1" allowOverlap="1">
            <wp:simplePos x="0" y="0"/>
            <wp:positionH relativeFrom="column">
              <wp:posOffset>-351790</wp:posOffset>
            </wp:positionH>
            <wp:positionV relativeFrom="paragraph">
              <wp:posOffset>975360</wp:posOffset>
            </wp:positionV>
            <wp:extent cx="1759585" cy="3038475"/>
            <wp:effectExtent l="0" t="0" r="0" b="9525"/>
            <wp:wrapTight wrapText="bothSides">
              <wp:wrapPolygon edited="0">
                <wp:start x="2105" y="0"/>
                <wp:lineTo x="2105" y="21532"/>
                <wp:lineTo x="16370" y="21532"/>
                <wp:lineTo x="16370" y="0"/>
                <wp:lineTo x="2105" y="0"/>
              </wp:wrapPolygon>
            </wp:wrapTight>
            <wp:docPr id="1258543721" name="Bildobjekt 2" descr="En bild som visar skiss, rita, Linjekons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43721" name="Bildobjekt 2" descr="En bild som visar skiss, rita, Linjekonst, konst&#10;&#10;Automatiskt genererad beskrivning"/>
                    <pic:cNvPicPr/>
                  </pic:nvPicPr>
                  <pic:blipFill dpi="0">
                    <a:blip xmlns:r="http://schemas.openxmlformats.org/officeDocument/2006/relationships" r:embed="Relimage11" cstate="print"/>
                    <a:srcRect l="-19546" r="-39949"/>
                    <a:stretch>
                      <a:fillRect/>
                    </a:stretch>
                  </pic:blipFill>
                  <pic:spPr bwMode="auto">
                    <a:xfrm>
                      <a:off x="0" y="0"/>
                      <a:ext cx="1759585" cy="3038475"/>
                    </a:xfrm>
                    <a:prstGeom prst="rect"/>
                    <a:ln>
                      <a:noFill/>
                    </a:ln>
                  </pic:spPr>
                </pic:pic>
              </a:graphicData>
            </a:graphic>
          </wp:anchor>
        </w:drawing>
      </w:r>
      <w:r>
        <w:rPr>
          <w:i w:val="1"/>
        </w:rPr>
        <w:t>Komplementbyggnader</w:t>
      </w:r>
      <w:r>
        <w:t>, befintliga och eventuella tillkommande, ska underordna sig mangårdsbyggnad och parstuga i fråga om volym, färgsättning, form och gestaltning. De ska placeras med hänsyn till gårdsbilden med sluten gårdsplan, mindre komplementbyggnader kan placeras perifert. Komplementbyggnader bör målas med linoljefärg eller slamfärg, tak ska vara i tegel eller undantagsvis i papp.</w:t>
      </w:r>
    </w:p>
    <w:p/>
    <w:p>
      <w:pPr>
        <w:ind w:left="2948"/>
      </w:pPr>
      <w:r>
        <w:rPr>
          <w:i w:val="1"/>
        </w:rPr>
        <w:t>Tomtens</w:t>
      </w:r>
      <w:r>
        <w:t xml:space="preserve"> struktur, där byggnaderna är grupperade runt ett gårdstun, ska bibehållas. Trädgårdsdelen bakom mangårdsbyggnaden ska ej bebyggas. Om barriärer mot omgivningen önskas, föredras ur kulturmiljösynpunkt häckar och buskage framför plank och staket.  </w:t>
      </w:r>
    </w:p>
    <w:p/>
    <w:p>
      <w:pPr>
        <w:rPr>
          <w:sz w:val="40"/>
          <w:u w:val="single"/>
        </w:rPr>
      </w:pPr>
      <w:r>
        <w:rPr>
          <w:noProof w:val="1"/>
        </w:rPr>
        <mc:AlternateContent>
          <mc:Choice Requires="wps">
            <w:drawing>
              <wp:anchor xmlns:wp="http://schemas.openxmlformats.org/drawingml/2006/wordprocessingDrawing" distT="0" distB="0" distL="114300" distR="114300" simplePos="0" relativeHeight="251659269" behindDoc="1" locked="0" layoutInCell="1" allowOverlap="1">
                <wp:simplePos x="0" y="0"/>
                <wp:positionH relativeFrom="column">
                  <wp:posOffset>-265430</wp:posOffset>
                </wp:positionH>
                <wp:positionV relativeFrom="paragraph">
                  <wp:posOffset>1648460</wp:posOffset>
                </wp:positionV>
                <wp:extent cx="2121535" cy="635"/>
                <wp:effectExtent l="0" t="0" r="0" b="0"/>
                <wp:wrapTight wrapText="bothSides">
                  <wp:wrapPolygon edited="0">
                    <wp:start x="0" y="0"/>
                    <wp:lineTo x="0" y="21600"/>
                    <wp:lineTo x="21600" y="21600"/>
                    <wp:lineTo x="21600" y="0"/>
                  </wp:wrapPolygon>
                </wp:wrapTight>
                <wp:docPr id="1085112616" name="Textruta 1"/>
                <wp:cNvGraphicFramePr/>
                <a:graphic xmlns:a="http://schemas.openxmlformats.org/drawingml/2006/main">
                  <a:graphicData uri="http://schemas.microsoft.com/office/word/2010/wordprocessingShape">
                    <wps:wsp>
                      <wps:cNvSpPr txBox="1"/>
                      <wps:spPr>
                        <a:xfrm>
                          <a:off x="0" y="0"/>
                          <a:ext cx="212153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1"/>
                              <w:rPr>
                                <w:noProof w:val="1"/>
                                <w:sz w:val="24"/>
                                <w:szCs w:val="20"/>
                              </w:rPr>
                            </w:pPr>
                            <w:r>
                              <w:t>Figur 9 Dekorerad knutpilaster på mangårdsbyggnaden.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 o:spid="_x0000_s1028" style="position:absolute;width:167.05pt;height:0.05pt;z-index:251659269;mso-wrap-distance-left:9pt;mso-wrap-distance-top:0pt;mso-wrap-distance-right:9pt;mso-wrap-distance-bottom:0pt;margin-left:-20.9pt;margin-top:129.8pt;mso-position-horizontal:absolute;mso-position-horizontal-relative:text;mso-position-vertical:absolute;mso-position-vertical-relative:text" o:allowincell="t" fillcolor="#FFFFFF" stroked="f">
                <v:textbox style="mso-fit-shape-to-text:t" inset="0mm,0mm,0mm,0mm">
                  <w:txbxContent>
                    <w:p>
                      <w:pPr>
                        <w:pStyle w:val="P31"/>
                        <w:rPr>
                          <w:noProof w:val="1"/>
                          <w:sz w:val="24"/>
                          <w:szCs w:val="20"/>
                        </w:rPr>
                      </w:pPr>
                      <w:r>
                        <w:t>Figur 9 Dekorerad knutpilaster på mangårdsbyggnaden.</w:t>
                      </w:r>
                    </w:p>
                  </w:txbxContent>
                </v:textbox>
                <w10:wrap type="tight" anchory="line"/>
              </v:shape>
            </w:pict>
          </mc:Fallback>
        </mc:AlternateContent>
      </w:r>
      <w:r>
        <w:br w:type="page"/>
      </w:r>
    </w:p>
    <w:p>
      <w:pPr>
        <w:pStyle w:val="P18"/>
        <w:tabs>
          <w:tab w:val="clear" w:pos="360" w:leader="none"/>
          <w:tab w:val="left" w:pos="1304" w:leader="none"/>
        </w:tabs>
        <w:rPr>
          <w:szCs w:val="36"/>
          <w:u w:val="single"/>
        </w:rPr>
      </w:pPr>
      <w:bookmarkEnd w:id="217"/>
      <w:bookmarkStart w:id="218" w:name="_Toc90561237"/>
      <w:bookmarkStart w:id="219" w:name="_Toc89446079"/>
      <w:bookmarkStart w:id="220" w:name="_Toc153890033"/>
      <w:r>
        <w:rPr>
          <w:szCs w:val="36"/>
        </w:rPr>
        <w:t>KONSEKVENSER</w:t>
      </w:r>
      <w:bookmarkEnd w:id="218"/>
      <w:bookmarkEnd w:id="219"/>
      <w:bookmarkEnd w:id="220"/>
    </w:p>
    <w:p>
      <w:pPr>
        <w:pStyle w:val="P19"/>
        <w:tabs>
          <w:tab w:val="left" w:pos="1304" w:leader="none"/>
        </w:tabs>
        <w:ind w:left="576"/>
        <w:rPr>
          <w:szCs w:val="28"/>
        </w:rPr>
      </w:pPr>
      <w:bookmarkStart w:id="221" w:name="_Toc90561238"/>
      <w:bookmarkStart w:id="222" w:name="_Toc89446080"/>
      <w:bookmarkStart w:id="223" w:name="_Toc153890034"/>
      <w:r>
        <w:rPr>
          <w:caps w:val="0"/>
          <w:szCs w:val="28"/>
        </w:rPr>
        <w:t>Fastigheter och rättigheter</w:t>
      </w:r>
      <w:bookmarkEnd w:id="221"/>
      <w:bookmarkEnd w:id="222"/>
      <w:bookmarkEnd w:id="223"/>
      <w:r>
        <w:rPr>
          <w:caps w:val="0"/>
          <w:szCs w:val="28"/>
        </w:rPr>
        <w:t xml:space="preserve"> </w:t>
      </w:r>
    </w:p>
    <w:p>
      <w:bookmarkStart w:id="224" w:name="ko_fastigheterochrättigheter01"/>
      <w:r>
        <w:t>En del av fastigheten planläggs som allmän platsmark [GATA]. Kommunen har rätt att lösa in denna mark enligt PBL (2010:900) 6 kap. 13 §. Likaså har fastighetsägaren rätt att kräva inlösen av marken enligt PBL (2010:900) 14 kap. 14 §. För denna del finns ett avtalsservitut för kraftledning. Vid förrättning övergår detta till att belasta kommunens fastighet.</w:t>
      </w:r>
      <w:bookmarkEnd w:id="224"/>
    </w:p>
    <w:p/>
    <w:p>
      <w:pPr>
        <w:pStyle w:val="P19"/>
        <w:tabs>
          <w:tab w:val="left" w:pos="1304" w:leader="none"/>
        </w:tabs>
        <w:ind w:left="576"/>
        <w:rPr>
          <w:szCs w:val="28"/>
        </w:rPr>
      </w:pPr>
      <w:bookmarkStart w:id="225" w:name="_Toc90561249"/>
      <w:bookmarkStart w:id="226" w:name="_Toc89446091"/>
      <w:bookmarkStart w:id="227" w:name="_Toc153890035"/>
      <w:r>
        <w:rPr>
          <w:caps w:val="0"/>
          <w:szCs w:val="28"/>
        </w:rPr>
        <w:t>Miljökvalitetsnormer</w:t>
      </w:r>
      <w:bookmarkEnd w:id="225"/>
      <w:bookmarkEnd w:id="226"/>
      <w:bookmarkEnd w:id="227"/>
    </w:p>
    <w:p>
      <w:pPr>
        <w:rPr>
          <w:shd w:val="clear" w:color="auto" w:fill="FFFFFF"/>
        </w:rPr>
      </w:pPr>
      <w:bookmarkStart w:id="228" w:name="ko_miljökvalitetsnormer01"/>
      <w:r>
        <w:rPr>
          <w:lang w:eastAsia="en-US"/>
        </w:rPr>
        <w:t>Det finns inte anledning att anta att någon miljökvalitetsnorm kommer att överskridas.</w:t>
      </w:r>
      <w:r>
        <w:rPr>
          <w:shd w:val="clear" w:color="auto" w:fill="FFFFFF"/>
        </w:rPr>
        <w:t xml:space="preserve"> Se separat avsnitt om miljökvalitetsnormer. </w:t>
      </w:r>
      <w:bookmarkEnd w:id="228"/>
      <w:r>
        <w:rPr>
          <w:shd w:val="clear" w:color="auto" w:fill="FFFFFF"/>
        </w:rPr>
        <w:t xml:space="preserve"> </w:t>
      </w:r>
    </w:p>
    <w:p/>
    <w:p>
      <w:pPr>
        <w:pStyle w:val="P19"/>
        <w:tabs>
          <w:tab w:val="left" w:pos="1304" w:leader="none"/>
        </w:tabs>
        <w:ind w:left="576"/>
        <w:rPr>
          <w:szCs w:val="28"/>
        </w:rPr>
      </w:pPr>
      <w:bookmarkStart w:id="229" w:name="_Toc90561253"/>
      <w:bookmarkStart w:id="230" w:name="_Toc89446095"/>
      <w:bookmarkStart w:id="231" w:name="_Toc153890036"/>
      <w:r>
        <w:rPr>
          <w:caps w:val="0"/>
          <w:szCs w:val="28"/>
        </w:rPr>
        <w:t>Hälsa och säkerhet</w:t>
      </w:r>
      <w:bookmarkEnd w:id="229"/>
      <w:bookmarkEnd w:id="230"/>
      <w:bookmarkEnd w:id="231"/>
      <w:r>
        <w:rPr>
          <w:shd w:val="clear" w:color="auto" w:fill="FFFFFF"/>
        </w:rPr>
        <w:t xml:space="preserve"> </w:t>
      </w:r>
    </w:p>
    <w:p/>
    <w:p>
      <w:pPr>
        <w:pStyle w:val="P20"/>
        <w:rPr>
          <w:szCs w:val="24"/>
        </w:rPr>
      </w:pPr>
      <w:bookmarkStart w:id="232" w:name="_Toc90561254"/>
      <w:bookmarkStart w:id="233" w:name="_Toc89446096"/>
      <w:bookmarkStart w:id="234" w:name="_Toc153890037"/>
      <w:r>
        <w:rPr>
          <w:caps w:val="0"/>
          <w:szCs w:val="24"/>
        </w:rPr>
        <w:t>Beräkning av omgivningsbuller</w:t>
      </w:r>
      <w:bookmarkEnd w:id="232"/>
      <w:bookmarkEnd w:id="233"/>
      <w:bookmarkEnd w:id="234"/>
    </w:p>
    <w:p>
      <w:r>
        <w:t xml:space="preserve"> </w:t>
      </w:r>
      <w:bookmarkStart w:id="235" w:name="ko_beräkningavomgivningsbuller01"/>
      <w:r>
        <w:t>Riktvärden klaras,</w:t>
      </w:r>
      <w:bookmarkEnd w:id="235"/>
      <w:r>
        <w:t xml:space="preserve"> se avsnitt bullerutredning. </w:t>
      </w:r>
    </w:p>
    <w:p/>
    <w:p>
      <w:pPr>
        <w:pStyle w:val="P20"/>
        <w:rPr>
          <w:szCs w:val="24"/>
        </w:rPr>
      </w:pPr>
      <w:bookmarkStart w:id="236" w:name="_Toc90561255"/>
      <w:bookmarkStart w:id="237" w:name="_Toc89446097"/>
      <w:bookmarkStart w:id="238" w:name="_Toc153890038"/>
      <w:r>
        <w:rPr>
          <w:caps w:val="0"/>
          <w:szCs w:val="24"/>
        </w:rPr>
        <w:t>Översvämning</w:t>
      </w:r>
      <w:bookmarkEnd w:id="236"/>
      <w:bookmarkEnd w:id="237"/>
      <w:bookmarkEnd w:id="238"/>
    </w:p>
    <w:p>
      <w:bookmarkStart w:id="239" w:name="ko_översvämning01"/>
      <w:r>
        <w:t>Det finns översvämningsrisk på del av planområdet, risken påverkas dock inte av planförslagets genomförande.</w:t>
      </w:r>
      <w:bookmarkEnd w:id="239"/>
      <w:r>
        <w:t xml:space="preserve"> </w:t>
      </w:r>
      <w:bookmarkStart w:id="240" w:name="ko_erosion01"/>
      <w:r>
        <w:t>Risk för erosion anses inte föreligga.</w:t>
      </w:r>
      <w:bookmarkEnd w:id="240"/>
      <w:r>
        <w:t xml:space="preserve"> </w:t>
      </w:r>
    </w:p>
    <w:p/>
    <w:p>
      <w:pPr>
        <w:pStyle w:val="P20"/>
        <w:rPr>
          <w:szCs w:val="24"/>
        </w:rPr>
      </w:pPr>
      <w:bookmarkStart w:id="241" w:name="_Toc90561256"/>
      <w:bookmarkStart w:id="242" w:name="_Toc89446098"/>
      <w:bookmarkStart w:id="243" w:name="_Toc153890039"/>
      <w:r>
        <w:rPr>
          <w:caps w:val="0"/>
          <w:szCs w:val="24"/>
        </w:rPr>
        <w:t>Olyckor</w:t>
      </w:r>
      <w:bookmarkEnd w:id="241"/>
      <w:bookmarkEnd w:id="242"/>
      <w:bookmarkEnd w:id="243"/>
    </w:p>
    <w:p>
      <w:bookmarkStart w:id="244" w:name="ko_olyckor01"/>
      <w:r>
        <w:t>Riskbedömning avseende närhet till transportled för farligt gods har gjorts. Särskilda åtgärder anses inte behöva vidtas</w:t>
      </w:r>
      <w:bookmarkEnd w:id="244"/>
      <w:r>
        <w:t xml:space="preserve">, se avsnitt riskbedömning.  </w:t>
      </w:r>
    </w:p>
    <w:p/>
    <w:p>
      <w:pPr>
        <w:pStyle w:val="P19"/>
        <w:tabs>
          <w:tab w:val="left" w:pos="1304" w:leader="none"/>
        </w:tabs>
        <w:ind w:left="576"/>
        <w:rPr>
          <w:szCs w:val="28"/>
        </w:rPr>
      </w:pPr>
      <w:bookmarkStart w:id="245" w:name="_Toc90561263"/>
      <w:bookmarkStart w:id="246" w:name="_Toc89446105"/>
      <w:bookmarkStart w:id="247" w:name="_Toc153890040"/>
      <w:r>
        <w:rPr>
          <w:caps w:val="0"/>
          <w:szCs w:val="28"/>
        </w:rPr>
        <w:t>Riksintresse</w:t>
      </w:r>
      <w:bookmarkEnd w:id="245"/>
      <w:bookmarkEnd w:id="246"/>
      <w:bookmarkEnd w:id="247"/>
    </w:p>
    <w:p>
      <w:pPr>
        <w:rPr>
          <w:shd w:val="clear" w:color="auto" w:fill="FFFFFF"/>
        </w:rPr>
      </w:pPr>
    </w:p>
    <w:p>
      <w:pPr>
        <w:pStyle w:val="P20"/>
        <w:rPr>
          <w:szCs w:val="24"/>
        </w:rPr>
      </w:pPr>
      <w:bookmarkStart w:id="248" w:name="_Toc90561282"/>
      <w:bookmarkStart w:id="249" w:name="_Toc89446124"/>
      <w:bookmarkStart w:id="250" w:name="_Toc153890041"/>
      <w:r>
        <w:rPr>
          <w:caps w:val="0"/>
          <w:szCs w:val="24"/>
        </w:rPr>
        <w:t>Skyddade vattendrag</w:t>
      </w:r>
      <w:bookmarkEnd w:id="248"/>
      <w:bookmarkEnd w:id="249"/>
      <w:bookmarkEnd w:id="250"/>
    </w:p>
    <w:p>
      <w:bookmarkStart w:id="251" w:name="ko_skyddadevattendrag01"/>
      <w:r>
        <w:t>Planområdet ligger inom område för riksintresse skyddade vattendrag. Planförslaget bedöms inte påverka riksintresset</w:t>
      </w:r>
      <w:bookmarkEnd w:id="251"/>
      <w:r>
        <w:t xml:space="preserve">. </w:t>
      </w:r>
    </w:p>
    <w:p/>
    <w:p>
      <w:pPr>
        <w:pStyle w:val="P19"/>
        <w:tabs>
          <w:tab w:val="left" w:pos="1304" w:leader="none"/>
        </w:tabs>
        <w:ind w:left="576"/>
        <w:rPr>
          <w:szCs w:val="28"/>
        </w:rPr>
      </w:pPr>
      <w:bookmarkStart w:id="252" w:name="_Toc90561291"/>
      <w:bookmarkStart w:id="253" w:name="_Toc89446133"/>
      <w:bookmarkStart w:id="254" w:name="_Toc153890042"/>
      <w:r>
        <w:rPr>
          <w:caps w:val="0"/>
          <w:szCs w:val="28"/>
        </w:rPr>
        <w:t>Trafik</w:t>
      </w:r>
      <w:bookmarkEnd w:id="252"/>
      <w:bookmarkEnd w:id="253"/>
      <w:bookmarkEnd w:id="254"/>
    </w:p>
    <w:p>
      <w:pPr>
        <w:rPr>
          <w:shd w:val="clear" w:color="auto" w:fill="FFFFFF"/>
        </w:rPr>
      </w:pPr>
      <w:r>
        <w:rPr>
          <w:shd w:val="clear" w:color="auto" w:fill="FFFFFF"/>
        </w:rPr>
        <w:t xml:space="preserve"> </w:t>
      </w:r>
      <w:bookmarkStart w:id="255" w:name="ko_trafik01"/>
      <w:r>
        <w:rPr>
          <w:shd w:val="clear" w:color="auto" w:fill="FFFFFF"/>
        </w:rPr>
        <w:t>Planförslaget bedöms inte påverka trafikmängder i nämnvärd utsträckning</w:t>
      </w:r>
      <w:bookmarkEnd w:id="255"/>
      <w:r>
        <w:rPr>
          <w:shd w:val="clear" w:color="auto" w:fill="FFFFFF"/>
        </w:rPr>
        <w:t xml:space="preserve">. </w:t>
      </w:r>
    </w:p>
    <w:p>
      <w:pPr>
        <w:pStyle w:val="P18"/>
        <w:tabs>
          <w:tab w:val="clear" w:pos="360" w:leader="none"/>
          <w:tab w:val="left" w:pos="1304" w:leader="none"/>
        </w:tabs>
        <w:rPr>
          <w:szCs w:val="36"/>
          <w:u w:val="single"/>
        </w:rPr>
      </w:pPr>
      <w:bookmarkStart w:id="256" w:name="_Toc90561296"/>
      <w:bookmarkStart w:id="257" w:name="_Toc89446138"/>
      <w:bookmarkStart w:id="258" w:name="_Toc153890043"/>
      <w:r>
        <w:rPr>
          <w:szCs w:val="36"/>
        </w:rPr>
        <w:t>Genomförandefrågor</w:t>
      </w:r>
      <w:bookmarkEnd w:id="256"/>
      <w:bookmarkEnd w:id="257"/>
      <w:bookmarkEnd w:id="258"/>
    </w:p>
    <w:p>
      <w:pPr>
        <w:pStyle w:val="P19"/>
        <w:tabs>
          <w:tab w:val="left" w:pos="1304" w:leader="none"/>
        </w:tabs>
        <w:ind w:left="576"/>
        <w:rPr>
          <w:szCs w:val="28"/>
        </w:rPr>
      </w:pPr>
      <w:bookmarkStart w:id="259" w:name="_Toc90561297"/>
      <w:bookmarkStart w:id="260" w:name="_Toc89446139"/>
      <w:bookmarkStart w:id="261" w:name="_Toc153890044"/>
      <w:r>
        <w:rPr>
          <w:caps w:val="0"/>
          <w:szCs w:val="28"/>
        </w:rPr>
        <w:t>Mark- och utrymmesförvär</w:t>
      </w:r>
      <w:bookmarkEnd w:id="259"/>
      <w:bookmarkEnd w:id="260"/>
      <w:r>
        <w:rPr>
          <w:caps w:val="0"/>
          <w:szCs w:val="28"/>
        </w:rPr>
        <w:t>v</w:t>
      </w:r>
      <w:bookmarkEnd w:id="261"/>
    </w:p>
    <w:p/>
    <w:p>
      <w:pPr>
        <w:pStyle w:val="P20"/>
        <w:rPr>
          <w:szCs w:val="24"/>
        </w:rPr>
      </w:pPr>
      <w:bookmarkStart w:id="262" w:name="_Toc90561298"/>
      <w:bookmarkStart w:id="263" w:name="_Toc89446140"/>
      <w:bookmarkStart w:id="264" w:name="_Toc153890045"/>
      <w:r>
        <w:rPr>
          <w:caps w:val="0"/>
          <w:szCs w:val="24"/>
        </w:rPr>
        <w:t>Skyldighet inlösen, huvudman</w:t>
      </w:r>
      <w:bookmarkEnd w:id="262"/>
      <w:bookmarkEnd w:id="263"/>
      <w:bookmarkEnd w:id="264"/>
    </w:p>
    <w:p>
      <w:bookmarkStart w:id="265" w:name="gf_skyldighetinlösenhuvudman01"/>
      <w:r>
        <w:t>En del av fastigheten planläggs som allmän platsmark [GATA]. Fastighetsägaren har rätt att kräva inlösen av marken enligt PBL (2010:900) 14 kap. 14 §.</w:t>
      </w:r>
      <w:bookmarkEnd w:id="265"/>
    </w:p>
    <w:p/>
    <w:p>
      <w:pPr>
        <w:pStyle w:val="P20"/>
        <w:rPr>
          <w:szCs w:val="24"/>
        </w:rPr>
      </w:pPr>
      <w:bookmarkStart w:id="266" w:name="_Toc90561300"/>
      <w:bookmarkStart w:id="267" w:name="_Toc89446142"/>
      <w:bookmarkStart w:id="268" w:name="_Toc153890046"/>
      <w:r>
        <w:rPr>
          <w:caps w:val="0"/>
          <w:szCs w:val="24"/>
        </w:rPr>
        <w:t>Rätt till inlösen, huvudman</w:t>
      </w:r>
      <w:bookmarkEnd w:id="266"/>
      <w:bookmarkEnd w:id="267"/>
      <w:bookmarkEnd w:id="268"/>
    </w:p>
    <w:p>
      <w:bookmarkStart w:id="269" w:name="gf_rätttillinlösenhuvudman01"/>
      <w:r>
        <w:t>En del av fastigheten planläggs som allmän platsmark [GATA]. Kommunen har rätt att lösa in denna mark enligt PBL (2010:900) 6 kap. 13 §.</w:t>
      </w:r>
      <w:bookmarkEnd w:id="269"/>
    </w:p>
    <w:p>
      <w:r>
        <w:t xml:space="preserve"> </w:t>
      </w:r>
    </w:p>
    <w:p>
      <w:pPr>
        <w:pStyle w:val="P19"/>
        <w:tabs>
          <w:tab w:val="left" w:pos="1304" w:leader="none"/>
        </w:tabs>
        <w:ind w:left="576"/>
        <w:rPr>
          <w:szCs w:val="28"/>
        </w:rPr>
      </w:pPr>
      <w:bookmarkStart w:id="270" w:name="_Toc90561302"/>
      <w:bookmarkStart w:id="271" w:name="_Toc89446144"/>
      <w:bookmarkStart w:id="272" w:name="_Toc153890047"/>
      <w:r>
        <w:rPr>
          <w:caps w:val="0"/>
          <w:szCs w:val="28"/>
        </w:rPr>
        <w:t>Fastighetsrättsliga frågor</w:t>
      </w:r>
      <w:bookmarkEnd w:id="270"/>
      <w:bookmarkEnd w:id="271"/>
      <w:bookmarkEnd w:id="272"/>
    </w:p>
    <w:p/>
    <w:p>
      <w:pPr>
        <w:pStyle w:val="P20"/>
        <w:rPr>
          <w:szCs w:val="24"/>
        </w:rPr>
      </w:pPr>
      <w:bookmarkStart w:id="273" w:name="_Toc90561304"/>
      <w:bookmarkStart w:id="274" w:name="_Toc89446146"/>
      <w:bookmarkStart w:id="275" w:name="_Toc153890048"/>
      <w:r>
        <w:rPr>
          <w:caps w:val="0"/>
          <w:szCs w:val="24"/>
        </w:rPr>
        <w:t>Förändrad fastighetsindelning</w:t>
      </w:r>
      <w:bookmarkEnd w:id="273"/>
      <w:bookmarkEnd w:id="274"/>
      <w:bookmarkEnd w:id="275"/>
    </w:p>
    <w:p>
      <w:bookmarkStart w:id="276" w:name="gf_förändradfastighetsindelning01"/>
      <w:r>
        <w:t>Den del av fastigheten som planläggs som gata kan med fördel överlåtas till kommunens fastighet. Kostnad delas lika mellan kommun och fastighetsägare</w:t>
      </w:r>
      <w:bookmarkEnd w:id="276"/>
      <w:r>
        <w:t>.</w:t>
      </w:r>
    </w:p>
    <w:p>
      <w:pPr>
        <w:pStyle w:val="P20"/>
        <w:numPr>
          <w:ilvl w:val="0"/>
          <w:numId w:val="0"/>
        </w:numPr>
        <w:ind w:firstLine="0" w:left="0"/>
        <w:rPr>
          <w:szCs w:val="24"/>
        </w:rPr>
      </w:pPr>
    </w:p>
    <w:p>
      <w:pPr>
        <w:pStyle w:val="P20"/>
        <w:rPr>
          <w:caps w:val="0"/>
          <w:szCs w:val="24"/>
        </w:rPr>
      </w:pPr>
      <w:bookmarkStart w:id="277" w:name="_Toc153890049"/>
      <w:r>
        <w:rPr>
          <w:caps w:val="0"/>
          <w:szCs w:val="24"/>
        </w:rPr>
        <w:t>Rättigheter</w:t>
      </w:r>
      <w:bookmarkEnd w:id="277"/>
    </w:p>
    <w:p>
      <w:bookmarkStart w:id="278" w:name="gf_rättigheter01"/>
      <w:r>
        <w:t>Ett avtalsservitut för kraftledning finns i den del av planområdet som planläggs som gata. Vid fastighetsförrättning övergår avtalsservitutet till att belasta kommunens fastighet</w:t>
      </w:r>
      <w:bookmarkEnd w:id="278"/>
      <w:r>
        <w:t xml:space="preserve">. </w:t>
      </w:r>
    </w:p>
    <w:p/>
    <w:p>
      <w:pPr>
        <w:pStyle w:val="P19"/>
        <w:tabs>
          <w:tab w:val="left" w:pos="1304" w:leader="none"/>
        </w:tabs>
        <w:ind w:left="576"/>
        <w:rPr>
          <w:szCs w:val="28"/>
        </w:rPr>
      </w:pPr>
      <w:bookmarkStart w:id="279" w:name="_Toc90561306"/>
      <w:bookmarkStart w:id="280" w:name="_Toc89446148"/>
      <w:bookmarkStart w:id="281" w:name="_Toc153890050"/>
      <w:r>
        <w:rPr>
          <w:caps w:val="0"/>
          <w:szCs w:val="28"/>
        </w:rPr>
        <w:t>Tekniska frågor</w:t>
      </w:r>
      <w:bookmarkEnd w:id="279"/>
      <w:bookmarkEnd w:id="280"/>
      <w:bookmarkEnd w:id="281"/>
    </w:p>
    <w:p/>
    <w:p>
      <w:pPr>
        <w:pStyle w:val="P20"/>
        <w:rPr>
          <w:szCs w:val="24"/>
        </w:rPr>
      </w:pPr>
      <w:bookmarkStart w:id="282" w:name="_Toc90561308"/>
      <w:bookmarkStart w:id="283" w:name="_Toc89446150"/>
      <w:bookmarkStart w:id="284" w:name="_Toc153890051"/>
      <w:r>
        <w:rPr>
          <w:caps w:val="0"/>
          <w:szCs w:val="24"/>
        </w:rPr>
        <w:t>Utbyggnad allmän plats</w:t>
      </w:r>
      <w:bookmarkEnd w:id="282"/>
      <w:bookmarkEnd w:id="283"/>
      <w:bookmarkEnd w:id="284"/>
    </w:p>
    <w:p>
      <w:r>
        <w:t xml:space="preserve"> </w:t>
      </w:r>
      <w:bookmarkStart w:id="285" w:name="gf_utbyggnadallmänplats01"/>
      <w:r>
        <w:t>Allmän plats [GATA] är redan utbyggd</w:t>
      </w:r>
      <w:bookmarkEnd w:id="285"/>
      <w:r>
        <w:t xml:space="preserve">. </w:t>
      </w:r>
    </w:p>
    <w:p/>
    <w:p>
      <w:pPr>
        <w:pStyle w:val="P20"/>
        <w:rPr>
          <w:szCs w:val="24"/>
        </w:rPr>
      </w:pPr>
      <w:bookmarkStart w:id="286" w:name="_Toc90561309"/>
      <w:bookmarkStart w:id="287" w:name="_Toc89446151"/>
      <w:bookmarkStart w:id="288" w:name="_Toc153890052"/>
      <w:r>
        <w:rPr>
          <w:caps w:val="0"/>
          <w:szCs w:val="24"/>
        </w:rPr>
        <w:t>Utbyggnad vatten och avlopp</w:t>
      </w:r>
      <w:bookmarkEnd w:id="286"/>
      <w:bookmarkEnd w:id="287"/>
      <w:bookmarkEnd w:id="288"/>
    </w:p>
    <w:p>
      <w:bookmarkStart w:id="289" w:name="gf_utbyggnadvattenochavlopp01"/>
      <w:r>
        <w:t>Fastigheten har befintlig anslutning till den kommunala anläggningen för samtliga nyttigheter, förbindelsepunkt anges av VA-huvudman under bygglovsskede</w:t>
      </w:r>
      <w:bookmarkEnd w:id="289"/>
      <w:r>
        <w:t>.</w:t>
      </w:r>
    </w:p>
    <w:p/>
    <w:p>
      <w:pPr>
        <w:pStyle w:val="P19"/>
        <w:tabs>
          <w:tab w:val="left" w:pos="1304" w:leader="none"/>
        </w:tabs>
        <w:ind w:left="576"/>
        <w:rPr>
          <w:szCs w:val="28"/>
        </w:rPr>
      </w:pPr>
      <w:bookmarkStart w:id="290" w:name="_Toc90561310"/>
      <w:bookmarkStart w:id="291" w:name="_Toc89446152"/>
      <w:bookmarkStart w:id="292" w:name="_Toc153890053"/>
      <w:r>
        <w:rPr>
          <w:caps w:val="0"/>
          <w:szCs w:val="28"/>
        </w:rPr>
        <w:t>Ekonomiska frågor</w:t>
      </w:r>
      <w:bookmarkEnd w:id="290"/>
      <w:bookmarkEnd w:id="291"/>
      <w:bookmarkEnd w:id="292"/>
    </w:p>
    <w:p/>
    <w:p>
      <w:pPr>
        <w:pStyle w:val="P20"/>
        <w:rPr>
          <w:szCs w:val="24"/>
        </w:rPr>
      </w:pPr>
      <w:bookmarkStart w:id="293" w:name="_Toc90561311"/>
      <w:bookmarkStart w:id="294" w:name="_Toc89446153"/>
      <w:bookmarkStart w:id="295" w:name="_Toc153890054"/>
      <w:r>
        <w:rPr>
          <w:caps w:val="0"/>
          <w:szCs w:val="24"/>
        </w:rPr>
        <w:t>Planekonomisk bedömning</w:t>
      </w:r>
      <w:bookmarkEnd w:id="293"/>
      <w:bookmarkEnd w:id="294"/>
      <w:bookmarkEnd w:id="295"/>
    </w:p>
    <w:p>
      <w:r>
        <w:t xml:space="preserve"> </w:t>
      </w:r>
      <w:bookmarkStart w:id="296" w:name="gf_planekonomiskbedömning01"/>
      <w:r>
        <w:t>Detaljplanen inklusive utredningar bekostas av fastighetsägaren</w:t>
      </w:r>
      <w:bookmarkEnd w:id="296"/>
      <w:r>
        <w:t xml:space="preserve">. </w:t>
      </w:r>
    </w:p>
    <w:p/>
    <w:p>
      <w:pPr>
        <w:pStyle w:val="P20"/>
        <w:rPr>
          <w:szCs w:val="24"/>
        </w:rPr>
      </w:pPr>
      <w:bookmarkStart w:id="297" w:name="_Toc90561312"/>
      <w:bookmarkStart w:id="298" w:name="_Toc89446154"/>
      <w:bookmarkStart w:id="299" w:name="_Toc153890055"/>
      <w:r>
        <w:rPr>
          <w:caps w:val="0"/>
          <w:szCs w:val="24"/>
        </w:rPr>
        <w:t>Planavgift</w:t>
      </w:r>
      <w:bookmarkEnd w:id="297"/>
      <w:bookmarkEnd w:id="298"/>
      <w:bookmarkEnd w:id="299"/>
    </w:p>
    <w:p>
      <w:r>
        <w:t xml:space="preserve"> </w:t>
      </w:r>
      <w:bookmarkStart w:id="300" w:name="gf_planavgift01"/>
      <w:r>
        <w:t>Planavgift kommer inte tas ut vid bygglovsansökan</w:t>
      </w:r>
      <w:bookmarkEnd w:id="300"/>
      <w:r>
        <w:t xml:space="preserve">. </w:t>
      </w:r>
    </w:p>
    <w:p/>
    <w:p>
      <w:pPr>
        <w:pStyle w:val="P20"/>
        <w:rPr>
          <w:szCs w:val="24"/>
        </w:rPr>
      </w:pPr>
      <w:bookmarkStart w:id="301" w:name="_Toc90561313"/>
      <w:bookmarkStart w:id="302" w:name="_Toc89446155"/>
      <w:bookmarkStart w:id="303" w:name="_Toc153890056"/>
      <w:r>
        <w:rPr>
          <w:caps w:val="0"/>
          <w:szCs w:val="24"/>
        </w:rPr>
        <w:t>Ersättningsanspråk</w:t>
      </w:r>
      <w:bookmarkEnd w:id="301"/>
      <w:bookmarkEnd w:id="302"/>
      <w:bookmarkEnd w:id="303"/>
    </w:p>
    <w:p>
      <w:bookmarkStart w:id="304" w:name="gf_ersättningsanspråk01"/>
      <w:r>
        <w:t>Om en detaljplan innehåller ett rivningsförbud har fastighetens ägare, enligt PBL (2010:900) 14 kap. 7 §, rätt till ersättning av kommunen för den skada som rivningsförbudet medför.</w:t>
      </w:r>
    </w:p>
    <w:p/>
    <w:p>
      <w:r>
        <w:t xml:space="preserve">Rätten till ersättning gäller dock endast om den skada som rivningsförbudet medför är betydande i förhållande till värdet av den berörda fastigheten. </w:t>
      </w:r>
    </w:p>
    <w:p/>
    <w:p>
      <w:r>
        <w:t>I detta fall bedöms fastighetens huvudsakliga värde ligga i just de två byggnader som beläggs med rivningsförbud, varför ersättning inte är aktuellt.</w:t>
      </w:r>
      <w:bookmarkEnd w:id="304"/>
    </w:p>
    <w:p/>
    <w:p>
      <w:pPr>
        <w:pStyle w:val="P20"/>
        <w:rPr>
          <w:szCs w:val="24"/>
        </w:rPr>
      </w:pPr>
      <w:bookmarkStart w:id="305" w:name="_Toc90561316"/>
      <w:bookmarkStart w:id="306" w:name="_Toc89446158"/>
      <w:bookmarkStart w:id="307" w:name="_Toc153890057"/>
      <w:r>
        <w:rPr>
          <w:caps w:val="0"/>
          <w:szCs w:val="24"/>
        </w:rPr>
        <w:t>Drift allmän plats</w:t>
      </w:r>
      <w:bookmarkEnd w:id="305"/>
      <w:bookmarkEnd w:id="306"/>
      <w:bookmarkEnd w:id="307"/>
    </w:p>
    <w:p>
      <w:bookmarkStart w:id="308" w:name="gf_driftallmänplats01"/>
      <w:r>
        <w:t>Kommunen står för drift av allmän plats.</w:t>
      </w:r>
      <w:bookmarkEnd w:id="308"/>
      <w:r>
        <w:t xml:space="preserve"> </w:t>
      </w:r>
    </w:p>
    <w:p/>
    <w:p>
      <w:pPr>
        <w:pStyle w:val="P20"/>
        <w:rPr>
          <w:szCs w:val="24"/>
        </w:rPr>
      </w:pPr>
      <w:bookmarkStart w:id="309" w:name="_Toc90561317"/>
      <w:bookmarkStart w:id="310" w:name="_Toc89446159"/>
      <w:bookmarkStart w:id="311" w:name="_Toc153890058"/>
      <w:r>
        <w:rPr>
          <w:caps w:val="0"/>
          <w:szCs w:val="24"/>
        </w:rPr>
        <w:t>Drift vatten och avlopp</w:t>
      </w:r>
      <w:bookmarkEnd w:id="309"/>
      <w:bookmarkEnd w:id="310"/>
      <w:bookmarkEnd w:id="311"/>
    </w:p>
    <w:p>
      <w:bookmarkStart w:id="312" w:name="gf_driftvattenochavlopp01"/>
      <w:r>
        <w:t>Kommunen står för drift och underhåll av vatten och avlopp fram till fastighetsgräns</w:t>
      </w:r>
      <w:bookmarkEnd w:id="312"/>
      <w:r>
        <w:t xml:space="preserve">. </w:t>
      </w:r>
    </w:p>
    <w:p/>
    <w:p>
      <w:pPr>
        <w:pStyle w:val="P19"/>
        <w:tabs>
          <w:tab w:val="left" w:pos="1304" w:leader="none"/>
        </w:tabs>
        <w:ind w:left="576"/>
        <w:rPr>
          <w:szCs w:val="28"/>
        </w:rPr>
      </w:pPr>
      <w:bookmarkStart w:id="313" w:name="_Toc90561323"/>
      <w:bookmarkStart w:id="314" w:name="_Toc89446165"/>
      <w:bookmarkStart w:id="315" w:name="_Toc153890059"/>
      <w:r>
        <w:rPr>
          <w:caps w:val="0"/>
          <w:szCs w:val="28"/>
        </w:rPr>
        <w:t>Kulturvärden</w:t>
      </w:r>
      <w:bookmarkEnd w:id="313"/>
      <w:bookmarkEnd w:id="314"/>
      <w:bookmarkEnd w:id="315"/>
    </w:p>
    <w:p/>
    <w:p>
      <w:pPr>
        <w:pStyle w:val="P20"/>
        <w:rPr>
          <w:szCs w:val="24"/>
        </w:rPr>
      </w:pPr>
      <w:bookmarkStart w:id="316" w:name="_Toc90561324"/>
      <w:bookmarkStart w:id="317" w:name="_Toc89446166"/>
      <w:bookmarkStart w:id="318" w:name="_Toc153890060"/>
      <w:r>
        <w:rPr>
          <w:caps w:val="0"/>
          <w:szCs w:val="24"/>
        </w:rPr>
        <w:t>Rivningsförbud</w:t>
      </w:r>
      <w:bookmarkEnd w:id="316"/>
      <w:bookmarkEnd w:id="317"/>
      <w:bookmarkEnd w:id="318"/>
    </w:p>
    <w:p>
      <w:bookmarkStart w:id="319" w:name="gf_rivningsförbud01"/>
      <w:r>
        <w:t>Två befintliga byggnader beläggs med rivningsförbud</w:t>
      </w:r>
      <w:bookmarkEnd w:id="319"/>
      <w:r>
        <w:t xml:space="preserve">. </w:t>
      </w:r>
    </w:p>
    <w:p/>
    <w:p>
      <w:pPr>
        <w:pStyle w:val="P20"/>
        <w:rPr>
          <w:szCs w:val="24"/>
        </w:rPr>
      </w:pPr>
      <w:bookmarkStart w:id="320" w:name="_Toc90561325"/>
      <w:bookmarkStart w:id="321" w:name="_Toc89446167"/>
      <w:bookmarkStart w:id="322" w:name="_Toc153890061"/>
      <w:r>
        <w:rPr>
          <w:caps w:val="0"/>
          <w:szCs w:val="24"/>
        </w:rPr>
        <w:t>Bevarandekrav</w:t>
      </w:r>
      <w:bookmarkEnd w:id="320"/>
      <w:bookmarkEnd w:id="321"/>
      <w:bookmarkEnd w:id="322"/>
    </w:p>
    <w:p>
      <w:bookmarkStart w:id="323" w:name="gf_bevarandekrav01"/>
      <w:r>
        <w:t>Två befintliga byggnader ska exteriört bevaras till sin utformning. Likaså ska tomtens struktur beaktas vid eventuell tillkommande bebyggelse.</w:t>
      </w:r>
      <w:bookmarkEnd w:id="323"/>
    </w:p>
    <w:p>
      <w:pPr>
        <w:rPr>
          <w:sz w:val="40"/>
        </w:rPr>
      </w:pPr>
    </w:p>
    <w:p>
      <w:pPr>
        <w:rPr>
          <w:sz w:val="40"/>
        </w:rPr>
      </w:pPr>
    </w:p>
    <w:p>
      <w:pPr>
        <w:rPr>
          <w:sz w:val="40"/>
        </w:rPr>
      </w:pPr>
    </w:p>
    <w:p>
      <w:pPr>
        <w:rPr>
          <w:sz w:val="40"/>
        </w:rPr>
      </w:pPr>
    </w:p>
    <w:p>
      <w:pPr>
        <w:rPr>
          <w:sz w:val="40"/>
        </w:rPr>
      </w:pPr>
    </w:p>
    <w:p>
      <w:pPr>
        <w:rPr>
          <w:sz w:val="40"/>
        </w:rPr>
      </w:pPr>
    </w:p>
    <w:p>
      <w:pPr>
        <w:rPr>
          <w:sz w:val="40"/>
        </w:rPr>
      </w:pPr>
    </w:p>
    <w:p>
      <w:pPr>
        <w:rPr>
          <w:sz w:val="40"/>
        </w:rPr>
      </w:pPr>
    </w:p>
    <w:p>
      <w:pPr>
        <w:rPr>
          <w:sz w:val="40"/>
        </w:rPr>
      </w:pPr>
    </w:p>
    <w:p>
      <w:pPr>
        <w:rPr>
          <w:sz w:val="40"/>
        </w:rPr>
      </w:pPr>
    </w:p>
    <w:p>
      <w:pPr>
        <w:spacing w:after="232" w:beforeAutospacing="0" w:afterAutospacing="0"/>
        <w:ind w:left="3220"/>
        <w:rPr>
          <w:rFonts w:ascii="Arial" w:hAnsi="Arial"/>
        </w:rPr>
      </w:pPr>
      <w:r>
        <w:rPr>
          <w:sz w:val="40"/>
        </w:rPr>
        <w:tab/>
      </w:r>
    </w:p>
    <w:p>
      <w:pPr>
        <w:spacing w:after="55" w:beforeAutospacing="0" w:afterAutospacing="0"/>
        <w:ind w:right="7"/>
        <w:jc w:val="center"/>
        <w:rPr>
          <w:rFonts w:ascii="Calibri" w:hAnsi="Calibri" w:cs="Calibri"/>
          <w:b w:val="1"/>
        </w:rPr>
      </w:pPr>
      <w:r>
        <w:rPr>
          <w:rFonts w:ascii="Calibri" w:hAnsi="Calibri" w:cs="Calibri"/>
          <w:b w:val="1"/>
        </w:rPr>
        <w:t>Miljö- och byggförvaltningen</w:t>
      </w:r>
    </w:p>
    <w:p>
      <w:pPr>
        <w:jc w:val="center"/>
        <w:rPr>
          <w:rFonts w:ascii="Calibri" w:hAnsi="Calibri" w:cs="Calibri"/>
        </w:rPr>
      </w:pPr>
      <w:r>
        <w:rPr>
          <w:rFonts w:ascii="Calibri" w:hAnsi="Calibri" w:cs="Calibri"/>
          <w:color w:val="7B7B7A"/>
          <w:sz w:val="18"/>
        </w:rPr>
        <w:t>POSTADRESS</w:t>
      </w:r>
      <w:r>
        <w:rPr>
          <w:rFonts w:ascii="Calibri" w:hAnsi="Calibri" w:cs="Calibri"/>
          <w:sz w:val="18"/>
        </w:rPr>
        <w:t xml:space="preserve"> </w:t>
      </w:r>
      <w:r>
        <w:rPr>
          <w:rFonts w:ascii="Calibri" w:hAnsi="Calibri" w:cs="Calibri"/>
          <w:sz w:val="20"/>
        </w:rPr>
        <w:t>Vindelns kommun, 922 81 Vindeln</w:t>
      </w:r>
    </w:p>
    <w:p>
      <w:pPr>
        <w:spacing w:lineRule="auto" w:line="264" w:after="3" w:beforeAutospacing="0" w:afterAutospacing="0"/>
        <w:jc w:val="center"/>
        <w:rPr>
          <w:rFonts w:ascii="Calibri" w:hAnsi="Calibri" w:cs="Calibri"/>
          <w:sz w:val="20"/>
        </w:rPr>
      </w:pPr>
      <w:r>
        <w:rPr>
          <w:rFonts w:ascii="Calibri" w:hAnsi="Calibri" w:cs="Calibri"/>
          <w:color w:val="7B7B7A"/>
          <w:sz w:val="18"/>
        </w:rPr>
        <w:t xml:space="preserve">BESÖKSADRESS </w:t>
      </w:r>
      <w:r>
        <w:rPr>
          <w:rFonts w:ascii="Calibri" w:hAnsi="Calibri" w:cs="Calibri"/>
          <w:sz w:val="20"/>
        </w:rPr>
        <w:t>Kommunalhusvägen 11</w:t>
      </w:r>
    </w:p>
    <w:p>
      <w:pPr>
        <w:spacing w:lineRule="auto" w:line="264" w:after="3" w:beforeAutospacing="0" w:afterAutospacing="0"/>
        <w:jc w:val="center"/>
        <w:rPr>
          <w:rFonts w:ascii="Calibri" w:hAnsi="Calibri" w:cs="Calibri"/>
        </w:rPr>
      </w:pPr>
      <w:r>
        <w:rPr>
          <w:rFonts w:ascii="Calibri" w:hAnsi="Calibri" w:cs="Calibri"/>
          <w:color w:val="7B7B7A"/>
          <w:sz w:val="18"/>
        </w:rPr>
        <w:t>TFN</w:t>
      </w:r>
      <w:r>
        <w:rPr>
          <w:rFonts w:ascii="Calibri" w:hAnsi="Calibri" w:cs="Calibri"/>
          <w:color w:val="7B7B7A"/>
          <w:sz w:val="20"/>
        </w:rPr>
        <w:t xml:space="preserve"> </w:t>
      </w:r>
      <w:r>
        <w:rPr>
          <w:rFonts w:ascii="Calibri" w:hAnsi="Calibri" w:cs="Calibri"/>
          <w:sz w:val="20"/>
        </w:rPr>
        <w:t>0933 - 140 00</w:t>
      </w:r>
    </w:p>
    <w:p>
      <w:pPr>
        <w:spacing w:lineRule="auto" w:line="264" w:after="3" w:beforeAutospacing="0" w:afterAutospacing="0"/>
        <w:jc w:val="center"/>
        <w:rPr>
          <w:rFonts w:ascii="Calibri" w:hAnsi="Calibri" w:cs="Calibri"/>
          <w:sz w:val="20"/>
        </w:rPr>
      </w:pPr>
      <w:r>
        <w:rPr>
          <w:rFonts w:ascii="Calibri" w:hAnsi="Calibri" w:cs="Calibri"/>
          <w:color w:val="7B7B7A"/>
          <w:sz w:val="18"/>
        </w:rPr>
        <w:t>E-POST</w:t>
      </w:r>
      <w:r>
        <w:rPr>
          <w:rFonts w:ascii="Calibri" w:hAnsi="Calibri" w:cs="Calibri"/>
          <w:color w:val="7B7B7A"/>
          <w:sz w:val="20"/>
        </w:rPr>
        <w:t xml:space="preserve"> </w:t>
      </w:r>
      <w:r>
        <w:rPr>
          <w:rFonts w:ascii="Calibri" w:hAnsi="Calibri" w:cs="Calibri"/>
          <w:sz w:val="20"/>
        </w:rPr>
        <w:t>vindelns.kommun@vindeln.se</w:t>
      </w:r>
    </w:p>
    <w:p>
      <w:pPr>
        <w:spacing w:lineRule="auto" w:line="264" w:after="3" w:beforeAutospacing="0" w:afterAutospacing="0"/>
        <w:jc w:val="center"/>
        <w:rPr>
          <w:rFonts w:ascii="Calibri" w:hAnsi="Calibri" w:cs="Calibri"/>
        </w:rPr>
      </w:pPr>
      <w:r>
        <w:rPr>
          <w:rFonts w:ascii="Calibri" w:hAnsi="Calibri" w:cs="Calibri"/>
          <w:color w:val="7B7B7A"/>
          <w:sz w:val="18"/>
        </w:rPr>
        <w:t>WEBBPLATS</w:t>
      </w:r>
      <w:r>
        <w:rPr>
          <w:rFonts w:ascii="Calibri" w:hAnsi="Calibri" w:cs="Calibri"/>
          <w:sz w:val="20"/>
        </w:rPr>
        <w:t xml:space="preserve"> www.vindeln.se</w:t>
      </w:r>
    </w:p>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erReference xmlns:r="http://schemas.openxmlformats.org/officeDocument/2006/relationships" w:type="default" r:id="RelFtr2"/>
      <w:footnotePr/>
      <w:endnotePr/>
      <w:type w:val="nextPage"/>
      <w:pgSz w:w="11900" w:h="16840" w:code="0"/>
      <w:pgMar w:left="1559" w:right="703" w:top="2826" w:bottom="1276" w:header="851" w:footer="539"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pPr>
    <w:r>
      <w:rPr>
        <w:lang w:val="sv-SE" w:eastAsia="sv-SE"/>
      </w:rPr>
      <mc:AlternateContent>
        <mc:Choice Requires="wpg">
          <w:drawing>
            <wp:anchor xmlns:wp="http://schemas.openxmlformats.org/drawingml/2006/wordprocessingDrawing" distT="0" distB="0" distL="114300" distR="114300" simplePos="0" relativeHeight="1" behindDoc="0" locked="0" layoutInCell="1" allowOverlap="1">
              <wp:simplePos x="0" y="0"/>
              <wp:positionH relativeFrom="column">
                <wp:posOffset>229235</wp:posOffset>
              </wp:positionH>
              <wp:positionV relativeFrom="paragraph">
                <wp:posOffset>135890</wp:posOffset>
              </wp:positionV>
              <wp:extent cx="5195570" cy="240030"/>
              <wp:effectExtent l="0" t="0" r="0" b="7620"/>
              <wp:wrapNone/>
              <wp:docPr id="4" name="Group 7"/>
              <wp:cNvGraphicFramePr/>
              <a:graphic xmlns:a="http://schemas.openxmlformats.org/drawingml/2006/main">
                <a:graphicData uri="http://schemas.microsoft.com/office/word/2010/wordprocessingGroup">
                  <wpg:wgp>
                    <wpg:cNvGrpSpPr/>
                    <wpg:grpSpPr bwMode="auto">
                      <a:xfrm>
                        <a:off x="0" y="0"/>
                        <a:ext cx="5195659" cy="240030"/>
                        <a:chOff x="2334" y="15697"/>
                        <a:chExt cx="7780" cy="378"/>
                      </a:xfrm>
                    </wpg:grpSpPr>
                    <wps:wsp>
                      <wps:cNvPr id="5" name="Text Box 5"/>
                      <wps:cNvSpPr txBox="1">
                        <a:spLocks noChangeArrowheads="1"/>
                      </wps:cNvSpPr>
                      <wps:spPr bwMode="auto">
                        <a:xfrm>
                          <a:off x="8950" y="15697"/>
                          <a:ext cx="1162" cy="378"/>
                        </a:xfrm>
                        <a:prstGeom prst="rect"/>
                        <a:no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1"/>
                              <w:rPr>
                                <w:color w:val="FFFFFF"/>
                              </w:rPr>
                            </w:pPr>
                            <w:r>
                              <w:rPr>
                                <w:color w:val="FFFFFF"/>
                              </w:rPr>
                              <w:t>2024-01-30</w:t>
                            </w:r>
                          </w:p>
                        </w:txbxContent>
                      </wps:txbx>
                      <wps:bodyPr rot="0" vert="horz" wrap="none" lIns="91440" tIns="45720" rIns="91440" bIns="45720" anchor="t" anchorCtr="0" upright="1">
                        <a:noAutofit/>
                      </wps:bodyPr>
                    </wps:wsp>
                    <wps:wsp>
                      <wps:cNvPr id="6" name="Text Box 6"/>
                      <wps:cNvSpPr txBox="1">
                        <a:spLocks noChangeArrowheads="1"/>
                      </wps:cNvSpPr>
                      <wps:spPr bwMode="auto">
                        <a:xfrm>
                          <a:off x="2334" y="15714"/>
                          <a:ext cx="6480" cy="361"/>
                        </a:xfrm>
                        <a:prstGeom prst="rect"/>
                        <a:no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1"/>
                              <w:rPr>
                                <w:color w:val="FFFFFF"/>
                              </w:rPr>
                            </w:pPr>
                            <w:r>
                              <w:rPr>
                                <w:color w:val="FFFFFF"/>
                              </w:rPr>
                              <w:t>Fastställd av MBN</w:t>
                            </w:r>
                          </w:p>
                        </w:txbxContent>
                      </wps:txbx>
                      <wps:bodyPr rot="0" vert="horz" wrap="square" lIns="91440" tIns="45720" rIns="91440" bIns="45720" anchor="t" anchorCtr="0" upright="1">
                        <a:noAutofit/>
                      </wps:bodyPr>
                    </wps:wsp>
                  </wpg:wgp>
                </a:graphicData>
              </a:graphic>
            </wp:anchor>
          </w:drawing>
        </mc:Choice>
        <mc:Fallback>
          <w:pict>
            <v:group xmlns:o="urn:schemas-microsoft-com:office:office" id="Group 7" style="position:absolute;width:409.1pt;height:18.9pt;z-index:1;mso-wrap-distance-left:9pt;mso-wrap-distance-top:0pt;mso-wrap-distance-right:9pt;mso-wrap-distance-bottom:0pt;margin-left:18.05pt;margin-top:10.7pt;mso-position-horizontal:absolute;mso-position-horizontal-relative:text;mso-position-vertical:absolute;mso-position-vertical-relative:text" coordorigin="2333,15696" coordsize="7779,377" o:allowincell="t">
              <v:shape type="#_x0000_t202" id="Text Box 5" o:spid="_x0000_s1030" style="position:absolute;left:8949;top:15696;width:1161;height:377;mso-wrap-style:none" o:allowincell="t" filled="f" stroked="f">
                <v:textbox inset="3mm,1mm,3mm,1mm">
                  <w:txbxContent>
                    <w:p>
                      <w:pPr>
                        <w:pStyle w:val="P11"/>
                        <w:rPr>
                          <w:color w:val="FFFFFF"/>
                        </w:rPr>
                      </w:pPr>
                      <w:r>
                        <w:rPr>
                          <w:color w:val="FFFFFF"/>
                        </w:rPr>
                        <w:t>2024-01-30</w:t>
                      </w:r>
                    </w:p>
                  </w:txbxContent>
                </v:textbox>
              </v:shape>
              <v:shape type="#_x0000_t202" id="Text Box 6" o:spid="_x0000_s1031" style="position:absolute;left:2333;top:15713;width:6479;height:360" o:allowincell="t" filled="f" stroked="f">
                <v:textbox inset="3mm,1mm,3mm,1mm">
                  <w:txbxContent>
                    <w:p>
                      <w:pPr>
                        <w:pStyle w:val="P11"/>
                        <w:rPr>
                          <w:color w:val="FFFFFF"/>
                        </w:rPr>
                      </w:pPr>
                      <w:r>
                        <w:rPr>
                          <w:color w:val="FFFFFF"/>
                        </w:rPr>
                        <w:t>Fastställd av MBN</w:t>
                      </w:r>
                    </w:p>
                  </w:txbxContent>
                </v:textbox>
              </v:shape>
            </v:group>
          </w:pict>
        </mc:Fallback>
      </mc:AlternateContent>
    </w:r>
    <w:r>
      <w:rPr>
        <w:lang w:val="sv-SE" w:eastAsia="sv-SE"/>
      </w:rPr>
      <w:drawing>
        <wp:inline xmlns:wp="http://schemas.openxmlformats.org/drawingml/2006/wordprocessingDrawing" distT="0" distB="0" distL="0" distR="0">
          <wp:extent cx="6115050" cy="523875"/>
          <wp:effectExtent l="0" t="0" r="0" b="0"/>
          <wp:docPr id="2" name="Bild 2" descr="Dekor A4 st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kor A4 stående"/>
                  <pic:cNvPicPr>
                    <a:picLocks noChangeAspect="1" noChangeArrowheads="1"/>
                  </pic:cNvPicPr>
                </pic:nvPicPr>
                <pic:blipFill dpi="0">
                  <a:blip xmlns:r="http://schemas.openxmlformats.org/officeDocument/2006/relationships" r:embed="Relimage14"/>
                  <a:srcRect/>
                  <a:stretch>
                    <a:fillRect/>
                  </a:stretch>
                </pic:blipFill>
                <pic:spPr bwMode="auto">
                  <a:xfrm>
                    <a:off x="0" y="0"/>
                    <a:ext cx="6115050" cy="523875"/>
                  </a:xfrm>
                  <a:prstGeom prst="rect"/>
                  <a:noFill/>
                  <a:ln>
                    <a:noFill/>
                  </a:ln>
                </pic:spPr>
              </pic:pic>
            </a:graphicData>
          </a:graphic>
        </wp:inline>
      </w:drawing>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tabs>
        <w:tab w:val="left" w:pos="8080" w:leader="none"/>
      </w:tabs>
      <w:rPr>
        <w:lang w:val="sv-SE"/>
      </w:rPr>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18042" w:type="dxa"/>
      <w:tblLayout w:type="fixed"/>
      <w:tblLook w:val="00A0"/>
    </w:tblPr>
    <w:tblGrid/>
    <w:tr>
      <w:trPr>
        <w:cantSplit/>
        <w:trHeight w:hRule="exact" w:val="284"/>
      </w:trPr>
      <w:tc>
        <w:tcPr>
          <w:tcW w:w="5954" w:type="dxa"/>
          <w:vMerge w:val="restart"/>
          <w:shd w:val="clear" w:color="auto" w:fill="auto"/>
          <w:tcMar>
            <w:left w:w="0" w:type="dxa"/>
          </w:tcMar>
        </w:tcPr>
        <w:p>
          <w:pPr>
            <w:pStyle w:val="P11"/>
            <w:rPr>
              <w:sz w:val="24"/>
            </w:rPr>
          </w:pPr>
          <w:r>
            <w:rPr>
              <w:sz w:val="24"/>
              <w:lang w:val="sv-SE" w:eastAsia="sv-SE"/>
            </w:rPr>
            <w:drawing>
              <wp:inline xmlns:wp="http://schemas.openxmlformats.org/drawingml/2006/wordprocessingDrawing" distT="0" distB="0" distL="0" distR="0">
                <wp:extent cx="2286000" cy="1104900"/>
                <wp:effectExtent l="0" t="0" r="0" b="0"/>
                <wp:docPr id="1" name="Bildobjekt 1" descr="Vindeln_logo_fär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Vindeln_logo_färg.bmp"/>
                        <pic:cNvPicPr>
                          <a:picLocks noChangeAspect="1" noChangeArrowheads="1"/>
                        </pic:cNvPicPr>
                      </pic:nvPicPr>
                      <pic:blipFill dpi="0">
                        <a:blip xmlns:r="http://schemas.openxmlformats.org/officeDocument/2006/relationships" r:embed="Relimage12"/>
                        <a:srcRect/>
                        <a:stretch>
                          <a:fillRect/>
                        </a:stretch>
                      </pic:blipFill>
                      <pic:spPr bwMode="auto">
                        <a:xfrm>
                          <a:off x="0" y="0"/>
                          <a:ext cx="2286000" cy="1104900"/>
                        </a:xfrm>
                        <a:prstGeom prst="rect"/>
                        <a:noFill/>
                        <a:ln>
                          <a:noFill/>
                        </a:ln>
                      </pic:spPr>
                    </pic:pic>
                  </a:graphicData>
                </a:graphic>
              </wp:inline>
            </w:drawing>
          </w:r>
        </w:p>
        <w:p>
          <w:pPr>
            <w:pStyle w:val="P11"/>
            <w:rPr>
              <w:sz w:val="24"/>
            </w:rPr>
          </w:pPr>
        </w:p>
      </w:tc>
      <w:tc>
        <w:tcPr>
          <w:tcW w:w="1606" w:type="dxa"/>
        </w:tcPr>
        <w:p>
          <w:pPr>
            <w:rPr>
              <w:rFonts w:asciiTheme="minorHAnsi" w:hAnsiTheme="minorHAnsi" w:cstheme="minorHAnsi"/>
              <w:sz w:val="16"/>
              <w:szCs w:val="16"/>
            </w:rPr>
          </w:pPr>
          <w:r>
            <w:rPr>
              <w:rFonts w:asciiTheme="minorHAnsi" w:hAnsiTheme="minorHAnsi" w:cstheme="minorHAnsi"/>
              <w:sz w:val="16"/>
              <w:szCs w:val="16"/>
            </w:rPr>
            <w:t>Diarienummer</w:t>
          </w:r>
        </w:p>
      </w:tc>
      <w:tc>
        <w:tcPr>
          <w:tcW w:w="2730" w:type="dxa"/>
        </w:tcPr>
        <w:p>
          <w:pPr>
            <w:rPr>
              <w:rFonts w:asciiTheme="minorHAnsi" w:hAnsiTheme="minorHAnsi" w:cstheme="minorHAnsi"/>
              <w:sz w:val="16"/>
              <w:szCs w:val="16"/>
            </w:rPr>
          </w:pPr>
          <w:bookmarkStart w:id="0" w:name="be_ärendeinformation03"/>
          <w:r>
            <w:rPr>
              <w:rFonts w:asciiTheme="minorHAnsi" w:hAnsiTheme="minorHAnsi" w:cstheme="minorHAnsi"/>
              <w:noProof w:val="1"/>
              <w:sz w:val="16"/>
              <w:szCs w:val="16"/>
            </w:rPr>
            <w:t>M-2023-235</w:t>
          </w:r>
          <w:bookmarkEnd w:id="0"/>
        </w:p>
      </w:tc>
      <w:tc>
        <w:tcPr>
          <w:tcW w:w="1938" w:type="dxa"/>
          <w:tcBorders>
            <w:top w:val="single" w:sz="4" w:space="0" w:shadow="0" w:frame="0"/>
            <w:left w:val="nil"/>
            <w:bottom w:val="single" w:sz="4" w:space="0" w:shadow="0" w:frame="0"/>
            <w:right w:val="single" w:sz="4" w:space="0" w:shadow="0" w:frame="0"/>
          </w:tcBorders>
        </w:tcPr>
        <w:p>
          <w:pPr>
            <w:rPr>
              <w:rFonts w:ascii="Arial" w:hAnsi="Arial"/>
              <w:sz w:val="16"/>
            </w:rPr>
          </w:pPr>
          <w:r>
            <w:rPr>
              <w:sz w:val="16"/>
            </w:rPr>
            <w:t>Diarienummer</w:t>
          </w:r>
        </w:p>
      </w:tc>
      <w:tc>
        <w:tcPr>
          <w:tcW w:w="1938" w:type="dxa"/>
          <w:tcBorders>
            <w:left w:val="single" w:sz="4" w:space="0" w:shadow="0" w:frame="0"/>
          </w:tcBorders>
        </w:tcPr>
        <w:p>
          <w:pPr>
            <w:pStyle w:val="P11"/>
            <w:rPr>
              <w:sz w:val="24"/>
            </w:rPr>
          </w:pPr>
        </w:p>
      </w:tc>
      <w:tc>
        <w:tcPr>
          <w:tcW w:w="1938" w:type="dxa"/>
        </w:tcPr>
        <w:p>
          <w:pPr>
            <w:pStyle w:val="P11"/>
            <w:rPr>
              <w:sz w:val="24"/>
            </w:rPr>
          </w:pPr>
        </w:p>
      </w:tc>
      <w:tc>
        <w:tcPr>
          <w:tcW w:w="1938" w:type="dxa"/>
          <w:tcMar>
            <w:left w:w="0" w:type="dxa"/>
          </w:tcMar>
        </w:tcPr>
        <w:p>
          <w:pPr>
            <w:pStyle w:val="P11"/>
            <w:rPr>
              <w:sz w:val="24"/>
            </w:rPr>
          </w:pPr>
        </w:p>
      </w:tc>
    </w:tr>
    <w:tr>
      <w:trPr>
        <w:cantSplit/>
        <w:trHeight w:hRule="exact" w:val="284"/>
      </w:trPr>
      <w:tc>
        <w:tcPr>
          <w:tcW w:w="5954" w:type="dxa"/>
          <w:vMerge w:val="continue"/>
          <w:shd w:val="clear" w:color="auto" w:fill="auto"/>
          <w:tcMar>
            <w:left w:w="0" w:type="dxa"/>
          </w:tcMar>
        </w:tcPr>
        <w:p>
          <w:pPr>
            <w:pStyle w:val="P11"/>
            <w:rPr>
              <w:sz w:val="24"/>
            </w:rPr>
          </w:pPr>
        </w:p>
      </w:tc>
      <w:tc>
        <w:tcPr>
          <w:tcW w:w="1606" w:type="dxa"/>
        </w:tcPr>
        <w:p>
          <w:pPr>
            <w:rPr>
              <w:rFonts w:asciiTheme="minorHAnsi" w:hAnsiTheme="minorHAnsi" w:cstheme="minorHAnsi"/>
              <w:sz w:val="16"/>
              <w:szCs w:val="16"/>
            </w:rPr>
          </w:pPr>
          <w:bookmarkStart w:id="1" w:name="be_ärendeinformation06" w:colFirst="1" w:colLast="2"/>
          <w:r>
            <w:rPr>
              <w:rFonts w:asciiTheme="minorHAnsi" w:hAnsiTheme="minorHAnsi" w:cstheme="minorHAnsi"/>
              <w:sz w:val="16"/>
              <w:szCs w:val="16"/>
            </w:rPr>
            <w:t xml:space="preserve">Planens beteckning  </w:t>
          </w:r>
        </w:p>
      </w:tc>
      <w:tc>
        <w:tcPr>
          <w:tcW w:w="2730" w:type="dxa"/>
        </w:tcPr>
        <w:p>
          <w:pPr>
            <w:rPr>
              <w:rFonts w:asciiTheme="minorHAnsi" w:hAnsiTheme="minorHAnsi" w:cstheme="minorHAnsi"/>
              <w:sz w:val="16"/>
              <w:szCs w:val="16"/>
            </w:rPr>
          </w:pPr>
          <w:r>
            <w:rPr>
              <w:rFonts w:asciiTheme="minorHAnsi" w:hAnsiTheme="minorHAnsi" w:cstheme="minorHAnsi"/>
              <w:sz w:val="16"/>
              <w:szCs w:val="16"/>
            </w:rPr>
            <w:t>V126</w:t>
          </w:r>
        </w:p>
      </w:tc>
      <w:tc>
        <w:tcPr>
          <w:tcW w:w="1938" w:type="dxa"/>
          <w:tcBorders>
            <w:top w:val="single" w:sz="4" w:space="0" w:shadow="0" w:frame="0"/>
            <w:left w:val="nil"/>
            <w:bottom w:val="single" w:sz="4" w:space="0" w:shadow="0" w:frame="0"/>
            <w:right w:val="single" w:sz="4" w:space="0" w:shadow="0" w:frame="0"/>
          </w:tcBorders>
        </w:tcPr>
        <w:p>
          <w:bookmarkEnd w:id="1"/>
          <w:r>
            <w:rPr>
              <w:sz w:val="16"/>
            </w:rPr>
            <w:t xml:space="preserve">Planens beteckning  </w:t>
          </w:r>
        </w:p>
      </w:tc>
      <w:tc>
        <w:tcPr>
          <w:tcW w:w="1938" w:type="dxa"/>
          <w:tcBorders>
            <w:left w:val="single" w:sz="4" w:space="0" w:shadow="0" w:frame="0"/>
          </w:tcBorders>
        </w:tcPr>
        <w:p>
          <w:pPr>
            <w:pStyle w:val="P11"/>
            <w:ind w:hanging="84" w:left="84"/>
            <w:rPr>
              <w:sz w:val="24"/>
            </w:rPr>
          </w:pPr>
        </w:p>
      </w:tc>
      <w:tc>
        <w:tcPr>
          <w:tcW w:w="1938" w:type="dxa"/>
        </w:tcPr>
        <w:p>
          <w:pPr>
            <w:pStyle w:val="P11"/>
            <w:ind w:hanging="84" w:left="84"/>
            <w:rPr>
              <w:sz w:val="24"/>
            </w:rPr>
          </w:pPr>
        </w:p>
      </w:tc>
      <w:tc>
        <w:tcPr>
          <w:tcW w:w="1938" w:type="dxa"/>
          <w:tcMar>
            <w:left w:w="0" w:type="dxa"/>
          </w:tcMar>
        </w:tcPr>
        <w:p>
          <w:pPr>
            <w:pStyle w:val="P11"/>
            <w:ind w:hanging="84" w:left="84"/>
            <w:rPr>
              <w:sz w:val="24"/>
            </w:rPr>
          </w:pPr>
        </w:p>
      </w:tc>
    </w:tr>
    <w:tr>
      <w:trPr>
        <w:cantSplit/>
        <w:trHeight w:hRule="exact" w:val="284"/>
      </w:trPr>
      <w:tc>
        <w:tcPr>
          <w:tcW w:w="5954" w:type="dxa"/>
          <w:vMerge w:val="continue"/>
          <w:shd w:val="clear" w:color="auto" w:fill="auto"/>
          <w:tcMar>
            <w:left w:w="0" w:type="dxa"/>
          </w:tcMar>
        </w:tcPr>
        <w:p>
          <w:pPr>
            <w:pStyle w:val="P11"/>
            <w:rPr>
              <w:sz w:val="24"/>
            </w:rPr>
          </w:pPr>
        </w:p>
      </w:tc>
      <w:tc>
        <w:tcPr>
          <w:tcW w:w="1606" w:type="dxa"/>
        </w:tcPr>
        <w:p>
          <w:pPr>
            <w:rPr>
              <w:rFonts w:asciiTheme="minorHAnsi" w:hAnsiTheme="minorHAnsi" w:cstheme="minorHAnsi"/>
              <w:sz w:val="16"/>
              <w:szCs w:val="16"/>
            </w:rPr>
          </w:pPr>
          <w:r>
            <w:rPr>
              <w:rFonts w:asciiTheme="minorHAnsi" w:hAnsiTheme="minorHAnsi" w:cstheme="minorHAnsi"/>
              <w:sz w:val="16"/>
              <w:szCs w:val="16"/>
            </w:rPr>
            <w:t>Påbörjad</w:t>
          </w:r>
        </w:p>
      </w:tc>
      <w:tc>
        <w:tcPr>
          <w:tcW w:w="2730" w:type="dxa"/>
        </w:tcPr>
        <w:p>
          <w:pPr>
            <w:rPr>
              <w:rFonts w:asciiTheme="minorHAnsi" w:hAnsiTheme="minorHAnsi" w:cstheme="minorHAnsi"/>
              <w:sz w:val="16"/>
              <w:szCs w:val="16"/>
            </w:rPr>
          </w:pPr>
          <w:r>
            <w:rPr>
              <w:rFonts w:asciiTheme="minorHAnsi" w:hAnsiTheme="minorHAnsi" w:cstheme="minorHAnsi"/>
              <w:sz w:val="16"/>
              <w:szCs w:val="16"/>
            </w:rPr>
            <w:t>2023-04-20</w:t>
          </w:r>
        </w:p>
      </w:tc>
      <w:tc>
        <w:tcPr>
          <w:tcW w:w="1938" w:type="dxa"/>
          <w:tcBorders>
            <w:top w:val="single" w:sz="4" w:space="0" w:shadow="0" w:frame="0"/>
            <w:left w:val="nil"/>
            <w:bottom w:val="single" w:sz="4" w:space="0" w:shadow="0" w:frame="0"/>
            <w:right w:val="single" w:sz="4" w:space="0" w:shadow="0" w:frame="0"/>
          </w:tcBorders>
        </w:tcPr>
        <w:p>
          <w:pPr>
            <w:rPr>
              <w:sz w:val="16"/>
            </w:rPr>
          </w:pPr>
          <w:r>
            <w:rPr>
              <w:sz w:val="16"/>
            </w:rPr>
            <w:t>Påbörjad</w:t>
          </w:r>
        </w:p>
      </w:tc>
      <w:tc>
        <w:tcPr>
          <w:tcW w:w="1938" w:type="dxa"/>
          <w:tcBorders>
            <w:left w:val="single" w:sz="4" w:space="0" w:shadow="0" w:frame="0"/>
          </w:tcBorders>
        </w:tcPr>
        <w:p>
          <w:pPr>
            <w:pStyle w:val="P11"/>
            <w:ind w:hanging="84" w:left="84"/>
            <w:rPr>
              <w:sz w:val="24"/>
            </w:rPr>
          </w:pPr>
        </w:p>
      </w:tc>
      <w:tc>
        <w:tcPr>
          <w:tcW w:w="1938" w:type="dxa"/>
        </w:tcPr>
        <w:p>
          <w:pPr>
            <w:pStyle w:val="P11"/>
            <w:ind w:hanging="84" w:left="84"/>
            <w:rPr>
              <w:sz w:val="24"/>
            </w:rPr>
          </w:pPr>
        </w:p>
      </w:tc>
      <w:tc>
        <w:tcPr>
          <w:tcW w:w="1938" w:type="dxa"/>
          <w:tcMar>
            <w:left w:w="0" w:type="dxa"/>
          </w:tcMar>
        </w:tcPr>
        <w:p>
          <w:pPr>
            <w:pStyle w:val="P11"/>
            <w:ind w:hanging="84" w:left="84"/>
            <w:rPr>
              <w:sz w:val="24"/>
            </w:rPr>
          </w:pPr>
        </w:p>
      </w:tc>
    </w:tr>
    <w:tr>
      <w:trPr>
        <w:cantSplit/>
        <w:trHeight w:hRule="atLeast" w:val="508"/>
      </w:trPr>
      <w:tc>
        <w:tcPr>
          <w:tcW w:w="5954" w:type="dxa"/>
          <w:vMerge w:val="continue"/>
          <w:shd w:val="clear" w:color="auto" w:fill="auto"/>
          <w:tcMar>
            <w:left w:w="0" w:type="dxa"/>
          </w:tcMar>
        </w:tcPr>
        <w:p>
          <w:pPr>
            <w:pStyle w:val="P11"/>
            <w:rPr>
              <w:sz w:val="24"/>
            </w:rPr>
          </w:pPr>
        </w:p>
      </w:tc>
      <w:tc>
        <w:tcPr>
          <w:tcW w:w="1606" w:type="dxa"/>
        </w:tcPr>
        <w:p>
          <w:pPr>
            <w:tabs>
              <w:tab w:val="center" w:pos="1440" w:leader="none"/>
            </w:tabs>
            <w:rPr>
              <w:rFonts w:asciiTheme="minorHAnsi" w:hAnsiTheme="minorHAnsi" w:cstheme="minorHAnsi"/>
              <w:sz w:val="16"/>
              <w:szCs w:val="16"/>
            </w:rPr>
          </w:pPr>
          <w:bookmarkStart w:id="2" w:name="be_ärendeinformation04" w:colFirst="1" w:colLast="2"/>
          <w:r>
            <w:rPr>
              <w:rFonts w:asciiTheme="minorHAnsi" w:hAnsiTheme="minorHAnsi" w:cstheme="minorHAnsi"/>
              <w:sz w:val="16"/>
              <w:szCs w:val="16"/>
            </w:rPr>
            <w:t xml:space="preserve">Antagen av </w:t>
          </w:r>
        </w:p>
      </w:tc>
      <w:tc>
        <w:tcPr>
          <w:tcW w:w="2730" w:type="dxa"/>
        </w:tcPr>
        <w:p>
          <w:pPr>
            <w:tabs>
              <w:tab w:val="center" w:pos="1440" w:leader="none"/>
            </w:tabs>
            <w:rPr>
              <w:rFonts w:asciiTheme="minorHAnsi" w:hAnsiTheme="minorHAnsi" w:cstheme="minorHAnsi"/>
              <w:sz w:val="16"/>
              <w:szCs w:val="16"/>
            </w:rPr>
          </w:pPr>
          <w:r>
            <w:rPr>
              <w:rFonts w:asciiTheme="minorHAnsi" w:hAnsiTheme="minorHAnsi" w:cstheme="minorHAnsi"/>
              <w:sz w:val="16"/>
              <w:szCs w:val="16"/>
            </w:rPr>
            <w:t>Miljö- och byggnadsnämnden</w:t>
          </w:r>
        </w:p>
        <w:p>
          <w:pPr>
            <w:tabs>
              <w:tab w:val="center" w:pos="1440" w:leader="none"/>
            </w:tabs>
            <w:rPr>
              <w:rFonts w:asciiTheme="minorHAnsi" w:hAnsiTheme="minorHAnsi" w:cstheme="minorHAnsi"/>
              <w:sz w:val="16"/>
              <w:szCs w:val="16"/>
            </w:rPr>
          </w:pPr>
          <w:r>
            <w:rPr>
              <w:rFonts w:asciiTheme="minorHAnsi" w:hAnsiTheme="minorHAnsi" w:cstheme="minorHAnsi"/>
              <w:sz w:val="16"/>
              <w:szCs w:val="16"/>
              <w:rtl w:val="0"/>
              <w:lang w:val="sv-SE" w:bidi="sv-SE" w:eastAsia="sv-SE"/>
            </w:rPr>
            <w:t>2024-01-30 § 4</w:t>
          </w:r>
          <w:r>
            <w:rPr>
              <w:rFonts w:asciiTheme="minorHAnsi" w:hAnsiTheme="minorHAnsi" w:cstheme="minorHAnsi"/>
              <w:sz w:val="16"/>
              <w:szCs w:val="16"/>
            </w:rPr>
            <w:tab/>
          </w:r>
        </w:p>
      </w:tc>
      <w:tc>
        <w:tcPr>
          <w:tcW w:w="1938" w:type="dxa"/>
          <w:tcBorders>
            <w:top w:val="single" w:sz="4" w:space="0" w:shadow="0" w:frame="0"/>
            <w:left w:val="nil"/>
            <w:bottom w:val="single" w:sz="4" w:space="0" w:shadow="0" w:frame="0"/>
            <w:right w:val="single" w:sz="4" w:space="0" w:shadow="0" w:frame="0"/>
          </w:tcBorders>
        </w:tcPr>
        <w:p>
          <w:pPr>
            <w:tabs>
              <w:tab w:val="center" w:pos="1440" w:leader="none"/>
            </w:tabs>
          </w:pPr>
          <w:bookmarkEnd w:id="2"/>
          <w:r>
            <w:rPr>
              <w:sz w:val="16"/>
            </w:rPr>
            <w:t xml:space="preserve">Antagen av </w:t>
          </w:r>
          <w:r>
            <w:rPr>
              <w:sz w:val="16"/>
              <w:highlight w:val="yellow"/>
            </w:rPr>
            <w:t>XX</w:t>
          </w:r>
          <w:r>
            <w:rPr>
              <w:sz w:val="16"/>
            </w:rPr>
            <w:t xml:space="preserve"> </w:t>
            <w:tab/>
            <w:t xml:space="preserve"> </w:t>
          </w:r>
        </w:p>
      </w:tc>
      <w:tc>
        <w:tcPr>
          <w:tcW w:w="1938" w:type="dxa"/>
          <w:tcBorders>
            <w:left w:val="single" w:sz="4" w:space="0" w:shadow="0" w:frame="0"/>
          </w:tcBorders>
        </w:tcPr>
        <w:p>
          <w:pPr>
            <w:pStyle w:val="P11"/>
            <w:ind w:hanging="84" w:left="84"/>
            <w:rPr>
              <w:sz w:val="24"/>
            </w:rPr>
          </w:pPr>
        </w:p>
      </w:tc>
      <w:tc>
        <w:tcPr>
          <w:tcW w:w="1938" w:type="dxa"/>
        </w:tcPr>
        <w:p>
          <w:pPr>
            <w:pStyle w:val="P11"/>
            <w:ind w:hanging="84" w:left="84"/>
            <w:rPr>
              <w:sz w:val="24"/>
            </w:rPr>
          </w:pPr>
        </w:p>
      </w:tc>
      <w:tc>
        <w:tcPr>
          <w:tcW w:w="1938" w:type="dxa"/>
          <w:tcMar>
            <w:left w:w="0" w:type="dxa"/>
          </w:tcMar>
        </w:tcPr>
        <w:p>
          <w:pPr>
            <w:pStyle w:val="P11"/>
            <w:ind w:hanging="84" w:left="84"/>
            <w:rPr>
              <w:sz w:val="24"/>
            </w:rPr>
          </w:pPr>
        </w:p>
      </w:tc>
    </w:tr>
    <w:tr>
      <w:trPr>
        <w:cantSplit/>
        <w:trHeight w:hRule="exact" w:val="284"/>
      </w:trPr>
      <w:tc>
        <w:tcPr>
          <w:tcW w:w="5954" w:type="dxa"/>
          <w:vMerge w:val="continue"/>
          <w:shd w:val="clear" w:color="auto" w:fill="auto"/>
          <w:tcMar>
            <w:left w:w="0" w:type="dxa"/>
          </w:tcMar>
        </w:tcPr>
        <w:p>
          <w:pPr>
            <w:pStyle w:val="P11"/>
            <w:rPr>
              <w:sz w:val="24"/>
            </w:rPr>
          </w:pPr>
        </w:p>
      </w:tc>
      <w:tc>
        <w:tcPr>
          <w:tcW w:w="1606" w:type="dxa"/>
        </w:tcPr>
        <w:p>
          <w:pPr>
            <w:tabs>
              <w:tab w:val="center" w:pos="1440" w:leader="none"/>
            </w:tabs>
            <w:rPr>
              <w:rFonts w:asciiTheme="minorHAnsi" w:hAnsiTheme="minorHAnsi" w:cstheme="minorHAnsi"/>
              <w:sz w:val="16"/>
              <w:szCs w:val="16"/>
            </w:rPr>
          </w:pPr>
          <w:bookmarkStart w:id="3" w:name="be_ärendeinformation05" w:colFirst="1" w:colLast="2"/>
          <w:r>
            <w:rPr>
              <w:rFonts w:asciiTheme="minorHAnsi" w:hAnsiTheme="minorHAnsi" w:cstheme="minorHAnsi"/>
              <w:sz w:val="16"/>
              <w:szCs w:val="16"/>
            </w:rPr>
            <w:t xml:space="preserve">Laga kraft </w:t>
            <w:tab/>
            <w:t xml:space="preserve"> </w:t>
          </w:r>
        </w:p>
      </w:tc>
      <w:tc>
        <w:tcPr>
          <w:tcW w:w="2730" w:type="dxa"/>
        </w:tcPr>
        <w:p>
          <w:pPr>
            <w:tabs>
              <w:tab w:val="center" w:pos="1440" w:leader="none"/>
            </w:tabs>
            <w:rPr>
              <w:rFonts w:asciiTheme="minorHAnsi" w:hAnsiTheme="minorHAnsi" w:cstheme="minorHAnsi"/>
              <w:sz w:val="16"/>
              <w:szCs w:val="16"/>
            </w:rPr>
          </w:pPr>
          <w:r>
            <w:rPr>
              <w:rFonts w:asciiTheme="minorHAnsi" w:hAnsiTheme="minorHAnsi" w:cstheme="minorHAnsi"/>
              <w:sz w:val="16"/>
              <w:szCs w:val="16"/>
            </w:rPr>
            <w:t>2024-02-24</w:t>
          </w:r>
        </w:p>
      </w:tc>
      <w:tc>
        <w:tcPr>
          <w:tcW w:w="1938" w:type="dxa"/>
          <w:tcBorders>
            <w:top w:val="single" w:sz="4" w:space="0" w:shadow="0" w:frame="0"/>
            <w:left w:val="nil"/>
            <w:bottom w:val="single" w:sz="4" w:space="0" w:shadow="0" w:frame="0"/>
            <w:right w:val="single" w:sz="4" w:space="0" w:shadow="0" w:frame="0"/>
          </w:tcBorders>
        </w:tcPr>
        <w:p>
          <w:pPr>
            <w:tabs>
              <w:tab w:val="center" w:pos="1440" w:leader="none"/>
            </w:tabs>
          </w:pPr>
          <w:bookmarkEnd w:id="3"/>
          <w:r>
            <w:rPr>
              <w:sz w:val="16"/>
            </w:rPr>
            <w:t xml:space="preserve">Laga kraft </w:t>
            <w:tab/>
            <w:t xml:space="preserve"> </w:t>
          </w:r>
        </w:p>
      </w:tc>
      <w:tc>
        <w:tcPr>
          <w:tcW w:w="1938" w:type="dxa"/>
          <w:tcBorders>
            <w:left w:val="single" w:sz="4" w:space="0" w:shadow="0" w:frame="0"/>
          </w:tcBorders>
        </w:tcPr>
        <w:p>
          <w:pPr>
            <w:pStyle w:val="P11"/>
            <w:ind w:hanging="84" w:left="84"/>
            <w:rPr>
              <w:sz w:val="24"/>
            </w:rPr>
          </w:pPr>
        </w:p>
      </w:tc>
      <w:tc>
        <w:tcPr>
          <w:tcW w:w="1938" w:type="dxa"/>
        </w:tcPr>
        <w:p>
          <w:pPr>
            <w:pStyle w:val="P11"/>
            <w:ind w:hanging="84" w:left="84"/>
            <w:rPr>
              <w:sz w:val="24"/>
            </w:rPr>
          </w:pPr>
        </w:p>
      </w:tc>
      <w:tc>
        <w:tcPr>
          <w:tcW w:w="1938" w:type="dxa"/>
          <w:tcMar>
            <w:left w:w="0" w:type="dxa"/>
          </w:tcMar>
        </w:tcPr>
        <w:p>
          <w:pPr>
            <w:pStyle w:val="P11"/>
            <w:ind w:hanging="84" w:left="84"/>
            <w:rPr>
              <w:sz w:val="24"/>
            </w:rPr>
          </w:pPr>
        </w:p>
      </w:tc>
    </w:tr>
    <w:tr>
      <w:trPr>
        <w:cantSplit/>
        <w:trHeight w:hRule="exact" w:val="284"/>
      </w:trPr>
      <w:tc>
        <w:tcPr>
          <w:tcW w:w="5954" w:type="dxa"/>
          <w:vMerge w:val="continue"/>
          <w:shd w:val="clear" w:color="auto" w:fill="auto"/>
          <w:tcMar>
            <w:left w:w="0" w:type="dxa"/>
          </w:tcMar>
        </w:tcPr>
        <w:p>
          <w:pPr>
            <w:pStyle w:val="P11"/>
            <w:rPr>
              <w:sz w:val="24"/>
            </w:rPr>
          </w:pPr>
        </w:p>
      </w:tc>
      <w:tc>
        <w:tcPr>
          <w:tcW w:w="1606" w:type="dxa"/>
        </w:tcPr>
        <w:p>
          <w:pPr>
            <w:rPr>
              <w:rFonts w:asciiTheme="minorHAnsi" w:hAnsiTheme="minorHAnsi" w:cstheme="minorHAnsi"/>
              <w:sz w:val="16"/>
              <w:szCs w:val="16"/>
            </w:rPr>
          </w:pPr>
          <w:r>
            <w:rPr>
              <w:rFonts w:asciiTheme="minorHAnsi" w:hAnsiTheme="minorHAnsi" w:cstheme="minorHAnsi"/>
              <w:sz w:val="16"/>
              <w:szCs w:val="16"/>
            </w:rPr>
            <w:t>Genomförandetid</w:t>
          </w:r>
        </w:p>
      </w:tc>
      <w:tc>
        <w:tcPr>
          <w:tcW w:w="2730" w:type="dxa"/>
        </w:tcPr>
        <w:p>
          <w:pPr>
            <w:rPr>
              <w:rFonts w:asciiTheme="minorHAnsi" w:hAnsiTheme="minorHAnsi" w:cstheme="minorHAnsi"/>
              <w:sz w:val="16"/>
              <w:szCs w:val="16"/>
            </w:rPr>
          </w:pPr>
          <w:r>
            <w:rPr>
              <w:rFonts w:asciiTheme="minorHAnsi" w:hAnsiTheme="minorHAnsi" w:cstheme="minorHAnsi"/>
              <w:noProof w:val="1"/>
              <w:sz w:val="16"/>
              <w:szCs w:val="16"/>
            </w:rPr>
            <w:t>5 år</w:t>
          </w:r>
        </w:p>
      </w:tc>
      <w:tc>
        <w:tcPr>
          <w:tcW w:w="1938" w:type="dxa"/>
          <w:tcBorders>
            <w:top w:val="single" w:sz="4" w:space="0" w:shadow="0" w:frame="0"/>
            <w:left w:val="nil"/>
            <w:bottom w:val="single" w:sz="4" w:space="0" w:shadow="0" w:frame="0"/>
            <w:right w:val="single" w:sz="4" w:space="0" w:shadow="0" w:frame="0"/>
          </w:tcBorders>
        </w:tcPr>
        <w:p>
          <w:r>
            <w:rPr>
              <w:sz w:val="16"/>
            </w:rPr>
            <w:t>Genomförandetid</w:t>
          </w:r>
        </w:p>
      </w:tc>
      <w:tc>
        <w:tcPr>
          <w:tcW w:w="1938" w:type="dxa"/>
          <w:tcBorders>
            <w:left w:val="single" w:sz="4" w:space="0" w:shadow="0" w:frame="0"/>
          </w:tcBorders>
        </w:tcPr>
        <w:p>
          <w:pPr>
            <w:pStyle w:val="P11"/>
            <w:ind w:hanging="84" w:left="84"/>
            <w:rPr>
              <w:sz w:val="24"/>
            </w:rPr>
          </w:pPr>
        </w:p>
      </w:tc>
      <w:tc>
        <w:tcPr>
          <w:tcW w:w="1938" w:type="dxa"/>
        </w:tcPr>
        <w:p>
          <w:pPr>
            <w:pStyle w:val="P11"/>
            <w:ind w:hanging="84" w:left="84"/>
            <w:rPr>
              <w:sz w:val="24"/>
            </w:rPr>
          </w:pPr>
        </w:p>
      </w:tc>
      <w:tc>
        <w:tcPr>
          <w:tcW w:w="1938" w:type="dxa"/>
          <w:tcMar>
            <w:left w:w="0" w:type="dxa"/>
          </w:tcMar>
        </w:tcPr>
        <w:p>
          <w:pPr>
            <w:pStyle w:val="P11"/>
            <w:ind w:hanging="84" w:left="84"/>
            <w:rPr>
              <w:sz w:val="24"/>
            </w:rPr>
          </w:pPr>
        </w:p>
      </w:tc>
    </w:tr>
  </w:tbl>
  <w:p>
    <w:pPr>
      <w:pStyle w:val="P11"/>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0" w:type="auto"/>
      <w:tblLayout w:type="fixed"/>
      <w:tblLook w:val="00A0"/>
    </w:tblPr>
    <w:tblGrid/>
    <w:tr>
      <w:trPr>
        <w:cantSplit/>
        <w:trHeight w:hRule="exact" w:val="227"/>
      </w:trPr>
      <w:tc>
        <w:tcPr>
          <w:tcW w:w="4678" w:type="dxa"/>
          <w:vMerge w:val="restart"/>
          <w:shd w:val="clear" w:color="auto" w:fill="auto"/>
          <w:tcMar>
            <w:left w:w="0" w:type="dxa"/>
          </w:tcMar>
        </w:tcPr>
        <w:p>
          <w:pPr>
            <w:pStyle w:val="P11"/>
          </w:pPr>
          <w:r>
            <w:rPr>
              <w:lang w:val="sv-SE" w:eastAsia="sv-SE"/>
            </w:rPr>
            <w:drawing>
              <wp:inline xmlns:wp="http://schemas.openxmlformats.org/drawingml/2006/wordprocessingDrawing" distT="0" distB="0" distL="0" distR="0">
                <wp:extent cx="1504950" cy="733425"/>
                <wp:effectExtent l="0" t="0" r="0" b="0"/>
                <wp:docPr id="3" name="Bildobjekt 13" descr="Vindeln_logo_fär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3" descr="Vindeln_logo_färg.bmp"/>
                        <pic:cNvPicPr>
                          <a:picLocks noChangeAspect="1" noChangeArrowheads="1"/>
                        </pic:cNvPicPr>
                      </pic:nvPicPr>
                      <pic:blipFill dpi="0">
                        <a:blip xmlns:r="http://schemas.openxmlformats.org/officeDocument/2006/relationships" r:embed="Relimage13"/>
                        <a:srcRect/>
                        <a:stretch>
                          <a:fillRect/>
                        </a:stretch>
                      </pic:blipFill>
                      <pic:spPr bwMode="auto">
                        <a:xfrm>
                          <a:off x="0" y="0"/>
                          <a:ext cx="1504950" cy="733425"/>
                        </a:xfrm>
                        <a:prstGeom prst="rect"/>
                        <a:noFill/>
                        <a:ln>
                          <a:noFill/>
                        </a:ln>
                      </pic:spPr>
                    </pic:pic>
                  </a:graphicData>
                </a:graphic>
              </wp:inline>
            </w:drawing>
          </w:r>
        </w:p>
        <w:p>
          <w:pPr>
            <w:pStyle w:val="P11"/>
          </w:pPr>
        </w:p>
      </w:tc>
      <w:tc>
        <w:tcPr>
          <w:tcW w:w="2814" w:type="dxa"/>
        </w:tcPr>
        <w:p>
          <w:pPr>
            <w:pStyle w:val="P11"/>
            <w:ind w:left="-108"/>
          </w:pPr>
          <w:r>
            <w:t>Detaljplan för Holms gård</w:t>
          </w:r>
        </w:p>
      </w:tc>
      <w:tc>
        <w:tcPr>
          <w:tcW w:w="2006" w:type="dxa"/>
          <w:tcMar>
            <w:left w:w="0" w:type="dxa"/>
          </w:tcMar>
        </w:tcPr>
        <w:p>
          <w:pPr>
            <w:pStyle w:val="P11"/>
            <w:tabs>
              <w:tab w:val="right" w:pos="2006" w:leader="none"/>
            </w:tabs>
          </w:pPr>
          <w:r>
            <w:rPr>
              <w:lang w:val="sv-SE"/>
            </w:rPr>
            <w:tab/>
          </w:r>
          <w:r>
            <w:t xml:space="preserve">Sida </w:t>
          </w:r>
          <w:r>
            <w:fldChar w:fldCharType="begin"/>
          </w:r>
          <w:r>
            <w:instrText xml:space="preserve"> PAGE </w:instrText>
          </w:r>
          <w:r>
            <w:fldChar w:fldCharType="separate"/>
          </w:r>
          <w:r>
            <w:t>#</w:t>
          </w:r>
          <w:r>
            <w:fldChar w:fldCharType="end"/>
          </w:r>
          <w:r>
            <w:t>(</w:t>
          </w:r>
          <w:r>
            <w:fldChar w:fldCharType="begin"/>
          </w:r>
          <w:r>
            <w:instrText xml:space="preserve"> NUMPAGES </w:instrText>
          </w:r>
          <w:r>
            <w:fldChar w:fldCharType="separate"/>
          </w:r>
          <w:r>
            <w:t>#</w:t>
          </w:r>
          <w:r>
            <w:fldChar w:fldCharType="end"/>
          </w:r>
          <w:r>
            <w:t>)</w:t>
          </w:r>
        </w:p>
      </w:tc>
    </w:tr>
    <w:tr>
      <w:trPr>
        <w:cantSplit/>
        <w:trHeight w:hRule="exact" w:val="227"/>
      </w:trPr>
      <w:tc>
        <w:tcPr>
          <w:tcW w:w="4678" w:type="dxa"/>
          <w:vMerge w:val="continue"/>
          <w:shd w:val="clear" w:color="auto" w:fill="auto"/>
          <w:tcMar>
            <w:left w:w="0" w:type="dxa"/>
          </w:tcMar>
        </w:tcPr>
        <w:p>
          <w:pPr>
            <w:pStyle w:val="P11"/>
            <w:rPr>
              <w:lang w:val="sv-SE" w:eastAsia="sv-SE"/>
            </w:rPr>
          </w:pPr>
        </w:p>
      </w:tc>
      <w:tc>
        <w:tcPr>
          <w:tcW w:w="2814" w:type="dxa"/>
        </w:tcPr>
        <w:p>
          <w:pPr>
            <w:pStyle w:val="P11"/>
            <w:ind w:left="-108"/>
          </w:pPr>
        </w:p>
      </w:tc>
      <w:tc>
        <w:tcPr>
          <w:tcW w:w="2006" w:type="dxa"/>
          <w:tcMar>
            <w:left w:w="0" w:type="dxa"/>
          </w:tcMar>
        </w:tcPr>
        <w:p>
          <w:pPr>
            <w:pStyle w:val="P11"/>
            <w:tabs>
              <w:tab w:val="center" w:pos="949" w:leader="none"/>
              <w:tab w:val="right" w:pos="2006" w:leader="none"/>
            </w:tabs>
          </w:pPr>
        </w:p>
      </w:tc>
    </w:tr>
    <w:tr>
      <w:trPr>
        <w:cantSplit/>
        <w:trHeight w:hRule="exact" w:val="227"/>
      </w:trPr>
      <w:tc>
        <w:tcPr>
          <w:tcW w:w="4678" w:type="dxa"/>
          <w:vMerge w:val="continue"/>
          <w:shd w:val="clear" w:color="auto" w:fill="auto"/>
          <w:tcMar>
            <w:left w:w="0" w:type="dxa"/>
          </w:tcMar>
        </w:tcPr>
        <w:p>
          <w:pPr>
            <w:pStyle w:val="P11"/>
            <w:rPr>
              <w:lang w:val="sv-SE" w:eastAsia="sv-SE"/>
            </w:rPr>
          </w:pPr>
        </w:p>
      </w:tc>
      <w:tc>
        <w:tcPr>
          <w:tcW w:w="2814" w:type="dxa"/>
        </w:tcPr>
        <w:p>
          <w:pPr>
            <w:pStyle w:val="P11"/>
            <w:ind w:left="-108"/>
          </w:pPr>
        </w:p>
      </w:tc>
      <w:tc>
        <w:tcPr>
          <w:tcW w:w="2006" w:type="dxa"/>
          <w:tcMar>
            <w:left w:w="0" w:type="dxa"/>
          </w:tcMar>
        </w:tcPr>
        <w:p>
          <w:pPr>
            <w:pStyle w:val="P11"/>
            <w:tabs>
              <w:tab w:val="right" w:pos="2006" w:leader="none"/>
            </w:tabs>
            <w:rPr>
              <w:lang w:val="sv-SE"/>
            </w:rPr>
          </w:pPr>
        </w:p>
      </w:tc>
    </w:tr>
    <w:tr>
      <w:trPr>
        <w:cantSplit/>
        <w:trHeight w:hRule="exact" w:val="227"/>
      </w:trPr>
      <w:tc>
        <w:tcPr>
          <w:tcW w:w="4678" w:type="dxa"/>
          <w:vMerge w:val="continue"/>
          <w:shd w:val="clear" w:color="auto" w:fill="auto"/>
          <w:tcMar>
            <w:left w:w="0" w:type="dxa"/>
          </w:tcMar>
        </w:tcPr>
        <w:p>
          <w:pPr>
            <w:pStyle w:val="P11"/>
            <w:rPr>
              <w:lang w:val="sv-SE" w:eastAsia="sv-SE"/>
            </w:rPr>
          </w:pPr>
        </w:p>
      </w:tc>
      <w:tc>
        <w:tcPr>
          <w:tcW w:w="2814" w:type="dxa"/>
        </w:tcPr>
        <w:p>
          <w:pPr>
            <w:pStyle w:val="P11"/>
            <w:ind w:left="-108"/>
          </w:pPr>
        </w:p>
      </w:tc>
      <w:tc>
        <w:tcPr>
          <w:tcW w:w="2006" w:type="dxa"/>
          <w:tcMar>
            <w:left w:w="0" w:type="dxa"/>
          </w:tcMar>
        </w:tcPr>
        <w:p>
          <w:pPr>
            <w:pStyle w:val="P11"/>
            <w:tabs>
              <w:tab w:val="center" w:pos="949" w:leader="none"/>
              <w:tab w:val="right" w:pos="2006" w:leader="none"/>
            </w:tabs>
          </w:pPr>
        </w:p>
      </w:tc>
    </w:tr>
    <w:tr>
      <w:trPr>
        <w:cantSplit/>
        <w:trHeight w:hRule="exact" w:val="227"/>
      </w:trPr>
      <w:tc>
        <w:tcPr>
          <w:tcW w:w="4678" w:type="dxa"/>
          <w:vMerge w:val="continue"/>
          <w:shd w:val="clear" w:color="auto" w:fill="auto"/>
          <w:tcMar>
            <w:left w:w="0" w:type="dxa"/>
          </w:tcMar>
        </w:tcPr>
        <w:p>
          <w:pPr>
            <w:pStyle w:val="P11"/>
            <w:rPr>
              <w:lang w:val="sv-SE" w:eastAsia="sv-SE"/>
            </w:rPr>
          </w:pPr>
        </w:p>
      </w:tc>
      <w:tc>
        <w:tcPr>
          <w:tcW w:w="2814" w:type="dxa"/>
        </w:tcPr>
        <w:p>
          <w:pPr>
            <w:pStyle w:val="P11"/>
            <w:ind w:left="-108"/>
          </w:pPr>
        </w:p>
      </w:tc>
      <w:tc>
        <w:tcPr>
          <w:tcW w:w="2006" w:type="dxa"/>
          <w:tcMar>
            <w:left w:w="0" w:type="dxa"/>
          </w:tcMar>
        </w:tcPr>
        <w:p>
          <w:pPr>
            <w:pStyle w:val="P11"/>
            <w:tabs>
              <w:tab w:val="center" w:pos="949" w:leader="none"/>
              <w:tab w:val="right" w:pos="2006" w:leader="none"/>
            </w:tabs>
            <w:rPr>
              <w:lang w:val="sv-SE"/>
            </w:rPr>
          </w:pPr>
        </w:p>
      </w:tc>
    </w:tr>
    <w:tr>
      <w:trPr>
        <w:cantSplit/>
        <w:trHeight w:hRule="exact" w:val="227"/>
      </w:trPr>
      <w:tc>
        <w:tcPr>
          <w:tcW w:w="4678" w:type="dxa"/>
          <w:vMerge w:val="continue"/>
          <w:shd w:val="clear" w:color="auto" w:fill="auto"/>
          <w:tcMar>
            <w:left w:w="0" w:type="dxa"/>
          </w:tcMar>
        </w:tcPr>
        <w:p>
          <w:pPr>
            <w:pStyle w:val="P11"/>
            <w:rPr>
              <w:lang w:val="sv-SE" w:eastAsia="sv-SE"/>
            </w:rPr>
          </w:pPr>
        </w:p>
      </w:tc>
      <w:tc>
        <w:tcPr>
          <w:tcW w:w="2814" w:type="dxa"/>
        </w:tcPr>
        <w:p>
          <w:pPr>
            <w:pStyle w:val="P11"/>
            <w:ind w:left="-108"/>
          </w:pPr>
        </w:p>
      </w:tc>
      <w:tc>
        <w:tcPr>
          <w:tcW w:w="2006" w:type="dxa"/>
          <w:tcMar>
            <w:left w:w="0" w:type="dxa"/>
          </w:tcMar>
        </w:tcPr>
        <w:p>
          <w:pPr>
            <w:pStyle w:val="P11"/>
            <w:tabs>
              <w:tab w:val="center" w:pos="949" w:leader="none"/>
              <w:tab w:val="right" w:pos="2006" w:leader="none"/>
            </w:tabs>
            <w:rPr>
              <w:lang w:val="sv-SE"/>
            </w:rPr>
          </w:pPr>
        </w:p>
      </w:tc>
    </w:tr>
  </w:tbl>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
  <w:p/>
  <w:p/>
</w:hdr>
</file>

<file path=word/numbering.xml><?xml version="1.0" encoding="utf-8"?>
<w:numbering xmlns:w="http://schemas.openxmlformats.org/wordprocessingml/2006/main">
  <w:abstractNum w:abstractNumId="0">
    <w:nsid w:val="0324287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
    <w:nsid w:val="06615F1F"/>
    <w:multiLevelType w:val="multilevel"/>
    <w:lvl w:ilvl="0">
      <w:start w:val="1"/>
      <w:numFmt w:val="decimal"/>
      <w:pStyle w:val="P18"/>
      <w:suff w:val="tab"/>
      <w:lvlText w:val="%1"/>
      <w:lvlJc w:val="left"/>
      <w:pPr>
        <w:ind w:hanging="432" w:left="432"/>
      </w:pPr>
      <w:rPr/>
    </w:lvl>
    <w:lvl w:ilvl="1">
      <w:start w:val="1"/>
      <w:numFmt w:val="decimal"/>
      <w:pStyle w:val="P19"/>
      <w:suff w:val="space"/>
      <w:lvlText w:val="%1.%2"/>
      <w:lvlJc w:val="left"/>
      <w:pPr>
        <w:ind w:hanging="463" w:left="1880"/>
      </w:pPr>
      <w:rPr/>
    </w:lvl>
    <w:lvl w:ilvl="2">
      <w:start w:val="1"/>
      <w:numFmt w:val="decimal"/>
      <w:pStyle w:val="P20"/>
      <w:suff w:val="space"/>
      <w:lvlText w:val="%1.%2.%3"/>
      <w:lvlJc w:val="left"/>
      <w:pPr>
        <w:ind w:hanging="380" w:left="664"/>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2">
    <w:nsid w:val="0BA161B1"/>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3">
    <w:nsid w:val="2B81334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
    <w:nsid w:val="34B9644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52472AF6"/>
    <w:multiLevelType w:val="multilevel"/>
    <w:tmpl w:val="0409001D"/>
    <w:styleLink w:val="N1"/>
    <w:lvl w:ilvl="0">
      <w:start w:val="1"/>
      <w:numFmt w:val="decimal"/>
      <w:suff w:val="tab"/>
      <w:lvlText w:val="%1."/>
      <w:lvlJc w:val="left"/>
      <w:pPr>
        <w:ind w:hanging="360" w:left="360"/>
        <w:tabs>
          <w:tab w:val="num" w:pos="360" w:leader="none"/>
        </w:tabs>
      </w:pPr>
      <w:rPr/>
    </w:lvl>
    <w:lvl w:ilvl="1">
      <w:start w:val="1"/>
      <w:numFmt w:val="decimal"/>
      <w:suff w:val="tab"/>
      <w:lvlText w:val="%1.%2."/>
      <w:lvlJc w:val="left"/>
      <w:pPr>
        <w:ind w:hanging="432" w:left="792"/>
        <w:tabs>
          <w:tab w:val="num" w:pos="1080" w:leader="none"/>
        </w:tabs>
      </w:pPr>
      <w:rPr/>
    </w:lvl>
    <w:lvl w:ilvl="2">
      <w:start w:val="1"/>
      <w:numFmt w:val="decimal"/>
      <w:suff w:val="tab"/>
      <w:lvlText w:val="%1.%2.%3."/>
      <w:lvlJc w:val="left"/>
      <w:pPr>
        <w:ind w:hanging="504" w:left="1224"/>
        <w:tabs>
          <w:tab w:val="num" w:pos="1440" w:leader="none"/>
        </w:tabs>
      </w:pPr>
      <w:rPr/>
    </w:lvl>
    <w:lvl w:ilvl="3">
      <w:start w:val="1"/>
      <w:numFmt w:val="decimal"/>
      <w:suff w:val="tab"/>
      <w:lvlText w:val="%1.%2.%3.%4."/>
      <w:lvlJc w:val="left"/>
      <w:pPr>
        <w:ind w:hanging="648" w:left="1728"/>
        <w:tabs>
          <w:tab w:val="num" w:pos="2160" w:leader="none"/>
        </w:tabs>
      </w:pPr>
      <w:rPr/>
    </w:lvl>
    <w:lvl w:ilvl="4">
      <w:start w:val="1"/>
      <w:numFmt w:val="decimal"/>
      <w:suff w:val="tab"/>
      <w:lvlText w:val="%1.%2.%3.%4.%5."/>
      <w:lvlJc w:val="left"/>
      <w:pPr>
        <w:ind w:hanging="792" w:left="2232"/>
        <w:tabs>
          <w:tab w:val="num" w:pos="2880" w:leader="none"/>
        </w:tabs>
      </w:pPr>
      <w:rPr/>
    </w:lvl>
    <w:lvl w:ilvl="5">
      <w:start w:val="1"/>
      <w:numFmt w:val="decimal"/>
      <w:suff w:val="tab"/>
      <w:lvlText w:val="%1.%2.%3.%4.%5.%6."/>
      <w:lvlJc w:val="left"/>
      <w:pPr>
        <w:ind w:hanging="936" w:left="2736"/>
        <w:tabs>
          <w:tab w:val="num" w:pos="3240" w:leader="none"/>
        </w:tabs>
      </w:pPr>
      <w:rPr/>
    </w:lvl>
    <w:lvl w:ilvl="6">
      <w:start w:val="1"/>
      <w:numFmt w:val="decimal"/>
      <w:suff w:val="tab"/>
      <w:lvlText w:val="%1.%2.%3.%4.%5.%6.%7."/>
      <w:lvlJc w:val="left"/>
      <w:pPr>
        <w:ind w:hanging="1080" w:left="3240"/>
        <w:tabs>
          <w:tab w:val="num" w:pos="3960" w:leader="none"/>
        </w:tabs>
      </w:pPr>
      <w:rPr/>
    </w:lvl>
    <w:lvl w:ilvl="7">
      <w:start w:val="1"/>
      <w:numFmt w:val="decimal"/>
      <w:suff w:val="tab"/>
      <w:lvlText w:val="%1.%2.%3.%4.%5.%6.%7.%8."/>
      <w:lvlJc w:val="left"/>
      <w:pPr>
        <w:ind w:hanging="1224" w:left="3744"/>
        <w:tabs>
          <w:tab w:val="num" w:pos="4320" w:leader="none"/>
        </w:tabs>
      </w:pPr>
      <w:rPr/>
    </w:lvl>
    <w:lvl w:ilvl="8">
      <w:start w:val="1"/>
      <w:numFmt w:val="decimal"/>
      <w:suff w:val="tab"/>
      <w:lvlText w:val="%1.%2.%3.%4.%5.%6.%7.%8.%9."/>
      <w:lvlJc w:val="left"/>
      <w:pPr>
        <w:ind w:hanging="1440" w:left="4320"/>
        <w:tabs>
          <w:tab w:val="num" w:pos="5040" w:leader="none"/>
        </w:tabs>
      </w:pPr>
      <w:rPr/>
    </w:lvl>
  </w:abstractNum>
  <w:abstractNum w:abstractNumId="6">
    <w:nsid w:val="5E8A20FE"/>
    <w:multiLevelType w:val="hybridMultilevel"/>
    <w:lvl w:ilvl="0" w:tplc="95DC999A">
      <w:start w:val="0"/>
      <w:numFmt w:val="bullet"/>
      <w:suff w:val="tab"/>
      <w:lvlText w:val="•"/>
      <w:lvlJc w:val="left"/>
      <w:pPr>
        <w:ind w:hanging="360" w:left="720"/>
      </w:pPr>
      <w:rPr>
        <w:rFonts w:ascii="Georgia" w:hAnsi="Georgia" w:cs="Georgia" w:eastAsia="Cambria"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5756DEE1"/>
    <w:multiLevelType w:val="multilevel"/>
    <w:lvl w:ilvl="0">
      <w:start w:val="1"/>
      <w:numFmt w:val="decimal"/>
      <w:suff w:val="tab"/>
      <w:lvlText w:val="%1."/>
      <w:lvlJc w:val="left"/>
      <w:pPr>
        <w:ind w:hanging="360" w:left="360"/>
      </w:pPr>
      <w:rPr/>
    </w:lvl>
    <w:lvl w:ilvl="1">
      <w:start w:val="1"/>
      <w:numFmt w:val="decimal"/>
      <w:suff w:val="tab"/>
      <w:lvlText w:val="%1.%2."/>
      <w:lvlJc w:val="left"/>
      <w:pPr>
        <w:ind w:hanging="432" w:left="792"/>
      </w:pPr>
      <w:rPr/>
    </w:lvl>
    <w:lvl w:ilvl="2">
      <w:start w:val="1"/>
      <w:numFmt w:val="decimal"/>
      <w:suff w:val="tab"/>
      <w:lvlText w:val="%1.%2.%3."/>
      <w:lvlJc w:val="left"/>
      <w:pPr>
        <w:ind w:hanging="504" w:left="1224"/>
      </w:pPr>
      <w:rPr/>
    </w:lvl>
    <w:lvl w:ilvl="3">
      <w:start w:val="1"/>
      <w:numFmt w:val="decimal"/>
      <w:suff w:val="tab"/>
      <w:lvlText w:val="%1.%2.%3.%4."/>
      <w:lvlJc w:val="left"/>
      <w:pPr>
        <w:ind w:hanging="648" w:left="1728"/>
      </w:pPr>
      <w:rPr/>
    </w:lvl>
    <w:lvl w:ilvl="4">
      <w:start w:val="1"/>
      <w:numFmt w:val="decimal"/>
      <w:suff w:val="tab"/>
      <w:lvlText w:val="%1.%2.%3.%4.%5."/>
      <w:lvlJc w:val="left"/>
      <w:pPr>
        <w:ind w:hanging="792" w:left="2232"/>
      </w:pPr>
      <w:rPr/>
    </w:lvl>
    <w:lvl w:ilvl="5">
      <w:start w:val="1"/>
      <w:numFmt w:val="decimal"/>
      <w:suff w:val="tab"/>
      <w:lvlText w:val="%1.%2.%3.%4.%5.%6."/>
      <w:lvlJc w:val="left"/>
      <w:pPr>
        <w:ind w:hanging="936" w:left="2736"/>
      </w:pPr>
      <w:rPr/>
    </w:lvl>
    <w:lvl w:ilvl="6">
      <w:start w:val="1"/>
      <w:numFmt w:val="decimal"/>
      <w:suff w:val="tab"/>
      <w:lvlText w:val="%1.%2.%3.%4.%5.%6.%7."/>
      <w:lvlJc w:val="left"/>
      <w:pPr>
        <w:ind w:hanging="1080" w:left="3240"/>
      </w:pPr>
      <w:rPr/>
    </w:lvl>
    <w:lvl w:ilvl="7">
      <w:start w:val="1"/>
      <w:numFmt w:val="decimal"/>
      <w:suff w:val="tab"/>
      <w:lvlText w:val="%1.%2.%3.%4.%5.%6.%7.%8."/>
      <w:lvlJc w:val="left"/>
      <w:pPr>
        <w:ind w:hanging="1224" w:left="3744"/>
      </w:pPr>
      <w:rPr/>
    </w:lvl>
    <w:lvl w:ilvl="8">
      <w:start w:val="1"/>
      <w:numFmt w:val="decimal"/>
      <w:suff w:val="tab"/>
      <w:lvlText w:val="%1.%2.%3.%4.%5.%6.%7.%8.%9."/>
      <w:lvlJc w:val="left"/>
      <w:pPr>
        <w:ind w:hanging="1440" w:left="4320"/>
      </w:pPr>
      <w:rPr/>
    </w:lvl>
  </w:abstractNum>
  <w:abstractNum w:abstractNumId="8">
    <w:nsid w:val="381C4865"/>
    <w:multiLevelType w:val="multilevel"/>
    <w:lvl w:ilvl="0">
      <w:start w:val="1"/>
      <w:numFmt w:val="decimal"/>
      <w:suff w:val="tab"/>
      <w:lvlText w:val="%1."/>
      <w:lvlJc w:val="left"/>
      <w:pPr>
        <w:ind w:hanging="360" w:left="360"/>
      </w:pPr>
      <w:rPr/>
    </w:lvl>
    <w:lvl w:ilvl="1">
      <w:start w:val="1"/>
      <w:numFmt w:val="decimal"/>
      <w:suff w:val="tab"/>
      <w:lvlText w:val="%1.%2."/>
      <w:lvlJc w:val="left"/>
      <w:pPr>
        <w:ind w:hanging="432" w:left="792"/>
      </w:pPr>
      <w:rPr/>
    </w:lvl>
    <w:lvl w:ilvl="2">
      <w:start w:val="1"/>
      <w:numFmt w:val="decimal"/>
      <w:suff w:val="tab"/>
      <w:lvlText w:val="%1.%2.%3."/>
      <w:lvlJc w:val="left"/>
      <w:pPr>
        <w:ind w:hanging="504" w:left="1224"/>
      </w:pPr>
      <w:rPr/>
    </w:lvl>
    <w:lvl w:ilvl="3">
      <w:start w:val="1"/>
      <w:numFmt w:val="decimal"/>
      <w:suff w:val="tab"/>
      <w:lvlText w:val="%1.%2.%3.%4."/>
      <w:lvlJc w:val="left"/>
      <w:pPr>
        <w:ind w:hanging="648" w:left="1728"/>
      </w:pPr>
      <w:rPr/>
    </w:lvl>
    <w:lvl w:ilvl="4">
      <w:start w:val="1"/>
      <w:numFmt w:val="decimal"/>
      <w:suff w:val="tab"/>
      <w:lvlText w:val="%1.%2.%3.%4.%5."/>
      <w:lvlJc w:val="left"/>
      <w:pPr>
        <w:ind w:hanging="792" w:left="2232"/>
      </w:pPr>
      <w:rPr/>
    </w:lvl>
    <w:lvl w:ilvl="5">
      <w:start w:val="1"/>
      <w:numFmt w:val="decimal"/>
      <w:suff w:val="tab"/>
      <w:lvlText w:val="%1.%2.%3.%4.%5.%6."/>
      <w:lvlJc w:val="left"/>
      <w:pPr>
        <w:ind w:hanging="936" w:left="2736"/>
      </w:pPr>
      <w:rPr/>
    </w:lvl>
    <w:lvl w:ilvl="6">
      <w:start w:val="1"/>
      <w:numFmt w:val="decimal"/>
      <w:suff w:val="tab"/>
      <w:lvlText w:val="%1.%2.%3.%4.%5.%6.%7."/>
      <w:lvlJc w:val="left"/>
      <w:pPr>
        <w:ind w:hanging="1080" w:left="3240"/>
      </w:pPr>
      <w:rPr/>
    </w:lvl>
    <w:lvl w:ilvl="7">
      <w:start w:val="1"/>
      <w:numFmt w:val="decimal"/>
      <w:suff w:val="tab"/>
      <w:lvlText w:val="%1.%2.%3.%4.%5.%6.%7.%8."/>
      <w:lvlJc w:val="left"/>
      <w:pPr>
        <w:ind w:hanging="1224" w:left="3744"/>
      </w:pPr>
      <w:rPr/>
    </w:lvl>
    <w:lvl w:ilvl="8">
      <w:start w:val="1"/>
      <w:numFmt w:val="decimal"/>
      <w:suff w:val="tab"/>
      <w:lvlText w:val="%1.%2.%3.%4.%5.%6.%7.%8.%9."/>
      <w:lvlJc w:val="left"/>
      <w:pPr>
        <w:ind w:hanging="1440" w:left="4320"/>
      </w:pPr>
      <w:rPr/>
    </w:lvl>
  </w:abstractNum>
  <w:abstractNum w:abstractNumId="9">
    <w:nsid w:val="48F8BF19"/>
    <w:multiLevelType w:val="multilevel"/>
    <w:lvl w:ilvl="0">
      <w:start w:val="1"/>
      <w:numFmt w:val="decimal"/>
      <w:suff w:val="tab"/>
      <w:lvlText w:val="%1."/>
      <w:lvlJc w:val="left"/>
      <w:pPr>
        <w:ind w:hanging="360" w:left="360"/>
      </w:pPr>
      <w:rPr/>
    </w:lvl>
    <w:lvl w:ilvl="1">
      <w:start w:val="1"/>
      <w:numFmt w:val="decimal"/>
      <w:suff w:val="tab"/>
      <w:lvlText w:val="%1.%2."/>
      <w:lvlJc w:val="left"/>
      <w:pPr>
        <w:ind w:hanging="432" w:left="792"/>
      </w:pPr>
      <w:rPr/>
    </w:lvl>
    <w:lvl w:ilvl="2">
      <w:start w:val="1"/>
      <w:numFmt w:val="decimal"/>
      <w:suff w:val="tab"/>
      <w:lvlText w:val="%1.%2.%3."/>
      <w:lvlJc w:val="left"/>
      <w:pPr>
        <w:ind w:hanging="504" w:left="1224"/>
      </w:pPr>
      <w:rPr/>
    </w:lvl>
    <w:lvl w:ilvl="3">
      <w:start w:val="1"/>
      <w:numFmt w:val="decimal"/>
      <w:suff w:val="tab"/>
      <w:lvlText w:val="%1.%2.%3.%4."/>
      <w:lvlJc w:val="left"/>
      <w:pPr>
        <w:ind w:hanging="648" w:left="1728"/>
      </w:pPr>
      <w:rPr/>
    </w:lvl>
    <w:lvl w:ilvl="4">
      <w:start w:val="1"/>
      <w:numFmt w:val="decimal"/>
      <w:suff w:val="tab"/>
      <w:lvlText w:val="%1.%2.%3.%4.%5."/>
      <w:lvlJc w:val="left"/>
      <w:pPr>
        <w:ind w:hanging="792" w:left="2232"/>
      </w:pPr>
      <w:rPr/>
    </w:lvl>
    <w:lvl w:ilvl="5">
      <w:start w:val="1"/>
      <w:numFmt w:val="decimal"/>
      <w:suff w:val="tab"/>
      <w:lvlText w:val="%1.%2.%3.%4.%5.%6."/>
      <w:lvlJc w:val="left"/>
      <w:pPr>
        <w:ind w:hanging="936" w:left="2736"/>
      </w:pPr>
      <w:rPr/>
    </w:lvl>
    <w:lvl w:ilvl="6">
      <w:start w:val="1"/>
      <w:numFmt w:val="decimal"/>
      <w:suff w:val="tab"/>
      <w:lvlText w:val="%1.%2.%3.%4.%5.%6.%7."/>
      <w:lvlJc w:val="left"/>
      <w:pPr>
        <w:ind w:hanging="1080" w:left="3240"/>
      </w:pPr>
      <w:rPr/>
    </w:lvl>
    <w:lvl w:ilvl="7">
      <w:start w:val="1"/>
      <w:numFmt w:val="decimal"/>
      <w:suff w:val="tab"/>
      <w:lvlText w:val="%1.%2.%3.%4.%5.%6.%7.%8."/>
      <w:lvlJc w:val="left"/>
      <w:pPr>
        <w:ind w:hanging="1224" w:left="3744"/>
      </w:pPr>
      <w:rPr/>
    </w:lvl>
    <w:lvl w:ilvl="8">
      <w:start w:val="1"/>
      <w:numFmt w:val="decimal"/>
      <w:suff w:val="tab"/>
      <w:lvlText w:val="%1.%2.%3.%4.%5.%6.%7.%8.%9."/>
      <w:lvlJc w:val="left"/>
      <w:pPr>
        <w:ind w:hanging="1440" w:left="4320"/>
      </w:pPr>
      <w:r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 w:ilvl="0">
        <w:start w:val="1"/>
        <w:numFmt w:val="decimal"/>
        <w:suff w:val="tab"/>
        <w:lvlText w:val="%1"/>
        <w:lvlJc w:val="left"/>
        <w:pPr>
          <w:ind w:hanging="432" w:left="432"/>
        </w:pPr>
        <w:rPr/>
      </w:lvl>
    </w:lvlOverride>
    <w:lvlOverride w:ilvl="1">
      <w:lvl w:ilvl="1">
        <w:start w:val="1"/>
        <w:numFmt w:val="decimal"/>
        <w:suff w:val="tab"/>
        <w:lvlText w:val="%1.%2"/>
        <w:lvlJc w:val="left"/>
        <w:pPr>
          <w:ind w:hanging="463" w:left="576"/>
          <w:tabs>
            <w:tab w:val="num" w:pos="1134" w:leader="none"/>
          </w:tabs>
        </w:pPr>
        <w:rPr/>
      </w:lvl>
    </w:lvlOverride>
    <w:lvlOverride w:ilvl="2">
      <w:lvl w:ilvl="2">
        <w:start w:val="1"/>
        <w:numFmt w:val="decimal"/>
        <w:suff w:val="space"/>
        <w:lvlText w:val="%1.%2.%3"/>
        <w:lvlJc w:val="left"/>
        <w:pPr>
          <w:ind w:hanging="380" w:left="720"/>
        </w:pPr>
        <w:rPr/>
      </w:lvl>
    </w:lvlOverride>
    <w:lvlOverride w:ilvl="3">
      <w:lvl w:ilvl="3">
        <w:start w:val="1"/>
        <w:numFmt w:val="decimal"/>
        <w:suff w:val="tab"/>
        <w:lvlText w:val="%1.%2.%3.%4"/>
        <w:lvlJc w:val="left"/>
        <w:pPr>
          <w:ind w:hanging="864" w:left="864"/>
        </w:pPr>
        <w:rPr/>
      </w:lvl>
    </w:lvlOverride>
    <w:lvlOverride w:ilvl="4">
      <w:lvl w:ilvl="4">
        <w:start w:val="1"/>
        <w:numFmt w:val="decimal"/>
        <w:suff w:val="tab"/>
        <w:lvlText w:val="%1.%2.%3.%4.%5"/>
        <w:lvlJc w:val="left"/>
        <w:pPr>
          <w:ind w:hanging="1008" w:left="1008"/>
        </w:pPr>
        <w:rPr/>
      </w:lvl>
    </w:lvlOverride>
    <w:lvlOverride w:ilvl="5">
      <w:lvl w:ilvl="5">
        <w:start w:val="1"/>
        <w:numFmt w:val="decimal"/>
        <w:suff w:val="tab"/>
        <w:lvlText w:val="%1.%2.%3.%4.%5.%6"/>
        <w:lvlJc w:val="left"/>
        <w:pPr>
          <w:ind w:hanging="1152" w:left="1152"/>
        </w:pPr>
        <w:rPr/>
      </w:lvl>
    </w:lvlOverride>
    <w:lvlOverride w:ilvl="6">
      <w:lvl w:ilvl="6">
        <w:start w:val="1"/>
        <w:numFmt w:val="decimal"/>
        <w:suff w:val="tab"/>
        <w:lvlText w:val="%1.%2.%3.%4.%5.%6.%7"/>
        <w:lvlJc w:val="left"/>
        <w:pPr>
          <w:ind w:hanging="1296" w:left="1296"/>
        </w:pPr>
        <w:rPr/>
      </w:lvl>
    </w:lvlOverride>
    <w:lvlOverride w:ilvl="7">
      <w:lvl w:ilvl="7">
        <w:start w:val="1"/>
        <w:numFmt w:val="decimal"/>
        <w:suff w:val="tab"/>
        <w:lvlText w:val="%1.%2.%3.%4.%5.%6.%7.%8"/>
        <w:lvlJc w:val="left"/>
        <w:pPr>
          <w:ind w:hanging="1440" w:left="1440"/>
        </w:pPr>
        <w:rPr/>
      </w:lvl>
    </w:lvlOverride>
    <w:lvlOverride w:ilvl="8">
      <w:lvl w:ilvl="8">
        <w:start w:val="1"/>
        <w:numFmt w:val="decimal"/>
        <w:suff w:val="tab"/>
        <w:lvlText w:val="%1.%2.%3.%4.%5.%6.%7.%8.%9"/>
        <w:lvlJc w:val="left"/>
        <w:pPr>
          <w:ind w:hanging="1584" w:left="1584"/>
        </w:pPr>
        <w:rPr/>
      </w:lvl>
    </w:lvlOverride>
  </w:num>
  <w:num w:numId="4">
    <w:abstractNumId w:val="1"/>
    <w:lvlOverride w:ilvl="0">
      <w:lvl w:ilvl="0">
        <w:start w:val="1"/>
        <w:numFmt w:val="decimal"/>
        <w:suff w:val="tab"/>
        <w:lvlText w:val="%1"/>
        <w:lvlJc w:val="left"/>
        <w:pPr>
          <w:ind w:hanging="432" w:left="432"/>
        </w:pPr>
        <w:rPr/>
      </w:lvl>
    </w:lvlOverride>
    <w:lvlOverride w:ilvl="1">
      <w:lvl w:ilvl="1">
        <w:start w:val="1"/>
        <w:numFmt w:val="decimal"/>
        <w:suff w:val="tab"/>
        <w:lvlText w:val="%1.%2"/>
        <w:lvlJc w:val="left"/>
        <w:pPr>
          <w:ind w:hanging="576" w:left="576"/>
          <w:tabs>
            <w:tab w:val="num" w:pos="1134" w:leader="none"/>
          </w:tabs>
        </w:pPr>
        <w:rPr/>
      </w:lvl>
    </w:lvlOverride>
    <w:lvlOverride w:ilvl="2">
      <w:lvl w:ilvl="2">
        <w:start w:val="1"/>
        <w:numFmt w:val="decimal"/>
        <w:suff w:val="space"/>
        <w:lvlText w:val="%1.%2.%3"/>
        <w:lvlJc w:val="left"/>
        <w:pPr>
          <w:ind w:hanging="380" w:left="720"/>
        </w:pPr>
        <w:rPr/>
      </w:lvl>
    </w:lvlOverride>
    <w:lvlOverride w:ilvl="3">
      <w:lvl w:ilvl="3">
        <w:start w:val="1"/>
        <w:numFmt w:val="decimal"/>
        <w:suff w:val="tab"/>
        <w:lvlText w:val="%1.%2.%3.%4"/>
        <w:lvlJc w:val="left"/>
        <w:pPr>
          <w:ind w:hanging="864" w:left="864"/>
        </w:pPr>
        <w:rPr/>
      </w:lvl>
    </w:lvlOverride>
    <w:lvlOverride w:ilvl="4">
      <w:lvl w:ilvl="4">
        <w:start w:val="1"/>
        <w:numFmt w:val="decimal"/>
        <w:suff w:val="tab"/>
        <w:lvlText w:val="%1.%2.%3.%4.%5"/>
        <w:lvlJc w:val="left"/>
        <w:pPr>
          <w:ind w:hanging="1008" w:left="1008"/>
        </w:pPr>
        <w:rPr/>
      </w:lvl>
    </w:lvlOverride>
    <w:lvlOverride w:ilvl="5">
      <w:lvl w:ilvl="5">
        <w:start w:val="1"/>
        <w:numFmt w:val="decimal"/>
        <w:suff w:val="tab"/>
        <w:lvlText w:val="%1.%2.%3.%4.%5.%6"/>
        <w:lvlJc w:val="left"/>
        <w:pPr>
          <w:ind w:hanging="1152" w:left="1152"/>
        </w:pPr>
        <w:rPr/>
      </w:lvl>
    </w:lvlOverride>
    <w:lvlOverride w:ilvl="6">
      <w:lvl w:ilvl="6">
        <w:start w:val="1"/>
        <w:numFmt w:val="decimal"/>
        <w:suff w:val="tab"/>
        <w:lvlText w:val="%1.%2.%3.%4.%5.%6.%7"/>
        <w:lvlJc w:val="left"/>
        <w:pPr>
          <w:ind w:hanging="1296" w:left="1296"/>
        </w:pPr>
        <w:rPr/>
      </w:lvl>
    </w:lvlOverride>
    <w:lvlOverride w:ilvl="7">
      <w:lvl w:ilvl="7">
        <w:start w:val="1"/>
        <w:numFmt w:val="decimal"/>
        <w:suff w:val="tab"/>
        <w:lvlText w:val="%1.%2.%3.%4.%5.%6.%7.%8"/>
        <w:lvlJc w:val="left"/>
        <w:pPr>
          <w:ind w:hanging="1440" w:left="1440"/>
        </w:pPr>
        <w:rPr/>
      </w:lvl>
    </w:lvlOverride>
    <w:lvlOverride w:ilvl="8">
      <w:lvl w:ilvl="8">
        <w:start w:val="1"/>
        <w:numFmt w:val="decimal"/>
        <w:suff w:val="tab"/>
        <w:lvlText w:val="%1.%2.%3.%4.%5.%6.%7.%8.%9"/>
        <w:lvlJc w:val="left"/>
        <w:pPr>
          <w:ind w:hanging="1584" w:left="1584"/>
        </w:pPr>
        <w:rPr/>
      </w:lvl>
    </w:lvlOverride>
  </w:num>
  <w:num w:numId="5">
    <w:abstractNumId w:val="1"/>
    <w:lvlOverride w:ilvl="0">
      <w:lvl w:ilvl="0">
        <w:start w:val="1"/>
        <w:numFmt w:val="decimal"/>
        <w:suff w:val="tab"/>
        <w:lvlText w:val="%1"/>
        <w:lvlJc w:val="left"/>
        <w:pPr>
          <w:ind w:hanging="432" w:left="432"/>
        </w:pPr>
        <w:rPr/>
      </w:lvl>
    </w:lvlOverride>
    <w:lvlOverride w:ilvl="1">
      <w:lvl w:ilvl="1">
        <w:start w:val="1"/>
        <w:numFmt w:val="decimal"/>
        <w:suff w:val="space"/>
        <w:lvlText w:val="%1.%2"/>
        <w:lvlJc w:val="left"/>
        <w:pPr>
          <w:ind w:hanging="576" w:left="576"/>
        </w:pPr>
        <w:rPr/>
      </w:lvl>
    </w:lvlOverride>
    <w:lvlOverride w:ilvl="2">
      <w:lvl w:ilvl="2">
        <w:start w:val="1"/>
        <w:numFmt w:val="decimal"/>
        <w:suff w:val="tab"/>
        <w:lvlText w:val="%1.%2.%3"/>
        <w:lvlJc w:val="left"/>
        <w:pPr>
          <w:ind w:hanging="720" w:left="720"/>
        </w:pPr>
        <w:rPr/>
      </w:lvl>
    </w:lvlOverride>
    <w:lvlOverride w:ilvl="3">
      <w:lvl w:ilvl="3">
        <w:start w:val="1"/>
        <w:numFmt w:val="decimal"/>
        <w:suff w:val="tab"/>
        <w:lvlText w:val="%1.%2.%3.%4"/>
        <w:lvlJc w:val="left"/>
        <w:pPr>
          <w:ind w:hanging="864" w:left="864"/>
        </w:pPr>
        <w:rPr/>
      </w:lvl>
    </w:lvlOverride>
    <w:lvlOverride w:ilvl="4">
      <w:lvl w:ilvl="4">
        <w:start w:val="1"/>
        <w:numFmt w:val="decimal"/>
        <w:suff w:val="tab"/>
        <w:lvlText w:val="%1.%2.%3.%4.%5"/>
        <w:lvlJc w:val="left"/>
        <w:pPr>
          <w:ind w:hanging="1008" w:left="1008"/>
        </w:pPr>
        <w:rPr/>
      </w:lvl>
    </w:lvlOverride>
    <w:lvlOverride w:ilvl="5">
      <w:lvl w:ilvl="5">
        <w:start w:val="1"/>
        <w:numFmt w:val="decimal"/>
        <w:suff w:val="tab"/>
        <w:lvlText w:val="%1.%2.%3.%4.%5.%6"/>
        <w:lvlJc w:val="left"/>
        <w:pPr>
          <w:ind w:hanging="1152" w:left="1152"/>
        </w:pPr>
        <w:rPr/>
      </w:lvl>
    </w:lvlOverride>
    <w:lvlOverride w:ilvl="6">
      <w:lvl w:ilvl="6">
        <w:start w:val="1"/>
        <w:numFmt w:val="decimal"/>
        <w:suff w:val="tab"/>
        <w:lvlText w:val="%1.%2.%3.%4.%5.%6.%7"/>
        <w:lvlJc w:val="left"/>
        <w:pPr>
          <w:ind w:hanging="1296" w:left="1296"/>
        </w:pPr>
        <w:rPr/>
      </w:lvl>
    </w:lvlOverride>
    <w:lvlOverride w:ilvl="7">
      <w:lvl w:ilvl="7">
        <w:start w:val="1"/>
        <w:numFmt w:val="decimal"/>
        <w:suff w:val="tab"/>
        <w:lvlText w:val="%1.%2.%3.%4.%5.%6.%7.%8"/>
        <w:lvlJc w:val="left"/>
        <w:pPr>
          <w:ind w:hanging="1440" w:left="1440"/>
        </w:pPr>
        <w:rPr/>
      </w:lvl>
    </w:lvlOverride>
    <w:lvlOverride w:ilvl="8">
      <w:lvl w:ilvl="8">
        <w:start w:val="1"/>
        <w:numFmt w:val="decimal"/>
        <w:suff w:val="tab"/>
        <w:lvlText w:val="%1.%2.%3.%4.%5.%6.%7.%8.%9"/>
        <w:lvlJc w:val="left"/>
        <w:pPr>
          <w:ind w:hanging="1584" w:left="1584"/>
        </w:pPr>
        <w:rPr/>
      </w:lvl>
    </w:lvlOverride>
  </w:num>
  <w:num w:numId="6">
    <w:abstractNumId w:val="3"/>
  </w:num>
  <w:num w:numId="7">
    <w:abstractNumId w:val="2"/>
  </w:num>
  <w:num w:numId="8">
    <w:abstractNumId w:val="4"/>
  </w:num>
  <w:num w:numId="9">
    <w:abstractNumId w:val="0"/>
  </w:num>
  <w:num w:numId="10">
    <w:abstractNumId w:val="6"/>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9"/>
  </w:num>
</w:numbering>
</file>

<file path=word/settings.xml><?xml version="1.0" encoding="utf-8"?>
<w:settings xmlns:w="http://schemas.openxmlformats.org/wordprocessingml/2006/main">
  <w:displayBackgroundShape w:val="0"/>
  <w:defaultTabStop w:val="737"/>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Cambria" w:hAnsi="Cambria" w:cs="Times New Roman" w:eastAsia="Cambria"/>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aliases w:val="Brödtext Vindeln"/>
    <w:qFormat/>
    <w:pPr>
      <w:widowControl w:val="0"/>
    </w:pPr>
    <w:rPr>
      <w:rFonts w:ascii="Georgia" w:hAnsi="Georgia" w:eastAsia="Times New Roman"/>
      <w:sz w:val="24"/>
    </w:rPr>
  </w:style>
  <w:style w:type="paragraph" w:styleId="P1">
    <w:name w:val="Heading 1"/>
    <w:aliases w:val="Vindeln R1"/>
    <w:next w:val="P0"/>
    <w:link w:val="C5"/>
    <w:qFormat/>
    <w:pPr>
      <w:keepNext w:val="1"/>
      <w:keepLines w:val="1"/>
      <w:outlineLvl w:val="0"/>
    </w:pPr>
    <w:rPr>
      <w:rFonts w:ascii="Calibri" w:hAnsi="Calibri"/>
      <w:b w:val="1"/>
      <w:bCs w:val="1"/>
      <w:noProof w:val="1"/>
      <w:color w:val="000000" w:themeColor="text1"/>
      <w:sz w:val="32"/>
      <w:szCs w:val="28"/>
      <w:lang w:eastAsia="en-US"/>
    </w:rPr>
  </w:style>
  <w:style w:type="paragraph" w:styleId="P2">
    <w:name w:val="Heading 2"/>
    <w:aliases w:val="Vindeln R2"/>
    <w:basedOn w:val="P1"/>
    <w:next w:val="P0"/>
    <w:link w:val="C3"/>
    <w:qFormat/>
    <w:pPr>
      <w:outlineLvl w:val="1"/>
    </w:pPr>
    <w:rPr>
      <w:sz w:val="28"/>
    </w:rPr>
  </w:style>
  <w:style w:type="paragraph" w:styleId="P3">
    <w:name w:val="Heading 3"/>
    <w:aliases w:val="Vindeln R3"/>
    <w:basedOn w:val="P2"/>
    <w:next w:val="P0"/>
    <w:link w:val="C4"/>
    <w:qFormat/>
    <w:pPr>
      <w:outlineLvl w:val="2"/>
    </w:pPr>
    <w:rPr>
      <w:sz w:val="24"/>
    </w:rPr>
  </w:style>
  <w:style w:type="paragraph" w:styleId="P4">
    <w:name w:val="Heading 4"/>
    <w:next w:val="P0"/>
    <w:link w:val="C10"/>
    <w:semiHidden/>
    <w:qFormat/>
    <w:pPr>
      <w:keepNext w:val="1"/>
      <w:keepLines w:val="1"/>
      <w:numPr>
        <w:ilvl w:val="3"/>
        <w:numId w:val="2"/>
      </w:numPr>
      <w:spacing w:lineRule="auto" w:line="256" w:after="3" w:beforeAutospacing="0" w:afterAutospacing="0"/>
      <w:outlineLvl w:val="3"/>
    </w:pPr>
    <w:rPr>
      <w:rFonts w:ascii="Arial" w:hAnsi="Arial" w:cs="Arial" w:eastAsia="Arial"/>
      <w:color w:val="000000"/>
      <w:sz w:val="32"/>
      <w:szCs w:val="22"/>
    </w:rPr>
  </w:style>
  <w:style w:type="paragraph" w:styleId="P5">
    <w:name w:val="Heading 5"/>
    <w:next w:val="P0"/>
    <w:link w:val="C11"/>
    <w:semiHidden/>
    <w:qFormat/>
    <w:pPr>
      <w:keepNext w:val="1"/>
      <w:keepLines w:val="1"/>
      <w:numPr>
        <w:ilvl w:val="4"/>
        <w:numId w:val="2"/>
      </w:numPr>
      <w:spacing w:lineRule="auto" w:line="256" w:beforeAutospacing="0" w:afterAutospacing="0"/>
      <w:outlineLvl w:val="4"/>
    </w:pPr>
    <w:rPr>
      <w:rFonts w:ascii="Arial" w:hAnsi="Arial" w:cs="Arial" w:eastAsia="Arial"/>
      <w:color w:val="000000"/>
      <w:sz w:val="28"/>
      <w:szCs w:val="22"/>
    </w:rPr>
  </w:style>
  <w:style w:type="paragraph" w:styleId="P6">
    <w:name w:val="Heading 6"/>
    <w:next w:val="P0"/>
    <w:link w:val="C12"/>
    <w:semiHidden/>
    <w:qFormat/>
    <w:pPr>
      <w:keepNext w:val="1"/>
      <w:keepLines w:val="1"/>
      <w:numPr>
        <w:ilvl w:val="5"/>
        <w:numId w:val="2"/>
      </w:numPr>
      <w:spacing w:lineRule="auto" w:line="256" w:beforeAutospacing="0" w:afterAutospacing="0"/>
      <w:outlineLvl w:val="5"/>
    </w:pPr>
    <w:rPr>
      <w:rFonts w:ascii="Arial" w:hAnsi="Arial" w:cs="Arial" w:eastAsia="Arial"/>
      <w:color w:val="000000"/>
      <w:sz w:val="28"/>
      <w:szCs w:val="22"/>
    </w:rPr>
  </w:style>
  <w:style w:type="paragraph" w:styleId="P7">
    <w:name w:val="Heading 7"/>
    <w:next w:val="P0"/>
    <w:link w:val="C13"/>
    <w:semiHidden/>
    <w:qFormat/>
    <w:pPr>
      <w:keepNext w:val="1"/>
      <w:keepLines w:val="1"/>
      <w:numPr>
        <w:ilvl w:val="6"/>
        <w:numId w:val="2"/>
      </w:numPr>
      <w:spacing w:lineRule="auto" w:line="256" w:after="3" w:beforeAutospacing="0" w:afterAutospacing="0"/>
      <w:outlineLvl w:val="6"/>
    </w:pPr>
    <w:rPr>
      <w:rFonts w:ascii="Arial" w:hAnsi="Arial" w:cs="Arial" w:eastAsia="Arial"/>
      <w:color w:val="000000"/>
      <w:sz w:val="24"/>
      <w:szCs w:val="22"/>
    </w:rPr>
  </w:style>
  <w:style w:type="paragraph" w:styleId="P8">
    <w:name w:val="Heading 8"/>
    <w:basedOn w:val="P0"/>
    <w:next w:val="P0"/>
    <w:link w:val="C14"/>
    <w:semiHidden/>
    <w:qFormat/>
    <w:pPr>
      <w:keepNext w:val="1"/>
      <w:keepLines w:val="1"/>
      <w:widowControl w:val="1"/>
      <w:numPr>
        <w:ilvl w:val="7"/>
        <w:numId w:val="2"/>
      </w:numPr>
      <w:spacing w:lineRule="auto" w:line="256" w:before="4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15"/>
    <w:semiHidden/>
    <w:qFormat/>
    <w:pPr>
      <w:keepNext w:val="1"/>
      <w:keepLines w:val="1"/>
      <w:widowControl w:val="1"/>
      <w:numPr>
        <w:ilvl w:val="8"/>
        <w:numId w:val="2"/>
      </w:numPr>
      <w:spacing w:lineRule="auto" w:line="256"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TOC 1"/>
    <w:basedOn w:val="P0"/>
    <w:next w:val="P0"/>
    <w:pPr>
      <w:tabs>
        <w:tab w:val="right" w:pos="9628" w:leader="dot"/>
      </w:tabs>
      <w:spacing w:lineRule="auto" w:line="480" w:beforeAutospacing="0" w:afterAutospacing="0"/>
    </w:pPr>
    <w:rPr/>
  </w:style>
  <w:style w:type="paragraph" w:styleId="P11">
    <w:name w:val="Footer"/>
    <w:aliases w:val="sidhuvud,Vindeln"/>
    <w:basedOn w:val="P0"/>
    <w:link w:val="C6"/>
    <w:pPr>
      <w:widowControl w:val="1"/>
    </w:pPr>
    <w:rPr>
      <w:rFonts w:ascii="Calibri" w:hAnsi="Calibri" w:cs="Arial" w:eastAsia="Cambria"/>
      <w:noProof w:val="1"/>
      <w:sz w:val="20"/>
      <w:szCs w:val="24"/>
      <w:lang w:val="de-DE" w:eastAsia="en-US"/>
    </w:rPr>
  </w:style>
  <w:style w:type="paragraph" w:styleId="P12">
    <w:name w:val="Body Text"/>
    <w:basedOn w:val="P13"/>
    <w:link w:val="C7"/>
    <w:semiHidden/>
    <w:pPr/>
    <w:rPr>
      <w:rFonts w:ascii="Georgia" w:hAnsi="Georgia" w:cs="Georgia"/>
      <w:sz w:val="20"/>
      <w:szCs w:val="20"/>
    </w:rPr>
  </w:style>
  <w:style w:type="paragraph" w:styleId="P13">
    <w:name w:val="kapitelrubrik sidhuvud"/>
    <w:basedOn w:val="P0"/>
    <w:semiHidden/>
    <w:pPr>
      <w:spacing w:lineRule="auto" w:line="288" w:beforeAutospacing="0" w:afterAutospacing="0"/>
    </w:pPr>
    <w:rPr>
      <w:rFonts w:ascii="TitilliumText14L-600wt" w:hAnsi="TitilliumText14L-600wt" w:cs="TitilliumText14L-600wt" w:eastAsia="Cambria"/>
      <w:color w:val="000000"/>
      <w:sz w:val="28"/>
      <w:szCs w:val="28"/>
      <w:lang w:val="en-US" w:eastAsia="en-US"/>
    </w:rPr>
  </w:style>
  <w:style w:type="paragraph" w:styleId="P14">
    <w:name w:val="Balloon Text"/>
    <w:basedOn w:val="P0"/>
    <w:link w:val="C8"/>
    <w:semiHidden/>
    <w:pPr/>
    <w:rPr>
      <w:rFonts w:ascii="Tahoma" w:hAnsi="Tahoma" w:cs="Tahoma"/>
      <w:sz w:val="16"/>
      <w:szCs w:val="16"/>
    </w:rPr>
  </w:style>
  <w:style w:type="paragraph" w:styleId="P15">
    <w:name w:val="TOC 2"/>
    <w:basedOn w:val="P0"/>
    <w:next w:val="P0"/>
    <w:pPr>
      <w:ind w:left="240"/>
    </w:pPr>
    <w:rPr/>
  </w:style>
  <w:style w:type="paragraph" w:styleId="P16">
    <w:name w:val="TOC 3"/>
    <w:basedOn w:val="P0"/>
    <w:next w:val="P0"/>
    <w:pPr>
      <w:spacing w:after="100" w:beforeAutospacing="0" w:afterAutospacing="0"/>
      <w:ind w:left="480"/>
    </w:pPr>
    <w:rPr/>
  </w:style>
  <w:style w:type="paragraph" w:styleId="P17">
    <w:name w:val="List Paragraph"/>
    <w:basedOn w:val="P0"/>
    <w:qFormat/>
    <w:pPr>
      <w:ind w:left="720"/>
      <w:contextualSpacing w:val="1"/>
    </w:pPr>
    <w:rPr/>
  </w:style>
  <w:style w:type="paragraph" w:styleId="P18">
    <w:name w:val="Tema"/>
    <w:basedOn w:val="P1"/>
    <w:qFormat/>
    <w:pPr>
      <w:numPr>
        <w:numId w:val="2"/>
      </w:numPr>
      <w:tabs>
        <w:tab w:val="num" w:pos="360" w:leader="none"/>
      </w:tabs>
      <w:spacing w:lineRule="auto" w:line="256" w:before="360" w:after="367" w:beforeAutospacing="0" w:afterAutospacing="0"/>
      <w:ind w:hanging="431" w:left="431"/>
    </w:pPr>
    <w:rPr>
      <w:rFonts w:cs="Arial" w:eastAsia="Arial"/>
      <w:bCs w:val="0"/>
      <w:caps w:val="1"/>
      <w:noProof w:val="0"/>
      <w:szCs w:val="22"/>
      <w:lang w:eastAsia="sv-SE"/>
    </w:rPr>
  </w:style>
  <w:style w:type="paragraph" w:styleId="P19">
    <w:name w:val="Grupp"/>
    <w:basedOn w:val="P2"/>
    <w:qFormat/>
    <w:pPr>
      <w:numPr>
        <w:ilvl w:val="1"/>
        <w:numId w:val="2"/>
      </w:numPr>
      <w:spacing w:lineRule="auto" w:line="256" w:after="51" w:beforeAutospacing="0" w:afterAutospacing="0"/>
    </w:pPr>
    <w:rPr>
      <w:rFonts w:cs="Arial" w:eastAsia="Arial"/>
      <w:caps w:val="1"/>
      <w:noProof w:val="0"/>
      <w:szCs w:val="20"/>
      <w:lang w:eastAsia="sv-SE"/>
    </w:rPr>
  </w:style>
  <w:style w:type="paragraph" w:styleId="P20">
    <w:name w:val="Undergrupp"/>
    <w:basedOn w:val="P3"/>
    <w:qFormat/>
    <w:pPr>
      <w:keepNext w:val="0"/>
      <w:keepLines w:val="0"/>
      <w:numPr>
        <w:ilvl w:val="2"/>
        <w:numId w:val="2"/>
      </w:numPr>
      <w:spacing w:lineRule="auto" w:line="256" w:after="60" w:beforeAutospacing="0" w:afterAutospacing="0"/>
      <w:ind w:left="720"/>
    </w:pPr>
    <w:rPr>
      <w:rFonts w:cs="Arial" w:eastAsia="Arial"/>
      <w:bCs w:val="0"/>
      <w:caps w:val="1"/>
      <w:noProof w:val="0"/>
      <w:szCs w:val="22"/>
      <w:lang w:eastAsia="sv-SE"/>
    </w:rPr>
  </w:style>
  <w:style w:type="paragraph" w:styleId="P21">
    <w:name w:val="Revision"/>
    <w:hidden/>
    <w:semiHidden/>
    <w:pPr/>
    <w:rPr>
      <w:rFonts w:ascii="Georgia" w:hAnsi="Georgia" w:eastAsia="Times New Roman"/>
      <w:sz w:val="24"/>
    </w:rPr>
  </w:style>
  <w:style w:type="paragraph" w:styleId="P22">
    <w:name w:val="TOC 4"/>
    <w:basedOn w:val="P0"/>
    <w:next w:val="P0"/>
    <w:pPr>
      <w:widowControl w:val="1"/>
      <w:spacing w:lineRule="auto" w:line="259" w:after="100" w:beforeAutospacing="0" w:afterAutospacing="0"/>
      <w:ind w:left="660"/>
    </w:pPr>
    <w:rPr>
      <w:rFonts w:asciiTheme="minorHAnsi" w:hAnsiTheme="minorHAnsi" w:cstheme="minorBidi" w:eastAsiaTheme="minorEastAsia"/>
      <w:sz w:val="22"/>
      <w:szCs w:val="22"/>
    </w:rPr>
  </w:style>
  <w:style w:type="paragraph" w:styleId="P23">
    <w:name w:val="TOC 5"/>
    <w:basedOn w:val="P0"/>
    <w:next w:val="P0"/>
    <w:pPr>
      <w:widowControl w:val="1"/>
      <w:spacing w:lineRule="auto" w:line="259" w:after="100" w:beforeAutospacing="0" w:afterAutospacing="0"/>
      <w:ind w:left="880"/>
    </w:pPr>
    <w:rPr>
      <w:rFonts w:asciiTheme="minorHAnsi" w:hAnsiTheme="minorHAnsi" w:cstheme="minorBidi" w:eastAsiaTheme="minorEastAsia"/>
      <w:sz w:val="22"/>
      <w:szCs w:val="22"/>
    </w:rPr>
  </w:style>
  <w:style w:type="paragraph" w:styleId="P24">
    <w:name w:val="TOC 6"/>
    <w:basedOn w:val="P0"/>
    <w:next w:val="P0"/>
    <w:pPr>
      <w:widowControl w:val="1"/>
      <w:spacing w:lineRule="auto" w:line="259" w:after="100" w:beforeAutospacing="0" w:afterAutospacing="0"/>
      <w:ind w:left="1100"/>
    </w:pPr>
    <w:rPr>
      <w:rFonts w:asciiTheme="minorHAnsi" w:hAnsiTheme="minorHAnsi" w:cstheme="minorBidi" w:eastAsiaTheme="minorEastAsia"/>
      <w:sz w:val="22"/>
      <w:szCs w:val="22"/>
    </w:rPr>
  </w:style>
  <w:style w:type="paragraph" w:styleId="P25">
    <w:name w:val="TOC 7"/>
    <w:basedOn w:val="P0"/>
    <w:next w:val="P0"/>
    <w:pPr>
      <w:widowControl w:val="1"/>
      <w:spacing w:lineRule="auto" w:line="259" w:after="100" w:beforeAutospacing="0" w:afterAutospacing="0"/>
      <w:ind w:left="1320"/>
    </w:pPr>
    <w:rPr>
      <w:rFonts w:asciiTheme="minorHAnsi" w:hAnsiTheme="minorHAnsi" w:cstheme="minorBidi" w:eastAsiaTheme="minorEastAsia"/>
      <w:sz w:val="22"/>
      <w:szCs w:val="22"/>
    </w:rPr>
  </w:style>
  <w:style w:type="paragraph" w:styleId="P26">
    <w:name w:val="TOC 8"/>
    <w:basedOn w:val="P0"/>
    <w:next w:val="P0"/>
    <w:pPr>
      <w:widowControl w:val="1"/>
      <w:spacing w:lineRule="auto" w:line="259" w:after="100" w:beforeAutospacing="0" w:afterAutospacing="0"/>
      <w:ind w:left="1540"/>
    </w:pPr>
    <w:rPr>
      <w:rFonts w:asciiTheme="minorHAnsi" w:hAnsiTheme="minorHAnsi" w:cstheme="minorBidi" w:eastAsiaTheme="minorEastAsia"/>
      <w:sz w:val="22"/>
      <w:szCs w:val="22"/>
    </w:rPr>
  </w:style>
  <w:style w:type="paragraph" w:styleId="P27">
    <w:name w:val="TOC 9"/>
    <w:basedOn w:val="P0"/>
    <w:next w:val="P0"/>
    <w:pPr>
      <w:widowControl w:val="1"/>
      <w:spacing w:lineRule="auto" w:line="259" w:after="100" w:beforeAutospacing="0" w:afterAutospacing="0"/>
      <w:ind w:left="1760"/>
    </w:pPr>
    <w:rPr>
      <w:rFonts w:asciiTheme="minorHAnsi" w:hAnsiTheme="minorHAnsi" w:cstheme="minorBidi" w:eastAsiaTheme="minorEastAsia"/>
      <w:sz w:val="22"/>
      <w:szCs w:val="22"/>
    </w:rPr>
  </w:style>
  <w:style w:type="paragraph" w:styleId="P28">
    <w:name w:val="annotation text"/>
    <w:basedOn w:val="P0"/>
    <w:link w:val="C17"/>
    <w:pPr/>
    <w:rPr>
      <w:sz w:val="20"/>
    </w:rPr>
  </w:style>
  <w:style w:type="paragraph" w:styleId="P29">
    <w:name w:val="annotation subject"/>
    <w:basedOn w:val="P28"/>
    <w:next w:val="P28"/>
    <w:link w:val="C18"/>
    <w:pPr/>
    <w:rPr>
      <w:b w:val="1"/>
      <w:bCs w:val="1"/>
    </w:rPr>
  </w:style>
  <w:style w:type="paragraph" w:styleId="P30">
    <w:name w:val="Default"/>
    <w:pPr/>
    <w:rPr>
      <w:rFonts w:ascii="Georgia" w:hAnsi="Georgia" w:cs="Georgia"/>
      <w:color w:val="000000"/>
      <w:sz w:val="24"/>
      <w:szCs w:val="24"/>
    </w:rPr>
  </w:style>
  <w:style w:type="paragraph" w:styleId="P31">
    <w:name w:val="Caption"/>
    <w:basedOn w:val="P0"/>
    <w:next w:val="P0"/>
    <w:qFormat/>
    <w:pPr>
      <w:spacing w:after="200" w:beforeAutospacing="0" w:afterAutospacing="0"/>
    </w:pPr>
    <w:rPr>
      <w:i w:val="1"/>
      <w:iCs w:val="1"/>
      <w:color w:val="44546A" w:themeColor="text2"/>
      <w:sz w:val="18"/>
      <w:szCs w:val="18"/>
    </w:rPr>
  </w:style>
  <w:style w:type="paragraph" w:styleId="P32">
    <w:name w:val="Footnote Text"/>
    <w:link w:val="C20"/>
    <w:semiHidden/>
    <w:pPr>
      <w:spacing w:lineRule="auto" w:line="240" w:after="0" w:beforeAutospacing="0" w:afterAutospacing="0"/>
    </w:pPr>
    <w:rPr>
      <w:sz w:val="20"/>
      <w:szCs w:val="20"/>
    </w:rPr>
  </w:style>
  <w:style w:type="paragraph" w:styleId="P33">
    <w:name w:val="Endnote Text"/>
    <w:link w:val="C22"/>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2 Char"/>
    <w:aliases w:val="Vindeln R2 Char"/>
    <w:link w:val="P2"/>
    <w:rPr>
      <w:rFonts w:ascii="Calibri" w:hAnsi="Calibri" w:eastAsia="Cambria"/>
      <w:b w:val="1"/>
      <w:bCs w:val="1"/>
      <w:noProof w:val="1"/>
      <w:color w:val="000000"/>
      <w:sz w:val="28"/>
      <w:szCs w:val="28"/>
      <w:lang w:val="sv-SE" w:bidi="ar-SA" w:eastAsia="en-US"/>
    </w:rPr>
  </w:style>
  <w:style w:type="character" w:styleId="C4">
    <w:name w:val="Rubrik 3 Char"/>
    <w:aliases w:val="Vindeln R3 Char"/>
    <w:link w:val="P3"/>
    <w:rPr>
      <w:rFonts w:ascii="Calibri" w:hAnsi="Calibri" w:eastAsia="Cambria"/>
      <w:b w:val="1"/>
      <w:bCs w:val="1"/>
      <w:noProof w:val="1"/>
      <w:color w:val="000000"/>
      <w:sz w:val="24"/>
      <w:szCs w:val="28"/>
      <w:lang w:val="sv-SE" w:bidi="ar-SA" w:eastAsia="en-US"/>
    </w:rPr>
  </w:style>
  <w:style w:type="character" w:styleId="C5">
    <w:name w:val="Rubrik 1 Char"/>
    <w:aliases w:val="Vindeln R1 Char"/>
    <w:link w:val="P1"/>
    <w:rPr>
      <w:rFonts w:ascii="Calibri" w:hAnsi="Calibri"/>
      <w:b w:val="1"/>
      <w:bCs w:val="1"/>
      <w:noProof w:val="1"/>
      <w:color w:val="000000" w:themeColor="text1"/>
      <w:sz w:val="32"/>
      <w:szCs w:val="28"/>
      <w:lang w:eastAsia="en-US"/>
    </w:rPr>
  </w:style>
  <w:style w:type="character" w:styleId="C6">
    <w:name w:val="Sidfot Char"/>
    <w:aliases w:val="sidhuvud Char,Vindeln Char"/>
    <w:link w:val="P11"/>
    <w:rPr>
      <w:rFonts w:ascii="Calibri" w:hAnsi="Calibri" w:cs="Arial" w:eastAsia="Cambria"/>
      <w:noProof w:val="1"/>
      <w:szCs w:val="24"/>
      <w:lang w:val="de-DE" w:bidi="ar-SA" w:eastAsia="en-US"/>
    </w:rPr>
  </w:style>
  <w:style w:type="character" w:styleId="C7">
    <w:name w:val="Brödtext Char"/>
    <w:link w:val="P12"/>
    <w:rPr>
      <w:rFonts w:ascii="Georgia" w:hAnsi="Georgia" w:cs="Georgia"/>
      <w:color w:val="000000"/>
      <w:sz w:val="20"/>
      <w:szCs w:val="20"/>
      <w:lang w:val="en-US"/>
    </w:rPr>
  </w:style>
  <w:style w:type="character" w:styleId="C8">
    <w:name w:val="Ballongtext Char"/>
    <w:link w:val="P14"/>
    <w:rPr>
      <w:rFonts w:ascii="Tahoma" w:hAnsi="Tahoma" w:cs="Tahoma" w:eastAsia="Times New Roman"/>
      <w:sz w:val="16"/>
      <w:szCs w:val="16"/>
      <w:lang w:eastAsia="sv-SE"/>
    </w:rPr>
  </w:style>
  <w:style w:type="character" w:styleId="C9">
    <w:name w:val="Titel"/>
    <w:aliases w:val="Vindeln framsida"/>
    <w:rPr>
      <w:rFonts w:ascii="Calibri" w:hAnsi="Calibri"/>
      <w:b w:val="1"/>
      <w:bCs w:val="1"/>
      <w:sz w:val="52"/>
    </w:rPr>
  </w:style>
  <w:style w:type="character" w:styleId="C10">
    <w:name w:val="Rubrik 4 Char"/>
    <w:basedOn w:val="C0"/>
    <w:link w:val="P4"/>
    <w:semiHidden/>
    <w:rPr>
      <w:rFonts w:ascii="Arial" w:hAnsi="Arial" w:cs="Arial" w:eastAsia="Arial"/>
      <w:color w:val="000000"/>
      <w:sz w:val="32"/>
      <w:szCs w:val="22"/>
    </w:rPr>
  </w:style>
  <w:style w:type="character" w:styleId="C11">
    <w:name w:val="Rubrik 5 Char"/>
    <w:basedOn w:val="C0"/>
    <w:link w:val="P5"/>
    <w:semiHidden/>
    <w:rPr>
      <w:rFonts w:ascii="Arial" w:hAnsi="Arial" w:cs="Arial" w:eastAsia="Arial"/>
      <w:color w:val="000000"/>
      <w:sz w:val="28"/>
      <w:szCs w:val="22"/>
    </w:rPr>
  </w:style>
  <w:style w:type="character" w:styleId="C12">
    <w:name w:val="Rubrik 6 Char"/>
    <w:basedOn w:val="C0"/>
    <w:link w:val="P6"/>
    <w:semiHidden/>
    <w:rPr>
      <w:rFonts w:ascii="Arial" w:hAnsi="Arial" w:cs="Arial" w:eastAsia="Arial"/>
      <w:color w:val="000000"/>
      <w:sz w:val="28"/>
      <w:szCs w:val="22"/>
    </w:rPr>
  </w:style>
  <w:style w:type="character" w:styleId="C13">
    <w:name w:val="Rubrik 7 Char"/>
    <w:basedOn w:val="C0"/>
    <w:link w:val="P7"/>
    <w:semiHidden/>
    <w:rPr>
      <w:rFonts w:ascii="Arial" w:hAnsi="Arial" w:cs="Arial" w:eastAsia="Arial"/>
      <w:color w:val="000000"/>
      <w:sz w:val="24"/>
      <w:szCs w:val="22"/>
    </w:rPr>
  </w:style>
  <w:style w:type="character" w:styleId="C14">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15">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16">
    <w:name w:val="annotation reference"/>
    <w:basedOn w:val="C0"/>
    <w:rPr>
      <w:sz w:val="16"/>
      <w:szCs w:val="16"/>
    </w:rPr>
  </w:style>
  <w:style w:type="character" w:styleId="C17">
    <w:name w:val="Kommentarer Char"/>
    <w:basedOn w:val="C0"/>
    <w:link w:val="P28"/>
    <w:rPr>
      <w:rFonts w:ascii="Georgia" w:hAnsi="Georgia" w:eastAsia="Times New Roman"/>
    </w:rPr>
  </w:style>
  <w:style w:type="character" w:styleId="C18">
    <w:name w:val="Kommentarsämne Char"/>
    <w:basedOn w:val="C17"/>
    <w:link w:val="P29"/>
    <w:rPr>
      <w:rFonts w:ascii="Georgia" w:hAnsi="Georgia" w:eastAsia="Times New Roman"/>
      <w:b w:val="1"/>
      <w:bCs w:val="1"/>
    </w:rPr>
  </w:style>
  <w:style w:type="character" w:styleId="C19">
    <w:name w:val="Footnote Reference"/>
    <w:semiHidden/>
    <w:rPr>
      <w:vertAlign w:val="superscript"/>
    </w:rPr>
  </w:style>
  <w:style w:type="character" w:styleId="C20">
    <w:name w:val="Footnote Text Char"/>
    <w:link w:val="P32"/>
    <w:semiHidden/>
    <w:rPr>
      <w:sz w:val="20"/>
      <w:szCs w:val="20"/>
    </w:rPr>
  </w:style>
  <w:style w:type="character" w:styleId="C21">
    <w:name w:val="Endnote Reference"/>
    <w:semiHidden/>
    <w:rPr>
      <w:vertAlign w:val="superscript"/>
    </w:rPr>
  </w:style>
  <w:style w:type="character" w:styleId="C22">
    <w:name w:val="Endnote Text Char"/>
    <w:link w:val="P33"/>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 w:type="numbering" w:styleId="N1">
    <w:name w:val="Outline List 2"/>
    <w:pPr>
      <w:numPr>
        <w:numId w:val="1"/>
      </w:numPr>
    </w:pP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14" Type="http://schemas.openxmlformats.org/officeDocument/2006/relationships/image" Target="/media/image14.jp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2" Type="http://schemas.openxmlformats.org/officeDocument/2006/relationships/image" Target="/media/image12.png" /></Relationships>
</file>

<file path=word/_rels/header2.xml.rels>&#65279;<?xml version="1.0" encoding="utf-8"?><Relationships xmlns="http://schemas.openxmlformats.org/package/2006/relationships"><Relationship Id="Relimage13" Type="http://schemas.openxmlformats.org/officeDocument/2006/relationships/image" Target="/media/image13.png" /></Relationships>
</file>

<file path=word/_rels/header3.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be_heladetaljplan01</identitet>
    <Indelning>
      <tema>Beskrivning av detaljplanen</tema>
      <grupp>Hela detaljplan</grupp>
    </Indelning>
  </Omfattning>
  <Omfattning>
    <identitet>be_genomförandetid01</identitet>
    <Indelning>
      <tema>Beskrivning av detaljplanen</tema>
      <grupp>Genomförandetid</grupp>
    </Indelning>
  </Omfattning>
  <Omfattning>
    <identitet>be_allmänplats01</identitet>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be_befintligt01</identitet>
    <Indelning>
      <tema>Beskrivning av detaljplanen</tema>
      <grupp>Befintligt</grupp>
    </Indelning>
  </Omfattning>
  <Omfattning>
    <identitet>be_allmänplats02</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8fdeb45b-5333-4065-a789-f6939dd3bee1_f0">
          <gml:exterior>
            <gml:LinearRing>
              <gml:posList>7122250.625 123915.05 7122247.227 123913.632 7122237.948 123909.76 7122237.487 123909.567 7122227.945 123905.586 7122225.889 123904.728 7122224.456 123904.13 7122220.674 123902.552 7122220.636 123902.536 7122220.213 123902.36 7122218.31 123901.564 7122233.419 123892.258 7122251.824 123910.151 7122250.625 123915.05</gml:posList>
            </gml:LinearRing>
          </gml:exterior>
        </gml:Polygon>
      </lmg:Position>
    </lmg:Ytgeometri>
    <objektreferens>8fdeb45b-5333-4065-a789-f6939dd3bee1</objektreferens>
    <Indelning>
      <tema>Beskrivning av detaljplanen</tema>
      <grupp>Allmän plats</grupp>
    </Indelning>
  </Omfattning>
  <Omfattning>
    <identitet>be_kvartersmark02</identitet>
    <Indelning>
      <tema>Beskrivning av detaljplanen</tema>
      <grupp>Kvartersmark</grupp>
    </Indelning>
  </Omfattning>
  <Omfattning>
    <identitet>be_kvartersmark03</identitet>
    <Indelning>
      <tema>Beskrivning av detaljplanen</tema>
      <grupp>Kvartersmark</grupp>
    </Indelning>
  </Omfattning>
  <Omfattning>
    <identitet>be_kvartersmark04</identitet>
    <Indelning>
      <tema>Beskrivning av detaljplanen</tema>
      <grupp>Kvartersmark</grupp>
    </Indelning>
  </Omfattning>
  <Omfattning>
    <identitet>be_kvartersmark05</identitet>
    <Indelning>
      <tema>Beskrivning av detaljplanen</tema>
      <grupp>Kvartersmark</grupp>
    </Indelning>
  </Omfattning>
  <Omfattning>
    <identitet>be_kvartersmark06</identitet>
    <Indelning>
      <tema>Beskrivning av detaljplanen</tema>
      <grupp>Kvartersmark</grupp>
    </Indelning>
  </Omfattning>
  <Omfattning>
    <identitet>be_kvartersmark07</identitet>
    <Indelning>
      <tema>Beskrivning av detaljplanen</tema>
      <grupp>Kvartersmark</grupp>
    </Indelning>
  </Omfattning>
  <Omfattning>
    <identitet>be_kvartersmark08</identitet>
    <Indelning>
      <tema>Beskrivning av detaljplanen</tema>
      <grupp>Kvartersmark</grupp>
    </Indelning>
  </Omfattning>
  <Omfattning>
    <identitet>be_kvartersmark09</identitet>
    <Indelning>
      <tema>Beskrivning av detaljplanen</tema>
      <grupp>Kvartersmark</grupp>
    </Indelning>
  </Omfattning>
  <Omfattning>
    <identitet>be_kvartersmark10</identitet>
    <Indelning>
      <tema>Beskrivning av detaljplanen</tema>
      <grupp>Kvartersmark</grupp>
    </Indelning>
  </Omfattning>
  <Omfattning>
    <identitet>be_kvartersmark11</identitet>
    <Indelning>
      <tema>Beskrivning av detaljplanen</tema>
      <grupp>Kvartersmark</grupp>
    </Indelning>
  </Omfattning>
  <Omfattning>
    <identitet>be_kvartersmark12</identitet>
    <Indelning>
      <tema>Beskrivning av detaljplanen</tema>
      <grupp>Kvartersmark</grupp>
    </Indelning>
  </Omfattning>
  <Omfattning>
    <identitet>be_kvartersmark13</identitet>
    <Indelning>
      <tema>Beskrivning av detaljplanen</tema>
      <grupp>Kvartersmark</grupp>
    </Indelning>
  </Omfattning>
  <Omfattning>
    <identitet>be_kvartersmark14</identitet>
    <Indelning>
      <tema>Beskrivning av detaljplanen</tema>
      <grupp>Kvartersmark</grupp>
    </Indelning>
  </Omfattning>
  <Omfattning>
    <identitet>be_kvartersmark15</identitet>
    <Indelning>
      <tema>Beskrivning av detaljplanen</tema>
      <grupp>Kvartersmark</grupp>
    </Indelning>
  </Omfattning>
  <Omfattning>
    <identitet>be_kvartersmark16</identitet>
    <Indelning>
      <tema>Beskrivning av detaljplanen</tema>
      <grupp>Kvartersmark</grupp>
    </Indelning>
  </Omfattning>
  <Omfattning>
    <identitet>pf_detaljplan01</identitet>
    <Indelning>
      <tema>Planeringsförutsättningar</tema>
      <grupp>Kommunala</grupp>
      <undergrupp>Detaljplan</undergrupp>
    </Indelning>
  </Omfattning>
  <Omfattning>
    <identitet>pf_planbesked01</identitet>
    <Indelning>
      <tema>Planeringsförutsättningar</tema>
      <grupp>Kommunala</grupp>
      <undergrupp>Planbesked</undergrupp>
    </Indelning>
  </Omfattning>
  <Omfattning>
    <identitet>pf_översiktsplan01</identitet>
    <Indelning>
      <tema>Planeringsförutsättningar</tema>
      <grupp>Kommunala</grupp>
      <undergrupp>Översiktsplan</undergrupp>
    </Indelning>
  </Omfattning>
  <Omfattning>
    <identitet>pf_skyddadevattendrag01</identitet>
    <Indelning>
      <tema>Planeringsförutsättningar</tema>
      <grupp>Riksintressen</grupp>
      <undergrupp>Skyddade vattendrag</under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pf_vatten02</identitet>
    <Indelning>
      <tema>Planeringsförutsättningar</tema>
      <grupp>Miljökvalitetsnormer</grupp>
      <undergrupp>Vatten</undergrupp>
    </Indelning>
  </Omfattning>
  <Omfattning>
    <identitet>pf_vatten03</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pf_riskföröversvämning01</identitet>
    <Indelning>
      <tema>Planeringsförutsättningar</tema>
      <grupp>Hälsa och säkerhet</grupp>
      <undergrupp>Risk för översvämning</undergrupp>
    </Indelning>
  </Omfattning>
  <Omfattning>
    <identitet>pf_riskförerosion01</identitet>
    <Indelning>
      <tema>Planeringsförutsättningar</tema>
      <grupp>Hälsa och säkerhet</grupp>
      <undergrupp>Risk för erosion</undergrupp>
    </Indelning>
  </Omfattning>
  <Omfattning>
    <identitet>gf_kulturvärden01</identitet>
    <Indelning>
      <tema>Genomförandefrågor</tema>
      <grupp>Kulturvärden</grupp>
    </Indelning>
  </Omfattning>
  <Omfattning>
    <identitet>pf_fysiskmiljö01</identitet>
    <Indelning>
      <tema>Planeringsförutsättningar</tema>
      <grupp>Fysisk miljö</grupp>
    </Indelning>
  </Omfattning>
  <Omfattning>
    <identitet>pf_teknik01</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pu_detaljplan01</identitet>
    <Indelning>
      <tema>Planeringsunderlag</tema>
      <grupp>Kommunala</grupp>
      <undergrupp>Detaljplan</under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pu_undersökningenl6kap6_mb01</identitet>
    <Indelning>
      <tema>Planeringsunderlag</tema>
      <grupp>Kommunala</grupp>
      <undergrupp>Undersökning enligt 6 kap. 6 § miljöbalken (1998:808)</undergrupp>
    </Indelning>
  </Omfattning>
  <Omfattning>
    <identitet>pu_bullerutredning01</identitet>
    <Indelning>
      <tema>Planeringsunderlag</tema>
      <grupp>Utredningar</grupp>
      <undergrupp>Bullerutredning</undergrupp>
    </Indelning>
  </Omfattning>
  <Omfattning>
    <identitet>pu_riskutredning01</identitet>
    <Indelning>
      <tema>Planeringsunderlag</tema>
      <grupp>Utredningar</grupp>
      <undergrupp>Riskutredning</undergrupp>
    </Indelning>
  </Omfattning>
  <Omfattning>
    <identitet>pu_kulturmiljöutredning01</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277c0c0f-3ccf-4067-a0df-6bd6e6fdcbef_f0">
          <gml:exterior>
            <gml:LinearRing>
              <gml:posList>7122219.718 123955.742 7122200.319 123947.646 7122200.511 123947.185 7122205.175 123936.01 7122210.634 123938.288 7122211.81 123935.47 7122220.336 123939.028 7122219.16 123941.846 7122224.574 123944.106 7122219.91 123955.281 7122219.718 123955.742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f2a18137-6845-4cd4-8853-2fee51487b48_f0">
          <gml:exterior>
            <gml:LinearRing>
              <gml:posList>7122237.946 123909.767 7122234.434 123918.181 7122230.343 123916.474 7122229.596 123918.265 7122220.111 123914.306 7122220.858 123912.515 7122217.117 123910.954 7122216.731 123910.793 7122220.205 123902.379 7122220.213 123902.36 7122220.636 123902.536 7122220.674 123902.552 7122224.456 123904.13 7122225.889 123904.728 7122227.945 123905.586 7122237.487 123909.567 7122237.948 123909.76 7122237.946 123909.767</gml:posList>
            </gml:LinearRing>
          </gml:exterior>
        </gml:Polygon>
      </lmg:Position>
    </lmg:Ytgeometri>
    <objektreferens>277c0c0f-3ccf-4067-a0df-6bd6e6fdcbef</objektreferens>
    <objektreferens>f2a18137-6845-4cd4-8853-2fee51487b48</objektreferens>
    <Indelning>
      <tema>Planeringsunderlag</tema>
      <grupp>Utredningar</grupp>
      <undergrupp>Kulturmiljöutredning</undergrupp>
    </Indelning>
  </Omfattning>
  <Omfattning>
    <identitet>ko_fastigheterochrättigheter01</identitet>
    <Indelning>
      <tema>Konsekvenser</tema>
      <grupp>Fastigheter och rättigheter</grupp>
    </Indelning>
  </Omfattning>
  <Omfattning>
    <identitet>ko_miljökvalitetsnormer01</identitet>
    <Indelning>
      <tema>Konsekvenser</tema>
      <grupp>Miljökvalitetsnormer</grupp>
    </Indelning>
  </Omfattning>
  <Omfattning>
    <identitet>ko_beräkningavomgivningsbuller01</identitet>
    <Indelning>
      <tema>Konsekvenser</tema>
      <grupp>Hälsa och säkerhet</grupp>
      <undergrupp>Beräkning av omgivningsbuller</undergrupp>
    </Indelning>
  </Omfattning>
  <Omfattning>
    <identitet>ko_översvämning01</identitet>
    <Indelning>
      <tema>Konsekvenser</tema>
      <grupp>Hälsa och säkerhet</grupp>
      <undergrupp>Översvämning</undergrupp>
    </Indelning>
  </Omfattning>
  <Omfattning>
    <identitet>ko_erosion01</identitet>
    <Indelning>
      <tema>Konsekvenser</tema>
      <grupp>Hälsa och säkerhet</grupp>
      <undergrupp>Erosion</undergrupp>
    </Indelning>
  </Omfattning>
  <Omfattning>
    <identitet>ko_olyckor01</identitet>
    <Indelning>
      <tema>Konsekvenser</tema>
      <grupp>Hälsa och säkerhet</grupp>
      <undergrupp>Olyckor</undergrupp>
    </Indelning>
  </Omfattning>
  <Omfattning>
    <identitet>ko_skyddadevattendrag01</identitet>
    <Indelning>
      <tema>Konsekvenser</tema>
      <grupp>Riksintresse</grupp>
      <undergrupp>Skyddade vattendrag</undergrupp>
    </Indelning>
  </Omfattning>
  <Omfattning>
    <identitet>ko_trafik01</identitet>
    <Indelning>
      <tema>Konsekvenser</tema>
      <grupp>Trafik</grupp>
    </Indelning>
  </Omfattning>
  <Omfattning>
    <identitet>gf_skyldighetinlösenhuvudman01</identitet>
    <Indelning>
      <tema>Genomförandefrågor</tema>
      <grupp>Mark- och utrymmesförvärv</grupp>
      <undergrupp>Skyldighet inlösen, huvudman</undergrupp>
    </Indelning>
  </Omfattning>
  <Omfattning>
    <identitet>gf_rätttillinlösenhuvudman01</identitet>
    <Indelning>
      <tema>Genomförandefrågor</tema>
      <grupp>Mark- och utrymmesförvärv</grupp>
      <undergrupp>Rätt till inlösen, huvudman</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gf_ersättningsanspråk01</identitet>
    <Indelning>
      <tema>Genomförandefrågor</tema>
      <grupp>Ekonomiska frågor</grupp>
      <undergrupp>Ersättningsanspråk</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gf_rivningsförbud01</identitet>
    <Indelning>
      <tema>Genomförandefrågor</tema>
      <grupp>Kulturvärden</grupp>
      <undergrupp>Rivningsförbud</undergrupp>
    </Indelning>
  </Omfattning>
  <Omfattning>
    <identitet>gf_bevarandekrav01</identitet>
    <Indelning>
      <tema>Genomförandefrågor</tema>
      <grupp>Kulturvärden</grupp>
      <undergrupp>Bevarandekrav</undergrupp>
    </Indelning>
  </Omfattning>
  <Omfattning>
    <identitet>pf_riskföröversvämning02</identitet>
    <Indelning>
      <tema>Planeringsförutsättningar</tema>
      <grupp>Hälsa och säkerhet</grupp>
      <undergrupp>Risk för översvämning</under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be_ärendeinformation03</identitet>
    <Indelning>
      <tema>Beskrivning av detaljplanen</tema>
      <grupp>Ärendeinformation</grupp>
    </Indelning>
  </Omfattning>
  <Omfattning>
    <identitet>be_ärendeinformation04</identitet>
    <Indelning>
      <tema>Beskrivning av detaljplanen</tema>
      <grupp>Ärendeinformation</grupp>
    </Indelning>
  </Omfattning>
  <Omfattning>
    <identitet>be_ärendeinformation05</identitet>
    <Indelning>
      <tema>Beskrivning av detaljplanen</tema>
      <grupp>Ärendeinformation</grupp>
    </Indelning>
  </Omfattning>
  <Omfattning>
    <identitet>be_ärendeinformation06</identitet>
    <Indelning>
      <tema>Beskrivning av detaljplanen</tema>
      <grupp>Ärendeinformation</grupp>
    </Indelning>
  </Omfattning>
  <Omfattning>
    <identitet>Kartlänk_03</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277c0c0f-3ccf-4067-a0df-6bd6e6fdcbef_f1">
          <gml:exterior>
            <gml:LinearRing>
              <gml:posList>7122219.718 123955.742 7122200.319 123947.646 7122200.511 123947.185 7122205.175 123936.01 7122210.634 123938.288 7122211.81 123935.47 7122220.336 123939.028 7122219.16 123941.846 7122224.574 123944.106 7122219.91 123955.281 7122219.718 123955.742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f2a18137-6845-4cd4-8853-2fee51487b48_f1">
          <gml:exterior>
            <gml:LinearRing>
              <gml:posList>7122237.946 123909.767 7122234.434 123918.181 7122230.343 123916.474 7122229.596 123918.265 7122220.111 123914.306 7122220.858 123912.515 7122217.117 123910.954 7122216.731 123910.793 7122220.205 123902.379 7122220.213 123902.36 7122220.636 123902.536 7122220.674 123902.552 7122224.456 123904.13 7122225.889 123904.728 7122227.945 123905.586 7122237.487 123909.567 7122237.948 123909.76 7122237.946 123909.767</gml:posList>
            </gml:LinearRing>
          </gml:exterior>
        </gml:Polygon>
      </lmg:Position>
    </lmg:Ytgeometri>
    <objektreferens>277c0c0f-3ccf-4067-a0df-6bd6e6fdcbef</objektreferens>
    <objektreferens>f2a18137-6845-4cd4-8853-2fee51487b48</objektreferens>
  </Omfattning>
  <Omfattning>
    <identitet>Kartlänk_04</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277c0c0f-3ccf-4067-a0df-6bd6e6fdcbef_f2">
          <gml:exterior>
            <gml:LinearRing>
              <gml:posList>7122219.718 123955.742 7122200.319 123947.646 7122200.511 123947.185 7122205.175 123936.01 7122210.634 123938.288 7122211.81 123935.47 7122220.336 123939.028 7122219.16 123941.846 7122224.574 123944.106 7122219.91 123955.281 7122219.718 123955.742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f2a18137-6845-4cd4-8853-2fee51487b48_f2">
          <gml:exterior>
            <gml:LinearRing>
              <gml:posList>7122237.946 123909.767 7122234.434 123918.181 7122230.343 123916.474 7122229.596 123918.265 7122220.111 123914.306 7122220.858 123912.515 7122217.117 123910.954 7122216.731 123910.793 7122220.205 123902.379 7122220.213 123902.36 7122220.636 123902.536 7122220.674 123902.552 7122224.456 123904.13 7122225.889 123904.728 7122227.945 123905.586 7122237.487 123909.567 7122237.948 123909.76 7122237.946 123909.767</gml:posList>
            </gml:LinearRing>
          </gml:exterior>
        </gml:Polygon>
      </lmg:Position>
    </lmg:Ytgeometri>
    <objektreferens>277c0c0f-3ccf-4067-a0df-6bd6e6fdcbef</objektreferens>
    <objektreferens>f2a18137-6845-4cd4-8853-2fee51487b48</objektreferens>
  </Omfattning>
  <Omfattning>
    <identitet>Kartlänk_05</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d94d4076-aeab-4732-8ec5-7d677fa22d0a_f0">
          <gml:exterior>
            <gml:LinearRing>
              <gml:posList>7122246.74 123914.1 7122240.117 123941.162 7122228.509 123959.411 7122219.718 123955.742 7122219.91 123955.281 7122224.574 123944.106 7122219.16 123941.846 7122220.336 123939.028 7122211.81 123935.47 7122210.634 123938.288 7122205.175 123936.01 7122200.511 123947.185 7122200.319 123947.646 7122195.592 123945.673 7122215.766 123913.13 7122215.768 123913.127 7122216.731 123910.793 7122217.117 123910.954 7122220.858 123912.515 7122220.111 123914.306 7122229.596 123918.265 7122230.343 123916.474 7122234.434 123918.181 7122237.946 123909.767 7122247.227 123913.632 7122246.74 123914.1</gml:posList>
            </gml:LinearRing>
          </gml:exterior>
        </gml:Polygon>
      </lmg:Position>
    </lmg:Ytgeometri>
    <objektreferens>d94d4076-aeab-4732-8ec5-7d677fa22d0a</objektreferens>
  </Omfattning>
  <Omfattning>
    <identitet>Kartlänk_06</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d94d4076-aeab-4732-8ec5-7d677fa22d0a_f1">
          <gml:exterior>
            <gml:LinearRing>
              <gml:posList>7122246.74 123914.1 7122240.117 123941.162 7122228.509 123959.411 7122219.718 123955.742 7122219.91 123955.281 7122224.574 123944.106 7122219.16 123941.846 7122220.336 123939.028 7122211.81 123935.47 7122210.634 123938.288 7122205.175 123936.01 7122200.511 123947.185 7122200.319 123947.646 7122195.592 123945.673 7122215.766 123913.13 7122215.768 123913.127 7122216.731 123910.793 7122217.117 123910.954 7122220.858 123912.515 7122220.111 123914.306 7122229.596 123918.265 7122230.343 123916.474 7122234.434 123918.181 7122237.946 123909.767 7122247.227 123913.632 7122246.74 123914.1</gml:posList>
            </gml:LinearRing>
          </gml:exterior>
        </gml:Polygon>
      </lmg:Position>
    </lmg:Ytgeometri>
    <objektreferens>d94d4076-aeab-4732-8ec5-7d677fa22d0a</objektreferens>
  </Omfattning>
  <Omfattning>
    <identitet>Kartlänk_07</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d94d4076-aeab-4732-8ec5-7d677fa22d0a_f2">
          <gml:exterior>
            <gml:LinearRing>
              <gml:posList>7122246.74 123914.1 7122240.117 123941.162 7122228.509 123959.411 7122219.718 123955.742 7122219.91 123955.281 7122224.574 123944.106 7122219.16 123941.846 7122220.336 123939.028 7122211.81 123935.47 7122210.634 123938.288 7122205.175 123936.01 7122200.511 123947.185 7122200.319 123947.646 7122195.592 123945.673 7122215.766 123913.13 7122215.768 123913.127 7122216.731 123910.793 7122217.117 123910.954 7122220.858 123912.515 7122220.111 123914.306 7122229.596 123918.265 7122230.343 123916.474 7122234.434 123918.181 7122237.946 123909.767 7122247.227 123913.632 7122246.74 123914.1</gml:posList>
            </gml:LinearRing>
          </gml:exterior>
        </gml:Polygon>
      </lmg:Position>
    </lmg:Ytgeometri>
    <objektreferens>d94d4076-aeab-4732-8ec5-7d677fa22d0a</objektreferens>
  </Omfattning>
  <Omfattning>
    <identitet>Kartlänk_08</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fb07bbb9-0cdc-49b8-a71e-8453e01d418d_f0">
          <gml:exterior>
            <gml:LinearRing>
              <gml:posList>7122205.005 123987.292 7122184.244 123973.642 7122176.641 123968.663 7122183.033 123958.352 7122183.57 123957.485 7122218.188 123901.639 7122220.205 123902.379 7122216.731 123910.793 7122215.768 123913.127 7122215.766 123913.13 7122195.592 123945.673 7122200.319 123947.646 7122219.718 123955.742 7122228.509 123959.411 7122240.117 123941.162 7122246.74 123914.1 7122247.227 123913.632 7122250.625 123915.05 7122243.846 123942.753 7122214.729 123988.527 7122214.179 123989.392 7122212.419 123992.16 7122209.162 123990.022 7122205.005 123987.292</gml:posList>
            </gml:LinearRing>
          </gml:exterior>
        </gml:Polygon>
      </lmg:Position>
    </lmg:Ytgeometri>
    <objektreferens>fb07bbb9-0cdc-49b8-a71e-8453e01d418d</objektreferens>
  </Omfattning>
  <Omfattning>
    <identitet>Kartlänk_09</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fb07bbb9-0cdc-49b8-a71e-8453e01d418d_f1">
          <gml:exterior>
            <gml:LinearRing>
              <gml:posList>7122205.005 123987.292 7122184.244 123973.642 7122176.641 123968.663 7122183.033 123958.352 7122183.57 123957.485 7122218.188 123901.639 7122220.205 123902.379 7122216.731 123910.793 7122215.768 123913.127 7122215.766 123913.13 7122195.592 123945.673 7122200.319 123947.646 7122219.718 123955.742 7122228.509 123959.411 7122240.117 123941.162 7122246.74 123914.1 7122247.227 123913.632 7122250.625 123915.05 7122243.846 123942.753 7122214.729 123988.527 7122214.179 123989.392 7122212.419 123992.16 7122209.162 123990.022 7122205.005 123987.292</gml:posList>
            </gml:LinearRing>
          </gml:exterior>
        </gml:Polygon>
      </lmg:Position>
    </lmg:Ytgeometri>
    <objektreferens>fb07bbb9-0cdc-49b8-a71e-8453e01d418d</objektreferens>
  </Omfattning>
  <Omfattning>
    <identitet>Kartlänk_11</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b05cb54f-30bc-4876-864b-661dee6e820d_f0">
          <gml:exterior>
            <gml:LinearRing>
              <gml:posList>7122205.005 123987.292 7122184.244 123973.642 7122176.641 123968.663 7122183.033 123958.352 7122183.57 123957.485 7122214.729 123988.527 7122214.179 123989.392 7122212.419 123992.16 7122209.162 123990.022 7122205.005 123987.292</gml:posList>
            </gml:LinearRing>
          </gml:exterior>
        </gml:Polygon>
      </lmg:Position>
    </lmg:Ytgeometri>
    <objektreferens>b05cb54f-30bc-4876-864b-661dee6e820d</objektreferens>
  </Omfattning>
  <Omfattning>
    <identitet>Kartlänk_12</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8fdeb45b-5333-4065-a789-f6939dd3bee1_f1">
          <gml:exterior>
            <gml:LinearRing>
              <gml:posList>7122250.625 123915.05 7122247.227 123913.632 7122237.948 123909.76 7122237.487 123909.567 7122227.945 123905.586 7122225.889 123904.728 7122224.456 123904.13 7122220.674 123902.552 7122220.636 123902.536 7122220.213 123902.36 7122218.31 123901.564 7122233.419 123892.258 7122251.824 123910.151 7122250.625 123915.05</gml:posList>
            </gml:LinearRing>
          </gml:exterior>
        </gml:Polygon>
      </lmg:Position>
    </lmg:Ytgeometri>
    <objektreferens>8fdeb45b-5333-4065-a789-f6939dd3bee1</objektreferens>
  </Omfattning>
  <Omfattning>
    <identitet>Kartlänk_13</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8fdeb45b-5333-4065-a789-f6939dd3bee1_f2">
          <gml:exterior>
            <gml:LinearRing>
              <gml:posList>7122250.625 123915.05 7122247.227 123913.632 7122237.948 123909.76 7122237.487 123909.567 7122227.945 123905.586 7122225.889 123904.728 7122224.456 123904.13 7122220.674 123902.552 7122220.636 123902.536 7122220.213 123902.36 7122218.31 123901.564 7122233.419 123892.258 7122251.824 123910.151 7122250.625 123915.05</gml:posList>
            </gml:LinearRing>
          </gml:exterior>
        </gml:Polygon>
      </lmg:Position>
    </lmg:Ytgeometri>
    <objektreferens>8fdeb45b-5333-4065-a789-f6939dd3bee1</objektreferens>
  </Omfattning>
  <Omfattning>
    <identitet>Kartlänk_14</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b4333f95-c0ca-4a31-bf28-74372fed6f1b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b4333f95-c0ca-4a31-bf28-74372fed6f1b</objektreferens>
  </Omfattning>
  <Omfattning>
    <identitet>mo_motivtillreglering04</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997bb830-9d95-4e97-8713-cda7d84b4927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997bb830-9d95-4e97-8713-cda7d84b4927</objektreferens>
    <Indelning>
      <tema>Motiv till detaljplanens regleringar</tema>
      <grupp>Motiv till reglering</grupp>
    </Indelning>
  </Omfattning>
  <Omfattning>
    <identitet>mo_motivtillreglering01</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8fdeb45b-5333-4065-a789-f6939dd3bee1_f3">
          <gml:exterior>
            <gml:LinearRing>
              <gml:posList>7122250.625 123915.05 7122247.227 123913.632 7122237.948 123909.76 7122237.487 123909.567 7122227.945 123905.586 7122225.889 123904.728 7122224.456 123904.13 7122220.674 123902.552 7122220.636 123902.536 7122220.213 123902.36 7122218.31 123901.564 7122233.419 123892.258 7122251.824 123910.151 7122250.625 123915.05</gml:posList>
            </gml:LinearRing>
          </gml:exterior>
        </gml:Polygon>
      </lmg:Position>
    </lmg:Ytgeometri>
    <objektreferens>8fdeb45b-5333-4065-a789-f6939dd3bee1</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b4333f95-c0ca-4a31-bf28-74372fed6f1b_f1">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b4333f95-c0ca-4a31-bf28-74372fed6f1b</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bf134dc2-a031-4505-a61c-3367a8b5d37d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bf134dc2-a031-4505-a61c-3367a8b5d37d</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d718e759-8dc9-431b-b56a-778e3e7c4ef3_f0">
          <gml:exterior>
            <gml:LinearRing>
              <gml:posList>7122237.946 123909.767 7122234.434 123918.181 7122230.343 123916.474 7122229.596 123918.265 7122220.111 123914.306 7122220.858 123912.515 7122217.117 123910.954 7122216.731 123910.793 7122220.205 123902.379 7122220.213 123902.36 7122220.636 123902.536 7122220.674 123902.552 7122224.456 123904.13 7122225.889 123904.728 7122227.945 123905.586 7122237.487 123909.567 7122237.948 123909.76 7122237.946 123909.767</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ab10a80d-1931-476d-8a2d-fce3a2e49108_f0">
          <gml:exterior>
            <gml:LinearRing>
              <gml:posList>7122219.718 123955.742 7122200.319 123947.646 7122200.511 123947.185 7122205.175 123936.01 7122210.634 123938.288 7122211.81 123935.47 7122220.336 123939.028 7122219.16 123941.846 7122224.574 123944.106 7122219.91 123955.281 7122219.718 123955.742</gml:posList>
            </gml:LinearRing>
          </gml:exterior>
        </gml:Polygon>
      </lmg:Position>
    </lmg:Ytgeometri>
    <objektreferens>d718e759-8dc9-431b-b56a-778e3e7c4ef3</objektreferens>
    <objektreferens>ab10a80d-1931-476d-8a2d-fce3a2e49108</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2b0da7b1-164e-4bf9-b5b3-be1632e88fe3_f0">
          <gml:exterior>
            <gml:LinearRing>
              <gml:posList>7122246.74 123914.1 7122240.117 123941.162 7122228.509 123959.411 7122219.718 123955.742 7122219.91 123955.281 7122224.574 123944.106 7122219.16 123941.846 7122220.336 123939.028 7122211.81 123935.47 7122210.634 123938.288 7122205.175 123936.01 7122200.511 123947.185 7122200.319 123947.646 7122195.592 123945.673 7122215.766 123913.13 7122215.768 123913.127 7122216.731 123910.793 7122217.117 123910.954 7122220.858 123912.515 7122220.111 123914.306 7122229.596 123918.265 7122230.343 123916.474 7122234.434 123918.181 7122237.946 123909.767 7122247.227 123913.632 7122246.74 123914.1</gml:posList>
            </gml:LinearRing>
          </gml:exterior>
        </gml:Polygon>
      </lmg:Position>
    </lmg:Ytgeometri>
    <objektreferens>2b0da7b1-164e-4bf9-b5b3-be1632e88fe3</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3def3126-64a3-4f0b-8203-5b40796e2212_f0">
          <gml:exterior>
            <gml:LinearRing>
              <gml:posList>7122205.005 123987.292 7122184.244 123973.642 7122176.641 123968.663 7122183.033 123958.352 7122183.57 123957.485 7122218.188 123901.639 7122220.205 123902.379 7122216.731 123910.793 7122215.768 123913.127 7122215.766 123913.13 7122195.592 123945.673 7122200.319 123947.646 7122219.718 123955.742 7122228.509 123959.411 7122240.117 123941.162 7122246.74 123914.1 7122247.227 123913.632 7122250.625 123915.05 7122243.846 123942.753 7122214.729 123988.527 7122214.179 123989.392 7122212.419 123992.16 7122209.162 123990.022 7122205.005 123987.292</gml:posList>
            </gml:LinearRing>
          </gml:exterior>
        </gml:Polygon>
      </lmg:Position>
    </lmg:Ytgeometri>
    <objektreferens>3def3126-64a3-4f0b-8203-5b40796e2212</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483cad27-648a-413c-95fd-3eed76be5ebf_f0">
          <gml:exterior>
            <gml:LinearRing>
              <gml:posList>7122228.509 123959.411 7122219.718 123955.742 7122219.91 123955.281 7122224.574 123944.106 7122219.16 123941.846 7122220.336 123939.028 7122211.81 123935.47 7122210.634 123938.288 7122205.175 123936.01 7122200.511 123947.185 7122200.319 123947.646 7122195.366 123946.036 7122195.592 123945.673 7122215.766 123913.13 7122215.768 123913.127 7122216.731 123910.793 7122217.117 123910.954 7122220.858 123912.515 7122220.111 123914.306 7122229.596 123918.265 7122230.343 123916.474 7122234.434 123918.181 7122237.946 123909.767 7122247.227 123913.632 7122246.74 123914.1 7122240.117 123941.162 7122228.509 123959.411</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483cad27-648a-413c-95fd-3eed76be5ebf_f1">
          <gml:exterior>
            <gml:LinearRing>
              <gml:posList>7122228.509 123959.411 7122219.718 123955.742 7122219.91 123955.281 7122224.574 123944.106 7122219.16 123941.846 7122220.336 123939.028 7122211.81 123935.47 7122210.634 123938.288 7122205.175 123936.01 7122200.511 123947.185 7122200.319 123947.646 7122195.366 123946.036 7122195.592 123945.673 7122215.766 123913.13 7122215.768 123913.127 7122216.731 123910.793 7122217.117 123910.954 7122220.858 123912.515 7122220.111 123914.306 7122229.596 123918.265 7122230.343 123916.474 7122234.434 123918.181 7122237.946 123909.767 7122247.227 123913.632 7122246.74 123914.1 7122240.117 123941.162 7122228.509 123959.411</gml:posList>
            </gml:LinearRing>
          </gml:exterior>
        </gml:Polygon>
      </lmg:Position>
    </lmg:Ytgeometri>
    <objektreferens>483cad27-648a-413c-95fd-3eed76be5ebf</objektreferens>
    <objektreferens>483cad27-648a-413c-95fd-3eed76be5ebf</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a943d3a9-3c0d-495b-9576-50323c3c6959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a943d3a9-3c0d-495b-9576-50323c3c6959</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b03add0f-de25-4a6b-aade-1af3b778e588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b03add0f-de25-4a6b-aade-1af3b778e588</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9dfbbebc-20de-49c1-b4e9-f558970f59da_f0">
          <gml:exterior>
            <gml:LinearRing>
              <gml:posList>7122205.005 123987.292 7122184.244 123973.642 7122176.641 123968.663 7122183.033 123958.352 7122183.57 123957.485 7122214.729 123988.527 7122214.179 123989.392 7122212.419 123992.16 7122209.162 123990.022 7122205.005 123987.292</gml:posList>
            </gml:LinearRing>
          </gml:exterior>
        </gml:Polygon>
      </lmg:Position>
    </lmg:Ytgeometri>
    <objektreferens>9dfbbebc-20de-49c1-b4e9-f558970f59da</objektreferens>
    <Indelning>
      <tema>Motiv till detaljplanens regleringar</tema>
      <grupp>Motiv till reglering</grupp>
    </Indelning>
  </Omfattning>
  <Omfattning>
    <identitet>mo_motivtillreglering12</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66f2871f-3678-46ef-b6aa-ff7cd7d70dc2_f0">
          <gml:exterior>
            <gml:LinearRing>
              <gml:posList>7122219.718 123955.742 7122200.319 123947.646 7122200.511 123947.185 7122205.175 123936.01 7122210.634 123938.288 7122211.81 123935.47 7122220.336 123939.028 7122219.16 123941.846 7122224.574 123944.106 7122219.91 123955.281 7122219.718 123955.742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275c50b6-2cd1-4e2b-8600-f096006f9b1d_f0">
          <gml:exterior>
            <gml:LinearRing>
              <gml:posList>7122237.946 123909.767 7122234.434 123918.181 7122230.343 123916.474 7122229.596 123918.265 7122220.111 123914.306 7122220.858 123912.515 7122217.117 123910.954 7122216.731 123910.793 7122220.205 123902.379 7122220.213 123902.36 7122220.636 123902.536 7122220.674 123902.552 7122224.456 123904.13 7122225.889 123904.728 7122227.945 123905.586 7122237.487 123909.567 7122237.948 123909.76 7122237.946 123909.767</gml:posList>
            </gml:LinearRing>
          </gml:exterior>
        </gml:Polygon>
      </lmg:Position>
    </lmg:Ytgeometri>
    <objektreferens>66f2871f-3678-46ef-b6aa-ff7cd7d70dc2</objektreferens>
    <objektreferens>275c50b6-2cd1-4e2b-8600-f096006f9b1d</objektreferens>
    <Indelning>
      <tema>Motiv till detaljplanens regleringar</tema>
      <grupp>Motiv till reglering</grupp>
    </Indelning>
  </Omfattning>
  <Omfattning>
    <identitet>mo_motivtillreglering13</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8b50b42f-24f7-482f-86f5-6a30c674aaee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8b50b42f-24f7-482f-86f5-6a30c674aaee</objektreferens>
    <Indelning>
      <tema>Motiv till detaljplanens regleringar</tema>
      <grupp>Motiv till reglering</grupp>
    </Indelning>
  </Omfattning>
  <Omfattning>
    <identitet>mo_motivtillreglering14</identitet>
    <lmg:Ytgeometri>
      <lmg:absolutLagesosakerhetPlan>0</lmg:absolutLagesosakerhetPlan>
      <lmg:absolutLagesosakerhetHojd>0</lmg:absolutLagesosakerhetHojd>
      <lmg:koordinatsystemPlan>EPSG:3016</lmg:koordinatsystemPlan>
      <lmg:hojdsystem>RH 2000</lmg:hojdsystem>
      <lmg:dimension>2</lmg:dimension>
      <lmg:Position>
        <gml:Polygon gml:id="a95b77b0-f76c-478a-aa06-10e34454a211_f0">
          <gml:exterior>
            <gml:LinearRing>
              <gml:posList>7122205.005 123987.292 7122184.244 123973.642 7122176.641 123968.663 7122183.033 123958.352 7122183.57 123957.485 7122218.188 123901.639 7122220.205 123902.379 7122216.731 123910.793 7122215.768 123913.127 7122215.766 123913.13 7122195.592 123945.673 7122200.319 123947.646 7122219.718 123955.742 7122228.509 123959.411 7122240.117 123941.162 7122246.74 123914.1 7122247.227 123913.632 7122250.625 123915.05 7122243.846 123942.753 7122214.729 123988.527 7122214.179 123989.392 7122212.419 123992.16 7122209.162 123990.022 7122205.005 123987.292</gml:posList>
            </gml:LinearRing>
          </gml:exterior>
        </gml:Polygon>
      </lmg:Position>
    </lmg:Ytgeometri>
    <objektreferens>a95b77b0-f76c-478a-aa06-10e34454a211</objektreferens>
    <Indelning>
      <tema>Motiv till detaljplanens regleringar</tema>
      <grupp>Motiv till reglering</grupp>
    </Indelning>
  </Omfattning>
  <Omfattning>
    <identitet>mo_motivtillreglering15</identitet>
    <lmg:Ytgeometri>
      <lmg:absolutLagesosakerhetPlan>0</lmg:absolutLagesosakerhetPlan>
      <lmg:absolutLagesosakerhetHojd>0</lmg:absolutLagesosakerhetHojd>
      <lmg:koordinatsystemPlan>EPSG:3016</lmg:koordinatsystemPlan>
      <lmg:hojdsystem>RH 2000</lmg:hojdsystem>
      <lmg:dimension>2</lmg:dimension>
      <lmg:Position>
        <gml:Polygon>
          <gml:exterior>
            <gml:LinearRing>
              <gml:posList>7122184.244 123973.642 7122176.641 123968.663 7122183.033 123958.352 7122183.57 123957.485 7122218.188 123901.639 7122218.31 123901.564 7122233.419 123892.258 7122251.824 123910.151 7122250.625 123915.05 7122243.846 123942.753 7122214.729 123988.527 7122214.179 123989.392 7122212.419 123992.16 7122209.162 123990.022 7122205.005 123987.292 7122184.244 123973.642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cf1731b3-51b0-45e7-b03f-2b63324e83d2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cf1731b3-51b0-45e7-b03f-2b63324e83d2_f1">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cf1731b3-51b0-45e7-b03f-2b63324e83d2_f2">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cf1731b3-51b0-45e7-b03f-2b63324e83d2_f3">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cf1731b3-51b0-45e7-b03f-2b63324e83d2</objektreferens>
    <objektreferens>cf1731b3-51b0-45e7-b03f-2b63324e83d2</objektreferens>
    <objektreferens>cf1731b3-51b0-45e7-b03f-2b63324e83d2</objektreferens>
    <objektreferens>cf1731b3-51b0-45e7-b03f-2b63324e83d2</objektreferens>
    <Indelning>
      <tema>Motiv till detaljplanens regleringar</tema>
      <grupp>Motiv till reglering</grupp>
    </Indelning>
  </Omfattning>
  <Omfattning>
    <identitet>mo_motivtillreglering16</identitet>
    <lmg:Ytgeometri>
      <lmg:absolutLagesosakerhetPlan>0</lmg:absolutLagesosakerhetPlan>
      <lmg:absolutLagesosakerhetHojd>0</lmg:absolutLagesosakerhetHojd>
      <lmg:koordinatsystemPlan>EPSG:3016</lmg:koordinatsystemPlan>
      <lmg:hojdsystem>RH 2000</lmg:hojdsystem>
      <lmg:dimension>2</lmg:dimension>
      <lmg:Position>
        <gml:Polygon>
          <gml:exterior>
            <gml:LinearRing>
              <gml:posList>7122184.244 123973.642 7122176.641 123968.663 7122183.033 123958.352 7122183.57 123957.485 7122218.188 123901.639 7122218.31 123901.564 7122233.419 123892.258 7122251.824 123910.151 7122250.625 123915.05 7122243.846 123942.753 7122214.729 123988.527 7122214.179 123989.392 7122212.419 123992.16 7122209.162 123990.022 7122205.005 123987.292 7122184.244 123973.642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e211e08d-d17a-472d-82a2-6825a17a64bc_f0">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e211e08d-d17a-472d-82a2-6825a17a64bc_f1">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lmg:Ytgeometri>
      <lmg:absolutLagesosakerhetPlan>0</lmg:absolutLagesosakerhetPlan>
      <lmg:absolutLagesosakerhetHojd>0</lmg:absolutLagesosakerhetHojd>
      <lmg:koordinatsystemPlan>EPSG:3016</lmg:koordinatsystemPlan>
      <lmg:hojdsystem>RH 2000</lmg:hojdsystem>
      <lmg:dimension>2</lmg:dimension>
      <lmg:Position>
        <gml:Polygon gml:id="e211e08d-d17a-472d-82a2-6825a17a64bc_f2">
          <gml:exterior>
            <gml:LinearRing>
              <gml:posList>7122184.244 123973.642 7122176.641 123968.663 7122183.033 123958.352 7122183.57 123957.485 7122218.188 123901.639 7122218.31 123901.564 7122220.213 123902.36 7122220.636 123902.536 7122220.674 123902.552 7122224.456 123904.13 7122225.889 123904.728 7122227.945 123905.586 7122237.487 123909.567 7122237.948 123909.76 7122247.227 123913.632 7122250.625 123915.05 7122243.846 123942.753 7122214.729 123988.527 7122214.179 123989.392 7122212.419 123992.16 7122209.162 123990.022 7122205.005 123987.292 7122184.244 123973.642</gml:posList>
            </gml:LinearRing>
          </gml:exterior>
        </gml:Polygon>
      </lmg:Position>
    </lmg:Ytgeometri>
    <objektreferens>e211e08d-d17a-472d-82a2-6825a17a64bc</objektreferens>
    <objektreferens>e211e08d-d17a-472d-82a2-6825a17a64bc</objektreferens>
    <objektreferens>e211e08d-d17a-472d-82a2-6825a17a64bc</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60405fb7-25b0-4a05-a040-42da3161106f}">
  <ds:schemaRefs>
    <ds:schemaRef ds:uri="http://schemas.microsoft.com/vsto/samples"/>
  </ds:schemaRefs>
</ds:datastoreItem>
</file>

<file path=customXml/itemProps2.xml><?xml version="1.0" encoding="utf-8"?>
<ds:datastoreItem xmlns:ds="http://schemas.openxmlformats.org/officeDocument/2006/customXml" ds:itemID="016316cf-8327-49bb-a676-ef3a93099015">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Vindelns kommun</Company>
  <Template>Mall för planer och reglementen mm.dot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Anna</dc:creator>
  <dcterms:created xsi:type="dcterms:W3CDTF">2024-02-28T15:03:00Z</dcterms:created>
  <cp:keywords>Mall;detaljplan;planbeskrivning</cp:keywords>
  <cp:lastModifiedBy>Rebecka Lind</cp:lastModifiedBy>
  <cp:lastPrinted>2013-01-16T10:30:00Z</cp:lastPrinted>
  <dcterms:modified xsi:type="dcterms:W3CDTF">2024-03-01T15:00:16Z</dcterms:modified>
  <cp:revision>13</cp:revision>
  <dc:title>Planbeskrivning</dc:title>
</cp:coreProperties>
</file>