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rFonts w:cstheme="minorHAnsi"/>
          <w:b w:val="1"/>
          <w:bCs w:val="1"/>
          <w:sz w:val="44"/>
          <w:szCs w:val="44"/>
        </w:rPr>
      </w:pPr>
      <w:bookmarkStart w:id="0" w:name="_Hlk103004653"/>
      <w:r>
        <w:rPr>
          <w:rFonts w:cstheme="minorHAnsi"/>
          <w:b w:val="1"/>
          <w:bCs w:val="1"/>
          <w:sz w:val="44"/>
          <w:szCs w:val="44"/>
        </w:rPr>
        <w:t>Planbeskrivning</w:t>
      </w:r>
    </w:p>
    <w:p>
      <w:pPr>
        <w:rPr>
          <w:rFonts w:cstheme="minorHAnsi"/>
          <w:sz w:val="32"/>
          <w:szCs w:val="32"/>
        </w:rPr>
      </w:pPr>
      <w:r>
        <w:rPr>
          <w:rFonts w:cstheme="minorHAnsi"/>
          <w:sz w:val="32"/>
          <w:szCs w:val="32"/>
        </w:rPr>
        <w:t>Lagakrafthandling</w:t>
      </w:r>
    </w:p>
    <w:p>
      <w:pPr>
        <w:rPr>
          <w:rFonts w:cstheme="minorHAnsi"/>
          <w:sz w:val="32"/>
          <w:szCs w:val="32"/>
        </w:rPr>
      </w:pPr>
      <w:r>
        <w:rPr>
          <w:rFonts w:cstheme="minorHAnsi"/>
          <w:noProof w:val="1"/>
          <w:sz w:val="32"/>
          <w:szCs w:val="32"/>
        </w:rPr>
        <w:drawing>
          <wp:inline xmlns:wp="http://schemas.openxmlformats.org/drawingml/2006/wordprocessingDrawing" distT="0" distB="0" distL="0" distR="0">
            <wp:extent cx="5713730" cy="5492115"/>
            <wp:effectExtent l="19050" t="19050" r="20320" b="13335"/>
            <wp:docPr id="304542129" name="Bildobjekt 1" descr="En bild som visar karta, Flygfotografi, Fågelperspektiv, Stads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42129" name="Bildobjekt 1" descr="En bild som visar karta, Flygfotografi, Fågelperspektiv, Stadsdesign&#10;&#10;AI-genererat innehåll kan vara felaktigt."/>
                    <pic:cNvPicPr/>
                  </pic:nvPicPr>
                  <pic:blipFill dpi="0">
                    <a:blip xmlns:r="http://schemas.openxmlformats.org/officeDocument/2006/relationships" r:embed="Relimage1"/>
                    <a:srcRect/>
                    <a:stretch>
                      <a:fillRect/>
                    </a:stretch>
                  </pic:blipFill>
                  <pic:spPr>
                    <a:xfrm>
                      <a:off x="0" y="0"/>
                      <a:ext cx="5724516" cy="5502401"/>
                    </a:xfrm>
                    <a:prstGeom prst="rect"/>
                    <a:ln w="6350">
                      <a:solidFill>
                        <a:sysClr val="windowText"/>
                      </a:solidFill>
                    </a:ln>
                  </pic:spPr>
                </pic:pic>
              </a:graphicData>
            </a:graphic>
          </wp:inline>
        </w:drawing>
      </w:r>
    </w:p>
    <w:p>
      <w:pPr>
        <w:spacing w:lineRule="auto" w:line="192" w:beforeAutospacing="0" w:afterAutospacing="0"/>
        <w:rPr>
          <w:rFonts w:cstheme="minorHAnsi" w:eastAsia="Arial"/>
          <w:b w:val="1"/>
          <w:bCs w:val="1"/>
          <w:sz w:val="36"/>
          <w:szCs w:val="36"/>
          <w:lang w:eastAsia="sv-SE"/>
        </w:rPr>
      </w:pPr>
      <w:r>
        <w:rPr>
          <w:rFonts w:cstheme="minorHAnsi" w:eastAsia="Arial"/>
          <w:b w:val="1"/>
          <w:bCs w:val="1"/>
          <w:sz w:val="36"/>
          <w:szCs w:val="36"/>
          <w:lang w:eastAsia="sv-SE"/>
        </w:rPr>
        <w:t>Detaljplan för Nedre Vasagatan</w:t>
      </w:r>
    </w:p>
    <w:p>
      <w:pPr>
        <w:spacing w:lineRule="auto" w:line="192" w:after="4" w:beforeAutospacing="0" w:afterAutospacing="0"/>
        <w:rPr>
          <w:rFonts w:cstheme="minorHAnsi" w:eastAsia="Arial"/>
          <w:szCs w:val="24"/>
          <w:lang w:eastAsia="sv-SE"/>
        </w:rPr>
      </w:pPr>
      <w:bookmarkStart w:id="1" w:name="_Hlk209466392"/>
      <w:r>
        <w:rPr>
          <w:rFonts w:ascii="Calibri" w:hAnsi="Calibri" w:cs="Calibri"/>
          <w:b w:val="1"/>
          <w:sz w:val="28"/>
          <w:szCs w:val="28"/>
        </w:rPr>
        <w:t xml:space="preserve">Del av </w:t>
      </w:r>
      <w:bookmarkStart w:id="2" w:name="_Hlk198560248"/>
      <w:r>
        <w:rPr>
          <w:rFonts w:ascii="Calibri" w:hAnsi="Calibri" w:cs="Calibri"/>
          <w:b w:val="1"/>
          <w:sz w:val="28"/>
          <w:szCs w:val="28"/>
        </w:rPr>
        <w:t>Veterinären</w:t>
      </w:r>
      <w:r>
        <w:rPr>
          <w:rFonts w:ascii="Calibri" w:hAnsi="Calibri" w:cs="Calibri" w:eastAsia="Arial"/>
          <w:b w:val="1"/>
          <w:bCs w:val="1"/>
          <w:sz w:val="28"/>
          <w:szCs w:val="28"/>
          <w:lang w:eastAsia="sv-SE"/>
        </w:rPr>
        <w:t xml:space="preserve"> 3, </w:t>
      </w:r>
      <w:r>
        <w:rPr>
          <w:rFonts w:ascii="Calibri" w:hAnsi="Calibri" w:cs="Calibri"/>
          <w:b w:val="1"/>
          <w:sz w:val="28"/>
          <w:szCs w:val="28"/>
        </w:rPr>
        <w:t>Veterinären</w:t>
      </w:r>
      <w:r>
        <w:rPr>
          <w:rFonts w:ascii="Calibri" w:hAnsi="Calibri" w:cs="Calibri" w:eastAsia="Arial"/>
          <w:b w:val="1"/>
          <w:bCs w:val="1"/>
          <w:sz w:val="28"/>
          <w:szCs w:val="28"/>
          <w:lang w:eastAsia="sv-SE"/>
        </w:rPr>
        <w:t xml:space="preserve"> 4, </w:t>
      </w:r>
      <w:r>
        <w:rPr>
          <w:rFonts w:ascii="Calibri" w:hAnsi="Calibri" w:cs="Calibri"/>
          <w:b w:val="1"/>
          <w:sz w:val="28"/>
          <w:szCs w:val="28"/>
        </w:rPr>
        <w:t>Veterinären</w:t>
      </w:r>
      <w:r>
        <w:rPr>
          <w:rFonts w:ascii="Calibri" w:hAnsi="Calibri" w:cs="Calibri" w:eastAsia="Arial"/>
          <w:b w:val="1"/>
          <w:bCs w:val="1"/>
          <w:sz w:val="28"/>
          <w:szCs w:val="28"/>
          <w:lang w:eastAsia="sv-SE"/>
        </w:rPr>
        <w:t xml:space="preserve"> 7, Skjutskarlen 1, Skjutskarlen 7, </w:t>
      </w:r>
      <w:bookmarkStart w:id="3" w:name="_Hlk198716581"/>
      <w:r>
        <w:rPr>
          <w:rFonts w:ascii="Calibri" w:hAnsi="Calibri" w:cs="Calibri" w:eastAsia="Arial"/>
          <w:b w:val="1"/>
          <w:bCs w:val="1"/>
          <w:sz w:val="28"/>
          <w:szCs w:val="28"/>
          <w:lang w:eastAsia="sv-SE"/>
        </w:rPr>
        <w:t>Smedjebacken 3:2</w:t>
      </w:r>
      <w:bookmarkEnd w:id="1"/>
      <w:bookmarkEnd w:id="2"/>
      <w:bookmarkEnd w:id="3"/>
      <w:r>
        <w:rPr>
          <w:rFonts w:ascii="Calibri" w:hAnsi="Calibri" w:cs="Calibri" w:eastAsia="Arial"/>
          <w:b w:val="1"/>
          <w:bCs w:val="1"/>
          <w:sz w:val="28"/>
          <w:szCs w:val="28"/>
          <w:lang w:eastAsia="sv-SE"/>
        </w:rPr>
        <w:br w:type="textWrapping"/>
      </w:r>
    </w:p>
    <w:p>
      <w:pPr>
        <w:spacing w:lineRule="auto" w:line="192" w:after="4" w:beforeAutospacing="0" w:afterAutospacing="0"/>
        <w:rPr>
          <w:rFonts w:cstheme="minorHAnsi" w:eastAsia="Arial"/>
          <w:sz w:val="32"/>
          <w:szCs w:val="32"/>
          <w:lang w:eastAsia="sv-SE"/>
        </w:rPr>
      </w:pPr>
      <w:r>
        <w:rPr>
          <w:rFonts w:cstheme="minorHAnsi" w:eastAsia="Arial"/>
          <w:szCs w:val="24"/>
          <w:lang w:eastAsia="sv-SE"/>
        </w:rPr>
        <w:t>Smedjebackens kommun</w:t>
      </w:r>
    </w:p>
    <w:p>
      <w:pPr>
        <w:spacing w:after="4" w:beforeAutospacing="0" w:afterAutospacing="0"/>
        <w:rPr>
          <w:rFonts w:cstheme="minorHAnsi" w:eastAsia="Arial"/>
          <w:szCs w:val="24"/>
          <w:lang w:eastAsia="sv-SE"/>
        </w:rPr>
      </w:pPr>
      <w:r>
        <w:rPr>
          <w:rFonts w:cstheme="minorHAnsi" w:eastAsia="Arial"/>
          <w:szCs w:val="24"/>
          <w:lang w:eastAsia="sv-SE"/>
        </w:rPr>
        <w:t>Standardförfarande</w:t>
      </w:r>
    </w:p>
    <w:p>
      <w:pPr>
        <w:spacing w:after="4" w:beforeAutospacing="0" w:afterAutospacing="0"/>
        <w:ind w:right="667"/>
        <w:rPr>
          <w:rFonts w:cstheme="minorHAnsi" w:eastAsia="Arial"/>
          <w:color w:val="000000"/>
          <w:szCs w:val="24"/>
          <w:lang w:eastAsia="sv-SE"/>
        </w:rPr>
      </w:pPr>
      <w:r>
        <w:rPr>
          <w:rFonts w:cstheme="minorHAnsi" w:eastAsia="Arial"/>
          <w:color w:val="000000"/>
          <w:szCs w:val="24"/>
          <w:lang w:eastAsia="sv-SE"/>
        </w:rPr>
        <w:t xml:space="preserve">Plan- och bygglagen (SFS 2010:900) </w:t>
      </w:r>
    </w:p>
    <w:p>
      <w:pPr>
        <w:spacing w:after="4" w:beforeAutospacing="0" w:afterAutospacing="0"/>
        <w:ind w:right="667"/>
        <w:rPr>
          <w:rFonts w:cstheme="minorHAnsi" w:eastAsia="Arial"/>
          <w:color w:val="000000"/>
          <w:szCs w:val="24"/>
          <w:lang w:eastAsia="sv-SE"/>
        </w:rPr>
      </w:pPr>
      <w:r>
        <w:rPr>
          <w:rFonts w:cstheme="minorHAnsi" w:eastAsia="Arial"/>
          <w:color w:val="000000"/>
          <w:szCs w:val="24"/>
          <w:lang w:eastAsia="sv-SE"/>
        </w:rPr>
        <w:t>Diarienummer: MBN 2025–167</w:t>
      </w:r>
    </w:p>
    <w:p>
      <w:pPr>
        <w:spacing w:after="4" w:beforeAutospacing="0" w:afterAutospacing="0"/>
        <w:ind w:right="667"/>
        <w:rPr>
          <w:rFonts w:cstheme="minorHAnsi" w:eastAsia="Arial"/>
          <w:color w:val="FF0000"/>
          <w:szCs w:val="24"/>
          <w:lang w:eastAsia="sv-SE"/>
        </w:rPr>
      </w:pPr>
      <w:r>
        <w:rPr>
          <w:rFonts w:cstheme="minorHAnsi" w:eastAsia="Arial"/>
          <w:color w:val="000000"/>
          <w:szCs w:val="24"/>
          <w:lang w:eastAsia="sv-SE"/>
        </w:rPr>
        <w:t xml:space="preserve">Godkänt för </w:t>
      </w:r>
      <w:r>
        <w:rPr>
          <w:rFonts w:cstheme="minorHAnsi" w:eastAsia="Arial"/>
          <w:szCs w:val="24"/>
          <w:lang w:eastAsia="sv-SE"/>
        </w:rPr>
        <w:t>samråd: 2025-06-11</w:t>
      </w:r>
    </w:p>
    <w:p>
      <w:pPr>
        <w:spacing w:after="4" w:beforeAutospacing="0" w:afterAutospacing="0"/>
        <w:ind w:right="667"/>
        <w:rPr>
          <w:rFonts w:cstheme="minorHAnsi" w:eastAsia="Arial"/>
          <w:szCs w:val="24"/>
          <w:lang w:eastAsia="sv-SE"/>
        </w:rPr>
      </w:pPr>
      <w:r>
        <w:rPr>
          <w:rFonts w:cstheme="minorHAnsi" w:eastAsia="Arial"/>
          <w:szCs w:val="24"/>
          <w:lang w:eastAsia="sv-SE"/>
        </w:rPr>
        <w:t xml:space="preserve">Godkänt för granskning:  </w:t>
      </w:r>
      <w:r>
        <w:rPr>
          <w:rFonts w:ascii="Calibri" w:hAnsi="Calibri" w:cs="Calibri" w:eastAsia="Arial"/>
          <w:sz w:val="26"/>
          <w:szCs w:val="26"/>
          <w:lang w:eastAsia="sv-SE"/>
        </w:rPr>
        <w:t>2025-10-15</w:t>
      </w:r>
    </w:p>
    <w:p>
      <w:pPr>
        <w:spacing w:after="4" w:beforeAutospacing="0" w:afterAutospacing="0"/>
        <w:ind w:right="667"/>
        <w:rPr>
          <w:rFonts w:cstheme="minorHAnsi" w:eastAsia="Arial"/>
          <w:szCs w:val="24"/>
          <w:lang w:eastAsia="sv-SE"/>
        </w:rPr>
      </w:pPr>
      <w:r>
        <w:rPr>
          <w:rFonts w:cstheme="minorHAnsi" w:eastAsia="Arial"/>
          <w:szCs w:val="24"/>
          <w:lang w:eastAsia="sv-SE"/>
        </w:rPr>
        <w:t>Antagande: 2025-12-15</w:t>
      </w:r>
    </w:p>
    <w:p>
      <w:pPr>
        <w:tabs>
          <w:tab w:val="center" w:pos="4202" w:leader="none"/>
        </w:tabs>
        <w:spacing w:after="4" w:beforeAutospacing="0" w:afterAutospacing="0"/>
        <w:ind w:right="667"/>
        <w:rPr>
          <w:rFonts w:cstheme="minorHAnsi" w:eastAsia="Arial"/>
          <w:sz w:val="28"/>
          <w:szCs w:val="28"/>
          <w:lang w:eastAsia="sv-SE"/>
        </w:rPr>
      </w:pPr>
      <w:r>
        <w:rPr>
          <w:rFonts w:cstheme="minorHAnsi" w:eastAsia="Arial"/>
          <w:szCs w:val="24"/>
          <w:lang w:eastAsia="sv-SE"/>
        </w:rPr>
        <w:t>Laga kraft: 2026-01-08</w:t>
      </w:r>
      <w:r>
        <w:rPr>
          <w:rFonts w:cstheme="minorHAnsi" w:eastAsia="Arial"/>
          <w:sz w:val="28"/>
          <w:szCs w:val="28"/>
          <w:lang w:eastAsia="sv-SE"/>
        </w:rPr>
        <w:tab/>
      </w:r>
    </w:p>
    <w:p>
      <w:pPr>
        <w:tabs>
          <w:tab w:val="left" w:pos="3692" w:leader="none"/>
        </w:tabs>
        <w:rPr>
          <w:rFonts w:cstheme="minorHAnsi"/>
          <w:color w:val="FF0000"/>
          <w:sz w:val="32"/>
          <w:szCs w:val="32"/>
        </w:rPr>
      </w:pPr>
      <w:bookmarkEnd w:id="0"/>
      <w:r>
        <w:rPr>
          <w:rFonts w:cstheme="minorHAnsi"/>
          <w:color w:val="C00000"/>
          <w:sz w:val="32"/>
          <w:szCs w:val="32"/>
        </w:rPr>
        <w:t>Samhällsplanerare</w:t>
      </w:r>
    </w:p>
    <w:p>
      <w:pPr>
        <w:spacing w:lineRule="auto" w:line="240" w:beforeAutospacing="0" w:afterAutospacing="0"/>
        <w:jc w:val="both"/>
        <w:rPr>
          <w:rFonts w:cstheme="minorHAnsi"/>
          <w:szCs w:val="24"/>
        </w:rPr>
      </w:pPr>
      <w:r>
        <w:rPr>
          <w:rFonts w:cstheme="minorHAnsi"/>
          <w:szCs w:val="24"/>
        </w:rPr>
        <w:t>Mattias Rostock</w:t>
      </w:r>
    </w:p>
    <w:p>
      <w:pPr>
        <w:spacing w:lineRule="auto" w:line="240" w:beforeAutospacing="0" w:afterAutospacing="0"/>
        <w:jc w:val="both"/>
        <w:rPr>
          <w:rFonts w:cstheme="minorHAnsi"/>
          <w:color w:val="C00000"/>
          <w:sz w:val="32"/>
          <w:szCs w:val="32"/>
        </w:rPr>
      </w:pPr>
      <w:r>
        <w:rPr>
          <w:rFonts w:cstheme="minorHAnsi"/>
          <w:color w:val="C00000"/>
          <w:sz w:val="32"/>
          <w:szCs w:val="32"/>
        </w:rPr>
        <w:t xml:space="preserve">Miljö- och byggchef </w:t>
      </w:r>
    </w:p>
    <w:p>
      <w:pPr>
        <w:spacing w:lineRule="auto" w:line="240" w:beforeAutospacing="0" w:afterAutospacing="0"/>
        <w:jc w:val="both"/>
        <w:rPr>
          <w:rFonts w:cstheme="minorHAnsi"/>
          <w:color w:val="000000" w:themeColor="text1"/>
          <w:szCs w:val="24"/>
        </w:rPr>
      </w:pPr>
      <w:r>
        <w:rPr>
          <w:rFonts w:cstheme="minorHAnsi"/>
          <w:color w:val="000000" w:themeColor="text1"/>
          <w:szCs w:val="24"/>
        </w:rPr>
        <w:t>Gunilla Skoog</w:t>
      </w:r>
    </w:p>
    <w:p>
      <w:pPr>
        <w:jc w:val="both"/>
        <w:rPr>
          <w:rFonts w:cstheme="minorHAnsi"/>
          <w:color w:val="C00000"/>
          <w:sz w:val="32"/>
          <w:szCs w:val="32"/>
        </w:rPr>
      </w:pPr>
      <w:bookmarkStart w:id="4" w:name="_Hlk103070339"/>
      <w:r>
        <w:rPr>
          <w:rFonts w:cstheme="minorHAnsi"/>
          <w:color w:val="C00000"/>
          <w:sz w:val="32"/>
          <w:szCs w:val="32"/>
        </w:rPr>
        <w:t>Planhandlingar</w:t>
      </w:r>
    </w:p>
    <w:p>
      <w:pPr>
        <w:rPr>
          <w:rFonts w:cstheme="minorHAnsi"/>
          <w:szCs w:val="24"/>
        </w:rPr>
      </w:pPr>
      <w:bookmarkEnd w:id="4"/>
      <w:r>
        <w:rPr>
          <w:rFonts w:cstheme="minorHAnsi"/>
          <w:szCs w:val="24"/>
        </w:rPr>
        <w:t>Plankarta i skala 1:500/A2</w:t>
        <w:br w:type="textWrapping"/>
        <w:t>Planbeskrivning</w:t>
        <w:br w:type="textWrapping"/>
        <w:t>Grundkarta</w:t>
        <w:br w:type="textWrapping"/>
        <w:t>Fastighetsförteckning</w:t>
        <w:br w:type="textWrapping"/>
        <w:t>Samrådsredogörelse</w:t>
        <w:br w:type="textWrapping"/>
        <w:t>Granskningsutlåtande</w:t>
        <w:br w:type="textWrapping"/>
        <w:t>Barnchecklista</w:t>
        <w:br w:type="textWrapping"/>
        <w:t>Undersökning om betydande miljöpåverkan</w:t>
        <w:br w:type="textWrapping"/>
        <w:t>Bullerdata</w:t>
      </w:r>
    </w:p>
    <w:p>
      <w:pPr>
        <w:jc w:val="both"/>
        <w:rPr>
          <w:rFonts w:cstheme="minorHAnsi"/>
          <w:color w:val="C00000"/>
          <w:sz w:val="32"/>
          <w:szCs w:val="32"/>
        </w:rPr>
      </w:pPr>
      <w:r>
        <w:rPr>
          <w:rFonts w:cstheme="minorHAnsi"/>
          <w:color w:val="C00000"/>
          <w:sz w:val="32"/>
          <w:szCs w:val="32"/>
        </w:rPr>
        <w:t>Vad är en detaljplan?</w:t>
      </w:r>
    </w:p>
    <w:p>
      <w:pPr>
        <w:jc w:val="both"/>
        <w:rPr>
          <w:rFonts w:cstheme="minorHAnsi"/>
          <w:szCs w:val="24"/>
        </w:rPr>
      </w:pPr>
      <w:r>
        <w:rPr>
          <w:rFonts w:cstheme="minorHAnsi"/>
          <w:szCs w:val="24"/>
        </w:rPr>
        <w:t>En detaljplan är ett juridiskt bindande dokument där kommunen reglerar hur mark- och vattenområden får användas och hur området får bebyggas. I detaljplanen redovisas gränser för allmänna platser, kvartersmark samt vattenområden.</w:t>
      </w:r>
    </w:p>
    <w:p>
      <w:pPr>
        <w:jc w:val="both"/>
        <w:rPr>
          <w:rFonts w:cstheme="minorHAnsi"/>
          <w:color w:val="C00000"/>
          <w:sz w:val="32"/>
          <w:szCs w:val="32"/>
        </w:rPr>
      </w:pPr>
      <w:r>
        <w:rPr>
          <w:rFonts w:cstheme="minorHAnsi"/>
          <w:color w:val="C00000"/>
          <w:sz w:val="32"/>
          <w:szCs w:val="32"/>
        </w:rPr>
        <w:t>Så här läser du detaljplanen</w:t>
      </w:r>
    </w:p>
    <w:p>
      <w:pPr>
        <w:jc w:val="both"/>
        <w:rPr>
          <w:rFonts w:cstheme="minorHAnsi"/>
          <w:szCs w:val="24"/>
        </w:rPr>
      </w:pPr>
      <w:r>
        <w:rPr>
          <w:rFonts w:cstheme="minorHAnsi"/>
          <w:szCs w:val="24"/>
        </w:rPr>
        <w:t xml:space="preserve">Detaljplanen består av en plankarta med olika planbestämmelser. Med plankartan följer även en planbeskrivning som förklarar syftet och innehållet i plankartan. </w:t>
      </w:r>
    </w:p>
    <w:p>
      <w:pPr>
        <w:jc w:val="both"/>
        <w:rPr>
          <w:rFonts w:cstheme="minorHAnsi"/>
          <w:color w:val="C00000"/>
          <w:sz w:val="32"/>
          <w:szCs w:val="32"/>
        </w:rPr>
      </w:pPr>
      <w:bookmarkStart w:id="5" w:name="_Hlk86318565"/>
      <w:r>
        <w:rPr>
          <w:rFonts w:cstheme="minorHAnsi"/>
          <w:color w:val="C00000"/>
          <w:sz w:val="32"/>
          <w:szCs w:val="32"/>
        </w:rPr>
        <w:t xml:space="preserve">Detaljplaneprocessen </w:t>
      </w:r>
      <w:r>
        <w:rPr>
          <w:rFonts w:ascii="Calibri" w:hAnsi="Calibri" w:cs="Calibri"/>
          <w:color w:val="C00000"/>
          <w:sz w:val="32"/>
          <w:szCs w:val="32"/>
        </w:rPr>
        <w:t>- Standardförfarande</w:t>
      </w:r>
    </w:p>
    <w:p>
      <w:pPr>
        <w:jc w:val="both"/>
        <w:rPr>
          <w:rFonts w:ascii="Calibri" w:hAnsi="Calibri" w:cs="Calibri"/>
          <w:szCs w:val="24"/>
        </w:rPr>
      </w:pPr>
      <w:r>
        <w:rPr>
          <w:rFonts w:cstheme="minorHAnsi"/>
          <w:szCs w:val="24"/>
        </w:rPr>
        <w:t>Detaljplanen tas fram med standardförfarande</w:t>
      </w:r>
      <w:r>
        <w:rPr>
          <w:rFonts w:cstheme="minorHAnsi"/>
          <w:color w:val="FF0000"/>
          <w:szCs w:val="24"/>
        </w:rPr>
        <w:t xml:space="preserve"> </w:t>
      </w:r>
      <w:r>
        <w:rPr>
          <w:rFonts w:cstheme="minorHAnsi"/>
          <w:szCs w:val="24"/>
        </w:rPr>
        <w:t>i överensstämmelse med översiktsplanen samt enligt plan- och bygglagen 2010:900</w:t>
      </w:r>
      <w:bookmarkEnd w:id="5"/>
      <w:r>
        <w:rPr>
          <w:rFonts w:cstheme="minorHAnsi"/>
          <w:szCs w:val="24"/>
        </w:rPr>
        <w:t xml:space="preserve">. Planhandlingarna har upprättats i enlighet med Boverkets föreskrifter om detaljplan (BFS 2020:5), allmänna råd om redovisning av reglering i detaljplan (BFS 2020:6) samt föreskrifter och allmänna råd om planbeskrivning (BFS 2020:8). </w:t>
      </w:r>
      <w:r>
        <w:rPr>
          <w:rFonts w:ascii="Calibri" w:hAnsi="Calibri" w:cs="Calibri"/>
          <w:szCs w:val="24"/>
        </w:rPr>
        <w:t xml:space="preserve">Planprocessen ser ut som följande: </w:t>
      </w:r>
    </w:p>
    <w:p>
      <w:pPr>
        <w:jc w:val="both"/>
        <w:rPr>
          <w:rFonts w:ascii="Calibri" w:hAnsi="Calibri" w:cs="Calibri"/>
          <w:szCs w:val="24"/>
        </w:rPr>
      </w:pPr>
    </w:p>
    <w:p>
      <w:pPr>
        <w:jc w:val="both"/>
        <w:rPr>
          <w:rFonts w:ascii="Calibri" w:hAnsi="Calibri" w:cs="Calibri"/>
          <w:szCs w:val="24"/>
        </w:rPr>
      </w:pPr>
      <w:r>
        <w:rPr>
          <w:rFonts w:ascii="Calibri" w:hAnsi="Calibri" w:cs="Calibri"/>
          <w:noProof w:val="1"/>
          <w:szCs w:val="24"/>
        </w:rPr>
        <w:drawing>
          <wp:inline xmlns:wp="http://schemas.openxmlformats.org/drawingml/2006/wordprocessingDrawing" distT="0" distB="0" distL="0" distR="0">
            <wp:extent cx="5760085" cy="814705"/>
            <wp:effectExtent l="0" t="0" r="0" b="4445"/>
            <wp:docPr id="189340882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 cstate="print"/>
                    <a:srcRect/>
                    <a:stretch>
                      <a:fillRect/>
                    </a:stretch>
                  </pic:blipFill>
                  <pic:spPr bwMode="auto">
                    <a:xfrm>
                      <a:off x="0" y="0"/>
                      <a:ext cx="5760085" cy="814705"/>
                    </a:xfrm>
                    <a:prstGeom prst="rect"/>
                    <a:noFill/>
                    <a:ln>
                      <a:noFill/>
                    </a:ln>
                  </pic:spPr>
                </pic:pic>
              </a:graphicData>
            </a:graphic>
          </wp:inline>
        </w:drawing>
      </w:r>
    </w:p>
    <w:p>
      <w:pPr>
        <w:jc w:val="both"/>
        <w:rPr>
          <w:rFonts w:cstheme="minorHAnsi"/>
          <w:color w:val="C00000"/>
          <w:sz w:val="32"/>
          <w:szCs w:val="32"/>
        </w:rPr>
      </w:pPr>
    </w:p>
    <w:p>
      <w:pPr>
        <w:jc w:val="both"/>
        <w:rPr>
          <w:rFonts w:ascii="Calibri" w:hAnsi="Calibri" w:cs="Calibri"/>
          <w:color w:val="C00000"/>
          <w:sz w:val="32"/>
          <w:szCs w:val="32"/>
        </w:rPr>
      </w:pPr>
    </w:p>
    <w:p>
      <w:pPr>
        <w:jc w:val="both"/>
        <w:rPr>
          <w:rFonts w:cstheme="minorHAnsi"/>
          <w:color w:val="C00000"/>
          <w:sz w:val="32"/>
          <w:szCs w:val="32"/>
        </w:rPr>
      </w:pPr>
    </w:p>
    <w:p>
      <w:pPr>
        <w:pStyle w:val="P22"/>
        <w:tabs>
          <w:tab w:val="left" w:pos="440" w:leader="none"/>
          <w:tab w:val="right" w:pos="9062" w:leader="dot"/>
        </w:tabs>
        <w:rPr>
          <w:rFonts w:cstheme="minorBidi"/>
          <w:b w:val="0"/>
          <w:bCs w:val="0"/>
          <w:caps w:val="0"/>
          <w:noProof w:val="1"/>
          <w:sz w:val="24"/>
          <w:szCs w:val="24"/>
          <w:kern w:val="2"/>
          <w:lang w:eastAsia="sv-SE"/>
        </w:rPr>
      </w:pPr>
      <w:r>
        <w:fldChar w:fldCharType="begin"/>
      </w:r>
      <w:r>
        <w:instrText xml:space="preserve"> TOC \o "1-2" \h \z \u </w:instrText>
      </w:r>
      <w:r>
        <w:fldChar w:fldCharType="separate"/>
      </w:r>
      <w:hyperlink w:anchor="_Toc219101240">
        <w:r>
          <w:rPr>
            <w:rStyle w:val="C2"/>
            <w:noProof w:val="1"/>
          </w:rPr>
          <w:t>1</w:t>
        </w:r>
        <w:r>
          <w:rPr>
            <w:rFonts w:cstheme="minorBidi"/>
            <w:b w:val="0"/>
            <w:bCs w:val="0"/>
            <w:caps w:val="0"/>
            <w:noProof w:val="1"/>
            <w:sz w:val="24"/>
            <w:szCs w:val="24"/>
            <w:kern w:val="2"/>
            <w:lang w:eastAsia="sv-SE"/>
          </w:rPr>
          <w:tab/>
        </w:r>
        <w:r>
          <w:rPr>
            <w:rStyle w:val="C2"/>
            <w:noProof w:val="1"/>
          </w:rPr>
          <w:t>Detaljplanens syfte</w:t>
        </w:r>
        <w:r>
          <w:rPr>
            <w:noProof w:val="1"/>
          </w:rPr>
          <w:tab/>
        </w:r>
        <w:r>
          <w:rPr>
            <w:noProof w:val="1"/>
          </w:rPr>
          <w:fldChar w:fldCharType="begin"/>
        </w:r>
        <w:r>
          <w:rPr>
            <w:noProof w:val="1"/>
          </w:rPr>
          <w:instrText xml:space="preserve"> PAGEREF _Toc219101240 \h </w:instrText>
        </w:r>
        <w:r>
          <w:rPr>
            <w:noProof w:val="1"/>
          </w:rPr>
          <w:fldChar w:fldCharType="separate"/>
        </w:r>
        <w:r>
          <w:rPr>
            <w:noProof w:val="1"/>
          </w:rPr>
          <w:t>4</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241">
        <w:r>
          <w:rPr>
            <w:rStyle w:val="C2"/>
            <w:noProof w:val="1"/>
          </w:rPr>
          <w:t>2</w:t>
        </w:r>
        <w:r>
          <w:rPr>
            <w:rFonts w:cstheme="minorBidi"/>
            <w:b w:val="0"/>
            <w:bCs w:val="0"/>
            <w:caps w:val="0"/>
            <w:noProof w:val="1"/>
            <w:sz w:val="24"/>
            <w:szCs w:val="24"/>
            <w:kern w:val="2"/>
            <w:lang w:eastAsia="sv-SE"/>
          </w:rPr>
          <w:tab/>
        </w:r>
        <w:r>
          <w:rPr>
            <w:rStyle w:val="C2"/>
            <w:noProof w:val="1"/>
          </w:rPr>
          <w:t>Beskrivning av detaljplanen</w:t>
        </w:r>
        <w:r>
          <w:rPr>
            <w:noProof w:val="1"/>
          </w:rPr>
          <w:tab/>
        </w:r>
        <w:r>
          <w:rPr>
            <w:noProof w:val="1"/>
          </w:rPr>
          <w:fldChar w:fldCharType="begin"/>
        </w:r>
        <w:r>
          <w:rPr>
            <w:noProof w:val="1"/>
          </w:rPr>
          <w:instrText xml:space="preserve"> PAGEREF _Toc219101241 \h </w:instrText>
        </w:r>
        <w:r>
          <w:rPr>
            <w:noProof w:val="1"/>
          </w:rPr>
          <w:fldChar w:fldCharType="separate"/>
        </w:r>
        <w:r>
          <w:rPr>
            <w:noProof w:val="1"/>
          </w:rPr>
          <w:t>4</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42">
        <w:r>
          <w:rPr>
            <w:rStyle w:val="C2"/>
            <w:noProof w:val="1"/>
          </w:rPr>
          <w:t>2.1</w:t>
        </w:r>
        <w:r>
          <w:rPr>
            <w:rFonts w:cstheme="minorBidi"/>
            <w:smallCaps w:val="0"/>
            <w:noProof w:val="1"/>
            <w:sz w:val="24"/>
            <w:szCs w:val="24"/>
            <w:kern w:val="2"/>
            <w:lang w:eastAsia="sv-SE"/>
          </w:rPr>
          <w:tab/>
        </w:r>
        <w:r>
          <w:rPr>
            <w:rStyle w:val="C2"/>
            <w:noProof w:val="1"/>
          </w:rPr>
          <w:t>Detaljplanens omfattning och lokalisering</w:t>
        </w:r>
        <w:r>
          <w:rPr>
            <w:noProof w:val="1"/>
          </w:rPr>
          <w:tab/>
        </w:r>
        <w:r>
          <w:rPr>
            <w:noProof w:val="1"/>
          </w:rPr>
          <w:fldChar w:fldCharType="begin"/>
        </w:r>
        <w:r>
          <w:rPr>
            <w:noProof w:val="1"/>
          </w:rPr>
          <w:instrText xml:space="preserve"> PAGEREF _Toc219101242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43">
        <w:r>
          <w:rPr>
            <w:rStyle w:val="C2"/>
            <w:noProof w:val="1"/>
          </w:rPr>
          <w:t>2.2</w:t>
        </w:r>
        <w:r>
          <w:rPr>
            <w:rFonts w:cstheme="minorBidi"/>
            <w:smallCaps w:val="0"/>
            <w:noProof w:val="1"/>
            <w:sz w:val="24"/>
            <w:szCs w:val="24"/>
            <w:kern w:val="2"/>
            <w:lang w:eastAsia="sv-SE"/>
          </w:rPr>
          <w:tab/>
        </w:r>
        <w:r>
          <w:rPr>
            <w:rStyle w:val="C2"/>
            <w:noProof w:val="1"/>
          </w:rPr>
          <w:t>Hela detaljplanen</w:t>
        </w:r>
        <w:r>
          <w:rPr>
            <w:noProof w:val="1"/>
          </w:rPr>
          <w:tab/>
        </w:r>
        <w:r>
          <w:rPr>
            <w:noProof w:val="1"/>
          </w:rPr>
          <w:fldChar w:fldCharType="begin"/>
        </w:r>
        <w:r>
          <w:rPr>
            <w:noProof w:val="1"/>
          </w:rPr>
          <w:instrText xml:space="preserve"> PAGEREF _Toc219101243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44">
        <w:r>
          <w:rPr>
            <w:rStyle w:val="C2"/>
            <w:noProof w:val="1"/>
          </w:rPr>
          <w:t>2.3</w:t>
        </w:r>
        <w:r>
          <w:rPr>
            <w:rFonts w:cstheme="minorBidi"/>
            <w:smallCaps w:val="0"/>
            <w:noProof w:val="1"/>
            <w:sz w:val="24"/>
            <w:szCs w:val="24"/>
            <w:kern w:val="2"/>
            <w:lang w:eastAsia="sv-SE"/>
          </w:rPr>
          <w:tab/>
        </w:r>
        <w:r>
          <w:rPr>
            <w:rStyle w:val="C2"/>
            <w:noProof w:val="1"/>
          </w:rPr>
          <w:t>Allmän plats</w:t>
        </w:r>
        <w:r>
          <w:rPr>
            <w:noProof w:val="1"/>
          </w:rPr>
          <w:tab/>
        </w:r>
        <w:r>
          <w:rPr>
            <w:noProof w:val="1"/>
          </w:rPr>
          <w:fldChar w:fldCharType="begin"/>
        </w:r>
        <w:r>
          <w:rPr>
            <w:noProof w:val="1"/>
          </w:rPr>
          <w:instrText xml:space="preserve"> PAGEREF _Toc219101244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45">
        <w:r>
          <w:rPr>
            <w:rStyle w:val="C2"/>
            <w:noProof w:val="1"/>
          </w:rPr>
          <w:t>2.4</w:t>
        </w:r>
        <w:r>
          <w:rPr>
            <w:rFonts w:cstheme="minorBidi"/>
            <w:smallCaps w:val="0"/>
            <w:noProof w:val="1"/>
            <w:sz w:val="24"/>
            <w:szCs w:val="24"/>
            <w:kern w:val="2"/>
            <w:lang w:eastAsia="sv-SE"/>
          </w:rPr>
          <w:tab/>
        </w:r>
        <w:r>
          <w:rPr>
            <w:rStyle w:val="C2"/>
            <w:noProof w:val="1"/>
          </w:rPr>
          <w:t>Vattenområden</w:t>
        </w:r>
        <w:r>
          <w:rPr>
            <w:noProof w:val="1"/>
          </w:rPr>
          <w:tab/>
        </w:r>
        <w:r>
          <w:rPr>
            <w:noProof w:val="1"/>
          </w:rPr>
          <w:fldChar w:fldCharType="begin"/>
        </w:r>
        <w:r>
          <w:rPr>
            <w:noProof w:val="1"/>
          </w:rPr>
          <w:instrText xml:space="preserve"> PAGEREF _Toc219101245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46">
        <w:r>
          <w:rPr>
            <w:rStyle w:val="C2"/>
            <w:noProof w:val="1"/>
          </w:rPr>
          <w:t>2.5</w:t>
        </w:r>
        <w:r>
          <w:rPr>
            <w:rFonts w:cstheme="minorBidi"/>
            <w:smallCaps w:val="0"/>
            <w:noProof w:val="1"/>
            <w:sz w:val="24"/>
            <w:szCs w:val="24"/>
            <w:kern w:val="2"/>
            <w:lang w:eastAsia="sv-SE"/>
          </w:rPr>
          <w:tab/>
        </w:r>
        <w:r>
          <w:rPr>
            <w:rStyle w:val="C2"/>
            <w:noProof w:val="1"/>
          </w:rPr>
          <w:t>Kvartersmark</w:t>
        </w:r>
        <w:r>
          <w:rPr>
            <w:noProof w:val="1"/>
          </w:rPr>
          <w:tab/>
        </w:r>
        <w:r>
          <w:rPr>
            <w:noProof w:val="1"/>
          </w:rPr>
          <w:fldChar w:fldCharType="begin"/>
        </w:r>
        <w:r>
          <w:rPr>
            <w:noProof w:val="1"/>
          </w:rPr>
          <w:instrText xml:space="preserve"> PAGEREF _Toc219101246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47">
        <w:r>
          <w:rPr>
            <w:rStyle w:val="C2"/>
            <w:noProof w:val="1"/>
          </w:rPr>
          <w:t>2.6</w:t>
        </w:r>
        <w:r>
          <w:rPr>
            <w:rFonts w:cstheme="minorBidi"/>
            <w:smallCaps w:val="0"/>
            <w:noProof w:val="1"/>
            <w:sz w:val="24"/>
            <w:szCs w:val="24"/>
            <w:kern w:val="2"/>
            <w:lang w:eastAsia="sv-SE"/>
          </w:rPr>
          <w:tab/>
        </w:r>
        <w:r>
          <w:rPr>
            <w:rStyle w:val="C2"/>
            <w:noProof w:val="1"/>
          </w:rPr>
          <w:t>Ärendeinformation</w:t>
        </w:r>
        <w:r>
          <w:rPr>
            <w:noProof w:val="1"/>
          </w:rPr>
          <w:tab/>
        </w:r>
        <w:r>
          <w:rPr>
            <w:noProof w:val="1"/>
          </w:rPr>
          <w:fldChar w:fldCharType="begin"/>
        </w:r>
        <w:r>
          <w:rPr>
            <w:noProof w:val="1"/>
          </w:rPr>
          <w:instrText xml:space="preserve"> PAGEREF _Toc219101247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48">
        <w:r>
          <w:rPr>
            <w:rStyle w:val="C2"/>
            <w:noProof w:val="1"/>
          </w:rPr>
          <w:t>2.7</w:t>
        </w:r>
        <w:r>
          <w:rPr>
            <w:rFonts w:cstheme="minorBidi"/>
            <w:smallCaps w:val="0"/>
            <w:noProof w:val="1"/>
            <w:sz w:val="24"/>
            <w:szCs w:val="24"/>
            <w:kern w:val="2"/>
            <w:lang w:eastAsia="sv-SE"/>
          </w:rPr>
          <w:tab/>
        </w:r>
        <w:r>
          <w:rPr>
            <w:rStyle w:val="C2"/>
            <w:noProof w:val="1"/>
          </w:rPr>
          <w:t>Genomförandetid</w:t>
        </w:r>
        <w:r>
          <w:rPr>
            <w:noProof w:val="1"/>
          </w:rPr>
          <w:tab/>
        </w:r>
        <w:r>
          <w:rPr>
            <w:noProof w:val="1"/>
          </w:rPr>
          <w:fldChar w:fldCharType="begin"/>
        </w:r>
        <w:r>
          <w:rPr>
            <w:noProof w:val="1"/>
          </w:rPr>
          <w:instrText xml:space="preserve"> PAGEREF _Toc219101248 \h </w:instrText>
        </w:r>
        <w:r>
          <w:rPr>
            <w:noProof w:val="1"/>
          </w:rPr>
          <w:fldChar w:fldCharType="separate"/>
        </w:r>
        <w:r>
          <w:rPr>
            <w:noProof w:val="1"/>
          </w:rPr>
          <w:t>8</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249">
        <w:r>
          <w:rPr>
            <w:rStyle w:val="C2"/>
            <w:noProof w:val="1"/>
          </w:rPr>
          <w:t>3</w:t>
        </w:r>
        <w:r>
          <w:rPr>
            <w:rFonts w:cstheme="minorBidi"/>
            <w:b w:val="0"/>
            <w:bCs w:val="0"/>
            <w:caps w:val="0"/>
            <w:noProof w:val="1"/>
            <w:sz w:val="24"/>
            <w:szCs w:val="24"/>
            <w:kern w:val="2"/>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_Toc219101249 \h </w:instrText>
        </w:r>
        <w:r>
          <w:rPr>
            <w:noProof w:val="1"/>
          </w:rPr>
          <w:fldChar w:fldCharType="separate"/>
        </w:r>
        <w:r>
          <w:rPr>
            <w:noProof w:val="1"/>
          </w:rPr>
          <w:t>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0">
        <w:r>
          <w:rPr>
            <w:rStyle w:val="C2"/>
            <w:noProof w:val="1"/>
          </w:rPr>
          <w:t>3.1</w:t>
        </w:r>
        <w:r>
          <w:rPr>
            <w:rFonts w:cstheme="minorBidi"/>
            <w:smallCaps w:val="0"/>
            <w:noProof w:val="1"/>
            <w:sz w:val="24"/>
            <w:szCs w:val="24"/>
            <w:kern w:val="2"/>
            <w:lang w:eastAsia="sv-SE"/>
          </w:rPr>
          <w:tab/>
        </w:r>
        <w:r>
          <w:rPr>
            <w:rStyle w:val="C2"/>
            <w:noProof w:val="1"/>
          </w:rPr>
          <w:t>Användning av allmän plats</w:t>
        </w:r>
        <w:r>
          <w:rPr>
            <w:noProof w:val="1"/>
          </w:rPr>
          <w:tab/>
        </w:r>
        <w:r>
          <w:rPr>
            <w:noProof w:val="1"/>
          </w:rPr>
          <w:fldChar w:fldCharType="begin"/>
        </w:r>
        <w:r>
          <w:rPr>
            <w:noProof w:val="1"/>
          </w:rPr>
          <w:instrText xml:space="preserve"> PAGEREF _Toc219101250 \h </w:instrText>
        </w:r>
        <w:r>
          <w:rPr>
            <w:noProof w:val="1"/>
          </w:rPr>
          <w:fldChar w:fldCharType="separate"/>
        </w:r>
        <w:r>
          <w:rPr>
            <w:noProof w:val="1"/>
          </w:rPr>
          <w:t>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1">
        <w:r>
          <w:rPr>
            <w:rStyle w:val="C2"/>
            <w:noProof w:val="1"/>
          </w:rPr>
          <w:t>3.2</w:t>
        </w:r>
        <w:r>
          <w:rPr>
            <w:rFonts w:cstheme="minorBidi"/>
            <w:smallCaps w:val="0"/>
            <w:noProof w:val="1"/>
            <w:sz w:val="24"/>
            <w:szCs w:val="24"/>
            <w:kern w:val="2"/>
            <w:lang w:eastAsia="sv-SE"/>
          </w:rPr>
          <w:tab/>
        </w:r>
        <w:r>
          <w:rPr>
            <w:rStyle w:val="C2"/>
            <w:noProof w:val="1"/>
          </w:rPr>
          <w:t>Egenskapsbestämmelser för allmän plats</w:t>
        </w:r>
        <w:r>
          <w:rPr>
            <w:noProof w:val="1"/>
          </w:rPr>
          <w:tab/>
        </w:r>
        <w:r>
          <w:rPr>
            <w:noProof w:val="1"/>
          </w:rPr>
          <w:fldChar w:fldCharType="begin"/>
        </w:r>
        <w:r>
          <w:rPr>
            <w:noProof w:val="1"/>
          </w:rPr>
          <w:instrText xml:space="preserve"> PAGEREF _Toc219101251 \h </w:instrText>
        </w:r>
        <w:r>
          <w:rPr>
            <w:noProof w:val="1"/>
          </w:rPr>
          <w:fldChar w:fldCharType="separate"/>
        </w:r>
        <w:r>
          <w:rPr>
            <w:noProof w:val="1"/>
          </w:rPr>
          <w:t>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2">
        <w:r>
          <w:rPr>
            <w:rStyle w:val="C2"/>
            <w:noProof w:val="1"/>
          </w:rPr>
          <w:t>3.3</w:t>
        </w:r>
        <w:r>
          <w:rPr>
            <w:rFonts w:cstheme="minorBidi"/>
            <w:smallCaps w:val="0"/>
            <w:noProof w:val="1"/>
            <w:sz w:val="24"/>
            <w:szCs w:val="24"/>
            <w:kern w:val="2"/>
            <w:lang w:eastAsia="sv-SE"/>
          </w:rPr>
          <w:tab/>
        </w:r>
        <w:r>
          <w:rPr>
            <w:rStyle w:val="C2"/>
            <w:noProof w:val="1"/>
          </w:rPr>
          <w:t>Användning av kvartersmark</w:t>
        </w:r>
        <w:r>
          <w:rPr>
            <w:noProof w:val="1"/>
          </w:rPr>
          <w:tab/>
        </w:r>
        <w:r>
          <w:rPr>
            <w:noProof w:val="1"/>
          </w:rPr>
          <w:fldChar w:fldCharType="begin"/>
        </w:r>
        <w:r>
          <w:rPr>
            <w:noProof w:val="1"/>
          </w:rPr>
          <w:instrText xml:space="preserve"> PAGEREF _Toc219101252 \h </w:instrText>
        </w:r>
        <w:r>
          <w:rPr>
            <w:noProof w:val="1"/>
          </w:rPr>
          <w:fldChar w:fldCharType="separate"/>
        </w:r>
        <w:r>
          <w:rPr>
            <w:noProof w:val="1"/>
          </w:rPr>
          <w:t>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3">
        <w:r>
          <w:rPr>
            <w:rStyle w:val="C2"/>
            <w:noProof w:val="1"/>
          </w:rPr>
          <w:t>3.4</w:t>
        </w:r>
        <w:r>
          <w:rPr>
            <w:rFonts w:cstheme="minorBidi"/>
            <w:smallCaps w:val="0"/>
            <w:noProof w:val="1"/>
            <w:sz w:val="24"/>
            <w:szCs w:val="24"/>
            <w:kern w:val="2"/>
            <w:lang w:eastAsia="sv-SE"/>
          </w:rPr>
          <w:tab/>
        </w:r>
        <w:r>
          <w:rPr>
            <w:rStyle w:val="C2"/>
            <w:noProof w:val="1"/>
          </w:rPr>
          <w:t>Egenskapsbestämmelser för kvartersmark</w:t>
        </w:r>
        <w:r>
          <w:rPr>
            <w:noProof w:val="1"/>
          </w:rPr>
          <w:tab/>
        </w:r>
        <w:r>
          <w:rPr>
            <w:noProof w:val="1"/>
          </w:rPr>
          <w:fldChar w:fldCharType="begin"/>
        </w:r>
        <w:r>
          <w:rPr>
            <w:noProof w:val="1"/>
          </w:rPr>
          <w:instrText xml:space="preserve"> PAGEREF _Toc219101253 \h </w:instrText>
        </w:r>
        <w:r>
          <w:rPr>
            <w:noProof w:val="1"/>
          </w:rPr>
          <w:fldChar w:fldCharType="separate"/>
        </w:r>
        <w:r>
          <w:rPr>
            <w:noProof w:val="1"/>
          </w:rPr>
          <w:t>9</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254">
        <w:r>
          <w:rPr>
            <w:rStyle w:val="C2"/>
            <w:noProof w:val="1"/>
          </w:rPr>
          <w:t>4</w:t>
        </w:r>
        <w:r>
          <w:rPr>
            <w:rFonts w:cstheme="minorBidi"/>
            <w:b w:val="0"/>
            <w:bCs w:val="0"/>
            <w:caps w:val="0"/>
            <w:noProof w:val="1"/>
            <w:sz w:val="24"/>
            <w:szCs w:val="24"/>
            <w:kern w:val="2"/>
            <w:lang w:eastAsia="sv-SE"/>
          </w:rPr>
          <w:tab/>
        </w:r>
        <w:r>
          <w:rPr>
            <w:rStyle w:val="C2"/>
            <w:noProof w:val="1"/>
          </w:rPr>
          <w:t>Planeringsunderlag och ställningstagande</w:t>
        </w:r>
        <w:r>
          <w:rPr>
            <w:noProof w:val="1"/>
          </w:rPr>
          <w:tab/>
        </w:r>
        <w:r>
          <w:rPr>
            <w:noProof w:val="1"/>
          </w:rPr>
          <w:fldChar w:fldCharType="begin"/>
        </w:r>
        <w:r>
          <w:rPr>
            <w:noProof w:val="1"/>
          </w:rPr>
          <w:instrText xml:space="preserve"> PAGEREF _Toc219101254 \h </w:instrText>
        </w:r>
        <w:r>
          <w:rPr>
            <w:noProof w:val="1"/>
          </w:rPr>
          <w:fldChar w:fldCharType="separate"/>
        </w:r>
        <w:r>
          <w:rPr>
            <w:noProof w:val="1"/>
          </w:rPr>
          <w:t>11</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5">
        <w:r>
          <w:rPr>
            <w:rStyle w:val="C2"/>
            <w:noProof w:val="1"/>
          </w:rPr>
          <w:t>4.1</w:t>
        </w:r>
        <w:r>
          <w:rPr>
            <w:rFonts w:cstheme="minorBidi"/>
            <w:smallCaps w:val="0"/>
            <w:noProof w:val="1"/>
            <w:sz w:val="24"/>
            <w:szCs w:val="24"/>
            <w:kern w:val="2"/>
            <w:lang w:eastAsia="sv-SE"/>
          </w:rPr>
          <w:tab/>
        </w:r>
        <w:r>
          <w:rPr>
            <w:rStyle w:val="C2"/>
            <w:noProof w:val="1"/>
          </w:rPr>
          <w:t>Kommunala underlag</w:t>
        </w:r>
        <w:r>
          <w:rPr>
            <w:noProof w:val="1"/>
          </w:rPr>
          <w:tab/>
        </w:r>
        <w:r>
          <w:rPr>
            <w:noProof w:val="1"/>
          </w:rPr>
          <w:fldChar w:fldCharType="begin"/>
        </w:r>
        <w:r>
          <w:rPr>
            <w:noProof w:val="1"/>
          </w:rPr>
          <w:instrText xml:space="preserve"> PAGEREF _Toc219101255 \h </w:instrText>
        </w:r>
        <w:r>
          <w:rPr>
            <w:noProof w:val="1"/>
          </w:rPr>
          <w:fldChar w:fldCharType="separate"/>
        </w:r>
        <w:r>
          <w:rPr>
            <w:noProof w:val="1"/>
          </w:rPr>
          <w:t>11</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6">
        <w:r>
          <w:rPr>
            <w:rStyle w:val="C2"/>
            <w:noProof w:val="1"/>
          </w:rPr>
          <w:t>4.2</w:t>
        </w:r>
        <w:r>
          <w:rPr>
            <w:rFonts w:cstheme="minorBidi"/>
            <w:smallCaps w:val="0"/>
            <w:noProof w:val="1"/>
            <w:sz w:val="24"/>
            <w:szCs w:val="24"/>
            <w:kern w:val="2"/>
            <w:lang w:eastAsia="sv-SE"/>
          </w:rPr>
          <w:tab/>
        </w:r>
        <w:r>
          <w:rPr>
            <w:rStyle w:val="C2"/>
            <w:noProof w:val="1"/>
          </w:rPr>
          <w:t>Utredningar</w:t>
        </w:r>
        <w:r>
          <w:rPr>
            <w:noProof w:val="1"/>
          </w:rPr>
          <w:tab/>
        </w:r>
        <w:r>
          <w:rPr>
            <w:noProof w:val="1"/>
          </w:rPr>
          <w:fldChar w:fldCharType="begin"/>
        </w:r>
        <w:r>
          <w:rPr>
            <w:noProof w:val="1"/>
          </w:rPr>
          <w:instrText xml:space="preserve"> PAGEREF _Toc219101256 \h </w:instrText>
        </w:r>
        <w:r>
          <w:rPr>
            <w:noProof w:val="1"/>
          </w:rPr>
          <w:fldChar w:fldCharType="separate"/>
        </w:r>
        <w:r>
          <w:rPr>
            <w:noProof w:val="1"/>
          </w:rPr>
          <w:t>15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7">
        <w:r>
          <w:rPr>
            <w:rStyle w:val="C2"/>
            <w:noProof w:val="1"/>
          </w:rPr>
          <w:t>4.3</w:t>
        </w:r>
        <w:r>
          <w:rPr>
            <w:rFonts w:cstheme="minorBidi"/>
            <w:smallCaps w:val="0"/>
            <w:noProof w:val="1"/>
            <w:sz w:val="24"/>
            <w:szCs w:val="24"/>
            <w:kern w:val="2"/>
            <w:lang w:eastAsia="sv-SE"/>
          </w:rPr>
          <w:tab/>
        </w:r>
        <w:r>
          <w:rPr>
            <w:rStyle w:val="C2"/>
            <w:noProof w:val="1"/>
          </w:rPr>
          <w:t>Regionala underlag</w:t>
        </w:r>
        <w:r>
          <w:rPr>
            <w:noProof w:val="1"/>
          </w:rPr>
          <w:tab/>
        </w:r>
        <w:r>
          <w:rPr>
            <w:noProof w:val="1"/>
          </w:rPr>
          <w:fldChar w:fldCharType="begin"/>
        </w:r>
        <w:r>
          <w:rPr>
            <w:noProof w:val="1"/>
          </w:rPr>
          <w:instrText xml:space="preserve"> PAGEREF _Toc219101257 \h </w:instrText>
        </w:r>
        <w:r>
          <w:rPr>
            <w:noProof w:val="1"/>
          </w:rPr>
          <w:fldChar w:fldCharType="separate"/>
        </w:r>
        <w:r>
          <w:rPr>
            <w:noProof w:val="1"/>
          </w:rPr>
          <w:t>15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8">
        <w:r>
          <w:rPr>
            <w:rStyle w:val="C2"/>
            <w:noProof w:val="1"/>
          </w:rPr>
          <w:t>4.4</w:t>
        </w:r>
        <w:r>
          <w:rPr>
            <w:rFonts w:cstheme="minorBidi"/>
            <w:smallCaps w:val="0"/>
            <w:noProof w:val="1"/>
            <w:sz w:val="24"/>
            <w:szCs w:val="24"/>
            <w:kern w:val="2"/>
            <w:lang w:eastAsia="sv-SE"/>
          </w:rPr>
          <w:tab/>
        </w:r>
        <w:r>
          <w:rPr>
            <w:rStyle w:val="C2"/>
            <w:noProof w:val="1"/>
          </w:rPr>
          <w:t>Riksintressen</w:t>
        </w:r>
        <w:r>
          <w:rPr>
            <w:noProof w:val="1"/>
          </w:rPr>
          <w:tab/>
        </w:r>
        <w:r>
          <w:rPr>
            <w:noProof w:val="1"/>
          </w:rPr>
          <w:fldChar w:fldCharType="begin"/>
        </w:r>
        <w:r>
          <w:rPr>
            <w:noProof w:val="1"/>
          </w:rPr>
          <w:instrText xml:space="preserve"> PAGEREF _Toc219101258 \h </w:instrText>
        </w:r>
        <w:r>
          <w:rPr>
            <w:noProof w:val="1"/>
          </w:rPr>
          <w:fldChar w:fldCharType="separate"/>
        </w:r>
        <w:r>
          <w:rPr>
            <w:noProof w:val="1"/>
          </w:rPr>
          <w:t>16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59">
        <w:r>
          <w:rPr>
            <w:rStyle w:val="C2"/>
            <w:noProof w:val="1"/>
          </w:rPr>
          <w:t>4.5</w:t>
        </w:r>
        <w:r>
          <w:rPr>
            <w:rFonts w:cstheme="minorBidi"/>
            <w:smallCaps w:val="0"/>
            <w:noProof w:val="1"/>
            <w:sz w:val="24"/>
            <w:szCs w:val="24"/>
            <w:kern w:val="2"/>
            <w:lang w:eastAsia="sv-SE"/>
          </w:rPr>
          <w:tab/>
        </w:r>
        <w:r>
          <w:rPr>
            <w:rStyle w:val="C2"/>
            <w:noProof w:val="1"/>
          </w:rPr>
          <w:t>Hushållningsbestämmelser 3, 4 kap. Miljöbalken</w:t>
        </w:r>
        <w:r>
          <w:rPr>
            <w:noProof w:val="1"/>
          </w:rPr>
          <w:tab/>
        </w:r>
        <w:r>
          <w:rPr>
            <w:noProof w:val="1"/>
          </w:rPr>
          <w:fldChar w:fldCharType="begin"/>
        </w:r>
        <w:r>
          <w:rPr>
            <w:noProof w:val="1"/>
          </w:rPr>
          <w:instrText xml:space="preserve"> PAGEREF _Toc219101259 \h </w:instrText>
        </w:r>
        <w:r>
          <w:rPr>
            <w:noProof w:val="1"/>
          </w:rPr>
          <w:fldChar w:fldCharType="separate"/>
        </w:r>
        <w:r>
          <w:rPr>
            <w:noProof w:val="1"/>
          </w:rPr>
          <w:t>16</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260">
        <w:r>
          <w:rPr>
            <w:rStyle w:val="C2"/>
            <w:noProof w:val="1"/>
          </w:rPr>
          <w:t>5</w:t>
        </w:r>
        <w:r>
          <w:rPr>
            <w:rFonts w:cstheme="minorBidi"/>
            <w:b w:val="0"/>
            <w:bCs w:val="0"/>
            <w:caps w:val="0"/>
            <w:noProof w:val="1"/>
            <w:sz w:val="24"/>
            <w:szCs w:val="24"/>
            <w:kern w:val="2"/>
            <w:lang w:eastAsia="sv-SE"/>
          </w:rPr>
          <w:tab/>
        </w:r>
        <w:r>
          <w:rPr>
            <w:rStyle w:val="C2"/>
            <w:noProof w:val="1"/>
          </w:rPr>
          <w:t>Förutsättningar, förändringar och konsekvenser</w:t>
        </w:r>
        <w:r>
          <w:rPr>
            <w:noProof w:val="1"/>
          </w:rPr>
          <w:tab/>
        </w:r>
        <w:r>
          <w:rPr>
            <w:noProof w:val="1"/>
          </w:rPr>
          <w:fldChar w:fldCharType="begin"/>
        </w:r>
        <w:r>
          <w:rPr>
            <w:noProof w:val="1"/>
          </w:rPr>
          <w:instrText xml:space="preserve"> PAGEREF _Toc219101260 \h </w:instrText>
        </w:r>
        <w:r>
          <w:rPr>
            <w:noProof w:val="1"/>
          </w:rPr>
          <w:fldChar w:fldCharType="separate"/>
        </w:r>
        <w:r>
          <w:rPr>
            <w:noProof w:val="1"/>
          </w:rPr>
          <w:t>16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1">
        <w:r>
          <w:rPr>
            <w:rStyle w:val="C2"/>
            <w:noProof w:val="1"/>
          </w:rPr>
          <w:t>5.1</w:t>
        </w:r>
        <w:r>
          <w:rPr>
            <w:rFonts w:cstheme="minorBidi"/>
            <w:smallCaps w:val="0"/>
            <w:noProof w:val="1"/>
            <w:sz w:val="24"/>
            <w:szCs w:val="24"/>
            <w:kern w:val="2"/>
            <w:lang w:eastAsia="sv-SE"/>
          </w:rPr>
          <w:tab/>
        </w:r>
        <w:r>
          <w:rPr>
            <w:rStyle w:val="C2"/>
            <w:noProof w:val="1"/>
          </w:rPr>
          <w:t>Befintlig detaljplan</w:t>
        </w:r>
        <w:r>
          <w:rPr>
            <w:noProof w:val="1"/>
          </w:rPr>
          <w:tab/>
        </w:r>
        <w:r>
          <w:rPr>
            <w:noProof w:val="1"/>
          </w:rPr>
          <w:fldChar w:fldCharType="begin"/>
        </w:r>
        <w:r>
          <w:rPr>
            <w:noProof w:val="1"/>
          </w:rPr>
          <w:instrText xml:space="preserve"> PAGEREF _Toc219101261 \h </w:instrText>
        </w:r>
        <w:r>
          <w:rPr>
            <w:noProof w:val="1"/>
          </w:rPr>
          <w:fldChar w:fldCharType="separate"/>
        </w:r>
        <w:r>
          <w:rPr>
            <w:noProof w:val="1"/>
          </w:rPr>
          <w:t>16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2">
        <w:r>
          <w:rPr>
            <w:rStyle w:val="C2"/>
            <w:noProof w:val="1"/>
          </w:rPr>
          <w:t>5.2</w:t>
        </w:r>
        <w:r>
          <w:rPr>
            <w:rFonts w:cstheme="minorBidi"/>
            <w:smallCaps w:val="0"/>
            <w:noProof w:val="1"/>
            <w:sz w:val="24"/>
            <w:szCs w:val="24"/>
            <w:kern w:val="2"/>
            <w:lang w:eastAsia="sv-SE"/>
          </w:rPr>
          <w:tab/>
        </w:r>
        <w:r>
          <w:rPr>
            <w:rStyle w:val="C2"/>
            <w:noProof w:val="1"/>
          </w:rPr>
          <w:t>Bebyggelse</w:t>
        </w:r>
        <w:r>
          <w:rPr>
            <w:noProof w:val="1"/>
          </w:rPr>
          <w:tab/>
        </w:r>
        <w:r>
          <w:rPr>
            <w:noProof w:val="1"/>
          </w:rPr>
          <w:fldChar w:fldCharType="begin"/>
        </w:r>
        <w:r>
          <w:rPr>
            <w:noProof w:val="1"/>
          </w:rPr>
          <w:instrText xml:space="preserve"> PAGEREF _Toc219101262 \h </w:instrText>
        </w:r>
        <w:r>
          <w:rPr>
            <w:noProof w:val="1"/>
          </w:rPr>
          <w:fldChar w:fldCharType="separate"/>
        </w:r>
        <w:r>
          <w:rPr>
            <w:noProof w:val="1"/>
          </w:rPr>
          <w:t>17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3">
        <w:r>
          <w:rPr>
            <w:rStyle w:val="C2"/>
            <w:noProof w:val="1"/>
          </w:rPr>
          <w:t>5.3</w:t>
        </w:r>
        <w:r>
          <w:rPr>
            <w:rFonts w:cstheme="minorBidi"/>
            <w:smallCaps w:val="0"/>
            <w:noProof w:val="1"/>
            <w:sz w:val="24"/>
            <w:szCs w:val="24"/>
            <w:kern w:val="2"/>
            <w:lang w:eastAsia="sv-SE"/>
          </w:rPr>
          <w:tab/>
        </w:r>
        <w:r>
          <w:rPr>
            <w:rStyle w:val="C2"/>
            <w:noProof w:val="1"/>
          </w:rPr>
          <w:t>Natur</w:t>
        </w:r>
        <w:r>
          <w:rPr>
            <w:noProof w:val="1"/>
          </w:rPr>
          <w:tab/>
        </w:r>
        <w:r>
          <w:rPr>
            <w:noProof w:val="1"/>
          </w:rPr>
          <w:fldChar w:fldCharType="begin"/>
        </w:r>
        <w:r>
          <w:rPr>
            <w:noProof w:val="1"/>
          </w:rPr>
          <w:instrText xml:space="preserve"> PAGEREF _Toc219101263 \h </w:instrText>
        </w:r>
        <w:r>
          <w:rPr>
            <w:noProof w:val="1"/>
          </w:rPr>
          <w:fldChar w:fldCharType="separate"/>
        </w:r>
        <w:r>
          <w:rPr>
            <w:noProof w:val="1"/>
          </w:rPr>
          <w:t>22</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4">
        <w:r>
          <w:rPr>
            <w:rStyle w:val="C2"/>
            <w:noProof w:val="1"/>
          </w:rPr>
          <w:t>5.4</w:t>
        </w:r>
        <w:r>
          <w:rPr>
            <w:rFonts w:cstheme="minorBidi"/>
            <w:smallCaps w:val="0"/>
            <w:noProof w:val="1"/>
            <w:sz w:val="24"/>
            <w:szCs w:val="24"/>
            <w:kern w:val="2"/>
            <w:lang w:eastAsia="sv-SE"/>
          </w:rPr>
          <w:tab/>
        </w:r>
        <w:r>
          <w:rPr>
            <w:rStyle w:val="C2"/>
            <w:noProof w:val="1"/>
          </w:rPr>
          <w:t>Geotekniska förhållanden</w:t>
        </w:r>
        <w:r>
          <w:rPr>
            <w:noProof w:val="1"/>
          </w:rPr>
          <w:tab/>
        </w:r>
        <w:r>
          <w:rPr>
            <w:noProof w:val="1"/>
          </w:rPr>
          <w:fldChar w:fldCharType="begin"/>
        </w:r>
        <w:r>
          <w:rPr>
            <w:noProof w:val="1"/>
          </w:rPr>
          <w:instrText xml:space="preserve"> PAGEREF _Toc219101264 \h </w:instrText>
        </w:r>
        <w:r>
          <w:rPr>
            <w:noProof w:val="1"/>
          </w:rPr>
          <w:fldChar w:fldCharType="separate"/>
        </w:r>
        <w:r>
          <w:rPr>
            <w:noProof w:val="1"/>
          </w:rPr>
          <w:t>24</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5">
        <w:r>
          <w:rPr>
            <w:rStyle w:val="C2"/>
            <w:noProof w:val="1"/>
          </w:rPr>
          <w:t>5.5</w:t>
        </w:r>
        <w:r>
          <w:rPr>
            <w:rFonts w:cstheme="minorBidi"/>
            <w:smallCaps w:val="0"/>
            <w:noProof w:val="1"/>
            <w:sz w:val="24"/>
            <w:szCs w:val="24"/>
            <w:kern w:val="2"/>
            <w:lang w:eastAsia="sv-SE"/>
          </w:rPr>
          <w:tab/>
        </w:r>
        <w:r>
          <w:rPr>
            <w:rStyle w:val="C2"/>
            <w:noProof w:val="1"/>
          </w:rPr>
          <w:t>Fornlämningar</w:t>
        </w:r>
        <w:r>
          <w:rPr>
            <w:noProof w:val="1"/>
          </w:rPr>
          <w:tab/>
        </w:r>
        <w:r>
          <w:rPr>
            <w:noProof w:val="1"/>
          </w:rPr>
          <w:fldChar w:fldCharType="begin"/>
        </w:r>
        <w:r>
          <w:rPr>
            <w:noProof w:val="1"/>
          </w:rPr>
          <w:instrText xml:space="preserve"> PAGEREF _Toc219101265 \h </w:instrText>
        </w:r>
        <w:r>
          <w:rPr>
            <w:noProof w:val="1"/>
          </w:rPr>
          <w:fldChar w:fldCharType="separate"/>
        </w:r>
        <w:r>
          <w:rPr>
            <w:noProof w:val="1"/>
          </w:rPr>
          <w:t>24</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6">
        <w:r>
          <w:rPr>
            <w:rStyle w:val="C2"/>
            <w:noProof w:val="1"/>
          </w:rPr>
          <w:t>5.6</w:t>
        </w:r>
        <w:r>
          <w:rPr>
            <w:rFonts w:cstheme="minorBidi"/>
            <w:smallCaps w:val="0"/>
            <w:noProof w:val="1"/>
            <w:sz w:val="24"/>
            <w:szCs w:val="24"/>
            <w:kern w:val="2"/>
            <w:lang w:eastAsia="sv-SE"/>
          </w:rPr>
          <w:tab/>
        </w:r>
        <w:r>
          <w:rPr>
            <w:rStyle w:val="C2"/>
            <w:noProof w:val="1"/>
          </w:rPr>
          <w:t>Gator och trafik</w:t>
        </w:r>
        <w:r>
          <w:rPr>
            <w:noProof w:val="1"/>
          </w:rPr>
          <w:tab/>
        </w:r>
        <w:r>
          <w:rPr>
            <w:noProof w:val="1"/>
          </w:rPr>
          <w:fldChar w:fldCharType="begin"/>
        </w:r>
        <w:r>
          <w:rPr>
            <w:noProof w:val="1"/>
          </w:rPr>
          <w:instrText xml:space="preserve"> PAGEREF _Toc219101266 \h </w:instrText>
        </w:r>
        <w:r>
          <w:rPr>
            <w:noProof w:val="1"/>
          </w:rPr>
          <w:fldChar w:fldCharType="separate"/>
        </w:r>
        <w:r>
          <w:rPr>
            <w:noProof w:val="1"/>
          </w:rPr>
          <w:t>24</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7">
        <w:r>
          <w:rPr>
            <w:rStyle w:val="C2"/>
            <w:noProof w:val="1"/>
          </w:rPr>
          <w:t>5.7</w:t>
        </w:r>
        <w:r>
          <w:rPr>
            <w:rFonts w:cstheme="minorBidi"/>
            <w:smallCaps w:val="0"/>
            <w:noProof w:val="1"/>
            <w:sz w:val="24"/>
            <w:szCs w:val="24"/>
            <w:kern w:val="2"/>
            <w:lang w:eastAsia="sv-SE"/>
          </w:rPr>
          <w:tab/>
        </w:r>
        <w:r>
          <w:rPr>
            <w:rStyle w:val="C2"/>
            <w:noProof w:val="1"/>
          </w:rPr>
          <w:t>Sociala</w:t>
        </w:r>
        <w:r>
          <w:rPr>
            <w:noProof w:val="1"/>
          </w:rPr>
          <w:tab/>
        </w:r>
        <w:r>
          <w:rPr>
            <w:noProof w:val="1"/>
          </w:rPr>
          <w:fldChar w:fldCharType="begin"/>
        </w:r>
        <w:r>
          <w:rPr>
            <w:noProof w:val="1"/>
          </w:rPr>
          <w:instrText xml:space="preserve"> PAGEREF _Toc219101267 \h </w:instrText>
        </w:r>
        <w:r>
          <w:rPr>
            <w:noProof w:val="1"/>
          </w:rPr>
          <w:fldChar w:fldCharType="separate"/>
        </w:r>
        <w:r>
          <w:rPr>
            <w:noProof w:val="1"/>
          </w:rPr>
          <w:t>28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8">
        <w:r>
          <w:rPr>
            <w:rStyle w:val="C2"/>
            <w:noProof w:val="1"/>
          </w:rPr>
          <w:t>5.8</w:t>
        </w:r>
        <w:r>
          <w:rPr>
            <w:rFonts w:cstheme="minorBidi"/>
            <w:smallCaps w:val="0"/>
            <w:noProof w:val="1"/>
            <w:sz w:val="24"/>
            <w:szCs w:val="24"/>
            <w:kern w:val="2"/>
            <w:lang w:eastAsia="sv-SE"/>
          </w:rPr>
          <w:tab/>
        </w:r>
        <w:r>
          <w:rPr>
            <w:rStyle w:val="C2"/>
            <w:noProof w:val="1"/>
          </w:rPr>
          <w:t>Teknisk försörjning</w:t>
        </w:r>
        <w:r>
          <w:rPr>
            <w:noProof w:val="1"/>
          </w:rPr>
          <w:tab/>
        </w:r>
        <w:r>
          <w:rPr>
            <w:noProof w:val="1"/>
          </w:rPr>
          <w:fldChar w:fldCharType="begin"/>
        </w:r>
        <w:r>
          <w:rPr>
            <w:noProof w:val="1"/>
          </w:rPr>
          <w:instrText xml:space="preserve"> PAGEREF _Toc219101268 \h </w:instrText>
        </w:r>
        <w:r>
          <w:rPr>
            <w:noProof w:val="1"/>
          </w:rPr>
          <w:fldChar w:fldCharType="separate"/>
        </w:r>
        <w:r>
          <w:rPr>
            <w:noProof w:val="1"/>
          </w:rPr>
          <w:t>29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69">
        <w:r>
          <w:rPr>
            <w:rStyle w:val="C2"/>
            <w:noProof w:val="1"/>
          </w:rPr>
          <w:t>5.9</w:t>
        </w:r>
        <w:r>
          <w:rPr>
            <w:rFonts w:cstheme="minorBidi"/>
            <w:smallCaps w:val="0"/>
            <w:noProof w:val="1"/>
            <w:sz w:val="24"/>
            <w:szCs w:val="24"/>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_Toc219101269 \h </w:instrText>
        </w:r>
        <w:r>
          <w:rPr>
            <w:noProof w:val="1"/>
          </w:rPr>
          <w:fldChar w:fldCharType="separate"/>
        </w:r>
        <w:r>
          <w:rPr>
            <w:noProof w:val="1"/>
          </w:rPr>
          <w:t>30</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70">
        <w:r>
          <w:rPr>
            <w:rStyle w:val="C2"/>
            <w:noProof w:val="1"/>
          </w:rPr>
          <w:t>5.10</w:t>
        </w:r>
        <w:r>
          <w:rPr>
            <w:rFonts w:cstheme="minorBidi"/>
            <w:smallCaps w:val="0"/>
            <w:noProof w:val="1"/>
            <w:sz w:val="24"/>
            <w:szCs w:val="24"/>
            <w:kern w:val="2"/>
            <w:lang w:eastAsia="sv-SE"/>
          </w:rPr>
          <w:tab/>
        </w:r>
        <w:r>
          <w:rPr>
            <w:rStyle w:val="C2"/>
            <w:noProof w:val="1"/>
          </w:rPr>
          <w:t>Hälsa och säkerhet</w:t>
        </w:r>
        <w:r>
          <w:rPr>
            <w:noProof w:val="1"/>
          </w:rPr>
          <w:tab/>
        </w:r>
        <w:r>
          <w:rPr>
            <w:noProof w:val="1"/>
          </w:rPr>
          <w:fldChar w:fldCharType="begin"/>
        </w:r>
        <w:r>
          <w:rPr>
            <w:noProof w:val="1"/>
          </w:rPr>
          <w:instrText xml:space="preserve"> PAGEREF _Toc219101270 \h </w:instrText>
        </w:r>
        <w:r>
          <w:rPr>
            <w:noProof w:val="1"/>
          </w:rPr>
          <w:fldChar w:fldCharType="separate"/>
        </w:r>
        <w:r>
          <w:rPr>
            <w:noProof w:val="1"/>
          </w:rPr>
          <w:t>33</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271">
        <w:r>
          <w:rPr>
            <w:rStyle w:val="C2"/>
            <w:noProof w:val="1"/>
          </w:rPr>
          <w:t>6</w:t>
        </w:r>
        <w:r>
          <w:rPr>
            <w:rFonts w:cstheme="minorBidi"/>
            <w:b w:val="0"/>
            <w:bCs w:val="0"/>
            <w:caps w:val="0"/>
            <w:noProof w:val="1"/>
            <w:sz w:val="24"/>
            <w:szCs w:val="24"/>
            <w:kern w:val="2"/>
            <w:lang w:eastAsia="sv-SE"/>
          </w:rPr>
          <w:tab/>
        </w:r>
        <w:r>
          <w:rPr>
            <w:rStyle w:val="C2"/>
            <w:noProof w:val="1"/>
          </w:rPr>
          <w:t>Genomförandefrågor</w:t>
        </w:r>
        <w:r>
          <w:rPr>
            <w:noProof w:val="1"/>
          </w:rPr>
          <w:tab/>
        </w:r>
        <w:r>
          <w:rPr>
            <w:noProof w:val="1"/>
          </w:rPr>
          <w:fldChar w:fldCharType="begin"/>
        </w:r>
        <w:r>
          <w:rPr>
            <w:noProof w:val="1"/>
          </w:rPr>
          <w:instrText xml:space="preserve"> PAGEREF _Toc219101271 \h </w:instrText>
        </w:r>
        <w:r>
          <w:rPr>
            <w:noProof w:val="1"/>
          </w:rPr>
          <w:fldChar w:fldCharType="separate"/>
        </w:r>
        <w:r>
          <w:rPr>
            <w:noProof w:val="1"/>
          </w:rPr>
          <w:t>37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72">
        <w:r>
          <w:rPr>
            <w:rStyle w:val="C2"/>
            <w:noProof w:val="1"/>
          </w:rPr>
          <w:t>6.1</w:t>
        </w:r>
        <w:r>
          <w:rPr>
            <w:rFonts w:cstheme="minorBidi"/>
            <w:smallCaps w:val="0"/>
            <w:noProof w:val="1"/>
            <w:sz w:val="24"/>
            <w:szCs w:val="24"/>
            <w:kern w:val="2"/>
            <w:lang w:eastAsia="sv-SE"/>
          </w:rPr>
          <w:tab/>
        </w:r>
        <w:r>
          <w:rPr>
            <w:rStyle w:val="C2"/>
            <w:noProof w:val="1"/>
          </w:rPr>
          <w:t>Fastighetsrättsliga frågor</w:t>
        </w:r>
        <w:r>
          <w:rPr>
            <w:noProof w:val="1"/>
          </w:rPr>
          <w:tab/>
        </w:r>
        <w:r>
          <w:rPr>
            <w:noProof w:val="1"/>
          </w:rPr>
          <w:fldChar w:fldCharType="begin"/>
        </w:r>
        <w:r>
          <w:rPr>
            <w:noProof w:val="1"/>
          </w:rPr>
          <w:instrText xml:space="preserve"> PAGEREF _Toc219101272 \h </w:instrText>
        </w:r>
        <w:r>
          <w:rPr>
            <w:noProof w:val="1"/>
          </w:rPr>
          <w:fldChar w:fldCharType="separate"/>
        </w:r>
        <w:r>
          <w:rPr>
            <w:noProof w:val="1"/>
          </w:rPr>
          <w:t>38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73">
        <w:r>
          <w:rPr>
            <w:rStyle w:val="C2"/>
            <w:noProof w:val="1"/>
          </w:rPr>
          <w:t>6.2</w:t>
        </w:r>
        <w:r>
          <w:rPr>
            <w:rFonts w:cstheme="minorBidi"/>
            <w:smallCaps w:val="0"/>
            <w:noProof w:val="1"/>
            <w:sz w:val="24"/>
            <w:szCs w:val="24"/>
            <w:kern w:val="2"/>
            <w:lang w:eastAsia="sv-SE"/>
          </w:rPr>
          <w:tab/>
        </w:r>
        <w:r>
          <w:rPr>
            <w:rStyle w:val="C2"/>
            <w:noProof w:val="1"/>
          </w:rPr>
          <w:t>Tekniska frågor</w:t>
        </w:r>
        <w:r>
          <w:rPr>
            <w:noProof w:val="1"/>
          </w:rPr>
          <w:tab/>
        </w:r>
        <w:r>
          <w:rPr>
            <w:noProof w:val="1"/>
          </w:rPr>
          <w:fldChar w:fldCharType="begin"/>
        </w:r>
        <w:r>
          <w:rPr>
            <w:noProof w:val="1"/>
          </w:rPr>
          <w:instrText xml:space="preserve"> PAGEREF _Toc219101273 \h </w:instrText>
        </w:r>
        <w:r>
          <w:rPr>
            <w:noProof w:val="1"/>
          </w:rPr>
          <w:fldChar w:fldCharType="separate"/>
        </w:r>
        <w:r>
          <w:rPr>
            <w:noProof w:val="1"/>
          </w:rPr>
          <w:t>39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74">
        <w:r>
          <w:rPr>
            <w:rStyle w:val="C2"/>
            <w:noProof w:val="1"/>
          </w:rPr>
          <w:t>6.3</w:t>
        </w:r>
        <w:r>
          <w:rPr>
            <w:rFonts w:cstheme="minorBidi"/>
            <w:smallCaps w:val="0"/>
            <w:noProof w:val="1"/>
            <w:sz w:val="24"/>
            <w:szCs w:val="24"/>
            <w:kern w:val="2"/>
            <w:lang w:eastAsia="sv-SE"/>
          </w:rPr>
          <w:tab/>
        </w:r>
        <w:r>
          <w:rPr>
            <w:rStyle w:val="C2"/>
            <w:noProof w:val="1"/>
          </w:rPr>
          <w:t>Ekonomiska frågor</w:t>
        </w:r>
        <w:r>
          <w:rPr>
            <w:noProof w:val="1"/>
          </w:rPr>
          <w:tab/>
        </w:r>
        <w:r>
          <w:rPr>
            <w:noProof w:val="1"/>
          </w:rPr>
          <w:fldChar w:fldCharType="begin"/>
        </w:r>
        <w:r>
          <w:rPr>
            <w:noProof w:val="1"/>
          </w:rPr>
          <w:instrText xml:space="preserve"> PAGEREF _Toc219101274 \h </w:instrText>
        </w:r>
        <w:r>
          <w:rPr>
            <w:noProof w:val="1"/>
          </w:rPr>
          <w:fldChar w:fldCharType="separate"/>
        </w:r>
        <w:r>
          <w:rPr>
            <w:noProof w:val="1"/>
          </w:rPr>
          <w:t>40</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275">
        <w:r>
          <w:rPr>
            <w:rStyle w:val="C2"/>
            <w:noProof w:val="1"/>
          </w:rPr>
          <w:t>6.4</w:t>
        </w:r>
        <w:r>
          <w:rPr>
            <w:rFonts w:cstheme="minorBidi"/>
            <w:smallCaps w:val="0"/>
            <w:noProof w:val="1"/>
            <w:sz w:val="24"/>
            <w:szCs w:val="24"/>
            <w:kern w:val="2"/>
            <w:lang w:eastAsia="sv-SE"/>
          </w:rPr>
          <w:tab/>
        </w:r>
        <w:r>
          <w:rPr>
            <w:rStyle w:val="C2"/>
            <w:noProof w:val="1"/>
          </w:rPr>
          <w:t>Organisatoriska frågor</w:t>
        </w:r>
        <w:r>
          <w:rPr>
            <w:noProof w:val="1"/>
          </w:rPr>
          <w:tab/>
        </w:r>
        <w:r>
          <w:rPr>
            <w:noProof w:val="1"/>
          </w:rPr>
          <w:fldChar w:fldCharType="begin"/>
        </w:r>
        <w:r>
          <w:rPr>
            <w:noProof w:val="1"/>
          </w:rPr>
          <w:instrText xml:space="preserve"> PAGEREF _Toc219101275 \h </w:instrText>
        </w:r>
        <w:r>
          <w:rPr>
            <w:noProof w:val="1"/>
          </w:rPr>
          <w:fldChar w:fldCharType="separate"/>
        </w:r>
        <w:r>
          <w:rPr>
            <w:noProof w:val="1"/>
          </w:rPr>
          <w:t>41</w:t>
        </w:r>
        <w:r>
          <w:rPr>
            <w:noProof w:val="1"/>
          </w:rPr>
          <w:fldChar w:fldCharType="end"/>
        </w:r>
      </w:hyperlink>
    </w:p>
    <w:p>
      <w:pPr>
        <w:rPr>
          <w:rFonts w:cstheme="minorHAnsi"/>
        </w:rPr>
      </w:pPr>
      <w:r>
        <w:rPr>
          <w:rFonts w:cstheme="minorHAnsi"/>
        </w:rPr>
        <w:fldChar w:fldCharType="end"/>
      </w:r>
    </w:p>
    <w:p>
      <w:pPr>
        <w:rPr>
          <w:rFonts w:cstheme="minorHAnsi"/>
        </w:rPr>
      </w:pPr>
    </w:p>
    <w:p>
      <w:pPr>
        <w:rPr>
          <w:rFonts w:cstheme="minorHAnsi"/>
        </w:rPr>
      </w:pPr>
    </w:p>
    <w:p>
      <w:pPr>
        <w:rPr>
          <w:rFonts w:cstheme="minorHAnsi"/>
        </w:rPr>
      </w:pPr>
    </w:p>
    <w:p>
      <w:pPr>
        <w:rPr>
          <w:rFonts w:cstheme="minorHAnsi"/>
        </w:rPr>
      </w:pPr>
    </w:p>
    <w:p>
      <w:pPr>
        <w:pStyle w:val="P1"/>
        <w:rPr>
          <w:rFonts w:asciiTheme="minorHAnsi" w:hAnsiTheme="minorHAnsi" w:cstheme="minorHAnsi"/>
        </w:rPr>
      </w:pPr>
      <w:bookmarkStart w:id="6" w:name="_Toc219101240"/>
      <w:r>
        <w:rPr>
          <w:rFonts w:asciiTheme="minorHAnsi" w:hAnsiTheme="minorHAnsi" w:cstheme="minorHAnsi"/>
        </w:rPr>
        <w:t>Detaljplanens syfte</w:t>
      </w:r>
      <w:bookmarkEnd w:id="6"/>
    </w:p>
    <w:p>
      <w:pPr>
        <w:ind w:left="432"/>
        <w:rPr>
          <w:rStyle w:val="C25"/>
          <w:rFonts w:cstheme="minorHAnsi"/>
          <w:color w:val="000000" w:themeColor="text1"/>
        </w:rPr>
      </w:pPr>
      <w:bookmarkStart w:id="7" w:name="_Hlk161208769"/>
      <w:bookmarkStart w:id="8" w:name="sy_syfte01"/>
      <w:r>
        <w:rPr>
          <w:rStyle w:val="C25"/>
          <w:rFonts w:cstheme="minorHAnsi"/>
          <w:color w:val="000000" w:themeColor="text1"/>
        </w:rPr>
        <w:t>Syftet med planen är att möjliggöra för centrumändamål för befintliga och nya verksamheter som inbegrips av användningen centrum.</w:t>
      </w:r>
    </w:p>
    <w:p>
      <w:pPr>
        <w:pStyle w:val="P1"/>
        <w:rPr>
          <w:rFonts w:asciiTheme="minorHAnsi" w:hAnsiTheme="minorHAnsi" w:cstheme="minorHAnsi"/>
        </w:rPr>
      </w:pPr>
      <w:bookmarkEnd w:id="7"/>
      <w:bookmarkEnd w:id="8"/>
      <w:bookmarkStart w:id="9" w:name="_Toc219101241"/>
      <w:r>
        <w:rPr>
          <w:rFonts w:asciiTheme="minorHAnsi" w:hAnsiTheme="minorHAnsi" w:cstheme="minorHAnsi"/>
        </w:rPr>
        <w:t>Beskrivning av detaljplanen</w:t>
      </w:r>
      <w:bookmarkEnd w:id="9"/>
      <w:r>
        <w:rPr>
          <w:rFonts w:asciiTheme="minorHAnsi" w:hAnsiTheme="minorHAnsi" w:cstheme="minorHAnsi"/>
        </w:rPr>
        <w:t xml:space="preserve"> </w:t>
      </w:r>
    </w:p>
    <w:p>
      <w:pPr>
        <w:ind w:left="432"/>
        <w:rPr>
          <w:rFonts w:cstheme="minorHAnsi"/>
        </w:rPr>
      </w:pPr>
      <w:r>
        <w:rPr>
          <w:rFonts w:cstheme="minorHAnsi"/>
        </w:rPr>
        <w:t>Detta avsnitt innehåller en redovisning av detaljplanens huvuddrag med vilka förändringar som möjliggörs i området när detaljplanen genomförs, samt de överväganden som legat till grund för detaljplanens utformning.</w:t>
      </w:r>
    </w:p>
    <w:p>
      <w:pPr>
        <w:ind w:left="432"/>
        <w:rPr>
          <w:rFonts w:cstheme="minorHAnsi"/>
        </w:rPr>
      </w:pPr>
      <w:r>
        <w:rPr>
          <w:rFonts w:cstheme="minorHAnsi"/>
          <w:noProof w:val="1"/>
        </w:rPr>
        <w:drawing>
          <wp:inline xmlns:wp="http://schemas.openxmlformats.org/drawingml/2006/wordprocessingDrawing" distT="0" distB="0" distL="0" distR="0">
            <wp:extent cx="5760720" cy="5438140"/>
            <wp:effectExtent l="0" t="0" r="0" b="0"/>
            <wp:docPr id="175498197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81977" name="Picture 1"/>
                    <pic:cNvPicPr/>
                  </pic:nvPicPr>
                  <pic:blipFill dpi="0">
                    <a:blip xmlns:r="http://schemas.openxmlformats.org/officeDocument/2006/relationships" r:embed="Relimage3"/>
                    <a:srcRect/>
                    <a:stretch>
                      <a:fillRect/>
                    </a:stretch>
                  </pic:blipFill>
                  <pic:spPr>
                    <a:xfrm>
                      <a:off x="0" y="0"/>
                      <a:ext cx="5760720" cy="5438140"/>
                    </a:xfrm>
                    <a:prstGeom prst="rect"/>
                  </pic:spPr>
                </pic:pic>
              </a:graphicData>
            </a:graphic>
          </wp:inline>
        </w:drawing>
      </w:r>
    </w:p>
    <w:p>
      <w:pPr>
        <w:ind w:firstLine="432"/>
        <w:jc w:val="both"/>
        <w:rPr>
          <w:rFonts w:cstheme="minorHAnsi"/>
          <w:color w:val="3B3939" w:themeColor="background2" w:themeShade="40"/>
          <w:sz w:val="16"/>
          <w:szCs w:val="16"/>
        </w:rPr>
      </w:pPr>
      <w:r>
        <w:rPr>
          <w:rFonts w:cstheme="minorHAnsi"/>
          <w:color w:val="3B3939" w:themeColor="background2" w:themeShade="40"/>
          <w:sz w:val="16"/>
          <w:szCs w:val="16"/>
        </w:rPr>
        <w:t>Figur 1: Del av detaljplanekarta; Nedre Vasagatan.</w:t>
      </w:r>
    </w:p>
    <w:p>
      <w:pPr>
        <w:ind w:firstLine="432"/>
        <w:jc w:val="both"/>
        <w:rPr>
          <w:rFonts w:cstheme="minorHAnsi"/>
          <w:color w:val="A7A7A7"/>
          <w:sz w:val="16"/>
          <w:szCs w:val="16"/>
        </w:rPr>
      </w:pPr>
    </w:p>
    <w:p>
      <w:pPr>
        <w:pStyle w:val="P2"/>
        <w:rPr>
          <w:rFonts w:asciiTheme="minorHAnsi" w:hAnsiTheme="minorHAnsi" w:cstheme="minorHAnsi"/>
        </w:rPr>
      </w:pPr>
      <w:bookmarkStart w:id="10" w:name="_Toc219101242"/>
      <w:r>
        <w:rPr>
          <w:rFonts w:asciiTheme="minorHAnsi" w:hAnsiTheme="minorHAnsi" w:cstheme="minorHAnsi"/>
        </w:rPr>
        <w:t>Detaljplanens omfattning och lokalisering</w:t>
      </w:r>
      <w:bookmarkEnd w:id="10"/>
    </w:p>
    <w:p>
      <w:pPr>
        <w:ind w:left="576"/>
        <w:rPr>
          <w:rFonts w:cstheme="minorHAnsi"/>
        </w:rPr>
      </w:pPr>
      <w:bookmarkStart w:id="11" w:name="be_heladetaljplan01"/>
      <w:r>
        <w:rPr>
          <w:rFonts w:cstheme="minorHAnsi"/>
        </w:rPr>
        <w:t>Planområdet har omfattar cirka 8200 m</w:t>
      </w:r>
      <w:r>
        <w:rPr>
          <w:rFonts w:cstheme="minorHAnsi"/>
          <w:vertAlign w:val="superscript"/>
        </w:rPr>
        <w:t>2</w:t>
      </w:r>
      <w:r>
        <w:rPr>
          <w:rFonts w:cstheme="minorHAnsi"/>
        </w:rPr>
        <w:t xml:space="preserve"> och inbegriper fastigheterna: </w:t>
      </w:r>
      <w:r>
        <w:rPr>
          <w:rFonts w:cstheme="minorHAnsi" w:eastAsia="Arial"/>
          <w:szCs w:val="24"/>
          <w:lang w:eastAsia="sv-SE"/>
        </w:rPr>
        <w:t xml:space="preserve">Veterinären 3, Veterinären 4, Veterinären 7, Skjutskarlen 1, Skjutskarlen 7 samt Smedjebacken 3:2, som alla ligger kring Vasagatan. </w:t>
      </w:r>
      <w:r>
        <w:rPr>
          <w:rFonts w:cstheme="minorHAnsi"/>
        </w:rPr>
        <w:t>Planområdet är entrén till centralaste delarna i Smedjebacken tätort med genomfartsvägen 635 Vasagatan/ Hamngatan direkt söder om planområdet.</w:t>
      </w:r>
      <w:bookmarkEnd w:id="11"/>
      <w:bookmarkStart w:id="12" w:name="_Hlk161810423"/>
    </w:p>
    <w:p>
      <w:pPr>
        <w:rPr>
          <w:rFonts w:cstheme="minorHAnsi"/>
        </w:rPr>
      </w:pPr>
      <w:bookmarkEnd w:id="12"/>
      <w:r>
        <w:rPr>
          <w:rFonts w:cstheme="minorHAnsi"/>
          <w:noProof w:val="1"/>
        </w:rPr>
        <w:drawing>
          <wp:inline xmlns:wp="http://schemas.openxmlformats.org/drawingml/2006/wordprocessingDrawing" distT="0" distB="0" distL="0" distR="0">
            <wp:extent cx="5760720" cy="8035925"/>
            <wp:effectExtent l="19050" t="19050" r="11430" b="22225"/>
            <wp:docPr id="1948684229" name="Bildobjekt 1" descr="En bild som visar karta, text, kartbok,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84229" name="Bildobjekt 1" descr="En bild som visar karta, text, kartbok, diagram&#10;&#10;AI-genererat innehåll kan vara felaktigt."/>
                    <pic:cNvPicPr/>
                  </pic:nvPicPr>
                  <pic:blipFill dpi="0">
                    <a:blip xmlns:r="http://schemas.openxmlformats.org/officeDocument/2006/relationships" r:embed="Relimage4"/>
                    <a:srcRect/>
                    <a:stretch>
                      <a:fillRect/>
                    </a:stretch>
                  </pic:blipFill>
                  <pic:spPr>
                    <a:xfrm>
                      <a:off x="0" y="0"/>
                      <a:ext cx="5760720" cy="8035925"/>
                    </a:xfrm>
                    <a:prstGeom prst="rect"/>
                    <a:ln w="6350">
                      <a:solidFill>
                        <a:sysClr val="windowText"/>
                      </a:solidFill>
                    </a:ln>
                  </pic:spPr>
                </pic:pic>
              </a:graphicData>
            </a:graphic>
          </wp:inline>
        </w:drawing>
      </w:r>
    </w:p>
    <w:p>
      <w:pPr>
        <w:jc w:val="both"/>
        <w:rPr>
          <w:rFonts w:cstheme="minorHAnsi"/>
          <w:color w:val="A7A7A7"/>
          <w:sz w:val="16"/>
          <w:szCs w:val="16"/>
        </w:rPr>
      </w:pPr>
      <w:bookmarkStart w:id="13" w:name="_Hlk196810898"/>
      <w:r>
        <w:rPr>
          <w:rFonts w:cstheme="minorHAnsi"/>
          <w:color w:val="3B3939" w:themeColor="background2" w:themeShade="40"/>
          <w:sz w:val="16"/>
          <w:szCs w:val="16"/>
        </w:rPr>
        <w:t xml:space="preserve">Figur 2: Planområdet inom röd markering </w:t>
      </w:r>
      <w:r>
        <w:rPr>
          <w:rFonts w:cstheme="minorHAnsi"/>
          <w:color w:val="000000"/>
          <w:sz w:val="16"/>
          <w:szCs w:val="16"/>
        </w:rPr>
        <w:t>(grundkarta © Lantmäteriet</w:t>
      </w:r>
      <w:r>
        <w:rPr>
          <w:rFonts w:cstheme="minorHAnsi"/>
          <w:sz w:val="16"/>
          <w:szCs w:val="16"/>
        </w:rPr>
        <w:t>).</w:t>
      </w:r>
    </w:p>
    <w:p>
      <w:pPr>
        <w:pStyle w:val="P2"/>
        <w:rPr>
          <w:rFonts w:asciiTheme="minorHAnsi" w:hAnsiTheme="minorHAnsi" w:cstheme="minorHAnsi"/>
        </w:rPr>
      </w:pPr>
      <w:bookmarkEnd w:id="13"/>
      <w:bookmarkStart w:id="14" w:name="_Toc219101243"/>
      <w:r>
        <w:rPr>
          <w:rFonts w:asciiTheme="minorHAnsi" w:hAnsiTheme="minorHAnsi" w:cstheme="minorHAnsi"/>
        </w:rPr>
        <w:t>Hela detaljplanen</w:t>
      </w:r>
      <w:bookmarkEnd w:id="14"/>
    </w:p>
    <w:p>
      <w:pPr>
        <w:ind w:left="576"/>
        <w:rPr>
          <w:rFonts w:cstheme="minorHAnsi"/>
        </w:rPr>
      </w:pPr>
      <w:bookmarkStart w:id="15" w:name="be_heladetaljplan02"/>
      <w:r>
        <w:rPr>
          <w:rFonts w:cstheme="minorHAnsi"/>
        </w:rPr>
        <w:t xml:space="preserve">Planområdet är en del av Smedjebackens centrumkärna och handelsgata på Vasagatan, där butiker och service återfinns. Det är samtidigt en del av entrén som besökare och boende möts för att ta sig vidare till målpunkter i centrum. Planområdet ligger precis i anslutning till genomfartsvägen väg 635 som löper mellan riksväg 66 (Fagersta och Ludvika) i söder samt Borlänge i norrgående riktning. På platsen finns befintliga flerbostads- och enbostadshus i två till tre våningar med butiker med verksamheter i bottenvåningen och bostadslägenheter på övre plan. Platserna innehar mestadels hårdgjorda ytor i gaturummet där bebyggelse saknar förgårdsmark. För att säkerställa att verksamheter som finns på plats idag samt nya etableringar ska vara möjliga, så krävs det att fler användningar blir tillåtna i området, vilket möjliggör för nyttjande av de befintliga lokalerna längs med affärs- och servicesstråket. Användningen C kompletteras till kvartersmark, ytor för allmänplats ökar, samtidigt som </w:t>
      </w:r>
      <w:bookmarkStart w:id="16" w:name="_Hlk198769009"/>
      <w:r>
        <w:rPr>
          <w:rFonts w:cstheme="minorHAnsi"/>
        </w:rPr>
        <w:t>bland annat uteserveringar och entréfunktioner kan anordnas, för att möjliggöra för fler etableringar tillgängliggöra mark och nyttja marken mer effektivt.</w:t>
      </w:r>
      <w:bookmarkEnd w:id="16"/>
    </w:p>
    <w:p>
      <w:pPr>
        <w:ind w:left="576"/>
        <w:rPr>
          <w:rFonts w:cstheme="minorHAnsi"/>
        </w:rPr>
      </w:pPr>
      <w:r>
        <w:rPr>
          <w:rFonts w:cstheme="minorHAnsi"/>
        </w:rPr>
        <w:t>Vasagatan utgör angöringsgata till verksamheterna, där två parkeringsplatser och två busshållplatser återfinns. Två kollektivtrafikslinjer finns i norr- och södergående riktning mot busstorget samt mot järnvägsstationen. En annan linje finns även längst väg 635 i sydöstra delen inom planområdet. Sveavägen i östlig riktning har några få butiker och skyltfönster. Handelsområdet fortlöper från planområdet norrut mot Vasatorget.</w:t>
      </w:r>
    </w:p>
    <w:p>
      <w:pPr>
        <w:pStyle w:val="P2"/>
        <w:rPr>
          <w:rFonts w:asciiTheme="minorHAnsi" w:hAnsiTheme="minorHAnsi" w:cstheme="minorHAnsi"/>
        </w:rPr>
      </w:pPr>
      <w:bookmarkEnd w:id="15"/>
      <w:bookmarkStart w:id="17" w:name="_Toc219101244"/>
      <w:r>
        <w:rPr>
          <w:rFonts w:asciiTheme="minorHAnsi" w:hAnsiTheme="minorHAnsi" w:cstheme="minorHAnsi"/>
        </w:rPr>
        <w:t>Allmän plats</w:t>
      </w:r>
      <w:bookmarkEnd w:id="17"/>
    </w:p>
    <w:p>
      <w:pPr>
        <w:ind w:left="576"/>
        <w:rPr>
          <w:rFonts w:cstheme="minorHAnsi"/>
        </w:rPr>
      </w:pPr>
      <w:bookmarkStart w:id="18" w:name="be_allmänplats01"/>
      <w:r>
        <w:rPr>
          <w:rFonts w:cstheme="minorHAnsi"/>
          <w:shd w:val="clear" w:color="auto" w:fill="FFFFFF"/>
        </w:rPr>
        <w:t>Med allmän plats menas ett område som är avsett för ett gemensamt behov.</w:t>
      </w:r>
      <w:r>
        <w:rPr>
          <w:rFonts w:cstheme="minorHAnsi"/>
        </w:rPr>
        <w:t xml:space="preserve"> Allmänna platser inom planområdet omfattar;</w:t>
      </w:r>
    </w:p>
    <w:p>
      <w:pPr>
        <w:pStyle w:val="P31"/>
        <w:numPr>
          <w:ilvl w:val="0"/>
          <w:numId w:val="6"/>
        </w:numPr>
        <w:rPr>
          <w:rFonts w:cstheme="minorHAnsi"/>
        </w:rPr>
      </w:pPr>
      <w:r>
        <w:rPr>
          <w:rFonts w:cstheme="minorHAnsi"/>
        </w:rPr>
        <w:t>Gata – Allmän plats. Vasagatan utgör angöringsgata till verksamheter, och som passage för kollektivtrafik, gång och biltrafik. Allmän Gata kommer utvidgas i östlig riktning samt i nordlig riktning från sydöst.</w:t>
      </w:r>
      <w:bookmarkEnd w:id="18"/>
    </w:p>
    <w:p>
      <w:pPr>
        <w:pStyle w:val="P31"/>
        <w:ind w:left="1440"/>
        <w:rPr>
          <w:rFonts w:cstheme="minorHAnsi"/>
        </w:rPr>
      </w:pPr>
    </w:p>
    <w:p>
      <w:pPr>
        <w:pStyle w:val="P3"/>
        <w:rPr>
          <w:rFonts w:asciiTheme="minorHAnsi" w:hAnsiTheme="minorHAnsi" w:cstheme="minorHAnsi"/>
        </w:rPr>
      </w:pPr>
      <w:r>
        <w:rPr>
          <w:rFonts w:asciiTheme="minorHAnsi" w:hAnsiTheme="minorHAnsi" w:cstheme="minorHAnsi"/>
        </w:rPr>
        <w:t>Huvudmannaskap</w:t>
      </w:r>
    </w:p>
    <w:p>
      <w:pPr>
        <w:ind w:left="720"/>
        <w:rPr>
          <w:rFonts w:cstheme="minorHAnsi"/>
        </w:rPr>
      </w:pPr>
      <w:bookmarkStart w:id="19" w:name="be_huvudmannaskap01"/>
      <w:r>
        <w:rPr>
          <w:rFonts w:cstheme="minorHAnsi"/>
        </w:rPr>
        <w:t xml:space="preserve">Enligt huvudregeln är kommunen normalt sett huvudman för allmänna platser inom detaljplanelagda områden. Därför föreslås kommunalt huvudmannaskap, vilket innebär att kommunen har ansvar för förvaltning och skötsel av de allmänna platserna inom planområdet. </w:t>
      </w:r>
    </w:p>
    <w:p>
      <w:pPr>
        <w:pStyle w:val="P2"/>
        <w:numPr>
          <w:ilvl w:val="1"/>
          <w:numId w:val="2"/>
        </w:numPr>
        <w:rPr>
          <w:rFonts w:asciiTheme="minorHAnsi" w:hAnsiTheme="minorHAnsi" w:cstheme="minorHAnsi"/>
        </w:rPr>
      </w:pPr>
      <w:bookmarkEnd w:id="19"/>
      <w:bookmarkStart w:id="20" w:name="_Toc161610020"/>
      <w:bookmarkStart w:id="21" w:name="_Toc219101245"/>
      <w:r>
        <w:rPr>
          <w:rFonts w:asciiTheme="minorHAnsi" w:hAnsiTheme="minorHAnsi" w:cstheme="minorHAnsi"/>
        </w:rPr>
        <w:t>Vattenområden</w:t>
      </w:r>
      <w:bookmarkEnd w:id="20"/>
      <w:bookmarkEnd w:id="21"/>
    </w:p>
    <w:p>
      <w:pPr>
        <w:ind w:left="576"/>
        <w:rPr>
          <w:rFonts w:cstheme="minorHAnsi"/>
        </w:rPr>
      </w:pPr>
      <w:bookmarkStart w:id="22" w:name="be_vattenområde01"/>
      <w:r>
        <w:rPr>
          <w:rFonts w:cstheme="minorHAnsi"/>
        </w:rPr>
        <w:t xml:space="preserve">Planområdet omfattas inte av vattenområden. </w:t>
      </w:r>
    </w:p>
    <w:p>
      <w:pPr>
        <w:pStyle w:val="P2"/>
        <w:rPr>
          <w:rFonts w:asciiTheme="minorHAnsi" w:hAnsiTheme="minorHAnsi" w:cstheme="minorHAnsi"/>
        </w:rPr>
      </w:pPr>
      <w:bookmarkEnd w:id="22"/>
      <w:bookmarkStart w:id="23" w:name="_Toc219101246"/>
      <w:r>
        <w:rPr>
          <w:rFonts w:asciiTheme="minorHAnsi" w:hAnsiTheme="minorHAnsi" w:cstheme="minorHAnsi"/>
        </w:rPr>
        <w:t>Kvartersmark</w:t>
      </w:r>
      <w:bookmarkEnd w:id="23"/>
    </w:p>
    <w:p>
      <w:pPr>
        <w:ind w:left="576"/>
        <w:rPr>
          <w:rFonts w:cstheme="minorHAnsi"/>
          <w:shd w:val="clear" w:color="auto" w:fill="FFFFFF"/>
        </w:rPr>
      </w:pPr>
      <w:bookmarkStart w:id="24" w:name="be_kvartersmark01"/>
      <w:r>
        <w:rPr>
          <w:rFonts w:cstheme="minorHAnsi"/>
          <w:shd w:val="clear" w:color="auto" w:fill="FFFFFF"/>
        </w:rPr>
        <w:t>Med kvartersmark avses all mark inom ett planområde som inte ska utgöra allmän plats eller ett vattenområde. Kvartersmarken inom planområdet omfattar;</w:t>
      </w:r>
    </w:p>
    <w:p>
      <w:pPr>
        <w:pStyle w:val="P31"/>
        <w:numPr>
          <w:ilvl w:val="0"/>
          <w:numId w:val="7"/>
        </w:numPr>
        <w:rPr>
          <w:rFonts w:cstheme="minorHAnsi"/>
          <w:shd w:val="clear" w:color="auto" w:fill="FFFFFF"/>
        </w:rPr>
      </w:pPr>
      <w:r>
        <w:rPr>
          <w:rFonts w:cstheme="minorHAnsi"/>
        </w:rPr>
        <w:t>B – Bostäder. Ytor för kvartersmarken i öster kommer att minska i väster och söder. Förändringar regleras genom användning allmän plats samt egenskapsbestämmelser som påverkar användningen.</w:t>
      </w:r>
    </w:p>
    <w:p>
      <w:pPr>
        <w:pStyle w:val="P31"/>
        <w:numPr>
          <w:ilvl w:val="0"/>
          <w:numId w:val="7"/>
        </w:numPr>
        <w:rPr>
          <w:rFonts w:cstheme="minorHAnsi"/>
          <w:shd w:val="clear" w:color="auto" w:fill="FFFFFF"/>
        </w:rPr>
      </w:pPr>
      <w:r>
        <w:rPr>
          <w:rFonts w:cstheme="minorHAnsi"/>
          <w:shd w:val="clear" w:color="auto" w:fill="FFFFFF"/>
        </w:rPr>
        <w:t>C – Centrum. Bebyggelsen i områden får utökad nyttjandegrad för användningen centrum vilket möjliggör för fler olika typer av verksamheter och service.</w:t>
      </w:r>
    </w:p>
    <w:p>
      <w:pPr>
        <w:pStyle w:val="P31"/>
        <w:numPr>
          <w:ilvl w:val="0"/>
          <w:numId w:val="7"/>
        </w:numPr>
        <w:rPr>
          <w:rFonts w:cstheme="minorHAnsi"/>
          <w:shd w:val="clear" w:color="auto" w:fill="FFFFFF"/>
        </w:rPr>
      </w:pPr>
      <w:r>
        <w:rPr>
          <w:rFonts w:cstheme="minorHAnsi"/>
          <w:shd w:val="clear" w:color="auto" w:fill="FFFFFF"/>
        </w:rPr>
        <w:t xml:space="preserve">H – Detaljhandel. </w:t>
      </w:r>
      <w:r>
        <w:rPr>
          <w:rFonts w:cstheme="minorHAnsi"/>
        </w:rPr>
        <w:t>Ytor för kvartersmarken i öster kommer att minska i västlig och sydlig riktning. Förändringar regleras genom användning allmän plats samt egenskapsbestämmelser som påverkar användningen.</w:t>
      </w:r>
    </w:p>
    <w:p>
      <w:pPr>
        <w:pStyle w:val="P31"/>
        <w:numPr>
          <w:ilvl w:val="0"/>
          <w:numId w:val="7"/>
        </w:numPr>
        <w:rPr>
          <w:rFonts w:cstheme="minorHAnsi"/>
          <w:shd w:val="clear" w:color="auto" w:fill="FFFFFF"/>
        </w:rPr>
      </w:pPr>
      <w:r>
        <w:rPr>
          <w:rFonts w:cstheme="minorHAnsi"/>
          <w:shd w:val="clear" w:color="auto" w:fill="FFFFFF"/>
        </w:rPr>
        <w:t xml:space="preserve">K – Kontor. </w:t>
      </w:r>
      <w:r>
        <w:rPr>
          <w:rFonts w:cstheme="minorHAnsi"/>
        </w:rPr>
        <w:t>Ytor för kvartersmarken i öster kommer att minska i västlig och sydlig riktning. Förändringar regleras genom användning allmän plats samt egenskapsbestämmelser som påverkar användningen.</w:t>
      </w:r>
    </w:p>
    <w:p>
      <w:pPr>
        <w:pStyle w:val="P31"/>
        <w:ind w:left="1440"/>
        <w:rPr>
          <w:rFonts w:cstheme="minorHAnsi"/>
          <w:shd w:val="clear" w:color="auto" w:fill="FFFFFF"/>
        </w:rPr>
      </w:pPr>
    </w:p>
    <w:tbl>
      <w:tblPr>
        <w:tblStyle w:val="T3"/>
        <w:tblpPr w:leftFromText="141" w:rightFromText="141" w:tblpX="1" w:tblpY="887" w:horzAnchor="margin" w:vertAnchor="text" w:tblpXSpec="left"/>
        <w:tblW w:w="9119" w:type="dxa"/>
        <w:tblLook w:val="04A0"/>
      </w:tblPr>
      <w:tblGrid/>
      <w:tr>
        <w:trPr>
          <w:trHeight w:hRule="atLeast" w:val="481"/>
        </w:trPr>
        <w:tc>
          <w:tcPr>
            <w:tcW w:w="4248" w:type="dxa"/>
          </w:tcPr>
          <w:p>
            <w:pPr>
              <w:spacing w:lineRule="auto" w:line="276" w:beforeAutospacing="0" w:afterAutospacing="0"/>
              <w:rPr>
                <w:rFonts w:cstheme="minorHAnsi"/>
              </w:rPr>
            </w:pPr>
            <w:bookmarkEnd w:id="24"/>
            <w:bookmarkStart w:id="25" w:name="be_ärendeinformation01" w:colFirst="0" w:colLast="1"/>
            <w:r>
              <w:rPr>
                <w:rFonts w:cstheme="minorHAnsi"/>
                <w:b w:val="1"/>
                <w:bCs w:val="1"/>
              </w:rPr>
              <w:t>Namn:</w:t>
            </w:r>
            <w:r>
              <w:rPr>
                <w:rFonts w:cstheme="minorHAnsi"/>
              </w:rPr>
              <w:t xml:space="preserve"> Detaljplan Nedre Vasagatan</w:t>
            </w:r>
          </w:p>
        </w:tc>
        <w:tc>
          <w:tcPr>
            <w:tcW w:w="4871" w:type="dxa"/>
          </w:tcPr>
          <w:p>
            <w:pPr>
              <w:spacing w:lineRule="auto" w:line="276" w:beforeAutospacing="0" w:afterAutospacing="0"/>
              <w:rPr>
                <w:rFonts w:cstheme="minorHAnsi"/>
                <w:color w:val="FF0000"/>
              </w:rPr>
            </w:pPr>
            <w:r>
              <w:rPr>
                <w:rFonts w:cstheme="minorHAnsi"/>
                <w:b w:val="1"/>
                <w:bCs w:val="1"/>
              </w:rPr>
              <w:t>Beslut om planuppdrag:</w:t>
            </w:r>
            <w:r>
              <w:rPr>
                <w:rFonts w:cstheme="minorHAnsi"/>
              </w:rPr>
              <w:t xml:space="preserve"> Kommunfullmäktige</w:t>
            </w:r>
          </w:p>
        </w:tc>
      </w:tr>
      <w:tr>
        <w:trPr>
          <w:trHeight w:hRule="atLeast" w:val="247"/>
        </w:trPr>
        <w:tc>
          <w:tcPr>
            <w:tcW w:w="4248" w:type="dxa"/>
          </w:tcPr>
          <w:p>
            <w:pPr>
              <w:spacing w:lineRule="auto" w:line="276" w:beforeAutospacing="0" w:afterAutospacing="0"/>
              <w:rPr>
                <w:rFonts w:cstheme="minorHAnsi"/>
              </w:rPr>
            </w:pPr>
            <w:bookmarkEnd w:id="25"/>
            <w:bookmarkStart w:id="26" w:name="be_ärendeinformation02" w:colFirst="0" w:colLast="1"/>
            <w:r>
              <w:rPr>
                <w:rFonts w:cstheme="minorHAnsi"/>
                <w:b w:val="1"/>
                <w:bCs w:val="1"/>
              </w:rPr>
              <w:t>Dnr:</w:t>
            </w:r>
            <w:r>
              <w:rPr>
                <w:rFonts w:cstheme="minorHAnsi"/>
              </w:rPr>
              <w:t xml:space="preserve"> MBN 2025 - 167</w:t>
            </w:r>
          </w:p>
        </w:tc>
        <w:tc>
          <w:tcPr>
            <w:tcW w:w="4871" w:type="dxa"/>
          </w:tcPr>
          <w:p>
            <w:pPr>
              <w:spacing w:lineRule="auto" w:line="276" w:beforeAutospacing="0" w:afterAutospacing="0"/>
              <w:rPr>
                <w:rFonts w:cstheme="minorHAnsi"/>
              </w:rPr>
            </w:pPr>
            <w:r>
              <w:rPr>
                <w:rFonts w:cstheme="minorHAnsi"/>
                <w:b w:val="1"/>
                <w:bCs w:val="1"/>
                <w:color w:val="000000" w:themeColor="text1"/>
              </w:rPr>
              <w:t>Planstart:</w:t>
            </w:r>
            <w:r>
              <w:rPr>
                <w:rFonts w:cstheme="minorHAnsi"/>
                <w:color w:val="000000" w:themeColor="text1"/>
              </w:rPr>
              <w:t xml:space="preserve"> 2025 – 03 – 11</w:t>
            </w:r>
          </w:p>
        </w:tc>
      </w:tr>
      <w:tr>
        <w:trPr>
          <w:trHeight w:hRule="atLeast" w:val="239"/>
        </w:trPr>
        <w:tc>
          <w:tcPr>
            <w:tcW w:w="4248" w:type="dxa"/>
          </w:tcPr>
          <w:p>
            <w:pPr>
              <w:spacing w:lineRule="auto" w:line="276" w:beforeAutospacing="0" w:afterAutospacing="0"/>
              <w:rPr>
                <w:rFonts w:cstheme="minorHAnsi"/>
              </w:rPr>
            </w:pPr>
            <w:bookmarkEnd w:id="26"/>
            <w:bookmarkStart w:id="27" w:name="be_ärendeinformation03" w:colFirst="0" w:colLast="1"/>
            <w:r>
              <w:rPr>
                <w:rFonts w:cstheme="minorHAnsi"/>
                <w:b w:val="1"/>
                <w:bCs w:val="1"/>
              </w:rPr>
              <w:t>Kommundel:</w:t>
            </w:r>
            <w:r>
              <w:rPr>
                <w:rFonts w:cstheme="minorHAnsi"/>
              </w:rPr>
              <w:t xml:space="preserve"> Smedjebacken</w:t>
            </w:r>
          </w:p>
        </w:tc>
        <w:tc>
          <w:tcPr>
            <w:tcW w:w="4871" w:type="dxa"/>
          </w:tcPr>
          <w:p>
            <w:pPr>
              <w:spacing w:lineRule="auto" w:line="276" w:beforeAutospacing="0" w:afterAutospacing="0"/>
              <w:rPr>
                <w:rFonts w:cstheme="minorHAnsi"/>
                <w:color w:val="FF0000"/>
              </w:rPr>
            </w:pPr>
            <w:r>
              <w:rPr>
                <w:rFonts w:cstheme="minorHAnsi"/>
                <w:b w:val="1"/>
                <w:bCs w:val="1"/>
                <w:color w:val="000000" w:themeColor="text1"/>
              </w:rPr>
              <w:t>Beslut om Samråd:</w:t>
            </w:r>
            <w:r>
              <w:rPr>
                <w:rFonts w:cstheme="minorHAnsi"/>
                <w:color w:val="000000" w:themeColor="text1"/>
              </w:rPr>
              <w:t xml:space="preserve"> 2025 – 06 – 11</w:t>
            </w:r>
          </w:p>
        </w:tc>
      </w:tr>
      <w:tr>
        <w:trPr>
          <w:trHeight w:hRule="atLeast" w:val="239"/>
        </w:trPr>
        <w:tc>
          <w:tcPr>
            <w:tcW w:w="4248" w:type="dxa"/>
          </w:tcPr>
          <w:p>
            <w:pPr>
              <w:spacing w:lineRule="auto" w:line="276" w:beforeAutospacing="0" w:afterAutospacing="0"/>
              <w:rPr>
                <w:rFonts w:cstheme="minorHAnsi"/>
              </w:rPr>
            </w:pPr>
            <w:bookmarkEnd w:id="27"/>
            <w:bookmarkStart w:id="28" w:name="be_ärendeinformation04" w:colFirst="0" w:colLast="1"/>
            <w:r>
              <w:rPr>
                <w:rFonts w:cstheme="minorHAnsi"/>
                <w:b w:val="1"/>
                <w:bCs w:val="1"/>
              </w:rPr>
              <w:t>Kommun:</w:t>
            </w:r>
            <w:r>
              <w:rPr>
                <w:rFonts w:cstheme="minorHAnsi"/>
              </w:rPr>
              <w:t xml:space="preserve"> Smedjebacken</w:t>
            </w:r>
          </w:p>
        </w:tc>
        <w:tc>
          <w:tcPr>
            <w:tcW w:w="4871" w:type="dxa"/>
          </w:tcPr>
          <w:p>
            <w:pPr>
              <w:spacing w:lineRule="auto" w:line="276" w:beforeAutospacing="0" w:afterAutospacing="0"/>
              <w:rPr>
                <w:rFonts w:cstheme="minorHAnsi"/>
              </w:rPr>
            </w:pPr>
            <w:r>
              <w:rPr>
                <w:rFonts w:cstheme="minorHAnsi"/>
                <w:b w:val="1"/>
                <w:bCs w:val="1"/>
              </w:rPr>
              <w:t>Beslut om Granskning:</w:t>
            </w:r>
            <w:r>
              <w:rPr>
                <w:rFonts w:cstheme="minorHAnsi"/>
              </w:rPr>
              <w:t xml:space="preserve"> </w:t>
            </w:r>
            <w:r>
              <w:rPr>
                <w:rFonts w:cstheme="minorHAnsi"/>
                <w:color w:val="000000" w:themeColor="text1"/>
              </w:rPr>
              <w:t xml:space="preserve"> 2025 – 10 – 15</w:t>
            </w:r>
          </w:p>
        </w:tc>
      </w:tr>
      <w:tr>
        <w:trPr>
          <w:trHeight w:hRule="atLeast" w:val="239"/>
        </w:trPr>
        <w:tc>
          <w:tcPr>
            <w:tcW w:w="4248" w:type="dxa"/>
          </w:tcPr>
          <w:p>
            <w:pPr>
              <w:spacing w:lineRule="auto" w:line="276" w:beforeAutospacing="0" w:afterAutospacing="0"/>
              <w:rPr>
                <w:rFonts w:cstheme="minorHAnsi"/>
              </w:rPr>
            </w:pPr>
            <w:bookmarkEnd w:id="28"/>
            <w:bookmarkStart w:id="29" w:name="be_ärendeinformation05" w:colFirst="0" w:colLast="1"/>
            <w:r>
              <w:rPr>
                <w:rFonts w:cstheme="minorHAnsi"/>
                <w:b w:val="1"/>
                <w:bCs w:val="1"/>
              </w:rPr>
              <w:t>Län:</w:t>
            </w:r>
            <w:r>
              <w:rPr>
                <w:rFonts w:cstheme="minorHAnsi"/>
              </w:rPr>
              <w:t xml:space="preserve"> Dalarnas län</w:t>
            </w:r>
          </w:p>
        </w:tc>
        <w:tc>
          <w:tcPr>
            <w:tcW w:w="4871" w:type="dxa"/>
          </w:tcPr>
          <w:p>
            <w:pPr>
              <w:spacing w:lineRule="auto" w:line="276" w:beforeAutospacing="0" w:afterAutospacing="0"/>
              <w:rPr>
                <w:rFonts w:cstheme="minorHAnsi"/>
              </w:rPr>
            </w:pPr>
            <w:r>
              <w:rPr>
                <w:rFonts w:cstheme="minorHAnsi"/>
                <w:b w:val="1"/>
                <w:bCs w:val="1"/>
              </w:rPr>
              <w:t>Beslut om Antagande:</w:t>
            </w:r>
            <w:r>
              <w:rPr>
                <w:rFonts w:cstheme="minorHAnsi"/>
              </w:rPr>
              <w:t xml:space="preserve"> </w:t>
            </w:r>
            <w:r>
              <w:rPr>
                <w:rFonts w:cstheme="minorHAnsi"/>
                <w:color w:val="000000" w:themeColor="text1"/>
              </w:rPr>
              <w:t xml:space="preserve"> 2025 – 12 – 15</w:t>
            </w:r>
          </w:p>
        </w:tc>
      </w:tr>
      <w:tr>
        <w:trPr>
          <w:trHeight w:hRule="atLeast" w:val="239"/>
        </w:trPr>
        <w:tc>
          <w:tcPr>
            <w:tcW w:w="4248" w:type="dxa"/>
          </w:tcPr>
          <w:p>
            <w:pPr>
              <w:spacing w:lineRule="auto" w:line="276" w:beforeAutospacing="0" w:afterAutospacing="0"/>
              <w:rPr>
                <w:rFonts w:cstheme="minorHAnsi"/>
              </w:rPr>
            </w:pPr>
            <w:bookmarkEnd w:id="29"/>
            <w:bookmarkStart w:id="30" w:name="be_ärendeinformation06" w:colFirst="0" w:colLast="1"/>
            <w:r>
              <w:rPr>
                <w:rFonts w:cstheme="minorHAnsi"/>
                <w:b w:val="1"/>
                <w:bCs w:val="1"/>
              </w:rPr>
              <w:t>Planförfarande:</w:t>
            </w:r>
            <w:r>
              <w:rPr>
                <w:rFonts w:cstheme="minorHAnsi"/>
              </w:rPr>
              <w:t xml:space="preserve"> Standardförfarande</w:t>
            </w:r>
          </w:p>
        </w:tc>
        <w:tc>
          <w:tcPr>
            <w:tcW w:w="4871" w:type="dxa"/>
          </w:tcPr>
          <w:p>
            <w:pPr>
              <w:spacing w:lineRule="auto" w:line="276" w:beforeAutospacing="0" w:afterAutospacing="0"/>
              <w:rPr>
                <w:rFonts w:cstheme="minorHAnsi"/>
              </w:rPr>
            </w:pPr>
            <w:r>
              <w:rPr>
                <w:rFonts w:cstheme="minorHAnsi"/>
                <w:b w:val="1"/>
                <w:bCs w:val="1"/>
              </w:rPr>
              <w:t>Laga kraft:</w:t>
            </w:r>
            <w:r>
              <w:rPr>
                <w:rFonts w:cstheme="minorHAnsi"/>
              </w:rPr>
              <w:t xml:space="preserve"> </w:t>
            </w:r>
            <w:r>
              <w:rPr>
                <w:rFonts w:cstheme="minorHAnsi"/>
                <w:color w:val="000000" w:themeColor="text1"/>
              </w:rPr>
              <w:t xml:space="preserve"> 2026 – 01 – 08</w:t>
            </w:r>
          </w:p>
        </w:tc>
      </w:tr>
    </w:tbl>
    <w:p>
      <w:pPr>
        <w:pStyle w:val="P2"/>
        <w:rPr>
          <w:rFonts w:asciiTheme="minorHAnsi" w:hAnsiTheme="minorHAnsi" w:cstheme="minorHAnsi"/>
        </w:rPr>
      </w:pPr>
      <w:bookmarkEnd w:id="30"/>
      <w:bookmarkStart w:id="31" w:name="_Toc219101247"/>
      <w:r>
        <w:rPr>
          <w:rFonts w:asciiTheme="minorHAnsi" w:hAnsiTheme="minorHAnsi" w:cstheme="minorHAnsi"/>
        </w:rPr>
        <w:t>Ärendeinformation</w:t>
      </w:r>
      <w:bookmarkEnd w:id="31"/>
    </w:p>
    <w:p>
      <w:pPr>
        <w:pStyle w:val="P2"/>
        <w:rPr>
          <w:rFonts w:asciiTheme="minorHAnsi" w:hAnsiTheme="minorHAnsi" w:cstheme="minorHAnsi"/>
        </w:rPr>
      </w:pPr>
      <w:bookmarkStart w:id="32" w:name="_Toc219101248"/>
      <w:r>
        <w:rPr>
          <w:rFonts w:asciiTheme="minorHAnsi" w:hAnsiTheme="minorHAnsi" w:cstheme="minorHAnsi"/>
        </w:rPr>
        <w:t>Genomförandetid</w:t>
      </w:r>
      <w:bookmarkEnd w:id="32"/>
    </w:p>
    <w:p>
      <w:pPr>
        <w:spacing w:lineRule="auto" w:line="276" w:beforeAutospacing="0" w:afterAutospacing="0"/>
        <w:ind w:left="576"/>
        <w:rPr>
          <w:rFonts w:cstheme="minorHAnsi"/>
        </w:rPr>
      </w:pPr>
      <w:bookmarkStart w:id="33" w:name="be_genomförandetid01"/>
      <w:r>
        <w:rPr>
          <w:rFonts w:cstheme="minorHAnsi"/>
        </w:rPr>
        <w:t xml:space="preserve">Detaljplanen genomförandetid </w:t>
      </w:r>
      <w:r>
        <w:rPr>
          <w:rFonts w:cstheme="minorHAnsi"/>
          <w:color w:val="000000" w:themeColor="text1"/>
        </w:rPr>
        <w:t xml:space="preserve">är 60 månader (5 år) från </w:t>
      </w:r>
      <w:r>
        <w:rPr>
          <w:rFonts w:cstheme="minorHAnsi"/>
        </w:rPr>
        <w:t xml:space="preserve">den tidpunkt då planen får laga kraft. Innan genomförandetiden har gått ut får planen inte ändras, ersättas eller upphävas mot berörda fastighetsägares vilja. Under genomförandetiden får planen dock ändras mot berörda fastighetsägares vilja om det är av stor allmän vikt eller av nya förhållanden av stor vikt som inte kunde förutses vid planläggning. </w:t>
      </w:r>
    </w:p>
    <w:p>
      <w:pPr>
        <w:spacing w:lineRule="auto" w:line="276" w:beforeAutospacing="0" w:afterAutospacing="0"/>
        <w:ind w:left="576"/>
        <w:rPr>
          <w:rFonts w:cstheme="minorHAnsi"/>
        </w:rPr>
      </w:pPr>
      <w:r>
        <w:rPr>
          <w:rFonts w:cstheme="minorHAnsi"/>
        </w:rPr>
        <w:t xml:space="preserve">Ändras eller upphävs planen under genomförandetiden har fastighetsägare rätt till ersättning från kommunen för den skada det medför. Efter genomförandetiden fortsätter detaljplanen att gälla med sina befintliga rättigheter. Vid efterföljande ändringar eller upphävande av detaljplanen kommer ingen rätt till ersättning att ges för de förlorade rättigheterna. </w:t>
      </w:r>
    </w:p>
    <w:p>
      <w:pPr>
        <w:pStyle w:val="P1"/>
        <w:numPr>
          <w:ilvl w:val="0"/>
          <w:numId w:val="2"/>
        </w:numPr>
        <w:rPr>
          <w:rFonts w:asciiTheme="minorHAnsi" w:hAnsiTheme="minorHAnsi" w:cstheme="minorHAnsi"/>
        </w:rPr>
      </w:pPr>
      <w:bookmarkEnd w:id="33"/>
      <w:bookmarkStart w:id="34" w:name="_Toc219101249"/>
      <w:r>
        <w:rPr>
          <w:rFonts w:asciiTheme="minorHAnsi" w:hAnsiTheme="minorHAnsi" w:cstheme="minorHAnsi"/>
        </w:rPr>
        <w:t>Motiv till detaljplanens regleringar</w:t>
      </w:r>
      <w:bookmarkEnd w:id="34"/>
    </w:p>
    <w:p>
      <w:pPr>
        <w:ind w:left="432"/>
        <w:rPr>
          <w:rFonts w:ascii="Calibri" w:hAnsi="Calibri" w:cs="Calibri"/>
          <w:szCs w:val="24"/>
        </w:rPr>
      </w:pPr>
      <w:r>
        <w:rPr>
          <w:rFonts w:ascii="Calibri" w:hAnsi="Calibri" w:cs="Calibri"/>
        </w:rPr>
        <w:t xml:space="preserve">I detta kapitel listas de planbestämmelser som ingår i plankartan. Syftet med respektive bestämmelse beskrivs för att öka förståelsen för vad och hur detaljplanen regleras. Samtliga planbestämmelser är formulerade enligt plan- och bygglagen (2010:900). </w:t>
      </w:r>
    </w:p>
    <w:p>
      <w:pPr>
        <w:ind w:left="432"/>
        <w:rPr>
          <w:rFonts w:ascii="Calibri" w:hAnsi="Calibri" w:cs="Calibri"/>
          <w:color w:val="C00000"/>
          <w:szCs w:val="24"/>
        </w:rPr>
      </w:pPr>
      <w:r>
        <w:rPr>
          <w:rFonts w:ascii="Calibri" w:hAnsi="Calibri" w:cs="Calibri"/>
          <w:szCs w:val="24"/>
        </w:rPr>
        <w:t>Detaljplanen har upprättats i enlighet med Boverkets föreskrifter om detaljplan (BFS 2020:5), allmänna råd om redovisning av reglering i detaljplan (BFS 2020:6) samt föreskrifter och allmänna råd om planbeskrivning (BFS 2020:8).</w:t>
      </w:r>
    </w:p>
    <w:p>
      <w:pPr>
        <w:pStyle w:val="P2"/>
        <w:rPr>
          <w:rFonts w:asciiTheme="minorHAnsi" w:hAnsiTheme="minorHAnsi" w:cstheme="minorHAnsi"/>
        </w:rPr>
      </w:pPr>
      <w:bookmarkStart w:id="35" w:name="_Toc219101250"/>
      <w:r>
        <w:rPr>
          <w:rFonts w:asciiTheme="minorHAnsi" w:hAnsiTheme="minorHAnsi" w:cstheme="minorHAnsi"/>
        </w:rPr>
        <w:t>Användning av allmän plats</w:t>
      </w:r>
      <w:bookmarkEnd w:id="35"/>
      <w:r>
        <w:rPr>
          <w:rFonts w:asciiTheme="minorHAnsi" w:hAnsiTheme="minorHAnsi" w:cstheme="minorHAnsi"/>
        </w:rPr>
        <w:t xml:space="preserve"> </w:t>
      </w:r>
    </w:p>
    <w:p>
      <w:pPr>
        <w:ind w:left="576"/>
        <w:rPr>
          <w:rFonts w:cstheme="minorHAnsi"/>
          <w:b w:val="1"/>
          <w:bCs w:val="1"/>
        </w:rPr>
      </w:pPr>
      <w:bookmarkStart w:id="36" w:name="_Hlk206751731"/>
      <w:r>
        <w:rPr>
          <w:rFonts w:cstheme="minorHAnsi"/>
          <w:b w:val="1"/>
          <w:bCs w:val="1"/>
        </w:rPr>
        <w:t>(GATA) – Gata</w:t>
        <w:br w:type="textWrapping"/>
      </w:r>
      <w:bookmarkStart w:id="37" w:name="mo_motivtillreglering01"/>
      <w:r>
        <w:rPr>
          <w:rFonts w:cstheme="minorHAnsi"/>
          <w:szCs w:val="24"/>
        </w:rPr>
        <w:t xml:space="preserve">Bestämmelsen syftar till att säkerställa tillgänglighet, genomfart för trafik, drift och underhåll samt angöring till befintliga bostäder och verksamheter. </w:t>
      </w:r>
      <w:bookmarkEnd w:id="37"/>
    </w:p>
    <w:p>
      <w:pPr>
        <w:pStyle w:val="P2"/>
        <w:numPr>
          <w:ilvl w:val="1"/>
          <w:numId w:val="2"/>
        </w:numPr>
        <w:rPr>
          <w:rFonts w:asciiTheme="minorHAnsi" w:hAnsiTheme="minorHAnsi" w:cstheme="minorHAnsi"/>
        </w:rPr>
      </w:pPr>
      <w:bookmarkEnd w:id="36"/>
      <w:bookmarkStart w:id="38" w:name="_Toc219101251"/>
      <w:r>
        <w:rPr>
          <w:rFonts w:asciiTheme="minorHAnsi" w:hAnsiTheme="minorHAnsi" w:cstheme="minorHAnsi"/>
        </w:rPr>
        <w:t>Egenskapsbestämmelser för allmän plats</w:t>
      </w:r>
      <w:bookmarkEnd w:id="38"/>
      <w:r>
        <w:rPr>
          <w:rFonts w:asciiTheme="minorHAnsi" w:hAnsiTheme="minorHAnsi" w:cstheme="minorHAnsi"/>
        </w:rPr>
        <w:t xml:space="preserve"> </w:t>
      </w:r>
    </w:p>
    <w:p>
      <w:pPr>
        <w:ind w:left="576"/>
        <w:rPr>
          <w:rFonts w:cstheme="minorHAnsi"/>
          <w:b w:val="1"/>
          <w:bCs w:val="1"/>
          <w:szCs w:val="24"/>
        </w:rPr>
      </w:pPr>
      <w:r>
        <w:rPr>
          <w:rFonts w:ascii="Calibri" w:hAnsi="Calibri" w:cs="Calibri"/>
          <w:b w:val="1"/>
          <w:bCs w:val="1"/>
          <w:szCs w:val="24"/>
        </w:rPr>
        <w:t>(</w:t>
      </w:r>
      <w:r>
        <w:rPr>
          <w:rFonts w:ascii="Calibri" w:hAnsi="Calibri" w:cs="Calibri"/>
          <w:b w:val="1"/>
          <w:bCs w:val="1"/>
          <w:noProof w:val="1"/>
          <w:szCs w:val="24"/>
        </w:rPr>
        <w:drawing>
          <wp:inline xmlns:wp="http://schemas.openxmlformats.org/drawingml/2006/wordprocessingDrawing" distT="0" distB="0" distL="0" distR="0">
            <wp:extent cx="506730" cy="120015"/>
            <wp:effectExtent l="0" t="0" r="7620" b="0"/>
            <wp:docPr id="13777161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16118" name="Picture 2"/>
                    <pic:cNvPicPr/>
                  </pic:nvPicPr>
                  <pic:blipFill dpi="0">
                    <a:blip xmlns:r="http://schemas.openxmlformats.org/officeDocument/2006/relationships" r:embed="Relimage5"/>
                    <a:srcRect/>
                    <a:stretch>
                      <a:fillRect/>
                    </a:stretch>
                  </pic:blipFill>
                  <pic:spPr>
                    <a:xfrm>
                      <a:off x="0" y="0"/>
                      <a:ext cx="548517" cy="130274"/>
                    </a:xfrm>
                    <a:prstGeom prst="rect"/>
                  </pic:spPr>
                </pic:pic>
              </a:graphicData>
            </a:graphic>
          </wp:inline>
        </w:drawing>
      </w:r>
      <w:r>
        <w:rPr>
          <w:rFonts w:ascii="Calibri" w:hAnsi="Calibri" w:cs="Calibri"/>
          <w:b w:val="1"/>
          <w:bCs w:val="1"/>
          <w:szCs w:val="24"/>
        </w:rPr>
        <w:t xml:space="preserve">) </w:t>
      </w:r>
      <w:r>
        <w:rPr>
          <w:rFonts w:cstheme="minorHAnsi"/>
          <w:b w:val="1"/>
          <w:bCs w:val="1"/>
          <w:szCs w:val="24"/>
        </w:rPr>
        <w:t>– Utfartsförbud</w:t>
      </w:r>
      <w:bookmarkStart w:id="39" w:name="_Hlk196822454"/>
      <w:r>
        <w:rPr>
          <w:rFonts w:cstheme="minorHAnsi"/>
          <w:b w:val="1"/>
          <w:bCs w:val="1"/>
          <w:szCs w:val="24"/>
        </w:rPr>
        <w:br w:type="textWrapping"/>
      </w:r>
      <w:bookmarkStart w:id="40" w:name="mo_motivtillreglering02"/>
      <w:r>
        <w:rPr>
          <w:rFonts w:cstheme="minorHAnsi"/>
          <w:szCs w:val="24"/>
        </w:rPr>
        <w:t>Bestämmelsen syftar till att inte fordon ska angöra vid utkörningsförbudet, för säkrare trafik samt ett attraktivare gaturum.</w:t>
      </w:r>
      <w:bookmarkEnd w:id="40"/>
    </w:p>
    <w:p>
      <w:pPr>
        <w:ind w:left="576"/>
        <w:rPr>
          <w:rFonts w:cstheme="minorHAnsi"/>
          <w:b w:val="1"/>
          <w:bCs w:val="1"/>
          <w:szCs w:val="24"/>
        </w:rPr>
      </w:pPr>
      <w:bookmarkEnd w:id="39"/>
      <w:r>
        <w:rPr>
          <w:rFonts w:cstheme="minorHAnsi"/>
          <w:b w:val="1"/>
          <w:bCs w:val="1"/>
        </w:rPr>
        <w:t>(f</w:t>
      </w:r>
      <w:r>
        <w:rPr>
          <w:rFonts w:cstheme="minorHAnsi"/>
          <w:b w:val="1"/>
          <w:bCs w:val="1"/>
          <w:szCs w:val="24"/>
          <w:vertAlign w:val="subscript"/>
        </w:rPr>
        <w:t>1</w:t>
      </w:r>
      <w:r>
        <w:rPr>
          <w:rFonts w:cstheme="minorHAnsi"/>
          <w:b w:val="1"/>
          <w:bCs w:val="1"/>
          <w:szCs w:val="24"/>
        </w:rPr>
        <w:t xml:space="preserve">) </w:t>
      </w:r>
      <w:r>
        <w:rPr>
          <w:rFonts w:cstheme="minorHAnsi"/>
          <w:b w:val="1"/>
          <w:bCs w:val="1"/>
        </w:rPr>
        <w:t>–</w:t>
      </w:r>
      <w:r>
        <w:rPr>
          <w:rFonts w:cstheme="minorHAnsi"/>
          <w:b w:val="1"/>
          <w:bCs w:val="1"/>
          <w:szCs w:val="24"/>
        </w:rPr>
        <w:t>Trädallé ska finnas inom egenskapsområdet</w:t>
        <w:br w:type="textWrapping"/>
      </w:r>
      <w:bookmarkStart w:id="41" w:name="mo_motivtillreglering03"/>
      <w:r>
        <w:rPr>
          <w:rFonts w:cstheme="minorHAnsi"/>
          <w:szCs w:val="24"/>
        </w:rPr>
        <w:t>Bestämmelsen syftar till att trädallé ska bibehållas inom egenskapsområdet.</w:t>
      </w:r>
      <w:bookmarkEnd w:id="41"/>
    </w:p>
    <w:p>
      <w:pPr>
        <w:pStyle w:val="P2"/>
        <w:numPr>
          <w:ilvl w:val="1"/>
          <w:numId w:val="2"/>
        </w:numPr>
        <w:rPr>
          <w:rFonts w:asciiTheme="minorHAnsi" w:hAnsiTheme="minorHAnsi" w:cstheme="minorHAnsi"/>
        </w:rPr>
      </w:pPr>
      <w:bookmarkStart w:id="42" w:name="_Toc158384943"/>
      <w:bookmarkStart w:id="43" w:name="_Toc219101252"/>
      <w:r>
        <w:rPr>
          <w:rFonts w:asciiTheme="minorHAnsi" w:hAnsiTheme="minorHAnsi" w:cstheme="minorHAnsi"/>
        </w:rPr>
        <w:t>Användning av kvartersmark</w:t>
      </w:r>
      <w:bookmarkEnd w:id="42"/>
      <w:bookmarkEnd w:id="43"/>
      <w:r>
        <w:rPr>
          <w:rFonts w:asciiTheme="minorHAnsi" w:hAnsiTheme="minorHAnsi" w:cstheme="minorHAnsi"/>
        </w:rPr>
        <w:t xml:space="preserve"> </w:t>
      </w:r>
    </w:p>
    <w:p>
      <w:pPr>
        <w:ind w:left="576"/>
        <w:rPr>
          <w:rFonts w:cstheme="minorHAnsi"/>
          <w:b w:val="1"/>
          <w:bCs w:val="1"/>
        </w:rPr>
      </w:pPr>
      <w:r>
        <w:rPr>
          <w:rFonts w:cstheme="minorHAnsi"/>
          <w:b w:val="1"/>
          <w:bCs w:val="1"/>
        </w:rPr>
        <w:t>(B) – Bostäder</w:t>
        <w:br w:type="textWrapping"/>
      </w:r>
      <w:bookmarkStart w:id="44" w:name="mo_motivtillreglering04"/>
      <w:r>
        <w:rPr>
          <w:rFonts w:cstheme="minorHAnsi"/>
        </w:rPr>
        <w:t>Bestämmelsen syftar till att huvudanvändningen på kvartersmarken ska vara bostäder.</w:t>
      </w:r>
      <w:bookmarkEnd w:id="44"/>
      <w:r>
        <w:rPr>
          <w:rFonts w:cstheme="minorHAnsi"/>
        </w:rPr>
        <w:t xml:space="preserve"> </w:t>
      </w:r>
    </w:p>
    <w:p>
      <w:pPr>
        <w:ind w:left="576"/>
        <w:rPr>
          <w:rFonts w:cstheme="minorHAnsi"/>
          <w:b w:val="1"/>
          <w:bCs w:val="1"/>
        </w:rPr>
      </w:pPr>
      <w:r>
        <w:rPr>
          <w:rFonts w:cstheme="minorHAnsi"/>
          <w:b w:val="1"/>
          <w:bCs w:val="1"/>
        </w:rPr>
        <w:t>(C) – Centrum</w:t>
        <w:br w:type="textWrapping"/>
      </w:r>
      <w:bookmarkStart w:id="45" w:name="mo_motivtillreglering05"/>
      <w:r>
        <w:rPr>
          <w:rFonts w:cstheme="minorHAnsi"/>
        </w:rPr>
        <w:t>Bestämmelsen syftar till att möjliggöra för fler verksamheter som användningen medger.</w:t>
      </w:r>
      <w:bookmarkEnd w:id="45"/>
    </w:p>
    <w:p>
      <w:pPr>
        <w:ind w:left="576"/>
        <w:rPr>
          <w:rFonts w:cstheme="minorHAnsi"/>
          <w:b w:val="1"/>
          <w:bCs w:val="1"/>
        </w:rPr>
      </w:pPr>
      <w:r>
        <w:rPr>
          <w:rFonts w:cstheme="minorHAnsi"/>
          <w:b w:val="1"/>
          <w:bCs w:val="1"/>
        </w:rPr>
        <w:t>(H) – Detaljhandel</w:t>
        <w:br w:type="textWrapping"/>
      </w:r>
      <w:bookmarkStart w:id="46" w:name="mo_motivtillreglering06"/>
      <w:r>
        <w:rPr>
          <w:rFonts w:cstheme="minorHAnsi"/>
        </w:rPr>
        <w:t>Bestämmelsen syftar till att möjliggöra för detaljhandeländamål.</w:t>
      </w:r>
      <w:bookmarkEnd w:id="46"/>
    </w:p>
    <w:p>
      <w:pPr>
        <w:ind w:left="576"/>
        <w:rPr>
          <w:rFonts w:cstheme="minorHAnsi"/>
          <w:b w:val="1"/>
          <w:bCs w:val="1"/>
        </w:rPr>
      </w:pPr>
      <w:r>
        <w:rPr>
          <w:rFonts w:cstheme="minorHAnsi"/>
          <w:b w:val="1"/>
          <w:bCs w:val="1"/>
        </w:rPr>
        <w:t>(K) – Kontor</w:t>
        <w:br w:type="textWrapping"/>
      </w:r>
      <w:bookmarkStart w:id="47" w:name="mo_motivtillreglering07"/>
      <w:r>
        <w:rPr>
          <w:rFonts w:cstheme="minorHAnsi"/>
        </w:rPr>
        <w:t>Bestämmelsen syftar till att möjliggöra för kontorsändamål.</w:t>
      </w:r>
      <w:bookmarkEnd w:id="47"/>
    </w:p>
    <w:p>
      <w:pPr>
        <w:pStyle w:val="P2"/>
        <w:numPr>
          <w:ilvl w:val="1"/>
          <w:numId w:val="2"/>
        </w:numPr>
        <w:rPr>
          <w:rFonts w:asciiTheme="minorHAnsi" w:hAnsiTheme="minorHAnsi" w:cstheme="minorHAnsi"/>
        </w:rPr>
      </w:pPr>
      <w:bookmarkStart w:id="48" w:name="_Toc158384944"/>
      <w:bookmarkStart w:id="49" w:name="_Toc219101253"/>
      <w:r>
        <w:rPr>
          <w:rFonts w:asciiTheme="minorHAnsi" w:hAnsiTheme="minorHAnsi" w:cstheme="minorHAnsi"/>
        </w:rPr>
        <w:t>Egenskapsbestämmelser för kvartersmark</w:t>
      </w:r>
      <w:bookmarkEnd w:id="48"/>
      <w:bookmarkEnd w:id="49"/>
      <w:r>
        <w:rPr>
          <w:rFonts w:asciiTheme="minorHAnsi" w:hAnsiTheme="minorHAnsi" w:cstheme="minorHAnsi"/>
        </w:rPr>
        <w:t xml:space="preserve"> </w:t>
      </w:r>
    </w:p>
    <w:p>
      <w:pPr>
        <w:ind w:left="576"/>
        <w:rPr>
          <w:rFonts w:cstheme="minorHAnsi"/>
          <w:szCs w:val="24"/>
        </w:rPr>
      </w:pPr>
      <w:r>
        <w:rPr>
          <w:rFonts w:cstheme="minorHAnsi"/>
          <w:b w:val="1"/>
          <w:bCs w:val="1"/>
          <w:szCs w:val="24"/>
        </w:rPr>
        <w:t>(:::) – Marken får inte förses med byggnadsverk</w:t>
        <w:br w:type="textWrapping"/>
      </w:r>
      <w:bookmarkStart w:id="50" w:name="mo_motivtillreglering08"/>
      <w:r>
        <w:rPr>
          <w:rFonts w:cstheme="minorHAnsi"/>
          <w:szCs w:val="24"/>
        </w:rPr>
        <w:t>Bestämmelsen syftar till att området inte ska förses med byggnadsverk ur angörings, skuggbildning, tillgänglighet, buller och säkerhetssynpunkt.</w:t>
      </w:r>
      <w:bookmarkEnd w:id="50"/>
    </w:p>
    <w:p>
      <w:pPr>
        <w:ind w:left="576"/>
        <w:rPr>
          <w:rFonts w:cstheme="minorHAnsi"/>
          <w:b w:val="1"/>
          <w:bCs w:val="1"/>
          <w:szCs w:val="24"/>
        </w:rPr>
      </w:pPr>
      <w:r>
        <w:rPr>
          <w:rFonts w:cstheme="minorHAnsi"/>
          <w:b w:val="1"/>
          <w:bCs w:val="1"/>
          <w:szCs w:val="24"/>
        </w:rPr>
        <w:t>(ö</w:t>
      </w:r>
      <w:r>
        <w:rPr>
          <w:rFonts w:cstheme="minorHAnsi"/>
          <w:b w:val="1"/>
          <w:bCs w:val="1"/>
          <w:szCs w:val="24"/>
          <w:vertAlign w:val="subscript"/>
        </w:rPr>
        <w:t>1</w:t>
      </w:r>
      <w:r>
        <w:rPr>
          <w:rFonts w:cstheme="minorHAnsi"/>
          <w:b w:val="1"/>
          <w:bCs w:val="1"/>
          <w:szCs w:val="24"/>
        </w:rPr>
        <w:t>) – Marken får endast förses med entréfunktioner och tillfällig uteservering inom egenskapsområdet. Tillfällig uteservering får anordnas under högst sex månader per kalenderår</w:t>
        <w:br w:type="textWrapping"/>
      </w:r>
      <w:bookmarkStart w:id="51" w:name="mo_motivtillreglering09"/>
      <w:r>
        <w:rPr>
          <w:rFonts w:cstheme="minorHAnsi"/>
          <w:szCs w:val="24"/>
        </w:rPr>
        <w:t>Planbestämmelsen syftar till att möjliggöra tillfällig uteservering närmast gatan. Planbestämmelsen syftar också till att möjliggöra entréfunktioner såsom exempelvis tillgänglighet till byggnader.</w:t>
      </w:r>
      <w:bookmarkEnd w:id="51"/>
    </w:p>
    <w:p>
      <w:pPr>
        <w:ind w:left="576"/>
        <w:rPr>
          <w:rFonts w:cstheme="minorHAnsi"/>
          <w:szCs w:val="24"/>
        </w:rPr>
      </w:pPr>
      <w:r>
        <w:rPr>
          <w:rFonts w:cstheme="minorHAnsi"/>
          <w:b w:val="1"/>
          <w:bCs w:val="1"/>
          <w:szCs w:val="24"/>
        </w:rPr>
        <w:t>(ö</w:t>
      </w:r>
      <w:r>
        <w:rPr>
          <w:rFonts w:cstheme="minorHAnsi"/>
          <w:b w:val="1"/>
          <w:bCs w:val="1"/>
          <w:szCs w:val="24"/>
          <w:vertAlign w:val="subscript"/>
        </w:rPr>
        <w:t>2</w:t>
      </w:r>
      <w:r>
        <w:rPr>
          <w:rFonts w:cstheme="minorHAnsi"/>
          <w:b w:val="1"/>
          <w:bCs w:val="1"/>
          <w:szCs w:val="24"/>
        </w:rPr>
        <w:t>) – Marken får endast förses med uteservering, parkering, entréfunktioner och genomsläppliga ytor inom egenskapsområdet</w:t>
        <w:br w:type="textWrapping"/>
      </w:r>
      <w:bookmarkStart w:id="52" w:name="mo_motivtillreglering10"/>
      <w:r>
        <w:rPr>
          <w:rFonts w:cstheme="minorHAnsi"/>
          <w:szCs w:val="24"/>
        </w:rPr>
        <w:t>Planbestämmelsen syftar till att möjliggöra uteservering, parkering, entréfunktioner</w:t>
        <w:br w:type="textWrapping"/>
        <w:t>och genomsläppliga ytor.</w:t>
      </w:r>
      <w:bookmarkEnd w:id="52"/>
    </w:p>
    <w:p>
      <w:pPr>
        <w:ind w:left="576"/>
        <w:rPr>
          <w:rFonts w:cstheme="minorHAnsi"/>
          <w:b w:val="1"/>
          <w:bCs w:val="1"/>
          <w:szCs w:val="24"/>
        </w:rPr>
      </w:pPr>
      <w:r>
        <w:rPr>
          <w:rFonts w:cstheme="minorHAnsi"/>
          <w:b w:val="1"/>
          <w:bCs w:val="1"/>
          <w:szCs w:val="24"/>
        </w:rPr>
        <w:t>(ö</w:t>
      </w:r>
      <w:r>
        <w:rPr>
          <w:rFonts w:cstheme="minorHAnsi"/>
          <w:b w:val="1"/>
          <w:bCs w:val="1"/>
          <w:szCs w:val="24"/>
          <w:vertAlign w:val="subscript"/>
        </w:rPr>
        <w:t>3</w:t>
      </w:r>
      <w:r>
        <w:rPr>
          <w:rFonts w:cstheme="minorHAnsi"/>
          <w:b w:val="1"/>
          <w:bCs w:val="1"/>
          <w:szCs w:val="24"/>
        </w:rPr>
        <w:t>) – Marken får endast förses med parkering och genomsläppliga ytor inom egenskapsområdet</w:t>
        <w:br w:type="textWrapping"/>
      </w:r>
      <w:bookmarkStart w:id="53" w:name="mo_motivtillreglering11"/>
      <w:r>
        <w:rPr>
          <w:rFonts w:cstheme="minorHAnsi"/>
          <w:szCs w:val="24"/>
        </w:rPr>
        <w:t>Planbestämmelsen syftar till att möjliggöra för parkering och genomsläppliga ytor.</w:t>
      </w:r>
    </w:p>
    <w:p>
      <w:pPr>
        <w:ind w:left="576"/>
        <w:rPr>
          <w:rFonts w:cstheme="minorHAnsi"/>
          <w:szCs w:val="24"/>
        </w:rPr>
      </w:pPr>
      <w:bookmarkEnd w:id="53"/>
      <w:r>
        <w:rPr>
          <w:rFonts w:cstheme="minorHAnsi"/>
          <w:b w:val="1"/>
          <w:bCs w:val="1"/>
          <w:szCs w:val="24"/>
        </w:rPr>
        <w:t>(ö</w:t>
      </w:r>
      <w:r>
        <w:rPr>
          <w:rFonts w:cstheme="minorHAnsi"/>
          <w:b w:val="1"/>
          <w:bCs w:val="1"/>
          <w:szCs w:val="24"/>
          <w:vertAlign w:val="subscript"/>
        </w:rPr>
        <w:t>4</w:t>
      </w:r>
      <w:r>
        <w:rPr>
          <w:rFonts w:cstheme="minorHAnsi"/>
          <w:b w:val="1"/>
          <w:bCs w:val="1"/>
          <w:szCs w:val="24"/>
        </w:rPr>
        <w:t>) – Marken får inte förses med byggnad inom egenskapsområdet</w:t>
        <w:br w:type="textWrapping"/>
      </w:r>
      <w:bookmarkStart w:id="54" w:name="mo_motivtillreglering12"/>
      <w:r>
        <w:rPr>
          <w:rFonts w:cstheme="minorHAnsi"/>
          <w:szCs w:val="24"/>
        </w:rPr>
        <w:t>Planbestämmelsen syftar till att byggnader inte ska hindra trafik eller att byggnader hamnar för nära gatan ur buller-, angörings-, gestaltning och säkerhetssynpunkt.</w:t>
      </w:r>
      <w:bookmarkEnd w:id="54"/>
    </w:p>
    <w:p>
      <w:pPr>
        <w:ind w:firstLine="576"/>
        <w:rPr>
          <w:rFonts w:cstheme="minorHAnsi"/>
          <w:b w:val="1"/>
          <w:bCs w:val="1"/>
          <w:szCs w:val="24"/>
        </w:rPr>
      </w:pPr>
      <w:r>
        <w:rPr>
          <w:rFonts w:cstheme="minorHAnsi"/>
          <w:b w:val="1"/>
          <w:bCs w:val="1"/>
          <w:szCs w:val="24"/>
        </w:rPr>
        <w:t>(h</w:t>
      </w:r>
      <w:r>
        <w:rPr>
          <w:rFonts w:cstheme="minorHAnsi"/>
          <w:b w:val="1"/>
          <w:bCs w:val="1"/>
          <w:szCs w:val="24"/>
          <w:vertAlign w:val="subscript"/>
        </w:rPr>
        <w:t>1</w:t>
      </w:r>
      <w:r>
        <w:rPr>
          <w:rFonts w:cstheme="minorHAnsi"/>
          <w:b w:val="1"/>
          <w:bCs w:val="1"/>
          <w:szCs w:val="24"/>
        </w:rPr>
        <w:t xml:space="preserve">) – </w:t>
      </w:r>
      <w:r>
        <w:rPr>
          <w:rFonts w:cstheme="minorHAnsi"/>
          <w:b w:val="1"/>
          <w:bCs w:val="1"/>
          <w:color w:val="000000" w:themeColor="text1"/>
          <w:szCs w:val="24"/>
        </w:rPr>
        <w:t>Högsta nockhöjd är 13 meter inom användningsområdet</w:t>
      </w:r>
    </w:p>
    <w:p>
      <w:pPr>
        <w:ind w:left="576"/>
        <w:rPr>
          <w:rFonts w:cstheme="minorHAnsi"/>
          <w:szCs w:val="24"/>
        </w:rPr>
      </w:pPr>
      <w:bookmarkStart w:id="55" w:name="mo_motivtillreglering13"/>
      <w:r>
        <w:rPr>
          <w:rFonts w:cstheme="minorHAnsi"/>
          <w:szCs w:val="24"/>
        </w:rPr>
        <w:t xml:space="preserve">Bestämmelsen syftar till att reglera högsta nockhöjden för bebyggelse för att samspela med befintlig bebyggelses nockhöjd och karaktär. </w:t>
      </w:r>
    </w:p>
    <w:p>
      <w:pPr>
        <w:ind w:left="576"/>
        <w:rPr>
          <w:rFonts w:cstheme="minorHAnsi"/>
          <w:b w:val="1"/>
          <w:bCs w:val="1"/>
          <w:szCs w:val="24"/>
        </w:rPr>
      </w:pPr>
      <w:bookmarkEnd w:id="55"/>
      <w:r>
        <w:rPr>
          <w:rFonts w:cstheme="minorHAnsi"/>
          <w:b w:val="1"/>
          <w:bCs w:val="1"/>
          <w:szCs w:val="24"/>
        </w:rPr>
        <w:t>(u</w:t>
      </w:r>
      <w:r>
        <w:rPr>
          <w:rFonts w:cstheme="minorHAnsi"/>
          <w:b w:val="1"/>
          <w:bCs w:val="1"/>
          <w:szCs w:val="24"/>
          <w:vertAlign w:val="subscript"/>
        </w:rPr>
        <w:t>1</w:t>
      </w:r>
      <w:r>
        <w:rPr>
          <w:rFonts w:cstheme="minorHAnsi"/>
          <w:b w:val="1"/>
          <w:bCs w:val="1"/>
          <w:szCs w:val="24"/>
        </w:rPr>
        <w:t>) – markreservat för allmännyttiga underjordiska ledningar begränsas av sekundär egenskapsgräns</w:t>
        <w:br w:type="textWrapping"/>
      </w:r>
      <w:bookmarkStart w:id="56" w:name="mo_motivtillreglering14"/>
      <w:r>
        <w:rPr>
          <w:rFonts w:ascii="Calibri" w:hAnsi="Calibri" w:cs="Calibri"/>
        </w:rPr>
        <w:t>Planbestämmelsens syfte är att säkerställa markreservat för allmännyttiga underjordiska ledningar på kvartersmark.</w:t>
      </w:r>
      <w:bookmarkEnd w:id="56"/>
    </w:p>
    <w:p>
      <w:pPr>
        <w:ind w:left="576"/>
        <w:rPr>
          <w:rFonts w:ascii="Calibri" w:hAnsi="Calibri" w:cs="Calibri"/>
        </w:rPr>
      </w:pPr>
      <w:r>
        <w:rPr>
          <w:rFonts w:cstheme="minorHAnsi"/>
          <w:b w:val="1"/>
          <w:bCs w:val="1"/>
          <w:szCs w:val="24"/>
        </w:rPr>
        <w:t>(o</w:t>
      </w:r>
      <w:r>
        <w:rPr>
          <w:rFonts w:cstheme="minorHAnsi"/>
          <w:b w:val="1"/>
          <w:bCs w:val="1"/>
          <w:szCs w:val="24"/>
          <w:vertAlign w:val="subscript"/>
        </w:rPr>
        <w:t>1</w:t>
      </w:r>
      <w:r>
        <w:rPr>
          <w:rFonts w:cstheme="minorHAnsi"/>
          <w:b w:val="1"/>
          <w:bCs w:val="1"/>
          <w:szCs w:val="24"/>
        </w:rPr>
        <w:t xml:space="preserve"> 17,0) – Minsta takvinkel för huvudbyggnad är angivet värde i grader</w:t>
      </w:r>
      <w:r>
        <w:rPr>
          <w:rFonts w:ascii="Calibri" w:hAnsi="Calibri" w:cs="Calibri"/>
        </w:rPr>
        <w:br w:type="textWrapping"/>
      </w:r>
      <w:bookmarkStart w:id="57" w:name="mo_motivtillreglering15"/>
      <w:r>
        <w:rPr>
          <w:rFonts w:cstheme="minorHAnsi"/>
          <w:szCs w:val="24"/>
        </w:rPr>
        <w:t>Bestämmelsen syftar till att bebyggelse i planområdet ska samspela med befintlig kringliggande bebyggelses karaktär, samt att begränsa höjd på bebyggelse.</w:t>
      </w:r>
      <w:bookmarkEnd w:id="57"/>
    </w:p>
    <w:p>
      <w:pPr>
        <w:ind w:left="576"/>
        <w:rPr>
          <w:rFonts w:cstheme="minorHAnsi"/>
          <w:b w:val="1"/>
          <w:bCs w:val="1"/>
          <w:szCs w:val="24"/>
        </w:rPr>
      </w:pPr>
      <w:r>
        <w:rPr>
          <w:rFonts w:cstheme="minorHAnsi"/>
          <w:b w:val="1"/>
          <w:bCs w:val="1"/>
          <w:szCs w:val="24"/>
        </w:rPr>
        <w:t>(e</w:t>
      </w:r>
      <w:r>
        <w:rPr>
          <w:rFonts w:cstheme="minorHAnsi"/>
          <w:b w:val="1"/>
          <w:bCs w:val="1"/>
          <w:szCs w:val="24"/>
          <w:vertAlign w:val="subscript"/>
        </w:rPr>
        <w:t xml:space="preserve">1 </w:t>
      </w:r>
      <w:r>
        <w:rPr>
          <w:rFonts w:cstheme="minorHAnsi"/>
          <w:b w:val="1"/>
          <w:bCs w:val="1"/>
          <w:szCs w:val="24"/>
        </w:rPr>
        <w:t>40,0) – Största byggnadsarea är angivet värde i % av fastighetsarean inom egenskapsområdet</w:t>
        <w:br w:type="textWrapping"/>
      </w:r>
      <w:bookmarkStart w:id="58" w:name="mo_motivtillreglering16"/>
      <w:r>
        <w:rPr>
          <w:rFonts w:cstheme="minorHAnsi"/>
          <w:szCs w:val="24"/>
        </w:rPr>
        <w:t>Bestämmelsen syftar till att reglera bebyggelsens största omfattning och för att undvika för hög exploatering.</w:t>
      </w:r>
      <w:bookmarkEnd w:id="58"/>
    </w:p>
    <w:p>
      <w:pPr>
        <w:ind w:left="576"/>
        <w:rPr>
          <w:rFonts w:cstheme="minorHAnsi"/>
          <w:szCs w:val="24"/>
        </w:rPr>
      </w:pPr>
      <w:r>
        <w:rPr>
          <w:rFonts w:cstheme="minorHAnsi"/>
          <w:b w:val="1"/>
          <w:bCs w:val="1"/>
          <w:szCs w:val="24"/>
        </w:rPr>
        <w:t>(e</w:t>
      </w:r>
      <w:r>
        <w:rPr>
          <w:rFonts w:cstheme="minorHAnsi"/>
          <w:b w:val="1"/>
          <w:bCs w:val="1"/>
          <w:szCs w:val="24"/>
          <w:vertAlign w:val="subscript"/>
        </w:rPr>
        <w:t xml:space="preserve">2 </w:t>
      </w:r>
      <w:r>
        <w:rPr>
          <w:rFonts w:cstheme="minorHAnsi"/>
          <w:b w:val="1"/>
          <w:bCs w:val="1"/>
          <w:szCs w:val="24"/>
        </w:rPr>
        <w:t>47,0) – Största byggnadsarea är angivet värde i % av fastighetsarean inom egenskapsområdet</w:t>
        <w:br w:type="textWrapping"/>
      </w:r>
      <w:bookmarkStart w:id="59" w:name="mo_motivtillreglering17"/>
      <w:r>
        <w:rPr>
          <w:rFonts w:cstheme="minorHAnsi"/>
          <w:szCs w:val="24"/>
        </w:rPr>
        <w:t>Bestämmelsen syftar till att reglera bebyggelsens största omfattning och för att undvika för hög exploatering.</w:t>
      </w:r>
      <w:bookmarkEnd w:id="59"/>
    </w:p>
    <w:p>
      <w:pPr>
        <w:ind w:left="576"/>
        <w:rPr>
          <w:rFonts w:cstheme="minorHAnsi"/>
          <w:b w:val="1"/>
          <w:bCs w:val="1"/>
          <w:szCs w:val="24"/>
        </w:rPr>
      </w:pPr>
      <w:r>
        <w:rPr>
          <w:rFonts w:cstheme="minorHAnsi"/>
          <w:b w:val="1"/>
          <w:bCs w:val="1"/>
          <w:szCs w:val="24"/>
        </w:rPr>
        <w:t>(k</w:t>
      </w:r>
      <w:r>
        <w:rPr>
          <w:rFonts w:cstheme="minorHAnsi"/>
          <w:b w:val="1"/>
          <w:bCs w:val="1"/>
          <w:szCs w:val="24"/>
          <w:vertAlign w:val="subscript"/>
        </w:rPr>
        <w:t>1</w:t>
      </w:r>
      <w:r>
        <w:rPr>
          <w:rFonts w:cstheme="minorHAnsi"/>
          <w:b w:val="1"/>
          <w:bCs w:val="1"/>
          <w:szCs w:val="24"/>
        </w:rPr>
        <w:t>) – Fasader ska vara av putsade tidstypiska kulörer inom egenskapsområdet</w:t>
        <w:br w:type="textWrapping"/>
      </w:r>
      <w:bookmarkStart w:id="60" w:name="mo_motivtillreglering18"/>
      <w:r>
        <w:rPr>
          <w:rFonts w:cstheme="minorHAnsi"/>
          <w:szCs w:val="24"/>
        </w:rPr>
        <w:t xml:space="preserve">Bestämmelsen syftar till att bevara fasaders arkitektoniska kvalitéer med kulörer av </w:t>
      </w:r>
      <w:r>
        <w:rPr>
          <w:rFonts w:cstheme="minorHAnsi"/>
        </w:rPr>
        <w:t xml:space="preserve">ljusa sandfärgade toner </w:t>
      </w:r>
      <w:r>
        <w:rPr>
          <w:rFonts w:cstheme="minorHAnsi"/>
          <w:szCs w:val="24"/>
        </w:rPr>
        <w:t>ur kulturell- och stadsbildssynpunkt.</w:t>
      </w:r>
      <w:r>
        <w:rPr>
          <w:rFonts w:cstheme="minorHAnsi" w:eastAsiaTheme="majorEastAsia"/>
          <w:b w:val="1"/>
          <w:bCs w:val="1"/>
          <w:smallCaps w:val="1"/>
          <w:color w:val="000000" w:themeColor="text1"/>
          <w:sz w:val="36"/>
          <w:szCs w:val="36"/>
        </w:rPr>
        <w:t xml:space="preserve"> </w:t>
      </w:r>
      <w:bookmarkEnd w:id="60"/>
    </w:p>
    <w:p>
      <w:pPr>
        <w:ind w:left="576"/>
        <w:rPr>
          <w:rFonts w:cstheme="minorHAnsi"/>
          <w:b w:val="1"/>
          <w:bCs w:val="1"/>
          <w:szCs w:val="24"/>
        </w:rPr>
      </w:pPr>
      <w:r>
        <w:rPr>
          <w:rFonts w:cstheme="minorHAnsi"/>
          <w:b w:val="1"/>
          <w:bCs w:val="1"/>
          <w:szCs w:val="24"/>
        </w:rPr>
        <w:t>(k</w:t>
      </w:r>
      <w:r>
        <w:rPr>
          <w:rFonts w:cstheme="minorHAnsi"/>
          <w:b w:val="1"/>
          <w:bCs w:val="1"/>
          <w:szCs w:val="24"/>
          <w:vertAlign w:val="subscript"/>
        </w:rPr>
        <w:t>2</w:t>
      </w:r>
      <w:r>
        <w:rPr>
          <w:rFonts w:cstheme="minorHAnsi"/>
          <w:b w:val="1"/>
          <w:bCs w:val="1"/>
          <w:szCs w:val="24"/>
        </w:rPr>
        <w:t>) – Fönster ska till form, material, indelning och proportioner bibehållas till sin utformning inom egenskapsområdet</w:t>
        <w:br w:type="textWrapping"/>
      </w:r>
      <w:bookmarkStart w:id="61" w:name="mo_motivtillreglering19"/>
      <w:r>
        <w:rPr>
          <w:rFonts w:cstheme="minorHAnsi"/>
          <w:szCs w:val="24"/>
        </w:rPr>
        <w:t>Bestämmelsen syftar till att bevara fönsters arkitektoniska kvalitéer ur kulturell- och stadsbildssynpunkt.</w:t>
      </w:r>
      <w:r>
        <w:rPr>
          <w:rFonts w:cstheme="minorHAnsi" w:eastAsiaTheme="majorEastAsia"/>
          <w:b w:val="1"/>
          <w:bCs w:val="1"/>
          <w:smallCaps w:val="1"/>
          <w:color w:val="000000" w:themeColor="text1"/>
          <w:sz w:val="36"/>
          <w:szCs w:val="36"/>
        </w:rPr>
        <w:t xml:space="preserve"> </w:t>
      </w:r>
      <w:bookmarkEnd w:id="61"/>
    </w:p>
    <w:p>
      <w:pPr>
        <w:ind w:left="576"/>
        <w:rPr>
          <w:rFonts w:cstheme="minorHAnsi" w:eastAsiaTheme="majorEastAsia"/>
          <w:b w:val="1"/>
          <w:bCs w:val="1"/>
          <w:smallCaps w:val="1"/>
          <w:color w:val="000000" w:themeColor="text1"/>
          <w:sz w:val="36"/>
          <w:szCs w:val="36"/>
        </w:rPr>
      </w:pPr>
      <w:r>
        <w:rPr>
          <w:rFonts w:cstheme="minorHAnsi"/>
          <w:b w:val="1"/>
          <w:bCs w:val="1"/>
          <w:szCs w:val="24"/>
        </w:rPr>
        <w:t>(k</w:t>
      </w:r>
      <w:r>
        <w:rPr>
          <w:rFonts w:cstheme="minorHAnsi"/>
          <w:b w:val="1"/>
          <w:bCs w:val="1"/>
          <w:szCs w:val="24"/>
          <w:vertAlign w:val="subscript"/>
        </w:rPr>
        <w:t>3</w:t>
      </w:r>
      <w:r>
        <w:rPr>
          <w:rFonts w:cstheme="minorHAnsi"/>
          <w:b w:val="1"/>
          <w:bCs w:val="1"/>
          <w:szCs w:val="24"/>
        </w:rPr>
        <w:t>) – Taktäckning ska vara av rött lertegel på huvudbyggnad. Tak- och takfotsutformning, skorstenar- och takkupornas utformning ska bibehållas på huvudbyggnad inom egenskapsområdet</w:t>
        <w:br w:type="textWrapping"/>
      </w:r>
      <w:bookmarkStart w:id="62" w:name="mo_motivtillreglering20"/>
      <w:r>
        <w:rPr>
          <w:rFonts w:cstheme="minorHAnsi"/>
          <w:szCs w:val="24"/>
        </w:rPr>
        <w:t>Bestämmelsen syftar till att bevara takets arkitektoniska kvalitéer såsom kulör och form ur kulturell- och stadsbildssynpunkt.</w:t>
      </w:r>
      <w:r>
        <w:rPr>
          <w:rFonts w:cstheme="minorHAnsi" w:eastAsiaTheme="majorEastAsia"/>
          <w:b w:val="1"/>
          <w:bCs w:val="1"/>
          <w:smallCaps w:val="1"/>
          <w:color w:val="000000" w:themeColor="text1"/>
          <w:sz w:val="36"/>
          <w:szCs w:val="36"/>
        </w:rPr>
        <w:t xml:space="preserve"> </w:t>
      </w:r>
      <w:bookmarkEnd w:id="62"/>
    </w:p>
    <w:p>
      <w:pPr>
        <w:ind w:left="576"/>
        <w:rPr>
          <w:rFonts w:cstheme="minorHAnsi"/>
          <w:b w:val="1"/>
          <w:bCs w:val="1"/>
          <w:szCs w:val="24"/>
        </w:rPr>
      </w:pPr>
      <w:r>
        <w:rPr>
          <w:rFonts w:cstheme="minorHAnsi"/>
          <w:b w:val="1"/>
          <w:bCs w:val="1"/>
          <w:szCs w:val="24"/>
        </w:rPr>
        <w:t>(b</w:t>
      </w:r>
      <w:r>
        <w:rPr>
          <w:rFonts w:cstheme="minorHAnsi"/>
          <w:b w:val="1"/>
          <w:bCs w:val="1"/>
          <w:szCs w:val="24"/>
          <w:vertAlign w:val="subscript"/>
        </w:rPr>
        <w:t>1</w:t>
      </w:r>
      <w:r>
        <w:rPr>
          <w:rFonts w:cstheme="minorHAnsi"/>
          <w:b w:val="1"/>
          <w:bCs w:val="1"/>
          <w:szCs w:val="24"/>
        </w:rPr>
        <w:t xml:space="preserve">) – Minst 30,0 % av marken inom fastighetsarean i användningsområdet ska vara genomsläpplig </w:t>
        <w:br w:type="textWrapping"/>
      </w:r>
      <w:bookmarkStart w:id="63" w:name="mo_motivtillreglering21"/>
      <w:r>
        <w:rPr>
          <w:rFonts w:cstheme="minorHAnsi"/>
          <w:szCs w:val="24"/>
        </w:rPr>
        <w:t>Bestämmelsen syftar till att marken ska vara genomsläpplig till minst 30 %.</w:t>
      </w:r>
      <w:bookmarkEnd w:id="63"/>
    </w:p>
    <w:p>
      <w:pPr>
        <w:ind w:left="576"/>
        <w:rPr>
          <w:rFonts w:cstheme="minorHAnsi"/>
          <w:b w:val="1"/>
          <w:bCs w:val="1"/>
          <w:szCs w:val="24"/>
        </w:rPr>
      </w:pPr>
      <w:r>
        <w:rPr>
          <w:rFonts w:cstheme="minorHAnsi"/>
          <w:b w:val="1"/>
          <w:bCs w:val="1"/>
          <w:szCs w:val="24"/>
        </w:rPr>
        <w:t>(a</w:t>
      </w:r>
      <w:r>
        <w:rPr>
          <w:rFonts w:cstheme="minorHAnsi"/>
          <w:b w:val="1"/>
          <w:bCs w:val="1"/>
          <w:szCs w:val="24"/>
          <w:vertAlign w:val="subscript"/>
        </w:rPr>
        <w:t>1</w:t>
      </w:r>
      <w:r>
        <w:rPr>
          <w:rFonts w:cstheme="minorHAnsi"/>
          <w:b w:val="1"/>
          <w:bCs w:val="1"/>
          <w:szCs w:val="24"/>
        </w:rPr>
        <w:t>) – Marklov krävs även för åtgärder som kan försämra markens genomsläpplighet inom användningsområdet</w:t>
        <w:br w:type="textWrapping"/>
      </w:r>
      <w:bookmarkStart w:id="64" w:name="mo_motivtillreglering22"/>
      <w:r>
        <w:rPr>
          <w:rFonts w:cstheme="minorHAnsi"/>
          <w:szCs w:val="24"/>
        </w:rPr>
        <w:t>Bestämmelsen syftar till att genomsläppligheten inta ska försämras inom användningsområdet.</w:t>
      </w:r>
      <w:bookmarkEnd w:id="64"/>
    </w:p>
    <w:p>
      <w:pPr>
        <w:pStyle w:val="P1"/>
        <w:rPr>
          <w:rFonts w:asciiTheme="minorHAnsi" w:hAnsiTheme="minorHAnsi" w:cstheme="minorHAnsi"/>
        </w:rPr>
      </w:pPr>
      <w:bookmarkStart w:id="65" w:name="_Toc219101254"/>
      <w:r>
        <w:rPr>
          <w:rFonts w:asciiTheme="minorHAnsi" w:hAnsiTheme="minorHAnsi" w:cstheme="minorHAnsi"/>
        </w:rPr>
        <w:t>Planeringsunderlag och ställningstagande</w:t>
      </w:r>
      <w:bookmarkEnd w:id="65"/>
    </w:p>
    <w:p>
      <w:pPr>
        <w:ind w:left="432"/>
        <w:rPr>
          <w:rFonts w:cstheme="minorHAnsi"/>
        </w:rPr>
      </w:pPr>
      <w:r>
        <w:rPr>
          <w:rFonts w:cstheme="minorHAnsi"/>
        </w:rPr>
        <w:t xml:space="preserve">Detta avsnitt redovisar en sammanställning av de planeringsunderlag och beslut som legat till grund för detaljplanens omfattning och utformning. </w:t>
      </w:r>
    </w:p>
    <w:p>
      <w:pPr>
        <w:pStyle w:val="P2"/>
        <w:spacing w:lineRule="auto" w:line="240" w:beforeAutospacing="0" w:afterAutospacing="0"/>
        <w:rPr>
          <w:rFonts w:asciiTheme="minorHAnsi" w:hAnsiTheme="minorHAnsi" w:cstheme="minorHAnsi"/>
        </w:rPr>
      </w:pPr>
      <w:bookmarkStart w:id="66" w:name="_Toc219101255"/>
      <w:r>
        <w:rPr>
          <w:rFonts w:asciiTheme="minorHAnsi" w:hAnsiTheme="minorHAnsi" w:cstheme="minorHAnsi"/>
        </w:rPr>
        <w:t>Kommunala underlag</w:t>
      </w:r>
      <w:bookmarkEnd w:id="66"/>
      <w:r>
        <w:rPr>
          <w:rFonts w:asciiTheme="minorHAnsi" w:hAnsiTheme="minorHAnsi" w:cstheme="minorHAnsi"/>
        </w:rPr>
        <w:t xml:space="preserve"> </w:t>
      </w:r>
    </w:p>
    <w:p>
      <w:pPr>
        <w:pStyle w:val="P3"/>
        <w:spacing w:lineRule="auto" w:line="276" w:beforeAutospacing="0" w:afterAutospacing="0"/>
        <w:rPr>
          <w:rFonts w:asciiTheme="minorHAnsi" w:hAnsiTheme="minorHAnsi" w:cstheme="minorHAnsi"/>
          <w:color w:val="auto"/>
        </w:rPr>
      </w:pPr>
      <w:r>
        <w:rPr>
          <w:rFonts w:asciiTheme="minorHAnsi" w:hAnsiTheme="minorHAnsi" w:cstheme="minorHAnsi"/>
          <w:color w:val="auto"/>
        </w:rPr>
        <w:t>Planbesked</w:t>
      </w:r>
    </w:p>
    <w:p>
      <w:pPr>
        <w:ind w:left="720"/>
        <w:rPr>
          <w:rFonts w:cstheme="minorHAnsi"/>
          <w:szCs w:val="24"/>
        </w:rPr>
      </w:pPr>
      <w:bookmarkStart w:id="67" w:name="pu_planbesked01"/>
      <w:bookmarkStart w:id="68" w:name="_Hlk195600938"/>
      <w:r>
        <w:rPr>
          <w:rFonts w:cstheme="minorHAnsi"/>
          <w:szCs w:val="24"/>
        </w:rPr>
        <w:t xml:space="preserve">Kommunstyrelsen beslutade 2025-03-11 att Miljö- och byggnadsnämnden får i uppdrag att påbörja planarbete för området gällande Nedre Vasagatan (tidigare Haket) på fastigheten </w:t>
      </w:r>
      <w:bookmarkStart w:id="69" w:name="_Hlk198768770"/>
      <w:r>
        <w:rPr>
          <w:rFonts w:cstheme="minorHAnsi"/>
          <w:szCs w:val="24"/>
        </w:rPr>
        <w:t>Veterinären 7</w:t>
      </w:r>
      <w:bookmarkEnd w:id="69"/>
      <w:r>
        <w:rPr>
          <w:rFonts w:cstheme="minorHAnsi"/>
          <w:szCs w:val="24"/>
        </w:rPr>
        <w:t xml:space="preserve">, </w:t>
      </w:r>
      <w:bookmarkStart w:id="70" w:name="_Hlk198768792"/>
      <w:r>
        <w:rPr>
          <w:rFonts w:cstheme="minorHAnsi"/>
          <w:szCs w:val="24"/>
        </w:rPr>
        <w:t>med syfte att möjliggöra för centrumverksamhet inom användningen C</w:t>
      </w:r>
      <w:bookmarkEnd w:id="70"/>
      <w:r>
        <w:rPr>
          <w:rFonts w:cstheme="minorHAnsi"/>
          <w:szCs w:val="24"/>
        </w:rPr>
        <w:t>, som därmed ökar nyttjandegrad för befintliga och framtida verksamheter.</w:t>
      </w:r>
    </w:p>
    <w:p>
      <w:pPr>
        <w:pStyle w:val="P3"/>
        <w:rPr>
          <w:rFonts w:asciiTheme="minorHAnsi" w:hAnsiTheme="minorHAnsi" w:cstheme="minorHAnsi"/>
        </w:rPr>
      </w:pPr>
      <w:bookmarkEnd w:id="67"/>
      <w:bookmarkEnd w:id="68"/>
      <w:r>
        <w:rPr>
          <w:rFonts w:asciiTheme="minorHAnsi" w:hAnsiTheme="minorHAnsi" w:cstheme="minorHAnsi"/>
        </w:rPr>
        <w:t>Gällande detaljplan</w:t>
      </w:r>
    </w:p>
    <w:p>
      <w:pPr>
        <w:ind w:left="720"/>
        <w:rPr>
          <w:rFonts w:cstheme="minorHAnsi"/>
          <w:noProof w:val="1"/>
        </w:rPr>
      </w:pPr>
      <w:bookmarkStart w:id="71" w:name="pu_detaljplan01"/>
      <w:r>
        <w:rPr>
          <w:rFonts w:ascii="Calibri" w:hAnsi="Calibri" w:cs="Calibri"/>
        </w:rPr>
        <w:t>Detaljplanen för del av Smedjegatan, Vasagatan och Kolbäcksån samt angränsande mark (S179) fick laga kraft den 23 januari 2007. Planen omfattar stora delar av centrums bebyggelse och näringsliv. Genomfarten Vasagatan (GATA), samt kulturgatan Kyrkogatan (GATA) återfinns också inom planområdet. Användningarna är främst Industri och Park i söder. Medan norra delen inhyser främst användningarna Bostäder (B), Kontor (K) och Handel (H). Befintliga detaljplanens syfte är att anpassa mark- och vatten till broarnas lägen samt anpassa markutnyttjande. Detta för att möjliggöra en rationell fastighetsbildning. Syftet var också att bredda användningarna samt att stärka skydd för kulturhistorisk värdefull bebyggelse.</w:t>
      </w:r>
      <w:bookmarkEnd w:id="71"/>
    </w:p>
    <w:p>
      <w:pPr>
        <w:ind w:left="720"/>
        <w:rPr>
          <w:rFonts w:cstheme="minorHAnsi"/>
        </w:rPr>
      </w:pPr>
      <w:r>
        <w:rPr>
          <w:rFonts w:cstheme="minorHAnsi"/>
          <w:noProof w:val="1"/>
        </w:rPr>
        <w:drawing>
          <wp:inline xmlns:wp="http://schemas.openxmlformats.org/drawingml/2006/wordprocessingDrawing" distT="0" distB="0" distL="0" distR="0">
            <wp:extent cx="5105400" cy="3530600"/>
            <wp:effectExtent l="19050" t="19050" r="19050" b="12700"/>
            <wp:docPr id="30527849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78499" name="Picture 3"/>
                    <pic:cNvPicPr/>
                  </pic:nvPicPr>
                  <pic:blipFill dpi="0">
                    <a:blip xmlns:r="http://schemas.openxmlformats.org/officeDocument/2006/relationships" r:embed="Relimage6"/>
                    <a:srcRect t="871" b="1934"/>
                    <a:stretch>
                      <a:fillRect/>
                    </a:stretch>
                  </pic:blipFill>
                  <pic:spPr bwMode="auto">
                    <a:xfrm>
                      <a:off x="0" y="0"/>
                      <a:ext cx="5136977" cy="3552605"/>
                    </a:xfrm>
                    <a:prstGeom prst="rect"/>
                    <a:ln w="6350" cmpd="sng" algn="ctr">
                      <a:solidFill>
                        <a:sysClr val="windowText"/>
                      </a:solidFill>
                      <a:prstDash val="solid"/>
                      <a:round/>
                    </a:ln>
                  </pic:spPr>
                </pic:pic>
              </a:graphicData>
            </a:graphic>
          </wp:inline>
        </w:drawing>
      </w:r>
    </w:p>
    <w:p>
      <w:pPr>
        <w:ind w:firstLine="720"/>
        <w:jc w:val="both"/>
        <w:rPr>
          <w:rFonts w:cstheme="minorHAnsi"/>
          <w:color w:val="3B3939" w:themeColor="background2" w:themeShade="40"/>
          <w:sz w:val="16"/>
          <w:szCs w:val="16"/>
        </w:rPr>
      </w:pPr>
      <w:bookmarkStart w:id="72" w:name="_Hlk174021396"/>
      <w:r>
        <w:rPr>
          <w:rFonts w:cstheme="minorHAnsi"/>
          <w:color w:val="3B3939" w:themeColor="background2" w:themeShade="40"/>
          <w:sz w:val="16"/>
          <w:szCs w:val="16"/>
        </w:rPr>
        <w:t>Figur 3: Befintlig detaljplan S179.</w:t>
      </w:r>
    </w:p>
    <w:p>
      <w:pPr>
        <w:ind w:firstLine="720"/>
        <w:jc w:val="both"/>
        <w:rPr>
          <w:rFonts w:cstheme="minorHAnsi"/>
          <w:color w:val="A7A7A7"/>
          <w:sz w:val="16"/>
          <w:szCs w:val="16"/>
        </w:rPr>
      </w:pPr>
    </w:p>
    <w:p>
      <w:pPr>
        <w:pStyle w:val="P3"/>
        <w:spacing w:lineRule="auto" w:line="360" w:beforeAutospacing="0" w:afterAutospacing="0"/>
        <w:rPr>
          <w:rFonts w:asciiTheme="minorHAnsi" w:hAnsiTheme="minorHAnsi" w:cstheme="minorHAnsi"/>
        </w:rPr>
      </w:pPr>
      <w:bookmarkEnd w:id="72"/>
      <w:r>
        <w:rPr>
          <w:rFonts w:asciiTheme="minorHAnsi" w:hAnsiTheme="minorHAnsi" w:cstheme="minorHAnsi"/>
        </w:rPr>
        <w:t xml:space="preserve">Översiktsplan </w:t>
      </w:r>
    </w:p>
    <w:p>
      <w:pPr>
        <w:ind w:left="720"/>
        <w:rPr>
          <w:rFonts w:cstheme="minorHAnsi"/>
        </w:rPr>
      </w:pPr>
      <w:bookmarkStart w:id="73" w:name="pu_översiktsplan01"/>
      <w:r>
        <w:rPr>
          <w:rFonts w:cstheme="minorHAnsi"/>
        </w:rPr>
        <w:t>I Smedjebacken kommuns gällande översiktsplan, antagen av kommunfullmäktige 2018-10-12, så är aktuellt område utpekat som bebyggelse i tätorten Smedjebacken. Översiktsplanen prioriterar att möjliggöra levande och flexibla tätortscentrum genom bred funktionsblandning i detaljplanerna, men också för att stärka underlag för service och en hållbar livsstil. Detta ligger i fas med att öka nyttjandegraden, möjliggöra för fler användningar samt tillgängliggöra utrymmet längst gatan i detaljplanen. Planförslaget bedöms vara förenligt med den gällande översiktsplanens intentioner.</w:t>
      </w:r>
    </w:p>
    <w:p>
      <w:pPr>
        <w:ind w:left="720"/>
        <w:rPr>
          <w:rFonts w:cstheme="minorHAnsi"/>
        </w:rPr>
      </w:pPr>
      <w:bookmarkEnd w:id="73"/>
      <w:r>
        <w:rPr>
          <w:rFonts w:cstheme="minorHAnsi"/>
          <w:noProof w:val="1"/>
        </w:rPr>
        <w:drawing>
          <wp:inline xmlns:wp="http://schemas.openxmlformats.org/drawingml/2006/wordprocessingDrawing" distT="0" distB="0" distL="0" distR="0">
            <wp:extent cx="5200650" cy="5721350"/>
            <wp:effectExtent l="19050" t="19050" r="19050" b="1270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pic:nvPicPr>
                  <pic:blipFill dpi="0">
                    <a:blip xmlns:r="http://schemas.openxmlformats.org/officeDocument/2006/relationships" r:embed="Relimage7" cstate="print"/>
                    <a:srcRect/>
                    <a:stretch>
                      <a:fillRect/>
                    </a:stretch>
                  </pic:blipFill>
                  <pic:spPr>
                    <a:xfrm>
                      <a:off x="0" y="0"/>
                      <a:ext cx="5205727" cy="5727103"/>
                    </a:xfrm>
                    <a:prstGeom prst="rect"/>
                    <a:ln w="6350">
                      <a:solidFill>
                        <a:schemeClr val="tx1"/>
                      </a:solidFill>
                    </a:ln>
                  </pic:spPr>
                </pic:pic>
              </a:graphicData>
            </a:graphic>
          </wp:inline>
        </w:drawing>
      </w:r>
    </w:p>
    <w:p>
      <w:pPr>
        <w:ind w:firstLine="720"/>
        <w:jc w:val="both"/>
        <w:rPr>
          <w:rFonts w:cstheme="minorHAnsi"/>
          <w:color w:val="A7A7A7"/>
          <w:sz w:val="16"/>
          <w:szCs w:val="16"/>
        </w:rPr>
      </w:pPr>
      <w:r>
        <w:rPr>
          <w:rFonts w:cstheme="minorHAnsi"/>
          <w:color w:val="3B3939" w:themeColor="background2" w:themeShade="40"/>
          <w:sz w:val="16"/>
          <w:szCs w:val="16"/>
        </w:rPr>
        <w:t>Figur 4: Övergripande kommunkarta, översiktsplan, Smedjebackens kommun.</w:t>
      </w:r>
    </w:p>
    <w:p>
      <w:pPr>
        <w:ind w:left="720"/>
        <w:rPr>
          <w:rFonts w:cstheme="minorHAnsi"/>
        </w:rPr>
      </w:pPr>
    </w:p>
    <w:p>
      <w:pPr>
        <w:pStyle w:val="P3"/>
        <w:rPr>
          <w:rFonts w:asciiTheme="minorHAnsi" w:hAnsiTheme="minorHAnsi" w:cstheme="minorHAnsi"/>
        </w:rPr>
      </w:pPr>
      <w:r>
        <w:rPr>
          <w:rFonts w:asciiTheme="minorHAnsi" w:hAnsiTheme="minorHAnsi" w:cstheme="minorHAnsi"/>
        </w:rPr>
        <w:t>Fördjupning av översiktsplanen för Smedjebacken tätort</w:t>
      </w:r>
    </w:p>
    <w:p>
      <w:pPr>
        <w:ind w:left="720"/>
        <w:rPr>
          <w:rFonts w:cstheme="minorHAnsi"/>
        </w:rPr>
      </w:pPr>
      <w:bookmarkStart w:id="74" w:name="pu_fördjupningavöversiktsplan01"/>
      <w:r>
        <w:rPr>
          <w:rFonts w:cstheme="minorHAnsi"/>
        </w:rPr>
        <w:t>Smedjebacken kommuns gällande Fördjupning av översiktsplanen (FÖP) för Smedjebackens tätort, antagen av kommunfullmäktige den 15 juni 2009, så är det aktuella området identifierat som befintlig bebyggelse. Planförslaget kommer inneha och utöka användningarna som ingår i befintlig bebyggelse. Platserna i planområdet kommer ungefär ha samma funktioner som idag men med utökade möjligheter för fler etableringar av verksamheter samt mer möjligt liv och tillgänglighet. Planförslaget är förenligt med intentionerna i fördjupning av översiktsplanen.</w:t>
      </w:r>
    </w:p>
    <w:p>
      <w:pPr>
        <w:ind w:left="720"/>
        <w:rPr>
          <w:rFonts w:cstheme="minorHAnsi"/>
        </w:rPr>
      </w:pPr>
      <w:bookmarkEnd w:id="74"/>
    </w:p>
    <w:p>
      <w:pPr>
        <w:ind w:left="720"/>
        <w:rPr>
          <w:rFonts w:cstheme="minorHAnsi"/>
          <w:color w:val="FF0000"/>
        </w:rPr>
      </w:pPr>
      <w:r>
        <w:rPr>
          <w:rFonts w:cstheme="minorHAnsi"/>
          <w:noProof w:val="1"/>
          <w:color w:val="FF0000"/>
        </w:rPr>
        <w:drawing>
          <wp:inline xmlns:wp="http://schemas.openxmlformats.org/drawingml/2006/wordprocessingDrawing" distT="0" distB="0" distL="0" distR="0">
            <wp:extent cx="5187950" cy="3775710"/>
            <wp:effectExtent l="19050" t="19050" r="12700" b="15240"/>
            <wp:docPr id="12693378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7823" name="Picture 4"/>
                    <pic:cNvPicPr/>
                  </pic:nvPicPr>
                  <pic:blipFill dpi="0">
                    <a:blip xmlns:r="http://schemas.openxmlformats.org/officeDocument/2006/relationships" r:embed="Relimage8"/>
                    <a:srcRect/>
                    <a:stretch>
                      <a:fillRect/>
                    </a:stretch>
                  </pic:blipFill>
                  <pic:spPr>
                    <a:xfrm>
                      <a:off x="0" y="0"/>
                      <a:ext cx="5194700" cy="3780932"/>
                    </a:xfrm>
                    <a:prstGeom prst="rect"/>
                    <a:ln w="6350">
                      <a:solidFill>
                        <a:schemeClr val="tx1"/>
                      </a:solidFill>
                    </a:ln>
                  </pic:spPr>
                </pic:pic>
              </a:graphicData>
            </a:graphic>
          </wp:inline>
        </w:drawing>
      </w:r>
    </w:p>
    <w:p>
      <w:pPr>
        <w:ind w:left="720"/>
        <w:rPr>
          <w:rFonts w:cstheme="minorHAnsi"/>
          <w:color w:val="FF0000"/>
        </w:rPr>
      </w:pPr>
      <w:r>
        <w:rPr>
          <w:rFonts w:cstheme="minorHAnsi"/>
          <w:color w:val="3B3939" w:themeColor="background2" w:themeShade="40"/>
          <w:sz w:val="16"/>
          <w:szCs w:val="16"/>
        </w:rPr>
        <w:t>Figur 5: Markanvändningskarta, Fördjupning av översiktsplan för Smedjebacken tätort.</w:t>
      </w:r>
    </w:p>
    <w:p>
      <w:pPr>
        <w:ind w:left="720"/>
        <w:rPr>
          <w:rFonts w:cstheme="minorHAnsi"/>
          <w:color w:val="FF0000"/>
        </w:rPr>
      </w:pPr>
    </w:p>
    <w:p>
      <w:pPr>
        <w:pStyle w:val="P3"/>
        <w:spacing w:lineRule="auto" w:line="276" w:beforeAutospacing="0" w:afterAutospacing="0"/>
        <w:rPr>
          <w:rFonts w:asciiTheme="minorHAnsi" w:hAnsiTheme="minorHAnsi" w:cstheme="minorHAnsi"/>
        </w:rPr>
      </w:pPr>
      <w:r>
        <w:rPr>
          <w:rFonts w:asciiTheme="minorHAnsi" w:hAnsiTheme="minorHAnsi" w:cstheme="minorHAnsi"/>
        </w:rPr>
        <w:t>Grundkarta</w:t>
      </w:r>
    </w:p>
    <w:p>
      <w:pPr>
        <w:spacing w:lineRule="auto" w:line="276" w:beforeAutospacing="0" w:afterAutospacing="0"/>
        <w:ind w:left="720"/>
        <w:rPr>
          <w:rFonts w:cstheme="minorHAnsi"/>
        </w:rPr>
      </w:pPr>
      <w:bookmarkStart w:id="75" w:name="pu_grundkarta01"/>
      <w:r>
        <w:rPr>
          <w:rFonts w:cstheme="minorHAnsi"/>
        </w:rPr>
        <w:t xml:space="preserve">Grundkarta är upprättad </w:t>
      </w:r>
      <w:bookmarkStart w:id="76" w:name="_Hlk161242430"/>
      <w:r>
        <w:rPr>
          <w:rFonts w:cstheme="minorHAnsi"/>
        </w:rPr>
        <w:t xml:space="preserve">2025-05-16 </w:t>
      </w:r>
      <w:bookmarkEnd w:id="76"/>
      <w:r>
        <w:rPr>
          <w:rFonts w:cstheme="minorHAnsi"/>
        </w:rPr>
        <w:t xml:space="preserve">och uppdateras fortlöpande under planprocessen. Grundkartan innehåller information om topografi och fastighetsförhållanden som har betydelse för hur detaljplanen utformas och genomförs. Koordinatsystem som tillämpas är SWEREF 99 15 00 och höjdsystem är RH 2000. </w:t>
      </w:r>
    </w:p>
    <w:p>
      <w:pPr>
        <w:pStyle w:val="P3"/>
        <w:spacing w:lineRule="auto" w:line="276" w:beforeAutospacing="0" w:afterAutospacing="0"/>
        <w:rPr>
          <w:rFonts w:asciiTheme="minorHAnsi" w:hAnsiTheme="minorHAnsi" w:cstheme="minorHAnsi"/>
        </w:rPr>
      </w:pPr>
      <w:bookmarkEnd w:id="75"/>
      <w:r>
        <w:rPr>
          <w:rFonts w:asciiTheme="minorHAnsi" w:hAnsiTheme="minorHAnsi" w:cstheme="minorHAnsi"/>
        </w:rPr>
        <w:t>Barnchecklista</w:t>
      </w:r>
    </w:p>
    <w:p>
      <w:pPr>
        <w:spacing w:lineRule="auto" w:line="276" w:beforeAutospacing="0" w:afterAutospacing="0"/>
        <w:ind w:left="720"/>
        <w:rPr>
          <w:rFonts w:ascii="Calibri" w:hAnsi="Calibri" w:cs="Calibri" w:eastAsia="Times New Roman"/>
          <w:szCs w:val="24"/>
        </w:rPr>
      </w:pPr>
      <w:bookmarkStart w:id="77" w:name="pu_barnchecklista01"/>
      <w:r>
        <w:rPr>
          <w:rFonts w:ascii="Calibri" w:hAnsi="Calibri" w:cs="Calibri" w:eastAsia="Times New Roman"/>
          <w:szCs w:val="24"/>
        </w:rPr>
        <w:t>Sedan 2020-01-01 är Barnkonventionen en del av svensk lagstiftning genom barnrättslagen (SFS: 2018:1197). De fyra grundprinciperna som hela konventionen bygger på är;</w:t>
      </w:r>
    </w:p>
    <w:p>
      <w:pPr>
        <w:pStyle w:val="P31"/>
        <w:numPr>
          <w:ilvl w:val="0"/>
          <w:numId w:val="8"/>
        </w:numPr>
        <w:spacing w:lineRule="auto" w:line="276" w:beforeAutospacing="0" w:afterAutospacing="0"/>
        <w:rPr>
          <w:rFonts w:ascii="Calibri" w:hAnsi="Calibri" w:cs="Calibri" w:eastAsia="Times New Roman"/>
          <w:szCs w:val="24"/>
        </w:rPr>
      </w:pPr>
      <w:r>
        <w:rPr>
          <w:rFonts w:ascii="Calibri" w:hAnsi="Calibri" w:cs="Calibri" w:eastAsia="Times New Roman"/>
          <w:szCs w:val="24"/>
        </w:rPr>
        <w:t>Alla barn är lika mycket värda och har samma rättigheter. Ingen får diskrimineras.</w:t>
      </w:r>
    </w:p>
    <w:p>
      <w:pPr>
        <w:pStyle w:val="P31"/>
        <w:numPr>
          <w:ilvl w:val="0"/>
          <w:numId w:val="8"/>
        </w:numPr>
        <w:shd w:val="clear" w:fill="FFFFFF"/>
        <w:spacing w:lineRule="auto" w:line="240" w:after="75" w:beforeAutospacing="0" w:afterAutospacing="0"/>
        <w:rPr>
          <w:rFonts w:ascii="Calibri" w:hAnsi="Calibri" w:cs="Calibri" w:eastAsia="Times New Roman"/>
          <w:color w:val="262626"/>
          <w:szCs w:val="24"/>
          <w:lang w:eastAsia="sv-SE"/>
        </w:rPr>
      </w:pPr>
      <w:r>
        <w:rPr>
          <w:rFonts w:ascii="Calibri" w:hAnsi="Calibri" w:cs="Calibri" w:eastAsia="Times New Roman"/>
          <w:szCs w:val="24"/>
        </w:rPr>
        <w:t>Vid alla beslut som rör barn ska i första hand beaktas vad som bedöms vara barnets bästa.</w:t>
      </w:r>
    </w:p>
    <w:p>
      <w:pPr>
        <w:pStyle w:val="P31"/>
        <w:numPr>
          <w:ilvl w:val="0"/>
          <w:numId w:val="8"/>
        </w:numPr>
        <w:shd w:val="clear" w:fill="FFFFFF"/>
        <w:spacing w:lineRule="auto" w:line="240" w:after="75" w:beforeAutospacing="0" w:afterAutospacing="0"/>
        <w:rPr>
          <w:rFonts w:ascii="Calibri" w:hAnsi="Calibri" w:cs="Calibri" w:eastAsia="Times New Roman"/>
          <w:color w:val="262626"/>
          <w:szCs w:val="24"/>
          <w:lang w:eastAsia="sv-SE"/>
        </w:rPr>
      </w:pPr>
      <w:r>
        <w:rPr>
          <w:rFonts w:ascii="Calibri" w:hAnsi="Calibri" w:cs="Calibri" w:eastAsia="Times New Roman"/>
          <w:color w:val="262626"/>
          <w:szCs w:val="24"/>
          <w:lang w:eastAsia="sv-SE"/>
        </w:rPr>
        <w:t>Barn har rätt till liv, överlevnad och utveckling.</w:t>
      </w:r>
    </w:p>
    <w:p>
      <w:pPr>
        <w:pStyle w:val="P31"/>
        <w:numPr>
          <w:ilvl w:val="0"/>
          <w:numId w:val="8"/>
        </w:numPr>
        <w:spacing w:lineRule="auto" w:line="276" w:beforeAutospacing="0" w:afterAutospacing="0"/>
        <w:rPr>
          <w:rFonts w:ascii="Calibri" w:hAnsi="Calibri" w:cs="Calibri" w:eastAsia="Times New Roman"/>
          <w:szCs w:val="24"/>
        </w:rPr>
      </w:pPr>
      <w:r>
        <w:rPr>
          <w:rFonts w:ascii="Calibri" w:hAnsi="Calibri" w:cs="Calibri" w:eastAsia="Times New Roman"/>
          <w:szCs w:val="24"/>
        </w:rPr>
        <w:t>Barn har rätt att uttrycka sin mening och höras i alla frågor som rör barnet. Hänsyn ska tas till barnets åsikter, utifrån barnets ålder och mognad.</w:t>
      </w:r>
    </w:p>
    <w:p>
      <w:pPr>
        <w:spacing w:lineRule="auto" w:line="276" w:beforeAutospacing="0" w:afterAutospacing="0"/>
        <w:ind w:left="720"/>
        <w:rPr>
          <w:rFonts w:ascii="Calibri" w:hAnsi="Calibri" w:cs="Calibri"/>
          <w:color w:val="FF0000"/>
        </w:rPr>
      </w:pPr>
      <w:r>
        <w:rPr>
          <w:rFonts w:ascii="Calibri" w:hAnsi="Calibri" w:cs="Calibri"/>
        </w:rPr>
        <w:t xml:space="preserve">Smedjebackens kommun har upprättat en barnchecklista som ska säkerställa att barn- och ungdomsperspektivet tas hänsyn till i samband med detaljplaneprocessen. För fördjupad information hänvisas till bilagan; </w:t>
      </w:r>
      <w:r>
        <w:rPr>
          <w:rFonts w:ascii="Calibri" w:hAnsi="Calibri" w:cs="Calibri"/>
          <w:i w:val="1"/>
          <w:iCs w:val="1"/>
        </w:rPr>
        <w:t>Barnchecklista</w:t>
      </w:r>
      <w:r>
        <w:rPr>
          <w:rFonts w:ascii="Calibri" w:hAnsi="Calibri" w:cs="Calibri"/>
        </w:rPr>
        <w:t xml:space="preserve">. Resultaten av checklistan redovisas under avsnittet; </w:t>
      </w:r>
      <w:r>
        <w:rPr>
          <w:rFonts w:ascii="Calibri" w:hAnsi="Calibri" w:cs="Calibri"/>
          <w:i w:val="1"/>
          <w:iCs w:val="1"/>
        </w:rPr>
        <w:t>5.7.1</w:t>
      </w:r>
      <w:r>
        <w:rPr>
          <w:rFonts w:ascii="Calibri" w:hAnsi="Calibri" w:cs="Calibri"/>
        </w:rPr>
        <w:t xml:space="preserve"> </w:t>
      </w:r>
      <w:r>
        <w:rPr>
          <w:rFonts w:ascii="Calibri" w:hAnsi="Calibri" w:cs="Calibri"/>
          <w:i w:val="1"/>
          <w:iCs w:val="1"/>
        </w:rPr>
        <w:t>Barn, trygghet och jämlikhet</w:t>
      </w:r>
      <w:r>
        <w:rPr>
          <w:rFonts w:ascii="Calibri" w:hAnsi="Calibri" w:cs="Calibri"/>
        </w:rPr>
        <w:t xml:space="preserve">. </w:t>
      </w:r>
      <w:bookmarkEnd w:id="77"/>
      <w:r>
        <w:rPr>
          <w:rFonts w:ascii="Calibri" w:hAnsi="Calibri" w:cs="Calibri"/>
        </w:rPr>
        <w:t xml:space="preserve"> </w:t>
      </w:r>
    </w:p>
    <w:p>
      <w:pPr>
        <w:pStyle w:val="P3"/>
        <w:spacing w:lineRule="auto" w:line="276" w:beforeAutospacing="0" w:afterAutospacing="0"/>
        <w:rPr>
          <w:rFonts w:asciiTheme="minorHAnsi" w:hAnsiTheme="minorHAnsi" w:cstheme="minorHAnsi"/>
        </w:rPr>
      </w:pPr>
      <w:r>
        <w:rPr>
          <w:rFonts w:asciiTheme="minorHAnsi" w:hAnsiTheme="minorHAnsi" w:cstheme="minorHAnsi"/>
        </w:rPr>
        <w:t>Undersökning av betydande miljöpåverkan</w:t>
      </w:r>
    </w:p>
    <w:p>
      <w:pPr>
        <w:ind w:left="720"/>
        <w:rPr>
          <w:rFonts w:ascii="Calibri" w:hAnsi="Calibri" w:cs="Calibri"/>
        </w:rPr>
      </w:pPr>
      <w:bookmarkStart w:id="78" w:name="pu_undersökningenl6kap6_mb01"/>
      <w:r>
        <w:rPr>
          <w:rFonts w:ascii="Calibri" w:hAnsi="Calibri" w:cs="Calibri"/>
        </w:rPr>
        <w:t xml:space="preserve">Enligt 6 kap. 5–7 § Miljöbalken ska kommunen göra en undersökning om betydande miljöpåverkan när en plan upprättas, genom att identifiera omständigheter som talar för eller emot en betydande miljöpåverkan. Om planförslaget bedöms resultera i betydande miljöpåverkan ska en strategisk miljöbedömning genomföras och en miljökonsekvensbeskrivning upprättas enligt 4 kap. 34 § Plan- och bygglagen. Kommunens checklista; </w:t>
      </w:r>
      <w:r>
        <w:rPr>
          <w:rFonts w:ascii="Calibri" w:hAnsi="Calibri" w:cs="Calibri"/>
          <w:i w:val="1"/>
          <w:iCs w:val="1"/>
        </w:rPr>
        <w:t>Undersökning av betydande miljöpåverkan</w:t>
      </w:r>
      <w:r>
        <w:rPr>
          <w:rFonts w:ascii="Calibri" w:hAnsi="Calibri" w:cs="Calibri"/>
        </w:rPr>
        <w:t xml:space="preserve">, fungerar som grund i undersökningen. Den ger en samlad bedömning av den påverkan som detaljplanens genomförande bedöms medföra på miljön. </w:t>
      </w:r>
    </w:p>
    <w:p>
      <w:pPr>
        <w:ind w:left="720"/>
        <w:rPr>
          <w:rFonts w:ascii="Calibri" w:hAnsi="Calibri" w:cs="Calibri"/>
        </w:rPr>
      </w:pPr>
      <w:r>
        <w:rPr>
          <w:rFonts w:ascii="Calibri" w:hAnsi="Calibri" w:cs="Calibri"/>
        </w:rPr>
        <w:t xml:space="preserve">Olika avvägningar har gjorts mellan olika intressen och har resulterat i en samlad bedömning. Utifrån denna undersökning bedöms genomförandet av planförslaget inte medföra betydande miljöpåverkan. Ingen miljöbedömning behöver därför genomföras och därmed ingen MKB upprättas. För fördjupad information hänvisas till bilagan i samrådshandlingarna om; </w:t>
      </w:r>
      <w:r>
        <w:rPr>
          <w:rFonts w:ascii="Calibri" w:hAnsi="Calibri" w:cs="Calibri"/>
          <w:i w:val="1"/>
          <w:iCs w:val="1"/>
        </w:rPr>
        <w:t>Undersökning av betydande miljöpåverkan</w:t>
      </w:r>
      <w:r>
        <w:rPr>
          <w:rFonts w:ascii="Calibri" w:hAnsi="Calibri" w:cs="Calibri"/>
        </w:rPr>
        <w:t xml:space="preserve">.  </w:t>
      </w:r>
    </w:p>
    <w:p>
      <w:pPr>
        <w:pStyle w:val="P2"/>
        <w:rPr>
          <w:rFonts w:asciiTheme="minorHAnsi" w:hAnsiTheme="minorHAnsi" w:cstheme="minorHAnsi"/>
        </w:rPr>
      </w:pPr>
      <w:bookmarkEnd w:id="78"/>
      <w:bookmarkStart w:id="79" w:name="_Toc219101256"/>
      <w:r>
        <w:rPr>
          <w:rFonts w:asciiTheme="minorHAnsi" w:hAnsiTheme="minorHAnsi" w:cstheme="minorHAnsi"/>
        </w:rPr>
        <w:t>Utredningar</w:t>
      </w:r>
      <w:bookmarkEnd w:id="79"/>
    </w:p>
    <w:p>
      <w:pPr>
        <w:ind w:left="576"/>
        <w:rPr>
          <w:rFonts w:cstheme="minorHAnsi"/>
        </w:rPr>
      </w:pPr>
      <w:bookmarkStart w:id="80" w:name="pu_utredningar01"/>
      <w:r>
        <w:rPr>
          <w:rFonts w:cstheme="minorHAnsi"/>
        </w:rPr>
        <w:t xml:space="preserve">Inga ytterligare analyser, inventeringar eller utredningar har bedömts behövas i detaljplaneskedet. </w:t>
      </w:r>
    </w:p>
    <w:p>
      <w:pPr>
        <w:pStyle w:val="P2"/>
        <w:rPr>
          <w:rFonts w:asciiTheme="minorHAnsi" w:hAnsiTheme="minorHAnsi" w:cstheme="minorHAnsi"/>
        </w:rPr>
      </w:pPr>
      <w:bookmarkEnd w:id="80"/>
      <w:bookmarkStart w:id="81" w:name="_Toc219101257"/>
      <w:r>
        <w:rPr>
          <w:rFonts w:asciiTheme="minorHAnsi" w:hAnsiTheme="minorHAnsi" w:cstheme="minorHAnsi"/>
        </w:rPr>
        <w:t>Regionala underlag</w:t>
      </w:r>
      <w:bookmarkEnd w:id="81"/>
    </w:p>
    <w:p>
      <w:pPr>
        <w:pStyle w:val="P3"/>
        <w:rPr>
          <w:rFonts w:asciiTheme="minorHAnsi" w:hAnsiTheme="minorHAnsi" w:cstheme="minorHAnsi"/>
        </w:rPr>
      </w:pPr>
      <w:r>
        <w:rPr>
          <w:rFonts w:asciiTheme="minorHAnsi" w:hAnsiTheme="minorHAnsi" w:cstheme="minorHAnsi"/>
        </w:rPr>
        <w:t xml:space="preserve">Dalastrategi 2030 </w:t>
      </w:r>
    </w:p>
    <w:p>
      <w:pPr>
        <w:ind w:left="720"/>
        <w:rPr>
          <w:rFonts w:cstheme="minorHAnsi"/>
        </w:rPr>
      </w:pPr>
      <w:bookmarkStart w:id="82" w:name="pu_regionala01"/>
      <w:r>
        <w:rPr>
          <w:rFonts w:cstheme="minorHAnsi"/>
        </w:rPr>
        <w:t xml:space="preserve">Den regionala utvecklingsstrategin Dalastrategin 2030 anger att satsningar inom ett klimatsmart, ett konkurrenskraftigt och ett sammanhållet Dalarna, som ska bidra till det övergripande målet om ett hållbart Dalarna. Dalastrategin 2030 anger att den lokala och regionala kapaciteten (ekonomisk, politisk, kunskap och engagemang) ska driva utvecklingsfrågor så att individer och organisationer stärks. Detta möjliggörs genom att identifiera utmaningar, möjligheter och resurser för varje specifik plats. </w:t>
      </w:r>
    </w:p>
    <w:p>
      <w:pPr>
        <w:ind w:left="720"/>
        <w:rPr>
          <w:rFonts w:cstheme="minorHAnsi"/>
        </w:rPr>
      </w:pPr>
      <w:r>
        <w:rPr>
          <w:rFonts w:cstheme="minorHAnsi"/>
        </w:rPr>
        <w:t xml:space="preserve">Bland annat lyfts tre prioriteringar upp; </w:t>
      </w:r>
    </w:p>
    <w:p>
      <w:pPr>
        <w:pStyle w:val="P31"/>
        <w:numPr>
          <w:ilvl w:val="0"/>
          <w:numId w:val="9"/>
        </w:numPr>
        <w:rPr>
          <w:rFonts w:cstheme="minorHAnsi"/>
        </w:rPr>
      </w:pPr>
      <w:r>
        <w:rPr>
          <w:rFonts w:cstheme="minorHAnsi"/>
        </w:rPr>
        <w:t xml:space="preserve">Verka för ett diversifierat näringsliv som är i framkant av hållbarhetsarbetet. </w:t>
      </w:r>
    </w:p>
    <w:p>
      <w:pPr>
        <w:pStyle w:val="P31"/>
        <w:numPr>
          <w:ilvl w:val="0"/>
          <w:numId w:val="9"/>
        </w:numPr>
        <w:rPr>
          <w:rFonts w:cstheme="minorHAnsi"/>
        </w:rPr>
      </w:pPr>
      <w:r>
        <w:rPr>
          <w:rFonts w:cstheme="minorHAnsi"/>
        </w:rPr>
        <w:t>Verka för ökad tillgänglighet till service för boende, företag och besökare.</w:t>
      </w:r>
    </w:p>
    <w:p>
      <w:pPr>
        <w:pStyle w:val="P31"/>
        <w:numPr>
          <w:ilvl w:val="0"/>
          <w:numId w:val="9"/>
        </w:numPr>
        <w:rPr>
          <w:rFonts w:cstheme="minorHAnsi"/>
        </w:rPr>
      </w:pPr>
      <w:r>
        <w:rPr>
          <w:rFonts w:cstheme="minorHAnsi"/>
        </w:rPr>
        <w:t>Verka för ökad tillgänglighet till kultur och bildning.</w:t>
      </w:r>
    </w:p>
    <w:p>
      <w:pPr>
        <w:ind w:left="720"/>
        <w:rPr>
          <w:rFonts w:cstheme="minorHAnsi"/>
        </w:rPr>
      </w:pPr>
      <w:r>
        <w:rPr>
          <w:rFonts w:cstheme="minorHAnsi"/>
        </w:rPr>
        <w:t xml:space="preserve">Genom att öka möjligheterna för ett mer varierat utbud för handel och service i centrala delarna av tätorten, så möjliggörs en ökad tillgänglighet och varierat utbud för boende och besökare. Tillgängligheten på allmänplats utökas som möjliggör för trafikanter och vistelseytor nära handel och service. Detta ligger i fas och är förenlig med den regionala utvecklingsstrategin. </w:t>
      </w:r>
    </w:p>
    <w:p>
      <w:pPr>
        <w:pStyle w:val="P2"/>
        <w:rPr>
          <w:rFonts w:asciiTheme="minorHAnsi" w:hAnsiTheme="minorHAnsi" w:cstheme="minorHAnsi"/>
        </w:rPr>
      </w:pPr>
      <w:bookmarkEnd w:id="82"/>
      <w:bookmarkStart w:id="83" w:name="_Toc219101258"/>
      <w:r>
        <w:rPr>
          <w:rFonts w:asciiTheme="minorHAnsi" w:hAnsiTheme="minorHAnsi" w:cstheme="minorHAnsi"/>
        </w:rPr>
        <w:t>Riksintressen</w:t>
      </w:r>
      <w:bookmarkEnd w:id="83"/>
      <w:r>
        <w:rPr>
          <w:rFonts w:asciiTheme="minorHAnsi" w:hAnsiTheme="minorHAnsi" w:cstheme="minorHAnsi"/>
        </w:rPr>
        <w:t xml:space="preserve"> </w:t>
      </w:r>
    </w:p>
    <w:p>
      <w:pPr>
        <w:ind w:left="576"/>
        <w:rPr>
          <w:rFonts w:cstheme="minorHAnsi"/>
        </w:rPr>
      </w:pPr>
      <w:bookmarkStart w:id="84" w:name="pu_riksintressen01"/>
      <w:r>
        <w:rPr>
          <w:rFonts w:cstheme="minorHAnsi"/>
        </w:rPr>
        <w:t xml:space="preserve">Riksintressen avser geografiska områden som har identifierats för att de innehar värden och kvaliteter av nationell betydelse. Dessa områden ska särskilt beaktas vid detaljplanering för att säkerställa att deras unika egenskaper bevaras och främjas. Det aktuella planområdet omfattas inte av några riksintressen. </w:t>
      </w:r>
    </w:p>
    <w:p>
      <w:pPr>
        <w:pStyle w:val="P2"/>
        <w:rPr>
          <w:rFonts w:asciiTheme="minorHAnsi" w:hAnsiTheme="minorHAnsi" w:cstheme="minorHAnsi"/>
        </w:rPr>
      </w:pPr>
      <w:bookmarkEnd w:id="84"/>
      <w:bookmarkStart w:id="85" w:name="_Toc219101259"/>
      <w:r>
        <w:rPr>
          <w:rFonts w:asciiTheme="minorHAnsi" w:hAnsiTheme="minorHAnsi" w:cstheme="minorHAnsi"/>
        </w:rPr>
        <w:t>Hushållningsbestämmelser 3, 4 kap. Miljöbalken</w:t>
      </w:r>
      <w:bookmarkEnd w:id="85"/>
      <w:r>
        <w:rPr>
          <w:rFonts w:asciiTheme="minorHAnsi" w:hAnsiTheme="minorHAnsi" w:cstheme="minorHAnsi"/>
        </w:rPr>
        <w:t xml:space="preserve"> </w:t>
      </w:r>
    </w:p>
    <w:p>
      <w:pPr>
        <w:ind w:left="576"/>
        <w:rPr>
          <w:rFonts w:ascii="Calibri" w:hAnsi="Calibri" w:cs="Calibri"/>
        </w:rPr>
      </w:pPr>
      <w:bookmarkStart w:id="86" w:name="pu_hushållningsbestämmelser01"/>
      <w:r>
        <w:rPr>
          <w:rFonts w:ascii="Calibri" w:hAnsi="Calibri" w:cs="Calibri"/>
        </w:rPr>
        <w:t>Vid framtagande av denna detaljplan har det gjorts prövningar enligt 3 och 4 kap. Miljöbalken (MB). Detaljplanen har även granskats mot kommunens översiktsplan i enlighet med 5 § förordningen om hushållning med mark och vattenområden. Bedömningen är att föreslagna användningar anses vara ur allmän synpunkt mest lämpliga utifrån områdets förutsättningar och efterfrågan.</w:t>
      </w:r>
    </w:p>
    <w:p>
      <w:pPr>
        <w:pStyle w:val="P3"/>
        <w:numPr>
          <w:ilvl w:val="2"/>
          <w:numId w:val="2"/>
        </w:numPr>
        <w:rPr>
          <w:rFonts w:cs="Calibri"/>
        </w:rPr>
      </w:pPr>
      <w:bookmarkEnd w:id="86"/>
      <w:r>
        <w:rPr>
          <w:rFonts w:cs="Calibri"/>
        </w:rPr>
        <w:t xml:space="preserve">Hushållningsbestämmelserna 3 kap </w:t>
      </w:r>
    </w:p>
    <w:p>
      <w:pPr>
        <w:ind w:left="720"/>
        <w:rPr>
          <w:rFonts w:ascii="Calibri" w:hAnsi="Calibri" w:cs="Calibri"/>
        </w:rPr>
      </w:pPr>
      <w:bookmarkStart w:id="87" w:name="pu_hushållningsbestämmelser02"/>
      <w:r>
        <w:rPr>
          <w:rFonts w:ascii="Calibri" w:hAnsi="Calibri" w:cs="Calibri"/>
        </w:rPr>
        <w:t>Enligt hushållningsbestämmelserna 3 kap. om god hushållning så ska enligt</w:t>
      </w:r>
      <w:r>
        <w:rPr>
          <w:rFonts w:ascii="Calibri" w:hAnsi="Calibri" w:cs="Calibri"/>
          <w:color w:val="1B1B1B"/>
          <w:sz w:val="27"/>
          <w:szCs w:val="27"/>
          <w:shd w:val="clear" w:color="auto" w:fill="FFFFFF"/>
        </w:rPr>
        <w:t xml:space="preserve"> </w:t>
      </w:r>
      <w:r>
        <w:rPr>
          <w:rFonts w:ascii="Calibri" w:hAnsi="Calibri" w:cs="Calibri"/>
        </w:rPr>
        <w:t>1 §; Mark- och vattenområden användas för det eller de ändamål för vilka områdena är mest lämpade med hänsyn till beskaffenhet och läge samt föreliggande behov. Företräde skall ges sådan användning som medför en från allmän synpunkt god hushållning. Ändamålet i planförslaget uppfyller miljöbalken krav på god hushållning.</w:t>
      </w:r>
    </w:p>
    <w:p>
      <w:pPr>
        <w:pStyle w:val="P3"/>
        <w:numPr>
          <w:ilvl w:val="2"/>
          <w:numId w:val="2"/>
        </w:numPr>
        <w:rPr>
          <w:rFonts w:cs="Calibri"/>
        </w:rPr>
      </w:pPr>
      <w:bookmarkEnd w:id="87"/>
      <w:r>
        <w:rPr>
          <w:rFonts w:cs="Calibri"/>
        </w:rPr>
        <w:t xml:space="preserve">Hushållningsbestämmelserna 4 kap </w:t>
      </w:r>
    </w:p>
    <w:p>
      <w:pPr>
        <w:ind w:left="720"/>
        <w:rPr>
          <w:rFonts w:ascii="Calibri" w:hAnsi="Calibri" w:cs="Calibri"/>
        </w:rPr>
      </w:pPr>
      <w:bookmarkStart w:id="88" w:name="pu_hushållningsbestämmelser03"/>
      <w:r>
        <w:rPr>
          <w:rFonts w:ascii="Calibri" w:hAnsi="Calibri" w:cs="Calibri"/>
        </w:rPr>
        <w:t>I miljöbalkens 4 kap. föreskrivs bland annat att områden som i sin helhet är av riksintresse. Planförslaget omfattas inte av dessa områden i hushållningsbestämmelserna enligt 4 kap. miljöbalken.</w:t>
      </w:r>
    </w:p>
    <w:p>
      <w:pPr>
        <w:pStyle w:val="P3"/>
        <w:numPr>
          <w:ilvl w:val="2"/>
          <w:numId w:val="2"/>
        </w:numPr>
        <w:rPr>
          <w:rFonts w:cs="Calibri"/>
        </w:rPr>
      </w:pPr>
      <w:bookmarkEnd w:id="88"/>
      <w:r>
        <w:rPr>
          <w:rFonts w:cs="Calibri"/>
        </w:rPr>
        <w:t>Jordbruksmark av nationell betydelse</w:t>
      </w:r>
    </w:p>
    <w:p>
      <w:pPr>
        <w:ind w:left="720"/>
        <w:rPr>
          <w:rFonts w:ascii="Calibri" w:hAnsi="Calibri" w:cs="Calibri"/>
          <w:szCs w:val="24"/>
        </w:rPr>
      </w:pPr>
      <w:bookmarkStart w:id="89" w:name="pu_jordbruksmarkavnationellbetydelse01"/>
      <w:r>
        <w:rPr>
          <w:rFonts w:ascii="Calibri" w:hAnsi="Calibri" w:cs="Calibri"/>
          <w:szCs w:val="24"/>
        </w:rPr>
        <w:t>Ingen brukningsvärd jordbruksmark tas i anspråk med planförslaget.</w:t>
      </w:r>
    </w:p>
    <w:p>
      <w:pPr>
        <w:pStyle w:val="P1"/>
        <w:rPr>
          <w:rFonts w:asciiTheme="minorHAnsi" w:hAnsiTheme="minorHAnsi" w:cstheme="minorHAnsi"/>
        </w:rPr>
      </w:pPr>
      <w:bookmarkEnd w:id="89"/>
      <w:bookmarkStart w:id="90" w:name="_Toc219101260"/>
      <w:r>
        <w:rPr>
          <w:rFonts w:asciiTheme="minorHAnsi" w:hAnsiTheme="minorHAnsi" w:cstheme="minorHAnsi"/>
        </w:rPr>
        <w:t>Förutsättningar, förändringar och konsekvenser</w:t>
      </w:r>
      <w:bookmarkEnd w:id="90"/>
      <w:r>
        <w:rPr>
          <w:rFonts w:asciiTheme="minorHAnsi" w:hAnsiTheme="minorHAnsi" w:cstheme="minorHAnsi"/>
        </w:rPr>
        <w:t xml:space="preserve"> </w:t>
      </w:r>
    </w:p>
    <w:p>
      <w:pPr>
        <w:ind w:left="432"/>
        <w:rPr>
          <w:rFonts w:cstheme="minorHAnsi"/>
        </w:rPr>
      </w:pPr>
      <w:r>
        <w:rPr>
          <w:rFonts w:cstheme="minorHAnsi"/>
        </w:rPr>
        <w:t xml:space="preserve">Detta avsnitt innehåller redovisning av de förutsättningar på platsen och i omgivningen som har haft betydelse för detaljplanens utformning och omfattning. Avsnittet redovisar också förändringar och konsekvenser som ett genomförande av detaljplanen kan innebära.  </w:t>
      </w:r>
    </w:p>
    <w:p>
      <w:pPr>
        <w:pStyle w:val="P2"/>
        <w:rPr>
          <w:rFonts w:asciiTheme="minorHAnsi" w:hAnsiTheme="minorHAnsi" w:cstheme="minorHAnsi"/>
          <w:color w:val="auto"/>
        </w:rPr>
      </w:pPr>
      <w:bookmarkStart w:id="91" w:name="_Toc219101261"/>
      <w:r>
        <w:rPr>
          <w:rFonts w:asciiTheme="minorHAnsi" w:hAnsiTheme="minorHAnsi" w:cstheme="minorHAnsi"/>
          <w:color w:val="auto"/>
        </w:rPr>
        <w:t>Befintlig detaljplan</w:t>
      </w:r>
      <w:bookmarkEnd w:id="91"/>
    </w:p>
    <w:p>
      <w:pPr>
        <w:ind w:left="576"/>
        <w:rPr>
          <w:rFonts w:cstheme="minorHAnsi"/>
        </w:rPr>
      </w:pPr>
      <w:bookmarkStart w:id="92" w:name="_Hlk197345344"/>
      <w:bookmarkStart w:id="93" w:name="pf_detaljplan01"/>
      <w:bookmarkStart w:id="94" w:name="_Hlk195613847"/>
      <w:r>
        <w:rPr>
          <w:rFonts w:ascii="Calibri" w:hAnsi="Calibri" w:cs="Calibri"/>
          <w:szCs w:val="24"/>
        </w:rPr>
        <w:t>När föreslagen detaljplan för Nedre Vasagatan får laga kraft, upphör tidigare detaljplan och bestämmelserna att gälla inom planområdet, men fortsätter att gälla som tidigare utanför planområdesgränsen</w:t>
      </w:r>
      <w:r>
        <w:rPr>
          <w:rFonts w:cstheme="minorHAnsi"/>
        </w:rPr>
        <w:t>. Detta innebär att en mindre del av befintliga detaljplanens södra centrum kommer att brytas ut till en egen detaljplan</w:t>
      </w:r>
      <w:bookmarkEnd w:id="92"/>
      <w:r>
        <w:rPr>
          <w:rFonts w:ascii="Calibri" w:hAnsi="Calibri" w:cs="Calibri"/>
        </w:rPr>
        <w:t xml:space="preserve">. </w:t>
      </w:r>
      <w:r>
        <w:rPr>
          <w:rFonts w:cstheme="minorHAnsi"/>
        </w:rPr>
        <w:t xml:space="preserve">Nyttjandegraden kommer att utökas med användningen C-Centrum som tillkommer på båda sidor av Vasagatan. Trädallén kommer med det nya planförslaget att skyddas samt </w:t>
      </w:r>
      <w:r>
        <w:rPr>
          <w:rFonts w:cstheme="minorHAnsi"/>
          <w:szCs w:val="24"/>
        </w:rPr>
        <w:t>uteserveringar, entréfunktioner med mera</w:t>
      </w:r>
      <w:r>
        <w:rPr>
          <w:rFonts w:cstheme="minorHAnsi"/>
        </w:rPr>
        <w:t xml:space="preserve"> kommer att möjliggöras närmast gatan. Höjden på bebyggelse samt takvinkel kommer samspela med kringliggande bebyggelses skala. Allmänt plats-gata kommer att utvidgas över en del av befintlig kvartersmark. Prickmarken, nyttjanderätten och genomsläppligheten kommer förändras och säkerställas. Tidigare så var bebyggelsen i nordöst skyddad genom hänvisning till planbeskrivningen, vilket inte längre är möjligt i nuvarande lagstiftning, som i stället kräver att det ska synas i detaljplanekartan. </w:t>
      </w:r>
      <w:bookmarkEnd w:id="93"/>
      <w:bookmarkStart w:id="95" w:name="ko_detaljplan01"/>
      <w:r>
        <w:rPr>
          <w:rFonts w:cstheme="minorHAnsi"/>
        </w:rPr>
        <w:t>Detta kommer innebära planbestämmelserna om varsamhet tillkommer i detaljplanekartan. I användningen Centrum så utökas möjligheter för nya etableringar såsom exempelvis fritidshem, bibliotek, teatrar, museum, banker, apotek, smådjursklinik, hantverk och annan service. Några av dessa verksamheter fungerar även inom Handel eller andra användningar som finns i den befintliga detaljplanen. Den stora skillnaden är att det inte är nödvändigt med ett huvudsakligt fokus på köp och försäljning av varor och tjänster, till framför allt privatpersoner inom dagligvaruhandel och sällanköpshandel. Användningen centrum medger också generellt sett en mycket bredare användning. Detta betyder sammantaget att en varierad och större utbud av etablering i området av handel och service kan ske.</w:t>
      </w:r>
      <w:bookmarkEnd w:id="94"/>
      <w:bookmarkEnd w:id="95"/>
    </w:p>
    <w:p>
      <w:pPr>
        <w:pStyle w:val="P2"/>
        <w:spacing w:lineRule="auto" w:line="240" w:beforeAutospacing="0" w:afterAutospacing="0"/>
        <w:rPr>
          <w:rFonts w:asciiTheme="minorHAnsi" w:hAnsiTheme="minorHAnsi" w:cstheme="minorHAnsi"/>
        </w:rPr>
      </w:pPr>
      <w:bookmarkStart w:id="96" w:name="_Toc219101262"/>
      <w:r>
        <w:rPr>
          <w:rFonts w:asciiTheme="minorHAnsi" w:hAnsiTheme="minorHAnsi" w:cstheme="minorHAnsi"/>
        </w:rPr>
        <w:t>Bebyggelse</w:t>
      </w:r>
      <w:bookmarkEnd w:id="96"/>
    </w:p>
    <w:p>
      <w:pPr>
        <w:pStyle w:val="P3"/>
        <w:numPr>
          <w:ilvl w:val="2"/>
          <w:numId w:val="2"/>
        </w:numPr>
        <w:rPr>
          <w:rFonts w:cs="Calibri"/>
        </w:rPr>
      </w:pPr>
      <w:r>
        <w:rPr>
          <w:rFonts w:cs="Calibri"/>
        </w:rPr>
        <w:t>Befintlig bebyggelse och värdefull kulturhistorisk miljö</w:t>
      </w:r>
    </w:p>
    <w:p>
      <w:pPr>
        <w:ind w:left="720"/>
        <w:rPr>
          <w:rFonts w:cstheme="minorHAnsi"/>
        </w:rPr>
      </w:pPr>
      <w:bookmarkStart w:id="97" w:name="pf_fysiskmiljö01"/>
      <w:r>
        <w:rPr>
          <w:rFonts w:cstheme="minorHAnsi"/>
        </w:rPr>
        <w:t>Bebyggelsen i södra delen av planområdet är lamellhus 1950–1960 tal (Veterinären 7 och Skjutskarlen 7), bestående av bostäder på de övre planen i två våningar och butikslokaler på markplan med entréer som väter emot Vasagatan. Butiker har varit aktiva sedan byggnation.</w:t>
      </w:r>
    </w:p>
    <w:p>
      <w:pPr>
        <w:ind w:firstLine="144" w:left="576"/>
        <w:rPr>
          <w:rFonts w:cstheme="minorHAnsi"/>
          <w:color w:val="3B3939" w:themeColor="background2" w:themeShade="40"/>
          <w:sz w:val="16"/>
          <w:szCs w:val="16"/>
        </w:rPr>
      </w:pPr>
      <w:r>
        <w:rPr>
          <w:rFonts w:cstheme="minorHAnsi"/>
          <w:noProof w:val="1"/>
        </w:rPr>
        <w:drawing>
          <wp:inline xmlns:wp="http://schemas.openxmlformats.org/drawingml/2006/wordprocessingDrawing" distT="0" distB="0" distL="0" distR="0">
            <wp:extent cx="2364105" cy="1561465"/>
            <wp:effectExtent l="19050" t="19050" r="17145" b="19685"/>
            <wp:docPr id="12501368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36865" name="Picture 5"/>
                    <pic:cNvPicPr/>
                  </pic:nvPicPr>
                  <pic:blipFill dpi="0">
                    <a:blip xmlns:r="http://schemas.openxmlformats.org/officeDocument/2006/relationships" r:embed="Relimage9"/>
                    <a:srcRect/>
                    <a:stretch>
                      <a:fillRect/>
                    </a:stretch>
                  </pic:blipFill>
                  <pic:spPr>
                    <a:xfrm>
                      <a:off x="0" y="0"/>
                      <a:ext cx="2407381" cy="1589796"/>
                    </a:xfrm>
                    <a:prstGeom prst="rect"/>
                    <a:ln w="6350">
                      <a:solidFill>
                        <a:schemeClr val="tx1"/>
                      </a:solidFill>
                    </a:ln>
                  </pic:spPr>
                </pic:pic>
              </a:graphicData>
            </a:graphic>
          </wp:inline>
        </w:drawing>
      </w:r>
      <w:r>
        <w:rPr>
          <w:rFonts w:cstheme="minorHAnsi"/>
          <w:color w:val="3B3939" w:themeColor="background2" w:themeShade="40"/>
          <w:sz w:val="16"/>
          <w:szCs w:val="16"/>
        </w:rPr>
        <w:t xml:space="preserve">      </w:t>
      </w:r>
      <w:r>
        <w:rPr>
          <w:rFonts w:cstheme="minorHAnsi"/>
          <w:noProof w:val="1"/>
          <w:color w:val="3B3939" w:themeColor="background2" w:themeShade="40"/>
          <w:sz w:val="16"/>
          <w:szCs w:val="16"/>
        </w:rPr>
        <w:drawing>
          <wp:inline xmlns:wp="http://schemas.openxmlformats.org/drawingml/2006/wordprocessingDrawing" distT="0" distB="0" distL="0" distR="0">
            <wp:extent cx="2591435" cy="1568450"/>
            <wp:effectExtent l="19050" t="19050" r="18415" b="12700"/>
            <wp:docPr id="159135922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359221" name="Picture 6"/>
                    <pic:cNvPicPr/>
                  </pic:nvPicPr>
                  <pic:blipFill dpi="0">
                    <a:blip xmlns:r="http://schemas.openxmlformats.org/officeDocument/2006/relationships" r:embed="Relimage10"/>
                    <a:srcRect/>
                    <a:stretch>
                      <a:fillRect/>
                    </a:stretch>
                  </pic:blipFill>
                  <pic:spPr>
                    <a:xfrm>
                      <a:off x="0" y="0"/>
                      <a:ext cx="2608021" cy="1578553"/>
                    </a:xfrm>
                    <a:prstGeom prst="rect"/>
                    <a:ln w="6350">
                      <a:solidFill>
                        <a:schemeClr val="tx1"/>
                      </a:solidFill>
                    </a:ln>
                  </pic:spPr>
                </pic:pic>
              </a:graphicData>
            </a:graphic>
          </wp:inline>
        </w:drawing>
      </w:r>
    </w:p>
    <w:p>
      <w:pPr>
        <w:ind w:firstLine="144" w:left="576"/>
        <w:rPr>
          <w:rFonts w:cstheme="minorHAnsi"/>
          <w:color w:val="3B3939" w:themeColor="background2" w:themeShade="40"/>
          <w:sz w:val="16"/>
          <w:szCs w:val="16"/>
        </w:rPr>
      </w:pPr>
      <w:r>
        <w:rPr>
          <w:rFonts w:cstheme="minorHAnsi"/>
          <w:color w:val="3B3939" w:themeColor="background2" w:themeShade="40"/>
          <w:sz w:val="16"/>
          <w:szCs w:val="16"/>
        </w:rPr>
        <w:t xml:space="preserve">Figur 6: Vasagatan 1950–60 tal. Till höger skjutskarlen 7.          Figur 7: Vasagatan 2025. Till höger skjutskarlen 7.</w:t>
        <w:br w:type="textWrapping"/>
      </w:r>
    </w:p>
    <w:p>
      <w:pPr>
        <w:ind w:left="720"/>
        <w:rPr>
          <w:rFonts w:cstheme="minorHAnsi"/>
        </w:rPr>
      </w:pPr>
      <w:r>
        <w:rPr>
          <w:rFonts w:cstheme="minorHAnsi"/>
        </w:rPr>
        <w:t xml:space="preserve">I Norra delen så återfinns Vasagatans äldsta bevarade byggnad från 1924 </w:t>
        <w:br w:type="textWrapping"/>
        <w:t>(Skjutskarlen 1) som innehar många arkitektoniska kvaliteter och detaljer såsom dörrar, fönster och takutformning. Detaljplanen kommer säkerställa utförandet av det viktiga arkitektoniska kvalitéerna genom k-märkta planbestämmelser. Bland annat så ska fasaderna vara av putsade tidstypiska färgerna, vilket är ljusa sandfärgade kulörer som fanns initialt på 1950–60 talet från planområdet vidare längst med Vasagatans sträckning upp mot Vasatorget. I bottenvåningen återfinns här handel och på övervåningen bostäder. I nordvästra delen av planområdet återfinns Veterinären 3 och 4 från 1930–1940 talet, som är träbyggnader med entréer till butiker i bottenvåningen. Norr om planområdet fortlöper bebyggelse vid gatulinjen, ofta lamellhus utan förgårdsmark. Folkets hus gränsar till planområdet direkt på andra sidan Sveavägen. Söder om planområdet och genomfarten (cirka 100 m) så återfinns kommers-kluster vid Kyrkogatans start. Stråket vid kyrkogatan var den tidigare huvudsakliga butiks- och servicegatan, men många verksamheter finns fortfarande kvar. Inom planområdet finns konstverket Bergslagsjakten i järnplåt och är en del av entrén till planområdes södra del. Detta objekt ska bevaras ur kulturhänsyn. Värdefull arkitektonisk kulturmiljö återfinns i bebyggelsen längs Vasagatan.</w:t>
      </w:r>
      <w:bookmarkEnd w:id="97"/>
    </w:p>
    <w:p>
      <w:pPr>
        <w:ind w:firstLine="720"/>
        <w:rPr>
          <w:rFonts w:cstheme="minorHAnsi"/>
          <w:noProof w:val="1"/>
          <w:color w:val="3B3939" w:themeColor="background2" w:themeShade="40"/>
          <w:sz w:val="16"/>
          <w:szCs w:val="16"/>
        </w:rPr>
      </w:pPr>
      <w:r>
        <w:rPr>
          <w:rFonts w:cstheme="minorHAnsi"/>
          <w:noProof w:val="1"/>
          <w:color w:val="3B3939" w:themeColor="background2" w:themeShade="40"/>
          <w:sz w:val="16"/>
          <w:szCs w:val="16"/>
        </w:rPr>
        <w:drawing>
          <wp:inline xmlns:wp="http://schemas.openxmlformats.org/drawingml/2006/wordprocessingDrawing" distT="0" distB="0" distL="0" distR="0">
            <wp:extent cx="2963545" cy="2046605"/>
            <wp:effectExtent l="19050" t="19050" r="27305" b="10795"/>
            <wp:docPr id="938016630"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11" cstate="print"/>
                    <a:srcRect l="25055" b="8039"/>
                    <a:stretch>
                      <a:fillRect/>
                    </a:stretch>
                  </pic:blipFill>
                  <pic:spPr bwMode="auto">
                    <a:xfrm>
                      <a:off x="0" y="0"/>
                      <a:ext cx="3103663" cy="2143767"/>
                    </a:xfrm>
                    <a:prstGeom prst="rect"/>
                    <a:noFill/>
                    <a:ln w="6350">
                      <a:solidFill>
                        <a:schemeClr val="tx1"/>
                      </a:solidFill>
                    </a:ln>
                  </pic:spPr>
                </pic:pic>
              </a:graphicData>
            </a:graphic>
          </wp:inline>
        </w:drawing>
      </w:r>
      <w:r>
        <w:rPr>
          <w:rFonts w:cstheme="minorHAnsi"/>
          <w:color w:val="3B3939" w:themeColor="background2" w:themeShade="40"/>
          <w:sz w:val="16"/>
          <w:szCs w:val="16"/>
        </w:rPr>
        <w:t xml:space="preserve">                       </w:t>
      </w:r>
      <w:r>
        <w:rPr>
          <w:rFonts w:cstheme="minorHAnsi"/>
          <w:noProof w:val="1"/>
          <w:color w:val="3B3939" w:themeColor="background2" w:themeShade="40"/>
          <w:sz w:val="16"/>
          <w:szCs w:val="16"/>
        </w:rPr>
        <w:drawing>
          <wp:inline xmlns:wp="http://schemas.openxmlformats.org/drawingml/2006/wordprocessingDrawing" distT="0" distB="0" distL="0" distR="0">
            <wp:extent cx="1542415" cy="2038985"/>
            <wp:effectExtent l="19050" t="19050" r="19685" b="18415"/>
            <wp:docPr id="57369009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90099" name="Picture 7"/>
                    <pic:cNvPicPr/>
                  </pic:nvPicPr>
                  <pic:blipFill dpi="0">
                    <a:blip xmlns:r="http://schemas.openxmlformats.org/officeDocument/2006/relationships" r:embed="Relimage12"/>
                    <a:srcRect/>
                    <a:stretch>
                      <a:fillRect/>
                    </a:stretch>
                  </pic:blipFill>
                  <pic:spPr>
                    <a:xfrm>
                      <a:off x="0" y="0"/>
                      <a:ext cx="1543610" cy="2040635"/>
                    </a:xfrm>
                    <a:prstGeom prst="rect"/>
                    <a:ln w="6350">
                      <a:solidFill>
                        <a:schemeClr val="tx1"/>
                      </a:solidFill>
                    </a:ln>
                  </pic:spPr>
                </pic:pic>
              </a:graphicData>
            </a:graphic>
          </wp:inline>
        </w:drawing>
      </w:r>
    </w:p>
    <w:p>
      <w:pPr>
        <w:ind w:firstLine="720"/>
        <w:rPr>
          <w:rFonts w:cstheme="minorHAnsi"/>
          <w:color w:val="3B3939" w:themeColor="background2" w:themeShade="40"/>
          <w:sz w:val="16"/>
          <w:szCs w:val="16"/>
        </w:rPr>
      </w:pPr>
      <w:r>
        <w:rPr>
          <w:rFonts w:cstheme="minorHAnsi"/>
          <w:color w:val="3B3939" w:themeColor="background2" w:themeShade="40"/>
          <w:sz w:val="16"/>
          <w:szCs w:val="16"/>
        </w:rPr>
        <w:t xml:space="preserve">Figur 8: Vasagatans äldsta byggnad (1920-talet) till vänster.  </w:t>
        <w:tab/>
        <w:t xml:space="preserve">                              Figur 9:  Konstföremålet </w:t>
      </w:r>
      <w:r>
        <w:rPr>
          <w:rFonts w:cstheme="minorHAnsi"/>
          <w:i w:val="1"/>
          <w:iCs w:val="1"/>
          <w:color w:val="3B3939" w:themeColor="background2" w:themeShade="40"/>
          <w:sz w:val="16"/>
          <w:szCs w:val="16"/>
        </w:rPr>
        <w:t>Bergslagsjakten</w:t>
      </w:r>
      <w:r>
        <w:rPr>
          <w:rFonts w:cstheme="minorHAnsi"/>
          <w:color w:val="3B3939" w:themeColor="background2" w:themeShade="40"/>
          <w:sz w:val="16"/>
          <w:szCs w:val="16"/>
        </w:rPr>
        <w:t>.</w:t>
      </w:r>
    </w:p>
    <w:p>
      <w:pPr>
        <w:ind w:firstLine="720"/>
        <w:rPr>
          <w:rFonts w:cstheme="minorHAnsi"/>
        </w:rPr>
      </w:pPr>
    </w:p>
    <w:p>
      <w:pPr>
        <w:ind w:firstLine="720"/>
        <w:rPr>
          <w:rFonts w:cstheme="minorHAnsi"/>
        </w:rPr>
      </w:pPr>
      <w:r>
        <w:rPr>
          <w:rFonts w:cstheme="minorHAnsi"/>
          <w:noProof w:val="1"/>
        </w:rPr>
        <w:drawing>
          <wp:inline xmlns:wp="http://schemas.openxmlformats.org/drawingml/2006/wordprocessingDrawing" distT="0" distB="0" distL="0" distR="0">
            <wp:extent cx="5758180" cy="5538470"/>
            <wp:effectExtent l="0" t="0" r="0" b="5080"/>
            <wp:docPr id="117889174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3" cstate="print"/>
                    <a:srcRect/>
                    <a:stretch>
                      <a:fillRect/>
                    </a:stretch>
                  </pic:blipFill>
                  <pic:spPr bwMode="auto">
                    <a:xfrm>
                      <a:off x="0" y="0"/>
                      <a:ext cx="5758180" cy="5538470"/>
                    </a:xfrm>
                    <a:prstGeom prst="rect"/>
                    <a:noFill/>
                    <a:ln>
                      <a:noFill/>
                    </a:ln>
                  </pic:spPr>
                </pic:pic>
              </a:graphicData>
            </a:graphic>
          </wp:inline>
        </w:drawing>
      </w:r>
    </w:p>
    <w:p>
      <w:pPr>
        <w:ind w:left="720"/>
        <w:rPr>
          <w:rFonts w:cstheme="minorHAnsi"/>
          <w:color w:val="3B3939" w:themeColor="background2" w:themeShade="40"/>
          <w:sz w:val="16"/>
          <w:szCs w:val="16"/>
        </w:rPr>
      </w:pPr>
      <w:r>
        <w:rPr>
          <w:rFonts w:cstheme="minorHAnsi"/>
          <w:color w:val="3B3939" w:themeColor="background2" w:themeShade="40"/>
          <w:sz w:val="16"/>
          <w:szCs w:val="16"/>
        </w:rPr>
        <w:t>Figur 10: Illustrationsplan på befintlig bebyggelse med markerade butiksentréer. Exempel på uteserveringar och tillgänglighetsanpassning kan ses vid ytorna mellan gata och byggnader.</w:t>
      </w:r>
    </w:p>
    <w:p>
      <w:pPr>
        <w:ind w:left="720"/>
        <w:rPr>
          <w:rFonts w:cstheme="minorHAnsi"/>
          <w:color w:val="3B3939" w:themeColor="background2" w:themeShade="40"/>
          <w:sz w:val="16"/>
          <w:szCs w:val="16"/>
        </w:rPr>
      </w:pPr>
    </w:p>
    <w:p>
      <w:pPr>
        <w:pStyle w:val="P3"/>
        <w:numPr>
          <w:ilvl w:val="2"/>
          <w:numId w:val="2"/>
        </w:numPr>
        <w:rPr>
          <w:rFonts w:cs="Calibri"/>
        </w:rPr>
      </w:pPr>
      <w:r>
        <w:rPr>
          <w:rFonts w:cs="Calibri"/>
        </w:rPr>
        <w:t>Bebyggelse som detaljplanen möjliggör</w:t>
      </w:r>
    </w:p>
    <w:p>
      <w:pPr>
        <w:ind w:left="720"/>
        <w:rPr>
          <w:rFonts w:cstheme="minorHAnsi"/>
        </w:rPr>
      </w:pPr>
      <w:bookmarkStart w:id="98" w:name="ko_fysiskmiljö01"/>
      <w:r>
        <w:t xml:space="preserve">Planområdets ytor är redan bebyggda och inga planer finns idag på exploatering eller rivning. Den K-märkta byggnaden förväntas inte i framtiden att ändras. Lamellhusen i söder underhålls kontinuerligt och förväntade livslängden är därför mer än 50–100 år. De flesta hårdgjorda ytorna och omfattande bebyggelse finns i södra delen av planområdet, med nyttjandegraden i planförslaget kan därför dessa områden inte byggas ut nämnvärt. Med planbestämmelser om uteservering och entréfunktioner </w:t>
      </w:r>
      <w:r>
        <w:rPr>
          <w:rFonts w:cstheme="minorHAnsi"/>
        </w:rPr>
        <w:t>längst Sveavägen och Vasagatan</w:t>
      </w:r>
      <w:r>
        <w:t xml:space="preserve"> så möjliggörs verksamheter samt tillgänglighetsanpassning på utsidan av byggnaden. Verksamheter skulle exempelvis kunna vara, café, pub och restaurangverksamhet. Bestämmelserna som möjliggör genomsläpplighet (ö</w:t>
      </w:r>
      <w:r>
        <w:rPr>
          <w:vertAlign w:val="subscript"/>
        </w:rPr>
        <w:t>2</w:t>
      </w:r>
      <w:r>
        <w:t xml:space="preserve"> och ö</w:t>
      </w:r>
      <w:r>
        <w:rPr>
          <w:vertAlign w:val="subscript"/>
        </w:rPr>
        <w:t>3</w:t>
      </w:r>
      <w:r>
        <w:t>) skapar förutsättningar för genomsläppliga parkeringar, blomprakt och grönytor som kan skapa en grönare gaturum ur dagvatten- attraktivitet- och kultursynpunkt.</w:t>
      </w:r>
      <w:r>
        <w:rPr>
          <w:rFonts w:cstheme="minorHAnsi"/>
        </w:rPr>
        <w:t xml:space="preserve"> </w:t>
      </w:r>
    </w:p>
    <w:p>
      <w:pPr>
        <w:ind w:left="720"/>
        <w:rPr>
          <w:rFonts w:cstheme="minorHAnsi"/>
          <w:vertAlign w:val="subscript"/>
        </w:rPr>
      </w:pPr>
      <w:r>
        <w:rPr>
          <w:rFonts w:cstheme="minorHAnsi"/>
        </w:rPr>
        <w:t>Aktiva butiksentréer ska inte blockeras, säkra och tillgängliga miljöer i gaturummet ska vidmakthållas samt drift- och underhåll året om ska tas hänsyn till, vid placering och utformning av parkering, entréfunktioner uteserveringar i områden för bestämmelserna ö</w:t>
      </w:r>
      <w:r>
        <w:rPr>
          <w:rFonts w:cstheme="minorHAnsi"/>
          <w:vertAlign w:val="subscript"/>
        </w:rPr>
        <w:t>1,</w:t>
      </w:r>
      <w:r>
        <w:rPr>
          <w:rFonts w:cstheme="minorHAnsi"/>
        </w:rPr>
        <w:t xml:space="preserve"> ö</w:t>
      </w:r>
      <w:r>
        <w:rPr>
          <w:rFonts w:cstheme="minorHAnsi"/>
          <w:vertAlign w:val="subscript"/>
        </w:rPr>
        <w:t>2</w:t>
      </w:r>
      <w:r>
        <w:rPr>
          <w:rFonts w:cstheme="minorHAnsi"/>
        </w:rPr>
        <w:t>, och ö</w:t>
      </w:r>
      <w:r>
        <w:rPr>
          <w:rFonts w:cstheme="minorHAnsi"/>
          <w:vertAlign w:val="subscript"/>
        </w:rPr>
        <w:t xml:space="preserve">3. </w:t>
      </w:r>
      <w:r>
        <w:rPr>
          <w:rFonts w:cstheme="minorHAnsi"/>
        </w:rPr>
        <w:t>I första hand ska lokaler och verksamheter prioriteras att vara i bottenvåningen på nya och befintlig bebyggelse längst handelsstråket som går genom planområdet, så att liv och rörelse och utbytet mellan yttre och inre miljöer stärks. Om Vasagatan omvandlas till en torggata i framtiden, med ytterligare prioritet för fotgängare i befintliga körfält, så blir gaturummet till större del tillgängligt för gång- och cykel, vilket möjliggör för mer omfattande entréfunktioner och uteserveringar. Uteserveringar har en begränsad tid om maximalt 6 månader per kalenderår, där främst sommartid förespråkas, för att det inte ska bli permanenta strukturer som också kan försvåra tillgänglighet och underhåll. Uteserveringar möjliggörs med planbestämmelser att vara exempelvis inhängande områden med bord och stolar eller konstruktioner som innehar tak.</w:t>
      </w:r>
    </w:p>
    <w:p>
      <w:pPr>
        <w:pStyle w:val="P3"/>
      </w:pPr>
      <w:bookmarkEnd w:id="98"/>
      <w:r>
        <w:t>Stadsbild</w:t>
      </w:r>
    </w:p>
    <w:p>
      <w:pPr>
        <w:ind w:left="720"/>
        <w:rPr>
          <w:rFonts w:cstheme="minorHAnsi"/>
        </w:rPr>
      </w:pPr>
      <w:bookmarkStart w:id="99" w:name="pf_fysiskmiljö02"/>
      <w:r>
        <w:rPr>
          <w:rFonts w:cstheme="minorHAnsi"/>
        </w:rPr>
        <w:t>Historiskt har handel, service samt genomfart ägt rum på Kyrkogatan i sydöst som var en del av stadskärnan, där dagens kulturverksamhet och konsthallen Meken återfinns. Sträckningar därifrån gick längst Kyrkogatan och mot hamnen i sydöst, men även utefter Kolbäcksån mot Morgårdshammar i väst. Under 1940–1950 talet så bebyggdes Vasagatan i den struktur som syns idag inom planområdet. Planområdet plats har sedan dess fungerat som en entré till den nya handels- och servicekärnan och stråket upp mot Vasatorget, där tidigare huvudstråket för genomfart ägde rum. Runt 1990-talets början och framåt byggdes Vasagatan om till att prioritera främst fotgängare när ett lugnare gaturum uppstod. I stället anlades genomfarten runt stadskärnan för fordon i en ny sträckning via väg 635.</w:t>
      </w:r>
    </w:p>
    <w:p>
      <w:pPr>
        <w:ind w:left="720"/>
        <w:rPr>
          <w:rFonts w:cstheme="minorHAnsi"/>
        </w:rPr>
      </w:pPr>
      <w:r>
        <w:rPr>
          <w:rFonts w:cstheme="minorHAnsi"/>
        </w:rPr>
        <w:t xml:space="preserve">Vasagatans handel och service som löper från planområdes södra del upp mot Vasatorget i nordöst, har utformats enhetligt genom markmaterial, höjdsättning, slutenhet och grönska. Gaturummet sträckning och utformning skapar en monumental känsla i sitt uttryck med sin slutenhet med högre bebyggelse i gatukant och symmetriska planterade trädrader längst båda sidor. Detta ger ett tydligt visuellt stråk som leder blicken och rörelsen upp mot Vasatorget. Vid torget förstärks detta arkitektoniska uttryck, genom att gaturummet slutna karaktär öppnas upp i en rymligare fyrkantig torgmiljö, inramad av framträdande byggnader såsom kommunhuset. Torget fungerar idag som ett nav där flera viktiga stråk möts. </w:t>
      </w:r>
    </w:p>
    <w:p>
      <w:pPr>
        <w:ind w:left="720"/>
        <w:rPr>
          <w:rFonts w:cstheme="minorHAnsi"/>
        </w:rPr>
      </w:pPr>
      <w:r>
        <w:rPr>
          <w:rFonts w:cstheme="minorHAnsi"/>
        </w:rPr>
        <w:t>Från torget sträcker sig en dubbel allé vidare i nordvästlig riktning mot sjukhusområdet och Uvbergets rekreationsområde, vilket binder samman stadens centrala delar med grönområden och viktiga samhällsfunktioner. Trädalléerna i gaturummen möts i Vasatorgets mittpunkt och bildar ett symmetriskt kors, vilket understryks av markbeläggningens utformning. Viktiga element är främst kommunhuset som också fungerar som ett fondmotiv från planområdets norra del i den svagt vinklade Vasagatans sträckning. Från 1950–1960 var färgsättningen på bebyggelsen längst Vasagatan även mer enhetlig i tidtypiska kulörer, vilket var ljus-sandfärgade toner, som också föreslås om fasader målas om för att förstärka en mer enhetlig stadsbild.</w:t>
      </w:r>
      <w:bookmarkEnd w:id="99"/>
      <w:r>
        <w:rPr>
          <w:rFonts w:cstheme="minorHAnsi"/>
        </w:rPr>
        <w:t xml:space="preserve"> </w:t>
      </w:r>
      <w:bookmarkStart w:id="100" w:name="ko_fysiskmiljö02"/>
      <w:r>
        <w:rPr>
          <w:rFonts w:cstheme="minorHAnsi"/>
        </w:rPr>
        <w:t xml:space="preserve">Att bibehålla samt förstärka denna enhetlighet och dignitet som planområdet är en del av är av vikt för att bibehålla en god stadsbild, som också är en del av Smedjebackens identitet. Detta kan förstärkas genom att fortsätta arbeta med ett enhetligt markmaterial, kulörer, grönska samt förvalta och förstärka ett levande stråk med karakteristiska element, så att detta uttryck och kulturella miljö expanderas. Skötsel och underhåll av grönska längst Vasagatan är viktigt för representationen stråket tillhandahåller, eftersom gatan sätter prägel på resterade tätort och kommun. </w:t>
      </w:r>
      <w:r>
        <w:t>Muralmålningar på fasader, konstföremål eller liknande kulturella inslag och uttryck, som innehar högt konstnärligt kvalitet, kan förstärka attraktiviteten och identiteten i gatubilden, inom och angränsande till planområdet. Tomma lokaler längst Vasagatan kan användas mer aktivt i skyltfönster för exempelvis kulturella inslag som förändras över tid med olika slags teman. Samarbeten med kulturlivet i Smedjebacken bör prioriteras, för att i över lag sätta en större kulturell prägel och liv på Smedjebackens södra entré Vasagatan. Planförslaget belyser möjligheter att förbättra stadsbilden inom och kring planområdet. Med utvidgning av allmän plats kan mer ytor för belysning och omplacering av infrastruktur ske, som kan förstärka stadsbilden, enhetligheten och navigerbarheten längst Vasagatan.</w:t>
      </w:r>
      <w:bookmarkEnd w:id="100"/>
    </w:p>
    <w:p>
      <w:pPr>
        <w:ind w:left="720"/>
        <w:rPr>
          <w:sz w:val="16"/>
          <w:szCs w:val="16"/>
        </w:rPr>
      </w:pPr>
    </w:p>
    <w:p>
      <w:pPr>
        <w:ind w:left="720"/>
        <w:jc w:val="center"/>
        <w:rPr>
          <w:rFonts w:cstheme="minorHAnsi"/>
        </w:rPr>
      </w:pPr>
      <w:r>
        <w:rPr>
          <w:rFonts w:cstheme="minorHAnsi"/>
          <w:noProof w:val="1"/>
        </w:rPr>
        <w:drawing>
          <wp:inline xmlns:wp="http://schemas.openxmlformats.org/drawingml/2006/wordprocessingDrawing" distT="0" distB="0" distL="0" distR="0">
            <wp:extent cx="4512310" cy="1917065"/>
            <wp:effectExtent l="19050" t="19050" r="21590" b="26035"/>
            <wp:docPr id="38904220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4" cstate="print"/>
                    <a:srcRect b="24585"/>
                    <a:stretch>
                      <a:fillRect/>
                    </a:stretch>
                  </pic:blipFill>
                  <pic:spPr bwMode="auto">
                    <a:xfrm>
                      <a:off x="0" y="0"/>
                      <a:ext cx="4643689" cy="1972992"/>
                    </a:xfrm>
                    <a:prstGeom prst="rect"/>
                    <a:noFill/>
                    <a:ln w="6350" cmpd="sng" algn="ctr">
                      <a:solidFill>
                        <a:sysClr val="windowText"/>
                      </a:solidFill>
                      <a:prstDash val="solid"/>
                      <a:round/>
                    </a:ln>
                  </pic:spPr>
                </pic:pic>
              </a:graphicData>
            </a:graphic>
          </wp:inline>
        </w:drawing>
      </w:r>
    </w:p>
    <w:p>
      <w:pPr>
        <w:ind w:left="720"/>
        <w:jc w:val="center"/>
        <w:rPr>
          <w:rFonts w:cstheme="minorHAnsi"/>
        </w:rPr>
      </w:pPr>
      <w:r>
        <w:rPr>
          <w:rFonts w:cstheme="minorHAnsi"/>
          <w:color w:val="3B3939" w:themeColor="background2" w:themeShade="40"/>
          <w:sz w:val="16"/>
          <w:szCs w:val="16"/>
        </w:rPr>
        <w:t>Figur 11: Sluten bebyggelse med trädalléer från planområdets norra sida. Kommunhuset som fondmotiv.</w:t>
        <w:br w:type="textWrapping"/>
        <w:br w:type="textWrapping"/>
      </w:r>
      <w:r>
        <w:rPr>
          <w:rFonts w:cstheme="minorHAnsi"/>
        </w:rPr>
        <w:t xml:space="preserve"> </w:t>
      </w:r>
      <w:r>
        <w:rPr>
          <w:rFonts w:cstheme="minorHAnsi"/>
          <w:noProof w:val="1"/>
        </w:rPr>
        <w:drawing>
          <wp:inline xmlns:wp="http://schemas.openxmlformats.org/drawingml/2006/wordprocessingDrawing" distT="0" distB="0" distL="0" distR="0">
            <wp:extent cx="4486275" cy="2080895"/>
            <wp:effectExtent l="19050" t="19050" r="28575" b="14605"/>
            <wp:docPr id="153788148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5" cstate="print"/>
                    <a:srcRect t="8078" r="1151" b="10542"/>
                    <a:stretch>
                      <a:fillRect/>
                    </a:stretch>
                  </pic:blipFill>
                  <pic:spPr bwMode="auto">
                    <a:xfrm>
                      <a:off x="0" y="0"/>
                      <a:ext cx="4672721" cy="2167313"/>
                    </a:xfrm>
                    <a:prstGeom prst="rect"/>
                    <a:noFill/>
                    <a:ln w="6350" cmpd="sng" algn="ctr">
                      <a:solidFill>
                        <a:sysClr val="windowText"/>
                      </a:solidFill>
                      <a:prstDash val="solid"/>
                      <a:round/>
                    </a:ln>
                  </pic:spPr>
                </pic:pic>
              </a:graphicData>
            </a:graphic>
          </wp:inline>
        </w:drawing>
      </w:r>
    </w:p>
    <w:p>
      <w:pPr>
        <w:ind w:left="720"/>
        <w:rPr>
          <w:rFonts w:cstheme="minorHAnsi"/>
        </w:rPr>
      </w:pPr>
      <w:r>
        <w:rPr>
          <w:rFonts w:cstheme="minorHAnsi"/>
          <w:color w:val="3B3939" w:themeColor="background2" w:themeShade="40"/>
          <w:sz w:val="16"/>
          <w:szCs w:val="16"/>
        </w:rPr>
        <w:t xml:space="preserve">                 Figur 12: Trädalléer från Vasatorget. Det gröna stråket vidare upp mot ett större rekreationsområde, Uvberget. </w:t>
      </w:r>
    </w:p>
    <w:p>
      <w:pPr>
        <w:pStyle w:val="P2"/>
        <w:spacing w:lineRule="auto" w:line="360" w:beforeAutospacing="0" w:afterAutospacing="0"/>
        <w:rPr>
          <w:rFonts w:asciiTheme="minorHAnsi" w:hAnsiTheme="minorHAnsi" w:cstheme="minorHAnsi"/>
        </w:rPr>
      </w:pPr>
      <w:bookmarkStart w:id="101" w:name="_Toc219101263"/>
      <w:r>
        <w:rPr>
          <w:rFonts w:asciiTheme="minorHAnsi" w:hAnsiTheme="minorHAnsi" w:cstheme="minorHAnsi"/>
        </w:rPr>
        <w:t>Natur</w:t>
      </w:r>
      <w:bookmarkEnd w:id="101"/>
    </w:p>
    <w:p>
      <w:pPr>
        <w:pStyle w:val="P3"/>
        <w:rPr>
          <w:rFonts w:asciiTheme="minorHAnsi" w:hAnsiTheme="minorHAnsi" w:cstheme="minorHAnsi"/>
        </w:rPr>
      </w:pPr>
      <w:bookmarkStart w:id="102" w:name="_Hlk209100138"/>
      <w:r>
        <w:rPr>
          <w:rFonts w:asciiTheme="minorHAnsi" w:hAnsiTheme="minorHAnsi" w:cstheme="minorHAnsi"/>
        </w:rPr>
        <w:t>Mark, vegetation och grönområde</w:t>
      </w:r>
    </w:p>
    <w:p>
      <w:pPr>
        <w:ind w:left="720"/>
        <w:rPr>
          <w:rFonts w:cstheme="minorHAnsi"/>
          <w:szCs w:val="24"/>
        </w:rPr>
      </w:pPr>
      <w:bookmarkEnd w:id="102"/>
      <w:bookmarkStart w:id="103" w:name="pf_grönområde01"/>
      <w:r>
        <w:rPr>
          <w:rFonts w:cstheme="minorHAnsi"/>
          <w:szCs w:val="24"/>
        </w:rPr>
        <w:t xml:space="preserve">Markens nivå inom planområdet är mestadels plant med 112 m ö.h. i gatumiljön. In vid planområdets gränser, och trädgårdar återfinns större lutningar. </w:t>
      </w:r>
      <w:r>
        <w:rPr>
          <w:rFonts w:ascii="Calibri" w:hAnsi="Calibri" w:cs="Calibri"/>
          <w:szCs w:val="24"/>
        </w:rPr>
        <w:t>Planområdet utgörs i huvudsak av större bostadskroppar och hårdgjorda ytor, där förgårdsmark till bebyggelse saknas. Grönska återfinns desto rikligare på bostädernas baksidor där trädgårdar finns med gräs, buskar och varierande träd. På östra sidan av planområdet skapas tydliga privata och offentliga vistelse zoner. På västra sidan återfinns mindre slutenhet och halvoffentliga miljöer vid parkeringsplatserna.</w:t>
      </w:r>
    </w:p>
    <w:p>
      <w:pPr>
        <w:ind w:left="720"/>
        <w:rPr>
          <w:rFonts w:cstheme="minorHAnsi"/>
          <w:szCs w:val="24"/>
        </w:rPr>
      </w:pPr>
    </w:p>
    <w:p>
      <w:pPr>
        <w:ind w:firstLine="720"/>
        <w:rPr>
          <w:rFonts w:cstheme="minorHAnsi"/>
          <w:color w:val="3B3939" w:themeColor="background2" w:themeShade="40"/>
          <w:sz w:val="16"/>
          <w:szCs w:val="16"/>
        </w:rPr>
      </w:pPr>
      <w:r>
        <w:rPr>
          <w:rFonts w:cstheme="minorHAnsi"/>
          <w:noProof w:val="1"/>
          <w:color w:val="3B3939" w:themeColor="background2" w:themeShade="40"/>
          <w:sz w:val="16"/>
          <w:szCs w:val="16"/>
        </w:rPr>
        <w:drawing>
          <wp:inline xmlns:wp="http://schemas.openxmlformats.org/drawingml/2006/wordprocessingDrawing" distT="0" distB="0" distL="0" distR="0">
            <wp:extent cx="5760720" cy="5548630"/>
            <wp:effectExtent l="19050" t="19050" r="11430" b="13970"/>
            <wp:docPr id="865667534" name="Bildobjekt 1" descr="En bild som visar karta, Plan,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67534" name="Bildobjekt 1" descr="En bild som visar karta, Plan, text&#10;&#10;AI-genererat innehåll kan vara felaktigt."/>
                    <pic:cNvPicPr/>
                  </pic:nvPicPr>
                  <pic:blipFill dpi="0">
                    <a:blip xmlns:r="http://schemas.openxmlformats.org/officeDocument/2006/relationships" r:embed="Relimage16"/>
                    <a:srcRect/>
                    <a:stretch>
                      <a:fillRect/>
                    </a:stretch>
                  </pic:blipFill>
                  <pic:spPr>
                    <a:xfrm>
                      <a:off x="0" y="0"/>
                      <a:ext cx="5760720" cy="5548630"/>
                    </a:xfrm>
                    <a:prstGeom prst="rect"/>
                    <a:ln w="6350">
                      <a:solidFill>
                        <a:sysClr val="windowText"/>
                      </a:solidFill>
                    </a:ln>
                  </pic:spPr>
                </pic:pic>
              </a:graphicData>
            </a:graphic>
          </wp:inline>
        </w:drawing>
      </w:r>
    </w:p>
    <w:p>
      <w:pPr>
        <w:ind w:firstLine="720"/>
        <w:rPr>
          <w:rFonts w:cstheme="minorHAnsi"/>
          <w:color w:val="3B3939" w:themeColor="background2" w:themeShade="40"/>
          <w:sz w:val="16"/>
          <w:szCs w:val="16"/>
        </w:rPr>
      </w:pPr>
      <w:r>
        <w:rPr>
          <w:rFonts w:cstheme="minorHAnsi"/>
          <w:color w:val="3B3939" w:themeColor="background2" w:themeShade="40"/>
          <w:sz w:val="16"/>
          <w:szCs w:val="16"/>
        </w:rPr>
        <w:t>Figur 13: Planområdets lutning. Grön är högsta punkt. Röd är lägsta punkt.</w:t>
      </w:r>
    </w:p>
    <w:p>
      <w:pPr>
        <w:ind w:firstLine="720"/>
        <w:rPr>
          <w:rFonts w:cstheme="minorHAnsi"/>
          <w:color w:val="3B3939" w:themeColor="background2" w:themeShade="40"/>
          <w:sz w:val="16"/>
          <w:szCs w:val="16"/>
        </w:rPr>
      </w:pPr>
    </w:p>
    <w:p>
      <w:pPr>
        <w:ind w:left="720"/>
        <w:rPr>
          <w:rFonts w:cstheme="minorHAnsi"/>
          <w:szCs w:val="24"/>
        </w:rPr>
      </w:pPr>
      <w:r>
        <w:rPr>
          <w:rFonts w:ascii="Calibri" w:hAnsi="Calibri" w:cs="Calibri"/>
          <w:szCs w:val="24"/>
        </w:rPr>
        <w:t xml:space="preserve">De återkommande träden av lind längst gatans sträckning är påtagliga speciellt sommartid då bladverk återfinns som skapar större volymer i gaturummet. </w:t>
      </w:r>
      <w:r>
        <w:rPr>
          <w:rFonts w:cstheme="minorHAnsi"/>
          <w:szCs w:val="24"/>
        </w:rPr>
        <w:t xml:space="preserve">Blomprakt exempelvis sommarblommor i varierande utförande i krukor eller planteringar runt träden som kan hittas i trädradernas linje. </w:t>
      </w:r>
      <w:r>
        <w:rPr>
          <w:rFonts w:ascii="Calibri" w:hAnsi="Calibri" w:cs="Calibri"/>
          <w:szCs w:val="24"/>
        </w:rPr>
        <w:t xml:space="preserve">Träden har ett kulturellt vistelsevärde för platsen som förbättrar upplevelsen och är positivt för mikroklimatet gällande värme och vind i den annars kala grönyte-fattiga stadsmiljön. Några av träden har planterats om på senare tid i en upphöjd plantering yta med roströd stålram för att kunna överleva. De </w:t>
      </w:r>
      <w:r>
        <w:rPr>
          <w:rFonts w:cstheme="minorHAnsi"/>
          <w:szCs w:val="24"/>
        </w:rPr>
        <w:t>tio meter höga Trädalléerna som sträcker sig med cirka 15–20 meter med jämna mellanrum upp mot Vasatorget, tydliggör entrén till Smedjebackens kärna. Kortklippta gräsmattor finns mellan den mer fristående bebyggelsen på västra sidan av Vasagatan med få rumskapande element. Målpunkter för</w:t>
      </w:r>
      <w:r>
        <w:rPr>
          <w:rFonts w:cstheme="minorHAnsi"/>
        </w:rPr>
        <w:t xml:space="preserve"> naturrekreationsområden hittas cirka 800 m mot Naturreservatet Söppenmyren i väst och mot ett större skogsområde Uvberget i norr cirka 1300 m.</w:t>
      </w:r>
    </w:p>
    <w:p>
      <w:pPr>
        <w:ind w:left="720"/>
        <w:rPr>
          <w:rFonts w:cstheme="minorHAnsi"/>
          <w:szCs w:val="24"/>
        </w:rPr>
      </w:pPr>
    </w:p>
    <w:p>
      <w:pPr>
        <w:ind w:left="720"/>
        <w:rPr>
          <w:rFonts w:cstheme="minorHAnsi"/>
          <w:szCs w:val="24"/>
        </w:rPr>
      </w:pPr>
      <w:r>
        <w:rPr>
          <w:rFonts w:cstheme="minorHAnsi"/>
          <w:noProof w:val="1"/>
        </w:rPr>
        <w:drawing>
          <wp:inline xmlns:wp="http://schemas.openxmlformats.org/drawingml/2006/wordprocessingDrawing" distT="0" distB="0" distL="0" distR="0">
            <wp:extent cx="5105400" cy="2873375"/>
            <wp:effectExtent l="19050" t="19050" r="19050" b="22225"/>
            <wp:docPr id="435259199"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7" cstate="print"/>
                    <a:srcRect/>
                    <a:stretch>
                      <a:fillRect/>
                    </a:stretch>
                  </pic:blipFill>
                  <pic:spPr bwMode="auto">
                    <a:xfrm>
                      <a:off x="0" y="0"/>
                      <a:ext cx="5127168" cy="2886155"/>
                    </a:xfrm>
                    <a:prstGeom prst="rect"/>
                    <a:noFill/>
                    <a:ln w="6350">
                      <a:solidFill>
                        <a:schemeClr val="tx1"/>
                      </a:solidFill>
                    </a:ln>
                  </pic:spPr>
                </pic:pic>
              </a:graphicData>
            </a:graphic>
          </wp:inline>
        </w:drawing>
      </w:r>
    </w:p>
    <w:p>
      <w:pPr>
        <w:ind w:left="720"/>
        <w:rPr>
          <w:rFonts w:cstheme="minorHAnsi"/>
          <w:szCs w:val="24"/>
        </w:rPr>
      </w:pPr>
      <w:r>
        <w:rPr>
          <w:rFonts w:cstheme="minorHAnsi"/>
          <w:color w:val="3B3939" w:themeColor="background2" w:themeShade="40"/>
          <w:sz w:val="16"/>
          <w:szCs w:val="16"/>
        </w:rPr>
        <w:t>Figur 14: Stadsmiljö med butiker och genomfartsvägen 635 mot syd i bakgrunden. Tidigt vår-fotografi med träd utan bladverk.</w:t>
      </w:r>
    </w:p>
    <w:p>
      <w:pPr>
        <w:ind w:left="720"/>
        <w:rPr>
          <w:rFonts w:cstheme="minorHAnsi"/>
          <w:szCs w:val="24"/>
        </w:rPr>
      </w:pPr>
    </w:p>
    <w:p>
      <w:pPr>
        <w:ind w:left="720"/>
        <w:rPr>
          <w:rFonts w:cstheme="minorHAnsi"/>
          <w:szCs w:val="24"/>
        </w:rPr>
      </w:pPr>
      <w:r>
        <w:rPr>
          <w:rFonts w:cstheme="minorHAnsi"/>
          <w:szCs w:val="24"/>
        </w:rPr>
        <w:t xml:space="preserve">Trädallén på främst västra sidan av körfältet har idag inte rätt förhållande för att överleva. Detta betyder att på sikt kan Vasagatan bli delvis eller helt hårdgjord med avsaknad av grönska. </w:t>
      </w:r>
    </w:p>
    <w:p>
      <w:pPr>
        <w:ind w:left="720"/>
        <w:rPr>
          <w:rFonts w:cstheme="minorHAnsi"/>
          <w:szCs w:val="24"/>
        </w:rPr>
      </w:pPr>
      <w:bookmarkEnd w:id="103"/>
      <w:bookmarkStart w:id="104" w:name="ko_grönområde01"/>
      <w:r>
        <w:rPr>
          <w:rFonts w:cstheme="minorHAnsi"/>
          <w:szCs w:val="24"/>
        </w:rPr>
        <w:t>Trädallén i planförslaget ska bevaras i området längst gatans sträckning, vilket är viktigt för stadsbilden. Mer grönska i gaturummet bör ytterligare anläggas. Detta för att förstärka närvaron av ett grönt och lummigt gaturum, så att en park- och torgkänsla skapas för vistelse och rekreation. Det gröna inslaget bidrar också till den generella attraktiviteten, som är viktigt för bland annat framtida etableringar, vistelse och besök. Den västra trädallén inom allmän plats kommer att skyddas genom planbestämmelse för att bevara grönska. Trädallén är också biotopskyddad och inom ett biotopskyddsområde får inte åtgärder som kan skada naturen vid</w:t>
      </w:r>
      <w:r>
        <w:rPr>
          <w:rFonts w:cstheme="minorHAnsi"/>
          <w:szCs w:val="24"/>
          <w:rtl w:val="0"/>
          <w:lang w:val="sv-SE" w:bidi="sv-SE" w:eastAsia="sv-SE"/>
        </w:rPr>
        <w:t>t</w:t>
      </w:r>
      <w:r>
        <w:rPr>
          <w:rFonts w:cstheme="minorHAnsi"/>
          <w:szCs w:val="24"/>
        </w:rPr>
        <w:t>as.</w:t>
      </w:r>
      <w:bookmarkEnd w:id="104"/>
    </w:p>
    <w:p>
      <w:pPr>
        <w:pStyle w:val="P2"/>
        <w:rPr>
          <w:rFonts w:asciiTheme="minorHAnsi" w:hAnsiTheme="minorHAnsi" w:cstheme="minorHAnsi"/>
        </w:rPr>
      </w:pPr>
      <w:bookmarkStart w:id="105" w:name="_Toc219101264"/>
      <w:r>
        <w:rPr>
          <w:rFonts w:asciiTheme="minorHAnsi" w:hAnsiTheme="minorHAnsi" w:cstheme="minorHAnsi"/>
        </w:rPr>
        <w:t>Geotekniska förhållanden</w:t>
      </w:r>
      <w:bookmarkEnd w:id="105"/>
      <w:r>
        <w:rPr>
          <w:rFonts w:asciiTheme="minorHAnsi" w:hAnsiTheme="minorHAnsi" w:cstheme="minorHAnsi"/>
        </w:rPr>
        <w:t xml:space="preserve"> </w:t>
      </w:r>
    </w:p>
    <w:p>
      <w:pPr>
        <w:spacing w:lineRule="auto" w:line="276" w:beforeAutospacing="0" w:afterAutospacing="0"/>
        <w:ind w:left="576"/>
        <w:rPr>
          <w:rFonts w:cstheme="minorHAnsi"/>
        </w:rPr>
      </w:pPr>
      <w:bookmarkStart w:id="106" w:name="pf_geotekniskaförhållanden01"/>
      <w:r>
        <w:rPr>
          <w:rFonts w:cstheme="minorHAnsi"/>
        </w:rPr>
        <w:t>Jordartskartan från SGU (Sveriges geologiska undersökning) ger en övergripande bild av de olika jordarternas utbredning i ett område. För det aktuella området visar att markens grundbestånd är Morän och att det återfinns lera och silt som ytlager. Marken har en medelhög genomsläpplighet för vatten. Inom planområdet så finns ett potentiellt lågriskområde för radon, dock gränsar planområdet till potentiellt högriskområde i nordöst.</w:t>
      </w:r>
    </w:p>
    <w:p>
      <w:pPr>
        <w:spacing w:lineRule="auto" w:line="276" w:beforeAutospacing="0" w:afterAutospacing="0"/>
        <w:ind w:left="576"/>
        <w:rPr>
          <w:rFonts w:cstheme="minorHAnsi"/>
          <w:color w:val="3B3939" w:themeColor="background2" w:themeShade="40"/>
          <w:sz w:val="16"/>
          <w:szCs w:val="16"/>
        </w:rPr>
      </w:pPr>
      <w:bookmarkEnd w:id="106"/>
      <w:r>
        <w:rPr>
          <w:rFonts w:cstheme="minorHAnsi"/>
          <w:noProof w:val="1"/>
          <w:color w:val="3B3939" w:themeColor="background2" w:themeShade="40"/>
          <w:sz w:val="16"/>
          <w:szCs w:val="16"/>
        </w:rPr>
        <w:drawing>
          <wp:inline xmlns:wp="http://schemas.openxmlformats.org/drawingml/2006/wordprocessingDrawing" distT="0" distB="0" distL="0" distR="0">
            <wp:extent cx="1751330" cy="1745615"/>
            <wp:effectExtent l="19050" t="19050" r="20320" b="26035"/>
            <wp:docPr id="139818806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88068" name="Picture 8"/>
                    <pic:cNvPicPr/>
                  </pic:nvPicPr>
                  <pic:blipFill dpi="0">
                    <a:blip xmlns:r="http://schemas.openxmlformats.org/officeDocument/2006/relationships" r:embed="Relimage18"/>
                    <a:srcRect/>
                    <a:stretch>
                      <a:fillRect/>
                    </a:stretch>
                  </pic:blipFill>
                  <pic:spPr>
                    <a:xfrm>
                      <a:off x="0" y="0"/>
                      <a:ext cx="1778709" cy="1773023"/>
                    </a:xfrm>
                    <a:prstGeom prst="rect"/>
                    <a:ln w="6350">
                      <a:solidFill>
                        <a:schemeClr val="tx1"/>
                      </a:solidFill>
                    </a:ln>
                  </pic:spPr>
                </pic:pic>
              </a:graphicData>
            </a:graphic>
          </wp:inline>
        </w:drawing>
      </w:r>
      <w:r>
        <w:rPr>
          <w:rFonts w:cstheme="minorHAnsi"/>
          <w:color w:val="3B3939" w:themeColor="background2" w:themeShade="40"/>
          <w:sz w:val="16"/>
          <w:szCs w:val="16"/>
        </w:rPr>
        <w:t xml:space="preserve">  </w:t>
      </w:r>
    </w:p>
    <w:p>
      <w:pPr>
        <w:spacing w:lineRule="auto" w:line="276" w:beforeAutospacing="0" w:afterAutospacing="0"/>
        <w:ind w:left="576"/>
        <w:rPr>
          <w:rFonts w:cstheme="minorHAnsi"/>
          <w:color w:val="3B3939" w:themeColor="background2" w:themeShade="40"/>
          <w:sz w:val="16"/>
          <w:szCs w:val="16"/>
        </w:rPr>
      </w:pPr>
      <w:r>
        <w:rPr>
          <w:rFonts w:cstheme="minorHAnsi"/>
          <w:color w:val="3B3939" w:themeColor="background2" w:themeShade="40"/>
          <w:sz w:val="16"/>
          <w:szCs w:val="16"/>
        </w:rPr>
        <w:t>Figur 15: Radonstråk (ljusgrönt är lågriskområde).</w:t>
      </w:r>
    </w:p>
    <w:p>
      <w:pPr>
        <w:pStyle w:val="P2"/>
        <w:spacing w:lineRule="auto" w:line="360" w:beforeAutospacing="0" w:afterAutospacing="0"/>
        <w:rPr>
          <w:rFonts w:asciiTheme="minorHAnsi" w:hAnsiTheme="minorHAnsi" w:cstheme="minorHAnsi"/>
        </w:rPr>
      </w:pPr>
      <w:bookmarkStart w:id="107" w:name="_Toc219101265"/>
      <w:r>
        <w:rPr>
          <w:rFonts w:asciiTheme="minorHAnsi" w:hAnsiTheme="minorHAnsi" w:cstheme="minorHAnsi"/>
        </w:rPr>
        <w:t>Fornlämningar</w:t>
      </w:r>
      <w:bookmarkEnd w:id="107"/>
    </w:p>
    <w:p>
      <w:pPr>
        <w:spacing w:lineRule="auto" w:line="276" w:beforeAutospacing="0" w:afterAutospacing="0"/>
        <w:ind w:left="576"/>
        <w:rPr>
          <w:rFonts w:cstheme="minorHAnsi"/>
        </w:rPr>
      </w:pPr>
      <w:bookmarkStart w:id="108" w:name="pf_fornlämningar01"/>
      <w:r>
        <w:rPr>
          <w:rFonts w:cstheme="minorHAnsi"/>
        </w:rPr>
        <w:t xml:space="preserve">Inga utpekade fornlämningar, finns inom planområdet. </w:t>
      </w:r>
    </w:p>
    <w:p>
      <w:pPr>
        <w:pStyle w:val="P2"/>
        <w:spacing w:lineRule="auto" w:line="276" w:beforeAutospacing="0" w:afterAutospacing="0"/>
        <w:rPr>
          <w:rFonts w:asciiTheme="minorHAnsi" w:hAnsiTheme="minorHAnsi" w:cstheme="minorHAnsi"/>
        </w:rPr>
      </w:pPr>
      <w:bookmarkEnd w:id="108"/>
      <w:bookmarkStart w:id="109" w:name="_Toc219101266"/>
      <w:r>
        <w:rPr>
          <w:rFonts w:asciiTheme="minorHAnsi" w:hAnsiTheme="minorHAnsi" w:cstheme="minorHAnsi"/>
        </w:rPr>
        <w:t>Gator och trafik</w:t>
      </w:r>
      <w:bookmarkEnd w:id="109"/>
    </w:p>
    <w:p>
      <w:pPr>
        <w:pStyle w:val="P3"/>
        <w:rPr>
          <w:rFonts w:asciiTheme="minorHAnsi" w:hAnsiTheme="minorHAnsi" w:cstheme="minorHAnsi"/>
          <w:noProof w:val="1"/>
        </w:rPr>
      </w:pPr>
      <w:r>
        <w:rPr>
          <w:rFonts w:asciiTheme="minorHAnsi" w:hAnsiTheme="minorHAnsi" w:cstheme="minorHAnsi"/>
        </w:rPr>
        <w:t>Gator och trafikmängd</w:t>
      </w:r>
    </w:p>
    <w:p>
      <w:pPr>
        <w:ind w:left="720"/>
      </w:pPr>
      <w:bookmarkStart w:id="110" w:name="pf_gatorochtrafikmängd01"/>
      <w:r>
        <w:t>Eftersom nuvarande genomfart väg 635 löper genom del av Vasagatan, Hamngatan, Trädgårdsvägen och Torggatan så sker endast en förhållandevis mindre genomströmning av fordon. Dock finns genomförande trafik via Vasagatan, Sveavägen och Malmgatan. Alternativt trafik upp mot Vasatorget via Allégatan och Malmgatan. Stenbeläggningar, övergångar och upphöjningar i gata längst Vasagatan samt gångfartområdet kring Allégatan, begränsar tillgängligheten till genomfartstrafik för fordon. Sveavägen och Malmgatan har rakare sträckning utan gångtrafikants anpassning vilket delvis är orsaken att den mesta delen av genomfartstrafiken i centrum (via planområdet) går via Sveavägen, som också löper vidare till andra bostadsområden i väst och nordväst.</w:t>
      </w:r>
    </w:p>
    <w:p>
      <w:pPr>
        <w:spacing w:after="160"/>
        <w:ind w:left="720"/>
        <w:rPr>
          <w:rFonts w:cstheme="minorHAnsi"/>
          <w:lang w:val="sv-SE" w:bidi="ar-SA" w:eastAsia="en-US"/>
        </w:rPr>
      </w:pPr>
      <w:r>
        <w:t xml:space="preserve">Gångytorna vid sidan av körfältet längst Vasagatan ligger på cirka 8 m som inkluderar några få sittplatser, parkeringsytor och annat gaturelaterat. Två parkeringsplatser finns längs med Vasagatan och resterande parkeringar återfinns på Sveavägen inom planområdet som är privata. En större parkeringsplats angränsar till planområdet i väst med angöring till Sveavägen. </w:t>
      </w:r>
      <w:r>
        <w:rPr>
          <w:rFonts w:cstheme="minorHAnsi"/>
        </w:rPr>
        <w:t>Bostäder har parkeringar som angör på baksidan förutom Skjutskarlen 1, där infart sker från Vasagatan.</w:t>
      </w:r>
      <w:bookmarkEnd w:id="110"/>
      <w:bookmarkStart w:id="111" w:name="ko_trafik01"/>
      <w:r>
        <w:rPr>
          <w:rFonts w:cstheme="minorHAnsi"/>
          <w:rtl w:val="0"/>
          <w:lang w:val="sv-SE" w:bidi="sv-SE" w:eastAsia="sv-SE"/>
        </w:rPr>
        <w:t xml:space="preserve"> </w:t>
      </w:r>
      <w:r>
        <w:rPr>
          <w:rFonts w:cstheme="minorHAnsi"/>
          <w:lang w:val="sv-SE" w:bidi="ar-SA" w:eastAsia="en-US"/>
        </w:rPr>
        <w:t>Planförslaget genomförande kommer inte påverka trafiken direkt eller påtagligt, men på sikt så kan fler etableringar betyda mer trafik, men ses ligga inom den naturliga ökningen på trafik vid 1–2%. Parkeringsplatser för cyklar och fordon bör ses över för samordning inom hela stadskärnan. Eftersom Allmänplats gata kommer utvidgas så finns fler möjligheter för parkering.</w:t>
      </w:r>
    </w:p>
    <w:p>
      <w:pPr>
        <w:spacing w:after="160"/>
        <w:ind w:firstLine="720"/>
        <w:rPr>
          <w:lang w:val="sv-SE" w:bidi="ar-SA" w:eastAsia="en-US"/>
        </w:rPr>
      </w:pPr>
      <w:r>
        <w:rPr>
          <w:noProof w:val="1"/>
          <w:lang w:val="sv-SE" w:bidi="ar-SA" w:eastAsia="en-US"/>
        </w:rPr>
        <w:drawing>
          <wp:inline xmlns:wp="http://schemas.openxmlformats.org/drawingml/2006/wordprocessingDrawing" distT="0" distB="0" distL="0" distR="0">
            <wp:extent cx="5403850" cy="7571740"/>
            <wp:effectExtent l="0" t="0" r="0" b="0"/>
            <wp:docPr id="1" name="Bildobjekt 1" descr="En bild som visar karta, kors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karta, korsning&#10;&#10;AI-genererat innehåll kan vara felaktigt."/>
                    <pic:cNvPicPr>
                      <a:picLocks noChangeAspect="1"/>
                    </pic:cNvPicPr>
                  </pic:nvPicPr>
                  <pic:blipFill dpi="0">
                    <a:blip xmlns:r="http://schemas.openxmlformats.org/officeDocument/2006/relationships" r:embed="Relimage19"/>
                    <a:srcRect/>
                    <a:stretch>
                      <a:fillRect/>
                    </a:stretch>
                  </pic:blipFill>
                  <pic:spPr>
                    <a:xfrm>
                      <a:off x="0" y="0"/>
                      <a:ext cx="5403850" cy="7571740"/>
                    </a:xfrm>
                    <a:prstGeom prst="rect"/>
                    <a:noFill/>
                    <a:ln>
                      <a:noFill/>
                    </a:ln>
                  </pic:spPr>
                </pic:pic>
              </a:graphicData>
            </a:graphic>
          </wp:inline>
        </w:drawing>
      </w:r>
    </w:p>
    <w:p>
      <w:pPr>
        <w:spacing w:after="160"/>
        <w:ind w:firstLine="720"/>
        <w:rPr>
          <w:rFonts w:cstheme="minorHAnsi"/>
          <w:color w:val="3B3939" w:themeColor="background2" w:themeShade="40"/>
          <w:sz w:val="16"/>
          <w:szCs w:val="16"/>
          <w:lang w:val="sv-SE" w:bidi="ar-SA" w:eastAsia="en-US"/>
        </w:rPr>
      </w:pPr>
      <w:r>
        <w:rPr>
          <w:rFonts w:cstheme="minorHAnsi"/>
          <w:color w:val="3B3939" w:themeColor="background2" w:themeShade="40"/>
          <w:sz w:val="16"/>
          <w:szCs w:val="16"/>
          <w:lang w:val="sv-SE" w:bidi="ar-SA" w:eastAsia="en-US"/>
        </w:rPr>
        <w:t>Figur 16: Trafiköversikt. Vasagatan genomfarten väg 635 (svart). Vasagatan igenom planområdet (gul).</w:t>
      </w:r>
    </w:p>
    <w:p>
      <w:pPr>
        <w:spacing w:after="160"/>
        <w:ind w:left="720"/>
        <w:rPr>
          <w:rFonts w:cstheme="minorHAnsi"/>
          <w:lang w:val="sv-SE" w:bidi="ar-SA" w:eastAsia="en-US"/>
        </w:rPr>
      </w:pPr>
      <w:r>
        <w:rPr>
          <w:rFonts w:cstheme="minorHAnsi"/>
          <w:lang w:val="sv-SE" w:bidi="ar-SA" w:eastAsia="en-US"/>
        </w:rPr>
        <w:t>Veterinären 3 och 4 har idag inte lika sluten struktur med större grönytor runt sig, vilket har öppnat upp för en passageväg. Passage går västerut till angöringsgatan med parkeringar som leder vidare ut mot den större parkeringsplatsen och biblioteksentrén. Passagen tillgängliggör en genväg mot biblioteket men skapar samtidigt en otydlighet mellan privat och offentliga miljöer samtidigt som mindre trafik sker på Vasagatan. Om nya vistelsemiljöer skapas på baksidorna framgent så bör passagen ses över. Prickmarken på angöringsgatan har minskat i planförslaget med cirka 2 meter för att möjliggöra andra funktioner på platsen. Det finns ett servitut, där angöring fortfarande säkerställs för fordon med tillräckliga ytor i planförslaget. Vid planering av nya beläggningar eller ombyggnad av angöringsgatan och dess kringområde, så förespråkas beläggningar som är genomsläppliga, då dessa asfalterade ytor är omfattande och inte används effektivt. Platsen bör generellt ses över ur trygghet- och attraktivitetsperspektiv, särskilt om nya vistelseytor skapas i framtiden på baksidorna av Vasagatan.</w:t>
      </w:r>
      <w:r>
        <w:rPr>
          <w:lang w:val="sv-SE" w:bidi="ar-SA" w:eastAsia="en-US"/>
        </w:rPr>
        <w:t xml:space="preserve"> </w:t>
      </w:r>
    </w:p>
    <w:p>
      <w:pPr>
        <w:spacing w:after="160"/>
        <w:ind w:left="720"/>
        <w:rPr>
          <w:rFonts w:cstheme="minorHAnsi"/>
          <w:lang w:val="sv-SE" w:bidi="ar-SA" w:eastAsia="en-US"/>
        </w:rPr>
      </w:pPr>
    </w:p>
    <w:p>
      <w:pPr>
        <w:spacing w:after="160"/>
        <w:ind w:left="720"/>
        <w:rPr>
          <w:rFonts w:cstheme="minorHAnsi"/>
          <w:lang w:val="sv-SE" w:bidi="ar-SA" w:eastAsia="en-US"/>
        </w:rPr>
      </w:pPr>
      <w:r>
        <w:rPr>
          <w:rFonts w:cstheme="minorHAnsi"/>
          <w:noProof w:val="1"/>
          <w:lang w:val="sv-SE" w:bidi="ar-SA" w:eastAsia="en-US"/>
        </w:rPr>
        <w:drawing>
          <wp:inline xmlns:wp="http://schemas.openxmlformats.org/drawingml/2006/wordprocessingDrawing" distT="0" distB="0" distL="0" distR="0">
            <wp:extent cx="5133975" cy="2898775"/>
            <wp:effectExtent l="0" t="0" r="0" b="0"/>
            <wp:docPr id="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pic:cNvPicPr>
                      <a:picLocks noChangeAspect="1"/>
                    </pic:cNvPicPr>
                  </pic:nvPicPr>
                  <pic:blipFill dpi="0">
                    <a:blip xmlns:r="http://schemas.openxmlformats.org/officeDocument/2006/relationships" r:embed="Relimage20"/>
                    <a:srcRect/>
                    <a:stretch>
                      <a:fillRect/>
                    </a:stretch>
                  </pic:blipFill>
                  <pic:spPr>
                    <a:xfrm>
                      <a:off x="0" y="0"/>
                      <a:ext cx="5133975" cy="2898775"/>
                    </a:xfrm>
                    <a:prstGeom prst="rect"/>
                    <a:noFill/>
                    <a:ln>
                      <a:noFill/>
                    </a:ln>
                  </pic:spPr>
                </pic:pic>
              </a:graphicData>
            </a:graphic>
          </wp:inline>
        </w:drawing>
      </w:r>
    </w:p>
    <w:p>
      <w:pPr>
        <w:spacing w:after="160"/>
        <w:ind w:left="720"/>
        <w:rPr>
          <w:rFonts w:cstheme="minorHAnsi"/>
          <w:lang w:val="sv-SE" w:bidi="ar-SA" w:eastAsia="en-US"/>
        </w:rPr>
      </w:pPr>
      <w:r>
        <w:rPr>
          <w:rFonts w:cstheme="minorHAnsi"/>
          <w:color w:val="3B3939" w:themeColor="background2" w:themeShade="40"/>
          <w:sz w:val="16"/>
          <w:szCs w:val="16"/>
          <w:lang w:val="sv-SE" w:bidi="ar-SA" w:eastAsia="en-US"/>
        </w:rPr>
        <w:t>Figur 17: Angöringsgatan med parkeringar på Veterinären 4 och Veterinären 7</w:t>
      </w:r>
      <w:r>
        <w:rPr>
          <w:rFonts w:cstheme="minorHAnsi"/>
          <w:lang w:val="sv-SE" w:bidi="ar-SA" w:eastAsia="en-US"/>
        </w:rPr>
        <w:br w:type="textWrapping"/>
        <w:br w:type="textWrapping"/>
        <w:t xml:space="preserve">Gångavstånden för service, kommunikationer och handel är mycket goda i planområdets läge. Parkering ska i första hand hanteras inom respektive fastighet och posthantering förväntas bli oförändrade med planförslagets genomförande. För att skapa mer av en torgmiljö vilket gynnar gatulivet och attraktiviteten på Vasagatan, så krävs åtgärder såsom hastighetsdämpande åtgärder, markmaterial, planteringar och förändringar i höjder av ytor som bör samverka tillsammans. Detta bör arbetas vidare med för att sammantaget skapa en hastighetsförändring hos fordon, som angör från den snabba genomfarten i syd för att skapa ett mer intimt och tryggare gaturum. </w:t>
      </w:r>
    </w:p>
    <w:p>
      <w:pPr>
        <w:ind w:left="720"/>
        <w:rPr>
          <w:rFonts w:cstheme="minorHAnsi"/>
        </w:rPr>
      </w:pPr>
      <w:r>
        <w:rPr>
          <w:rFonts w:cstheme="minorHAnsi"/>
          <w:lang w:val="sv-SE" w:bidi="ar-SA" w:eastAsia="en-US"/>
        </w:rPr>
        <w:t>Generellt så bör b</w:t>
      </w:r>
      <w:r>
        <w:rPr>
          <w:lang w:val="sv-SE" w:bidi="ar-SA" w:eastAsia="en-US"/>
        </w:rPr>
        <w:t xml:space="preserve">elysning möjliggöras och utvidgas i gatuutrymmet inom hela planområdet, genom att exempelvis lysa upp gaturum, objekt såsom träd och fasader vilket kan skapa attraktivare och tryggare miljöer. </w:t>
      </w:r>
      <w:r>
        <w:rPr>
          <w:rFonts w:cstheme="minorHAnsi"/>
          <w:lang w:val="sv-SE" w:bidi="ar-SA" w:eastAsia="en-US"/>
        </w:rPr>
        <w:t>Inga nya gatusträckningar förväntas uppkomma med genomförandet av planförslaget. Planförslaget genom utvidgning av allmänplats gata anses bland annat ta hänsyn till svängradien för tunga fordon vid korsningen Sveavägen/ Vasagatan.</w:t>
      </w:r>
      <w:bookmarkEnd w:id="111"/>
      <w:r>
        <w:rPr>
          <w:rFonts w:cstheme="minorHAnsi"/>
        </w:rPr>
        <w:t xml:space="preserve"> </w:t>
      </w:r>
    </w:p>
    <w:p>
      <w:pPr>
        <w:ind w:left="720"/>
        <w:rPr>
          <w:rFonts w:cstheme="minorHAnsi"/>
        </w:rPr>
      </w:pPr>
    </w:p>
    <w:p>
      <w:pPr>
        <w:pStyle w:val="P3"/>
        <w:rPr>
          <w:rFonts w:asciiTheme="minorHAnsi" w:hAnsiTheme="minorHAnsi" w:cstheme="minorHAnsi"/>
        </w:rPr>
      </w:pPr>
      <w:r>
        <w:rPr>
          <w:rFonts w:asciiTheme="minorHAnsi" w:hAnsiTheme="minorHAnsi" w:cstheme="minorHAnsi"/>
        </w:rPr>
        <w:t>Kollektivtrafik</w:t>
      </w:r>
    </w:p>
    <w:p>
      <w:pPr>
        <w:ind w:left="720"/>
        <w:rPr>
          <w:rFonts w:cstheme="minorHAnsi"/>
        </w:rPr>
      </w:pPr>
      <w:bookmarkStart w:id="112" w:name="pf_kollektivtrafik01"/>
      <w:r>
        <w:rPr>
          <w:rFonts w:cstheme="minorHAnsi"/>
        </w:rPr>
        <w:t>Planområdet innehar en mycket god närhet och tillgänglighet för kollektivtrafiken. Två busshållplatser angör på Vasagatan i båda riktningarna. Korsningen vid Sveagatan/ Vasagatan är något trång och inte anpassad för genomströmning av långa fordon, men kollektivtrafiken fungerar och går regelbundet. Kollektivtrafiken löper runt och vidare på Vasagatan, Sveavägen, Malmgatan och Vasagatan 635. Linjerna går bland annat till järnvägsstationen för vidare transport mellan Fagersta via Söderbärke och Ludvika i andra riktningen. En hållplats finns även vid väg 635 i sydöstra delen av planområdet.</w:t>
      </w:r>
      <w:bookmarkEnd w:id="112"/>
      <w:r>
        <w:rPr>
          <w:rFonts w:cstheme="minorHAnsi"/>
        </w:rPr>
        <w:t xml:space="preserve"> </w:t>
      </w:r>
      <w:bookmarkStart w:id="113" w:name="ko_gångochcykeltrafik01"/>
      <w:r>
        <w:rPr>
          <w:rFonts w:cstheme="minorHAnsi"/>
        </w:rPr>
        <w:t xml:space="preserve">Utvidgning av allmän plats kan på sikt förändra infrastrukturen i området inklusive Kollektivtrafiken vilket kan möjliggöra för lättare svängradie samt lokalisering av hållplatser. </w:t>
      </w:r>
      <w:bookmarkEnd w:id="113"/>
    </w:p>
    <w:p>
      <w:pPr>
        <w:pStyle w:val="P3"/>
        <w:rPr>
          <w:rFonts w:asciiTheme="minorHAnsi" w:hAnsiTheme="minorHAnsi" w:cstheme="minorHAnsi"/>
        </w:rPr>
      </w:pPr>
      <w:r>
        <w:rPr>
          <w:rFonts w:asciiTheme="minorHAnsi" w:hAnsiTheme="minorHAnsi" w:cstheme="minorHAnsi"/>
        </w:rPr>
        <w:t xml:space="preserve">Tillgänglighet </w:t>
      </w:r>
    </w:p>
    <w:p>
      <w:pPr>
        <w:ind w:left="720"/>
        <w:rPr>
          <w:rFonts w:cstheme="minorHAnsi"/>
        </w:rPr>
      </w:pPr>
      <w:bookmarkStart w:id="114" w:name="pf_tillgänglighet01"/>
      <w:r>
        <w:rPr>
          <w:rFonts w:cstheme="minorHAnsi"/>
        </w:rPr>
        <w:t>Planområdets centrala läge i Smedjebackens kärna har god tillgänglighet med gång- och cykelvägar, kollektivtrafik samt offentlig och kommersiell service. Tillgängligheten för gång- och cykelvägar skulle kunna vidareutvecklas och förbättras, genom mer prioritet och tydlighet i gaturummet. Med mer rådighet över allmän plats som detaljplanen möjliggör, så kan dessa strukturer förändras och förbättras. Vissa sträckor till målpunkter angränsande till planområdet saknar eller har för små ytor för gång- och cykel samt tydlighet i gaturummet saknas, sammantaget kan detta uppfattas och vara otryggt. Detta gäller förutom Vasagatan, Sveavägen men även genomfartsvägen 635 med ett övergångställe direkt söder om planområdet, där genomfartstrafik sker.</w:t>
        <w:br w:type="textWrapping"/>
        <w:br w:type="textWrapping"/>
      </w:r>
      <w:r>
        <w:rPr>
          <w:rFonts w:cstheme="minorHAnsi"/>
          <w:noProof w:val="1"/>
        </w:rPr>
        <w:drawing>
          <wp:inline xmlns:wp="http://schemas.openxmlformats.org/drawingml/2006/wordprocessingDrawing" distT="0" distB="0" distL="0" distR="0">
            <wp:extent cx="2422525" cy="1364615"/>
            <wp:effectExtent l="19050" t="19050" r="15875" b="26035"/>
            <wp:docPr id="214409496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21" cstate="print"/>
                    <a:srcRect/>
                    <a:stretch>
                      <a:fillRect/>
                    </a:stretch>
                  </pic:blipFill>
                  <pic:spPr bwMode="auto">
                    <a:xfrm>
                      <a:off x="0" y="0"/>
                      <a:ext cx="2422874" cy="1365006"/>
                    </a:xfrm>
                    <a:prstGeom prst="rect"/>
                    <a:noFill/>
                    <a:ln w="6350">
                      <a:solidFill>
                        <a:schemeClr val="tx1"/>
                      </a:solidFill>
                    </a:ln>
                  </pic:spPr>
                </pic:pic>
              </a:graphicData>
            </a:graphic>
          </wp:inline>
        </w:drawing>
      </w:r>
      <w:r>
        <w:rPr>
          <w:rFonts w:cstheme="minorHAnsi"/>
        </w:rPr>
        <w:t xml:space="preserve">         </w:t>
      </w:r>
      <w:r>
        <w:rPr>
          <w:rFonts w:cstheme="minorHAnsi"/>
          <w:noProof w:val="1"/>
        </w:rPr>
        <w:t xml:space="preserve"> </w:t>
      </w:r>
      <w:r>
        <w:rPr>
          <w:rFonts w:cstheme="minorHAnsi"/>
          <w:noProof w:val="1"/>
        </w:rPr>
        <w:drawing>
          <wp:inline xmlns:wp="http://schemas.openxmlformats.org/drawingml/2006/wordprocessingDrawing" distT="0" distB="0" distL="0" distR="0">
            <wp:extent cx="2420620" cy="1363345"/>
            <wp:effectExtent l="19050" t="19050" r="17780" b="27305"/>
            <wp:docPr id="132467107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22" cstate="print"/>
                    <a:srcRect/>
                    <a:stretch>
                      <a:fillRect/>
                    </a:stretch>
                  </pic:blipFill>
                  <pic:spPr bwMode="auto">
                    <a:xfrm>
                      <a:off x="0" y="0"/>
                      <a:ext cx="2420783" cy="1363830"/>
                    </a:xfrm>
                    <a:prstGeom prst="rect"/>
                    <a:noFill/>
                    <a:ln w="6350">
                      <a:solidFill>
                        <a:schemeClr val="tx1"/>
                      </a:solidFill>
                    </a:ln>
                  </pic:spPr>
                </pic:pic>
              </a:graphicData>
            </a:graphic>
          </wp:inline>
        </w:drawing>
      </w:r>
    </w:p>
    <w:p>
      <w:pPr>
        <w:ind w:left="720"/>
        <w:rPr>
          <w:rFonts w:cstheme="minorHAnsi"/>
          <w:color w:val="3B3939" w:themeColor="background2" w:themeShade="40"/>
          <w:sz w:val="16"/>
          <w:szCs w:val="16"/>
        </w:rPr>
      </w:pPr>
      <w:r>
        <w:rPr>
          <w:rFonts w:cstheme="minorHAnsi"/>
          <w:color w:val="3B3939" w:themeColor="background2" w:themeShade="40"/>
          <w:sz w:val="16"/>
          <w:szCs w:val="16"/>
        </w:rPr>
        <w:t xml:space="preserve">Figur 18: Markbeläggning, höjdskillnader och räcken                             Figur 19: Övergångställe väg 635 utan tydlig prioritet och</w:t>
        <w:br w:type="textWrapping"/>
        <w:t xml:space="preserve">försvårar tillgänglighet för fotgängare.        </w:t>
        <w:tab/>
        <w:t xml:space="preserve">                                   tillgänglighet för fotgängare. </w:t>
      </w:r>
    </w:p>
    <w:p>
      <w:pPr>
        <w:ind w:left="720"/>
        <w:rPr>
          <w:rFonts w:cstheme="minorHAnsi"/>
          <w:color w:val="3B3939" w:themeColor="background2" w:themeShade="40"/>
          <w:sz w:val="16"/>
          <w:szCs w:val="16"/>
        </w:rPr>
      </w:pPr>
    </w:p>
    <w:p>
      <w:pPr>
        <w:ind w:left="720"/>
        <w:rPr>
          <w:rFonts w:cstheme="minorHAnsi"/>
        </w:rPr>
      </w:pPr>
      <w:r>
        <w:rPr>
          <w:rFonts w:cstheme="minorHAnsi"/>
        </w:rPr>
        <w:t>Skulle tillgängligheten förbättras med tydligare, säkrare samt tillräckligt stora ytor finnas för gång och cykel, så förväntas den hållbara mobiliteten att öka och mindre chans för olyckor att ske. Det möjliggör också en bättre hälsa för medborgare med mer rörelse och rekreation längst med Vasagatans sträckning. En större tillgänglighet för gång- och cykel gynnar även jämställdhetsperspektivet. Parkering för fordon behöver också ses över genom inventering av samtliga parkeringsplatser inom kärnan, så det blir lättare och tydligare för boende och besökare att parkera sina fordon. Skyltning för trafik till målpunkter och parkeringar skulle också gynna tillgängligheten. För att undvika potentiella fallrisker så behöver entréer, räcken, trappor och gatumaterialet arbetas vidare med för att öka tillgängligheten hos allmänheten, framför allt för rörelsehindrade och äldre. Utvidgning av allmänplats som detaljplanen möjliggör kan på sikt förändra infrastrukturen i området, var olika objekt och ytor placeras, vilket kan tillgängliggöra gaturummet.</w:t>
      </w:r>
    </w:p>
    <w:p>
      <w:pPr>
        <w:pStyle w:val="P2"/>
        <w:rPr>
          <w:rFonts w:asciiTheme="minorHAnsi" w:hAnsiTheme="minorHAnsi" w:cstheme="minorHAnsi"/>
        </w:rPr>
      </w:pPr>
      <w:bookmarkEnd w:id="114"/>
      <w:bookmarkStart w:id="115" w:name="_Toc219101267"/>
      <w:r>
        <w:rPr>
          <w:rFonts w:asciiTheme="minorHAnsi" w:hAnsiTheme="minorHAnsi" w:cstheme="minorHAnsi"/>
        </w:rPr>
        <w:t>Sociala</w:t>
      </w:r>
      <w:bookmarkEnd w:id="115"/>
      <w:r>
        <w:rPr>
          <w:rFonts w:asciiTheme="minorHAnsi" w:hAnsiTheme="minorHAnsi" w:cstheme="minorHAnsi"/>
        </w:rPr>
        <w:t xml:space="preserve"> </w:t>
      </w:r>
    </w:p>
    <w:p>
      <w:pPr>
        <w:pStyle w:val="P3"/>
        <w:spacing w:lineRule="auto" w:line="276" w:beforeAutospacing="0" w:afterAutospacing="0"/>
        <w:rPr>
          <w:rFonts w:asciiTheme="minorHAnsi" w:hAnsiTheme="minorHAnsi" w:cstheme="minorHAnsi"/>
        </w:rPr>
      </w:pPr>
      <w:r>
        <w:rPr>
          <w:rFonts w:asciiTheme="minorHAnsi" w:hAnsiTheme="minorHAnsi" w:cstheme="minorHAnsi"/>
        </w:rPr>
        <w:t>Barn, trygghet och jämlikhet</w:t>
      </w:r>
    </w:p>
    <w:p>
      <w:pPr>
        <w:spacing w:lineRule="auto" w:line="276" w:beforeAutospacing="0" w:afterAutospacing="0"/>
        <w:ind w:left="720"/>
        <w:rPr>
          <w:rFonts w:ascii="Calibri" w:hAnsi="Calibri" w:cs="Calibri"/>
          <w:i w:val="1"/>
          <w:iCs w:val="1"/>
        </w:rPr>
      </w:pPr>
      <w:bookmarkStart w:id="116" w:name="pf_sociala01"/>
      <w:r>
        <w:rPr>
          <w:rFonts w:ascii="Calibri" w:hAnsi="Calibri" w:cs="Calibri"/>
        </w:rPr>
        <w:t xml:space="preserve">FN:s konvention om barnets rättigheter är sedan 1 januari 2020 en del av svensk lagstiftning. Det innebär förtydligande av att barnets rättigheter ska beaktas vid avvägningar och bedömningar. Barnet får inte diskrimineras på någon grund. Barnets bästa ska beaktas vid alla åtgärder som rör barns liv, utveckling samt att barnet ska ha möjlighet att berätta sin mening och få den respekterad. Smedjebackens kommun har en checklista som ett underlag i planprocessen för bedömning av hur barn berörs av planförslaget. Resultaten av checklistan redovisas nedan. För mer information se bilagan; </w:t>
      </w:r>
      <w:r>
        <w:rPr>
          <w:rFonts w:ascii="Calibri" w:hAnsi="Calibri" w:cs="Calibri"/>
          <w:i w:val="1"/>
          <w:iCs w:val="1"/>
        </w:rPr>
        <w:t xml:space="preserve">Barnchecklista </w:t>
      </w:r>
      <w:r>
        <w:rPr>
          <w:rFonts w:ascii="Calibri" w:hAnsi="Calibri" w:cs="Calibri"/>
        </w:rPr>
        <w:t>i samrådsunderlaget</w:t>
      </w:r>
      <w:r>
        <w:rPr>
          <w:rFonts w:ascii="Calibri" w:hAnsi="Calibri" w:cs="Calibri"/>
          <w:i w:val="1"/>
          <w:iCs w:val="1"/>
        </w:rPr>
        <w:t xml:space="preserve">. </w:t>
      </w:r>
    </w:p>
    <w:p>
      <w:pPr>
        <w:spacing w:lineRule="auto" w:line="276" w:beforeAutospacing="0" w:afterAutospacing="0"/>
        <w:ind w:left="720"/>
        <w:rPr>
          <w:rFonts w:ascii="Calibri" w:hAnsi="Calibri" w:cs="Calibri"/>
        </w:rPr>
      </w:pPr>
      <w:r>
        <w:rPr>
          <w:rFonts w:ascii="Calibri" w:hAnsi="Calibri" w:cs="Calibri"/>
        </w:rPr>
        <w:t xml:space="preserve">Barngrupper som skulle kunna beröras av en detaljplan är; </w:t>
      </w:r>
    </w:p>
    <w:p>
      <w:pPr>
        <w:pStyle w:val="P31"/>
        <w:numPr>
          <w:ilvl w:val="0"/>
          <w:numId w:val="4"/>
        </w:numPr>
        <w:spacing w:lineRule="auto" w:line="276" w:beforeAutospacing="0" w:afterAutospacing="0"/>
        <w:ind w:left="1440"/>
        <w:rPr>
          <w:rFonts w:ascii="Calibri" w:hAnsi="Calibri" w:cs="Calibri"/>
        </w:rPr>
      </w:pPr>
      <w:r>
        <w:rPr>
          <w:rFonts w:ascii="Calibri" w:hAnsi="Calibri" w:cs="Calibri"/>
        </w:rPr>
        <w:t xml:space="preserve">Barn som bor i närområdet </w:t>
      </w:r>
    </w:p>
    <w:p>
      <w:pPr>
        <w:pStyle w:val="P31"/>
        <w:numPr>
          <w:ilvl w:val="0"/>
          <w:numId w:val="4"/>
        </w:numPr>
        <w:spacing w:lineRule="auto" w:line="276" w:beforeAutospacing="0" w:afterAutospacing="0"/>
        <w:ind w:left="1440"/>
        <w:rPr>
          <w:rFonts w:ascii="Calibri" w:hAnsi="Calibri" w:cs="Calibri"/>
        </w:rPr>
      </w:pPr>
      <w:r>
        <w:rPr>
          <w:rFonts w:ascii="Calibri" w:hAnsi="Calibri" w:cs="Calibri"/>
        </w:rPr>
        <w:t xml:space="preserve">Barn som flyttar till området </w:t>
      </w:r>
    </w:p>
    <w:p>
      <w:pPr>
        <w:pStyle w:val="P31"/>
        <w:numPr>
          <w:ilvl w:val="0"/>
          <w:numId w:val="4"/>
        </w:numPr>
        <w:spacing w:lineRule="auto" w:line="276" w:beforeAutospacing="0" w:afterAutospacing="0"/>
        <w:ind w:left="1440"/>
        <w:rPr>
          <w:rFonts w:ascii="Calibri" w:hAnsi="Calibri" w:cs="Calibri"/>
        </w:rPr>
      </w:pPr>
      <w:r>
        <w:rPr>
          <w:rFonts w:ascii="Calibri" w:hAnsi="Calibri" w:cs="Calibri"/>
        </w:rPr>
        <w:t>Barn med vistelse under skoltid</w:t>
      </w:r>
    </w:p>
    <w:p>
      <w:pPr>
        <w:spacing w:lineRule="auto" w:line="276" w:beforeAutospacing="0" w:afterAutospacing="0"/>
        <w:ind w:left="720"/>
        <w:rPr>
          <w:rFonts w:cstheme="minorHAnsi"/>
        </w:rPr>
      </w:pPr>
      <w:bookmarkEnd w:id="116"/>
      <w:bookmarkStart w:id="117" w:name="ko_barn01"/>
      <w:r>
        <w:rPr>
          <w:rFonts w:cstheme="minorHAnsi"/>
        </w:rPr>
        <w:t>Planområdet är redan bebyggt och inga specifika förändringar som påverkar barn som bor, flyttar eller vistas i området förväntas ske vid genomförandet av planförslaget. Vid genomförande av detaljplanen kan fritidshemmet Haket fortsätta att verka genom den nya användningen C, vilket möjliggör att barn kan nyttja fritidsgården att fortsätta vistas och vara på. Ingen enkät eller dialog har använts riktade mot barn som underlag, då behovet inte bedöms behövas.</w:t>
      </w:r>
    </w:p>
    <w:p>
      <w:pPr>
        <w:spacing w:lineRule="auto" w:line="276" w:beforeAutospacing="0" w:afterAutospacing="0"/>
        <w:ind w:left="720"/>
        <w:rPr>
          <w:rFonts w:cstheme="minorHAnsi"/>
        </w:rPr>
      </w:pPr>
      <w:bookmarkEnd w:id="117"/>
      <w:bookmarkStart w:id="118" w:name="ko_jämlikhet01"/>
      <w:r>
        <w:rPr>
          <w:rFonts w:cstheme="minorHAnsi"/>
        </w:rPr>
        <w:t xml:space="preserve">Eftersom planområdet ligger centralt med service, är tillgängligt och har goda transportmöjligheter, så gynnas jämlikhetsperspektivet, då alla människor oavsett kön, etnicitet och funktionshinder ska känna och ha tillgänglighet till platsen. </w:t>
      </w:r>
    </w:p>
    <w:p>
      <w:pPr>
        <w:pStyle w:val="P2"/>
        <w:rPr>
          <w:rFonts w:asciiTheme="minorHAnsi" w:hAnsiTheme="minorHAnsi" w:cstheme="minorHAnsi"/>
        </w:rPr>
      </w:pPr>
      <w:bookmarkEnd w:id="118"/>
      <w:bookmarkStart w:id="119" w:name="_Toc219101268"/>
      <w:bookmarkStart w:id="120" w:name="_Hlk161318678"/>
      <w:r>
        <w:rPr>
          <w:rFonts w:asciiTheme="minorHAnsi" w:hAnsiTheme="minorHAnsi" w:cstheme="minorHAnsi"/>
        </w:rPr>
        <w:t>Teknisk försörjning</w:t>
      </w:r>
      <w:bookmarkEnd w:id="119"/>
    </w:p>
    <w:p>
      <w:pPr>
        <w:pStyle w:val="P3"/>
        <w:spacing w:lineRule="auto" w:line="360" w:beforeAutospacing="0" w:afterAutospacing="0"/>
        <w:rPr>
          <w:rFonts w:asciiTheme="minorHAnsi" w:hAnsiTheme="minorHAnsi" w:cstheme="minorHAnsi"/>
        </w:rPr>
      </w:pPr>
      <w:r>
        <w:rPr>
          <w:rFonts w:asciiTheme="minorHAnsi" w:hAnsiTheme="minorHAnsi" w:cstheme="minorHAnsi"/>
        </w:rPr>
        <w:t>Vatten och avlopp</w:t>
      </w:r>
    </w:p>
    <w:p>
      <w:pPr>
        <w:ind w:left="720"/>
        <w:rPr>
          <w:rFonts w:cstheme="minorHAnsi"/>
        </w:rPr>
      </w:pPr>
      <w:bookmarkStart w:id="121" w:name="pf_vattenochavlopp01"/>
      <w:r>
        <w:rPr>
          <w:rFonts w:cstheme="minorHAnsi"/>
        </w:rPr>
        <w:t xml:space="preserve">Planområdet ligger inom verksamhetsområde för vatten och avlopp (VA). Infrastruktur finns på Vasagatan och Sveavägen som försörjer befintlig bebyggelse. Kapacitet finns för att möjliggöra för fler bostäder i området. </w:t>
      </w:r>
      <w:r>
        <w:rPr>
          <w:rFonts w:ascii="Calibri" w:hAnsi="Calibri" w:cs="Calibri"/>
          <w:szCs w:val="24"/>
        </w:rPr>
        <w:t>WBAB ansvarar för drift- och underhåll av de allmänna VA-ledningarna.</w:t>
      </w:r>
    </w:p>
    <w:p>
      <w:pPr>
        <w:pStyle w:val="P3"/>
        <w:spacing w:lineRule="auto" w:line="276" w:beforeAutospacing="0" w:afterAutospacing="0"/>
        <w:rPr>
          <w:rFonts w:asciiTheme="minorHAnsi" w:hAnsiTheme="minorHAnsi" w:cstheme="minorHAnsi"/>
        </w:rPr>
      </w:pPr>
      <w:bookmarkEnd w:id="121"/>
      <w:r>
        <w:rPr>
          <w:rFonts w:asciiTheme="minorHAnsi" w:hAnsiTheme="minorHAnsi" w:cstheme="minorHAnsi"/>
        </w:rPr>
        <w:t>Dagvatten</w:t>
      </w:r>
    </w:p>
    <w:p>
      <w:pPr>
        <w:ind w:left="720"/>
        <w:rPr>
          <w:rFonts w:cstheme="minorHAnsi"/>
          <w:szCs w:val="24"/>
        </w:rPr>
      </w:pPr>
      <w:bookmarkStart w:id="122" w:name="pf_dagvatten01"/>
      <w:r>
        <w:rPr>
          <w:rFonts w:cstheme="minorHAnsi"/>
          <w:szCs w:val="24"/>
        </w:rPr>
        <w:t xml:space="preserve">För att utreda dagvattnets infiltrationsmöjlighet i ett område är markens genomsläpplighet en viktig faktor att beakta. Inom planområdet är genomsläppligheten medelhög med moränjord enligt SGU översiktliga karta. Dessa förutsättningar är gynnsamma för infiltrering av dagvatten, eftersom vattnet rinner ner i jorden medelsnabbt och kan infiltreras lokalt. Dagvattenledningar och brunnar finns på Vasagatan och Sveavägen. Trädgårdarna på bebyggelsens baksidor har större kapacitet att ta emot regnvatten som kan filtreras till grundvattnet. På Vasagatan finns många hårdgjorda ytor som kan försvåra för ett framtida förändrat klimat. Avledning av dagvatten ska prioriteras att ske i översilningsytor och öppna lösningar så att vattnet kan infiltreras och renas lokalt innan det når recipienten. Detta är svårare att genomföra i tätbebyggda områden. Träden och grönskan har viktiga funktioner för uppsugningsförmåga. Det är fastighetsägarens ansvar att ta hand om det egna dagvattnet och leda det främst till grönytor, så att regnvatten och smältvatten kan infiltreras och fördröjas i marken och tas upp av vegetation. Hårdgjorda ytor bör inte bli fler inom planområdet och träd ska prioriteras att kunna växa och bli stora för större uppsugningsförmåga. Inom planområdet så är framför allt södra delarna som innehar många asfalterade ytor där genomsläppliga ytor innehar knappt 30 % markareal. </w:t>
      </w:r>
      <w:bookmarkEnd w:id="122"/>
      <w:bookmarkStart w:id="123" w:name="ko_dagvatten01"/>
      <w:r>
        <w:rPr>
          <w:rFonts w:cstheme="minorHAnsi"/>
          <w:szCs w:val="24"/>
        </w:rPr>
        <w:t>Planbestämmelse om att marken ska vara genomsläpplig kommer införas över all kvartersmark på 30% samt att marklov krävs för åtgärder som kan försämra genomsläppligheten. Detta för att säkerställa att andelen hårdgjorda ytor inte blir för påtagliga. Det finns möjligheter att ta bort en del av de asfalterade ytor eller att ersätta med andra genomsläppliga material, speciellt angöringsgatan väster ut samt parkeringsplatser på olika platser. Nya parkeringar som uppkommer bör anordnas genomsläppliga. Byggrätten samt planbestämmelser om genomsläppliga ytor är också en reglerande faktor som finns för dagvattenhantering i detaljplanen.</w:t>
      </w:r>
      <w:bookmarkEnd w:id="123"/>
    </w:p>
    <w:p>
      <w:pPr>
        <w:pStyle w:val="P3"/>
        <w:rPr>
          <w:rFonts w:asciiTheme="minorHAnsi" w:hAnsiTheme="minorHAnsi" w:cstheme="minorHAnsi"/>
        </w:rPr>
      </w:pPr>
      <w:r>
        <w:rPr>
          <w:rFonts w:asciiTheme="minorHAnsi" w:hAnsiTheme="minorHAnsi" w:cstheme="minorHAnsi"/>
        </w:rPr>
        <w:t>Energi</w:t>
      </w:r>
    </w:p>
    <w:p>
      <w:pPr>
        <w:ind w:left="720"/>
        <w:rPr>
          <w:rFonts w:cstheme="minorHAnsi"/>
        </w:rPr>
      </w:pPr>
      <w:bookmarkStart w:id="124" w:name="_Hlk198278581"/>
      <w:bookmarkStart w:id="125" w:name="_Hlk163115332"/>
      <w:bookmarkStart w:id="126" w:name="pf_eltelevärmeochbredband01"/>
      <w:r>
        <w:rPr>
          <w:rFonts w:ascii="Calibri" w:hAnsi="Calibri" w:cs="Calibri"/>
        </w:rPr>
        <w:t xml:space="preserve">Infrastruktur för el finns inom planområdet med möjlighet för ökad kapacitet. </w:t>
        <w:br w:type="textWrapping"/>
        <w:t>El-ledningarna ägs och drivs av Smedjebackens Energi AB.</w:t>
      </w:r>
      <w:bookmarkEnd w:id="124"/>
    </w:p>
    <w:p>
      <w:pPr>
        <w:pStyle w:val="P3"/>
        <w:rPr>
          <w:rFonts w:asciiTheme="minorHAnsi" w:hAnsiTheme="minorHAnsi" w:cstheme="minorHAnsi"/>
        </w:rPr>
      </w:pPr>
      <w:bookmarkEnd w:id="125"/>
      <w:bookmarkEnd w:id="126"/>
      <w:r>
        <w:rPr>
          <w:rFonts w:asciiTheme="minorHAnsi" w:hAnsiTheme="minorHAnsi" w:cstheme="minorHAnsi"/>
        </w:rPr>
        <w:t>Stadsnät och fjärrvärme</w:t>
      </w:r>
    </w:p>
    <w:p>
      <w:pPr>
        <w:ind w:left="720"/>
        <w:rPr>
          <w:rFonts w:cstheme="minorHAnsi"/>
        </w:rPr>
      </w:pPr>
      <w:bookmarkStart w:id="127" w:name="pf_eltelevärmeochbredband02"/>
      <w:r>
        <w:rPr>
          <w:rFonts w:ascii="Calibri" w:hAnsi="Calibri" w:cs="Calibri"/>
        </w:rPr>
        <w:t>Stadsnät, fjärrvärme och telekommunikationsledningar finns inom planområdet från Smedjebacken energi och Skanova.</w:t>
      </w:r>
    </w:p>
    <w:p>
      <w:pPr>
        <w:pStyle w:val="P3"/>
        <w:rPr>
          <w:rFonts w:asciiTheme="minorHAnsi" w:hAnsiTheme="minorHAnsi" w:cstheme="minorHAnsi"/>
        </w:rPr>
      </w:pPr>
      <w:bookmarkEnd w:id="127"/>
      <w:r>
        <w:rPr>
          <w:rFonts w:asciiTheme="minorHAnsi" w:hAnsiTheme="minorHAnsi" w:cstheme="minorHAnsi"/>
        </w:rPr>
        <w:t>Återvinning och avfallshantering</w:t>
      </w:r>
      <w:bookmarkStart w:id="128" w:name="pf_avfall01"/>
    </w:p>
    <w:p>
      <w:pPr>
        <w:ind w:left="720"/>
        <w:rPr>
          <w:rFonts w:cstheme="minorHAnsi"/>
        </w:rPr>
      </w:pPr>
      <w:bookmarkEnd w:id="120"/>
      <w:r>
        <w:rPr>
          <w:rFonts w:ascii="Calibri" w:hAnsi="Calibri" w:cs="Calibri"/>
        </w:rPr>
        <w:t xml:space="preserve">Avfallshantering är en viktig del av samhällets tekniska </w:t>
      </w:r>
      <w:r>
        <w:rPr>
          <w:rFonts w:ascii="Calibri" w:hAnsi="Calibri" w:cs="Calibri"/>
        </w:rPr>
        <w:t>försörjningssystem</w:t>
      </w:r>
      <w:r>
        <w:rPr>
          <w:rFonts w:ascii="Calibri" w:hAnsi="Calibri" w:cs="Calibri"/>
        </w:rPr>
        <w:t xml:space="preserve"> av både miljö- och hälsoskäl. Föreskrifter om avfallshantering för Smedjebackens kommun samt avfallsplanen </w:t>
      </w:r>
      <w:r>
        <w:rPr>
          <w:rFonts w:ascii="Calibri" w:hAnsi="Calibri" w:cs="Calibri"/>
          <w:i w:val="1"/>
          <w:iCs w:val="1"/>
        </w:rPr>
        <w:t xml:space="preserve">Kretsloppsplan 2024–2030 Förebygga och hantera avfall i Ludvika kommun och Smedjebackens kommun </w:t>
      </w:r>
      <w:r>
        <w:rPr>
          <w:rFonts w:ascii="Calibri" w:hAnsi="Calibri" w:cs="Calibri"/>
        </w:rPr>
        <w:t xml:space="preserve">ska följas, till dess att en ny avfallsplan antas. Ansvarig för avfall i området är WBAB WessmanBarken Vatten &amp; Återvinning AB. </w:t>
      </w:r>
      <w:r>
        <w:rPr>
          <w:rFonts w:cstheme="minorHAnsi"/>
        </w:rPr>
        <w:t>Den närmaste återvinningscentralen är Nytäppans återvinningscentral. Återvinningsstationer återfinns på två platser 120 m i vardera riktningen från Sveavägen.</w:t>
      </w:r>
    </w:p>
    <w:p>
      <w:pPr>
        <w:pStyle w:val="P2"/>
        <w:rPr>
          <w:rFonts w:asciiTheme="minorHAnsi" w:hAnsiTheme="minorHAnsi" w:cstheme="minorHAnsi"/>
        </w:rPr>
      </w:pPr>
      <w:bookmarkEnd w:id="128"/>
      <w:bookmarkStart w:id="129" w:name="_Toc219101269"/>
      <w:r>
        <w:rPr>
          <w:rFonts w:asciiTheme="minorHAnsi" w:hAnsiTheme="minorHAnsi" w:cstheme="minorHAnsi"/>
        </w:rPr>
        <w:t>Miljökvalitetsnormer</w:t>
      </w:r>
      <w:bookmarkEnd w:id="129"/>
    </w:p>
    <w:p>
      <w:pPr>
        <w:ind w:left="576"/>
        <w:rPr>
          <w:rFonts w:cstheme="minorHAnsi"/>
        </w:rPr>
      </w:pPr>
      <w:r>
        <w:rPr>
          <w:rFonts w:cstheme="minorHAnsi"/>
        </w:rPr>
        <w:t xml:space="preserve">Miljökvalitetsnormer (MKN) är bestämmelser om kvaliteten på mark, vatten, luft eller miljön i övrigt och regleras i miljöbalken. Vid planläggning och i andra ärenden enligt plan- och bygglagen ska miljökvalitetsnormerna följas. </w:t>
      </w:r>
    </w:p>
    <w:p>
      <w:pPr>
        <w:pStyle w:val="P3"/>
        <w:rPr>
          <w:rFonts w:asciiTheme="minorHAnsi" w:hAnsiTheme="minorHAnsi" w:cstheme="minorHAnsi"/>
        </w:rPr>
      </w:pPr>
      <w:r>
        <w:rPr>
          <w:rFonts w:asciiTheme="minorHAnsi" w:hAnsiTheme="minorHAnsi" w:cstheme="minorHAnsi"/>
        </w:rPr>
        <w:t>Miljökvalitetsnormerna för Luft</w:t>
      </w:r>
    </w:p>
    <w:p>
      <w:pPr>
        <w:ind w:left="720"/>
        <w:rPr>
          <w:rFonts w:ascii="Calibri" w:hAnsi="Calibri" w:cs="Calibri"/>
          <w:i w:val="1"/>
          <w:iCs w:val="1"/>
        </w:rPr>
      </w:pPr>
      <w:bookmarkStart w:id="130" w:name="pf_luft01"/>
      <w:r>
        <w:rPr>
          <w:rFonts w:ascii="Calibri" w:hAnsi="Calibri" w:cs="Calibri"/>
        </w:rPr>
        <w:t xml:space="preserve">En större tillgänglighet och fler etableringar i området kan på sikt påverka trafikgenomströmningen där bilfordon och föroreningar kan öka. Den förväntade ökningen av fordon kan ses i avsnitt; </w:t>
      </w:r>
      <w:r>
        <w:rPr>
          <w:rFonts w:ascii="Calibri" w:hAnsi="Calibri" w:cs="Calibri"/>
          <w:i w:val="1"/>
          <w:iCs w:val="1"/>
        </w:rPr>
        <w:t xml:space="preserve">5.10.1 Beräkning av omgivningsbuller. </w:t>
      </w:r>
      <w:r>
        <w:rPr>
          <w:rFonts w:ascii="Calibri" w:hAnsi="Calibri" w:cs="Calibri"/>
        </w:rPr>
        <w:t>Inga förändringar som äventyrar miljökvalitetsnormerna för luft förväntas att ske vid genomförandet av planförslaget, då tillkommande bostäder med ökad trafik som följd förväntas vara låg och därmed inte äventyra miljökvalitetsnormerna för luft.</w:t>
      </w:r>
    </w:p>
    <w:p>
      <w:pPr>
        <w:pStyle w:val="P3"/>
        <w:rPr>
          <w:rFonts w:asciiTheme="minorHAnsi" w:hAnsiTheme="minorHAnsi" w:cstheme="minorHAnsi"/>
        </w:rPr>
      </w:pPr>
      <w:bookmarkEnd w:id="130"/>
      <w:r>
        <w:rPr>
          <w:rFonts w:asciiTheme="minorHAnsi" w:hAnsiTheme="minorHAnsi" w:cstheme="minorHAnsi"/>
        </w:rPr>
        <w:t>Miljökvalitetsnormerna för Vatten</w:t>
      </w:r>
    </w:p>
    <w:p>
      <w:pPr>
        <w:ind w:left="720"/>
        <w:rPr>
          <w:rFonts w:ascii="Calibri" w:hAnsi="Calibri" w:cs="Calibri"/>
        </w:rPr>
      </w:pPr>
      <w:bookmarkStart w:id="131" w:name="pf_vatten01"/>
      <w:r>
        <w:rPr>
          <w:rFonts w:ascii="Calibri" w:hAnsi="Calibri" w:cs="Calibri"/>
        </w:rPr>
        <w:t xml:space="preserve">Miljökvalitetsnormerna för vatten beskriver den kvalitet en så kallad vattenförekomst ska ha nått vid en viss tidpunkt. Syftet med normerna är att säkra Sveriges vattenkvalitet. Miljökvalitetsnormerna omfattar ekologisk- och kemisk status. Den ekologiska statusen bedöms på en femgradig skala som är färgkodade; </w:t>
      </w:r>
    </w:p>
    <w:p>
      <w:pPr>
        <w:pStyle w:val="P31"/>
        <w:numPr>
          <w:ilvl w:val="0"/>
          <w:numId w:val="12"/>
        </w:numPr>
        <w:rPr>
          <w:rFonts w:ascii="Calibri" w:hAnsi="Calibri" w:cs="Calibri"/>
        </w:rPr>
      </w:pPr>
      <w:r>
        <w:rPr>
          <w:rFonts w:ascii="Calibri" w:hAnsi="Calibri" w:cs="Calibri"/>
          <w:shd w:val="clear" w:color="auto" w:fill="00B0F0"/>
        </w:rPr>
        <w:t>Hög</w:t>
      </w:r>
    </w:p>
    <w:p>
      <w:pPr>
        <w:pStyle w:val="P31"/>
        <w:numPr>
          <w:ilvl w:val="0"/>
          <w:numId w:val="12"/>
        </w:numPr>
        <w:rPr>
          <w:rFonts w:ascii="Calibri" w:hAnsi="Calibri" w:cs="Calibri"/>
        </w:rPr>
      </w:pPr>
      <w:r>
        <w:rPr>
          <w:rFonts w:ascii="Calibri" w:hAnsi="Calibri" w:cs="Calibri"/>
          <w:shd w:val="clear" w:color="auto" w:fill="89D798"/>
        </w:rPr>
        <w:t>God</w:t>
      </w:r>
    </w:p>
    <w:p>
      <w:pPr>
        <w:pStyle w:val="P31"/>
        <w:numPr>
          <w:ilvl w:val="0"/>
          <w:numId w:val="12"/>
        </w:numPr>
        <w:rPr>
          <w:rFonts w:ascii="Calibri" w:hAnsi="Calibri" w:cs="Calibri"/>
        </w:rPr>
      </w:pPr>
      <w:r>
        <w:rPr>
          <w:rFonts w:ascii="Calibri" w:hAnsi="Calibri" w:cs="Calibri"/>
          <w:highlight w:val="yellow"/>
          <w:shd w:val="clear" w:color="auto" w:fill="F8FB7D"/>
        </w:rPr>
        <w:t>Måttlig</w:t>
      </w:r>
    </w:p>
    <w:p>
      <w:pPr>
        <w:pStyle w:val="P31"/>
        <w:numPr>
          <w:ilvl w:val="0"/>
          <w:numId w:val="12"/>
        </w:numPr>
        <w:rPr>
          <w:rFonts w:ascii="Calibri" w:hAnsi="Calibri" w:cs="Calibri"/>
        </w:rPr>
      </w:pPr>
      <w:r>
        <w:rPr>
          <w:rFonts w:ascii="Calibri" w:hAnsi="Calibri" w:cs="Calibri"/>
          <w:shd w:val="clear" w:color="auto" w:fill="FFD966" w:themeFill="accent4" w:themeFillTint="99"/>
        </w:rPr>
        <w:t>Otillfredsställande</w:t>
      </w:r>
    </w:p>
    <w:p>
      <w:pPr>
        <w:pStyle w:val="P31"/>
        <w:numPr>
          <w:ilvl w:val="0"/>
          <w:numId w:val="12"/>
        </w:numPr>
        <w:rPr>
          <w:rFonts w:ascii="Calibri" w:hAnsi="Calibri" w:cs="Calibri"/>
        </w:rPr>
      </w:pPr>
      <w:r>
        <w:rPr>
          <w:rFonts w:ascii="Calibri" w:hAnsi="Calibri" w:cs="Calibri"/>
          <w:shd w:val="clear" w:color="auto" w:fill="EC7A7A"/>
        </w:rPr>
        <w:t>Dålig</w:t>
      </w:r>
    </w:p>
    <w:p>
      <w:pPr>
        <w:ind w:left="720"/>
        <w:rPr>
          <w:rFonts w:ascii="Calibri" w:hAnsi="Calibri" w:cs="Calibri"/>
        </w:rPr>
      </w:pPr>
      <w:r>
        <w:rPr>
          <w:rFonts w:ascii="Calibri" w:hAnsi="Calibri" w:cs="Calibri"/>
        </w:rPr>
        <w:t>Den kemiska statusen har två nivåer som är färgkodade;</w:t>
      </w:r>
    </w:p>
    <w:p>
      <w:pPr>
        <w:pStyle w:val="P31"/>
        <w:numPr>
          <w:ilvl w:val="0"/>
          <w:numId w:val="13"/>
        </w:numPr>
        <w:rPr>
          <w:rFonts w:ascii="Calibri" w:hAnsi="Calibri" w:cs="Calibri"/>
        </w:rPr>
      </w:pPr>
      <w:r>
        <w:rPr>
          <w:rFonts w:ascii="Calibri" w:hAnsi="Calibri" w:cs="Calibri"/>
          <w:shd w:val="clear" w:color="auto" w:fill="89D798"/>
        </w:rPr>
        <w:t>God</w:t>
      </w:r>
    </w:p>
    <w:p>
      <w:pPr>
        <w:pStyle w:val="P31"/>
        <w:numPr>
          <w:ilvl w:val="0"/>
          <w:numId w:val="13"/>
        </w:numPr>
        <w:rPr>
          <w:rFonts w:ascii="Calibri" w:hAnsi="Calibri" w:cs="Calibri"/>
        </w:rPr>
      </w:pPr>
      <w:r>
        <w:rPr>
          <w:rFonts w:ascii="Calibri" w:hAnsi="Calibri" w:cs="Calibri"/>
          <w:shd w:val="clear" w:color="auto" w:fill="EC7A7A"/>
        </w:rPr>
        <w:t>Uppnår ej god</w:t>
      </w:r>
    </w:p>
    <w:p>
      <w:pPr>
        <w:ind w:left="720"/>
        <w:rPr>
          <w:rFonts w:ascii="Calibri" w:hAnsi="Calibri" w:cs="Calibri"/>
        </w:rPr>
      </w:pPr>
      <w:r>
        <w:rPr>
          <w:rFonts w:ascii="Calibri" w:hAnsi="Calibri" w:cs="Calibri"/>
        </w:rPr>
        <w:t>Planområdet har sin avrinning till vattenförekomsten Kolbäcksån som ligger cirka 160 meter från planområdet. Vattnet rinner sedan vidare ut i recipienten Norra barken och hamnar till slut i Östersjön via Mälaren, vilket betyder föroreningar som hamnar i vattnet kan påverka många vattendrag och sjöar nedströms.</w:t>
      </w:r>
    </w:p>
    <w:p>
      <w:pPr>
        <w:ind w:left="720"/>
        <w:rPr>
          <w:rFonts w:ascii="Calibri" w:hAnsi="Calibri" w:cs="Calibri"/>
          <w:u w:val="single"/>
        </w:rPr>
      </w:pPr>
      <w:r>
        <w:rPr>
          <w:rFonts w:ascii="Calibri" w:hAnsi="Calibri" w:cs="Calibri"/>
        </w:rPr>
        <w:br w:type="textWrapping"/>
      </w:r>
      <w:r>
        <w:rPr>
          <w:rFonts w:ascii="Calibri" w:hAnsi="Calibri" w:cs="Calibri"/>
          <w:u w:val="single"/>
        </w:rPr>
        <w:t>Kemisk status</w:t>
      </w:r>
    </w:p>
    <w:p>
      <w:pPr>
        <w:ind w:firstLine="720"/>
        <w:rPr>
          <w:rFonts w:ascii="Calibri" w:hAnsi="Calibri" w:cs="Calibri"/>
        </w:rPr>
      </w:pPr>
      <w:r>
        <w:rPr>
          <w:rFonts w:ascii="Calibri" w:hAnsi="Calibri" w:cs="Calibri"/>
        </w:rPr>
        <w:t xml:space="preserve">Kemisk status; </w:t>
      </w:r>
      <w:r>
        <w:rPr>
          <w:rFonts w:ascii="Calibri" w:hAnsi="Calibri" w:cs="Calibri"/>
          <w:shd w:val="clear" w:color="auto" w:fill="EC7A7A"/>
        </w:rPr>
        <w:t>Uppnår ej god</w:t>
      </w:r>
    </w:p>
    <w:p>
      <w:pPr>
        <w:ind w:left="720"/>
        <w:rPr>
          <w:rFonts w:ascii="Calibri" w:hAnsi="Calibri" w:cs="Calibri"/>
        </w:rPr>
      </w:pPr>
      <w:r>
        <w:rPr>
          <w:rFonts w:ascii="Calibri" w:hAnsi="Calibri" w:cs="Calibri"/>
        </w:rPr>
        <w:t>Den kemiska statusen uppnår ej god status som baseras på att gränsvärdena för kvicksilver (Hg), polybromerade difenyletrar (PBDE) samt PFOS (Perfluoroktansulfonsyra och dess derivater) överskrids.</w:t>
      </w:r>
    </w:p>
    <w:p>
      <w:pPr>
        <w:ind w:left="720"/>
        <w:rPr>
          <w:rFonts w:ascii="Calibri" w:hAnsi="Calibri" w:cs="Calibri"/>
        </w:rPr>
      </w:pPr>
      <w:r>
        <w:rPr>
          <w:rFonts w:ascii="Calibri" w:hAnsi="Calibri" w:cs="Calibri"/>
        </w:rPr>
        <w:t>Gränsvärdena för PBDE och Hg överskrids i alla Sveriges undersökta ytvattenförekomster; sjöar, vattendrag och kustvatten. Utsläpp av PBDE har under lång tid skett i både Sverige och utomlands vilket lett till långväga luftburen spridning och storskalig atmosfärisk deposition av dessa ämnen.</w:t>
      </w:r>
    </w:p>
    <w:p>
      <w:pPr>
        <w:ind w:left="720"/>
        <w:rPr>
          <w:rFonts w:ascii="Calibri" w:hAnsi="Calibri" w:cs="Calibri"/>
        </w:rPr>
      </w:pPr>
      <w:r>
        <w:rPr>
          <w:rFonts w:ascii="Calibri" w:hAnsi="Calibri" w:cs="Calibri"/>
        </w:rPr>
        <w:t xml:space="preserve">PFOS överstiger gränsvärdet. PFOS är mycket långlivat och bioackumulerande, och hör till ämnen som inte får öka enligt miljökvalitetsnormerna. Data för den exakta mängden har låg tillförlitlighet då det saknas mätdata. Åtgärder för att minska föroreningen är fördröjning, filtrering och rening av dagvattnet innan det släpps vidare till recipienten. Andra åtgärder är materialval vid byggnation, minimera hårdgjorda ytor nära vattendraget samt att dagvattnet ska tas hands om lokalt på den egna fastigheten, vilket är fastighetsägarens ansvar. </w:t>
      </w:r>
    </w:p>
    <w:p>
      <w:pPr>
        <w:ind w:left="720"/>
        <w:rPr>
          <w:rFonts w:ascii="Calibri" w:hAnsi="Calibri" w:cs="Calibri"/>
          <w:b w:val="1"/>
          <w:bCs w:val="1"/>
        </w:rPr>
      </w:pPr>
    </w:p>
    <w:p>
      <w:pPr>
        <w:ind w:left="720"/>
        <w:rPr>
          <w:rFonts w:ascii="Calibri" w:hAnsi="Calibri" w:cs="Calibri"/>
          <w:u w:val="single"/>
        </w:rPr>
      </w:pPr>
      <w:r>
        <w:rPr>
          <w:rFonts w:ascii="Calibri" w:hAnsi="Calibri" w:cs="Calibri"/>
          <w:u w:val="single"/>
        </w:rPr>
        <w:t>Ekologisk status</w:t>
      </w:r>
    </w:p>
    <w:p>
      <w:pPr>
        <w:ind w:firstLine="720"/>
        <w:rPr>
          <w:rFonts w:ascii="Calibri" w:hAnsi="Calibri" w:cs="Calibri"/>
        </w:rPr>
      </w:pPr>
      <w:r>
        <w:rPr>
          <w:rFonts w:ascii="Calibri" w:hAnsi="Calibri" w:cs="Calibri"/>
        </w:rPr>
        <w:t xml:space="preserve">Ekologisk status; </w:t>
      </w:r>
      <w:r>
        <w:rPr>
          <w:rFonts w:ascii="Calibri" w:hAnsi="Calibri" w:cs="Calibri"/>
          <w:highlight w:val="yellow"/>
          <w:shd w:val="clear" w:color="auto" w:fill="F8FB7D"/>
        </w:rPr>
        <w:t>Måttlig</w:t>
      </w:r>
    </w:p>
    <w:p>
      <w:pPr>
        <w:ind w:left="720"/>
        <w:rPr>
          <w:rFonts w:ascii="Calibri" w:hAnsi="Calibri" w:cs="Calibri"/>
        </w:rPr>
      </w:pPr>
      <w:r>
        <w:rPr>
          <w:rFonts w:ascii="Calibri" w:hAnsi="Calibri" w:cs="Calibri"/>
        </w:rPr>
        <w:t xml:space="preserve">Den ekologiska statusen är en sammanvägning av de biologiska, kemiska och fysiska egenskaperna i vattnet. Om vattnet påverkas i betydande utsträckning av näringsbelastning, försurning, särskilt förorenade ämnen eller är förändrat genom fysiska ingrepp speglas det i bedömningen av den ekologiska statusen.  </w:t>
      </w:r>
    </w:p>
    <w:p>
      <w:pPr>
        <w:pStyle w:val="P31"/>
        <w:rPr>
          <w:rFonts w:ascii="Calibri" w:hAnsi="Calibri" w:cs="Calibri"/>
        </w:rPr>
      </w:pPr>
      <w:r>
        <w:rPr>
          <w:rFonts w:ascii="Calibri" w:hAnsi="Calibri" w:cs="Calibri"/>
        </w:rPr>
        <w:t xml:space="preserve">Följande faktorer är undermåliga i Kolbäcksån och beror på den måttliga statusen, som måste förstärkas för att uppnå </w:t>
      </w:r>
      <w:r>
        <w:rPr>
          <w:rFonts w:ascii="Calibri" w:hAnsi="Calibri" w:cs="Calibri"/>
          <w:shd w:val="clear" w:color="auto" w:fill="89D798"/>
        </w:rPr>
        <w:t>God</w:t>
      </w:r>
      <w:r>
        <w:rPr>
          <w:rFonts w:ascii="Calibri" w:hAnsi="Calibri" w:cs="Calibri"/>
        </w:rPr>
        <w:t xml:space="preserve"> eller </w:t>
      </w:r>
      <w:r>
        <w:rPr>
          <w:rFonts w:ascii="Calibri" w:hAnsi="Calibri" w:cs="Calibri"/>
          <w:shd w:val="clear" w:color="auto" w:fill="00B0F0"/>
        </w:rPr>
        <w:t>Hög</w:t>
      </w:r>
      <w:r>
        <w:rPr>
          <w:rFonts w:ascii="Calibri" w:hAnsi="Calibri" w:cs="Calibri"/>
        </w:rPr>
        <w:t xml:space="preserve"> status;</w:t>
      </w:r>
    </w:p>
    <w:p>
      <w:pPr>
        <w:ind w:firstLine="720"/>
        <w:rPr>
          <w:rFonts w:ascii="Calibri" w:hAnsi="Calibri" w:cs="Calibri"/>
        </w:rPr>
      </w:pPr>
      <w:r>
        <w:rPr>
          <w:rFonts w:ascii="Calibri" w:hAnsi="Calibri" w:cs="Calibri"/>
          <w:i w:val="1"/>
          <w:iCs w:val="1"/>
        </w:rPr>
        <w:t>Fisk i rinnande vatten (VIX/VIXMORF/VIXh/VIXsm)</w:t>
      </w:r>
      <w:r>
        <w:rPr>
          <w:rFonts w:ascii="Calibri" w:hAnsi="Calibri" w:cs="Calibri"/>
        </w:rPr>
        <w:t xml:space="preserve"> som påverkas av bland annat;</w:t>
      </w:r>
    </w:p>
    <w:p>
      <w:pPr>
        <w:pStyle w:val="P31"/>
        <w:numPr>
          <w:ilvl w:val="0"/>
          <w:numId w:val="11"/>
        </w:numPr>
        <w:rPr>
          <w:rFonts w:ascii="Calibri" w:hAnsi="Calibri" w:cs="Calibri"/>
        </w:rPr>
      </w:pPr>
      <w:r>
        <w:rPr>
          <w:rFonts w:ascii="Calibri" w:hAnsi="Calibri" w:cs="Calibri"/>
        </w:rPr>
        <w:t>Artantal</w:t>
      </w:r>
    </w:p>
    <w:p>
      <w:pPr>
        <w:pStyle w:val="P31"/>
        <w:numPr>
          <w:ilvl w:val="0"/>
          <w:numId w:val="10"/>
        </w:numPr>
        <w:rPr>
          <w:rFonts w:ascii="Calibri" w:hAnsi="Calibri" w:cs="Calibri"/>
        </w:rPr>
      </w:pPr>
      <w:r>
        <w:rPr>
          <w:rFonts w:ascii="Calibri" w:hAnsi="Calibri" w:cs="Calibri"/>
        </w:rPr>
        <w:t>Förekomst av känsliga/ krävande arter</w:t>
      </w:r>
    </w:p>
    <w:p>
      <w:pPr>
        <w:pStyle w:val="P31"/>
        <w:numPr>
          <w:ilvl w:val="0"/>
          <w:numId w:val="10"/>
        </w:numPr>
        <w:rPr>
          <w:rFonts w:ascii="Calibri" w:hAnsi="Calibri" w:cs="Calibri"/>
        </w:rPr>
      </w:pPr>
      <w:r>
        <w:rPr>
          <w:rFonts w:ascii="Calibri" w:hAnsi="Calibri" w:cs="Calibri"/>
        </w:rPr>
        <w:t>Sammansättning och åldersstruktur</w:t>
      </w:r>
    </w:p>
    <w:p>
      <w:pPr>
        <w:pStyle w:val="P31"/>
        <w:numPr>
          <w:ilvl w:val="0"/>
          <w:numId w:val="10"/>
        </w:numPr>
        <w:rPr>
          <w:rFonts w:ascii="Calibri" w:hAnsi="Calibri" w:cs="Calibri"/>
        </w:rPr>
      </w:pPr>
      <w:r>
        <w:rPr>
          <w:rFonts w:ascii="Calibri" w:hAnsi="Calibri" w:cs="Calibri"/>
        </w:rPr>
        <w:t>Påverkan av vandringshinder, vattenreglering och morfologi i miljön</w:t>
      </w:r>
    </w:p>
    <w:p>
      <w:pPr>
        <w:ind w:left="720"/>
        <w:rPr>
          <w:rFonts w:ascii="Calibri" w:hAnsi="Calibri" w:cs="Calibri"/>
        </w:rPr>
      </w:pPr>
      <w:r>
        <w:rPr>
          <w:rFonts w:ascii="Calibri" w:hAnsi="Calibri" w:cs="Calibri"/>
        </w:rPr>
        <w:t>Dess status kan åtgärdas bland annat genom mer mängd mätdata samlas in vid osäkerhet för att säkerställa status, problem och lösningar samt genom att tillmötesgå statusen för; Särskilt förorenade ämnen, Konnektivitet i vattendrag, Hydrologisk regim i vattendrag och Morfologiskt tillstånd i vattendrag.</w:t>
      </w:r>
    </w:p>
    <w:p>
      <w:pPr>
        <w:spacing w:after="0" w:beforeAutospacing="0" w:afterAutospacing="0"/>
        <w:ind w:left="720"/>
        <w:rPr>
          <w:rFonts w:ascii="Calibri" w:hAnsi="Calibri" w:cs="Calibri"/>
          <w:i w:val="1"/>
          <w:iCs w:val="1"/>
        </w:rPr>
      </w:pPr>
      <w:r>
        <w:rPr>
          <w:rFonts w:ascii="Calibri" w:hAnsi="Calibri" w:cs="Calibri"/>
          <w:i w:val="1"/>
          <w:iCs w:val="1"/>
        </w:rPr>
        <w:t xml:space="preserve">Särskilt förorenade ämnen. </w:t>
      </w:r>
    </w:p>
    <w:p>
      <w:pPr>
        <w:ind w:left="720"/>
        <w:rPr>
          <w:rFonts w:ascii="Calibri" w:hAnsi="Calibri" w:cs="Calibri"/>
        </w:rPr>
      </w:pPr>
      <w:r>
        <w:rPr>
          <w:rFonts w:ascii="Calibri" w:hAnsi="Calibri" w:cs="Calibri"/>
        </w:rPr>
        <w:t xml:space="preserve">Uran finns i för höga halter i vattnet, men data för exakta mängden har låg tillförlitlighet då det saknas mätdata i underlaget. </w:t>
      </w:r>
    </w:p>
    <w:p>
      <w:pPr>
        <w:ind w:left="720"/>
        <w:rPr>
          <w:rFonts w:ascii="Calibri" w:hAnsi="Calibri" w:cs="Calibri"/>
        </w:rPr>
      </w:pPr>
      <w:r>
        <w:rPr>
          <w:rFonts w:ascii="Calibri" w:hAnsi="Calibri" w:cs="Calibri"/>
          <w:i w:val="1"/>
          <w:iCs w:val="1"/>
        </w:rPr>
        <w:t>Konnektivitet i vattendrag</w:t>
        <w:br w:type="textWrapping"/>
      </w:r>
      <w:r>
        <w:rPr>
          <w:rFonts w:ascii="Calibri" w:hAnsi="Calibri" w:cs="Calibri"/>
        </w:rPr>
        <w:t>Vilket betyder att det finns för många vandringshinder eller fysiska barriärer som begränsar fiskar och levande vattenorganismers möjligheter för föda, vandra, sprida sig eller återhämta sig. Exempel på detta i Kolbäcksån är dammar och vattenkraftverk utan fiskvägar. Det kan också vara vägtrummor och broar som är felaktigt konstruerade. Nya krav nationellt kommer tillämpas för fiskvägar för större anläggningar framgent, vilket på sikt kan förbättra framkomligheten vid vattenkraftverken längst Kolbäcksåns sträckning.</w:t>
      </w:r>
    </w:p>
    <w:p>
      <w:pPr>
        <w:ind w:left="720"/>
        <w:rPr>
          <w:rFonts w:ascii="Calibri" w:hAnsi="Calibri" w:cs="Calibri"/>
          <w:i w:val="1"/>
          <w:iCs w:val="1"/>
        </w:rPr>
      </w:pPr>
      <w:r>
        <w:rPr>
          <w:rFonts w:ascii="Calibri" w:hAnsi="Calibri" w:cs="Calibri"/>
          <w:i w:val="1"/>
          <w:iCs w:val="1"/>
        </w:rPr>
        <w:t>Hydrologisk regim i vattendrag</w:t>
      </w:r>
      <w:r>
        <w:rPr>
          <w:rFonts w:ascii="Calibri" w:hAnsi="Calibri" w:cs="Calibri"/>
        </w:rPr>
        <w:t xml:space="preserve"> </w:t>
        <w:br w:type="textWrapping"/>
        <w:t>Detta handlar om vattenflödenas storlek, variation över året, naturliga höga- och låga flöden och flödesdynamiken. Det finns volymavvikelse i vattendrag som behöver åtgärdas. Aktuell vattenförekomst innehåller en så kallad torrfåra som periodvis saknar eller har ett mycket lågt flöde, vilket utöver flödesregleringen ytterligare påverkar hydrologin. Hydrologisk regim i vattendrag</w:t>
      </w:r>
      <w:r>
        <w:rPr>
          <w:rFonts w:ascii="Calibri" w:hAnsi="Calibri" w:cs="Calibri"/>
          <w:i w:val="1"/>
          <w:iCs w:val="1"/>
        </w:rPr>
        <w:t xml:space="preserve"> </w:t>
      </w:r>
      <w:r>
        <w:rPr>
          <w:rFonts w:ascii="Calibri" w:hAnsi="Calibri" w:cs="Calibri"/>
        </w:rPr>
        <w:t>kan bero på vattenreglering från kraftverk, uttag eller påledning av vatten, markavvattning, dagvattenpåverkan eller urban påverkan. Åtgärder för detta kan vara anpassa vattnets reglering, återställning av flödesynamiken, fördröjning av dagvatten och skydd av vattenmiljöer. Detta kan inom detaljplanen åtgärdas bland annat med fördröjning och omhändertagande av vatten på den egna fastigheten vilket är fastighetsägarens ansvar. Åtgärder som minimerar hårdgjorda ytor är av vikt så inte statusen för Hydrologisk regim i vattendrag riskerar att försämras, vilket påverkar miljökvalitetsnormerna för vatten negativt.</w:t>
      </w:r>
    </w:p>
    <w:p>
      <w:pPr>
        <w:spacing w:after="0" w:beforeAutospacing="0" w:afterAutospacing="0"/>
        <w:ind w:left="720"/>
        <w:rPr>
          <w:rFonts w:ascii="Calibri" w:hAnsi="Calibri" w:cs="Calibri"/>
          <w:i w:val="1"/>
          <w:iCs w:val="1"/>
        </w:rPr>
      </w:pPr>
      <w:r>
        <w:rPr>
          <w:rFonts w:ascii="Calibri" w:hAnsi="Calibri" w:cs="Calibri"/>
          <w:i w:val="1"/>
          <w:iCs w:val="1"/>
        </w:rPr>
        <w:t>Morfologiskt tillstånd i vattendrag.</w:t>
      </w:r>
    </w:p>
    <w:p>
      <w:pPr>
        <w:ind w:left="720"/>
        <w:rPr>
          <w:rFonts w:ascii="Calibri" w:hAnsi="Calibri" w:cs="Calibri"/>
        </w:rPr>
      </w:pPr>
      <w:r>
        <w:rPr>
          <w:rFonts w:ascii="Calibri" w:hAnsi="Calibri" w:cs="Calibri"/>
        </w:rPr>
        <w:t>För att förbättra statusen så bör återställning av naturliga strukturer med naturliga inslag ske samt att naturliga slingrande former av vattendraget skapas, vilket är ett arbete längst hela Kolbäcksåns sträckning. Andra åtgärder är att begränsa fysisk påverkan på vattendraget och återställa svämplan. För att förbättra denna status behöver vattendragets närområde åtgärdas vilket inte berör planområdet. Större åtgärder för Kolbäcksån behöver arbetas med uppströms och nerströms.</w:t>
      </w:r>
    </w:p>
    <w:p>
      <w:pPr>
        <w:ind w:left="720"/>
        <w:rPr>
          <w:rFonts w:ascii="Calibri" w:hAnsi="Calibri" w:cs="Calibri"/>
        </w:rPr>
      </w:pPr>
      <w:bookmarkEnd w:id="131"/>
      <w:bookmarkStart w:id="132" w:name="ko_vatten01"/>
      <w:r>
        <w:rPr>
          <w:rFonts w:ascii="Calibri" w:hAnsi="Calibri" w:cs="Calibri"/>
        </w:rPr>
        <w:t xml:space="preserve">Planförslaget förväntas inte ha en påtaglig negativ påverkan på vattenförekomstens status. Lokalt omhändertagande av dagvatten är fastighetsägarens eget ansvar så inte Kolbäcksån samt Norra barkens vattenförekomst och recipient inte påverkas negativt. </w:t>
      </w:r>
    </w:p>
    <w:p>
      <w:pPr>
        <w:pStyle w:val="P3"/>
        <w:rPr>
          <w:rFonts w:asciiTheme="minorHAnsi" w:hAnsiTheme="minorHAnsi" w:cstheme="minorHAnsi"/>
        </w:rPr>
      </w:pPr>
      <w:bookmarkEnd w:id="132"/>
      <w:r>
        <w:rPr>
          <w:rFonts w:asciiTheme="minorHAnsi" w:hAnsiTheme="minorHAnsi" w:cstheme="minorHAnsi"/>
        </w:rPr>
        <w:t>Miljökvalitetsnormen för Buller</w:t>
      </w:r>
    </w:p>
    <w:p>
      <w:pPr>
        <w:ind w:left="720"/>
        <w:rPr>
          <w:rFonts w:cstheme="minorHAnsi"/>
        </w:rPr>
      </w:pPr>
      <w:bookmarkStart w:id="133" w:name="pf_buller01"/>
      <w:r>
        <w:rPr>
          <w:rFonts w:cstheme="minorHAnsi"/>
        </w:rPr>
        <w:t xml:space="preserve">Eftersom planområdet är bebyggt och inga nya planer finns på exploatering så förväntas inga nya bostäder tillkomma. Den större delen av trafiken som redan finns går till centrums samlande områden samt genomfart till andra bostadsområden i tätorten. Genomförandet av detaljplanen förväntas inte göra någon skillnad eller liten skillnad jämförd med nuvarande plan, vilket innebära en marginell ökning av trafikbuller, eftersom bebyggelsen förväntas vara oförändrad samt att goda kommunikationer för kollektivtrafik och cykelstråk finns till och från området. En mindre andel genomfartstrafik kan också ske naturligt när staden växer, eftersom planområdet utgör en entré för att ta sig till målpunkter i stadskärnan. </w:t>
      </w:r>
    </w:p>
    <w:p>
      <w:pPr>
        <w:ind w:left="720"/>
        <w:rPr>
          <w:rFonts w:cstheme="minorHAnsi"/>
        </w:rPr>
      </w:pPr>
      <w:r>
        <w:rPr>
          <w:rFonts w:cstheme="minorHAnsi"/>
        </w:rPr>
        <w:t>Nya bostäder som uppförs har i regel högre krav på buller och bättre tekniska förutsättningar för att hantera buller. Platsen ligger i en miljö som innehar buller från trafik men,</w:t>
      </w:r>
      <w:bookmarkEnd w:id="133"/>
      <w:bookmarkStart w:id="134" w:name="ko_buller01"/>
      <w:r>
        <w:rPr>
          <w:rFonts w:cstheme="minorHAnsi"/>
        </w:rPr>
        <w:t xml:space="preserve"> planförslaget anses vara i en situation där bullernivåerna inte förväntas förändras mer än 1–2 dBA. Planbestämmelser har reglerats i planförslaget avseende buller såsom höjdangivelse, genomsläpplighet och nyttjanderätt. Planförslaget förväntas därför inte leda till betydligt störande eller hälsoskadliga miljöer och bedöms inte förändra bullernivåerna mot dagens nivåer betydligt. För beräkning av omgivningsbuller se avsnitt; </w:t>
      </w:r>
      <w:r>
        <w:rPr>
          <w:rFonts w:cstheme="minorHAnsi"/>
          <w:i w:val="1"/>
          <w:iCs w:val="1"/>
        </w:rPr>
        <w:t>5.10.1 Beräkning av omgivningsbuller</w:t>
      </w:r>
      <w:r>
        <w:rPr>
          <w:rFonts w:cstheme="minorHAnsi"/>
        </w:rPr>
        <w:t xml:space="preserve">. Planförslaget anses inte leda till några betydande tillskott för buller eller påverkan på miljökvalitetsnormen för buller. </w:t>
      </w:r>
    </w:p>
    <w:p>
      <w:pPr>
        <w:pStyle w:val="P2"/>
        <w:rPr>
          <w:rFonts w:asciiTheme="minorHAnsi" w:hAnsiTheme="minorHAnsi" w:cstheme="minorHAnsi"/>
        </w:rPr>
      </w:pPr>
      <w:bookmarkEnd w:id="134"/>
      <w:r>
        <w:rPr>
          <w:rFonts w:asciiTheme="minorHAnsi" w:hAnsiTheme="minorHAnsi" w:cstheme="minorHAnsi"/>
        </w:rPr>
        <w:t xml:space="preserve">  </w:t>
      </w:r>
      <w:bookmarkStart w:id="135" w:name="_Toc219101270"/>
      <w:r>
        <w:rPr>
          <w:rFonts w:asciiTheme="minorHAnsi" w:hAnsiTheme="minorHAnsi" w:cstheme="minorHAnsi"/>
        </w:rPr>
        <w:t>Hälsa och säkerhet</w:t>
      </w:r>
      <w:bookmarkEnd w:id="135"/>
    </w:p>
    <w:p>
      <w:pPr>
        <w:pStyle w:val="P3"/>
        <w:rPr>
          <w:rFonts w:asciiTheme="minorHAnsi" w:hAnsiTheme="minorHAnsi" w:cstheme="minorHAnsi"/>
        </w:rPr>
      </w:pPr>
      <w:bookmarkStart w:id="136" w:name="_Hlk207788105"/>
      <w:bookmarkStart w:id="137" w:name="_Hlk208921137"/>
      <w:r>
        <w:rPr>
          <w:rFonts w:asciiTheme="minorHAnsi" w:hAnsiTheme="minorHAnsi" w:cstheme="minorHAnsi"/>
        </w:rPr>
        <w:t>Beräkning av omgivningsbuller</w:t>
      </w:r>
    </w:p>
    <w:p>
      <w:pPr>
        <w:ind w:left="720"/>
        <w:rPr>
          <w:rFonts w:cstheme="minorHAnsi"/>
        </w:rPr>
      </w:pPr>
      <w:bookmarkStart w:id="138" w:name="pf_omgivningsbuller01"/>
      <w:bookmarkStart w:id="139" w:name="_Hlk208925330"/>
      <w:r>
        <w:rPr>
          <w:rFonts w:cstheme="minorHAnsi"/>
        </w:rPr>
        <w:t xml:space="preserve">Trafikmängden har hämtats från kommunens mätning genomförda under 2021 och 2023 på väg 635 samt 2025 på Vasagatan inom planområdet. Dessa mätningar har räknats om till prognos för 2040. Trafikmängden på Sveavägen har uppskattats från beräkningar på Vasagatan. Det uppskattas att cirka 75% av trafiken på Vasagatan leds vidare via Sveavägen, medan majoriteten av resterande delen förväntas ta sig vidare upp mot Vasatorget som ansluter till Malmgatan via gångfartsgatan Allégatan. Någon enstaka procent angör ett fåtal butiker och bostäder på återvändsgatan Sveavägen i östlig riktning. Alla gator och vägar som är berörda har en hastighetsbegränsning på 40km/h, men är i realiteten den faktiska hastigheten betydligt lägre inom planområdet. Vasagatan genom planområdet visar efter mätning att 96% av registrerade fordon håller hastigheten, där hastigheten dämpas succesivt från entrén på grund av vägbredd, rörelse, uppfattning av en lugnare gata, med mera. Väg 635 som bullrar mest har en sväng precis intill planområdet där trafiken har ett långsammare tempo. Medelhastigheten i bullerberäkningen är satt på maxgränsen till högsta tillåtna hastighet på 40km/h på alla 3 gator men förväntas vara lägre i realiteten på Sveavägen och Vasagatan inom planområdet. </w:t>
      </w: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r>
        <w:rPr>
          <w:rFonts w:cstheme="minorHAnsi"/>
          <w:b w:val="1"/>
          <w:bCs w:val="1"/>
        </w:rPr>
        <w:t>Trafikmätningsdata samt Gatudata 2022–2025</w:t>
      </w:r>
    </w:p>
    <w:tbl>
      <w:tblPr>
        <w:tblStyle w:val="T3"/>
        <w:tblW w:w="8503" w:type="dxa"/>
        <w:tblInd w:w="720" w:type="dxa"/>
        <w:tblLook w:val="04A0"/>
      </w:tblPr>
      <w:tblGrid/>
      <w:tr>
        <w:trPr>
          <w:trHeight w:hRule="atLeast" w:val="577"/>
        </w:trPr>
        <w:tc>
          <w:tcPr>
            <w:tcW w:w="1273" w:type="dxa"/>
            <w:shd w:val="clear" w:color="auto" w:fill="F3F6FB"/>
          </w:tcPr>
          <w:p>
            <w:pPr>
              <w:rPr>
                <w:rFonts w:cstheme="minorHAnsi"/>
                <w:b w:val="1"/>
                <w:bCs w:val="1"/>
                <w:sz w:val="18"/>
                <w:szCs w:val="18"/>
              </w:rPr>
            </w:pPr>
            <w:r>
              <w:rPr>
                <w:rFonts w:cstheme="minorHAnsi"/>
                <w:b w:val="1"/>
                <w:bCs w:val="1"/>
                <w:sz w:val="18"/>
                <w:szCs w:val="18"/>
              </w:rPr>
              <w:t>Gata</w:t>
            </w:r>
          </w:p>
        </w:tc>
        <w:tc>
          <w:tcPr>
            <w:tcW w:w="765" w:type="dxa"/>
            <w:shd w:val="clear" w:color="auto" w:fill="F3F6FB"/>
          </w:tcPr>
          <w:p>
            <w:pPr>
              <w:rPr>
                <w:rFonts w:cstheme="minorHAnsi"/>
                <w:b w:val="1"/>
                <w:bCs w:val="1"/>
                <w:sz w:val="18"/>
                <w:szCs w:val="18"/>
              </w:rPr>
            </w:pPr>
            <w:r>
              <w:rPr>
                <w:rFonts w:cstheme="minorHAnsi"/>
                <w:b w:val="1"/>
                <w:bCs w:val="1"/>
                <w:sz w:val="18"/>
                <w:szCs w:val="18"/>
              </w:rPr>
              <w:t>Trafik 2022</w:t>
            </w:r>
          </w:p>
          <w:p>
            <w:pPr>
              <w:rPr>
                <w:rFonts w:cstheme="minorHAnsi"/>
                <w:sz w:val="18"/>
                <w:szCs w:val="18"/>
              </w:rPr>
            </w:pPr>
            <w:r>
              <w:rPr>
                <w:rFonts w:cstheme="minorHAnsi"/>
                <w:b w:val="1"/>
                <w:bCs w:val="1"/>
                <w:sz w:val="18"/>
                <w:szCs w:val="18"/>
              </w:rPr>
              <w:t>/Dygn</w:t>
            </w:r>
          </w:p>
        </w:tc>
        <w:tc>
          <w:tcPr>
            <w:tcW w:w="784" w:type="dxa"/>
            <w:shd w:val="clear" w:color="auto" w:fill="F3F6FB"/>
          </w:tcPr>
          <w:p>
            <w:pPr>
              <w:rPr>
                <w:rFonts w:cstheme="minorHAnsi"/>
                <w:b w:val="1"/>
                <w:bCs w:val="1"/>
                <w:sz w:val="18"/>
                <w:szCs w:val="18"/>
              </w:rPr>
            </w:pPr>
            <w:r>
              <w:rPr>
                <w:rFonts w:cstheme="minorHAnsi"/>
                <w:b w:val="1"/>
                <w:bCs w:val="1"/>
                <w:sz w:val="18"/>
                <w:szCs w:val="18"/>
              </w:rPr>
              <w:t>Nuläge 2025 /Dygn</w:t>
            </w:r>
          </w:p>
        </w:tc>
        <w:tc>
          <w:tcPr>
            <w:tcW w:w="646" w:type="dxa"/>
            <w:shd w:val="clear" w:color="auto" w:fill="F3F6FB"/>
          </w:tcPr>
          <w:p>
            <w:pPr>
              <w:rPr>
                <w:rFonts w:cstheme="minorHAnsi"/>
                <w:b w:val="1"/>
                <w:bCs w:val="1"/>
                <w:sz w:val="18"/>
                <w:szCs w:val="18"/>
              </w:rPr>
            </w:pPr>
            <w:r>
              <w:rPr>
                <w:rFonts w:cstheme="minorHAnsi"/>
                <w:b w:val="1"/>
                <w:bCs w:val="1"/>
                <w:sz w:val="18"/>
                <w:szCs w:val="18"/>
              </w:rPr>
              <w:t>Tung trafik</w:t>
            </w:r>
          </w:p>
        </w:tc>
        <w:tc>
          <w:tcPr>
            <w:tcW w:w="990" w:type="dxa"/>
            <w:shd w:val="clear" w:color="auto" w:fill="F3F6FB"/>
          </w:tcPr>
          <w:p>
            <w:pPr>
              <w:rPr>
                <w:rFonts w:cstheme="minorHAnsi"/>
                <w:b w:val="1"/>
                <w:bCs w:val="1"/>
                <w:sz w:val="18"/>
                <w:szCs w:val="18"/>
              </w:rPr>
            </w:pPr>
            <w:r>
              <w:rPr>
                <w:rFonts w:cstheme="minorHAnsi"/>
                <w:b w:val="1"/>
                <w:bCs w:val="1"/>
                <w:sz w:val="18"/>
                <w:szCs w:val="18"/>
              </w:rPr>
              <w:t>Hastighet</w:t>
              <w:br w:type="textWrapping"/>
              <w:t>km/h</w:t>
            </w:r>
          </w:p>
        </w:tc>
        <w:tc>
          <w:tcPr>
            <w:tcW w:w="1609" w:type="dxa"/>
            <w:shd w:val="clear" w:color="auto" w:fill="F3F6FB"/>
          </w:tcPr>
          <w:p>
            <w:pPr>
              <w:rPr>
                <w:rFonts w:cstheme="minorHAnsi"/>
                <w:b w:val="1"/>
                <w:bCs w:val="1"/>
                <w:sz w:val="18"/>
                <w:szCs w:val="18"/>
              </w:rPr>
            </w:pPr>
            <w:r>
              <w:rPr>
                <w:rFonts w:cstheme="minorHAnsi"/>
                <w:b w:val="1"/>
                <w:bCs w:val="1"/>
                <w:sz w:val="18"/>
                <w:szCs w:val="18"/>
              </w:rPr>
              <w:t>Mottagaravstånd</w:t>
            </w:r>
          </w:p>
        </w:tc>
        <w:tc>
          <w:tcPr>
            <w:tcW w:w="999" w:type="dxa"/>
            <w:shd w:val="clear" w:color="auto" w:fill="F3F6FB"/>
          </w:tcPr>
          <w:p>
            <w:pPr>
              <w:rPr>
                <w:rFonts w:cstheme="minorHAnsi"/>
                <w:b w:val="1"/>
                <w:bCs w:val="1"/>
                <w:sz w:val="18"/>
                <w:szCs w:val="18"/>
              </w:rPr>
            </w:pPr>
            <w:r>
              <w:rPr>
                <w:rFonts w:cstheme="minorHAnsi"/>
                <w:b w:val="1"/>
                <w:bCs w:val="1"/>
                <w:sz w:val="18"/>
                <w:szCs w:val="18"/>
              </w:rPr>
              <w:t>Vägbredd</w:t>
            </w:r>
          </w:p>
        </w:tc>
        <w:tc>
          <w:tcPr>
            <w:tcW w:w="1437" w:type="dxa"/>
            <w:shd w:val="clear" w:color="auto" w:fill="F3F6FB"/>
          </w:tcPr>
          <w:p>
            <w:pPr>
              <w:rPr>
                <w:rFonts w:cstheme="minorHAnsi"/>
                <w:b w:val="1"/>
                <w:bCs w:val="1"/>
                <w:sz w:val="18"/>
                <w:szCs w:val="18"/>
              </w:rPr>
            </w:pPr>
            <w:r>
              <w:rPr>
                <w:rFonts w:cstheme="minorHAnsi"/>
                <w:b w:val="1"/>
                <w:bCs w:val="1"/>
                <w:sz w:val="18"/>
                <w:szCs w:val="18"/>
              </w:rPr>
              <w:t>Övrig information</w:t>
            </w:r>
          </w:p>
        </w:tc>
      </w:tr>
      <w:tr>
        <w:trPr>
          <w:trHeight w:hRule="atLeast" w:val="588"/>
        </w:trPr>
        <w:tc>
          <w:tcPr>
            <w:tcW w:w="1273" w:type="dxa"/>
            <w:shd w:val="clear" w:color="auto" w:fill="F3F6FB"/>
          </w:tcPr>
          <w:p>
            <w:pPr>
              <w:rPr>
                <w:rFonts w:cstheme="minorHAnsi"/>
                <w:sz w:val="18"/>
                <w:szCs w:val="18"/>
              </w:rPr>
            </w:pPr>
            <w:r>
              <w:rPr>
                <w:rFonts w:cstheme="minorHAnsi"/>
                <w:sz w:val="18"/>
                <w:szCs w:val="18"/>
              </w:rPr>
              <w:t>Vasagatan inom planområdet</w:t>
            </w:r>
          </w:p>
        </w:tc>
        <w:tc>
          <w:tcPr>
            <w:tcW w:w="765" w:type="dxa"/>
            <w:shd w:val="clear" w:color="auto" w:fill="F3F6FB"/>
          </w:tcPr>
          <w:p>
            <w:pPr>
              <w:rPr>
                <w:rFonts w:cstheme="minorHAnsi"/>
                <w:sz w:val="18"/>
                <w:szCs w:val="18"/>
              </w:rPr>
            </w:pPr>
            <w:r>
              <w:rPr>
                <w:rFonts w:cstheme="minorHAnsi"/>
                <w:sz w:val="18"/>
                <w:szCs w:val="18"/>
              </w:rPr>
              <w:t>N/A</w:t>
            </w:r>
          </w:p>
        </w:tc>
        <w:tc>
          <w:tcPr>
            <w:tcW w:w="784" w:type="dxa"/>
            <w:shd w:val="clear" w:color="auto" w:fill="F3F6FB"/>
          </w:tcPr>
          <w:p>
            <w:pPr>
              <w:rPr>
                <w:rFonts w:cstheme="minorHAnsi"/>
                <w:sz w:val="18"/>
                <w:szCs w:val="18"/>
              </w:rPr>
            </w:pPr>
            <w:r>
              <w:rPr>
                <w:rFonts w:cstheme="minorHAnsi"/>
                <w:sz w:val="18"/>
                <w:szCs w:val="18"/>
              </w:rPr>
              <w:t>2212 fordon</w:t>
            </w:r>
          </w:p>
        </w:tc>
        <w:tc>
          <w:tcPr>
            <w:tcW w:w="646" w:type="dxa"/>
            <w:shd w:val="clear" w:color="auto" w:fill="F3F6FB"/>
          </w:tcPr>
          <w:p>
            <w:pPr>
              <w:rPr>
                <w:rFonts w:cstheme="minorHAnsi"/>
                <w:sz w:val="18"/>
                <w:szCs w:val="18"/>
              </w:rPr>
            </w:pPr>
            <w:r>
              <w:rPr>
                <w:rFonts w:cstheme="minorHAnsi"/>
                <w:sz w:val="18"/>
                <w:szCs w:val="18"/>
              </w:rPr>
              <w:t>5%</w:t>
            </w:r>
          </w:p>
        </w:tc>
        <w:tc>
          <w:tcPr>
            <w:tcW w:w="990" w:type="dxa"/>
            <w:shd w:val="clear" w:color="auto" w:fill="F3F6FB"/>
          </w:tcPr>
          <w:p>
            <w:pPr>
              <w:rPr>
                <w:rFonts w:cstheme="minorHAnsi"/>
                <w:sz w:val="18"/>
                <w:szCs w:val="18"/>
              </w:rPr>
            </w:pPr>
            <w:r>
              <w:rPr>
                <w:rFonts w:cstheme="minorHAnsi"/>
                <w:sz w:val="18"/>
                <w:szCs w:val="18"/>
              </w:rPr>
              <w:t>40 km/h</w:t>
            </w:r>
          </w:p>
        </w:tc>
        <w:tc>
          <w:tcPr>
            <w:tcW w:w="1609" w:type="dxa"/>
            <w:shd w:val="clear" w:color="auto" w:fill="F3F6FB"/>
          </w:tcPr>
          <w:p>
            <w:pPr>
              <w:rPr>
                <w:rFonts w:cstheme="minorHAnsi"/>
                <w:sz w:val="18"/>
                <w:szCs w:val="18"/>
              </w:rPr>
            </w:pPr>
            <w:r>
              <w:rPr>
                <w:rFonts w:cstheme="minorHAnsi"/>
                <w:sz w:val="18"/>
                <w:szCs w:val="18"/>
              </w:rPr>
              <w:t>8 m</w:t>
            </w:r>
          </w:p>
        </w:tc>
        <w:tc>
          <w:tcPr>
            <w:tcW w:w="999" w:type="dxa"/>
            <w:shd w:val="clear" w:color="auto" w:fill="F3F6FB"/>
          </w:tcPr>
          <w:p>
            <w:pPr>
              <w:rPr>
                <w:rFonts w:cstheme="minorHAnsi"/>
                <w:sz w:val="18"/>
                <w:szCs w:val="18"/>
              </w:rPr>
            </w:pPr>
            <w:r>
              <w:rPr>
                <w:rFonts w:cstheme="minorHAnsi"/>
                <w:sz w:val="18"/>
                <w:szCs w:val="18"/>
              </w:rPr>
              <w:t>6,5 m</w:t>
            </w:r>
          </w:p>
        </w:tc>
        <w:tc>
          <w:tcPr>
            <w:tcW w:w="1437" w:type="dxa"/>
            <w:shd w:val="clear" w:color="auto" w:fill="F3F6FB"/>
          </w:tcPr>
          <w:p>
            <w:pPr>
              <w:rPr>
                <w:rFonts w:cstheme="minorHAnsi"/>
                <w:sz w:val="18"/>
                <w:szCs w:val="18"/>
              </w:rPr>
            </w:pPr>
            <w:r>
              <w:rPr>
                <w:rFonts w:cstheme="minorHAnsi"/>
                <w:sz w:val="18"/>
                <w:szCs w:val="18"/>
              </w:rPr>
              <w:t>Flerbostadshus i söder, bostäder våning 2–3.</w:t>
            </w:r>
          </w:p>
          <w:p>
            <w:pPr>
              <w:rPr>
                <w:rFonts w:cstheme="minorHAnsi"/>
                <w:sz w:val="18"/>
                <w:szCs w:val="18"/>
              </w:rPr>
            </w:pPr>
            <w:r>
              <w:rPr>
                <w:rFonts w:cstheme="minorHAnsi"/>
                <w:sz w:val="18"/>
                <w:szCs w:val="18"/>
              </w:rPr>
              <w:t xml:space="preserve">50–60 tal. Enbostadshus i norr, bostäder våning 2, </w:t>
              <w:br w:type="textWrapping"/>
              <w:t xml:space="preserve">20–60 tal </w:t>
            </w:r>
          </w:p>
        </w:tc>
      </w:tr>
      <w:tr>
        <w:trPr>
          <w:trHeight w:hRule="atLeast" w:val="765"/>
        </w:trPr>
        <w:tc>
          <w:tcPr>
            <w:tcW w:w="1273" w:type="dxa"/>
            <w:shd w:val="clear" w:color="auto" w:fill="F3F6FB"/>
          </w:tcPr>
          <w:p>
            <w:pPr>
              <w:rPr>
                <w:rFonts w:cstheme="minorHAnsi"/>
                <w:sz w:val="18"/>
                <w:szCs w:val="18"/>
              </w:rPr>
            </w:pPr>
            <w:r>
              <w:rPr>
                <w:rFonts w:cstheme="minorHAnsi"/>
                <w:sz w:val="18"/>
                <w:szCs w:val="18"/>
              </w:rPr>
              <w:t>Sveavägen</w:t>
            </w:r>
          </w:p>
        </w:tc>
        <w:tc>
          <w:tcPr>
            <w:tcW w:w="765" w:type="dxa"/>
            <w:shd w:val="clear" w:color="auto" w:fill="F3F6FB"/>
          </w:tcPr>
          <w:p>
            <w:pPr>
              <w:rPr>
                <w:rFonts w:cstheme="minorHAnsi"/>
                <w:sz w:val="18"/>
                <w:szCs w:val="18"/>
              </w:rPr>
            </w:pPr>
            <w:r>
              <w:rPr>
                <w:rFonts w:cstheme="minorHAnsi"/>
                <w:sz w:val="18"/>
                <w:szCs w:val="18"/>
              </w:rPr>
              <w:t>N/A</w:t>
            </w:r>
          </w:p>
        </w:tc>
        <w:tc>
          <w:tcPr>
            <w:tcW w:w="784" w:type="dxa"/>
            <w:shd w:val="clear" w:color="auto" w:fill="F3F6FB"/>
          </w:tcPr>
          <w:p>
            <w:pPr>
              <w:rPr>
                <w:rFonts w:cstheme="minorHAnsi"/>
                <w:sz w:val="18"/>
                <w:szCs w:val="18"/>
              </w:rPr>
            </w:pPr>
            <w:r>
              <w:rPr>
                <w:rFonts w:cstheme="minorHAnsi"/>
                <w:sz w:val="18"/>
                <w:szCs w:val="18"/>
              </w:rPr>
              <w:t>1659 fordon</w:t>
            </w:r>
          </w:p>
        </w:tc>
        <w:tc>
          <w:tcPr>
            <w:tcW w:w="646" w:type="dxa"/>
            <w:shd w:val="clear" w:color="auto" w:fill="F3F6FB"/>
          </w:tcPr>
          <w:p>
            <w:pPr>
              <w:rPr>
                <w:rFonts w:cstheme="minorHAnsi"/>
                <w:sz w:val="18"/>
                <w:szCs w:val="18"/>
              </w:rPr>
            </w:pPr>
            <w:r>
              <w:rPr>
                <w:rFonts w:cstheme="minorHAnsi"/>
                <w:sz w:val="18"/>
                <w:szCs w:val="18"/>
              </w:rPr>
              <w:t>6%</w:t>
            </w:r>
          </w:p>
        </w:tc>
        <w:tc>
          <w:tcPr>
            <w:tcW w:w="990" w:type="dxa"/>
            <w:shd w:val="clear" w:color="auto" w:fill="F3F6FB"/>
          </w:tcPr>
          <w:p>
            <w:pPr>
              <w:rPr>
                <w:rFonts w:cstheme="minorHAnsi"/>
                <w:sz w:val="18"/>
                <w:szCs w:val="18"/>
              </w:rPr>
            </w:pPr>
            <w:r>
              <w:rPr>
                <w:rFonts w:cstheme="minorHAnsi"/>
                <w:sz w:val="18"/>
                <w:szCs w:val="18"/>
              </w:rPr>
              <w:t>40 km/h</w:t>
            </w:r>
          </w:p>
        </w:tc>
        <w:tc>
          <w:tcPr>
            <w:tcW w:w="1609" w:type="dxa"/>
            <w:shd w:val="clear" w:color="auto" w:fill="F3F6FB"/>
          </w:tcPr>
          <w:p>
            <w:pPr>
              <w:rPr>
                <w:rFonts w:cstheme="minorHAnsi"/>
                <w:sz w:val="18"/>
                <w:szCs w:val="18"/>
              </w:rPr>
            </w:pPr>
            <w:r>
              <w:rPr>
                <w:rFonts w:cstheme="minorHAnsi"/>
                <w:sz w:val="18"/>
                <w:szCs w:val="18"/>
              </w:rPr>
              <w:t>6 m</w:t>
            </w:r>
          </w:p>
        </w:tc>
        <w:tc>
          <w:tcPr>
            <w:tcW w:w="999" w:type="dxa"/>
            <w:shd w:val="clear" w:color="auto" w:fill="F3F6FB"/>
          </w:tcPr>
          <w:p>
            <w:pPr>
              <w:rPr>
                <w:rFonts w:cstheme="minorHAnsi"/>
                <w:sz w:val="18"/>
                <w:szCs w:val="18"/>
              </w:rPr>
            </w:pPr>
            <w:r>
              <w:rPr>
                <w:rFonts w:cstheme="minorHAnsi"/>
                <w:sz w:val="18"/>
                <w:szCs w:val="18"/>
              </w:rPr>
              <w:t>6,5 m</w:t>
            </w:r>
          </w:p>
        </w:tc>
        <w:tc>
          <w:tcPr>
            <w:tcW w:w="1437" w:type="dxa"/>
            <w:shd w:val="clear" w:color="auto" w:fill="F3F6FB"/>
          </w:tcPr>
          <w:p>
            <w:pPr>
              <w:rPr>
                <w:rFonts w:cstheme="minorHAnsi"/>
                <w:sz w:val="18"/>
                <w:szCs w:val="18"/>
              </w:rPr>
            </w:pPr>
            <w:r>
              <w:rPr>
                <w:rFonts w:cstheme="minorHAnsi"/>
                <w:sz w:val="18"/>
                <w:szCs w:val="18"/>
              </w:rPr>
              <w:t xml:space="preserve">Enbostadshus bostäder vån 2,  verksamheter i botten 20–60 tal i norr</w:t>
            </w:r>
          </w:p>
        </w:tc>
      </w:tr>
      <w:tr>
        <w:trPr>
          <w:trHeight w:hRule="atLeast" w:val="288"/>
        </w:trPr>
        <w:tc>
          <w:tcPr>
            <w:tcW w:w="1273" w:type="dxa"/>
            <w:shd w:val="clear" w:color="auto" w:fill="F3F6FB"/>
          </w:tcPr>
          <w:p>
            <w:pPr>
              <w:rPr>
                <w:rFonts w:cstheme="minorHAnsi"/>
                <w:sz w:val="18"/>
                <w:szCs w:val="18"/>
              </w:rPr>
            </w:pPr>
            <w:r>
              <w:rPr>
                <w:rFonts w:cstheme="minorHAnsi"/>
                <w:sz w:val="18"/>
                <w:szCs w:val="18"/>
              </w:rPr>
              <w:t xml:space="preserve">Vasagatan genomfarten väg 635 (genomsnitt/ </w:t>
              <w:br w:type="textWrapping"/>
              <w:t>två mätpunkter)</w:t>
            </w:r>
          </w:p>
        </w:tc>
        <w:tc>
          <w:tcPr>
            <w:tcW w:w="765" w:type="dxa"/>
            <w:shd w:val="clear" w:color="auto" w:fill="F3F6FB"/>
          </w:tcPr>
          <w:p>
            <w:pPr>
              <w:rPr>
                <w:rFonts w:cstheme="minorHAnsi"/>
                <w:sz w:val="18"/>
                <w:szCs w:val="18"/>
              </w:rPr>
            </w:pPr>
            <w:r>
              <w:rPr>
                <w:rFonts w:cstheme="minorHAnsi"/>
                <w:sz w:val="18"/>
                <w:szCs w:val="18"/>
              </w:rPr>
              <w:t>5591 fordon</w:t>
            </w:r>
          </w:p>
        </w:tc>
        <w:tc>
          <w:tcPr>
            <w:tcW w:w="784" w:type="dxa"/>
            <w:shd w:val="clear" w:color="auto" w:fill="F3F6FB"/>
          </w:tcPr>
          <w:p>
            <w:pPr>
              <w:rPr>
                <w:rFonts w:cstheme="minorHAnsi"/>
                <w:sz w:val="18"/>
                <w:szCs w:val="18"/>
              </w:rPr>
            </w:pPr>
            <w:r>
              <w:rPr>
                <w:rFonts w:cstheme="minorHAnsi"/>
                <w:sz w:val="18"/>
                <w:szCs w:val="18"/>
              </w:rPr>
              <w:t>5933 fordon</w:t>
            </w:r>
          </w:p>
        </w:tc>
        <w:tc>
          <w:tcPr>
            <w:tcW w:w="646" w:type="dxa"/>
            <w:shd w:val="clear" w:color="auto" w:fill="F3F6FB"/>
          </w:tcPr>
          <w:p>
            <w:pPr>
              <w:rPr>
                <w:rFonts w:cstheme="minorHAnsi"/>
                <w:sz w:val="18"/>
                <w:szCs w:val="18"/>
              </w:rPr>
            </w:pPr>
            <w:r>
              <w:rPr>
                <w:rFonts w:cstheme="minorHAnsi"/>
                <w:sz w:val="18"/>
                <w:szCs w:val="18"/>
              </w:rPr>
              <w:t>6%</w:t>
            </w:r>
          </w:p>
        </w:tc>
        <w:tc>
          <w:tcPr>
            <w:tcW w:w="990" w:type="dxa"/>
            <w:shd w:val="clear" w:color="auto" w:fill="F3F6FB"/>
          </w:tcPr>
          <w:p>
            <w:pPr>
              <w:rPr>
                <w:rFonts w:cstheme="minorHAnsi"/>
                <w:sz w:val="18"/>
                <w:szCs w:val="18"/>
              </w:rPr>
            </w:pPr>
            <w:r>
              <w:rPr>
                <w:rFonts w:cstheme="minorHAnsi"/>
                <w:sz w:val="18"/>
                <w:szCs w:val="18"/>
              </w:rPr>
              <w:t>40 km/h</w:t>
            </w:r>
          </w:p>
        </w:tc>
        <w:tc>
          <w:tcPr>
            <w:tcW w:w="1609" w:type="dxa"/>
            <w:shd w:val="clear" w:color="auto" w:fill="F3F6FB"/>
          </w:tcPr>
          <w:p>
            <w:pPr>
              <w:rPr>
                <w:rFonts w:cstheme="minorHAnsi"/>
                <w:sz w:val="18"/>
                <w:szCs w:val="18"/>
              </w:rPr>
            </w:pPr>
            <w:r>
              <w:rPr>
                <w:rFonts w:cstheme="minorHAnsi"/>
                <w:sz w:val="18"/>
                <w:szCs w:val="18"/>
              </w:rPr>
              <w:t>9,5 m</w:t>
            </w:r>
          </w:p>
        </w:tc>
        <w:tc>
          <w:tcPr>
            <w:tcW w:w="999" w:type="dxa"/>
            <w:shd w:val="clear" w:color="auto" w:fill="F3F6FB"/>
          </w:tcPr>
          <w:p>
            <w:pPr>
              <w:rPr>
                <w:rFonts w:cstheme="minorHAnsi"/>
                <w:sz w:val="18"/>
                <w:szCs w:val="18"/>
              </w:rPr>
            </w:pPr>
            <w:r>
              <w:rPr>
                <w:rFonts w:cstheme="minorHAnsi"/>
                <w:sz w:val="18"/>
                <w:szCs w:val="18"/>
              </w:rPr>
              <w:t>7,5 m</w:t>
            </w:r>
          </w:p>
        </w:tc>
        <w:tc>
          <w:tcPr>
            <w:tcW w:w="1437" w:type="dxa"/>
            <w:shd w:val="clear" w:color="auto" w:fill="F3F6FB"/>
          </w:tcPr>
          <w:p>
            <w:pPr>
              <w:rPr>
                <w:rFonts w:cstheme="minorHAnsi"/>
                <w:sz w:val="18"/>
                <w:szCs w:val="18"/>
              </w:rPr>
            </w:pPr>
            <w:r>
              <w:rPr>
                <w:rFonts w:cstheme="minorHAnsi"/>
                <w:sz w:val="18"/>
                <w:szCs w:val="18"/>
              </w:rPr>
              <w:t>Verksamheter i botten, boende på våning 2–3</w:t>
              <w:br w:type="textWrapping"/>
              <w:t>Flerbostadshus 50–60 tal</w:t>
            </w:r>
          </w:p>
        </w:tc>
      </w:tr>
    </w:tbl>
    <w:p>
      <w:pPr>
        <w:spacing w:after="0" w:beforeAutospacing="0" w:afterAutospacing="0"/>
        <w:ind w:left="720"/>
        <w:rPr>
          <w:rFonts w:cstheme="minorHAnsi"/>
          <w:color w:val="3B3939" w:themeColor="background2" w:themeShade="40"/>
          <w:sz w:val="16"/>
          <w:szCs w:val="16"/>
        </w:rPr>
      </w:pPr>
      <w:r>
        <w:rPr>
          <w:rFonts w:cstheme="minorHAnsi"/>
          <w:color w:val="3B3939" w:themeColor="background2" w:themeShade="40"/>
          <w:sz w:val="16"/>
          <w:szCs w:val="16"/>
        </w:rPr>
        <w:t>Tabell 1: Trafikdata</w:t>
      </w:r>
    </w:p>
    <w:p>
      <w:pPr>
        <w:ind w:left="720"/>
        <w:rPr>
          <w:rFonts w:cstheme="minorHAnsi"/>
          <w:i w:val="1"/>
          <w:iCs w:val="1"/>
        </w:rPr>
      </w:pPr>
    </w:p>
    <w:p>
      <w:pPr>
        <w:ind w:left="720"/>
        <w:rPr>
          <w:rFonts w:cstheme="minorHAnsi"/>
        </w:rPr>
      </w:pPr>
      <w:r>
        <w:rPr>
          <w:rFonts w:cstheme="minorHAnsi"/>
          <w:i w:val="1"/>
          <w:iCs w:val="1"/>
        </w:rPr>
        <w:t>Förordningen (2015:216) om trafikbuller vid bostadsbyggnader</w:t>
      </w:r>
      <w:r>
        <w:rPr>
          <w:rFonts w:cstheme="minorHAnsi"/>
        </w:rPr>
        <w:t xml:space="preserve"> anger de riktvärden som gäller för trafikbuller utomhus från spår-, väg- och flygtrafik vid bostadsbyggnader. Riktvärden berör endast buller utomhus och påverkar inte befintliga regelverk gällande ljudnivåer inomhus. </w:t>
      </w:r>
    </w:p>
    <w:p>
      <w:pPr>
        <w:ind w:left="720"/>
        <w:rPr>
          <w:rFonts w:cstheme="minorHAnsi"/>
        </w:rPr>
      </w:pPr>
      <w:r>
        <w:rPr>
          <w:rFonts w:cstheme="minorHAnsi"/>
        </w:rPr>
        <w:t>Enligt riktlinjerna i förordning (2015:216) om trafikbuller vid bostadsbebyggelse bör buller från vägar inte överskrida 60 dBA ekvivalent ljudnivå vid bostadsbyggnads fasad, 50 dBA ekvivalent ljudnivå samt 70 dBA maximal ljudnivå vid en uteplats om en sådan ska anordnas i anslutning till byggnaden.</w:t>
      </w:r>
    </w:p>
    <w:p>
      <w:pPr>
        <w:ind w:left="720"/>
        <w:rPr>
          <w:rFonts w:cstheme="minorHAnsi"/>
        </w:rPr>
      </w:pPr>
      <w:r>
        <w:rPr>
          <w:rFonts w:cstheme="minorHAnsi"/>
        </w:rPr>
        <w:t>En bullerberäkning har tagits fram från modellen Buller Väg II, Trivector och följande beräkningsgrunder har använts förutom insamlad vägdata:</w:t>
      </w:r>
    </w:p>
    <w:p>
      <w:pPr>
        <w:pStyle w:val="P31"/>
        <w:numPr>
          <w:ilvl w:val="1"/>
          <w:numId w:val="16"/>
        </w:numPr>
        <w:rPr>
          <w:rFonts w:ascii="Calibri" w:hAnsi="Calibri" w:cs="Calibri"/>
          <w:szCs w:val="24"/>
        </w:rPr>
      </w:pPr>
      <w:r>
        <w:rPr>
          <w:rFonts w:ascii="Calibri" w:hAnsi="Calibri" w:cs="Calibri"/>
          <w:szCs w:val="24"/>
        </w:rPr>
        <w:t>Trafikuppräkningstal är 1,32 för lastbilar och 1,16 för personbilar för prognos till 2040 enligt Trafikverkets Trafikuppräkningstal för trafikutredningar och buller 2017-2040-2065  </w:t>
      </w:r>
    </w:p>
    <w:p>
      <w:pPr>
        <w:pStyle w:val="P31"/>
        <w:numPr>
          <w:ilvl w:val="1"/>
          <w:numId w:val="16"/>
        </w:numPr>
        <w:rPr>
          <w:rFonts w:ascii="Calibri" w:hAnsi="Calibri" w:cs="Calibri"/>
          <w:szCs w:val="24"/>
        </w:rPr>
      </w:pPr>
      <w:r>
        <w:rPr>
          <w:rFonts w:ascii="Calibri" w:hAnsi="Calibri" w:cs="Calibri"/>
          <w:szCs w:val="24"/>
        </w:rPr>
        <w:t>5‰ väglutning för Vasagatan och för Sveavägen</w:t>
      </w:r>
    </w:p>
    <w:p>
      <w:pPr>
        <w:pStyle w:val="P31"/>
        <w:numPr>
          <w:ilvl w:val="1"/>
          <w:numId w:val="16"/>
        </w:numPr>
        <w:rPr>
          <w:rFonts w:ascii="Calibri" w:hAnsi="Calibri" w:cs="Calibri"/>
          <w:szCs w:val="24"/>
        </w:rPr>
      </w:pPr>
      <w:r>
        <w:rPr>
          <w:rFonts w:ascii="Calibri" w:hAnsi="Calibri" w:cs="Calibri"/>
          <w:szCs w:val="24"/>
        </w:rPr>
        <w:t>10 ‰ väglutning för väg 635</w:t>
      </w:r>
    </w:p>
    <w:p>
      <w:pPr>
        <w:pStyle w:val="P31"/>
        <w:numPr>
          <w:ilvl w:val="1"/>
          <w:numId w:val="16"/>
        </w:numPr>
        <w:rPr>
          <w:rFonts w:ascii="Calibri" w:hAnsi="Calibri" w:cs="Calibri"/>
          <w:szCs w:val="24"/>
        </w:rPr>
      </w:pPr>
      <w:r>
        <w:rPr>
          <w:rFonts w:ascii="Calibri" w:hAnsi="Calibri" w:cs="Calibri"/>
          <w:szCs w:val="24"/>
        </w:rPr>
        <w:t>5 m, mottagarens höjd över reflektionsplan</w:t>
      </w:r>
    </w:p>
    <w:p>
      <w:pPr>
        <w:pStyle w:val="P31"/>
        <w:numPr>
          <w:ilvl w:val="1"/>
          <w:numId w:val="16"/>
        </w:numPr>
        <w:rPr>
          <w:rFonts w:ascii="Calibri" w:hAnsi="Calibri" w:cs="Calibri"/>
          <w:szCs w:val="24"/>
        </w:rPr>
      </w:pPr>
      <w:r>
        <w:rPr>
          <w:rFonts w:ascii="Calibri" w:hAnsi="Calibri" w:cs="Calibri"/>
          <w:szCs w:val="24"/>
        </w:rPr>
        <w:t>Mark typ är hård</w:t>
      </w:r>
    </w:p>
    <w:p>
      <w:pPr>
        <w:pStyle w:val="P31"/>
        <w:numPr>
          <w:ilvl w:val="1"/>
          <w:numId w:val="16"/>
        </w:numPr>
        <w:rPr>
          <w:rFonts w:ascii="Calibri" w:hAnsi="Calibri" w:cs="Calibri"/>
          <w:szCs w:val="24"/>
        </w:rPr>
      </w:pPr>
      <w:r>
        <w:rPr>
          <w:rFonts w:ascii="Calibri" w:hAnsi="Calibri" w:cs="Calibri"/>
          <w:szCs w:val="24"/>
        </w:rPr>
        <w:t>Prognos till 2040</w:t>
      </w:r>
    </w:p>
    <w:p>
      <w:pPr>
        <w:rPr>
          <w:rFonts w:ascii="Calibri" w:hAnsi="Calibri" w:cs="Calibri"/>
          <w:szCs w:val="24"/>
        </w:rPr>
      </w:pPr>
      <w:bookmarkEnd w:id="138"/>
    </w:p>
    <w:p>
      <w:pPr>
        <w:rPr>
          <w:rFonts w:ascii="Calibri" w:hAnsi="Calibri" w:cs="Calibri"/>
          <w:szCs w:val="24"/>
        </w:rPr>
      </w:pPr>
    </w:p>
    <w:p>
      <w:pPr>
        <w:rPr>
          <w:rFonts w:ascii="Calibri" w:hAnsi="Calibri" w:cs="Calibri"/>
          <w:szCs w:val="24"/>
        </w:rPr>
      </w:pPr>
    </w:p>
    <w:p>
      <w:pPr>
        <w:ind w:left="720"/>
        <w:rPr>
          <w:rFonts w:cstheme="minorHAnsi"/>
          <w:b w:val="1"/>
          <w:bCs w:val="1"/>
        </w:rPr>
      </w:pPr>
      <w:bookmarkStart w:id="140" w:name="ko_beräkningavomgivningsbuller01"/>
      <w:r>
        <w:rPr>
          <w:rFonts w:cstheme="minorHAnsi"/>
          <w:b w:val="1"/>
          <w:bCs w:val="1"/>
        </w:rPr>
        <w:t>Resultat</w:t>
      </w:r>
    </w:p>
    <w:tbl>
      <w:tblPr>
        <w:tblStyle w:val="T3"/>
        <w:tblW w:w="8478" w:type="dxa"/>
        <w:tblInd w:w="720" w:type="dxa"/>
        <w:tblLook w:val="04A0"/>
      </w:tblPr>
      <w:tblGrid/>
      <w:tr>
        <w:trPr>
          <w:trHeight w:hRule="atLeast" w:val="712"/>
        </w:trPr>
        <w:tc>
          <w:tcPr>
            <w:tcW w:w="1488" w:type="dxa"/>
            <w:shd w:val="clear" w:color="auto" w:fill="F3F6FB"/>
          </w:tcPr>
          <w:p>
            <w:pPr>
              <w:rPr>
                <w:rFonts w:cstheme="minorHAnsi"/>
                <w:b w:val="1"/>
                <w:bCs w:val="1"/>
                <w:sz w:val="18"/>
                <w:szCs w:val="18"/>
              </w:rPr>
            </w:pPr>
            <w:r>
              <w:rPr>
                <w:rFonts w:cstheme="minorHAnsi"/>
                <w:b w:val="1"/>
                <w:bCs w:val="1"/>
                <w:sz w:val="18"/>
                <w:szCs w:val="18"/>
              </w:rPr>
              <w:t>Gata</w:t>
            </w:r>
          </w:p>
        </w:tc>
        <w:tc>
          <w:tcPr>
            <w:tcW w:w="1751" w:type="dxa"/>
            <w:shd w:val="clear" w:color="auto" w:fill="F3F6FB"/>
          </w:tcPr>
          <w:p>
            <w:pPr>
              <w:rPr>
                <w:rFonts w:cstheme="minorHAnsi"/>
                <w:b w:val="1"/>
                <w:bCs w:val="1"/>
                <w:sz w:val="18"/>
                <w:szCs w:val="18"/>
              </w:rPr>
            </w:pPr>
            <w:r>
              <w:rPr>
                <w:rFonts w:cstheme="minorHAnsi"/>
                <w:b w:val="1"/>
                <w:bCs w:val="1"/>
                <w:sz w:val="18"/>
                <w:szCs w:val="18"/>
              </w:rPr>
              <w:t>Ekvivalentnivå</w:t>
              <w:br w:type="textWrapping"/>
              <w:t xml:space="preserve">2025 </w:t>
            </w:r>
          </w:p>
        </w:tc>
        <w:tc>
          <w:tcPr>
            <w:tcW w:w="1744" w:type="dxa"/>
            <w:shd w:val="clear" w:color="auto" w:fill="F3F6FB"/>
          </w:tcPr>
          <w:p>
            <w:pPr>
              <w:rPr>
                <w:rFonts w:cstheme="minorHAnsi"/>
                <w:b w:val="1"/>
                <w:bCs w:val="1"/>
                <w:sz w:val="18"/>
                <w:szCs w:val="18"/>
              </w:rPr>
            </w:pPr>
            <w:r>
              <w:rPr>
                <w:rFonts w:cstheme="minorHAnsi"/>
                <w:b w:val="1"/>
                <w:bCs w:val="1"/>
                <w:sz w:val="18"/>
                <w:szCs w:val="18"/>
              </w:rPr>
              <w:t xml:space="preserve">Maxnivå 2025 </w:t>
              <w:br w:type="textWrapping"/>
              <w:t>(5 överskridande per natt)</w:t>
            </w:r>
          </w:p>
        </w:tc>
        <w:tc>
          <w:tcPr>
            <w:tcW w:w="1751" w:type="dxa"/>
            <w:shd w:val="clear" w:color="auto" w:fill="FFF3CD" w:themeFill="accent4" w:themeFillTint="31"/>
          </w:tcPr>
          <w:p>
            <w:pPr>
              <w:rPr>
                <w:rFonts w:cstheme="minorHAnsi"/>
                <w:b w:val="1"/>
                <w:bCs w:val="1"/>
                <w:sz w:val="18"/>
                <w:szCs w:val="18"/>
              </w:rPr>
            </w:pPr>
            <w:r>
              <w:rPr>
                <w:rFonts w:cstheme="minorHAnsi"/>
                <w:b w:val="1"/>
                <w:bCs w:val="1"/>
                <w:sz w:val="18"/>
                <w:szCs w:val="18"/>
              </w:rPr>
              <w:t>Ekvivalentnivå</w:t>
              <w:br w:type="textWrapping"/>
              <w:t>2040</w:t>
            </w:r>
          </w:p>
        </w:tc>
        <w:tc>
          <w:tcPr>
            <w:tcW w:w="1744" w:type="dxa"/>
            <w:shd w:val="clear" w:color="auto" w:fill="FFF3CD" w:themeFill="accent4" w:themeFillTint="31"/>
          </w:tcPr>
          <w:p>
            <w:pPr>
              <w:rPr>
                <w:rFonts w:cstheme="minorHAnsi"/>
                <w:b w:val="1"/>
                <w:bCs w:val="1"/>
                <w:sz w:val="18"/>
                <w:szCs w:val="18"/>
              </w:rPr>
            </w:pPr>
            <w:r>
              <w:rPr>
                <w:rFonts w:cstheme="minorHAnsi"/>
                <w:b w:val="1"/>
                <w:bCs w:val="1"/>
                <w:sz w:val="18"/>
                <w:szCs w:val="18"/>
              </w:rPr>
              <w:t xml:space="preserve">Maxnivå 2040 </w:t>
              <w:br w:type="textWrapping"/>
              <w:t>(5 överskridande per natt)</w:t>
            </w:r>
          </w:p>
        </w:tc>
      </w:tr>
      <w:tr>
        <w:trPr>
          <w:trHeight w:hRule="atLeast" w:val="646"/>
        </w:trPr>
        <w:tc>
          <w:tcPr>
            <w:tcW w:w="1488" w:type="dxa"/>
            <w:shd w:val="clear" w:color="auto" w:fill="F3F6FB"/>
          </w:tcPr>
          <w:p>
            <w:pPr>
              <w:rPr>
                <w:rFonts w:cstheme="minorHAnsi"/>
                <w:sz w:val="18"/>
                <w:szCs w:val="18"/>
              </w:rPr>
            </w:pPr>
            <w:r>
              <w:rPr>
                <w:rFonts w:cstheme="minorHAnsi"/>
                <w:sz w:val="18"/>
                <w:szCs w:val="18"/>
              </w:rPr>
              <w:t>Vasagatan inom planområdet</w:t>
            </w:r>
          </w:p>
        </w:tc>
        <w:tc>
          <w:tcPr>
            <w:tcW w:w="1751" w:type="dxa"/>
            <w:shd w:val="clear" w:color="auto" w:fill="F3F6FB"/>
          </w:tcPr>
          <w:p>
            <w:pPr>
              <w:rPr>
                <w:rFonts w:cstheme="minorHAnsi"/>
                <w:sz w:val="18"/>
                <w:szCs w:val="18"/>
              </w:rPr>
            </w:pPr>
            <w:r>
              <w:rPr>
                <w:rFonts w:cstheme="minorHAnsi"/>
                <w:sz w:val="18"/>
                <w:szCs w:val="18"/>
              </w:rPr>
              <w:t>57 dBA</w:t>
            </w:r>
          </w:p>
        </w:tc>
        <w:tc>
          <w:tcPr>
            <w:tcW w:w="1744" w:type="dxa"/>
            <w:shd w:val="clear" w:color="auto" w:fill="F3F6FB"/>
          </w:tcPr>
          <w:p>
            <w:pPr>
              <w:rPr>
                <w:rFonts w:cstheme="minorHAnsi"/>
                <w:sz w:val="18"/>
                <w:szCs w:val="18"/>
              </w:rPr>
            </w:pPr>
            <w:r>
              <w:rPr>
                <w:rFonts w:cstheme="minorHAnsi"/>
                <w:sz w:val="18"/>
                <w:szCs w:val="18"/>
              </w:rPr>
              <w:t>77 dBA</w:t>
            </w:r>
          </w:p>
        </w:tc>
        <w:tc>
          <w:tcPr>
            <w:tcW w:w="1751" w:type="dxa"/>
            <w:shd w:val="clear" w:color="auto" w:fill="FFF3CD" w:themeFill="accent4" w:themeFillTint="31"/>
          </w:tcPr>
          <w:p>
            <w:pPr>
              <w:rPr>
                <w:rFonts w:cstheme="minorHAnsi"/>
                <w:sz w:val="18"/>
                <w:szCs w:val="18"/>
              </w:rPr>
            </w:pPr>
            <w:r>
              <w:rPr>
                <w:rFonts w:cstheme="minorHAnsi"/>
                <w:sz w:val="18"/>
                <w:szCs w:val="18"/>
              </w:rPr>
              <w:t>58 dBA</w:t>
            </w:r>
          </w:p>
        </w:tc>
        <w:tc>
          <w:tcPr>
            <w:tcW w:w="1744" w:type="dxa"/>
            <w:shd w:val="clear" w:color="auto" w:fill="FFF3CD" w:themeFill="accent4" w:themeFillTint="31"/>
          </w:tcPr>
          <w:p>
            <w:pPr>
              <w:rPr>
                <w:rFonts w:cstheme="minorHAnsi"/>
                <w:sz w:val="18"/>
                <w:szCs w:val="18"/>
              </w:rPr>
            </w:pPr>
            <w:r>
              <w:rPr>
                <w:rFonts w:cstheme="minorHAnsi"/>
                <w:sz w:val="18"/>
                <w:szCs w:val="18"/>
              </w:rPr>
              <w:t>79 dBA</w:t>
            </w:r>
          </w:p>
        </w:tc>
      </w:tr>
      <w:tr>
        <w:trPr>
          <w:trHeight w:hRule="atLeast" w:val="316"/>
        </w:trPr>
        <w:tc>
          <w:tcPr>
            <w:tcW w:w="1488" w:type="dxa"/>
            <w:shd w:val="clear" w:color="auto" w:fill="F3F6FB"/>
          </w:tcPr>
          <w:p>
            <w:pPr>
              <w:rPr>
                <w:rFonts w:cstheme="minorHAnsi"/>
                <w:sz w:val="18"/>
                <w:szCs w:val="18"/>
              </w:rPr>
            </w:pPr>
            <w:r>
              <w:rPr>
                <w:rFonts w:cstheme="minorHAnsi"/>
                <w:sz w:val="18"/>
                <w:szCs w:val="18"/>
              </w:rPr>
              <w:t>Sveavägen</w:t>
            </w:r>
          </w:p>
        </w:tc>
        <w:tc>
          <w:tcPr>
            <w:tcW w:w="1751" w:type="dxa"/>
            <w:shd w:val="clear" w:color="auto" w:fill="F3F6FB"/>
          </w:tcPr>
          <w:p>
            <w:pPr>
              <w:rPr>
                <w:rFonts w:cstheme="minorHAnsi"/>
                <w:sz w:val="18"/>
                <w:szCs w:val="18"/>
              </w:rPr>
            </w:pPr>
            <w:r>
              <w:rPr>
                <w:rFonts w:cstheme="minorHAnsi"/>
                <w:sz w:val="18"/>
                <w:szCs w:val="18"/>
              </w:rPr>
              <w:t>57 dBA</w:t>
            </w:r>
          </w:p>
        </w:tc>
        <w:tc>
          <w:tcPr>
            <w:tcW w:w="1744" w:type="dxa"/>
            <w:shd w:val="clear" w:color="auto" w:fill="F3F6FB"/>
          </w:tcPr>
          <w:p>
            <w:pPr>
              <w:rPr>
                <w:rFonts w:cstheme="minorHAnsi"/>
                <w:sz w:val="18"/>
                <w:szCs w:val="18"/>
              </w:rPr>
            </w:pPr>
            <w:r>
              <w:rPr>
                <w:rFonts w:cstheme="minorHAnsi"/>
                <w:sz w:val="18"/>
                <w:szCs w:val="18"/>
              </w:rPr>
              <w:t>79 dBA</w:t>
            </w:r>
          </w:p>
        </w:tc>
        <w:tc>
          <w:tcPr>
            <w:tcW w:w="1751" w:type="dxa"/>
            <w:shd w:val="clear" w:color="auto" w:fill="FFF3CD" w:themeFill="accent4" w:themeFillTint="31"/>
          </w:tcPr>
          <w:p>
            <w:pPr>
              <w:rPr>
                <w:rFonts w:cstheme="minorHAnsi"/>
                <w:sz w:val="18"/>
                <w:szCs w:val="18"/>
              </w:rPr>
            </w:pPr>
            <w:r>
              <w:rPr>
                <w:rFonts w:cstheme="minorHAnsi"/>
                <w:sz w:val="18"/>
                <w:szCs w:val="18"/>
              </w:rPr>
              <w:t>58 dBA</w:t>
            </w:r>
          </w:p>
        </w:tc>
        <w:tc>
          <w:tcPr>
            <w:tcW w:w="1744" w:type="dxa"/>
            <w:shd w:val="clear" w:color="auto" w:fill="FFF3CD" w:themeFill="accent4" w:themeFillTint="31"/>
          </w:tcPr>
          <w:p>
            <w:pPr>
              <w:rPr>
                <w:rFonts w:cstheme="minorHAnsi"/>
                <w:sz w:val="18"/>
                <w:szCs w:val="18"/>
              </w:rPr>
            </w:pPr>
            <w:r>
              <w:rPr>
                <w:rFonts w:cstheme="minorHAnsi"/>
                <w:sz w:val="18"/>
                <w:szCs w:val="18"/>
              </w:rPr>
              <w:t>80 dBA</w:t>
            </w:r>
          </w:p>
        </w:tc>
      </w:tr>
      <w:tr>
        <w:trPr>
          <w:trHeight w:hRule="atLeast" w:val="316"/>
        </w:trPr>
        <w:tc>
          <w:tcPr>
            <w:tcW w:w="1488" w:type="dxa"/>
            <w:shd w:val="clear" w:color="auto" w:fill="F3F6FB"/>
          </w:tcPr>
          <w:p>
            <w:pPr>
              <w:rPr>
                <w:rFonts w:cstheme="minorHAnsi"/>
                <w:sz w:val="18"/>
                <w:szCs w:val="18"/>
              </w:rPr>
            </w:pPr>
            <w:r>
              <w:rPr>
                <w:rFonts w:cstheme="minorHAnsi"/>
                <w:sz w:val="18"/>
                <w:szCs w:val="18"/>
              </w:rPr>
              <w:t xml:space="preserve">Vasagatan genomfarten väg 635 </w:t>
            </w:r>
          </w:p>
        </w:tc>
        <w:tc>
          <w:tcPr>
            <w:tcW w:w="1751" w:type="dxa"/>
            <w:shd w:val="clear" w:color="auto" w:fill="F3F6FB"/>
          </w:tcPr>
          <w:p>
            <w:pPr>
              <w:rPr>
                <w:rFonts w:cstheme="minorHAnsi"/>
                <w:sz w:val="18"/>
                <w:szCs w:val="18"/>
              </w:rPr>
            </w:pPr>
            <w:r>
              <w:rPr>
                <w:rFonts w:cstheme="minorHAnsi"/>
                <w:sz w:val="18"/>
                <w:szCs w:val="18"/>
              </w:rPr>
              <w:t>61 dBA</w:t>
            </w:r>
          </w:p>
        </w:tc>
        <w:tc>
          <w:tcPr>
            <w:tcW w:w="1744" w:type="dxa"/>
            <w:shd w:val="clear" w:color="auto" w:fill="F3F6FB"/>
          </w:tcPr>
          <w:p>
            <w:pPr>
              <w:rPr>
                <w:rFonts w:cstheme="minorHAnsi"/>
                <w:sz w:val="18"/>
                <w:szCs w:val="18"/>
              </w:rPr>
            </w:pPr>
            <w:r>
              <w:rPr>
                <w:rFonts w:cstheme="minorHAnsi"/>
                <w:sz w:val="18"/>
                <w:szCs w:val="18"/>
              </w:rPr>
              <w:t>79 dBA</w:t>
            </w:r>
          </w:p>
        </w:tc>
        <w:tc>
          <w:tcPr>
            <w:tcW w:w="1751" w:type="dxa"/>
            <w:shd w:val="clear" w:color="auto" w:fill="FFF3CD" w:themeFill="accent4" w:themeFillTint="31"/>
          </w:tcPr>
          <w:p>
            <w:pPr>
              <w:rPr>
                <w:rFonts w:cstheme="minorHAnsi"/>
                <w:sz w:val="18"/>
                <w:szCs w:val="18"/>
              </w:rPr>
            </w:pPr>
            <w:r>
              <w:rPr>
                <w:rFonts w:cstheme="minorHAnsi"/>
                <w:sz w:val="18"/>
                <w:szCs w:val="18"/>
              </w:rPr>
              <w:t>62 dBA</w:t>
            </w:r>
          </w:p>
        </w:tc>
        <w:tc>
          <w:tcPr>
            <w:tcW w:w="1744" w:type="dxa"/>
            <w:shd w:val="clear" w:color="auto" w:fill="FFF3CD" w:themeFill="accent4" w:themeFillTint="31"/>
          </w:tcPr>
          <w:p>
            <w:pPr>
              <w:rPr>
                <w:rFonts w:cstheme="minorHAnsi"/>
                <w:sz w:val="18"/>
                <w:szCs w:val="18"/>
              </w:rPr>
            </w:pPr>
            <w:r>
              <w:rPr>
                <w:rFonts w:cstheme="minorHAnsi"/>
                <w:sz w:val="18"/>
                <w:szCs w:val="18"/>
              </w:rPr>
              <w:t>80 dBA</w:t>
            </w:r>
          </w:p>
        </w:tc>
      </w:tr>
    </w:tbl>
    <w:p>
      <w:pPr>
        <w:ind w:left="720"/>
        <w:rPr>
          <w:rFonts w:cstheme="minorHAnsi"/>
        </w:rPr>
      </w:pPr>
      <w:r>
        <w:rPr>
          <w:rFonts w:cstheme="minorHAnsi"/>
          <w:color w:val="3B3939" w:themeColor="background2" w:themeShade="40"/>
          <w:sz w:val="16"/>
          <w:szCs w:val="16"/>
        </w:rPr>
        <w:br w:type="textWrapping"/>
        <w:t>Tabell 2: Resultat, presenteras i decibel (dBA) för ekvivalentnivå och maxnivå.</w:t>
      </w:r>
    </w:p>
    <w:p>
      <w:pPr>
        <w:ind w:left="720"/>
        <w:rPr>
          <w:rFonts w:cstheme="minorHAnsi"/>
        </w:rPr>
      </w:pPr>
    </w:p>
    <w:p>
      <w:pPr>
        <w:ind w:left="720"/>
        <w:rPr>
          <w:rFonts w:cstheme="minorHAnsi"/>
          <w:color w:val="FF0000"/>
        </w:rPr>
      </w:pPr>
      <w:r>
        <w:rPr>
          <w:rFonts w:cstheme="minorHAnsi"/>
        </w:rPr>
        <w:t xml:space="preserve">Av gatorna så är det Genomfarten väg 635 som överskrider ekvivalentnivå för buller (60dBA) både 2025 och 2040, där ökningen förväntas vara 1 dBA högre 2040 än befintliga förhållanden. Maxnivån överskrids på alla 3 gatorna 2025 samt 2040 (70dBA) och förväntas förändras med 2 dBA till 2040 på Vasagatan inom planområdet och 1 dBA på Sveavägen och Vasagatan väg 635. </w:t>
      </w:r>
    </w:p>
    <w:p>
      <w:pPr>
        <w:ind w:left="720"/>
        <w:rPr>
          <w:rFonts w:cstheme="minorHAnsi"/>
        </w:rPr>
      </w:pPr>
      <w:r>
        <w:rPr>
          <w:rFonts w:cstheme="minorHAnsi"/>
        </w:rPr>
        <w:t>Antal boende som förväntas tillkomma med planförslaget förväntas inrymmas i den generella ökningen som brukar ligga på mellan 1–2% per år.</w:t>
        <w:br w:type="textWrapping"/>
        <w:t xml:space="preserve">Där trafikens buller till större del beror på genomfart till andra områden och således inte påverkas av planförslaget. Om tillgänglighetsaspekter och gaturummets utveckling övertid fortsätter att prioritera gång och cykel och utveckla vistelsemiljöer, som nämnts tidigare i planbeskrivningen, så förväntas fler välja alternativ inom hållbar mobilitet, så kan trafiken och bullret på Vasagatan och Sveavägen inom planområdet minska på sikt. En mindre ökning av trafikbuller till och från området samt en mindre ökning av genomfartstrafik kan ske vid nya etableringar. Ökningen av buller förväntas ske naturligt när staden växer och anses påverkas till en mindre grad, av vad detaljplaneförslaget möjliggör, där tätorten som helhet har den största inverkan på ökat buller i området. </w:t>
      </w:r>
    </w:p>
    <w:p>
      <w:pPr>
        <w:ind w:left="720"/>
        <w:rPr>
          <w:rFonts w:cstheme="minorHAnsi"/>
          <w:szCs w:val="24"/>
        </w:rPr>
      </w:pPr>
      <w:bookmarkEnd w:id="136"/>
      <w:r>
        <w:rPr>
          <w:rFonts w:cstheme="minorHAnsi"/>
        </w:rPr>
        <w:t xml:space="preserve">Eftersom en korsning och en sväng invid bebyggelsen på Vasagatan 635 återfinns, så beräknas fordonens buller vara något mer återkommande, men samtidigt ha en lägre bullernivå. Hastighetsgränserna på 40 km/h förväntas också vara lägre vid svängen, som gör att buller från däck och vägbullret </w:t>
      </w:r>
      <w:r>
        <w:rPr>
          <w:rFonts w:cstheme="minorHAnsi"/>
          <w:szCs w:val="24"/>
        </w:rPr>
        <w:t>förväntas vara lägre jämfört med buller från motorljudet, vilket blir en större skillnad vid uppkomst av fler elfordon.</w:t>
        <w:br w:type="textWrapping"/>
        <w:t>Den sammantagna bedömningen är att små skillnader förväntas ske vid genomförandet av planförslaget och att bullerökningen förväntas rymmas in i den naturliga ökningen av trafik. Buller förväntas öka mellan 1–2 dBA för Ekvivalentnivå samt Maxnivå till 2040. Prickmark som har utvidgats något i södra delarna av planområdet förhindrar att bostadshus kommer närmare väg 635 med planförslaget. För fördjupad information, se</w:t>
      </w:r>
      <w:r>
        <w:rPr>
          <w:rFonts w:cstheme="minorHAnsi"/>
        </w:rPr>
        <w:t xml:space="preserve"> Bilagan </w:t>
      </w:r>
      <w:r>
        <w:rPr>
          <w:rFonts w:cstheme="minorHAnsi"/>
          <w:i w:val="1"/>
          <w:iCs w:val="1"/>
        </w:rPr>
        <w:t>Bullerdata.</w:t>
      </w:r>
    </w:p>
    <w:p>
      <w:pPr>
        <w:pStyle w:val="P3"/>
        <w:rPr>
          <w:rFonts w:asciiTheme="minorHAnsi" w:hAnsiTheme="minorHAnsi" w:cstheme="minorHAnsi"/>
        </w:rPr>
      </w:pPr>
      <w:bookmarkEnd w:id="137"/>
      <w:bookmarkEnd w:id="139"/>
      <w:bookmarkEnd w:id="140"/>
      <w:r>
        <w:rPr>
          <w:rFonts w:asciiTheme="minorHAnsi" w:hAnsiTheme="minorHAnsi" w:cstheme="minorHAnsi"/>
        </w:rPr>
        <w:t>Risk för olyckor</w:t>
      </w:r>
    </w:p>
    <w:p>
      <w:pPr>
        <w:ind w:left="720"/>
        <w:rPr>
          <w:rFonts w:ascii="Calibri" w:hAnsi="Calibri" w:cs="Calibri"/>
        </w:rPr>
      </w:pPr>
      <w:bookmarkStart w:id="141" w:name="pf_riskförolyckor01"/>
      <w:r>
        <w:rPr>
          <w:rFonts w:ascii="Calibri" w:hAnsi="Calibri" w:cs="Calibri"/>
        </w:rPr>
        <w:t xml:space="preserve">Riksväg 66 ligger cirka 1 km från planområdet och järnvägen ligger cirka 600 m från planområdet, där genomfartstrafiken för farligt gods transporteras. Enligt Trafikverkets </w:t>
      </w:r>
      <w:r>
        <w:rPr>
          <w:rFonts w:ascii="Calibri" w:hAnsi="Calibri" w:cs="Calibri"/>
          <w:i w:val="1"/>
          <w:iCs w:val="1"/>
        </w:rPr>
        <w:t xml:space="preserve">Risker och riskanalys i detaljplaneringen </w:t>
      </w:r>
      <w:r>
        <w:rPr>
          <w:rFonts w:ascii="Calibri" w:hAnsi="Calibri" w:cs="Calibri"/>
        </w:rPr>
        <w:t xml:space="preserve">så bör undersökningar om farligt gods utredas mer detaljerat om tilltänkt bostäder uppkommer inom 50 m (järnväg) respektive 75 m (väg) från riskkällan. </w:t>
      </w:r>
      <w:bookmarkEnd w:id="141"/>
      <w:bookmarkStart w:id="142" w:name="ko_olyckor01"/>
      <w:r>
        <w:rPr>
          <w:rFonts w:ascii="Calibri" w:hAnsi="Calibri" w:cs="Calibri"/>
        </w:rPr>
        <w:t xml:space="preserve">Eftersom planområdet ligger med god marginal utanför denna riskgräns bedöms ingen vidare undersökning krävas. Inga riskreducerande åtgärder bedöms därmed motiverade. </w:t>
      </w:r>
    </w:p>
    <w:p>
      <w:pPr>
        <w:ind w:left="720"/>
        <w:rPr>
          <w:rFonts w:ascii="Calibri" w:hAnsi="Calibri" w:cs="Calibri"/>
        </w:rPr>
      </w:pPr>
    </w:p>
    <w:p>
      <w:pPr>
        <w:ind w:firstLine="720"/>
        <w:rPr>
          <w:rFonts w:ascii="Calibri" w:hAnsi="Calibri" w:cs="Calibri"/>
        </w:rPr>
      </w:pPr>
      <w:bookmarkEnd w:id="142"/>
      <w:r>
        <w:rPr>
          <w:rFonts w:ascii="Calibri" w:hAnsi="Calibri" w:cs="Calibri"/>
          <w:noProof w:val="1"/>
        </w:rPr>
        <w:drawing>
          <wp:inline xmlns:wp="http://schemas.openxmlformats.org/drawingml/2006/wordprocessingDrawing" distT="0" distB="0" distL="0" distR="0">
            <wp:extent cx="2482850" cy="2073910"/>
            <wp:effectExtent l="19050" t="19050" r="12700" b="21590"/>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3"/>
                    <pic:cNvPicPr/>
                  </pic:nvPicPr>
                  <pic:blipFill dpi="0">
                    <a:blip xmlns:r="http://schemas.openxmlformats.org/officeDocument/2006/relationships" r:embed="Relimage23"/>
                    <a:srcRect t="2802" b="-1103"/>
                    <a:stretch>
                      <a:fillRect/>
                    </a:stretch>
                  </pic:blipFill>
                  <pic:spPr bwMode="auto">
                    <a:xfrm>
                      <a:off x="0" y="0"/>
                      <a:ext cx="2518872" cy="2104071"/>
                    </a:xfrm>
                    <a:prstGeom prst="rect"/>
                    <a:ln>
                      <a:solidFill>
                        <a:schemeClr val="tx1"/>
                      </a:solidFill>
                    </a:ln>
                  </pic:spPr>
                </pic:pic>
              </a:graphicData>
            </a:graphic>
          </wp:inline>
        </w:drawing>
      </w:r>
      <w:r>
        <w:rPr>
          <w:rFonts w:ascii="Calibri" w:hAnsi="Calibri" w:cs="Calibri"/>
        </w:rPr>
        <w:t xml:space="preserve"> </w:t>
      </w:r>
      <w:r>
        <w:rPr>
          <w:rFonts w:ascii="Calibri" w:hAnsi="Calibri" w:cs="Calibri"/>
          <w:noProof w:val="1"/>
        </w:rPr>
        <w:drawing>
          <wp:inline xmlns:wp="http://schemas.openxmlformats.org/drawingml/2006/wordprocessingDrawing" distT="0" distB="0" distL="0" distR="0">
            <wp:extent cx="2546350" cy="2077085"/>
            <wp:effectExtent l="19050" t="19050" r="25400" b="18415"/>
            <wp:docPr id="666782858" name="Bildobjekt 8" descr="Bild som beskriver olika avstånd som måste beaktas från vägar med transporter av farligt go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ild som beskriver olika avstånd som måste beaktas från vägar med transporter av farligt gods. "/>
                    <pic:cNvPicPr>
                      <a:picLocks noChangeAspect="1" noChangeArrowheads="1"/>
                    </pic:cNvPicPr>
                  </pic:nvPicPr>
                  <pic:blipFill dpi="0">
                    <a:blip xmlns:r="http://schemas.openxmlformats.org/officeDocument/2006/relationships" r:embed="Relimage24"/>
                    <a:srcRect/>
                    <a:stretch>
                      <a:fillRect/>
                    </a:stretch>
                  </pic:blipFill>
                  <pic:spPr bwMode="auto">
                    <a:xfrm>
                      <a:off x="0" y="0"/>
                      <a:ext cx="2562900" cy="2090352"/>
                    </a:xfrm>
                    <a:prstGeom prst="rect"/>
                    <a:noFill/>
                    <a:ln>
                      <a:solidFill>
                        <a:schemeClr val="tx1"/>
                      </a:solidFill>
                    </a:ln>
                  </pic:spPr>
                </pic:pic>
              </a:graphicData>
            </a:graphic>
          </wp:inline>
        </w:drawing>
      </w:r>
    </w:p>
    <w:p>
      <w:pPr>
        <w:ind w:firstLine="720"/>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Figur 20: Riskhanteringsavstånd för farligt gods på järnväg (vänster) och väg (höger).</w:t>
      </w:r>
    </w:p>
    <w:p>
      <w:pPr>
        <w:pStyle w:val="P3"/>
        <w:rPr>
          <w:rFonts w:asciiTheme="minorHAnsi" w:hAnsiTheme="minorHAnsi" w:cstheme="minorHAnsi"/>
        </w:rPr>
      </w:pPr>
      <w:r>
        <w:rPr>
          <w:rFonts w:asciiTheme="minorHAnsi" w:hAnsiTheme="minorHAnsi" w:cstheme="minorHAnsi"/>
        </w:rPr>
        <w:t xml:space="preserve">Risk för översvämning </w:t>
      </w:r>
      <w:bookmarkStart w:id="143" w:name="pf_riskföröversvämning01"/>
    </w:p>
    <w:p>
      <w:pPr>
        <w:ind w:left="720"/>
        <w:rPr>
          <w:rFonts w:ascii="Calibri" w:hAnsi="Calibri" w:cs="Calibri"/>
        </w:rPr>
      </w:pPr>
      <w:r>
        <w:rPr>
          <w:rFonts w:ascii="Calibri" w:hAnsi="Calibri" w:cs="Calibri"/>
        </w:rPr>
        <w:t xml:space="preserve">Enligt Boverkets vägledning för översvämningsrisker till följd av skyfall bör, som ett minimum, ny sammanhållen bebyggelse planläggas så att den årliga sannolikheten för att bebyggelsen tar skada vid översvämning är mindre än 1/100. </w:t>
      </w:r>
    </w:p>
    <w:p>
      <w:pPr>
        <w:ind w:left="720"/>
        <w:rPr>
          <w:rFonts w:ascii="Calibri" w:hAnsi="Calibri" w:cs="Calibri"/>
        </w:rPr>
      </w:pPr>
      <w:r>
        <w:rPr>
          <w:rFonts w:ascii="Calibri" w:hAnsi="Calibri" w:cs="Calibri"/>
        </w:rPr>
        <w:t>För att få en uppfattning om olägenheter/skador som regnet orsakar kan följande djupintervall för vatten på markytan användas som ungefärliga riktvärden:</w:t>
      </w:r>
    </w:p>
    <w:p>
      <w:pPr>
        <w:pStyle w:val="P31"/>
        <w:numPr>
          <w:ilvl w:val="0"/>
          <w:numId w:val="5"/>
        </w:numPr>
        <w:rPr>
          <w:rFonts w:ascii="Calibri" w:hAnsi="Calibri" w:cs="Calibri"/>
        </w:rPr>
      </w:pPr>
      <w:r>
        <w:rPr>
          <w:rFonts w:ascii="Calibri" w:hAnsi="Calibri" w:cs="Calibri"/>
        </w:rPr>
        <w:t>0,1 – 0,3 m, besvärande framkomlighet</w:t>
      </w:r>
    </w:p>
    <w:p>
      <w:pPr>
        <w:pStyle w:val="P31"/>
        <w:numPr>
          <w:ilvl w:val="0"/>
          <w:numId w:val="5"/>
        </w:numPr>
        <w:rPr>
          <w:rFonts w:ascii="Calibri" w:hAnsi="Calibri" w:cs="Calibri"/>
        </w:rPr>
      </w:pPr>
      <w:r>
        <w:rPr>
          <w:rFonts w:ascii="Calibri" w:hAnsi="Calibri" w:cs="Calibri"/>
        </w:rPr>
        <w:t>0,3 – 0,5 m, ej möjligt att ta sig fram med motorfordon, risk för skada</w:t>
      </w:r>
    </w:p>
    <w:p>
      <w:pPr>
        <w:pStyle w:val="P31"/>
        <w:numPr>
          <w:ilvl w:val="0"/>
          <w:numId w:val="5"/>
        </w:numPr>
        <w:rPr>
          <w:rFonts w:ascii="Calibri" w:hAnsi="Calibri" w:cs="Calibri"/>
        </w:rPr>
      </w:pPr>
      <w:r>
        <w:rPr>
          <w:rFonts w:ascii="Calibri" w:hAnsi="Calibri" w:cs="Calibri"/>
        </w:rPr>
        <w:t>0,5 m och mer, stora materiella skador, risk för hälsa och liv</w:t>
      </w:r>
    </w:p>
    <w:p>
      <w:pPr>
        <w:ind w:left="720"/>
        <w:rPr>
          <w:rFonts w:ascii="Calibri" w:hAnsi="Calibri" w:cs="Calibri"/>
        </w:rPr>
      </w:pPr>
      <w:r>
        <w:rPr>
          <w:rFonts w:ascii="Calibri" w:hAnsi="Calibri" w:cs="Calibri"/>
        </w:rPr>
        <w:t xml:space="preserve">Inom och utanför planområdet bör det finnas mark som inte är hårdgjord för att hantera dagvatten och skyfallsmängder. Det finns en stor del hårdgjorda ytor inom planområdet och övervägande problem förväntas uppstå i nordöstra delen vid angöring och parkeringsytor vid skyfall stort som </w:t>
      </w:r>
      <w:r>
        <w:rPr>
          <w:rFonts w:ascii="Calibri" w:hAnsi="Calibri" w:cs="Calibri"/>
          <w:i w:val="1"/>
          <w:iCs w:val="1"/>
        </w:rPr>
        <w:t>Gävleregnet</w:t>
      </w:r>
      <w:r>
        <w:rPr>
          <w:rFonts w:ascii="Calibri" w:hAnsi="Calibri" w:cs="Calibri"/>
        </w:rPr>
        <w:t xml:space="preserve">. </w:t>
      </w:r>
      <w:bookmarkEnd w:id="143"/>
      <w:bookmarkStart w:id="144" w:name="ko_översvämning01"/>
      <w:r>
        <w:rPr>
          <w:rFonts w:ascii="Calibri" w:hAnsi="Calibri" w:cs="Calibri"/>
        </w:rPr>
        <w:t xml:space="preserve">Vid 100-års regn som är oftare förekommande är förhållandevis hanterbart, men blir det mer än så kan det bli svårare för avrinningen att ske tillräckligt snabbt. Det är av vikt att hålla hårdgjorda ytor så få som möjligt. Att främja mer grönska, tekniska anläggningar eller liknande som ökar uppsugningsförmågan är därmed lämpligt. Planbestämmelser om genomsläppliga ytor och begränsning i nyttjandegrad av bebyggelse samt möjlighet för att anlägga genomsläppliga ytor kommer att tillämpas som följd i detaljplanekartan. </w:t>
      </w:r>
    </w:p>
    <w:p>
      <w:pPr>
        <w:ind w:left="720"/>
        <w:rPr>
          <w:rFonts w:ascii="Calibri" w:hAnsi="Calibri" w:cs="Calibri"/>
        </w:rPr>
      </w:pPr>
      <w:bookmarkStart w:id="145" w:name="_Hlk207007886"/>
      <w:r>
        <w:rPr>
          <w:rFonts w:ascii="Calibri" w:hAnsi="Calibri" w:cs="Calibri"/>
        </w:rPr>
        <w:t>Planområdet bedöms klara närmaste vattendrag Kolbäcksåns nivåhöjning av vatten med risk av översvämning vid 100 års-, 200 års- samt högsta beräknade flöde med god marginal.</w:t>
      </w:r>
      <w:bookmarkEnd w:id="144"/>
    </w:p>
    <w:p>
      <w:pPr>
        <w:ind w:left="720"/>
        <w:rPr>
          <w:rFonts w:ascii="Calibri" w:hAnsi="Calibri" w:cs="Calibri"/>
        </w:rPr>
      </w:pPr>
      <w:bookmarkEnd w:id="145"/>
    </w:p>
    <w:p>
      <w:pPr>
        <w:ind w:left="720"/>
        <w:rPr>
          <w:rFonts w:ascii="Calibri" w:hAnsi="Calibri" w:cs="Calibri"/>
        </w:rPr>
      </w:pPr>
      <w:r>
        <w:rPr>
          <w:rFonts w:ascii="Calibri" w:hAnsi="Calibri" w:cs="Calibri"/>
          <w:noProof w:val="1"/>
        </w:rPr>
        <w:drawing>
          <wp:inline xmlns:wp="http://schemas.openxmlformats.org/drawingml/2006/wordprocessingDrawing" distT="0" distB="0" distL="0" distR="0">
            <wp:extent cx="2533650" cy="2248535"/>
            <wp:effectExtent l="19050" t="19050" r="19050" b="18415"/>
            <wp:docPr id="166864026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40261" name="Picture 10"/>
                    <pic:cNvPicPr/>
                  </pic:nvPicPr>
                  <pic:blipFill dpi="0">
                    <a:blip xmlns:r="http://schemas.openxmlformats.org/officeDocument/2006/relationships" r:embed="Relimage25"/>
                    <a:srcRect t="8892"/>
                    <a:stretch>
                      <a:fillRect/>
                    </a:stretch>
                  </pic:blipFill>
                  <pic:spPr bwMode="auto">
                    <a:xfrm>
                      <a:off x="0" y="0"/>
                      <a:ext cx="2599095" cy="2307162"/>
                    </a:xfrm>
                    <a:prstGeom prst="rect"/>
                    <a:ln w="6350" cmpd="sng" algn="ctr">
                      <a:solidFill>
                        <a:sysClr val="windowText"/>
                      </a:solidFill>
                      <a:prstDash val="solid"/>
                      <a:round/>
                    </a:ln>
                  </pic:spPr>
                </pic:pic>
              </a:graphicData>
            </a:graphic>
          </wp:inline>
        </w:drawing>
      </w:r>
      <w:r>
        <w:rPr>
          <w:noProof w:val="1"/>
        </w:rPr>
        <w:t xml:space="preserve">   </w:t>
      </w:r>
      <w:r>
        <w:rPr>
          <w:rFonts w:ascii="Calibri" w:hAnsi="Calibri" w:cs="Calibri"/>
          <w:noProof w:val="1"/>
        </w:rPr>
        <w:drawing>
          <wp:inline xmlns:wp="http://schemas.openxmlformats.org/drawingml/2006/wordprocessingDrawing" distT="0" distB="0" distL="0" distR="0">
            <wp:extent cx="2477135" cy="2240280"/>
            <wp:effectExtent l="19050" t="19050" r="18415" b="26670"/>
            <wp:docPr id="117165904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59044" name="Picture 12"/>
                    <pic:cNvPicPr/>
                  </pic:nvPicPr>
                  <pic:blipFill dpi="0">
                    <a:blip xmlns:r="http://schemas.openxmlformats.org/officeDocument/2006/relationships" r:embed="Relimage26"/>
                    <a:srcRect t="20439" r="11806" b="7872"/>
                    <a:stretch>
                      <a:fillRect/>
                    </a:stretch>
                  </pic:blipFill>
                  <pic:spPr bwMode="auto">
                    <a:xfrm>
                      <a:off x="0" y="0"/>
                      <a:ext cx="2518277" cy="2277137"/>
                    </a:xfrm>
                    <a:prstGeom prst="rect"/>
                    <a:ln w="6350">
                      <a:solidFill>
                        <a:schemeClr val="tx1"/>
                      </a:solidFill>
                    </a:ln>
                  </pic:spPr>
                </pic:pic>
              </a:graphicData>
            </a:graphic>
          </wp:inline>
        </w:drawing>
      </w:r>
      <w:r>
        <w:rPr>
          <w:rFonts w:ascii="Calibri" w:hAnsi="Calibri" w:cs="Calibri"/>
        </w:rPr>
        <w:t xml:space="preserve">        </w:t>
      </w:r>
    </w:p>
    <w:p>
      <w:pPr>
        <w:ind w:left="720"/>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 xml:space="preserve">Figur 21: Skyfallsrisker. 100-års återkomsttid.                                      Figur 22: Skyfallsrisker. Gävleregnstorlek. </w:t>
        <w:tab/>
        <w:t xml:space="preserve">                   </w:t>
      </w:r>
    </w:p>
    <w:p>
      <w:pPr>
        <w:ind w:left="720"/>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 xml:space="preserve">  </w:t>
      </w:r>
    </w:p>
    <w:p>
      <w:pPr>
        <w:pStyle w:val="P3"/>
        <w:rPr>
          <w:rFonts w:asciiTheme="minorHAnsi" w:hAnsiTheme="minorHAnsi" w:cstheme="minorHAnsi"/>
        </w:rPr>
      </w:pPr>
      <w:r>
        <w:rPr>
          <w:rFonts w:asciiTheme="minorHAnsi" w:hAnsiTheme="minorHAnsi" w:cstheme="minorHAnsi"/>
        </w:rPr>
        <w:t>Risk för erosion, skred och ras</w:t>
      </w:r>
    </w:p>
    <w:p>
      <w:pPr>
        <w:ind w:left="720"/>
        <w:rPr>
          <w:rFonts w:cstheme="minorHAnsi"/>
          <w:color w:val="FF0000"/>
        </w:rPr>
      </w:pPr>
      <w:bookmarkStart w:id="146" w:name="pf_hälsaochsäkerhet01"/>
      <w:r>
        <w:rPr>
          <w:rFonts w:cstheme="minorHAnsi"/>
        </w:rPr>
        <w:t xml:space="preserve">Inom planområdet visar SGU översiktligt att marken huvudsakligen består av Morän. </w:t>
      </w:r>
      <w:bookmarkEnd w:id="146"/>
      <w:bookmarkStart w:id="147" w:name="ko_hälsaochsäkerhet01"/>
      <w:r>
        <w:rPr>
          <w:rFonts w:cstheme="minorHAnsi"/>
        </w:rPr>
        <w:br w:type="textWrapping"/>
        <w:t xml:space="preserve">Enligt SGI övergripande karta om erosion, ras och skred, så finns inga indikationer på att planområdet innehar dessa risker. Bedömningen är att det inte föreligger några risker för erosion, skred och ras. </w:t>
      </w:r>
    </w:p>
    <w:p>
      <w:pPr>
        <w:pStyle w:val="P3"/>
        <w:rPr>
          <w:rFonts w:asciiTheme="minorHAnsi" w:hAnsiTheme="minorHAnsi" w:cstheme="minorHAnsi"/>
        </w:rPr>
      </w:pPr>
      <w:bookmarkEnd w:id="147"/>
      <w:r>
        <w:rPr>
          <w:rFonts w:asciiTheme="minorHAnsi" w:hAnsiTheme="minorHAnsi" w:cstheme="minorHAnsi"/>
        </w:rPr>
        <w:t>Förorenad mark</w:t>
      </w:r>
    </w:p>
    <w:p>
      <w:pPr>
        <w:ind w:left="720"/>
        <w:rPr>
          <w:rFonts w:cstheme="minorHAnsi"/>
          <w:szCs w:val="24"/>
        </w:rPr>
      </w:pPr>
      <w:bookmarkStart w:id="148" w:name="pf_förorenadmark01"/>
      <w:r>
        <w:rPr>
          <w:rFonts w:cstheme="minorHAnsi"/>
          <w:szCs w:val="24"/>
        </w:rPr>
        <w:t>Inom planområdet finns det ett område på fastigheten Veterinären 4 som är identifierad som förorenad mark. Historiskt så fanns centraltryckeriet tidigare på platsen och området är inte riskklassat. Den möjliga föroreningen förväntas sakna betydelse för genomförandet av planen.</w:t>
      </w:r>
    </w:p>
    <w:p>
      <w:pPr>
        <w:pStyle w:val="P3"/>
        <w:rPr>
          <w:rFonts w:asciiTheme="minorHAnsi" w:hAnsiTheme="minorHAnsi" w:cstheme="minorHAnsi"/>
        </w:rPr>
      </w:pPr>
      <w:bookmarkEnd w:id="148"/>
      <w:r>
        <w:rPr>
          <w:rFonts w:asciiTheme="minorHAnsi" w:hAnsiTheme="minorHAnsi" w:cstheme="minorHAnsi"/>
        </w:rPr>
        <w:t>Räddningstjänstens insatstid</w:t>
      </w:r>
    </w:p>
    <w:p>
      <w:pPr>
        <w:ind w:left="720"/>
        <w:rPr>
          <w:rFonts w:ascii="Calibri" w:hAnsi="Calibri" w:cs="Calibri"/>
        </w:rPr>
      </w:pPr>
      <w:bookmarkStart w:id="149" w:name="pf_hälsaochsäkerhet03"/>
      <w:r>
        <w:rPr>
          <w:rFonts w:ascii="Calibri" w:hAnsi="Calibri" w:cs="Calibri"/>
        </w:rPr>
        <w:t>Räddningstjänsten finns i Smedjebacken cirka 280 m från planområdet och beräknas ha en insatstid under cirka 10 minuter efter larm. Räddningsstationen återfinns i Smedjebackens tätort. Räddningstjänsten har bedömt att inte behovet finns av angöring till bostäder på västra sidan via angöringsgatan, som beror på att hur bebyggelsen är orienterad samt att släckningsarbeten är möjligt från Vasagatan.</w:t>
      </w:r>
    </w:p>
    <w:p>
      <w:pPr>
        <w:pStyle w:val="P1"/>
        <w:rPr>
          <w:rFonts w:asciiTheme="minorHAnsi" w:hAnsiTheme="minorHAnsi" w:cstheme="minorHAnsi"/>
        </w:rPr>
      </w:pPr>
      <w:bookmarkEnd w:id="149"/>
      <w:bookmarkStart w:id="150" w:name="_Toc219101271"/>
      <w:r>
        <w:rPr>
          <w:rFonts w:asciiTheme="minorHAnsi" w:hAnsiTheme="minorHAnsi" w:cstheme="minorHAnsi"/>
        </w:rPr>
        <w:t>Genomförandefrågor</w:t>
      </w:r>
      <w:bookmarkEnd w:id="150"/>
    </w:p>
    <w:p>
      <w:pPr>
        <w:ind w:left="432"/>
        <w:rPr>
          <w:rFonts w:cstheme="minorHAnsi"/>
        </w:rPr>
      </w:pPr>
      <w:r>
        <w:rPr>
          <w:rFonts w:cstheme="minorHAnsi"/>
        </w:rPr>
        <w:t xml:space="preserve">Genomförandedelen har till uppgift att redovisa fastighetsrättsliga, tekniska, ekonomiska och organisatoriska åtgärder som behövs för att åstadkomma ett samordnat och ändamålsenligt genomförande av detaljplanen. Avsikten med beskrivningen av genomförandet av projektet är att den ska vara vägledande vid genomförande av detaljplanen. Genomförandebeskrivningen har i övrigt ingen rättsverkan. </w:t>
      </w:r>
    </w:p>
    <w:p>
      <w:pPr>
        <w:pStyle w:val="P2"/>
        <w:rPr>
          <w:rFonts w:asciiTheme="minorHAnsi" w:hAnsiTheme="minorHAnsi" w:cstheme="minorHAnsi"/>
        </w:rPr>
      </w:pPr>
      <w:bookmarkStart w:id="151" w:name="_Toc219101272"/>
      <w:r>
        <w:rPr>
          <w:rFonts w:asciiTheme="minorHAnsi" w:hAnsiTheme="minorHAnsi" w:cstheme="minorHAnsi"/>
        </w:rPr>
        <w:t>Fastighetsrättsliga frågor</w:t>
      </w:r>
      <w:bookmarkEnd w:id="151"/>
    </w:p>
    <w:p>
      <w:pPr>
        <w:pStyle w:val="P3"/>
        <w:rPr>
          <w:rFonts w:asciiTheme="minorHAnsi" w:hAnsiTheme="minorHAnsi" w:cstheme="minorHAnsi"/>
        </w:rPr>
      </w:pPr>
      <w:r>
        <w:rPr>
          <w:rFonts w:asciiTheme="minorHAnsi" w:hAnsiTheme="minorHAnsi" w:cstheme="minorHAnsi"/>
        </w:rPr>
        <w:t>Gemensamhetsanläggningar</w:t>
      </w:r>
    </w:p>
    <w:p>
      <w:pPr>
        <w:ind w:left="720"/>
        <w:rPr>
          <w:rFonts w:cstheme="minorHAnsi"/>
          <w:color w:val="FF0000"/>
        </w:rPr>
      </w:pPr>
      <w:bookmarkStart w:id="152" w:name="gf_gemensamhetsanläggningar01"/>
      <w:bookmarkStart w:id="153" w:name="gf_gemensamhetsanläggning01"/>
      <w:r>
        <w:rPr>
          <w:rFonts w:cstheme="minorHAnsi"/>
          <w:shd w:val="clear" w:color="auto" w:fill="FFFFFF"/>
        </w:rPr>
        <w:t xml:space="preserve">En gemensamhetsanläggning är en anläggning som inte är allmän, utan endast är till för att tillgodose en grupp av fastigheters gemensamma behov. Då de allmänna platserna kommer att skötas av kommunen så föreslås inga gemensamhetsanläggningar att bildas. Det finns heller inga tidigare gemensamhetsanläggningar inom planområdet. </w:t>
      </w:r>
    </w:p>
    <w:p>
      <w:pPr>
        <w:pStyle w:val="P3"/>
        <w:rPr>
          <w:rFonts w:asciiTheme="minorHAnsi" w:hAnsiTheme="minorHAnsi" w:cstheme="minorHAnsi"/>
        </w:rPr>
      </w:pPr>
      <w:bookmarkEnd w:id="152"/>
      <w:bookmarkEnd w:id="153"/>
      <w:r>
        <w:rPr>
          <w:rFonts w:asciiTheme="minorHAnsi" w:hAnsiTheme="minorHAnsi" w:cstheme="minorHAnsi"/>
        </w:rPr>
        <w:t>Förändrad fastighetsindelning</w:t>
      </w:r>
    </w:p>
    <w:p>
      <w:pPr>
        <w:ind w:left="720"/>
      </w:pPr>
      <w:bookmarkStart w:id="154" w:name="gf_förändradfastighetsindelning01"/>
      <w:r>
        <w:t xml:space="preserve">För att fortsatt skötsel och investeringar ska kunna möjliggöras framgent samt att tillgängligheten för allmänheten ska bli bättre, så kommer allmänplats GATA att utökas österut. Detta kommer ske över del av kvartersmarken på fastigheterna Skjutskarlen 1 och Skjutskarlen 7, vilket möjliggör inlösen av del av fastighet för att utvidga allmän plats. Det finns dock inga planer idag på inlösen men det kan komma att förändras framgent om allmän plats behöver utvecklas eller om tillgänglighet behöver säkerställas. Ytorna som förläggs som allmän plats har redan infrastruktur uppförda av kommunen och är tillgängliga för allmänheten, vilket betyder att inga ändringar behöver ske vid detaljplanens genomförande för att säkerställa allmän plats såsom utrymmena fungerar idag. Det finns redan trottoarer, träd, växtbäddar, parkeringsplatser med mera, som delvis är i drift och underhålls av kommunen men som ligger på kvartersmark i befintlig plan. </w:t>
      </w:r>
    </w:p>
    <w:p>
      <w:pPr>
        <w:ind w:left="720"/>
      </w:pPr>
      <w:r>
        <w:t>Vidare så möjliggörs marken närmast kvartersmarken där tidigare var prickmark, för tillfälliga uteservering och entréfunktioner. Detta betyder att fler möjligheter för tillgänglighetsanpassning och verksamheter som kan nyttja gatumiljöer blir möjliga. Detta samtidigt som bebyggelse hindras att kraga ut för nära allmän platsgata, som försvårar tillgänglighet för gång och cykel eller trafik gällande siktlinjer, trafiksäkerhet och svängradie vid Sveavägen. I sydöstra delen av planområdet så utvidgas även allmän plats vid busshållplatsen av samma orsaker som nämnts tidigare. Nordvästra hörnet vid Skjutskarlen 1 har redan i befintlig detaljplan allmän plats på privat mark och avses att fortsatt att bibehållas i planförslaget.</w:t>
      </w:r>
    </w:p>
    <w:p>
      <w:pPr>
        <w:ind w:left="720"/>
      </w:pPr>
      <w:r>
        <w:t>Sammantagen möjliggör detaljplanen att privat ägda fastigheter planläggs för allmän plats. Sådan mark kan komma att överföras till en kommunalägd fastighet. Kommunen kan komma att söka frivilliga överenskommelser med alla berörda parter som berörs av dessa markförändringar. Kan ingen frivillig överenskommelse hittas kan antingen Kommunen som huvudman för allmän plats eller fastighetsägaren begära att marken löses in av kommunen via en lantmäteriförrättning där även ersättningen för markinlösen kan avgöras.</w:t>
      </w:r>
    </w:p>
    <w:p>
      <w:pPr>
        <w:pStyle w:val="P3"/>
      </w:pPr>
      <w:bookmarkEnd w:id="154"/>
      <w:r>
        <w:t>Servitut</w:t>
      </w:r>
    </w:p>
    <w:p>
      <w:pPr>
        <w:ind w:left="720"/>
      </w:pPr>
      <w:bookmarkStart w:id="155" w:name="gf_rättigheter02"/>
      <w:r>
        <w:rPr>
          <w:rFonts w:ascii="Calibri" w:hAnsi="Calibri" w:cs="Calibri"/>
        </w:rPr>
        <w:t>Servitut ger rätt för en fastighet att i något avseende nyttja en annan fastighet.</w:t>
        <w:br w:type="textWrapping"/>
        <w:t>Det finns ett servitut väg, för fastigheten Veterinären 7 som är till last för Veterinären 4. Servitutet är fortsatt nödvändigt för att Veterinären 7 ska kunna angöra och parkera vid sin fastighet.</w:t>
      </w:r>
    </w:p>
    <w:p>
      <w:pPr>
        <w:pStyle w:val="P3"/>
        <w:rPr>
          <w:rFonts w:asciiTheme="minorHAnsi" w:hAnsiTheme="minorHAnsi" w:cstheme="minorHAnsi"/>
        </w:rPr>
      </w:pPr>
      <w:bookmarkEnd w:id="155"/>
      <w:r>
        <w:rPr>
          <w:rFonts w:asciiTheme="minorHAnsi" w:hAnsiTheme="minorHAnsi" w:cstheme="minorHAnsi"/>
        </w:rPr>
        <w:t>Ledningsrätter</w:t>
      </w:r>
      <w:bookmarkStart w:id="156" w:name="gf_rättigheter01"/>
    </w:p>
    <w:p>
      <w:pPr>
        <w:ind w:left="720"/>
        <w:rPr>
          <w:rFonts w:cstheme="minorHAnsi"/>
        </w:rPr>
      </w:pPr>
      <w:r>
        <w:rPr>
          <w:rFonts w:ascii="Calibri" w:hAnsi="Calibri" w:cs="Calibri"/>
        </w:rPr>
        <w:t>I befintlig detaljplanen finns ett u-områden för underjordiska ledningar på kvartersmark som kommer bibehållas i den nya detaljplanen. Detta för att säkerställa att befintliga allmännyttiga ledningar för fjärrvärme kan få vara kvar. Ledningsrätt för fjärrvärme finns redan inom u-området till förmån för Smedjebacken Energi AB som är till last för Skjutskarlen 7 samt Skjutskarlen 1.</w:t>
        <w:br w:type="textWrapping"/>
      </w:r>
    </w:p>
    <w:p>
      <w:pPr>
        <w:pStyle w:val="P3"/>
        <w:numPr>
          <w:ilvl w:val="2"/>
          <w:numId w:val="2"/>
        </w:numPr>
        <w:rPr>
          <w:rFonts w:asciiTheme="minorHAnsi" w:hAnsiTheme="minorHAnsi" w:cstheme="minorHAnsi"/>
        </w:rPr>
      </w:pPr>
      <w:bookmarkEnd w:id="156"/>
      <w:r>
        <w:rPr>
          <w:rFonts w:asciiTheme="minorHAnsi" w:hAnsiTheme="minorHAnsi" w:cstheme="minorHAnsi"/>
        </w:rPr>
        <w:t>Kvalitet på fastighetsgränser</w:t>
      </w:r>
    </w:p>
    <w:p>
      <w:pPr>
        <w:ind w:left="720"/>
      </w:pPr>
      <w:bookmarkStart w:id="157" w:name="gf_fastighetsrättsligafrågor01"/>
      <w:r>
        <w:t>Inför framtagandet av grundkarta har kontroll av fastighetskartan och fastighetsgränsernas kvalitet utförts. Gränserna med lägst kvalitet i fastighetskartan och där gränsmarkeringar saknas på marken, bedöms ändå inneha tillräcklig god kvalitet. Detta eftersom fastighetsgränserna är i god överensstämmelse med tomtmätningskartorna. Ytterligare utredningar bedöms därmed ej vara relevanta.</w:t>
      </w:r>
    </w:p>
    <w:p>
      <w:pPr>
        <w:pStyle w:val="P2"/>
        <w:rPr>
          <w:rFonts w:asciiTheme="minorHAnsi" w:hAnsiTheme="minorHAnsi" w:cstheme="minorHAnsi"/>
        </w:rPr>
      </w:pPr>
      <w:bookmarkEnd w:id="157"/>
      <w:bookmarkStart w:id="158" w:name="_Toc219101273"/>
      <w:r>
        <w:rPr>
          <w:rFonts w:asciiTheme="minorHAnsi" w:hAnsiTheme="minorHAnsi" w:cstheme="minorHAnsi"/>
        </w:rPr>
        <w:t>Tekniska frågor</w:t>
      </w:r>
      <w:bookmarkEnd w:id="158"/>
    </w:p>
    <w:p>
      <w:pPr>
        <w:pStyle w:val="P3"/>
        <w:rPr>
          <w:rFonts w:asciiTheme="minorHAnsi" w:hAnsiTheme="minorHAnsi" w:cstheme="minorHAnsi"/>
        </w:rPr>
      </w:pPr>
      <w:r>
        <w:rPr>
          <w:rFonts w:asciiTheme="minorHAnsi" w:hAnsiTheme="minorHAnsi" w:cstheme="minorHAnsi"/>
        </w:rPr>
        <w:t>Tekniska åtgärder</w:t>
      </w:r>
    </w:p>
    <w:p>
      <w:pPr>
        <w:ind w:left="720"/>
        <w:rPr>
          <w:rFonts w:ascii="Calibri" w:hAnsi="Calibri" w:cs="Calibri"/>
          <w:szCs w:val="24"/>
        </w:rPr>
      </w:pPr>
      <w:bookmarkStart w:id="159" w:name="gf_tekniskaåtgärder01"/>
      <w:r>
        <w:rPr>
          <w:rFonts w:ascii="Calibri" w:hAnsi="Calibri" w:cs="Calibri"/>
          <w:szCs w:val="24"/>
        </w:rPr>
        <w:t xml:space="preserve">Kring och i planområdet finns det befintlig infrastruktur för stadsnät, fjärrvärme, elnät samt vatten och avlopp. </w:t>
      </w:r>
      <w:r>
        <w:rPr>
          <w:rStyle w:val="C30"/>
          <w:rFonts w:ascii="Calibri" w:hAnsi="Calibri" w:cs="Calibri"/>
          <w:sz w:val="24"/>
          <w:szCs w:val="24"/>
        </w:rPr>
        <w:t>Kostnader relaterade till tekniska åtgärder bekostas av den som initierar dem, om inget annat har överenskommits med respektive ledningsägare. Inga tekniska åtgärder behöver åtgärdas i genomförande av detaljplanen.</w:t>
      </w:r>
    </w:p>
    <w:p>
      <w:pPr>
        <w:pStyle w:val="P3"/>
        <w:rPr>
          <w:rFonts w:asciiTheme="minorHAnsi" w:hAnsiTheme="minorHAnsi" w:cstheme="minorHAnsi"/>
        </w:rPr>
      </w:pPr>
      <w:bookmarkEnd w:id="159"/>
      <w:r>
        <w:rPr>
          <w:rFonts w:asciiTheme="minorHAnsi" w:hAnsiTheme="minorHAnsi" w:cstheme="minorHAnsi"/>
        </w:rPr>
        <w:t>Utbyggnad allmän plats</w:t>
      </w:r>
    </w:p>
    <w:p>
      <w:pPr>
        <w:ind w:left="720"/>
        <w:rPr>
          <w:rFonts w:cstheme="minorHAnsi"/>
        </w:rPr>
      </w:pPr>
      <w:bookmarkStart w:id="160" w:name="gf_utbyggnadallmänplats01"/>
      <w:r>
        <w:rPr>
          <w:rFonts w:cstheme="minorHAnsi"/>
        </w:rPr>
        <w:t xml:space="preserve">Kommunen ansvarar för eventuella utbyggnader av allmän plats. Eftersom marken redan är bebyggd så kommer fortsatt förvaltning att ske och utveckling av de allmänna platserna. I nuläget bedöms att ingen ny utbyggnad av allmän plats kommer att ske. </w:t>
      </w:r>
    </w:p>
    <w:p>
      <w:pPr>
        <w:pStyle w:val="P3"/>
        <w:rPr>
          <w:rFonts w:asciiTheme="minorHAnsi" w:hAnsiTheme="minorHAnsi" w:cstheme="minorHAnsi"/>
        </w:rPr>
      </w:pPr>
      <w:bookmarkEnd w:id="160"/>
      <w:r>
        <w:rPr>
          <w:rFonts w:asciiTheme="minorHAnsi" w:hAnsiTheme="minorHAnsi" w:cstheme="minorHAnsi"/>
        </w:rPr>
        <w:t xml:space="preserve">Avfallshantering </w:t>
      </w:r>
    </w:p>
    <w:p>
      <w:pPr>
        <w:ind w:left="720"/>
        <w:rPr>
          <w:rFonts w:cstheme="minorHAnsi"/>
        </w:rPr>
      </w:pPr>
      <w:bookmarkStart w:id="161" w:name="gf_avfall01"/>
      <w:r>
        <w:rPr>
          <w:rFonts w:ascii="Calibri" w:hAnsi="Calibri" w:cs="Calibri"/>
        </w:rPr>
        <w:t xml:space="preserve">Utrymme för avfall ska anordnas på kvartersmark inom den egna fastigheten nära angöringsyta för miljöfordon, till dess att nya bestämmelser upprättas om återvinning. Ingen skillnad i avfallshantering jämfört med befintlig användning bedöms ske efter genomförandet av den nya detaljplanen. </w:t>
      </w:r>
      <w:r>
        <w:rPr>
          <w:rFonts w:cstheme="minorHAnsi"/>
        </w:rPr>
        <w:t xml:space="preserve">Tillgängligheten för fordon som hämtar avfallet ska beaktas. Angöring av renhållningsfordon ska kunna ske på ett tryggt sätt och markbeläggning ska vara anpassad för fordonens belastning. Avfallet ska källsorteras för att det effektivt ska kunna återanvändas och återvinnas. Vid flerbostadshus med många bostäder på samma fastighet så ska miljöhus eller liknande samlad funktion på kvartersmark eller på annan närliggande kvartersmark som delar insamling samordnas och uppföras, då gatumiljön annars påverkas negativt av för många avfallskärl. Fåtal avfallskärl ska döljas på egna fastigheten mot allmänplats gata, när avfallskärlen inte står framme för lämning till miljöfordon. </w:t>
      </w:r>
    </w:p>
    <w:p>
      <w:pPr>
        <w:pStyle w:val="P2"/>
        <w:rPr>
          <w:rFonts w:asciiTheme="minorHAnsi" w:hAnsiTheme="minorHAnsi" w:cstheme="minorHAnsi"/>
        </w:rPr>
      </w:pPr>
      <w:bookmarkEnd w:id="161"/>
      <w:bookmarkStart w:id="162" w:name="_Toc219101274"/>
      <w:r>
        <w:rPr>
          <w:rFonts w:asciiTheme="minorHAnsi" w:hAnsiTheme="minorHAnsi" w:cstheme="minorHAnsi"/>
        </w:rPr>
        <w:t>Ekonomiska frågor</w:t>
      </w:r>
      <w:bookmarkEnd w:id="162"/>
    </w:p>
    <w:p>
      <w:pPr>
        <w:pStyle w:val="P3"/>
        <w:spacing w:lineRule="auto" w:line="276" w:beforeAutospacing="0" w:afterAutospacing="0"/>
        <w:rPr>
          <w:rFonts w:asciiTheme="minorHAnsi" w:hAnsiTheme="minorHAnsi" w:cstheme="minorHAnsi"/>
        </w:rPr>
      </w:pPr>
      <w:r>
        <w:rPr>
          <w:rFonts w:asciiTheme="minorHAnsi" w:hAnsiTheme="minorHAnsi" w:cstheme="minorHAnsi"/>
        </w:rPr>
        <w:t xml:space="preserve">Planekonomisk bedömning </w:t>
      </w:r>
    </w:p>
    <w:p>
      <w:pPr>
        <w:spacing w:lineRule="auto" w:line="276" w:beforeAutospacing="0" w:afterAutospacing="0"/>
        <w:ind w:left="720"/>
        <w:rPr>
          <w:rFonts w:cstheme="minorHAnsi"/>
        </w:rPr>
      </w:pPr>
      <w:bookmarkStart w:id="163" w:name="gf_planekonomiskbedömning01"/>
      <w:r>
        <w:rPr>
          <w:rFonts w:cstheme="minorHAnsi"/>
        </w:rPr>
        <w:t>Enligt BFS 2020:8 ska planbeskrivningen redovisa en ekonomisk bedömning av de viktigaste konsekvenserna som genomförandet av detaljplanen kan medföra för berörda parter. Redovisningen ska även inkludera information om kostnadsfördelning och betalningsansvar som kan uppkomma i samband med detaljplanens genomförande.</w:t>
      </w:r>
    </w:p>
    <w:p>
      <w:pPr>
        <w:pStyle w:val="P31"/>
        <w:numPr>
          <w:ilvl w:val="0"/>
          <w:numId w:val="5"/>
        </w:numPr>
        <w:spacing w:lineRule="auto" w:line="276" w:beforeAutospacing="0" w:afterAutospacing="0"/>
        <w:rPr>
          <w:rFonts w:cstheme="minorHAnsi"/>
        </w:rPr>
      </w:pPr>
      <w:r>
        <w:rPr>
          <w:rFonts w:cstheme="minorHAnsi"/>
        </w:rPr>
        <w:t>Tekniska kontoret ansvarar för kostnader avseende planavgiften.</w:t>
      </w:r>
    </w:p>
    <w:p>
      <w:pPr>
        <w:pStyle w:val="P31"/>
        <w:numPr>
          <w:ilvl w:val="0"/>
          <w:numId w:val="5"/>
        </w:numPr>
        <w:spacing w:lineRule="auto" w:line="276" w:beforeAutospacing="0" w:afterAutospacing="0"/>
        <w:rPr>
          <w:rFonts w:cstheme="minorHAnsi"/>
        </w:rPr>
      </w:pPr>
      <w:r>
        <w:rPr>
          <w:rFonts w:cstheme="minorHAnsi"/>
        </w:rPr>
        <w:t>Alla åtgärder inom kvartersmark ansvarar respektive fastighetsägare för.</w:t>
      </w:r>
    </w:p>
    <w:p>
      <w:pPr>
        <w:pStyle w:val="P31"/>
        <w:numPr>
          <w:ilvl w:val="0"/>
          <w:numId w:val="5"/>
        </w:numPr>
        <w:spacing w:lineRule="auto" w:line="276" w:beforeAutospacing="0" w:afterAutospacing="0"/>
        <w:rPr>
          <w:rFonts w:cstheme="minorHAnsi"/>
        </w:rPr>
      </w:pPr>
      <w:r>
        <w:rPr>
          <w:rFonts w:cstheme="minorHAnsi"/>
        </w:rPr>
        <w:t>Kommunen ansvarar för drift och underhåll av allmän plats inom planområdet.</w:t>
      </w:r>
    </w:p>
    <w:p>
      <w:pPr>
        <w:pStyle w:val="P31"/>
        <w:numPr>
          <w:ilvl w:val="0"/>
          <w:numId w:val="5"/>
        </w:numPr>
        <w:spacing w:lineRule="auto" w:line="276" w:beforeAutospacing="0" w:afterAutospacing="0"/>
        <w:rPr>
          <w:rFonts w:cstheme="minorHAnsi"/>
        </w:rPr>
      </w:pPr>
      <w:r>
        <w:rPr>
          <w:rFonts w:cstheme="minorHAnsi"/>
        </w:rPr>
        <w:t>Kostnader för anslutning till VA, fiber, el samt annan nödvändig teknisk infrastruktur bekostas av den part som initierar åtgärden.</w:t>
      </w:r>
    </w:p>
    <w:p>
      <w:pPr>
        <w:pStyle w:val="P31"/>
        <w:numPr>
          <w:ilvl w:val="0"/>
          <w:numId w:val="5"/>
        </w:numPr>
        <w:spacing w:lineRule="auto" w:line="276" w:beforeAutospacing="0" w:afterAutospacing="0"/>
        <w:rPr>
          <w:rFonts w:cstheme="minorHAnsi"/>
        </w:rPr>
      </w:pPr>
      <w:r>
        <w:rPr>
          <w:rFonts w:cstheme="minorHAnsi"/>
        </w:rPr>
        <w:t>Kostnader relaterat till möjlig inlösen av mark som kommunen är skyldig till enligt lagkrav på allmän plats ansvarar kommunen för.</w:t>
      </w:r>
    </w:p>
    <w:p>
      <w:pPr>
        <w:pStyle w:val="P3"/>
        <w:rPr>
          <w:rFonts w:asciiTheme="minorHAnsi" w:hAnsiTheme="minorHAnsi" w:cstheme="minorHAnsi"/>
        </w:rPr>
      </w:pPr>
      <w:bookmarkEnd w:id="163"/>
      <w:r>
        <w:rPr>
          <w:rFonts w:asciiTheme="minorHAnsi" w:hAnsiTheme="minorHAnsi" w:cstheme="minorHAnsi"/>
        </w:rPr>
        <w:t>Ersättning på grund av skyddsbestämmelser</w:t>
      </w:r>
    </w:p>
    <w:p>
      <w:pPr>
        <w:ind w:left="720"/>
        <w:rPr>
          <w:rFonts w:cstheme="minorHAnsi"/>
        </w:rPr>
      </w:pPr>
      <w:bookmarkStart w:id="164" w:name="gf_ersättningsanspråk01"/>
      <w:r>
        <w:rPr>
          <w:rFonts w:cstheme="minorHAnsi"/>
        </w:rPr>
        <w:t xml:space="preserve">När en detaljplan innehåller rivningsförbud eller skyddsbestämmelser kan den som äger en fastighet som berörs av bestämmelsen ha rätt till ersättning av kommunen för den ekonomiska skada som bestämmelsen medför (PBL 14 kap. 7§ och 10§). Rätten till ersättning gäller dock endast om bestämmelsen innebär att fastigheten eller berörd del av fastighetens pågående markanvändning avsevärt försvåras. Krav på ersättning ska ställas till kommunen inom två år från den dag detaljplanen vinner laga kraft. </w:t>
      </w:r>
    </w:p>
    <w:p>
      <w:pPr>
        <w:pStyle w:val="P3"/>
        <w:rPr>
          <w:rFonts w:asciiTheme="minorHAnsi" w:hAnsiTheme="minorHAnsi" w:cstheme="minorHAnsi"/>
        </w:rPr>
      </w:pPr>
      <w:bookmarkEnd w:id="164"/>
      <w:r>
        <w:rPr>
          <w:rFonts w:asciiTheme="minorHAnsi" w:hAnsiTheme="minorHAnsi" w:cstheme="minorHAnsi"/>
        </w:rPr>
        <w:t>Planavgift</w:t>
      </w:r>
    </w:p>
    <w:p>
      <w:pPr>
        <w:ind w:left="720"/>
        <w:rPr>
          <w:rFonts w:cstheme="minorHAnsi"/>
        </w:rPr>
      </w:pPr>
      <w:bookmarkStart w:id="165" w:name="gf_planavgift01"/>
      <w:r>
        <w:rPr>
          <w:rFonts w:cstheme="minorHAnsi"/>
        </w:rPr>
        <w:t xml:space="preserve">Planavgift tas ut för att täcka kostnader för åtgärder som behövs för att upprätta detaljplanen. Avgiften fastställs enligt kommunens plan- och bygglovstaxa för 2025 och debiteras efter att detaljplanen har antagits. Tekniska kontoret ansvarar för att betala planavgiften, medan intäkterna tillfaller Miljö- och byggkontoret. </w:t>
      </w:r>
    </w:p>
    <w:p>
      <w:pPr>
        <w:pStyle w:val="P3"/>
        <w:rPr>
          <w:rFonts w:asciiTheme="minorHAnsi" w:hAnsiTheme="minorHAnsi" w:cstheme="minorHAnsi"/>
        </w:rPr>
      </w:pPr>
      <w:bookmarkEnd w:id="165"/>
      <w:r>
        <w:rPr>
          <w:rFonts w:asciiTheme="minorHAnsi" w:hAnsiTheme="minorHAnsi" w:cstheme="minorHAnsi"/>
        </w:rPr>
        <w:t>Drift och underhåll allmän plats</w:t>
      </w:r>
    </w:p>
    <w:p>
      <w:pPr>
        <w:ind w:firstLine="720"/>
        <w:rPr>
          <w:rFonts w:cstheme="minorHAnsi"/>
        </w:rPr>
      </w:pPr>
      <w:bookmarkStart w:id="166" w:name="gf_driftallmänplats01"/>
      <w:r>
        <w:rPr>
          <w:rFonts w:cstheme="minorHAnsi"/>
        </w:rPr>
        <w:t>Smedjebackens kommun ansvarar för drift och underhåll av allmän plats.</w:t>
      </w:r>
    </w:p>
    <w:p>
      <w:pPr>
        <w:pStyle w:val="P3"/>
        <w:rPr>
          <w:rFonts w:asciiTheme="minorHAnsi" w:hAnsiTheme="minorHAnsi" w:cstheme="minorHAnsi"/>
        </w:rPr>
      </w:pPr>
      <w:bookmarkEnd w:id="166"/>
      <w:r>
        <w:rPr>
          <w:rFonts w:asciiTheme="minorHAnsi" w:hAnsiTheme="minorHAnsi" w:cstheme="minorHAnsi"/>
        </w:rPr>
        <w:t>Drift och underhåll vatten och avlopp</w:t>
      </w:r>
    </w:p>
    <w:p>
      <w:pPr>
        <w:ind w:left="720"/>
        <w:rPr>
          <w:rFonts w:cstheme="minorHAnsi"/>
        </w:rPr>
      </w:pPr>
      <w:bookmarkStart w:id="167" w:name="gf_driftvattenochavlopp01"/>
      <w:r>
        <w:rPr>
          <w:rFonts w:ascii="Calibri" w:hAnsi="Calibri" w:cs="Calibri"/>
          <w:szCs w:val="24"/>
        </w:rPr>
        <w:t>WBAB ansvarar för drift och underhåll av de allmänna VA-ledningarna.</w:t>
      </w:r>
    </w:p>
    <w:p>
      <w:pPr>
        <w:pStyle w:val="P3"/>
        <w:rPr>
          <w:rFonts w:asciiTheme="minorHAnsi" w:hAnsiTheme="minorHAnsi" w:cstheme="minorHAnsi"/>
        </w:rPr>
      </w:pPr>
      <w:bookmarkEnd w:id="167"/>
      <w:r>
        <w:rPr>
          <w:rFonts w:asciiTheme="minorHAnsi" w:hAnsiTheme="minorHAnsi" w:cstheme="minorHAnsi"/>
        </w:rPr>
        <w:t>Drift och underhåll Elnät</w:t>
      </w:r>
    </w:p>
    <w:p>
      <w:pPr>
        <w:ind w:left="720"/>
        <w:rPr>
          <w:rFonts w:ascii="Calibri" w:hAnsi="Calibri" w:cs="Calibri"/>
        </w:rPr>
      </w:pPr>
      <w:bookmarkStart w:id="168" w:name="_Hlk163118625"/>
      <w:bookmarkStart w:id="169" w:name="gf_ekonomiskafrågor01"/>
      <w:r>
        <w:rPr>
          <w:rFonts w:ascii="Calibri" w:hAnsi="Calibri" w:cs="Calibri"/>
        </w:rPr>
        <w:t>Smedjebacken Energi AB ansvarar för drift och underhåll av elnätet.</w:t>
      </w:r>
    </w:p>
    <w:p>
      <w:pPr>
        <w:pStyle w:val="P2"/>
        <w:rPr>
          <w:rFonts w:asciiTheme="minorHAnsi" w:hAnsiTheme="minorHAnsi" w:cstheme="minorHAnsi"/>
        </w:rPr>
      </w:pPr>
      <w:bookmarkEnd w:id="168"/>
      <w:bookmarkEnd w:id="169"/>
      <w:bookmarkStart w:id="170" w:name="_Toc219101275"/>
      <w:r>
        <w:rPr>
          <w:rFonts w:asciiTheme="minorHAnsi" w:hAnsiTheme="minorHAnsi" w:cstheme="minorHAnsi"/>
        </w:rPr>
        <w:t>Organisatoriska frågor</w:t>
      </w:r>
      <w:bookmarkEnd w:id="170"/>
    </w:p>
    <w:p>
      <w:pPr>
        <w:pStyle w:val="P3"/>
        <w:rPr>
          <w:rFonts w:asciiTheme="minorHAnsi" w:hAnsiTheme="minorHAnsi" w:cstheme="minorHAnsi"/>
        </w:rPr>
      </w:pPr>
      <w:r>
        <w:rPr>
          <w:rFonts w:asciiTheme="minorHAnsi" w:hAnsiTheme="minorHAnsi" w:cstheme="minorHAnsi"/>
        </w:rPr>
        <w:t>Tidplan</w:t>
      </w:r>
    </w:p>
    <w:p>
      <w:pPr>
        <w:ind w:left="720"/>
        <w:rPr>
          <w:rFonts w:ascii="Calibri" w:hAnsi="Calibri" w:cs="Calibri"/>
          <w:szCs w:val="24"/>
        </w:rPr>
      </w:pPr>
      <w:r>
        <w:rPr>
          <w:rFonts w:ascii="Calibri" w:hAnsi="Calibri" w:cs="Calibri"/>
          <w:szCs w:val="24"/>
        </w:rPr>
        <w:t>Detaljplanen tas fram med standardförfarande och antas av kommunfullmäktige. Förfarande kan komma att ändras under planprocessens gång om kriterier för ett annat planförfarande blir uppfyllda. Planförfarande och andra förutsättningar som uppmärksammas i planprocessens gång kan påverka tiden på detaljplanen. Preliminär tidplan för detaljplanen är;</w:t>
      </w:r>
    </w:p>
    <w:p>
      <w:pPr>
        <w:ind w:left="720"/>
        <w:rPr>
          <w:rFonts w:ascii="Calibri" w:hAnsi="Calibri" w:cs="Calibri"/>
          <w:szCs w:val="24"/>
        </w:rPr>
      </w:pPr>
    </w:p>
    <w:p>
      <w:pPr>
        <w:ind w:left="720"/>
        <w:rPr>
          <w:rFonts w:cstheme="minorHAnsi"/>
          <w:szCs w:val="24"/>
        </w:rPr>
      </w:pPr>
      <w:bookmarkStart w:id="171" w:name="gf_tidplan01"/>
      <w:r>
        <w:rPr>
          <w:rFonts w:cstheme="minorHAnsi"/>
          <w:noProof w:val="1"/>
          <w:szCs w:val="24"/>
        </w:rPr>
        <w:drawing>
          <wp:inline xmlns:wp="http://schemas.openxmlformats.org/drawingml/2006/wordprocessingDrawing" distT="0" distB="0" distL="0" distR="0">
            <wp:extent cx="3855720" cy="2009140"/>
            <wp:effectExtent l="0" t="0" r="0" b="0"/>
            <wp:docPr id="85668041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80415" name="Picture 14"/>
                    <pic:cNvPicPr/>
                  </pic:nvPicPr>
                  <pic:blipFill dpi="0">
                    <a:blip xmlns:r="http://schemas.openxmlformats.org/officeDocument/2006/relationships" r:embed="Relimage27"/>
                    <a:srcRect/>
                    <a:stretch>
                      <a:fillRect/>
                    </a:stretch>
                  </pic:blipFill>
                  <pic:spPr>
                    <a:xfrm>
                      <a:off x="0" y="0"/>
                      <a:ext cx="3867959" cy="2015839"/>
                    </a:xfrm>
                    <a:prstGeom prst="rect"/>
                  </pic:spPr>
                </pic:pic>
              </a:graphicData>
            </a:graphic>
          </wp:inline>
        </w:drawing>
      </w:r>
    </w:p>
    <w:p>
      <w:pPr>
        <w:ind w:left="720"/>
        <w:rPr>
          <w:rFonts w:cstheme="minorHAnsi"/>
        </w:rPr>
      </w:pPr>
      <w:bookmarkEnd w:id="171"/>
      <w:r>
        <w:rPr>
          <w:rFonts w:cstheme="minorHAnsi"/>
        </w:rPr>
        <w:t xml:space="preserve"> </w:t>
      </w:r>
      <w:r>
        <w:rPr>
          <w:rFonts w:cstheme="minorHAnsi"/>
          <w:color w:val="3B3939" w:themeColor="background2" w:themeShade="40"/>
          <w:sz w:val="16"/>
          <w:szCs w:val="16"/>
        </w:rPr>
        <w:t>Tabell 3: Tidplan.</w:t>
      </w: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jc w:val="center"/>
        <w:rPr>
          <w:rFonts w:cstheme="minorHAnsi" w:eastAsiaTheme="minorHAnsi"/>
          <w:b w:val="1"/>
          <w:bCs w:val="1"/>
          <w:color w:val="C00000"/>
          <w:sz w:val="28"/>
          <w:szCs w:val="28"/>
        </w:rPr>
      </w:pPr>
    </w:p>
    <w:p>
      <w:pPr>
        <w:jc w:val="center"/>
        <w:rPr>
          <w:rFonts w:cstheme="minorHAnsi" w:eastAsiaTheme="minorHAnsi"/>
          <w:b w:val="1"/>
          <w:bCs w:val="1"/>
          <w:color w:val="C00000"/>
          <w:sz w:val="28"/>
          <w:szCs w:val="28"/>
        </w:rPr>
      </w:pPr>
      <w:r>
        <w:rPr>
          <w:rFonts w:cstheme="minorHAnsi" w:eastAsiaTheme="minorHAnsi"/>
          <w:b w:val="1"/>
          <w:bCs w:val="1"/>
          <w:color w:val="C00000"/>
          <w:sz w:val="28"/>
          <w:szCs w:val="28"/>
        </w:rPr>
        <w:t>Medverkande</w:t>
      </w:r>
    </w:p>
    <w:p>
      <w:pPr>
        <w:jc w:val="center"/>
        <w:rPr>
          <w:rFonts w:cstheme="minorHAnsi" w:eastAsiaTheme="minorHAnsi"/>
          <w:szCs w:val="24"/>
        </w:rPr>
      </w:pPr>
      <w:r>
        <w:rPr>
          <w:rFonts w:cstheme="minorHAnsi" w:eastAsiaTheme="minorHAnsi"/>
          <w:szCs w:val="24"/>
        </w:rPr>
        <w:t>Handlingarna har upprättats av Miljö- och byggkontoret.</w:t>
      </w:r>
    </w:p>
    <w:p>
      <w:pPr>
        <w:spacing w:lineRule="auto" w:line="360" w:beforeAutospacing="0" w:afterAutospacing="0"/>
        <w:rPr>
          <w:rFonts w:cstheme="minorHAnsi" w:eastAsiaTheme="minorHAnsi"/>
          <w:szCs w:val="24"/>
        </w:rPr>
      </w:pPr>
      <w:r>
        <w:rPr>
          <w:rFonts w:cstheme="minorHAnsi" w:eastAsiaTheme="minorHAnsi"/>
          <w:szCs w:val="24"/>
        </w:rPr>
        <w:t xml:space="preserve">                                                              Smedjebackens kommun. </w:t>
      </w:r>
    </w:p>
    <w:p>
      <w:pPr>
        <w:spacing w:lineRule="auto" w:line="360" w:beforeAutospacing="0" w:afterAutospacing="0"/>
        <w:rPr>
          <w:rFonts w:cstheme="minorHAnsi" w:eastAsiaTheme="minorHAnsi"/>
          <w:szCs w:val="24"/>
        </w:rPr>
      </w:pPr>
    </w:p>
    <w:p>
      <w:pPr>
        <w:spacing w:lineRule="auto" w:line="240" w:after="0" w:beforeAutospacing="0" w:afterAutospacing="0"/>
        <w:ind w:left="1304"/>
        <w:jc w:val="both"/>
        <w:rPr>
          <w:rFonts w:cstheme="minorHAnsi" w:eastAsiaTheme="minorHAnsi"/>
          <w:i w:val="1"/>
          <w:iCs w:val="1"/>
          <w:szCs w:val="24"/>
        </w:rPr>
      </w:pPr>
      <w:r>
        <w:rPr>
          <w:rFonts w:cstheme="minorHAnsi" w:eastAsiaTheme="minorHAnsi"/>
          <w:i w:val="1"/>
          <w:iCs w:val="1"/>
          <w:szCs w:val="24"/>
        </w:rPr>
        <w:t xml:space="preserve">      Gunilla Skoog                                                  Mattias Rostock</w:t>
      </w:r>
    </w:p>
    <w:p>
      <w:pPr>
        <w:spacing w:lineRule="auto" w:line="360" w:beforeAutospacing="0" w:afterAutospacing="0"/>
        <w:ind w:left="1304"/>
        <w:jc w:val="both"/>
        <w:rPr>
          <w:rFonts w:cstheme="minorHAnsi" w:eastAsiaTheme="minorHAnsi"/>
          <w:i w:val="1"/>
          <w:iCs w:val="1"/>
          <w:szCs w:val="24"/>
        </w:rPr>
      </w:pPr>
      <w:r>
        <w:rPr>
          <w:rFonts w:cstheme="minorHAnsi" w:eastAsiaTheme="minorHAnsi"/>
          <w:i w:val="1"/>
          <w:iCs w:val="1"/>
          <w:szCs w:val="24"/>
        </w:rPr>
        <w:t xml:space="preserve">      Miljö- och byggchef                                       Samhällsplanerare</w:t>
      </w:r>
    </w:p>
    <w:p>
      <w:pPr>
        <w:spacing w:lineRule="auto" w:line="360" w:beforeAutospacing="0" w:afterAutospacing="0"/>
        <w:jc w:val="both"/>
        <w:rPr>
          <w:rFonts w:cstheme="minorHAnsi" w:eastAsiaTheme="minorHAnsi"/>
          <w:i w:val="1"/>
          <w:iCs w:val="1"/>
          <w:szCs w:val="24"/>
        </w:rPr>
      </w:pPr>
    </w:p>
    <w:p>
      <w:pPr>
        <w:spacing w:lineRule="auto" w:line="360" w:beforeAutospacing="0" w:afterAutospacing="0"/>
        <w:jc w:val="both"/>
        <w:rPr>
          <w:rFonts w:cstheme="minorHAnsi" w:eastAsiaTheme="minorHAnsi"/>
          <w:i w:val="1"/>
          <w:iCs w:val="1"/>
          <w:szCs w:val="24"/>
        </w:rPr>
      </w:pPr>
    </w:p>
    <w:p>
      <w:pPr>
        <w:spacing w:lineRule="auto" w:line="360" w:beforeAutospacing="0" w:afterAutospacing="0"/>
        <w:jc w:val="both"/>
        <w:rPr>
          <w:rFonts w:cstheme="minorHAnsi" w:eastAsiaTheme="minorHAnsi"/>
          <w:i w:val="1"/>
          <w:iCs w:val="1"/>
          <w:szCs w:val="24"/>
        </w:rPr>
      </w:pPr>
    </w:p>
    <w:p>
      <w:pPr>
        <w:spacing w:lineRule="auto" w:line="360" w:beforeAutospacing="0" w:afterAutospacing="0"/>
        <w:jc w:val="both"/>
        <w:rPr>
          <w:rFonts w:cstheme="minorHAnsi" w:eastAsiaTheme="minorHAnsi"/>
          <w:i w:val="1"/>
          <w:iCs w:val="1"/>
          <w:szCs w:val="24"/>
        </w:rPr>
      </w:pPr>
    </w:p>
    <w:p>
      <w:pPr>
        <w:spacing w:lineRule="auto" w:line="360" w:beforeAutospacing="0" w:afterAutospacing="0"/>
        <w:jc w:val="both"/>
        <w:rPr>
          <w:rFonts w:cstheme="minorHAnsi" w:eastAsiaTheme="minorHAnsi"/>
          <w:i w:val="1"/>
          <w:iCs w:val="1"/>
          <w:szCs w:val="24"/>
        </w:rPr>
      </w:pPr>
    </w:p>
    <w:p>
      <w:pPr>
        <w:spacing w:lineRule="auto" w:line="360" w:beforeAutospacing="0" w:afterAutospacing="0"/>
        <w:jc w:val="both"/>
        <w:rPr>
          <w:rFonts w:cstheme="minorHAnsi" w:eastAsiaTheme="minorHAnsi"/>
          <w:i w:val="1"/>
          <w:iCs w:val="1"/>
          <w:szCs w:val="24"/>
        </w:rPr>
      </w:pPr>
    </w:p>
    <w:p>
      <w:pPr>
        <w:spacing w:lineRule="auto" w:line="360" w:beforeAutospacing="0" w:afterAutospacing="0"/>
        <w:jc w:val="both"/>
        <w:rPr>
          <w:rFonts w:cstheme="minorHAnsi" w:eastAsiaTheme="minorHAnsi"/>
          <w:i w:val="1"/>
          <w:iCs w:val="1"/>
          <w:szCs w:val="24"/>
        </w:rPr>
      </w:pPr>
    </w:p>
    <w:p>
      <w:pPr>
        <w:spacing w:lineRule="auto" w:line="360" w:beforeAutospacing="0" w:afterAutospacing="0"/>
        <w:jc w:val="both"/>
        <w:rPr>
          <w:rFonts w:cstheme="minorHAnsi" w:eastAsiaTheme="minorHAnsi"/>
          <w:szCs w:val="24"/>
        </w:rPr>
      </w:pPr>
      <w:r>
        <w:rPr>
          <w:rFonts w:cstheme="minorHAnsi" w:eastAsia="Times New Roman"/>
          <w:noProof w:val="1"/>
          <w:sz w:val="22"/>
          <w:lang w:eastAsia="sv-SE"/>
        </w:rPr>
        <w:drawing>
          <wp:anchor xmlns:wp="http://schemas.openxmlformats.org/drawingml/2006/wordprocessingDrawing" distT="0" distB="0" distL="114300" distR="114300" simplePos="0" relativeHeight="1" behindDoc="0" locked="0" layoutInCell="1" allowOverlap="1">
            <wp:simplePos x="0" y="0"/>
            <wp:positionH relativeFrom="margin">
              <wp:align>center</wp:align>
            </wp:positionH>
            <wp:positionV relativeFrom="paragraph">
              <wp:posOffset>95885</wp:posOffset>
            </wp:positionV>
            <wp:extent cx="2635250" cy="414020"/>
            <wp:effectExtent l="0" t="0" r="0" b="5080"/>
            <wp:wrapThrough wrapText="bothSides">
              <wp:wrapPolygon edited="0">
                <wp:start x="0" y="0"/>
                <wp:lineTo x="0" y="14908"/>
                <wp:lineTo x="13585" y="18883"/>
                <wp:lineTo x="14521" y="20871"/>
                <wp:lineTo x="15771" y="20871"/>
                <wp:lineTo x="16707" y="20871"/>
                <wp:lineTo x="21392" y="19877"/>
                <wp:lineTo x="21392" y="0"/>
                <wp:lineTo x="0" y="0"/>
              </wp:wrapPolygon>
            </wp:wrapThrough>
            <wp:docPr id="11" name="Bildobjekt 11" descr="En bild som visar text, porslin, kop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dpi="0">
                    <a:blip xmlns:r="http://schemas.openxmlformats.org/officeDocument/2006/relationships" r:embed="Relimage28"/>
                    <a:srcRect/>
                    <a:stretch>
                      <a:fillRect/>
                    </a:stretch>
                  </pic:blipFill>
                  <pic:spPr bwMode="auto">
                    <a:xfrm>
                      <a:off x="0" y="0"/>
                      <a:ext cx="2635250" cy="414020"/>
                    </a:xfrm>
                    <a:prstGeom prst="rect"/>
                    <a:noFill/>
                    <a:ln>
                      <a:noFill/>
                    </a:ln>
                  </pic:spPr>
                </pic:pic>
              </a:graphicData>
            </a:graphic>
          </wp:anchor>
        </w:drawing>
      </w:r>
    </w:p>
    <w:p>
      <w:pPr>
        <w:spacing w:lineRule="auto" w:line="360" w:beforeAutospacing="0" w:afterAutospacing="0"/>
        <w:jc w:val="both"/>
        <w:rPr>
          <w:rFonts w:cstheme="minorHAnsi" w:eastAsiaTheme="minorHAnsi"/>
          <w:szCs w:val="24"/>
        </w:rPr>
      </w:pPr>
    </w:p>
    <w:p>
      <w:pPr>
        <w:widowControl w:val="0"/>
        <w:spacing w:lineRule="auto" w:line="288" w:after="0" w:beforeAutospacing="0" w:afterAutospacing="0"/>
        <w:jc w:val="center"/>
        <w:rPr>
          <w:rFonts w:cstheme="minorHAnsi" w:eastAsia="Times New Roman"/>
          <w:color w:val="000000"/>
          <w:szCs w:val="24"/>
        </w:rPr>
      </w:pPr>
      <w:r>
        <w:rPr>
          <w:rFonts w:cstheme="minorHAnsi" w:eastAsia="Times New Roman"/>
          <w:color w:val="000000"/>
          <w:szCs w:val="24"/>
        </w:rPr>
        <w:t xml:space="preserve">Smedjebackens kommun • Miljö- och byggkontoret • 777 81 Smedjebacken </w:t>
      </w:r>
    </w:p>
    <w:p>
      <w:pPr>
        <w:widowControl w:val="0"/>
        <w:spacing w:lineRule="auto" w:line="288" w:after="0" w:beforeAutospacing="0" w:afterAutospacing="0"/>
        <w:jc w:val="center"/>
        <w:rPr>
          <w:rFonts w:cstheme="minorHAnsi"/>
        </w:rPr>
      </w:pPr>
      <w:r>
        <w:rPr>
          <w:rFonts w:cstheme="minorHAnsi" w:eastAsia="Times New Roman"/>
          <w:color w:val="000000"/>
          <w:szCs w:val="24"/>
        </w:rPr>
        <w:t xml:space="preserve"> E-post: miljobygg@smedjebacken.se • Telefon: 0240-66 00 00 • Säte Smedjebacken</w:t>
      </w: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417" w:right="1417" w:top="1417" w:bottom="1417" w:header="397" w:footer="567"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tabs>
        <w:tab w:val="clear" w:pos="9072" w:leader="none"/>
      </w:tabs>
      <w:spacing w:after="40" w:beforeAutospacing="0" w:afterAutospacing="0"/>
      <w:ind w:left="-1418" w:right="-709"/>
      <w:jc w:val="center"/>
      <w:rPr>
        <w:rFonts w:cstheme="minorHAnsi"/>
        <w:sz w:val="20"/>
        <w:szCs w:val="20"/>
      </w:rPr>
    </w:pPr>
    <w:r>
      <w:rPr>
        <w:rFonts w:cstheme="minorHAnsi"/>
        <w:sz w:val="20"/>
        <w:szCs w:val="20"/>
      </w:rPr>
      <w:t xml:space="preserve">Smedjebackens kommun </w:t>
    </w:r>
    <w:r>
      <w:rPr>
        <w:rFonts w:ascii="Wingdings" w:hAnsi="Wingdings" w:cs="Wingdings" w:eastAsia="Wingdings"/>
        <w:sz w:val="20"/>
        <w:szCs w:val="20"/>
      </w:rPr>
      <w:t></w:t>
    </w:r>
    <w:r>
      <w:rPr>
        <w:rFonts w:cstheme="minorHAnsi"/>
        <w:sz w:val="20"/>
        <w:szCs w:val="20"/>
      </w:rPr>
      <w:t xml:space="preserve"> 777 81 Smedjebacken </w:t>
    </w:r>
    <w:r>
      <w:rPr>
        <w:rFonts w:ascii="Wingdings" w:hAnsi="Wingdings" w:cs="Wingdings" w:eastAsia="Wingdings"/>
        <w:sz w:val="20"/>
        <w:szCs w:val="20"/>
      </w:rPr>
      <w:t></w:t>
    </w:r>
    <w:r>
      <w:rPr>
        <w:rFonts w:cstheme="minorHAnsi"/>
        <w:sz w:val="20"/>
        <w:szCs w:val="20"/>
      </w:rPr>
      <w:t xml:space="preserve"> E-post </w:t>
    </w:r>
    <w:r>
      <w:rPr>
        <w:rFonts w:ascii="Wingdings" w:hAnsi="Wingdings" w:cs="Wingdings" w:eastAsia="Wingdings"/>
        <w:sz w:val="20"/>
        <w:szCs w:val="20"/>
      </w:rPr>
      <w:t></w:t>
    </w:r>
    <w:r>
      <w:rPr>
        <w:rFonts w:cstheme="minorHAnsi"/>
        <w:sz w:val="20"/>
        <w:szCs w:val="20"/>
      </w:rPr>
      <w:t xml:space="preserve"> kommun@smedjebacken.se</w:t>
    </w:r>
  </w:p>
  <w:p>
    <w:pPr>
      <w:pStyle w:val="P11"/>
      <w:tabs>
        <w:tab w:val="clear" w:pos="9072" w:leader="none"/>
      </w:tabs>
      <w:spacing w:after="40" w:beforeAutospacing="0" w:afterAutospacing="0"/>
      <w:ind w:left="-1418" w:right="-709"/>
      <w:jc w:val="center"/>
      <w:rPr>
        <w:rFonts w:cstheme="minorHAnsi"/>
        <w:sz w:val="20"/>
        <w:szCs w:val="20"/>
      </w:rPr>
    </w:pPr>
    <w:r>
      <w:rPr>
        <w:rFonts w:cstheme="minorHAnsi"/>
        <w:sz w:val="20"/>
        <w:szCs w:val="20"/>
      </w:rPr>
      <w:t xml:space="preserve">Telefon: 0240-66 00 00 </w:t>
    </w:r>
    <w:r>
      <w:rPr>
        <w:rFonts w:ascii="Wingdings" w:hAnsi="Wingdings" w:cs="Wingdings" w:eastAsia="Wingdings"/>
        <w:sz w:val="20"/>
        <w:szCs w:val="20"/>
      </w:rPr>
      <w:t></w:t>
    </w:r>
    <w:r>
      <w:rPr>
        <w:rFonts w:cstheme="minorHAnsi"/>
        <w:sz w:val="20"/>
        <w:szCs w:val="20"/>
      </w:rPr>
      <w:t xml:space="preserve"> Telefax: 0240-742 41 </w:t>
    </w:r>
    <w:r>
      <w:rPr>
        <w:rFonts w:ascii="Wingdings" w:hAnsi="Wingdings" w:cs="Wingdings" w:eastAsia="Wingdings"/>
        <w:sz w:val="20"/>
        <w:szCs w:val="20"/>
      </w:rPr>
      <w:t></w:t>
    </w:r>
    <w:r>
      <w:rPr>
        <w:rFonts w:cstheme="minorHAnsi"/>
        <w:sz w:val="20"/>
        <w:szCs w:val="20"/>
      </w:rPr>
      <w:t xml:space="preserve"> Bankgiro:820–9538 </w:t>
    </w:r>
    <w:r>
      <w:rPr>
        <w:rFonts w:ascii="Wingdings" w:hAnsi="Wingdings" w:cs="Wingdings" w:eastAsia="Wingdings"/>
        <w:sz w:val="20"/>
        <w:szCs w:val="20"/>
      </w:rPr>
      <w:t></w:t>
    </w:r>
    <w:r>
      <w:rPr>
        <w:rFonts w:cstheme="minorHAnsi"/>
        <w:sz w:val="20"/>
        <w:szCs w:val="20"/>
      </w:rPr>
      <w:t xml:space="preserve"> Org.nr: SE2120002205 </w:t>
    </w:r>
    <w:r>
      <w:rPr>
        <w:rFonts w:ascii="Wingdings" w:hAnsi="Wingdings" w:cs="Wingdings" w:eastAsia="Wingdings"/>
        <w:sz w:val="20"/>
        <w:szCs w:val="20"/>
      </w:rPr>
      <w:t></w:t>
    </w:r>
    <w:r>
      <w:rPr>
        <w:rFonts w:cstheme="minorHAnsi"/>
        <w:sz w:val="20"/>
        <w:szCs w:val="20"/>
      </w:rPr>
      <w:t xml:space="preserve"> Säte Smedjebacken</w:t>
    </w:r>
    <w:r>
      <w:rPr>
        <w:rFonts w:cstheme="minorHAnsi" w:eastAsia="Calibri"/>
        <w:noProof w:val="1"/>
        <w:color w:val="C00000"/>
        <w:sz w:val="44"/>
        <w:szCs w:val="44"/>
        <w:lang w:eastAsia="sv-SE"/>
      </w:rPr>
      <w:drawing>
        <wp:anchor xmlns:wp="http://schemas.openxmlformats.org/drawingml/2006/wordprocessingDrawing" distT="0" distB="0" distL="114300" distR="114300" simplePos="0" relativeHeight="251659265" behindDoc="1" locked="0" layoutInCell="1" allowOverlap="1">
          <wp:simplePos x="0" y="0"/>
          <wp:positionH relativeFrom="column">
            <wp:posOffset>2668270</wp:posOffset>
          </wp:positionH>
          <wp:positionV relativeFrom="page">
            <wp:posOffset>5824220</wp:posOffset>
          </wp:positionV>
          <wp:extent cx="5759450" cy="5759450"/>
          <wp:effectExtent l="0" t="0" r="0" b="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B_kugghjul_grey.png"/>
                  <pic:cNvPicPr/>
                </pic:nvPicPr>
                <pic:blipFill dpi="0">
                  <a:blip xmlns:r="http://schemas.openxmlformats.org/officeDocument/2006/relationships" r:embed="Relimage31"/>
                  <a:srcRect/>
                  <a:stretch>
                    <a:fillRect/>
                  </a:stretch>
                </pic:blipFill>
                <pic:spPr>
                  <a:xfrm>
                    <a:off x="0" y="0"/>
                    <a:ext cx="5759450" cy="5759450"/>
                  </a:xfrm>
                  <a:prstGeom prst="rect"/>
                </pic:spPr>
              </pic:pic>
            </a:graphicData>
          </a:graphic>
        </wp:anchor>
      </w:drawing>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jc w:val="center"/>
    </w:pPr>
  </w:p>
  <w:p>
    <w:pPr>
      <w:pStyle w:val="P11"/>
      <w:jc w:val="center"/>
    </w:pPr>
    <w:r>
      <w:fldChar w:fldCharType="begin"/>
    </w:r>
    <w:r>
      <w:instrText xml:space="preserve">PAGE   \* MERGEFORMAT</w:instrText>
    </w:r>
    <w:r>
      <w:fldChar w:fldCharType="separate"/>
    </w:r>
    <w:r>
      <w:t>#</w:t>
    </w:r>
    <w: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6" behindDoc="1" locked="0" layoutInCell="1" allowOverlap="1">
          <wp:simplePos x="0" y="0"/>
          <wp:positionH relativeFrom="margin">
            <wp:posOffset>-521335</wp:posOffset>
          </wp:positionH>
          <wp:positionV relativeFrom="paragraph">
            <wp:posOffset>15240</wp:posOffset>
          </wp:positionV>
          <wp:extent cx="2483485" cy="384810"/>
          <wp:effectExtent l="0" t="0" r="0" b="0"/>
          <wp:wrapSquare wrapText="bothSides"/>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9"/>
                  <a:srcRect/>
                  <a:stretch>
                    <a:fillRect/>
                  </a:stretch>
                </pic:blipFill>
                <pic:spPr bwMode="auto">
                  <a:xfrm>
                    <a:off x="0" y="0"/>
                    <a:ext cx="2483485" cy="384810"/>
                  </a:xfrm>
                  <a:prstGeom prst="rect"/>
                  <a:noFill/>
                  <a:ln>
                    <a:noFill/>
                  </a:ln>
                </pic:spPr>
              </pic:pic>
            </a:graphicData>
          </a:graphic>
        </wp:anchor>
      </w:drawing>
    </w:r>
    <w:r>
      <w:t xml:space="preserve">                                                                    </w:t>
    </w:r>
    <w:r>
      <w:rPr>
        <w:rStyle w:val="C25"/>
      </w:rPr>
      <w:t>MBN 2025–167</w:t>
    </w:r>
  </w:p>
  <w:p>
    <w:pPr>
      <w:pStyle w:val="P10"/>
    </w:pPr>
    <w:r>
      <w:t xml:space="preserve">                                                                    Lagakrafthandling</w: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4" behindDoc="1" locked="0" layoutInCell="1" allowOverlap="1">
          <wp:simplePos x="0" y="0"/>
          <wp:positionH relativeFrom="margin">
            <wp:posOffset>-482600</wp:posOffset>
          </wp:positionH>
          <wp:positionV relativeFrom="paragraph">
            <wp:posOffset>63500</wp:posOffset>
          </wp:positionV>
          <wp:extent cx="2483485" cy="384810"/>
          <wp:effectExtent l="0" t="0" r="0" b="0"/>
          <wp:wrapSquare wrapText="bothSides"/>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30"/>
                  <a:srcRect/>
                  <a:stretch>
                    <a:fillRect/>
                  </a:stretch>
                </pic:blipFill>
                <pic:spPr bwMode="auto">
                  <a:xfrm>
                    <a:off x="0" y="0"/>
                    <a:ext cx="2483485" cy="384810"/>
                  </a:xfrm>
                  <a:prstGeom prst="rect"/>
                  <a:noFill/>
                  <a:ln>
                    <a:noFill/>
                  </a:ln>
                </pic:spPr>
              </pic:pic>
            </a:graphicData>
          </a:graphic>
        </wp:anchor>
      </w:drawing>
    </w:r>
    <w:r>
      <w:t xml:space="preserve">                                                                     </w:t>
    </w:r>
    <w:r>
      <w:rPr>
        <w:rStyle w:val="C25"/>
      </w:rPr>
      <w:t>MBN 2025–167</w:t>
    </w:r>
  </w:p>
  <w:p>
    <w:pPr>
      <w:pStyle w:val="P10"/>
    </w:pPr>
    <w:r>
      <w:t xml:space="preserve">                                                                    </w:t>
    </w:r>
    <w:bookmarkStart w:id="0" w:name="_Hlk206750096"/>
    <w:r>
      <w:t>Lagakrafthandling</w:t>
    </w:r>
    <w:bookmarkEnd w:id="0"/>
  </w:p>
  <w:p>
    <w:pPr>
      <w:pStyle w:val="P10"/>
    </w:pPr>
  </w:p>
</w:hdr>
</file>

<file path=word/numbering.xml><?xml version="1.0" encoding="utf-8"?>
<w:numbering xmlns:w="http://schemas.openxmlformats.org/wordprocessingml/2006/main">
  <w:abstractNum w:abstractNumId="0">
    <w:nsid w:val="10245704"/>
    <w:multiLevelType w:val="multilevel"/>
    <w:lvl w:ilvl="0">
      <w:start w:val="1"/>
      <w:numFmt w:val="decimal"/>
      <w:pStyle w:val="P14"/>
      <w:suff w:val="tab"/>
      <w:lvlText w:val="%1"/>
      <w:lvlJc w:val="left"/>
      <w:pPr>
        <w:ind w:hanging="432" w:left="432"/>
      </w:pPr>
      <w:rPr>
        <w:rFonts w:hint="default"/>
      </w:rPr>
    </w:lvl>
    <w:lvl w:ilvl="1">
      <w:start w:val="1"/>
      <w:numFmt w:val="decimal"/>
      <w:pStyle w:val="P15"/>
      <w:suff w:val="space"/>
      <w:lvlText w:val="%1.%2"/>
      <w:lvlJc w:val="left"/>
      <w:pPr>
        <w:ind w:hanging="463" w:left="576"/>
      </w:pPr>
      <w:rPr>
        <w:rFonts w:hint="default"/>
      </w:rPr>
    </w:lvl>
    <w:lvl w:ilvl="2">
      <w:start w:val="1"/>
      <w:numFmt w:val="decimal"/>
      <w:pStyle w:val="P16"/>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1">
    <w:nsid w:val="1482775B"/>
    <w:multiLevelType w:val="multilevel"/>
    <w:lvl w:ilvl="0">
      <w:start w:val="1"/>
      <w:numFmt w:val="decimal"/>
      <w:pStyle w:val="P1"/>
      <w:suff w:val="tab"/>
      <w:lvlText w:val="%1"/>
      <w:lvlJc w:val="left"/>
      <w:pPr>
        <w:ind w:hanging="432" w:left="432"/>
      </w:pPr>
      <w:rPr/>
    </w:lvl>
    <w:lvl w:ilvl="1">
      <w:start w:val="1"/>
      <w:numFmt w:val="decimal"/>
      <w:pStyle w:val="P2"/>
      <w:suff w:val="tab"/>
      <w:lvlText w:val="%1.%2"/>
      <w:lvlJc w:val="left"/>
      <w:pPr>
        <w:ind w:hanging="576" w:left="576"/>
      </w:pPr>
      <w:rPr/>
    </w:lvl>
    <w:lvl w:ilvl="2">
      <w:start w:val="1"/>
      <w:numFmt w:val="decimal"/>
      <w:pStyle w:val="P3"/>
      <w:suff w:val="tab"/>
      <w:lvlText w:val="%1.%2.%3"/>
      <w:lvlJc w:val="left"/>
      <w:pPr>
        <w:ind w:hanging="720" w:left="720"/>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2">
    <w:nsid w:val="1C5C3CB8"/>
    <w:multiLevelType w:val="hybridMultilevel"/>
    <w:lvl w:ilvl="0" w:tplc="FFFFFFFF">
      <w:start w:val="1"/>
      <w:numFmt w:val="bullet"/>
      <w:suff w:val="tab"/>
      <w:lvlText w:val=""/>
      <w:lvlJc w:val="left"/>
      <w:pPr>
        <w:ind w:hanging="360" w:left="720"/>
      </w:pPr>
      <w:rPr>
        <w:rFonts w:ascii="Symbol" w:hAnsi="Symbol" w:hint="default"/>
      </w:rPr>
    </w:lvl>
    <w:lvl w:ilvl="1" w:tplc="041D0005">
      <w:start w:val="1"/>
      <w:numFmt w:val="bullet"/>
      <w:suff w:val="tab"/>
      <w:lvlText w:val=""/>
      <w:lvlJc w:val="left"/>
      <w:pPr>
        <w:ind w:hanging="360" w:left="1440"/>
      </w:pPr>
      <w:rPr>
        <w:rFonts w:ascii="Wingdings" w:hAnsi="Wingdings"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3">
    <w:nsid w:val="20477B94"/>
    <w:multiLevelType w:val="hybridMultilevel"/>
    <w:lvl w:ilvl="0" w:tplc="FFFFFFFF">
      <w:start w:val="1"/>
      <w:numFmt w:val="bullet"/>
      <w:suff w:val="tab"/>
      <w:lvlText w:val=""/>
      <w:lvlJc w:val="left"/>
      <w:pPr>
        <w:ind w:hanging="360" w:left="720"/>
      </w:pPr>
      <w:rPr>
        <w:rFonts w:ascii="Symbol" w:hAnsi="Symbol" w:hint="default"/>
      </w:rPr>
    </w:lvl>
    <w:lvl w:ilvl="1" w:tplc="041D0001">
      <w:start w:val="1"/>
      <w:numFmt w:val="bullet"/>
      <w:suff w:val="tab"/>
      <w:lvlText w:val=""/>
      <w:lvlJc w:val="left"/>
      <w:pPr>
        <w:ind w:hanging="360" w:left="1440"/>
      </w:pPr>
      <w:rPr>
        <w:rFonts w:ascii="Symbol" w:hAnsi="Symbol"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4">
    <w:nsid w:val="20A46DF2"/>
    <w:multiLevelType w:val="hybridMultilevel"/>
    <w:lvl w:ilvl="0" w:tplc="1AB62E2E">
      <w:start w:val="1"/>
      <w:numFmt w:val="decimal"/>
      <w:suff w:val="tab"/>
      <w:lvlText w:val="%1."/>
      <w:lvlJc w:val="left"/>
      <w:pPr>
        <w:ind w:hanging="360" w:left="1080"/>
      </w:pPr>
      <w:rPr>
        <w:rFonts w:hint="default"/>
      </w:rPr>
    </w:lvl>
    <w:lvl w:ilvl="1" w:tplc="041D0019">
      <w:start w:val="1"/>
      <w:numFmt w:val="lowerLetter"/>
      <w:suff w:val="tab"/>
      <w:lvlText w:val="%2."/>
      <w:lvlJc w:val="left"/>
      <w:pPr>
        <w:ind w:hanging="360" w:left="1800"/>
      </w:pPr>
      <w:rPr/>
    </w:lvl>
    <w:lvl w:ilvl="2" w:tplc="041D001B">
      <w:start w:val="1"/>
      <w:numFmt w:val="lowerRoman"/>
      <w:suff w:val="tab"/>
      <w:lvlText w:val="%3."/>
      <w:lvlJc w:val="right"/>
      <w:pPr>
        <w:ind w:hanging="180" w:left="2520"/>
      </w:pPr>
      <w:rPr/>
    </w:lvl>
    <w:lvl w:ilvl="3" w:tplc="041D000F">
      <w:start w:val="1"/>
      <w:numFmt w:val="decimal"/>
      <w:suff w:val="tab"/>
      <w:lvlText w:val="%4."/>
      <w:lvlJc w:val="left"/>
      <w:pPr>
        <w:ind w:hanging="360" w:left="3240"/>
      </w:pPr>
      <w:rPr/>
    </w:lvl>
    <w:lvl w:ilvl="4" w:tplc="041D0019">
      <w:start w:val="1"/>
      <w:numFmt w:val="lowerLetter"/>
      <w:suff w:val="tab"/>
      <w:lvlText w:val="%5."/>
      <w:lvlJc w:val="left"/>
      <w:pPr>
        <w:ind w:hanging="360" w:left="3960"/>
      </w:pPr>
      <w:rPr/>
    </w:lvl>
    <w:lvl w:ilvl="5" w:tplc="041D001B">
      <w:start w:val="1"/>
      <w:numFmt w:val="lowerRoman"/>
      <w:suff w:val="tab"/>
      <w:lvlText w:val="%6."/>
      <w:lvlJc w:val="right"/>
      <w:pPr>
        <w:ind w:hanging="180" w:left="4680"/>
      </w:pPr>
      <w:rPr/>
    </w:lvl>
    <w:lvl w:ilvl="6" w:tplc="041D000F">
      <w:start w:val="1"/>
      <w:numFmt w:val="decimal"/>
      <w:suff w:val="tab"/>
      <w:lvlText w:val="%7."/>
      <w:lvlJc w:val="left"/>
      <w:pPr>
        <w:ind w:hanging="360" w:left="5400"/>
      </w:pPr>
      <w:rPr/>
    </w:lvl>
    <w:lvl w:ilvl="7" w:tplc="041D0019">
      <w:start w:val="1"/>
      <w:numFmt w:val="lowerLetter"/>
      <w:suff w:val="tab"/>
      <w:lvlText w:val="%8."/>
      <w:lvlJc w:val="left"/>
      <w:pPr>
        <w:ind w:hanging="360" w:left="6120"/>
      </w:pPr>
      <w:rPr/>
    </w:lvl>
    <w:lvl w:ilvl="8" w:tplc="041D001B">
      <w:start w:val="1"/>
      <w:numFmt w:val="lowerRoman"/>
      <w:suff w:val="tab"/>
      <w:lvlText w:val="%9."/>
      <w:lvlJc w:val="right"/>
      <w:pPr>
        <w:ind w:hanging="180" w:left="6840"/>
      </w:pPr>
      <w:rPr/>
    </w:lvl>
  </w:abstractNum>
  <w:abstractNum w:abstractNumId="5">
    <w:nsid w:val="22026745"/>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6">
    <w:nsid w:val="2C1C601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7">
    <w:nsid w:val="371853C1"/>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8">
    <w:nsid w:val="50301225"/>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9">
    <w:nsid w:val="51492B09"/>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0">
    <w:nsid w:val="5524104F"/>
    <w:multiLevelType w:val="hybridMultilevel"/>
    <w:lvl w:ilvl="0" w:tplc="8E38728A">
      <w:start w:val="0"/>
      <w:numFmt w:val="bullet"/>
      <w:suff w:val="tab"/>
      <w:lvlText w:val=""/>
      <w:lvlJc w:val="left"/>
      <w:pPr>
        <w:ind w:hanging="360" w:left="720"/>
      </w:pPr>
      <w:rPr>
        <w:rFonts w:ascii="Symbol" w:hAnsi="Symbol" w:cstheme="minorBidi" w:eastAsiaTheme="minorEastAsia"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5B3415B8"/>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2">
    <w:nsid w:val="6C943158"/>
    <w:multiLevelType w:val="hybridMultilevel"/>
    <w:lvl w:ilvl="0" w:tplc="1AB62E2E">
      <w:start w:val="1"/>
      <w:numFmt w:val="decimal"/>
      <w:suff w:val="tab"/>
      <w:lvlText w:val="%1."/>
      <w:lvlJc w:val="left"/>
      <w:pPr>
        <w:ind w:hanging="360" w:left="1800"/>
      </w:pPr>
      <w:rPr>
        <w:rFonts w:hint="default"/>
      </w:rPr>
    </w:lvl>
    <w:lvl w:ilvl="1" w:tplc="041D0019">
      <w:start w:val="1"/>
      <w:numFmt w:val="lowerLetter"/>
      <w:suff w:val="tab"/>
      <w:lvlText w:val="%2."/>
      <w:lvlJc w:val="left"/>
      <w:pPr>
        <w:ind w:hanging="360" w:left="2160"/>
      </w:pPr>
      <w:rPr/>
    </w:lvl>
    <w:lvl w:ilvl="2" w:tplc="041D001B">
      <w:start w:val="1"/>
      <w:numFmt w:val="lowerRoman"/>
      <w:suff w:val="tab"/>
      <w:lvlText w:val="%3."/>
      <w:lvlJc w:val="right"/>
      <w:pPr>
        <w:ind w:hanging="180" w:left="2880"/>
      </w:pPr>
      <w:rPr/>
    </w:lvl>
    <w:lvl w:ilvl="3" w:tplc="041D000F">
      <w:start w:val="1"/>
      <w:numFmt w:val="decimal"/>
      <w:suff w:val="tab"/>
      <w:lvlText w:val="%4."/>
      <w:lvlJc w:val="left"/>
      <w:pPr>
        <w:ind w:hanging="360" w:left="3600"/>
      </w:pPr>
      <w:rPr/>
    </w:lvl>
    <w:lvl w:ilvl="4" w:tplc="041D0019">
      <w:start w:val="1"/>
      <w:numFmt w:val="lowerLetter"/>
      <w:suff w:val="tab"/>
      <w:lvlText w:val="%5."/>
      <w:lvlJc w:val="left"/>
      <w:pPr>
        <w:ind w:hanging="360" w:left="4320"/>
      </w:pPr>
      <w:rPr/>
    </w:lvl>
    <w:lvl w:ilvl="5" w:tplc="041D001B">
      <w:start w:val="1"/>
      <w:numFmt w:val="lowerRoman"/>
      <w:suff w:val="tab"/>
      <w:lvlText w:val="%6."/>
      <w:lvlJc w:val="right"/>
      <w:pPr>
        <w:ind w:hanging="180" w:left="5040"/>
      </w:pPr>
      <w:rPr/>
    </w:lvl>
    <w:lvl w:ilvl="6" w:tplc="041D000F">
      <w:start w:val="1"/>
      <w:numFmt w:val="decimal"/>
      <w:suff w:val="tab"/>
      <w:lvlText w:val="%7."/>
      <w:lvlJc w:val="left"/>
      <w:pPr>
        <w:ind w:hanging="360" w:left="5760"/>
      </w:pPr>
      <w:rPr/>
    </w:lvl>
    <w:lvl w:ilvl="7" w:tplc="041D0019">
      <w:start w:val="1"/>
      <w:numFmt w:val="lowerLetter"/>
      <w:suff w:val="tab"/>
      <w:lvlText w:val="%8."/>
      <w:lvlJc w:val="left"/>
      <w:pPr>
        <w:ind w:hanging="360" w:left="6480"/>
      </w:pPr>
      <w:rPr/>
    </w:lvl>
    <w:lvl w:ilvl="8" w:tplc="041D001B">
      <w:start w:val="1"/>
      <w:numFmt w:val="lowerRoman"/>
      <w:suff w:val="tab"/>
      <w:lvlText w:val="%9."/>
      <w:lvlJc w:val="right"/>
      <w:pPr>
        <w:ind w:hanging="180" w:left="7200"/>
      </w:pPr>
      <w:rPr/>
    </w:lvl>
  </w:abstractNum>
  <w:abstractNum w:abstractNumId="13">
    <w:nsid w:val="77CC1B24"/>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4">
    <w:nsid w:val="79C67AF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num w:numId="1">
    <w:abstractNumId w:val="0"/>
  </w:num>
  <w:num w:numId="2">
    <w:abstractNumId w:val="1"/>
  </w:num>
  <w:num w:numId="3">
    <w:abstractNumId w:val="1"/>
  </w:num>
  <w:num w:numId="4">
    <w:abstractNumId w:val="10"/>
  </w:num>
  <w:num w:numId="5">
    <w:abstractNumId w:val="9"/>
  </w:num>
  <w:num w:numId="6">
    <w:abstractNumId w:val="14"/>
  </w:num>
  <w:num w:numId="7">
    <w:abstractNumId w:val="5"/>
  </w:num>
  <w:num w:numId="8">
    <w:abstractNumId w:val="4"/>
  </w:num>
  <w:num w:numId="9">
    <w:abstractNumId w:val="12"/>
  </w:num>
  <w:num w:numId="10">
    <w:abstractNumId w:val="11"/>
  </w:num>
  <w:num w:numId="11">
    <w:abstractNumId w:val="6"/>
  </w:num>
  <w:num w:numId="12">
    <w:abstractNumId w:val="13"/>
  </w:num>
  <w:num w:numId="13">
    <w:abstractNumId w:val="7"/>
  </w:num>
  <w:num w:numId="14">
    <w:abstractNumId w:val="8"/>
  </w:num>
  <w:num w:numId="15">
    <w:abstractNumId w:val="2"/>
  </w:num>
  <w:num w:numId="16">
    <w:abstractNumId w:val="3"/>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rPr>
      <w:sz w:val="24"/>
    </w:rPr>
  </w:style>
  <w:style w:type="paragraph" w:styleId="P1">
    <w:name w:val="Heading 1"/>
    <w:basedOn w:val="P0"/>
    <w:next w:val="P0"/>
    <w:link w:val="C5"/>
    <w:qFormat/>
    <w:pPr>
      <w:keepNext w:val="1"/>
      <w:keepLines w:val="1"/>
      <w:numPr>
        <w:numId w:val="3"/>
      </w:numPr>
      <w:pBdr>
        <w:top w:val="none" w:sz="0" w:space="0" w:shadow="0" w:frame="0" w:color="auto"/>
        <w:left w:val="none" w:sz="0" w:space="0" w:shadow="0" w:frame="0" w:color="auto"/>
        <w:bottom w:val="single" w:sz="4" w:space="1" w:shadow="0" w:frame="0" w:color="595959" w:themeColor="text1" w:themeTint="A6"/>
        <w:right w:val="none" w:sz="0" w:space="0" w:shadow="0" w:frame="0" w:color="auto"/>
        <w:between w:val="none" w:sz="0" w:space="0" w:shadow="0" w:frame="0" w:color="auto"/>
      </w:pBdr>
      <w:spacing w:before="360" w:beforeAutospacing="0" w:afterAutospacing="0"/>
      <w:outlineLvl w:val="0"/>
    </w:pPr>
    <w:rPr>
      <w:rFonts w:ascii="Calibri" w:hAnsi="Calibri" w:cstheme="majorBidi" w:eastAsiaTheme="majorEastAsia"/>
      <w:b w:val="1"/>
      <w:bCs w:val="1"/>
      <w:smallCaps w:val="1"/>
      <w:color w:val="000000" w:themeColor="text1"/>
      <w:sz w:val="36"/>
      <w:szCs w:val="36"/>
    </w:rPr>
  </w:style>
  <w:style w:type="paragraph" w:styleId="P2">
    <w:name w:val="Heading 2"/>
    <w:basedOn w:val="P0"/>
    <w:next w:val="P0"/>
    <w:link w:val="C6"/>
    <w:qFormat/>
    <w:pPr>
      <w:keepNext w:val="1"/>
      <w:keepLines w:val="1"/>
      <w:numPr>
        <w:ilvl w:val="1"/>
        <w:numId w:val="3"/>
      </w:numPr>
      <w:spacing w:before="360" w:after="0" w:beforeAutospacing="0" w:afterAutospacing="0"/>
      <w:outlineLvl w:val="1"/>
    </w:pPr>
    <w:rPr>
      <w:rFonts w:ascii="Calibri" w:hAnsi="Calibri" w:cstheme="majorBidi" w:eastAsiaTheme="majorEastAsia"/>
      <w:b w:val="1"/>
      <w:bCs w:val="1"/>
      <w:smallCaps w:val="1"/>
      <w:color w:val="000000" w:themeColor="text1"/>
      <w:sz w:val="32"/>
      <w:szCs w:val="28"/>
    </w:rPr>
  </w:style>
  <w:style w:type="paragraph" w:styleId="P3">
    <w:name w:val="Heading 3"/>
    <w:basedOn w:val="P0"/>
    <w:next w:val="P0"/>
    <w:link w:val="C7"/>
    <w:qFormat/>
    <w:pPr>
      <w:keepNext w:val="1"/>
      <w:keepLines w:val="1"/>
      <w:numPr>
        <w:ilvl w:val="2"/>
        <w:numId w:val="3"/>
      </w:numPr>
      <w:spacing w:before="200" w:after="0" w:beforeAutospacing="0" w:afterAutospacing="0"/>
      <w:outlineLvl w:val="2"/>
    </w:pPr>
    <w:rPr>
      <w:rFonts w:ascii="Calibri" w:hAnsi="Calibri" w:cstheme="majorBidi" w:eastAsiaTheme="majorEastAsia"/>
      <w:b w:val="1"/>
      <w:bCs w:val="1"/>
      <w:color w:val="000000" w:themeColor="text1"/>
    </w:rPr>
  </w:style>
  <w:style w:type="paragraph" w:styleId="P4">
    <w:name w:val="Heading 4"/>
    <w:basedOn w:val="P0"/>
    <w:next w:val="P0"/>
    <w:link w:val="C9"/>
    <w:semiHidden/>
    <w:qFormat/>
    <w:pPr>
      <w:keepNext w:val="1"/>
      <w:keepLines w:val="1"/>
      <w:numPr>
        <w:ilvl w:val="3"/>
        <w:numId w:val="3"/>
      </w:numPr>
      <w:spacing w:before="200" w:after="0" w:beforeAutospacing="0" w:afterAutospacing="0"/>
      <w:outlineLvl w:val="3"/>
    </w:pPr>
    <w:rPr>
      <w:rFonts w:asciiTheme="majorHAnsi" w:hAnsiTheme="majorHAnsi" w:cstheme="majorBidi" w:eastAsiaTheme="majorEastAsia"/>
      <w:b w:val="1"/>
      <w:i w:val="1"/>
      <w:bCs w:val="1"/>
      <w:iCs w:val="1"/>
      <w:color w:val="000000" w:themeColor="text1"/>
    </w:rPr>
  </w:style>
  <w:style w:type="paragraph" w:styleId="P5">
    <w:name w:val="Heading 5"/>
    <w:basedOn w:val="P0"/>
    <w:next w:val="P0"/>
    <w:link w:val="C11"/>
    <w:semiHidden/>
    <w:qFormat/>
    <w:pPr>
      <w:keepNext w:val="1"/>
      <w:keepLines w:val="1"/>
      <w:numPr>
        <w:ilvl w:val="4"/>
        <w:numId w:val="3"/>
      </w:numPr>
      <w:spacing w:before="200" w:after="0" w:beforeAutospacing="0" w:afterAutospacing="0"/>
      <w:outlineLvl w:val="4"/>
    </w:pPr>
    <w:rPr>
      <w:rFonts w:asciiTheme="majorHAnsi" w:hAnsiTheme="majorHAnsi" w:cstheme="majorBidi" w:eastAsiaTheme="majorEastAsia"/>
      <w:color w:val="333F4F" w:themeColor="text2" w:themeShade="BF"/>
    </w:rPr>
  </w:style>
  <w:style w:type="paragraph" w:styleId="P6">
    <w:name w:val="Heading 6"/>
    <w:basedOn w:val="P0"/>
    <w:next w:val="P0"/>
    <w:link w:val="C12"/>
    <w:semiHidden/>
    <w:qFormat/>
    <w:pPr>
      <w:keepNext w:val="1"/>
      <w:keepLines w:val="1"/>
      <w:numPr>
        <w:ilvl w:val="5"/>
        <w:numId w:val="3"/>
      </w:numPr>
      <w:spacing w:before="200" w:after="0" w:beforeAutospacing="0" w:afterAutospacing="0"/>
      <w:outlineLvl w:val="5"/>
    </w:pPr>
    <w:rPr>
      <w:rFonts w:asciiTheme="majorHAnsi" w:hAnsiTheme="majorHAnsi" w:cstheme="majorBidi" w:eastAsiaTheme="majorEastAsia"/>
      <w:i w:val="1"/>
      <w:iCs w:val="1"/>
      <w:color w:val="333F4F" w:themeColor="text2" w:themeShade="BF"/>
    </w:rPr>
  </w:style>
  <w:style w:type="paragraph" w:styleId="P7">
    <w:name w:val="Heading 7"/>
    <w:basedOn w:val="P0"/>
    <w:next w:val="P0"/>
    <w:link w:val="C13"/>
    <w:qFormat/>
    <w:pPr>
      <w:keepNext w:val="1"/>
      <w:keepLines w:val="1"/>
      <w:numPr>
        <w:ilvl w:val="6"/>
        <w:numId w:val="3"/>
      </w:numPr>
      <w:spacing w:before="200" w:after="0" w:beforeAutospacing="0" w:afterAutospacing="0"/>
      <w:outlineLvl w:val="6"/>
    </w:pPr>
    <w:rPr>
      <w:rFonts w:asciiTheme="majorHAnsi" w:hAnsiTheme="majorHAnsi" w:cstheme="majorBidi" w:eastAsiaTheme="majorEastAsia"/>
      <w:i w:val="1"/>
      <w:iCs w:val="1"/>
      <w:color w:val="404040" w:themeColor="text1" w:themeTint="BF"/>
    </w:rPr>
  </w:style>
  <w:style w:type="paragraph" w:styleId="P8">
    <w:name w:val="Heading 8"/>
    <w:basedOn w:val="P0"/>
    <w:next w:val="P0"/>
    <w:link w:val="C14"/>
    <w:semiHidden/>
    <w:qFormat/>
    <w:pPr>
      <w:keepNext w:val="1"/>
      <w:keepLines w:val="1"/>
      <w:numPr>
        <w:ilvl w:val="7"/>
        <w:numId w:val="3"/>
      </w:numPr>
      <w:spacing w:before="200" w:after="0" w:beforeAutospacing="0" w:afterAutospacing="0"/>
      <w:outlineLvl w:val="7"/>
    </w:pPr>
    <w:rPr>
      <w:rFonts w:asciiTheme="majorHAnsi" w:hAnsiTheme="majorHAnsi" w:cstheme="majorBidi" w:eastAsiaTheme="majorEastAsia"/>
      <w:color w:val="404040" w:themeColor="text1" w:themeTint="BF"/>
      <w:sz w:val="20"/>
      <w:szCs w:val="20"/>
    </w:rPr>
  </w:style>
  <w:style w:type="paragraph" w:styleId="P9">
    <w:name w:val="Heading 9"/>
    <w:basedOn w:val="P0"/>
    <w:next w:val="P0"/>
    <w:link w:val="C15"/>
    <w:semiHidden/>
    <w:qFormat/>
    <w:pPr>
      <w:keepNext w:val="1"/>
      <w:keepLines w:val="1"/>
      <w:numPr>
        <w:ilvl w:val="8"/>
        <w:numId w:val="3"/>
      </w:numPr>
      <w:spacing w:before="200" w:after="0" w:beforeAutospacing="0" w:afterAutospacing="0"/>
      <w:outlineLvl w:val="8"/>
    </w:pPr>
    <w:rPr>
      <w:rFonts w:asciiTheme="majorHAnsi" w:hAnsiTheme="majorHAnsi" w:cstheme="majorBidi" w:eastAsiaTheme="majorEastAsia"/>
      <w:i w:val="1"/>
      <w:iCs w:val="1"/>
      <w:color w:val="404040" w:themeColor="text1" w:themeTint="BF"/>
      <w:sz w:val="20"/>
      <w:szCs w:val="20"/>
    </w:rPr>
  </w:style>
  <w:style w:type="paragraph" w:styleId="P10">
    <w:name w:val="Header"/>
    <w:basedOn w:val="P0"/>
    <w:link w:val="C3"/>
    <w:pPr>
      <w:tabs>
        <w:tab w:val="center" w:pos="4536" w:leader="none"/>
        <w:tab w:val="right" w:pos="9072" w:leader="none"/>
      </w:tabs>
      <w:spacing w:lineRule="auto" w:line="240" w:after="0" w:beforeAutospacing="0" w:afterAutospacing="0"/>
    </w:pPr>
    <w:rPr/>
  </w:style>
  <w:style w:type="paragraph" w:styleId="P11">
    <w:name w:val="Footer"/>
    <w:basedOn w:val="P0"/>
    <w:link w:val="C4"/>
    <w:pPr>
      <w:tabs>
        <w:tab w:val="center" w:pos="4536" w:leader="none"/>
        <w:tab w:val="right" w:pos="9072" w:leader="none"/>
      </w:tabs>
      <w:spacing w:lineRule="auto" w:line="240" w:after="0" w:beforeAutospacing="0" w:afterAutospacing="0"/>
    </w:pPr>
    <w:rPr/>
  </w:style>
  <w:style w:type="paragraph" w:styleId="P12">
    <w:name w:val="Title"/>
    <w:basedOn w:val="P0"/>
    <w:next w:val="P0"/>
    <w:link w:val="C8"/>
    <w:qFormat/>
    <w:pPr>
      <w:spacing w:lineRule="auto" w:line="240" w:after="0" w:beforeAutospacing="0" w:afterAutospacing="0"/>
      <w:contextualSpacing w:val="1"/>
    </w:pPr>
    <w:rPr>
      <w:rFonts w:asciiTheme="majorHAnsi" w:hAnsiTheme="majorHAnsi" w:cstheme="majorBidi" w:eastAsiaTheme="majorEastAsia"/>
      <w:color w:val="000000" w:themeColor="text1"/>
      <w:sz w:val="56"/>
      <w:szCs w:val="56"/>
    </w:rPr>
  </w:style>
  <w:style w:type="paragraph" w:styleId="P13">
    <w:name w:val="Subtitle"/>
    <w:basedOn w:val="P0"/>
    <w:next w:val="P0"/>
    <w:link w:val="C10"/>
    <w:qFormat/>
    <w:pPr/>
    <w:rPr>
      <w:color w:val="5A5A5A" w:themeColor="text1" w:themeTint="A5"/>
      <w:spacing w:val="10"/>
    </w:rPr>
  </w:style>
  <w:style w:type="paragraph" w:styleId="P14">
    <w:name w:val="Tema/kapitel"/>
    <w:basedOn w:val="P0"/>
    <w:pPr>
      <w:numPr>
        <w:numId w:val="1"/>
      </w:numPr>
    </w:pPr>
    <w:rPr>
      <w:b w:val="1"/>
      <w:sz w:val="36"/>
    </w:rPr>
  </w:style>
  <w:style w:type="paragraph" w:styleId="P15">
    <w:name w:val="Grupp"/>
    <w:basedOn w:val="P0"/>
    <w:pPr>
      <w:numPr>
        <w:ilvl w:val="1"/>
        <w:numId w:val="1"/>
      </w:numPr>
    </w:pPr>
    <w:rPr>
      <w:b w:val="1"/>
      <w:sz w:val="28"/>
    </w:rPr>
  </w:style>
  <w:style w:type="paragraph" w:styleId="P16">
    <w:name w:val="Undergrupp"/>
    <w:basedOn w:val="P0"/>
    <w:pPr>
      <w:numPr>
        <w:ilvl w:val="2"/>
        <w:numId w:val="1"/>
      </w:numPr>
    </w:pPr>
    <w:rPr>
      <w:b w:val="1"/>
      <w:sz w:val="28"/>
    </w:rPr>
  </w:style>
  <w:style w:type="paragraph" w:styleId="P17">
    <w:name w:val="TOC Heading"/>
    <w:basedOn w:val="P1"/>
    <w:next w:val="P0"/>
    <w:qFormat/>
    <w:pPr>
      <w:outlineLvl w:val="9"/>
    </w:pPr>
    <w:rPr/>
  </w:style>
  <w:style w:type="paragraph" w:styleId="P18">
    <w:name w:val="Caption"/>
    <w:basedOn w:val="P0"/>
    <w:next w:val="P0"/>
    <w:qFormat/>
    <w:pPr>
      <w:spacing w:lineRule="auto" w:line="240" w:after="200" w:beforeAutospacing="0" w:afterAutospacing="0"/>
    </w:pPr>
    <w:rPr>
      <w:i w:val="1"/>
      <w:iCs w:val="1"/>
      <w:color w:val="44546A" w:themeColor="text2"/>
      <w:sz w:val="18"/>
      <w:szCs w:val="18"/>
    </w:rPr>
  </w:style>
  <w:style w:type="paragraph" w:styleId="P19">
    <w:name w:val="No Spacing"/>
    <w:qFormat/>
    <w:pPr>
      <w:spacing w:lineRule="auto" w:line="240" w:after="0" w:beforeAutospacing="0" w:afterAutospacing="0"/>
    </w:pPr>
    <w:rPr/>
  </w:style>
  <w:style w:type="paragraph" w:styleId="P20">
    <w:name w:val="Quote"/>
    <w:basedOn w:val="P0"/>
    <w:next w:val="P0"/>
    <w:link w:val="C18"/>
    <w:qFormat/>
    <w:pPr>
      <w:spacing w:before="160" w:beforeAutospacing="0" w:afterAutospacing="0"/>
      <w:ind w:left="720" w:right="720"/>
    </w:pPr>
    <w:rPr>
      <w:i w:val="1"/>
      <w:iCs w:val="1"/>
      <w:color w:val="000000" w:themeColor="text1"/>
    </w:rPr>
  </w:style>
  <w:style w:type="paragraph" w:styleId="P21">
    <w:name w:val="Intense Quote"/>
    <w:basedOn w:val="P0"/>
    <w:next w:val="P0"/>
    <w:link w:val="C19"/>
    <w:qFormat/>
    <w:pPr>
      <w:pBdr>
        <w:top w:val="single" w:sz="24" w:space="1" w:shadow="0" w:frame="0" w:color="F2F2F2" w:themeColor="background1" w:themeShade="F2"/>
        <w:left w:val="none" w:sz="0" w:space="0" w:shadow="0" w:frame="0" w:color="auto"/>
        <w:bottom w:val="single" w:sz="24" w:space="1" w:shadow="0" w:frame="0" w:color="F2F2F2" w:themeColor="background1" w:themeShade="F2"/>
        <w:right w:val="none" w:sz="0" w:space="0" w:shadow="0" w:frame="0" w:color="auto"/>
        <w:between w:val="none" w:sz="0" w:space="0" w:shadow="0" w:frame="0" w:color="auto"/>
      </w:pBdr>
      <w:shd w:val="clear" w:fill="F2F2F2" w:themeFill="background1" w:themeFillShade="F2"/>
      <w:spacing w:before="240" w:after="240" w:beforeAutospacing="0" w:afterAutospacing="0"/>
      <w:ind w:left="936" w:right="936"/>
      <w:jc w:val="center"/>
    </w:pPr>
    <w:rPr>
      <w:color w:val="000000" w:themeColor="text1"/>
    </w:rPr>
  </w:style>
  <w:style w:type="paragraph" w:styleId="P22">
    <w:name w:val="TOC 1"/>
    <w:basedOn w:val="P0"/>
    <w:next w:val="P0"/>
    <w:pPr>
      <w:spacing w:before="120" w:after="120" w:beforeAutospacing="0" w:afterAutospacing="0"/>
    </w:pPr>
    <w:rPr>
      <w:rFonts w:cstheme="minorHAnsi"/>
      <w:b w:val="1"/>
      <w:bCs w:val="1"/>
      <w:caps w:val="1"/>
      <w:sz w:val="20"/>
      <w:szCs w:val="20"/>
    </w:rPr>
  </w:style>
  <w:style w:type="paragraph" w:styleId="P23">
    <w:name w:val="TOC 2"/>
    <w:basedOn w:val="P0"/>
    <w:next w:val="P0"/>
    <w:pPr>
      <w:spacing w:after="0" w:beforeAutospacing="0" w:afterAutospacing="0"/>
      <w:ind w:left="220"/>
    </w:pPr>
    <w:rPr>
      <w:rFonts w:cstheme="minorHAnsi"/>
      <w:smallCaps w:val="1"/>
      <w:sz w:val="20"/>
      <w:szCs w:val="20"/>
    </w:rPr>
  </w:style>
  <w:style w:type="paragraph" w:styleId="P24">
    <w:name w:val="TOC 3"/>
    <w:basedOn w:val="P0"/>
    <w:next w:val="P0"/>
    <w:pPr>
      <w:spacing w:after="0" w:beforeAutospacing="0" w:afterAutospacing="0"/>
      <w:ind w:left="440"/>
    </w:pPr>
    <w:rPr>
      <w:rFonts w:cstheme="minorHAnsi"/>
      <w:i w:val="1"/>
      <w:iCs w:val="1"/>
      <w:sz w:val="20"/>
      <w:szCs w:val="20"/>
    </w:rPr>
  </w:style>
  <w:style w:type="paragraph" w:styleId="P25">
    <w:name w:val="TOC 4"/>
    <w:basedOn w:val="P0"/>
    <w:next w:val="P0"/>
    <w:pPr>
      <w:spacing w:after="0" w:beforeAutospacing="0" w:afterAutospacing="0"/>
      <w:ind w:left="660"/>
    </w:pPr>
    <w:rPr>
      <w:rFonts w:cstheme="minorHAnsi"/>
      <w:sz w:val="18"/>
      <w:szCs w:val="18"/>
    </w:rPr>
  </w:style>
  <w:style w:type="paragraph" w:styleId="P26">
    <w:name w:val="TOC 5"/>
    <w:basedOn w:val="P0"/>
    <w:next w:val="P0"/>
    <w:pPr>
      <w:spacing w:after="0" w:beforeAutospacing="0" w:afterAutospacing="0"/>
      <w:ind w:left="880"/>
    </w:pPr>
    <w:rPr>
      <w:rFonts w:cstheme="minorHAnsi"/>
      <w:sz w:val="18"/>
      <w:szCs w:val="18"/>
    </w:rPr>
  </w:style>
  <w:style w:type="paragraph" w:styleId="P27">
    <w:name w:val="TOC 6"/>
    <w:basedOn w:val="P0"/>
    <w:next w:val="P0"/>
    <w:pPr>
      <w:spacing w:after="0" w:beforeAutospacing="0" w:afterAutospacing="0"/>
      <w:ind w:left="1100"/>
    </w:pPr>
    <w:rPr>
      <w:rFonts w:cstheme="minorHAnsi"/>
      <w:sz w:val="18"/>
      <w:szCs w:val="18"/>
    </w:rPr>
  </w:style>
  <w:style w:type="paragraph" w:styleId="P28">
    <w:name w:val="TOC 7"/>
    <w:basedOn w:val="P0"/>
    <w:next w:val="P0"/>
    <w:pPr>
      <w:spacing w:after="0" w:beforeAutospacing="0" w:afterAutospacing="0"/>
      <w:ind w:left="1320"/>
    </w:pPr>
    <w:rPr>
      <w:rFonts w:cstheme="minorHAnsi"/>
      <w:sz w:val="18"/>
      <w:szCs w:val="18"/>
    </w:rPr>
  </w:style>
  <w:style w:type="paragraph" w:styleId="P29">
    <w:name w:val="TOC 8"/>
    <w:basedOn w:val="P0"/>
    <w:next w:val="P0"/>
    <w:pPr>
      <w:spacing w:after="0" w:beforeAutospacing="0" w:afterAutospacing="0"/>
      <w:ind w:left="1540"/>
    </w:pPr>
    <w:rPr>
      <w:rFonts w:cstheme="minorHAnsi"/>
      <w:sz w:val="18"/>
      <w:szCs w:val="18"/>
    </w:rPr>
  </w:style>
  <w:style w:type="paragraph" w:styleId="P30">
    <w:name w:val="TOC 9"/>
    <w:basedOn w:val="P0"/>
    <w:next w:val="P0"/>
    <w:pPr>
      <w:spacing w:after="0" w:beforeAutospacing="0" w:afterAutospacing="0"/>
      <w:ind w:left="1760"/>
    </w:pPr>
    <w:rPr>
      <w:rFonts w:cstheme="minorHAnsi"/>
      <w:sz w:val="18"/>
      <w:szCs w:val="18"/>
    </w:rPr>
  </w:style>
  <w:style w:type="paragraph" w:styleId="P31">
    <w:name w:val="List Paragraph"/>
    <w:basedOn w:val="P0"/>
    <w:qFormat/>
    <w:pPr>
      <w:ind w:left="720"/>
      <w:contextualSpacing w:val="1"/>
    </w:pPr>
    <w:rPr/>
  </w:style>
  <w:style w:type="paragraph" w:styleId="P32">
    <w:name w:val="Revision"/>
    <w:hidden/>
    <w:semiHidden/>
    <w:pPr>
      <w:spacing w:lineRule="auto" w:line="240" w:after="0" w:beforeAutospacing="0" w:afterAutospacing="0"/>
    </w:pPr>
    <w:rPr>
      <w:sz w:val="24"/>
    </w:rPr>
  </w:style>
  <w:style w:type="paragraph" w:styleId="P33">
    <w:name w:val="Default"/>
    <w:pPr>
      <w:spacing w:lineRule="auto" w:line="240" w:after="0" w:beforeAutospacing="0" w:afterAutospacing="0"/>
    </w:pPr>
    <w:rPr>
      <w:rFonts w:ascii="Arial" w:hAnsi="Arial" w:cs="Arial"/>
      <w:color w:val="000000"/>
      <w:sz w:val="24"/>
      <w:szCs w:val="24"/>
    </w:rPr>
  </w:style>
  <w:style w:type="paragraph" w:styleId="P34">
    <w:name w:val="annotation text"/>
    <w:basedOn w:val="P0"/>
    <w:link w:val="C28"/>
    <w:pPr>
      <w:spacing w:lineRule="auto" w:line="240" w:beforeAutospacing="0" w:afterAutospacing="0"/>
    </w:pPr>
    <w:rPr>
      <w:sz w:val="20"/>
      <w:szCs w:val="20"/>
    </w:rPr>
  </w:style>
  <w:style w:type="paragraph" w:styleId="P35">
    <w:name w:val="annotation subject"/>
    <w:basedOn w:val="P34"/>
    <w:next w:val="P34"/>
    <w:link w:val="C29"/>
    <w:semiHidden/>
    <w:pPr/>
    <w:rPr>
      <w:b w:val="1"/>
      <w:bCs w:val="1"/>
    </w:rPr>
  </w:style>
  <w:style w:type="paragraph" w:styleId="P36">
    <w:name w:val="Footnote Text"/>
    <w:link w:val="C32"/>
    <w:semiHidden/>
    <w:pPr>
      <w:spacing w:lineRule="auto" w:line="240" w:after="0" w:beforeAutospacing="0" w:afterAutospacing="0"/>
    </w:pPr>
    <w:rPr>
      <w:sz w:val="20"/>
      <w:szCs w:val="20"/>
    </w:rPr>
  </w:style>
  <w:style w:type="paragraph" w:styleId="P37">
    <w:name w:val="Endnote Text"/>
    <w:link w:val="C34"/>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Sidhuvud Char"/>
    <w:basedOn w:val="C0"/>
    <w:link w:val="P10"/>
    <w:rPr/>
  </w:style>
  <w:style w:type="character" w:styleId="C4">
    <w:name w:val="Sidfot Char"/>
    <w:basedOn w:val="C0"/>
    <w:link w:val="P11"/>
    <w:rPr/>
  </w:style>
  <w:style w:type="character" w:styleId="C5">
    <w:name w:val="Rubrik 1 Char"/>
    <w:basedOn w:val="C0"/>
    <w:link w:val="P1"/>
    <w:rPr>
      <w:rFonts w:ascii="Calibri" w:hAnsi="Calibri" w:cstheme="majorBidi" w:eastAsiaTheme="majorEastAsia"/>
      <w:b w:val="1"/>
      <w:bCs w:val="1"/>
      <w:smallCaps w:val="1"/>
      <w:color w:val="000000" w:themeColor="text1"/>
      <w:sz w:val="36"/>
      <w:szCs w:val="36"/>
    </w:rPr>
  </w:style>
  <w:style w:type="character" w:styleId="C6">
    <w:name w:val="Rubrik 2 Char"/>
    <w:basedOn w:val="C0"/>
    <w:link w:val="P2"/>
    <w:rPr>
      <w:rFonts w:ascii="Calibri" w:hAnsi="Calibri" w:cstheme="majorBidi" w:eastAsiaTheme="majorEastAsia"/>
      <w:b w:val="1"/>
      <w:bCs w:val="1"/>
      <w:smallCaps w:val="1"/>
      <w:color w:val="000000" w:themeColor="text1"/>
      <w:sz w:val="32"/>
      <w:szCs w:val="28"/>
    </w:rPr>
  </w:style>
  <w:style w:type="character" w:styleId="C7">
    <w:name w:val="Rubrik 3 Char"/>
    <w:basedOn w:val="C0"/>
    <w:link w:val="P3"/>
    <w:rPr>
      <w:rFonts w:ascii="Calibri" w:hAnsi="Calibri" w:cstheme="majorBidi" w:eastAsiaTheme="majorEastAsia"/>
      <w:b w:val="1"/>
      <w:bCs w:val="1"/>
      <w:color w:val="000000" w:themeColor="text1"/>
      <w:sz w:val="24"/>
    </w:rPr>
  </w:style>
  <w:style w:type="character" w:styleId="C8">
    <w:name w:val="Rubrik Char"/>
    <w:basedOn w:val="C0"/>
    <w:link w:val="P12"/>
    <w:rPr>
      <w:rFonts w:asciiTheme="majorHAnsi" w:hAnsiTheme="majorHAnsi" w:cstheme="majorBidi" w:eastAsiaTheme="majorEastAsia"/>
      <w:color w:val="000000" w:themeColor="text1"/>
      <w:sz w:val="56"/>
      <w:szCs w:val="56"/>
    </w:rPr>
  </w:style>
  <w:style w:type="character" w:styleId="C9">
    <w:name w:val="Rubrik 4 Char"/>
    <w:basedOn w:val="C0"/>
    <w:link w:val="P4"/>
    <w:semiHidden/>
    <w:rPr>
      <w:rFonts w:asciiTheme="majorHAnsi" w:hAnsiTheme="majorHAnsi" w:cstheme="majorBidi" w:eastAsiaTheme="majorEastAsia"/>
      <w:b w:val="1"/>
      <w:i w:val="1"/>
      <w:bCs w:val="1"/>
      <w:iCs w:val="1"/>
      <w:color w:val="000000" w:themeColor="text1"/>
      <w:sz w:val="24"/>
    </w:rPr>
  </w:style>
  <w:style w:type="character" w:styleId="C10">
    <w:name w:val="Underrubrik Char"/>
    <w:basedOn w:val="C0"/>
    <w:link w:val="P13"/>
    <w:rPr>
      <w:color w:val="5A5A5A" w:themeColor="text1" w:themeTint="A5"/>
      <w:spacing w:val="10"/>
    </w:rPr>
  </w:style>
  <w:style w:type="character" w:styleId="C11">
    <w:name w:val="Rubrik 5 Char"/>
    <w:basedOn w:val="C0"/>
    <w:link w:val="P5"/>
    <w:semiHidden/>
    <w:rPr>
      <w:rFonts w:asciiTheme="majorHAnsi" w:hAnsiTheme="majorHAnsi" w:cstheme="majorBidi" w:eastAsiaTheme="majorEastAsia"/>
      <w:color w:val="333F4F" w:themeColor="text2" w:themeShade="BF"/>
      <w:sz w:val="24"/>
    </w:rPr>
  </w:style>
  <w:style w:type="character" w:styleId="C12">
    <w:name w:val="Rubrik 6 Char"/>
    <w:basedOn w:val="C0"/>
    <w:link w:val="P6"/>
    <w:semiHidden/>
    <w:rPr>
      <w:rFonts w:asciiTheme="majorHAnsi" w:hAnsiTheme="majorHAnsi" w:cstheme="majorBidi" w:eastAsiaTheme="majorEastAsia"/>
      <w:i w:val="1"/>
      <w:iCs w:val="1"/>
      <w:color w:val="333F4F" w:themeColor="text2" w:themeShade="BF"/>
      <w:sz w:val="24"/>
    </w:rPr>
  </w:style>
  <w:style w:type="character" w:styleId="C13">
    <w:name w:val="Rubrik 7 Char"/>
    <w:basedOn w:val="C0"/>
    <w:link w:val="P7"/>
    <w:rPr>
      <w:rFonts w:asciiTheme="majorHAnsi" w:hAnsiTheme="majorHAnsi" w:cstheme="majorBidi" w:eastAsiaTheme="majorEastAsia"/>
      <w:i w:val="1"/>
      <w:iCs w:val="1"/>
      <w:color w:val="404040" w:themeColor="text1" w:themeTint="BF"/>
      <w:sz w:val="24"/>
    </w:rPr>
  </w:style>
  <w:style w:type="character" w:styleId="C14">
    <w:name w:val="Rubrik 8 Char"/>
    <w:basedOn w:val="C0"/>
    <w:link w:val="P8"/>
    <w:semiHidden/>
    <w:rPr>
      <w:rFonts w:asciiTheme="majorHAnsi" w:hAnsiTheme="majorHAnsi" w:cstheme="majorBidi" w:eastAsiaTheme="majorEastAsia"/>
      <w:color w:val="404040" w:themeColor="text1" w:themeTint="BF"/>
      <w:sz w:val="20"/>
      <w:szCs w:val="20"/>
    </w:rPr>
  </w:style>
  <w:style w:type="character" w:styleId="C15">
    <w:name w:val="Rubrik 9 Char"/>
    <w:basedOn w:val="C0"/>
    <w:link w:val="P9"/>
    <w:semiHidden/>
    <w:rPr>
      <w:rFonts w:asciiTheme="majorHAnsi" w:hAnsiTheme="majorHAnsi" w:cstheme="majorBidi" w:eastAsiaTheme="majorEastAsia"/>
      <w:i w:val="1"/>
      <w:iCs w:val="1"/>
      <w:color w:val="404040" w:themeColor="text1" w:themeTint="BF"/>
      <w:sz w:val="20"/>
      <w:szCs w:val="20"/>
    </w:rPr>
  </w:style>
  <w:style w:type="character" w:styleId="C16">
    <w:name w:val="Strong"/>
    <w:basedOn w:val="C0"/>
    <w:qFormat/>
    <w:rPr>
      <w:b w:val="1"/>
      <w:bCs w:val="1"/>
      <w:color w:val="000000" w:themeColor="text1"/>
    </w:rPr>
  </w:style>
  <w:style w:type="character" w:styleId="C17">
    <w:name w:val="Emphasis"/>
    <w:basedOn w:val="C0"/>
    <w:qFormat/>
    <w:rPr>
      <w:i w:val="1"/>
      <w:iCs w:val="1"/>
      <w:color w:val="auto"/>
    </w:rPr>
  </w:style>
  <w:style w:type="character" w:styleId="C18">
    <w:name w:val="Citat Char"/>
    <w:basedOn w:val="C0"/>
    <w:link w:val="P20"/>
    <w:rPr>
      <w:i w:val="1"/>
      <w:iCs w:val="1"/>
      <w:color w:val="000000" w:themeColor="text1"/>
    </w:rPr>
  </w:style>
  <w:style w:type="character" w:styleId="C19">
    <w:name w:val="Starkt citat Char"/>
    <w:basedOn w:val="C0"/>
    <w:link w:val="P21"/>
    <w:rPr>
      <w:color w:val="000000" w:themeColor="text1"/>
      <w:shd w:val="clear" w:color="auto" w:fill="F2F2F2" w:themeFill="background1" w:themeFillShade="F2"/>
    </w:rPr>
  </w:style>
  <w:style w:type="character" w:styleId="C20">
    <w:name w:val="Subtle Emphasis"/>
    <w:basedOn w:val="C0"/>
    <w:qFormat/>
    <w:rPr>
      <w:i w:val="1"/>
      <w:iCs w:val="1"/>
      <w:color w:val="404040" w:themeColor="text1" w:themeTint="BF"/>
    </w:rPr>
  </w:style>
  <w:style w:type="character" w:styleId="C21">
    <w:name w:val="Intense Emphasis"/>
    <w:basedOn w:val="C0"/>
    <w:qFormat/>
    <w:rPr>
      <w:b w:val="1"/>
      <w:i w:val="1"/>
      <w:bCs w:val="1"/>
      <w:iCs w:val="1"/>
      <w:caps w:val="1"/>
    </w:rPr>
  </w:style>
  <w:style w:type="character" w:styleId="C22">
    <w:name w:val="Subtle Reference1"/>
    <w:basedOn w:val="C0"/>
    <w:qFormat/>
    <w:rPr>
      <w:smallCaps w:val="1"/>
      <w:color w:val="404040" w:themeColor="text1" w:themeTint="BF"/>
      <w:u w:val="single" w:color="7F7F7F" w:themeColor="text1" w:themeTint="80"/>
    </w:rPr>
  </w:style>
  <w:style w:type="character" w:styleId="C23">
    <w:name w:val="Intense Reference1"/>
    <w:basedOn w:val="C0"/>
    <w:qFormat/>
    <w:rPr>
      <w:b w:val="1"/>
      <w:bCs w:val="1"/>
      <w:smallCaps w:val="1"/>
      <w:u w:val="single"/>
    </w:rPr>
  </w:style>
  <w:style w:type="character" w:styleId="C24">
    <w:name w:val="Book Title"/>
    <w:basedOn w:val="C0"/>
    <w:qFormat/>
    <w:rPr>
      <w:b w:val="0"/>
      <w:bCs w:val="0"/>
      <w:smallCaps w:val="1"/>
      <w:spacing w:val="5"/>
    </w:rPr>
  </w:style>
  <w:style w:type="character" w:styleId="C25">
    <w:name w:val="ui-provider"/>
    <w:basedOn w:val="C0"/>
    <w:rPr/>
  </w:style>
  <w:style w:type="character" w:styleId="C26">
    <w:name w:val="A6"/>
    <w:rPr>
      <w:color w:val="000000"/>
    </w:rPr>
  </w:style>
  <w:style w:type="character" w:styleId="C27">
    <w:name w:val="annotation reference"/>
    <w:basedOn w:val="C0"/>
    <w:semiHidden/>
    <w:rPr>
      <w:sz w:val="16"/>
      <w:szCs w:val="16"/>
    </w:rPr>
  </w:style>
  <w:style w:type="character" w:styleId="C28">
    <w:name w:val="Kommentarer Char"/>
    <w:basedOn w:val="C0"/>
    <w:link w:val="P34"/>
    <w:rPr>
      <w:sz w:val="20"/>
      <w:szCs w:val="20"/>
    </w:rPr>
  </w:style>
  <w:style w:type="character" w:styleId="C29">
    <w:name w:val="Kommentarsämne Char"/>
    <w:basedOn w:val="C28"/>
    <w:link w:val="P35"/>
    <w:semiHidden/>
    <w:rPr>
      <w:b w:val="1"/>
      <w:bCs w:val="1"/>
      <w:sz w:val="20"/>
      <w:szCs w:val="20"/>
    </w:rPr>
  </w:style>
  <w:style w:type="character" w:styleId="C30">
    <w:name w:val="cf01"/>
    <w:basedOn w:val="C0"/>
    <w:rPr>
      <w:rFonts w:ascii="Segoe UI" w:hAnsi="Segoe UI" w:cs="Segoe UI" w:hint="default"/>
      <w:sz w:val="18"/>
      <w:szCs w:val="18"/>
    </w:rPr>
  </w:style>
  <w:style w:type="character" w:styleId="C31">
    <w:name w:val="Footnote Reference"/>
    <w:semiHidden/>
    <w:rPr>
      <w:vertAlign w:val="superscript"/>
    </w:rPr>
  </w:style>
  <w:style w:type="character" w:styleId="C32">
    <w:name w:val="Fotnotstext Char"/>
    <w:link w:val="P36"/>
    <w:semiHidden/>
    <w:rPr>
      <w:sz w:val="20"/>
      <w:szCs w:val="20"/>
    </w:rPr>
  </w:style>
  <w:style w:type="character" w:styleId="C33">
    <w:name w:val="Endnote Reference"/>
    <w:semiHidden/>
    <w:rPr>
      <w:vertAlign w:val="superscript"/>
    </w:rPr>
  </w:style>
  <w:style w:type="character" w:styleId="C34">
    <w:name w:val="Slutnotstext Char"/>
    <w:link w:val="P37"/>
    <w:semiHidden/>
    <w:rPr>
      <w:sz w:val="20"/>
      <w:szCs w:val="20"/>
    </w:rPr>
  </w:style>
  <w:style w:type="character" w:styleId="C35">
    <w:name w:val="Footnote Text Char"/>
    <w:semiHidden/>
    <w:rPr>
      <w:sz w:val="20"/>
      <w:szCs w:val="20"/>
    </w:rPr>
  </w:style>
  <w:style w:type="character" w:styleId="C36">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rPr>
      <w:rFonts w:eastAsia="Yu Mincho"/>
      <w:lang w:eastAsia="sv-SE"/>
    </w:rPr>
    <w:tblPr>
      <w:tblCellMar>
        <w:top w:w="0" w:type="dxa"/>
        <w:left w:w="0" w:type="dxa"/>
        <w:bottom w:w="0" w:type="dxa"/>
        <w:right w:w="0" w:type="dxa"/>
      </w:tblCellMar>
    </w:tblPr>
    <w:trPr/>
    <w:tcPr/>
  </w:style>
  <w:style w:type="table" w:styleId="T3">
    <w:name w:val="Table Grid"/>
    <w:basedOn w:val="T0"/>
    <w:pPr>
      <w:spacing w:lineRule="auto" w:line="240" w:after="0" w:beforeAutospacing="0" w:afterAutospacing="0"/>
    </w:pPr>
    <w:rPr>
      <w:rFonts w:eastAsiaTheme="minorHAnsi"/>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jpg" /><Relationship Id="Relimage12" Type="http://schemas.openxmlformats.org/officeDocument/2006/relationships/image" Target="/media/image12.pn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png" /><Relationship Id="Relimage17" Type="http://schemas.openxmlformats.org/officeDocument/2006/relationships/image" Target="/media/image17.jp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jpg" /><Relationship Id="Relimage22" Type="http://schemas.openxmlformats.org/officeDocument/2006/relationships/image" Target="/media/image22.jp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31" Type="http://schemas.openxmlformats.org/officeDocument/2006/relationships/image" Target="/media/image31.pn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9" Type="http://schemas.openxmlformats.org/officeDocument/2006/relationships/image" Target="/media/image29.jpg" /></Relationships>
</file>

<file path=word/_rels/header2.xml.rels>&#65279;<?xml version="1.0" encoding="utf-8"?><Relationships xmlns="http://schemas.openxmlformats.org/package/2006/relationships"><Relationship Id="Relimage30" Type="http://schemas.openxmlformats.org/officeDocument/2006/relationships/image" Target="/media/image30.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2026-01-29T15:28:34.4586294+01:00</versionGiltigFran>
  <detaljplansreferens>8d7cb918-cb47-4f1c-bece-8f81fc7331c0</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be_heladetaljplan02</identitet>
    <Lage>
      <planomrade>true</planomrade>
    </Lage>
    <Indelning>
      <tema>Beskrivning av detaljplanen</tema>
      <grupp>Hela detaljplan</grupp>
    </Indelning>
  </Omfattning>
  <Omfattning>
    <identitet>be_huvudmannaskap01</identitet>
    <Lage>
      <planomrade>true</planomrade>
    </Lage>
    <Indelning>
      <tema>Beskrivning av detaljplanen</tema>
      <grupp>Allmän plats</grupp>
      <undergrupp>Huvudmannaskap</undergrupp>
    </Indelning>
  </Omfattning>
  <Omfattning>
    <identitet>be_vattenområde01</identitet>
    <Lage>
      <planomrade>true</planomrade>
    </Lage>
    <Indelning>
      <tema>Beskrivning av detaljplanen</tema>
      <grupp>Vattenområde</grupp>
    </Indelning>
  </Omfattning>
  <Omfattning>
    <identitet>be_kvartersmark01</identitet>
    <Lage>
      <planomrade>true</planomrade>
    </Lage>
    <Indelning>
      <tema>Beskrivning av detaljplanen</tema>
      <grupp>Kvartersmark</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be_genomförandetid01</identitet>
    <Lage>
      <planomrade>true</planomrade>
    </Lage>
    <Indelning>
      <tema>Beskrivning av detaljplanen</tema>
      <grupp>Genomförandetid</grupp>
    </Indelning>
  </Omfattning>
  <Omfattning>
    <identitet>pu_planbesked01</identitet>
    <Lage>
      <planomrade>true</planomrade>
    </Lage>
    <Indelning>
      <tema>Planeringsunderlag</tema>
      <grupp>Kommunala</grupp>
      <undergrupp>Planbesked</undergrupp>
    </Indelning>
  </Omfattning>
  <Omfattning>
    <identitet>pu_detaljplan01</identitet>
    <Lage>
      <planomrade>true</planomrade>
    </Lage>
    <Indelning>
      <tema>Planeringsunderlag</tema>
      <grupp>Kommunala</grupp>
      <undergrupp>Detaljplan</undergrupp>
    </Indelning>
  </Omfattning>
  <Omfattning>
    <identitet>pu_detaljplan02</identitet>
    <Lage>
      <planomrade>true</planomrade>
    </Lage>
    <Indelning>
      <tema>Planeringsunderlag</tema>
      <grupp>Kommunala</grupp>
      <undergrupp>Detaljplan</undergrupp>
    </Indelning>
  </Omfattning>
  <Omfattning>
    <identitet>pu_detaljplan03</identitet>
    <Lage>
      <planomrade>true</planomrade>
    </Lage>
    <Indelning>
      <tema>Planeringsunderlag</tema>
      <grupp>Kommunala</grupp>
      <undergrupp>Detaljplan</undergrupp>
    </Indelning>
  </Omfattning>
  <Omfattning>
    <identitet>pu_vision01</identitet>
    <Lage>
      <planomrade>true</planomrade>
    </Lage>
    <Indelning>
      <tema>Planeringsunderlag</tema>
      <grupp>Kommunala</grupp>
      <undergrupp>Vision</undergrupp>
    </Indelning>
  </Omfattning>
  <Omfattning>
    <identitet>pu_grundkarta01</identitet>
    <Lage>
      <planomrade>true</planomrade>
    </Lage>
    <Indelning>
      <tema>Planeringsunderlag</tema>
      <grupp>Kommunala</grupp>
      <undergrupp>Grundkarta</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pu_utredningar01</identitet>
    <Lage>
      <planomrade>true</planomrade>
    </Lage>
    <Indelning>
      <tema>Planeringsunderlag</tema>
      <grupp>Utredningar</grupp>
    </Indelning>
  </Omfattning>
  <Omfattning>
    <identitet>pu_regionala01</identitet>
    <Lage>
      <planomrade>true</planomrade>
    </Lage>
    <Indelning>
      <tema>Planeringsunderlag</tema>
      <grupp>Regionala</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ko_landskapsbild01</identitet>
    <Lage>
      <planomrade>true</planomrade>
    </Lage>
    <Indelning>
      <tema>Konsekvenser</tema>
      <grupp>Natur</grupp>
      <undergrupp>Landskapsbild</undergrupp>
    </Indelning>
  </Omfattning>
  <Omfattning>
    <identitet>pf_fysiskmiljö01</identitet>
    <Lage>
      <planomrade>true</planomrade>
    </Lage>
    <Indelning>
      <tema>Planeringsförutsättningar</tema>
      <grupp>Fysisk miljö</grupp>
    </Indelning>
  </Omfattning>
  <Omfattning>
    <identitet>pf_lokalgata01</identitet>
    <Lage>
      <planomrade>true</planomrade>
    </Lage>
    <Indelning>
      <tema>Planeringsförutsättningar</tema>
      <grupp>Trafik</grupp>
      <undergrupp>Lokalgata</undergrupp>
    </Indelning>
  </Omfattning>
  <Omfattning>
    <identitet>ko_motortrafik01</identitet>
    <Lage>
      <planomrade>true</planomrade>
    </Lage>
    <Indelning>
      <tema>Konsekvenser</tema>
      <grupp>Trafik</grupp>
      <undergrupp>Motortrafik</undergrupp>
    </Indelning>
  </Omfattning>
  <Omfattning>
    <identitet>pf_gångochcykeltrafik01</identitet>
    <Lage>
      <planomrade>true</planomrade>
    </Lage>
    <Indelning>
      <tema>Planeringsförutsättningar</tema>
      <grupp>Trafik</grupp>
      <undergrupp>Gång- och cykeltrafik</undergrupp>
    </Indelning>
  </Omfattning>
  <Omfattning>
    <identitet>pf_trafik01</identitet>
    <Lage>
      <planomrade>true</planomrade>
    </Lage>
    <Indelning>
      <tema>Planeringsförutsättningar</tema>
      <grupp>Trafik</grupp>
    </Indelning>
  </Omfattning>
  <Omfattning>
    <identitet>pf_tillgänglighet01</identitet>
    <Lage>
      <planomrade>true</planomrade>
    </Lage>
    <Indelning>
      <tema>Planeringsförutsättningar</tema>
      <grupp>Trafik</grupp>
      <undergrupp>Tillgänglighet</undergrupp>
    </Indelning>
  </Omfattning>
  <Omfattning>
    <identitet>pf_vattenochavlopp01</identitet>
    <Lage>
      <planomrade>true</planomrade>
    </Lage>
    <Indelning>
      <tema>Planeringsförutsättningar</tema>
      <grupp>Teknik</grupp>
      <undergrupp>Vatten och avlopp</undergrupp>
    </Indelning>
  </Omfattning>
  <Omfattning>
    <identitet>ko_dagvatten01</identitet>
    <Lage>
      <planomrade>true</planomrade>
    </Lage>
    <Indelning>
      <tema>Konsekvenser</tema>
      <grupp>Miljö</grupp>
      <undergrupp>Dagvatten</undergrupp>
    </Indelning>
  </Omfattning>
  <Omfattning>
    <identitet>pf_eltelevärmeochbredband01</identitet>
    <Lage>
      <planomrade>true</planomrade>
    </Lage>
    <Indelning>
      <tema>Planeringsförutsättningar</tema>
      <grupp>Teknik</grupp>
      <undergrupp>El, tele, värme och bredband</undergrupp>
    </Indelning>
  </Omfattning>
  <Omfattning>
    <identitet>pf_eltelevärmeochbredband02</identitet>
    <Lage>
      <planomrade>true</planomrade>
    </Lage>
    <Indelning>
      <tema>Planeringsförutsättningar</tema>
      <grupp>Teknik</grupp>
      <undergrupp>El, tele, värme och bredband</undergrupp>
    </Indelning>
  </Omfattning>
  <Omfattning>
    <identitet>pf_avfall01</identitet>
    <Lage>
      <planomrade>true</planomrade>
    </Lage>
    <Indelning>
      <tema>Planeringsförutsättningar</tema>
      <grupp>Teknik</grupp>
      <undergrupp>Avfall</und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ko_vatten01</identitet>
    <Lage>
      <planomrade>true</planomrade>
    </Lage>
    <Indelning>
      <tema>Konsekvenser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ko_buller01</identitet>
    <Lage>
      <planomrade>true</planomrade>
    </Lage>
    <Indelning>
      <tema>Konsekvenser</tema>
      <grupp>Miljökvalitetsnormer</grupp>
      <undergrupp>Buller</undergrupp>
    </Indelning>
  </Omfattning>
  <Omfattning>
    <identitet>ko_beräkningavomgivningsbuller02</identitet>
    <Lage>
      <planomrade>true</planomrade>
    </Lage>
    <Indelning>
      <tema>Konsekvenser</tema>
      <grupp>Hälsa och säkerhet</grupp>
      <undergrupp>Beräkning av omgivningsbuller</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ko_olyckor01</identitet>
    <Lage>
      <planomrade>true</planomrade>
    </Lage>
    <Indelning>
      <tema>Konsekvenser</tema>
      <grupp>Hälsa och säkerhet</grupp>
      <undergrupp>Olyckor</undergrupp>
    </Indelning>
  </Omfattning>
  <Omfattning>
    <identitet>ko_översvämning01</identitet>
    <Lage>
      <planomrade>true</planomrade>
    </Lage>
    <Indelning>
      <tema>Konsekvenser</tema>
      <grupp>Hälsa och säkerhet</grupp>
      <undergrupp>Översvämning</undergrupp>
    </Indelning>
  </Omfattning>
  <Omfattning>
    <identitet>pf_hälsaochsäkerhet01</identitet>
    <Lage>
      <planomrade>true</planomrade>
    </Lage>
    <Indelning>
      <tema>Planeringsförutsättningar</tema>
      <grupp>Hälsa och säkerhet</grupp>
    </Indelning>
  </Omfattning>
  <Omfattning>
    <identitet>ko_hälsaochsäkerhet01</identitet>
    <Lage>
      <planomrade>true</planomrade>
    </Lage>
    <Indelning>
      <tema>Konsekvenser</tema>
      <grupp>Hälsa och säkerhet</grupp>
    </Indelning>
  </Omfattning>
  <Omfattning>
    <identitet>pf_förorenadmark01</identitet>
    <Lage>
      <planomrade>true</planomrade>
    </Lage>
    <Indelning>
      <tema>Planeringsförutsättningar</tema>
      <grupp>Hälsa och säkerhet</grupp>
      <undergrupp>Förorenad mark</undergrupp>
    </Indelning>
  </Omfattning>
  <Omfattning>
    <identitet>pf_förorenadmark02</identitet>
    <Lage>
      <planomrade>true</planomrade>
    </Lage>
    <Indelning>
      <tema>Planeringsförutsättningar</tema>
      <grupp>Hälsa och säkerhet</grupp>
      <undergrupp>Förorenad mark</undergrupp>
    </Indelning>
  </Omfattning>
  <Omfattning>
    <identitet>pf_hälsaochsäkerhet02</identitet>
    <Lage>
      <planomrade>true</planomrade>
    </Lage>
    <Indelning>
      <tema>Planeringsförutsättningar</tema>
      <grupp>Hälsa och säkerhet</grupp>
    </Indelning>
  </Omfattning>
  <Omfattning>
    <identitet>pf_hälsaochsäkerhet03</identitet>
    <Lage>
      <planomrade>true</planomrade>
    </Lage>
    <Indelning>
      <tema>Planeringsförutsättningar</tema>
      <grupp>Hälsa och säkerhet</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gf_annat01</identitet>
    <Lage>
      <planomrade>true</planomrade>
    </Lage>
    <Indelning>
      <tema>Genomförandefrågor</tema>
      <grupp>Annat</grupp>
    </Indelning>
  </Omfattning>
  <Omfattning>
    <identitet>gf_tekniskaåtgärder01</identitet>
    <Lage>
      <planomrade>true</planomrade>
    </Lage>
    <Indelning>
      <tema>Genomförandefrågor</tema>
      <grupp>Tekniska frågor</grupp>
      <undergrupp>Tekniska åtgärder</unde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gf_avfall01</identitet>
    <Lage>
      <planomrade>true</planomrade>
    </Lage>
    <Indelning>
      <tema>Genomförandefrågor</tema>
      <grupp>Tekniska frågor</grupp>
      <undergrupp>Avfall</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gf_ersättningsanspråk01</identitet>
    <Lage>
      <planomrade>true</planomrade>
    </Lage>
    <Indelning>
      <tema>Genomförandefrågor</tema>
      <grupp>Ekonomiska frågor</grupp>
      <undergrupp>Ersättningsanspråk</undergrupp>
    </Indelning>
  </Omfattning>
  <Omfattning>
    <identitet>gf_planavgift01</identitet>
    <Lage>
      <planomrade>true</planomrade>
    </Lage>
    <Indelning>
      <tema>Genomförandefrågor</tema>
      <grupp>Ekonomiska frågor</grupp>
      <undergrupp>Planavgift</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gf_ekonomiskafrågor01</identitet>
    <Lage>
      <planomrade>true</planomrade>
    </Lage>
    <Indelning>
      <tema>Genomförandefrågor</tema>
      <grupp>Ekonomiska frågor</grupp>
    </Indelning>
  </Omfattning>
  <Omfattning>
    <identitet>gf_markanvisning01</identitet>
    <Lage>
      <planomrade>true</planomrade>
    </Lage>
    <Indelning>
      <tema>Genomförandefrågor</tema>
      <grupp>Organisatoriska frågor</grupp>
      <undergrupp>Markanvisning</undergrupp>
    </Indelning>
  </Omfattning>
  <Omfattning>
    <identitet>gf_tidplan01</identitet>
    <Lage>
      <planomrade>true</planomrade>
    </Lage>
    <Indelning>
      <tema>Genomförandefrågor</tema>
      <grupp>Organisatoriska frågor</grupp>
      <undergrupp>Tidplan</undergrupp>
    </Indelning>
  </Omfattning>
  <Omfattning>
    <identitet>be_allmänplats01</identitet>
    <Lage>
      <planomrade>true</planomrade>
    </Lage>
    <Indelning>
      <tema>Beskrivning av detaljplanen</tema>
      <grupp>Allmän plats</grupp>
    </Indelning>
  </Omfattning>
  <Omfattning>
    <identitet>mo_motivtillreglering01</identitet>
    <Lage>
      <lmg:Yta>
        <lmg:absolutLagesosakerhetPlan>0</lmg:absolutLagesosakerhetPlan>
        <lmg:absolutLagesosakerhetHojd>0</lmg:absolutLagesosakerhetHojd>
        <lmg:hojdsystem>RH 2000</lmg:hojdsystem>
        <gml:Polygon gml:id="ID_72b70e5d-4865-4046-988b-284b998eaaad" srsName="EPSG:3009" srsDimension="2">
          <gml:exterior>
            <gml:LinearRing gml:id="ID_79f2c0ef-76c6-4523-8d39-342277ff186b">
              <gml:posList>6669925.535 172912.907 6669920.766 172921.452 6669919.064 172924.502 6669910.467 172921.452 6669910.455 172921.448 6669910.472 172921.416 6669913.316 172916.324 6669914.42 172914.346 6669917.723 172908.431 6669918.076 172907.798 6669925.531 172894.448 6669924.651 172890.229 6669924.225 172888.185 6669922.656 172887.293 6669922.653 172887.292 6669922.328 172887.107 6669910.819 172880.566 6669910.474 172880.37 6669904.864 172878.162 6669896.968 172873.751 6669894.544 172872.383 6669882.067 172865.218 6669879.628 172863.876 6669875.756 172861.795 6669869.253 172857.87 6669866.806 172856.496 6669855.41 172850.185 6669854.087 172849.452 6669852.469 172848.556 6669850.554 172852.14 6669847.655 172850.58 6669845.893 172854.12 6669845.501 172854.908 6669844.557 172856.806 6669843.768 172858.392 6669842.448 172861.045 6669842.211 172861.521 6669838.958 172868.058 6669838.711 172868.554 6669837.171 172871.649 6669839.032 172872.399 6669835.797 172878.889 6669834.056 172877.91 6669834.042 172877.907 6669833.544 172877.799 6669832.882 172877.656 6669832.534 172877.581 6669833.138 172876.323 6669833.342 172875.884 6669833.439 172875.674 6669833.725 172875.018 6669833.997 172874.356 6669836.328 172866.885 6669836.487 172866.376 6669836.55 172866.173 6669837.601 172862.604 6669838.641 172859.071 6669839.879 172855.429 6669840.634 172853.7 6669841.368 172852.215 6669842.764 172849.388 6669843.396 172848.265 6669844.469 172846.359 6669844.86 172845.882 6669845.292 172845.441 6669845.76 172845.039 6669846.261 172844.679 6669846.353 172844.624 6669846.792 172844.365 6669847.348 172844.097 6669847.925 172843.879 6669848.519 172843.712 6669849.125 172843.597 6669849.739 172843.535 6669850.235 172843.529 6669850.356 172843.527 6669850.574 172843.543 6669854.255 172833.282 6669854.273 172833.232 6669854.277 172833.221 6669854.329 172833.25 6669855.382 172833.832 6669856.451 172834.423 6669856.677 172834.548 6669861.696 172837.321 6669862.311 172837.661 6669865.106 172839.205 6669884.299 172849.81 6669890.663 172853.326 6669911.063 172865.222 6669917.501 172868.635 6669918.668 172869.254 6669925.535 172872.895 6669928.943 172874.702 6669929.478 172874.986 6669932.549 172876.614 6669935.144 172876.183 6669935.651 172876.618 6669944.614 172884.317 6669945.341 172887.399 6669938.095 172895.063 6669936.299 172896.963 6669934.663 172896.553 6669932.402 172900.604 6669932.39 172900.625 6669925.535 172912.907</gml:posList>
            </gml:LinearRing>
          </gml:exterior>
        </gml:Polygon>
      </lmg:Yta>
      <planbestammelsereferens>73b52e57-0e1a-4f6a-922e-af35510b22b9</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2deafebc-2457-4107-b159-1469896e1b32" srsName="EPSG:3009" srsDimension="2">
          <gml:exterior>
            <gml:LinearRing gml:id="ID_39c53439-265e-4b4a-a38d-90ab5f1188bc">
              <gml:posList>6669925.531 172894.448 6669924.651 172890.229 6669924.225 172888.185 6669922.656 172887.293 6669922.653 172887.292 6669922.328 172887.107 6669910.819 172880.566 6669910.474 172880.37 6669904.864 172878.162 6669896.968 172873.751 6669894.544 172872.383 6669882.067 172865.218 6669879.628 172863.876 6669875.756 172861.795 6669869.253 172857.87 6669866.806 172856.496 6669855.41 172850.185 6669854.087 172849.452 6669852.469 172848.556 6669850.554 172852.14 6669847.655 172850.58 6669850.574 172843.543 6669854.255 172833.282 6669854.273 172833.232 6669854.277 172833.221 6669854.329 172833.25 6669855.382 172833.832 6669856.451 172834.423 6669856.677 172834.548 6669861.696 172837.321 6669862.311 172837.661 6669865.106 172839.205 6669884.299 172849.81 6669890.663 172853.326 6669911.063 172865.222 6669917.501 172868.635 6669918.668 172869.254 6669925.535 172872.895 6669928.943 172874.702 6669929.478 172874.986 6669932.549 172876.614 6669935.144 172876.183 6669933.715 172880.36 6669925.918 172894.689 6669925.531 172894.448</gml:posList>
            </gml:LinearRing>
          </gml:exterior>
        </gml:Polygon>
      </lmg:Yta>
      <planbestammelsereferens>723cd410-4612-4650-93b0-a65019d1e521</planbestammelsereferens>
    </Lage>
    <Lage>
      <lmg:Yta>
        <lmg:absolutLagesosakerhetPlan>0</lmg:absolutLagesosakerhetPlan>
        <lmg:absolutLagesosakerhetHojd>0</lmg:absolutLagesosakerhetHojd>
        <lmg:hojdsystem>RH 2000</lmg:hojdsystem>
        <gml:Polygon gml:id="ID_5c6f121b-28dd-4f5a-a749-aae6e0ede204" srsName="EPSG:3009" srsDimension="2">
          <gml:exterior>
            <gml:LinearRing gml:id="ID_13a07ab8-498a-43f2-a786-5965c4a8fef0">
              <gml:posList>6669925.531 172894.448 6669924.651 172890.229 6669924.225 172888.185 6669922.656 172887.293 6669922.653 172887.292 6669922.328 172887.107 6669910.819 172880.566 6669910.474 172880.37 6669904.864 172878.162 6669896.968 172873.751 6669894.544 172872.383 6669882.067 172865.218 6669879.628 172863.876 6669875.756 172861.795 6669869.253 172857.87 6669866.806 172856.496 6669855.41 172850.185 6669854.087 172849.452 6669852.469 172848.556 6669850.554 172852.14 6669847.655 172850.58 6669850.574 172843.543 6669854.255 172833.282 6669854.273 172833.232 6669854.277 172833.221 6669854.329 172833.25 6669855.382 172833.832 6669856.451 172834.423 6669856.677 172834.548 6669861.696 172837.321 6669862.311 172837.661 6669865.106 172839.205 6669884.299 172849.81 6669890.663 172853.326 6669911.063 172865.222 6669917.501 172868.635 6669918.668 172869.254 6669925.535 172872.895 6669928.943 172874.702 6669929.478 172874.986 6669932.549 172876.614 6669935.144 172876.183 6669933.715 172880.36 6669925.918 172894.689 6669925.531 172894.448</gml:posList>
            </gml:LinearRing>
          </gml:exterior>
        </gml:Polygon>
      </lmg:Yta>
      <planbestammelsereferens>723cd410-4612-4650-93b0-a65019d1e521</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d4ccd6b8-d605-4f6f-b316-d72c1f262b32" srsName="EPSG:3009" srsDimension="2">
          <gml:exterior>
            <gml:LinearRing gml:id="ID_e9914cd5-3416-4783-a4e7-d815477401c4">
              <gml:posList>6669925.535 172872.895 6669918.668 172869.254 6669917.501 172868.635 6669911.063 172865.222 6669890.663 172853.326 6669884.299 172849.81 6669865.106 172839.205 6669862.311 172837.661 6669861.696 172837.321 6669856.677 172834.548 6669856.451 172834.423 6669855.382 172833.832 6669854.329 172833.25 6669854.277 172833.221 6669854.573 172832.698 6669855.142 172831.69 6669856.146 172829.914 6669856.173 172829.865 6669856.178 172829.857 6669856.934 172828.519 6669858.413 172825.901 6669858.512 172825.724 6669860.941 172821.426 6669862.357 172818.918 6669862.517 172818.635 6669865.248 172813.801 6669868.487 172808.066 6669868.857 172807.412 6669870.435 172804.619 6669870.458 172804.577 6669900.837 172816.213 6669902.47 172821.171 6669902.992 172822.758 6669920.594 172829.143 6669920.855 172829.237 6669920.86 172829.238 6669920.594 172830.039 6669919.885 172832.178 6669920.594 172832.546 6669921.036 172832.775 6669927.928 172836.35 6669945.016 172845.213 6669945.642 172845.538 6669948.518 172847.03 6669948.603 172847.074 6669948.646 172847.098 6669948.518 172847.371 6669947.242 172850.086 6669945.609 172853.608 6669940.35 172864.953 6669938.69 172868.535 6669936.58 172873.085 6669935.832 172874.698 6669935.144 172876.183 6669932.549 172876.614 6669929.478 172874.986 6669928.943 172874.702 6669925.535 172872.895</gml:posList>
            </gml:LinearRing>
          </gml:exterior>
        </gml:Polygon>
      </lmg:Yta>
      <planbestammelsereferens>2efc4882-2fa6-414b-b455-f647b21fee65</planbestammelsereferens>
    </Lage>
    <Lage>
      <lmg:Yta>
        <lmg:absolutLagesosakerhetPlan>0</lmg:absolutLagesosakerhetPlan>
        <lmg:absolutLagesosakerhetHojd>0</lmg:absolutLagesosakerhetHojd>
        <lmg:hojdsystem>RH 2000</lmg:hojdsystem>
        <gml:Polygon gml:id="ID_24ff6c19-dc55-4aa2-bed3-0f2cbe48232d" srsName="EPSG:3009" srsDimension="2">
          <gml:exterior>
            <gml:LinearRing gml:id="ID_707d62ef-62c5-4688-8d17-9aad6c551940">
              <gml:posList>6669873.538 172900.107 6669837.71 172879.964 6669837.187 172879.67 6669836.49 172879.279 6669836.487 172879.276 6669835.797 172878.889 6669839.032 172872.399 6669837.171 172871.649 6669838.711 172868.554 6669838.958 172868.058 6669842.211 172861.521 6669842.448 172861.045 6669843.768 172858.392 6669844.557 172856.806 6669845.501 172854.908 6669845.893 172854.12 6669847.655 172850.58 6669850.554 172852.14 6669852.469 172848.556 6669854.087 172849.452 6669855.41 172850.185 6669866.806 172856.496 6669869.253 172857.87 6669875.756 172861.795 6669879.628 172863.876 6669882.067 172865.218 6669894.544 172872.383 6669896.968 172873.751 6669904.864 172878.162 6669910.474 172880.37 6669910.819 172880.566 6669922.328 172887.107 6669922.653 172887.292 6669922.656 172887.293 6669924.225 172888.185 6669924.651 172890.229 6669925.531 172894.448 6669918.076 172907.798 6669917.723 172908.431 6669914.42 172914.346 6669913.316 172916.324 6669910.472 172921.416 6669910.455 172921.448 6669905.535 172918.608 6669905.454 172918.561 6669888.127 172908.56 6669873.538 172900.107</gml:posList>
            </gml:LinearRing>
          </gml:exterior>
        </gml:Polygon>
      </lmg:Yta>
      <planbestammelsereferens>10e9b778-b259-44c6-86c2-5d59e0ec47d0</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51f5e401-59a5-450b-bc8b-dae4ac41ea04" srsName="EPSG:3009" srsDimension="2">
          <gml:exterior>
            <gml:LinearRing gml:id="ID_74531718-b5b5-4da4-817a-da06005060d2">
              <gml:posList>6669925.535 172872.895 6669918.668 172869.254 6669917.501 172868.635 6669911.063 172865.222 6669890.663 172853.326 6669884.299 172849.81 6669865.106 172839.205 6669862.311 172837.661 6669861.696 172837.321 6669856.677 172834.548 6669856.451 172834.423 6669855.382 172833.832 6669854.329 172833.25 6669854.277 172833.221 6669854.573 172832.698 6669855.142 172831.69 6669856.146 172829.914 6669856.173 172829.865 6669856.178 172829.857 6669856.934 172828.519 6669858.413 172825.901 6669858.512 172825.724 6669860.941 172821.426 6669862.357 172818.918 6669862.517 172818.635 6669865.248 172813.801 6669868.487 172808.066 6669868.857 172807.412 6669870.435 172804.619 6669870.458 172804.577 6669900.837 172816.213 6669902.47 172821.171 6669902.992 172822.758 6669920.594 172829.143 6669920.855 172829.237 6669920.86 172829.238 6669920.594 172830.039 6669919.885 172832.178 6669920.594 172832.546 6669921.036 172832.775 6669927.928 172836.35 6669945.016 172845.213 6669945.642 172845.538 6669948.518 172847.03 6669948.603 172847.074 6669948.646 172847.098 6669948.518 172847.371 6669947.242 172850.086 6669945.609 172853.608 6669940.35 172864.953 6669938.69 172868.535 6669936.58 172873.085 6669935.832 172874.698 6669935.144 172876.183 6669932.549 172876.614 6669929.478 172874.986 6669928.943 172874.702 6669925.535 172872.895</gml:posList>
            </gml:LinearRing>
          </gml:exterior>
        </gml:Polygon>
      </lmg:Yta>
      <planbestammelsereferens>dc21173a-6f13-4213-8a72-fcc47d6511eb</planbestammelsereferens>
    </Lage>
    <Lage>
      <lmg:Yta>
        <lmg:absolutLagesosakerhetPlan>0</lmg:absolutLagesosakerhetPlan>
        <lmg:absolutLagesosakerhetHojd>0</lmg:absolutLagesosakerhetHojd>
        <lmg:hojdsystem>RH 2000</lmg:hojdsystem>
        <gml:Polygon gml:id="ID_37f98afb-50c1-405a-bac2-4c85eb09870a" srsName="EPSG:3009" srsDimension="2">
          <gml:exterior>
            <gml:LinearRing gml:id="ID_d43ba7d8-8c7c-4343-b985-fc973210c005">
              <gml:posList>6669873.538 172900.107 6669837.71 172879.964 6669837.187 172879.67 6669836.49 172879.279 6669836.487 172879.276 6669835.797 172878.889 6669839.032 172872.399 6669837.171 172871.649 6669838.711 172868.554 6669838.958 172868.058 6669842.211 172861.521 6669842.448 172861.045 6669843.768 172858.392 6669844.557 172856.806 6669845.501 172854.908 6669845.893 172854.12 6669847.655 172850.58 6669850.554 172852.14 6669852.469 172848.556 6669854.087 172849.452 6669855.41 172850.185 6669866.806 172856.496 6669869.253 172857.87 6669875.756 172861.795 6669879.628 172863.876 6669882.067 172865.218 6669894.544 172872.383 6669896.968 172873.751 6669904.864 172878.162 6669910.474 172880.37 6669910.819 172880.566 6669922.328 172887.107 6669922.653 172887.292 6669922.656 172887.293 6669924.225 172888.185 6669924.651 172890.229 6669925.531 172894.448 6669918.076 172907.798 6669917.723 172908.431 6669914.42 172914.346 6669913.316 172916.324 6669910.472 172921.416 6669910.455 172921.448 6669905.535 172918.608 6669905.454 172918.561 6669888.127 172908.56 6669873.538 172900.107</gml:posList>
            </gml:LinearRing>
          </gml:exterior>
        </gml:Polygon>
      </lmg:Yta>
      <planbestammelsereferens>d3e123e9-ade5-4417-99ce-ebba12208cc8</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63bbfa47-f4a8-4ca8-9ee3-e1a4d9f6b91d" srsName="EPSG:3009" srsDimension="2">
          <gml:exterior>
            <gml:LinearRing gml:id="ID_6bfb0a87-d94a-49da-bc6c-9a6f78943ca9">
              <gml:posList>6669917.723 172908.431 6669912.64 172905.609 6669912.937 172905.066 6669918.418 172895.106 6669919.034 172893.985 6669920.257 172891.763 6669925.531 172894.448 6669918.076 172907.798 6669917.723 172908.431</gml:posList>
            </gml:LinearRing>
          </gml:exterior>
        </gml:Polygon>
      </lmg:Yta>
      <planbestammelsereferens>89858c98-60dc-4c67-936a-8f77200dfc51</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ce20acaa-5bff-445b-89f8-81e3926e8caa" srsName="EPSG:3009" srsDimension="2">
          <gml:exterior>
            <gml:LinearRing gml:id="ID_27661201-27b9-47e4-83a5-add01491c7ce">
              <gml:posList>6669901.749 172834.049 6669904.239 172829.719 6669904.749 172828.833 6669906.055 172829.455 6669907.799 172830.286 6669910.659 172831.648 6669910.672 172831.655 6669914.297 172833.381 6669914.447 172833.453 6669916.374 172834.371 6669917.683 172834.995 6669918.282 172835.28 6669918.549 172835.407 6669919.283 172835.757 6669919.323 172835.689 6669919.969 172834.589 6669921.036 172832.775 6669927.928 172836.35 6669926.282 172839.13 6669923.287 172844.188 6669923.23 172844.284 6669916.703 172841.174 6669902.168 172834.249 6669901.749 172834.049</gml:posList>
            </gml:LinearRing>
          </gml:exterior>
        </gml:Polygon>
      </lmg:Yta>
      <planbestammelsereferens>8c482bff-0f82-4d5c-b26d-601104a285f8</planbestammelsereferens>
    </Lage>
    <Lage>
      <lmg:Yta>
        <lmg:absolutLagesosakerhetPlan>0</lmg:absolutLagesosakerhetPlan>
        <lmg:absolutLagesosakerhetHojd>0</lmg:absolutLagesosakerhetHojd>
        <lmg:hojdsystem>RH 2000</lmg:hojdsystem>
        <gml:Polygon gml:id="ID_00902696-55b8-4bed-86a5-f5a872238105" srsName="EPSG:3009" srsDimension="2">
          <gml:exterior>
            <gml:LinearRing gml:id="ID_0f618658-00e3-4968-ab60-afc38c456e00">
              <gml:posList>6669841.007 172873.462 6669837.71 172879.964 6669837.187 172879.67 6669836.49 172879.279 6669836.487 172879.276 6669835.797 172878.889 6669839.032 172872.399 6669837.171 172871.649 6669838.711 172868.554 6669838.958 172868.058 6669842.211 172861.521 6669842.448 172861.045 6669843.768 172858.392 6669844.557 172856.806 6669845.501 172854.908 6669845.893 172854.12 6669847.655 172850.58 6669850.554 172852.14 6669852.469 172848.556 6669854.087 172849.452 6669855.41 172850.185 6669853.982 172852.778 6669852.576 172851.977 6669852.039 172852.825 6669846.673 172862.287 6669842.937 172869.655 6669841.12 172873.239 6669841.007 172873.462</gml:posList>
            </gml:LinearRing>
          </gml:exterior>
        </gml:Polygon>
      </lmg:Yta>
      <planbestammelsereferens>9712b5df-6f6e-45c6-9f8f-c077b111f6ac</planbestammelsereferens>
    </Lage>
    <Lage>
      <lmg:Yta>
        <lmg:absolutLagesosakerhetPlan>0</lmg:absolutLagesosakerhetPlan>
        <lmg:absolutLagesosakerhetHojd>0</lmg:absolutLagesosakerhetHojd>
        <lmg:hojdsystem>RH 2000</lmg:hojdsystem>
        <gml:Polygon gml:id="ID_02da52e9-42bc-4696-bda8-69ed8c3d5df1" srsName="EPSG:3009" srsDimension="2">
          <gml:exterior>
            <gml:LinearRing gml:id="ID_c73eb2aa-40c4-464a-81b1-35482d41157a">
              <gml:posList>6669862.311 172837.661 6669861.696 172837.321 6669856.677 172834.548 6669856.451 172834.423 6669855.382 172833.832 6669854.329 172833.25 6669854.277 172833.221 6669854.573 172832.698 6669855.142 172831.69 6669856.146 172829.914 6669856.173 172829.865 6669856.178 172829.857 6669856.934 172828.519 6669858.413 172825.901 6669858.512 172825.724 6669860.941 172821.426 6669862.357 172818.918 6669863.934 172819.814 6669857.74 172830.753 6669861.449 172832.88 6669864.106 172834.404 6669863.623 172835.28 6669862.311 172837.661</gml:posList>
            </gml:LinearRing>
          </gml:exterior>
        </gml:Polygon>
      </lmg:Yta>
      <planbestammelsereferens>cc4aa6eb-c3dd-45fe-87ee-52835257cd5b</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fa6526d0-ae5d-4b6f-9f10-891f80fdd693" srsName="EPSG:3009" srsDimension="2">
          <gml:exterior>
            <gml:LinearRing gml:id="ID_5d7b7c34-04c1-4f3c-b836-33df6f94f4d5">
              <gml:posList>6669873.538 172900.107 6669837.71 172879.964 6669841.007 172873.462 6669841.12 172873.239 6669842.937 172869.655 6669846.673 172862.287 6669852.039 172852.825 6669852.576 172851.977 6669853.982 172852.778 6669891.164 172873.982 6669891.763 172872.935 6669891.916 172872.677 6669897.784 172876.011 6669898.958 172876.714 6669899.202 172876.86 6669904.04 172879.661 6669903.923 172879.872 6669892.674 172900.303 6669890.735 172903.824 6669888.127 172908.56 6669873.538 172900.107</gml:posList>
            </gml:LinearRing>
          </gml:exterior>
        </gml:Polygon>
      </lmg:Yta>
      <planbestammelsereferens>691804c0-ed50-4488-8604-3e516f169196</planbestammelsereferens>
    </Lage>
    <Lage>
      <lmg:Yta>
        <lmg:absolutLagesosakerhetPlan>0</lmg:absolutLagesosakerhetPlan>
        <lmg:absolutLagesosakerhetHojd>0</lmg:absolutLagesosakerhetHojd>
        <lmg:hojdsystem>RH 2000</lmg:hojdsystem>
        <gml:Polygon gml:id="ID_be7e7ffe-1b49-4f27-9cc7-27f7ea200acc" srsName="EPSG:3009" srsDimension="2">
          <gml:exterior>
            <gml:LinearRing gml:id="ID_b70e010c-a6c9-4e1b-977c-2382d85a4b04">
              <gml:posList>6669904.749 172828.833 6669904.239 172829.719 6669901.749 172834.049 6669900.756 172835.775 6669892.263 172850.543 6669889.091 172848.734 6669888.326 172848.295 6669864.809 172834.807 6669864.106 172834.404 6669861.449 172832.88 6669857.74 172830.753 6669863.934 172819.814 6669862.357 172818.918 6669862.517 172818.635 6669865.248 172813.801 6669868.487 172808.066 6669868.857 172807.412 6669870.435 172804.619 6669870.458 172804.577 6669900.837 172816.213 6669902.47 172821.171 6669902.992 172822.758 6669904.905 172828.561 6669904.749 172828.833</gml:posList>
            </gml:LinearRing>
          </gml:exterior>
        </gml:Polygon>
      </lmg:Yta>
      <planbestammelsereferens>1eb48fcb-a88b-4f9b-8ce4-6df8c272cff7</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a61e3462-5a4a-4d9d-aa99-cd11f3d71943" srsName="EPSG:3009" srsDimension="2">
          <gml:exterior>
            <gml:LinearRing gml:id="ID_2e126e2a-f3df-4596-94c7-06862028b561">
              <gml:posList>6669839.032 172872.399 6669837.171 172871.649 6669838.711 172868.554 6669838.958 172868.058 6669841.791 172869.195 6669842.537 172869.495 6669842.937 172869.655 6669847.322 172871.415 6669892.674 172900.303 6669909.574 172911.216 6669914.42 172914.346 6669912.472 172917.821 6669907.659 172914.722 6669890.781 172903.854 6669890.735 172903.824 6669845.538 172875.018 6669841.12 172873.239 6669840.665 172873.056 6669839.923 172872.758 6669839.032 172872.399</gml:posList>
            </gml:LinearRing>
          </gml:exterior>
        </gml:Polygon>
      </lmg:Yta>
      <planbestammelsereferens>1bdd8519-17db-456e-b4a2-14512c31b247</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7e9cc824-3c30-4f43-9a2d-3e75e0c322dd" srsName="EPSG:3009" srsDimension="2">
          <gml:exterior>
            <gml:LinearRing gml:id="ID_9c7609b6-9046-49e7-bd6b-af76fcc3a032">
              <gml:posList>6669873.538 172900.107 6669837.71 172879.964 6669841.007 172873.462 6669841.12 172873.239 6669842.937 172869.655 6669846.673 172862.287 6669852.039 172852.825 6669852.576 172851.977 6669853.982 172852.778 6669891.164 172873.982 6669891.763 172872.935 6669891.916 172872.677 6669897.784 172876.011 6669898.958 172876.714 6669899.202 172876.86 6669904.04 172879.661 6669903.923 172879.872 6669892.674 172900.303 6669890.735 172903.824 6669888.127 172908.56 6669873.538 172900.107</gml:posList>
            </gml:LinearRing>
          </gml:exterior>
        </gml:Polygon>
      </lmg:Yta>
      <planbestammelsereferens>36adff27-d2e1-4938-8aea-76a4b683cfec</planbestammelsereferens>
    </Lage>
    <Lage>
      <lmg:Yta>
        <lmg:absolutLagesosakerhetPlan>0</lmg:absolutLagesosakerhetPlan>
        <lmg:absolutLagesosakerhetHojd>0</lmg:absolutLagesosakerhetHojd>
        <lmg:hojdsystem>RH 2000</lmg:hojdsystem>
        <gml:Polygon gml:id="ID_e09756ec-e3d8-4335-b24c-3ce55b5b47c9" srsName="EPSG:3009" srsDimension="2">
          <gml:exterior>
            <gml:LinearRing gml:id="ID_6c039d83-f444-4494-95bc-dad3dc87eb03">
              <gml:posList>6669904.749 172828.833 6669904.239 172829.719 6669901.749 172834.049 6669900.756 172835.775 6669892.263 172850.543 6669889.091 172848.734 6669888.326 172848.295 6669864.809 172834.807 6669864.106 172834.404 6669861.449 172832.88 6669857.74 172830.753 6669863.934 172819.814 6669862.357 172818.918 6669862.517 172818.635 6669865.248 172813.801 6669868.487 172808.066 6669868.857 172807.412 6669870.435 172804.619 6669870.458 172804.577 6669900.837 172816.213 6669902.47 172821.171 6669902.992 172822.758 6669904.905 172828.561 6669904.749 172828.833</gml:posList>
            </gml:LinearRing>
          </gml:exterior>
        </gml:Polygon>
      </lmg:Yta>
      <planbestammelsereferens>4920efb1-0d5f-4cdb-a55b-746050383306</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90d57b9b-1fa6-4999-b8a2-2a7800db41c4" srsName="EPSG:3009" srsDimension="2">
          <gml:exterior>
            <gml:LinearRing gml:id="ID_d72c47e0-b0e8-4e3a-83ab-c49652b86531">
              <gml:posList>6669901.749 172834.049 6669902.168 172834.249 6669916.703 172841.174 6669923.23 172844.284 6669923.287 172844.188 6669926.282 172839.13 6669927.928 172836.35 6669945.016 172845.213 6669945.642 172845.538 6669944.061 172848.423 6669943.443 172849.55 6669940.801 172854.37 6669936.934 172861.424 6669936.216 172862.735 6669935.87 172863.367 6669935.806 172863.482 6669934.633 172865.622 6669934.396 172866.054 6669934.369 172866.102 6669934.343 172866.152 6669931.966 172870.487 6669931.058 172872.144 6669918.959 172865.272 6669912.911 172862.042 6669906.953 172858.861 6669905.26 172857.957 6669896.512 172852.967 6669892.263 172850.543 6669900.756 172835.775 6669901.749 172834.049</gml:posList>
            </gml:LinearRing>
          </gml:exterior>
        </gml:Polygon>
      </lmg:Yta>
      <planbestammelsereferens>789e6e23-c6c4-4518-8154-8ba9818d3dd3</planbestammelsereferens>
    </Lage>
    <Lage>
      <lmg:Yta>
        <lmg:absolutLagesosakerhetPlan>0</lmg:absolutLagesosakerhetPlan>
        <lmg:absolutLagesosakerhetHojd>0</lmg:absolutLagesosakerhetHojd>
        <lmg:hojdsystem>RH 2000</lmg:hojdsystem>
        <gml:Polygon gml:id="ID_c1f08148-1a0e-4034-921b-d91607393be9" srsName="EPSG:3009" srsDimension="2">
          <gml:exterior>
            <gml:LinearRing gml:id="ID_ca461133-fb22-4535-8d47-5e222d5b021d">
              <gml:posList>6669873.538 172900.107 6669837.71 172879.964 6669841.007 172873.462 6669841.12 172873.239 6669842.937 172869.655 6669846.673 172862.287 6669852.039 172852.825 6669852.576 172851.977 6669853.982 172852.778 6669891.164 172873.982 6669891.763 172872.935 6669891.916 172872.677 6669897.784 172876.011 6669898.958 172876.714 6669899.202 172876.86 6669904.04 172879.661 6669903.923 172879.872 6669892.674 172900.303 6669890.735 172903.824 6669888.127 172908.56 6669873.538 172900.107</gml:posList>
            </gml:LinearRing>
          </gml:exterior>
        </gml:Polygon>
      </lmg:Yta>
      <planbestammelsereferens>c74b113e-fd70-4ff9-adeb-f02a17cb00c3</planbestammelsereferens>
    </Lage>
    <Indelning>
      <tema>Motiv till detaljplanens regleringar</tema>
      <grupp>Motiv till reglering</grupp>
    </Indelning>
  </Omfattning>
  <Omfattning>
    <identitet>mo_motivtillreglering17</identitet>
    <Lage>
      <lmg:Yta>
        <lmg:absolutLagesosakerhetPlan>0</lmg:absolutLagesosakerhetPlan>
        <lmg:absolutLagesosakerhetHojd>0</lmg:absolutLagesosakerhetHojd>
        <lmg:hojdsystem>RH 2000</lmg:hojdsystem>
        <gml:Polygon gml:id="ID_66f49c19-4934-4722-a9fc-4e3768b2cc79" srsName="EPSG:3009" srsDimension="2">
          <gml:exterior>
            <gml:LinearRing gml:id="ID_7682c70f-180d-425e-950a-b07be17f6625">
              <gml:posList>6669905.454 172918.561 6669888.127 172908.56 6669890.735 172903.824 6669892.674 172900.303 6669903.923 172879.872 6669909.08 172882.836 6669921.171 172889.518 6669921.421 172889.657 6669920.257 172891.763 6669919.034 172893.985 6669918.418 172895.106 6669912.937 172905.066 6669912.64 172905.609 6669909.574 172911.216 6669907.659 172914.722 6669905.535 172918.608 6669905.454 172918.561</gml:posList>
            </gml:LinearRing>
          </gml:exterior>
        </gml:Polygon>
      </lmg:Yta>
      <planbestammelsereferens>fbef4764-6a7b-43ae-b689-3ec98550494d</planbestammelsereferens>
    </Lage>
    <Lage>
      <lmg:Yta>
        <lmg:absolutLagesosakerhetPlan>0</lmg:absolutLagesosakerhetPlan>
        <lmg:absolutLagesosakerhetHojd>0</lmg:absolutLagesosakerhetHojd>
        <lmg:hojdsystem>RH 2000</lmg:hojdsystem>
        <gml:Polygon gml:id="ID_eab03fbe-1c7d-4f2c-8a0d-d227220ac7b7" srsName="EPSG:3009" srsDimension="2">
          <gml:exterior>
            <gml:LinearRing gml:id="ID_d6e2bf45-2912-4e13-9ca4-6db1f692f6c8">
              <gml:posList>6669904.749 172828.833 6669904.239 172829.719 6669901.749 172834.049 6669900.756 172835.775 6669892.263 172850.543 6669889.091 172848.734 6669888.326 172848.295 6669864.809 172834.807 6669864.106 172834.404 6669861.449 172832.88 6669857.74 172830.753 6669863.934 172819.814 6669862.357 172818.918 6669862.517 172818.635 6669865.248 172813.801 6669868.487 172808.066 6669868.857 172807.412 6669870.435 172804.619 6669870.458 172804.577 6669900.837 172816.213 6669902.47 172821.171 6669902.992 172822.758 6669904.905 172828.561 6669904.749 172828.833</gml:posList>
            </gml:LinearRing>
          </gml:exterior>
        </gml:Polygon>
      </lmg:Yta>
      <planbestammelsereferens>5aaf596e-43b0-4a67-891d-f6ce800a2a90</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061e7139-3f63-47dc-a0eb-9ee590e51e73" srsName="EPSG:3009" srsDimension="2">
          <gml:exterior>
            <gml:LinearRing gml:id="ID_0dfbdbb5-f303-4a9b-9264-da41ccf9fba0">
              <gml:posList>6669905.454 172918.561 6669888.127 172908.56 6669890.735 172903.824 6669892.674 172900.303 6669903.923 172879.872 6669909.08 172882.836 6669921.171 172889.518 6669921.421 172889.657 6669920.257 172891.763 6669919.034 172893.985 6669918.418 172895.106 6669912.937 172905.066 6669912.64 172905.609 6669909.574 172911.216 6669907.659 172914.722 6669905.535 172918.608 6669905.454 172918.561</gml:posList>
            </gml:LinearRing>
          </gml:exterior>
        </gml:Polygon>
      </lmg:Yta>
      <planbestammelsereferens>5c9a1f47-2940-47ca-ba26-856a86069a82</planbestammelsereferens>
    </Lage>
    <Indelning>
      <tema>Motiv till detaljplanens regleringar</tema>
      <grupp>Motiv till reglering</grupp>
    </Indelning>
  </Omfattning>
  <Omfattning>
    <identitet>mo_motivtillreglering19</identitet>
    <Lage>
      <lmg:Yta>
        <lmg:absolutLagesosakerhetPlan>0</lmg:absolutLagesosakerhetPlan>
        <lmg:absolutLagesosakerhetHojd>0</lmg:absolutLagesosakerhetHojd>
        <lmg:hojdsystem>RH 2000</lmg:hojdsystem>
        <gml:Polygon gml:id="ID_5f821be6-f636-4ada-8d38-8ba84a910649" srsName="EPSG:3009" srsDimension="2">
          <gml:exterior>
            <gml:LinearRing gml:id="ID_7c10351d-90c2-4623-9a5b-b88487cef756">
              <gml:posList>6669905.454 172918.561 6669888.127 172908.56 6669890.735 172903.824 6669892.674 172900.303 6669903.923 172879.872 6669909.08 172882.836 6669921.171 172889.518 6669921.421 172889.657 6669920.257 172891.763 6669919.034 172893.985 6669918.418 172895.106 6669912.937 172905.066 6669912.64 172905.609 6669909.574 172911.216 6669907.659 172914.722 6669905.535 172918.608 6669905.454 172918.561</gml:posList>
            </gml:LinearRing>
          </gml:exterior>
        </gml:Polygon>
      </lmg:Yta>
      <planbestammelsereferens>0d3e3522-e364-4d59-a6e1-eb0ed328d8fa</planbestammelsereferens>
    </Lage>
    <Indelning>
      <tema>Motiv till detaljplanens regleringar</tema>
      <grupp>Motiv till reglering</grupp>
    </Indelning>
  </Omfattning>
  <Omfattning>
    <identitet>mo_motivtillreglering20</identitet>
    <Lage>
      <lmg:Yta>
        <lmg:absolutLagesosakerhetPlan>0</lmg:absolutLagesosakerhetPlan>
        <lmg:absolutLagesosakerhetHojd>0</lmg:absolutLagesosakerhetHojd>
        <lmg:hojdsystem>RH 2000</lmg:hojdsystem>
        <gml:Polygon gml:id="ID_16d87887-51ca-47dc-a099-85e5db254669" srsName="EPSG:3009" srsDimension="2">
          <gml:exterior>
            <gml:LinearRing gml:id="ID_bbe9d0f1-215c-45fc-94cd-35d8858c6068">
              <gml:posList>6669905.454 172918.561 6669888.127 172908.56 6669890.735 172903.824 6669892.674 172900.303 6669903.923 172879.872 6669909.08 172882.836 6669921.171 172889.518 6669921.421 172889.657 6669920.257 172891.763 6669919.034 172893.985 6669918.418 172895.106 6669912.937 172905.066 6669912.64 172905.609 6669909.574 172911.216 6669907.659 172914.722 6669905.535 172918.608 6669905.454 172918.561</gml:posList>
            </gml:LinearRing>
          </gml:exterior>
        </gml:Polygon>
      </lmg:Yta>
      <planbestammelsereferens>5abe10a8-f56a-494c-8ea2-891ed66cfa19</planbestammelsereferens>
    </Lage>
    <Indelning>
      <tema>Motiv till detaljplanens regleringar</tema>
      <grupp>Motiv till reglering</grupp>
    </Indelning>
  </Omfattning>
  <Omfattning>
    <identitet>mo_motivtillreglering21</identitet>
    <Lage>
      <lmg:Yta>
        <lmg:absolutLagesosakerhetPlan>0</lmg:absolutLagesosakerhetPlan>
        <lmg:absolutLagesosakerhetHojd>0</lmg:absolutLagesosakerhetHojd>
        <lmg:hojdsystem>RH 2000</lmg:hojdsystem>
        <gml:Polygon gml:id="ID_92d8fcb7-9f32-4660-abb3-4640ef2ac097" srsName="EPSG:3009" srsDimension="2">
          <gml:exterior>
            <gml:LinearRing gml:id="ID_041c3c14-21a9-4404-9067-c4e96f6b3b6e">
              <gml:posList>6669873.538 172900.107 6669837.71 172879.964 6669841.007 172873.462 6669841.12 172873.239 6669842.937 172869.655 6669846.673 172862.287 6669852.039 172852.825 6669852.576 172851.977 6669853.982 172852.778 6669891.164 172873.982 6669891.763 172872.935 6669891.916 172872.677 6669897.784 172876.011 6669898.958 172876.714 6669899.202 172876.86 6669904.04 172879.661 6669903.923 172879.872 6669892.674 172900.303 6669890.735 172903.824 6669888.127 172908.56 6669873.538 172900.107</gml:posList>
            </gml:LinearRing>
          </gml:exterior>
        </gml:Polygon>
      </lmg:Yta>
      <planbestammelsereferens>35c88245-187e-430b-a402-330b7e1ce330</planbestammelsereferens>
    </Lage>
    <Lage>
      <lmg:Yta>
        <lmg:absolutLagesosakerhetPlan>0</lmg:absolutLagesosakerhetPlan>
        <lmg:absolutLagesosakerhetHojd>0</lmg:absolutLagesosakerhetHojd>
        <lmg:hojdsystem>RH 2000</lmg:hojdsystem>
        <gml:Polygon gml:id="ID_c906f1aa-1304-46b7-9a99-df298ab77234" srsName="EPSG:3009" srsDimension="2">
          <gml:exterior>
            <gml:LinearRing gml:id="ID_45ed1f7f-4524-4d51-a00a-a6a88fb19240">
              <gml:posList>6669904.749 172828.833 6669904.239 172829.719 6669901.749 172834.049 6669900.756 172835.775 6669892.263 172850.543 6669889.091 172848.734 6669888.326 172848.295 6669864.809 172834.807 6669864.106 172834.404 6669861.449 172832.88 6669857.74 172830.753 6669863.934 172819.814 6669862.357 172818.918 6669862.517 172818.635 6669865.248 172813.801 6669868.487 172808.066 6669868.857 172807.412 6669870.435 172804.619 6669870.458 172804.577 6669900.837 172816.213 6669902.47 172821.171 6669902.992 172822.758 6669904.905 172828.561 6669904.749 172828.833</gml:posList>
            </gml:LinearRing>
          </gml:exterior>
        </gml:Polygon>
      </lmg:Yta>
      <planbestammelsereferens>8b97b7a2-3136-46a8-840b-8beb22428fa2</planbestammelsereferens>
    </Lage>
    <Indelning>
      <tema>Motiv till detaljplanens regleringar</tema>
      <grupp>Motiv till reglering</grupp>
    </Indelning>
  </Omfattning>
  <Omfattning>
    <identitet>mo_motivtillreglering22</identitet>
    <Lage>
      <lmg:Yta>
        <lmg:absolutLagesosakerhetPlan>0</lmg:absolutLagesosakerhetPlan>
        <lmg:absolutLagesosakerhetHojd>0</lmg:absolutLagesosakerhetHojd>
        <lmg:hojdsystem>RH 2000</lmg:hojdsystem>
        <gml:Polygon gml:id="ID_e1b6cbc0-5a8e-4c28-903b-4faa02b62355" srsName="EPSG:3009" srsDimension="2">
          <gml:exterior>
            <gml:LinearRing gml:id="ID_0b0abb09-28e6-428a-8ba8-2651b8dcfe84">
              <gml:posList>6669873.538 172900.107 6669837.71 172879.964 6669841.007 172873.462 6669841.12 172873.239 6669842.937 172869.655 6669846.673 172862.287 6669852.039 172852.825 6669852.576 172851.977 6669853.982 172852.778 6669891.164 172873.982 6669891.763 172872.935 6669891.916 172872.677 6669897.784 172876.011 6669898.958 172876.714 6669899.202 172876.86 6669904.04 172879.661 6669903.923 172879.872 6669892.674 172900.303 6669890.735 172903.824 6669888.127 172908.56 6669873.538 172900.107</gml:posList>
            </gml:LinearRing>
          </gml:exterior>
        </gml:Polygon>
      </lmg:Yta>
      <planbestammelsereferens>6aa8b507-0918-47c9-9ebe-6c5e1f88f63a</planbestammelsereferens>
    </Lage>
    <Lage>
      <lmg:Yta>
        <lmg:absolutLagesosakerhetPlan>0</lmg:absolutLagesosakerhetPlan>
        <lmg:absolutLagesosakerhetHojd>0</lmg:absolutLagesosakerhetHojd>
        <lmg:hojdsystem>RH 2000</lmg:hojdsystem>
        <gml:Polygon gml:id="ID_c1455fc7-a437-41e9-81f6-e85229857b87" srsName="EPSG:3009" srsDimension="2">
          <gml:exterior>
            <gml:LinearRing gml:id="ID_ec3e69c6-fb48-4739-bc9d-1c072f01c6ef">
              <gml:posList>6669904.749 172828.833 6669904.239 172829.719 6669901.749 172834.049 6669900.756 172835.775 6669892.263 172850.543 6669889.091 172848.734 6669888.326 172848.295 6669864.809 172834.807 6669864.106 172834.404 6669861.449 172832.88 6669857.74 172830.753 6669863.934 172819.814 6669862.357 172818.918 6669862.517 172818.635 6669865.248 172813.801 6669868.487 172808.066 6669868.857 172807.412 6669870.435 172804.619 6669870.458 172804.577 6669900.837 172816.213 6669902.47 172821.171 6669902.992 172822.758 6669904.905 172828.561 6669904.749 172828.833</gml:posList>
            </gml:LinearRing>
          </gml:exterior>
        </gml:Polygon>
      </lmg:Yta>
      <planbestammelsereferens>aa238e9c-20af-4805-97af-22b828b1962d</planbestammelsereferens>
    </Lage>
    <Indelning>
      <tema>Motiv till detaljplanens regleringar</tema>
      <grupp>Motiv till reglering</grupp>
    </Indelning>
  </Omfattning>
  <Omfattning>
    <identitet>pu_översiktsplan01</identitet>
    <Lage>
      <planomrade>true</planomrade>
    </Lage>
    <Indelning>
      <tema>Planeringsunderlag</tema>
      <grupp>Kommunala</grupp>
      <undergrupp>Översiktsplan</undergrupp>
    </Indelning>
  </Omfattning>
  <Omfattning>
    <identitet>pu_fördjupningavöversiktsplan01</identitet>
    <Lage>
      <planomrade>true</planomrade>
    </Lage>
    <Indelning>
      <tema>Planeringsunderlag</tema>
      <grupp>Kommunala</grupp>
      <undergrupp>Fördjupning av översiktsplan</undergrupp>
    </Indelning>
  </Omfattning>
  <Omfattning>
    <identitet>pu_barnchecklista01</identitet>
    <Lage>
      <planomrade>true</planomrade>
    </Lage>
    <Indelning>
      <tema>Planeringsunderlag</tema>
      <grupp>Annat</grupp>
      <undergrupp>Barnchecklista</undergrupp>
    </Indelning>
  </Omfattning>
  <Omfattning>
    <identitet>pu_riksintressen01</identitet>
    <Lage>
      <planomrade>true</planomrade>
    </Lage>
    <Indelning>
      <tema>Planeringsunderlag</tema>
      <grupp>Annat</grupp>
      <undergrupp>Riksintressen</undergrupp>
    </Indelning>
  </Omfattning>
  <Omfattning>
    <identitet>pu_hushållningsbestämmelser01</identitet>
    <Lage>
      <planomrade>true</planomrade>
    </Lage>
    <Indelning>
      <tema>Planeringsunderlag</tema>
      <grupp>Annat</grupp>
      <undergrupp>Hushållningsbestämmelser</undergrupp>
    </Indelning>
  </Omfattning>
  <Omfattning>
    <identitet>pu_hushållningsbestämmelser02</identitet>
    <Lage>
      <planomrade>true</planomrade>
    </Lage>
    <Indelning>
      <tema>Planeringsunderlag</tema>
      <grupp>Annat</grupp>
      <undergrupp>Hushållningsbestämmelser</undergrupp>
    </Indelning>
  </Omfattning>
  <Omfattning>
    <identitet>pu_hushållningsbestämmelser03</identitet>
    <Lage>
      <planomrade>true</planomrade>
    </Lage>
    <Indelning>
      <tema>Planeringsunderlag</tema>
      <grupp>Annat</grupp>
      <undergrupp>Hushållningsbestämmelser</undergrupp>
    </Indelning>
  </Omfattning>
  <Omfattning>
    <identitet>pu_jordbruksmarkavnationellbetydelse01</identitet>
    <Lage>
      <planomrade>true</planomrade>
    </Lage>
    <Indelning>
      <tema>Planeringsunderlag</tema>
      <grupp>Annat</grupp>
      <undergrupp>Jordbruksmark av nationell betydelse</undergrupp>
    </Indelning>
  </Omfattning>
  <Omfattning>
    <identitet>pf_fysiskmiljö01</identitet>
    <Lage>
      <planomrade>true</planomrade>
    </Lage>
    <Indelning>
      <tema>Planeringsförutsättningar</tema>
      <grupp>Fysisk miljö</grupp>
    </Indelning>
  </Omfattning>
  <Omfattning>
    <identitet>pf_detaljplan01</identitet>
    <Lage>
      <planomrade>true</planomrade>
    </Lage>
    <Indelning>
      <tema>Planeringsförutsättningar</tema>
      <grupp>Kommunala</grupp>
      <undergrupp>Detaljplan</undergrupp>
    </Indelning>
  </Omfattning>
  <Omfattning>
    <identitet>ko_detaljplan01</identitet>
    <Lage>
      <planomrade>true</planomrade>
    </Lage>
    <Indelning>
      <tema>Konsekvenser</tema>
      <grupp>Annat</grupp>
      <undergrupp>Detaljplan</undergrupp>
    </Indelning>
  </Omfattning>
  <Omfattning>
    <identitet>ko_fysiskmiljö01</identitet>
    <Lage>
      <planomrade>true</planomrade>
    </Lage>
    <Indelning>
      <tema>Konsekvenser</tema>
      <grupp>Annat</grupp>
      <undergrupp>Fysisk miljö</undergrupp>
    </Indelning>
  </Omfattning>
  <Omfattning>
    <identitet>ko_fysiskmiljö02</identitet>
    <Lage>
      <planomrade>true</planomrade>
    </Lage>
    <Indelning>
      <tema>Konsekvenser</tema>
      <grupp>Annat</grupp>
      <undergrupp>Fysisk miljö</undergrupp>
    </Indelning>
  </Omfattning>
  <Omfattning>
    <identitet>pf_fysiskmiljö02</identitet>
    <Lage>
      <planomrade>true</planomrade>
    </Lage>
    <Indelning>
      <tema>Planeringsförutsättningar</tema>
      <grupp>Fysisk miljö</grupp>
    </Indelning>
  </Omfattning>
  <Omfattning>
    <identitet>pf_grönområde01</identitet>
    <Lage>
      <planomrade>true</planomrade>
    </Lage>
    <Indelning>
      <tema>Planeringsförutsättningar</tema>
      <grupp>Annat</grupp>
      <undergrupp>Grönområde</undergrupp>
    </Indelning>
  </Omfattning>
  <Omfattning>
    <identitet>pf_geotekniskaförhållanden01</identitet>
    <Lage>
      <planomrade>true</planomrade>
    </Lage>
    <Indelning>
      <tema>Planeringsförutsättningar</tema>
      <grupp>Geotekniska förhållanden</grupp>
    </Indelning>
  </Omfattning>
  <Omfattning>
    <identitet>pf_fornlämningar01</identitet>
    <Lage>
      <planomrade>true</planomrade>
    </Lage>
    <Indelning>
      <tema>Planeringsförutsättningar</tema>
      <grupp>Kulturmiljö</grupp>
      <undergrupp>Fornlämningar</undergrupp>
    </Indelning>
  </Omfattning>
  <Omfattning>
    <identitet>ko_trafik01</identitet>
    <Lage>
      <planomrade>true</planomrade>
    </Lage>
    <Indelning>
      <tema>Konsekvenser</tema>
      <grupp>Trafik</grupp>
    </Indelning>
  </Omfattning>
  <Omfattning>
    <identitet>pf_gatorochtrafikmängd01</identitet>
    <Lage>
      <planomrade>true</planomrade>
    </Lage>
    <Indelning>
      <tema>Planeringsförutsättningar</tema>
      <grupp>Trafik</grupp>
      <undergrupp>Gator och trafikmängd</undergrupp>
    </Indelning>
  </Omfattning>
  <Omfattning>
    <identitet>pf_kollektivtrafik01</identitet>
    <Lage>
      <planomrade>true</planomrade>
    </Lage>
    <Indelning>
      <tema>Planeringsförutsättningar</tema>
      <grupp>Trafik</grupp>
      <undergrupp>Kollektivtrafik</undergrupp>
    </Indelning>
  </Omfattning>
  <Omfattning>
    <identitet>ko_gångochcykeltrafik01</identitet>
    <Lage>
      <planomrade>true</planomrade>
    </Lage>
    <Indelning>
      <tema>Konsekvenser</tema>
      <grupp>Trafik</grupp>
      <undergrupp>Gång- och cykeltrafik</undergrupp>
    </Indelning>
  </Omfattning>
  <Omfattning>
    <identitet>pf_sociala01</identitet>
    <Lage>
      <planomrade>true</planomrade>
    </Lage>
    <Indelning>
      <tema>Planeringsförutsättningar</tema>
      <grupp>Sociala</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pf_dagvatten01</identitet>
    <Lage>
      <planomrade>true</planomrade>
    </Lage>
    <Indelning>
      <tema>Planeringsförutsättningar</tema>
      <grupp>Miljö</grupp>
      <undergrupp>Dagvatten</undergrupp>
    </Indelning>
  </Omfattning>
  <Omfattning>
    <identitet>ko_dagvatten01</identitet>
    <Lage>
      <planomrade>true</planomrade>
    </Lage>
    <Indelning>
      <tema>Konsekvenser</tema>
      <grupp>Miljö</grupp>
      <undergrupp>Dagvatten</undergrupp>
    </Indelning>
  </Omfattning>
  <Omfattning>
    <identitet>pf_omgivningsbuller01</identitet>
    <Lage>
      <planomrade>true</planomrade>
    </Lage>
    <Indelning>
      <tema>Planeringsförutsättningar</tema>
      <grupp>Hälsa och säkerhet</grupp>
      <undergrupp>Omgivningsbuller</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ko_översvämning01</identitet>
    <Lage>
      <planomrade>true</planomrade>
    </Lage>
    <Indelning>
      <tema>Konsekvenser</tema>
      <grupp>Hälsa och säkerhet</grupp>
      <undergrupp>Översvämning</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gf_gemensamhetsanläggning01</identitet>
    <Lage>
      <planomrade>true</planomrade>
    </Lage>
    <Indelning>
      <tema>Genomförandefrågor</tema>
      <grupp>Fastighetsrättsliga frågor</grupp>
      <undergrupp>Gemensamhetsanläggning</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gf_rättigheter02</identitet>
    <Lage>
      <planomrade>true</planomrade>
    </Lage>
    <Indelning>
      <tema>Genomförandefrågor</tema>
      <grupp>Fastighetsrättsliga frågor</grupp>
      <undergrupp>Rättigheter</undergrupp>
    </Indelning>
  </Omfattning>
  <Omfattning>
    <identitet>gf_fastighetsrättsligafrågor01</identitet>
    <Lage>
      <planomrade>true</planomrade>
    </Lage>
    <Indelning>
      <tema>Genomförandefrågor</tema>
      <grupp>Fastighetsrättsliga frågor</grupp>
    </Indelning>
  </Omfattning>
  <Omfattning>
    <identitet>mo_motivtillreglering04</identitet>
    <Lage>
      <lmg:Yta>
        <lmg:absolutLagesosakerhetPlan>0</lmg:absolutLagesosakerhetPlan>
        <lmg:absolutLagesosakerhetHojd>0</lmg:absolutLagesosakerhetHojd>
        <lmg:hojdsystem>RH 2000</lmg:hojdsystem>
        <gml:Polygon gml:id="ID_7581fae3-7735-4f51-b7b6-106dd7ea651b" srsName="EPSG:3009" srsDimension="2">
          <gml:exterior>
            <gml:LinearRing gml:id="ID_6e951a18-8d2e-4fc8-af02-976bb283e7b9">
              <gml:posList>6669925.535 172872.895 6669918.668 172869.254 6669917.501 172868.635 6669911.063 172865.222 6669890.663 172853.326 6669884.299 172849.81 6669865.106 172839.205 6669862.311 172837.661 6669861.696 172837.321 6669856.677 172834.548 6669856.451 172834.423 6669855.382 172833.832 6669854.329 172833.25 6669854.277 172833.221 6669854.573 172832.698 6669855.142 172831.69 6669856.146 172829.914 6669856.173 172829.865 6669856.178 172829.857 6669856.934 172828.519 6669858.413 172825.901 6669858.512 172825.724 6669860.941 172821.426 6669862.357 172818.918 6669862.517 172818.635 6669865.248 172813.801 6669868.487 172808.066 6669868.857 172807.412 6669870.435 172804.619 6669870.458 172804.577 6669900.837 172816.213 6669902.47 172821.171 6669902.992 172822.758 6669920.594 172829.143 6669920.855 172829.237 6669920.86 172829.238 6669920.594 172830.039 6669919.885 172832.178 6669920.594 172832.546 6669921.036 172832.775 6669927.928 172836.35 6669945.016 172845.213 6669945.642 172845.538 6669948.518 172847.03 6669948.603 172847.074 6669948.646 172847.098 6669948.518 172847.371 6669947.242 172850.086 6669945.609 172853.608 6669940.35 172864.953 6669938.69 172868.535 6669936.58 172873.085 6669935.832 172874.698 6669935.144 172876.183 6669932.549 172876.614 6669929.478 172874.986 6669928.943 172874.702 6669925.535 172872.895</gml:posList>
            </gml:LinearRing>
          </gml:exterior>
        </gml:Polygon>
      </lmg:Yta>
      <planbestammelsereferens>48e4288e-d47f-43a2-97d1-f3d81db69f53</planbestammelsereferens>
    </Lage>
    <Lage>
      <lmg:Yta>
        <lmg:absolutLagesosakerhetPlan>0</lmg:absolutLagesosakerhetPlan>
        <lmg:absolutLagesosakerhetHojd>0</lmg:absolutLagesosakerhetHojd>
        <lmg:hojdsystem>RH 2000</lmg:hojdsystem>
        <gml:Polygon gml:id="ID_1d22b6d3-5c94-45f9-b0f4-7f270c6df014" srsName="EPSG:3009" srsDimension="2">
          <gml:exterior>
            <gml:LinearRing gml:id="ID_9e920f1e-36bf-4cd6-bfcf-fa4ba0a9fd2e">
              <gml:posList>6669873.538 172900.107 6669837.71 172879.964 6669837.187 172879.67 6669836.49 172879.279 6669836.487 172879.276 6669835.797 172878.889 6669839.032 172872.399 6669837.171 172871.649 6669838.711 172868.554 6669838.958 172868.058 6669842.211 172861.521 6669842.448 172861.045 6669843.768 172858.392 6669844.557 172856.806 6669845.501 172854.908 6669845.893 172854.12 6669847.655 172850.58 6669850.554 172852.14 6669852.469 172848.556 6669854.087 172849.452 6669855.41 172850.185 6669866.806 172856.496 6669869.253 172857.87 6669875.756 172861.795 6669879.628 172863.876 6669882.067 172865.218 6669894.544 172872.383 6669896.968 172873.751 6669904.864 172878.162 6669910.474 172880.37 6669910.819 172880.566 6669922.328 172887.107 6669922.653 172887.292 6669922.656 172887.293 6669924.225 172888.185 6669924.651 172890.229 6669925.531 172894.448 6669918.076 172907.798 6669917.723 172908.431 6669914.42 172914.346 6669913.316 172916.324 6669910.472 172921.416 6669910.455 172921.448 6669905.535 172918.608 6669905.454 172918.561 6669888.127 172908.56 6669873.538 172900.107</gml:posList>
            </gml:LinearRing>
          </gml:exterior>
        </gml:Polygon>
      </lmg:Yta>
      <planbestammelsereferens>9683368f-36c1-488b-83e5-768771efb4c7</planbestammelsereferens>
    </Lage>
    <Lage>
      <lmg:Yta>
        <lmg:absolutLagesosakerhetPlan>0</lmg:absolutLagesosakerhetPlan>
        <lmg:absolutLagesosakerhetHojd>0</lmg:absolutLagesosakerhetHojd>
        <lmg:hojdsystem>RH 2000</lmg:hojdsystem>
        <gml:Polygon gml:id="ID_6e1bb822-7cf5-4968-bcb4-ff836d724139" srsName="EPSG:3009" srsDimension="2">
          <gml:exterior>
            <gml:LinearRing gml:id="ID_85bb3c52-40b8-47fa-b16c-e587f4984142">
              <gml:posList>6669925.535 172872.895 6669918.668 172869.254 6669917.501 172868.635 6669911.063 172865.222 6669890.663 172853.326 6669884.299 172849.81 6669865.106 172839.205 6669862.311 172837.661 6669861.696 172837.321 6669856.677 172834.548 6669856.451 172834.423 6669855.382 172833.832 6669854.329 172833.25 6669854.277 172833.221 6669854.573 172832.698 6669855.142 172831.69 6669856.146 172829.914 6669856.173 172829.865 6669856.178 172829.857 6669856.934 172828.519 6669858.413 172825.901 6669858.512 172825.724 6669860.941 172821.426 6669862.357 172818.918 6669862.517 172818.635 6669865.248 172813.801 6669868.487 172808.066 6669868.857 172807.412 6669870.435 172804.619 6669870.458 172804.577 6669900.837 172816.213 6669902.47 172821.171 6669902.992 172822.758 6669920.594 172829.143 6669920.855 172829.237 6669920.86 172829.238 6669920.594 172830.039 6669919.885 172832.178 6669920.594 172832.546 6669921.036 172832.775 6669927.928 172836.35 6669945.016 172845.213 6669945.642 172845.538 6669948.518 172847.03 6669948.603 172847.074 6669948.646 172847.098 6669948.518 172847.371 6669947.242 172850.086 6669945.609 172853.608 6669940.35 172864.953 6669938.69 172868.535 6669936.58 172873.085 6669935.832 172874.698 6669935.144 172876.183 6669932.549 172876.614 6669929.478 172874.986 6669928.943 172874.702 6669925.535 172872.895</gml:posList>
            </gml:LinearRing>
          </gml:exterior>
        </gml:Polygon>
      </lmg:Yta>
      <planbestammelsereferens>48e4288e-d47f-43a2-97d1-f3d81db69f53</planbestammelsereferens>
    </Lage>
    <Indelning>
      <tema>Motiv till detaljplanens regleringar</tema>
      <grupp>Motiv till reglering</grupp>
    </Indelning>
  </Omfattning>
  <Omfattning>
    <identitet>mo_motivtillreglering02</identitet>
    <Lage>
      <lmg:Linje>
        <lmg:absolutLagesosakerhetPlan>0.1</lmg:absolutLagesosakerhetPlan>
        <lmg:absolutLagesosakerhetHojd>0</lmg:absolutLagesosakerhetHojd>
        <lmg:hojdsystem>RH 2000</lmg:hojdsystem>
        <gml:LineString gml:id="ID_53cfafce-1b5e-40be-b72b-c8eff73aa86e" srsName="EPSG:3009" srsDimension="2">
          <gml:posList>6669862.311 172837.661 6669861.696 172837.321 6669856.677 172834.548 6669856.451 172834.423 6669855.382 172833.832 6669854.329 172833.25 6669854.277 172833.221</gml:posList>
        </gml:LineString>
      </lmg:Linje>
      <planbestammelsereferens>76d8dc35-190f-494a-a830-ffb68b7b8687</planbestammelsereferens>
    </Lage>
    <Lage>
      <lmg:Linje>
        <lmg:absolutLagesosakerhetPlan>0.1</lmg:absolutLagesosakerhetPlan>
        <lmg:absolutLagesosakerhetHojd>0</lmg:absolutLagesosakerhetHojd>
        <lmg:hojdsystem>RH 2000</lmg:hojdsystem>
        <gml:LineString gml:id="ID_12df2700-d6d4-4aa5-99ae-5d092a16b196" srsName="EPSG:3009" srsDimension="2">
          <gml:posList>6669855.41 172850.185 6669854.087 172849.452 6669852.469 172848.556 6669850.554 172852.14 6669847.655 172850.58 6669845.893 172854.12 6669845.501 172854.908 6669844.557 172856.806 6669843.768 172858.392 6669842.448 172861.045</gml:posList>
        </gml:LineString>
      </lmg:Linje>
      <planbestammelsereferens>9fd2ea8b-5cff-4a44-a342-bd791aebcc72</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45fb8063-5eec-471f-880c-5a7b3cf013c3" srsName="EPSG:3009" srsDimension="2">
          <gml:exterior>
            <gml:LinearRing gml:id="ID_57b266ab-c501-4ba6-a402-eeecf541e9ad">
              <gml:posList>6669925.535 172872.895 6669918.668 172869.254 6669917.501 172868.635 6669911.063 172865.222 6669890.663 172853.326 6669884.299 172849.81 6669865.106 172839.205 6669862.311 172837.661 6669861.696 172837.321 6669856.677 172834.548 6669856.451 172834.423 6669855.382 172833.832 6669854.329 172833.25 6669854.277 172833.221 6669854.573 172832.698 6669855.142 172831.69 6669856.146 172829.914 6669856.173 172829.865 6669856.178 172829.857 6669856.934 172828.519 6669858.413 172825.901 6669858.512 172825.724 6669860.941 172821.426 6669862.357 172818.918 6669862.517 172818.635 6669865.248 172813.801 6669868.487 172808.066 6669868.857 172807.412 6669870.435 172804.619 6669870.458 172804.577 6669900.837 172816.213 6669902.47 172821.171 6669902.992 172822.758 6669920.594 172829.143 6669920.855 172829.237 6669920.86 172829.238 6669920.594 172830.039 6669919.885 172832.178 6669920.594 172832.546 6669921.036 172832.775 6669927.928 172836.35 6669945.016 172845.213 6669945.642 172845.538 6669948.518 172847.03 6669948.603 172847.074 6669948.646 172847.098 6669948.518 172847.371 6669947.242 172850.086 6669945.609 172853.608 6669940.35 172864.953 6669938.69 172868.535 6669936.58 172873.085 6669935.832 172874.698 6669935.144 172876.183 6669932.549 172876.614 6669929.478 172874.986 6669928.943 172874.702 6669925.535 172872.895</gml:posList>
            </gml:LinearRing>
          </gml:exterior>
        </gml:Polygon>
      </lmg:Yta>
      <planbestammelsereferens>ca8294a3-f64c-4a8f-8fac-7330a55a9dae</planbestammelsereferens>
    </Lage>
    <Lage>
      <lmg:Yta>
        <lmg:absolutLagesosakerhetPlan>0</lmg:absolutLagesosakerhetPlan>
        <lmg:absolutLagesosakerhetHojd>0</lmg:absolutLagesosakerhetHojd>
        <lmg:hojdsystem>RH 2000</lmg:hojdsystem>
        <gml:Polygon gml:id="ID_e5915afa-a410-4a8d-bce7-2f5affa62b42" srsName="EPSG:3009" srsDimension="2">
          <gml:exterior>
            <gml:LinearRing gml:id="ID_cc4b697a-e4ad-416f-8d85-d4484585d83b">
              <gml:posList>6669873.538 172900.107 6669837.71 172879.964 6669837.187 172879.67 6669836.49 172879.279 6669836.487 172879.276 6669835.797 172878.889 6669839.032 172872.399 6669837.171 172871.649 6669838.711 172868.554 6669838.958 172868.058 6669842.211 172861.521 6669842.448 172861.045 6669843.768 172858.392 6669844.557 172856.806 6669845.501 172854.908 6669845.893 172854.12 6669847.655 172850.58 6669850.554 172852.14 6669852.469 172848.556 6669854.087 172849.452 6669855.41 172850.185 6669866.806 172856.496 6669869.253 172857.87 6669875.756 172861.795 6669879.628 172863.876 6669882.067 172865.218 6669894.544 172872.383 6669896.968 172873.751 6669904.864 172878.162 6669910.474 172880.37 6669910.819 172880.566 6669922.328 172887.107 6669922.653 172887.292 6669922.656 172887.293 6669924.225 172888.185 6669924.651 172890.229 6669925.531 172894.448 6669918.076 172907.798 6669917.723 172908.431 6669914.42 172914.346 6669913.316 172916.324 6669910.472 172921.416 6669910.455 172921.448 6669905.535 172918.608 6669905.454 172918.561 6669888.127 172908.56 6669873.538 172900.107</gml:posList>
            </gml:LinearRing>
          </gml:exterior>
        </gml:Polygon>
      </lmg:Yta>
      <planbestammelsereferens>39812e90-648f-4e03-9dba-80c8e3eb570a</planbestammelsereferens>
    </Lage>
    <Lage>
      <lmg:Yta>
        <lmg:absolutLagesosakerhetPlan>0</lmg:absolutLagesosakerhetPlan>
        <lmg:absolutLagesosakerhetHojd>0</lmg:absolutLagesosakerhetHojd>
        <lmg:hojdsystem>RH 2000</lmg:hojdsystem>
        <gml:Polygon gml:id="ID_4282bafc-7c7a-4359-a916-c9a77563ae24" srsName="EPSG:3009" srsDimension="2">
          <gml:exterior>
            <gml:LinearRing gml:id="ID_8e384b22-4d02-444d-a316-dbf18d46ab13">
              <gml:posList>6669925.535 172872.895 6669918.668 172869.254 6669917.501 172868.635 6669911.063 172865.222 6669890.663 172853.326 6669884.299 172849.81 6669865.106 172839.205 6669862.311 172837.661 6669861.696 172837.321 6669856.677 172834.548 6669856.451 172834.423 6669855.382 172833.832 6669854.329 172833.25 6669854.277 172833.221 6669854.573 172832.698 6669855.142 172831.69 6669856.146 172829.914 6669856.173 172829.865 6669856.178 172829.857 6669856.934 172828.519 6669858.413 172825.901 6669858.512 172825.724 6669860.941 172821.426 6669862.357 172818.918 6669862.517 172818.635 6669865.248 172813.801 6669868.487 172808.066 6669868.857 172807.412 6669870.435 172804.619 6669870.458 172804.577 6669900.837 172816.213 6669902.47 172821.171 6669902.992 172822.758 6669920.594 172829.143 6669920.855 172829.237 6669920.86 172829.238 6669920.594 172830.039 6669919.885 172832.178 6669920.594 172832.546 6669921.036 172832.775 6669927.928 172836.35 6669945.016 172845.213 6669945.642 172845.538 6669948.518 172847.03 6669948.603 172847.074 6669948.646 172847.098 6669948.518 172847.371 6669947.242 172850.086 6669945.609 172853.608 6669940.35 172864.953 6669938.69 172868.535 6669936.58 172873.085 6669935.832 172874.698 6669935.144 172876.183 6669932.549 172876.614 6669929.478 172874.986 6669928.943 172874.702 6669925.535 172872.895</gml:posList>
            </gml:LinearRing>
          </gml:exterior>
        </gml:Polygon>
      </lmg:Yta>
      <planbestammelsereferens>ca8294a3-f64c-4a8f-8fac-7330a55a9dae</planbestammelsereferens>
    </Lage>
    <Lage>
      <lmg:Yta>
        <lmg:absolutLagesosakerhetPlan>0</lmg:absolutLagesosakerhetPlan>
        <lmg:absolutLagesosakerhetHojd>0</lmg:absolutLagesosakerhetHojd>
        <lmg:hojdsystem>RH 2000</lmg:hojdsystem>
        <gml:Polygon gml:id="ID_8549496b-e7fb-4859-a116-9b54b6d27c19" srsName="EPSG:3009" srsDimension="2">
          <gml:exterior>
            <gml:LinearRing gml:id="ID_9d85a623-86cf-4f82-822c-fb986610e6e9">
              <gml:posList>6669873.538 172900.107 6669837.71 172879.964 6669837.187 172879.67 6669836.49 172879.279 6669836.487 172879.276 6669835.797 172878.889 6669839.032 172872.399 6669837.171 172871.649 6669838.711 172868.554 6669838.958 172868.058 6669842.211 172861.521 6669842.448 172861.045 6669843.768 172858.392 6669844.557 172856.806 6669845.501 172854.908 6669845.893 172854.12 6669847.655 172850.58 6669850.554 172852.14 6669852.469 172848.556 6669854.087 172849.452 6669855.41 172850.185 6669866.806 172856.496 6669869.253 172857.87 6669875.756 172861.795 6669879.628 172863.876 6669882.067 172865.218 6669894.544 172872.383 6669896.968 172873.751 6669904.864 172878.162 6669910.474 172880.37 6669910.819 172880.566 6669922.328 172887.107 6669922.653 172887.292 6669922.656 172887.293 6669924.225 172888.185 6669924.651 172890.229 6669925.531 172894.448 6669918.076 172907.798 6669917.723 172908.431 6669914.42 172914.346 6669913.316 172916.324 6669910.472 172921.416 6669910.455 172921.448 6669905.535 172918.608 6669905.454 172918.561 6669888.127 172908.56 6669873.538 172900.107</gml:posList>
            </gml:LinearRing>
          </gml:exterior>
        </gml:Polygon>
      </lmg:Yta>
      <planbestammelsereferens>39812e90-648f-4e03-9dba-80c8e3eb570a</planbestammelsereferens>
    </Lage>
    <Indelning>
      <tema>Motiv till detaljplanens regleringar</tema>
      <grupp>Motiv till reglering</grupp>
    </Indelning>
  </Omfattning>
  <Omfattning>
    <identitet>mo_motivtillreglering08</identitet>
    <Lage>
      <lmg:Yta>
        <lmg:absolutLagesosakerhetPlan>0.1</lmg:absolutLagesosakerhetPlan>
        <lmg:absolutLagesosakerhetHojd>0</lmg:absolutLagesosakerhetHojd>
        <lmg:hojdsystem>RH 2000</lmg:hojdsystem>
        <gml:Polygon gml:id="ID_f48fa0ea-7f97-4b5a-9bb2-12674f6011b3" srsName="EPSG:3009" srsDimension="2">
          <gml:exterior>
            <gml:LinearRing gml:id="ID_f270c0d7-e8f2-412f-8a4e-53ded635232d">
              <gml:posList>6669920.257 172891.763 6669921.421 172889.657 6669922.656 172887.293 6669924.225 172888.185 6669924.651 172890.229 6669925.531 172894.448 6669920.257 172891.763</gml:posList>
            </gml:LinearRing>
          </gml:exterior>
        </gml:Polygon>
      </lmg:Yta>
      <planbestammelsereferens>863670d7-b0dd-4d68-a879-e42d92debf7d</planbestammelsereferens>
    </Lage>
    <Lage>
      <lmg:Yta>
        <lmg:absolutLagesosakerhetPlan>0.1</lmg:absolutLagesosakerhetPlan>
        <lmg:absolutLagesosakerhetHojd>0</lmg:absolutLagesosakerhetHojd>
        <lmg:hojdsystem>RH 2000</lmg:hojdsystem>
        <gml:Polygon gml:id="ID_69b83830-3ad1-4d14-b3da-f38e78cc8831" srsName="EPSG:3009" srsDimension="2">
          <gml:exterior>
            <gml:LinearRing gml:id="ID_18580f0f-b175-40df-bbf8-91be680ee60a">
              <gml:posList>6669940.35 172864.953 6669936.216 172862.735 6669936.934 172861.424 6669940.801 172854.37 6669943.443 172849.55 6669944.061 172848.423 6669945.642 172845.538 6669948.518 172847.03 6669948.603 172847.074 6669948.646 172847.098 6669948.518 172847.371 6669947.242 172850.086 6669945.609 172853.608 6669940.35 172864.953</gml:posList>
            </gml:LinearRing>
          </gml:exterior>
        </gml:Polygon>
      </lmg:Yta>
      <planbestammelsereferens>891c0f32-5218-4b2c-a8c6-fda8df709d10</planbestammelsereferens>
    </Lage>
    <Lage>
      <lmg:Yta>
        <lmg:absolutLagesosakerhetPlan>0.1</lmg:absolutLagesosakerhetPlan>
        <lmg:absolutLagesosakerhetHojd>0</lmg:absolutLagesosakerhetHojd>
        <lmg:hojdsystem>RH 2000</lmg:hojdsystem>
        <gml:Polygon gml:id="ID_4964cdfa-5ed4-4ad8-930b-e13f12166fb4" srsName="EPSG:3009" srsDimension="2">
          <gml:exterior>
            <gml:LinearRing gml:id="ID_e0f539b9-3ef2-4a45-9da6-79990ec2c948">
              <gml:posList>6669910.455 172921.448 6669905.535 172918.608 6669907.659 172914.722 6669909.574 172911.216 6669912.64 172905.609 6669917.723 172908.431 6669914.42 172914.346 6669913.316 172916.324 6669910.472 172921.416 6669910.455 172921.448</gml:posList>
            </gml:LinearRing>
          </gml:exterior>
        </gml:Polygon>
      </lmg:Yta>
      <planbestammelsereferens>75a52f3a-4f28-4493-ac04-4c805dd64475</planbestammelsereferens>
    </Lage>
    <Lage>
      <lmg:Yta>
        <lmg:absolutLagesosakerhetPlan>0.1</lmg:absolutLagesosakerhetPlan>
        <lmg:absolutLagesosakerhetHojd>0</lmg:absolutLagesosakerhetHojd>
        <lmg:hojdsystem>RH 2000</lmg:hojdsystem>
        <gml:Polygon gml:id="ID_6f7ce2cc-08c8-41f1-831a-441ab7322e6f" srsName="EPSG:3009" srsDimension="2">
          <gml:exterior>
            <gml:LinearRing gml:id="ID_c359efd0-dfa5-4164-937c-0f81279dc727">
              <gml:posList>6669935.832 172874.698 6669935.144 172876.183 6669932.549 172876.614 6669929.478 172874.986 6669931.058 172872.144 6669931.966 172870.487 6669931.981 172870.495 6669936.236 172872.891 6669936.58 172873.085 6669935.832 172874.698</gml:posList>
            </gml:LinearRing>
          </gml:exterior>
        </gml:Polygon>
      </lmg:Yta>
      <planbestammelsereferens>6141707e-5958-4800-a6b5-5097bad690ff</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2552f1db-65b2-4515-9a4f-04ca78ca554b" srsName="EPSG:3009" srsDimension="2">
          <gml:exterior>
            <gml:LinearRing gml:id="ID_78a6a4f1-38f3-401e-8346-63787b9a49cc">
              <gml:posList>6669909.08 172882.836 6669903.923 172879.872 6669904.04 172879.661 6669899.202 172876.86 6669898.958 172876.714 6669897.784 172876.011 6669891.916 172872.677 6669891.763 172872.935 6669891.164 172873.982 6669853.982 172852.778 6669855.41 172850.185 6669866.806 172856.496 6669869.253 172857.87 6669875.756 172861.795 6669879.628 172863.876 6669882.067 172865.218 6669894.544 172872.383 6669896.968 172873.751 6669904.864 172878.162 6669910.474 172880.37 6669910.819 172880.566 6669922.328 172887.107 6669922.653 172887.292 6669922.656 172887.293 6669921.421 172889.657 6669921.171 172889.518 6669909.08 172882.836</gml:posList>
            </gml:LinearRing>
          </gml:exterior>
        </gml:Polygon>
      </lmg:Yta>
      <planbestammelsereferens>14d2ac85-d4ac-472f-bb04-73e3267b04d0</planbestammelsereferens>
    </Lage>
    <Lage>
      <lmg:Yta>
        <lmg:absolutLagesosakerhetPlan>0</lmg:absolutLagesosakerhetPlan>
        <lmg:absolutLagesosakerhetHojd>0</lmg:absolutLagesosakerhetHojd>
        <lmg:hojdsystem>RH 2000</lmg:hojdsystem>
        <gml:Polygon gml:id="ID_9e501561-c6cb-4e1b-9e8b-a5c2e87214f2" srsName="EPSG:3009" srsDimension="2">
          <gml:exterior>
            <gml:LinearRing gml:id="ID_ef71273e-c2af-4442-af9f-66e40a162cd0">
              <gml:posList>6669931.058 172872.144 6669929.478 172874.986 6669928.943 172874.702 6669925.535 172872.895 6669918.668 172869.254 6669917.501 172868.635 6669911.063 172865.222 6669890.663 172853.326 6669884.299 172849.81 6669865.106 172839.205 6669862.311 172837.661 6669863.623 172835.28 6669864.106 172834.404 6669864.809 172834.807 6669888.326 172848.295 6669889.091 172848.734 6669892.263 172850.543 6669896.512 172852.967 6669905.26 172857.957 6669906.953 172858.861 6669912.911 172862.042 6669918.959 172865.272 6669931.058 172872.144</gml:posList>
            </gml:LinearRing>
          </gml:exterior>
        </gml:Polygon>
      </lmg:Yta>
      <planbestammelsereferens>a400e327-7141-45c8-9d7f-6a03ffb17543</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20af941e-4c08-4066-b969-32f453c83d5d" srsName="EPSG:3009" srsDimension="2">
          <gml:exterior>
            <gml:LinearRing gml:id="ID_d8234f60-1579-4cc8-b161-fe55b261fd09">
              <gml:posList>6669936.58 172873.085 6669936.236 172872.891 6669931.981 172870.495 6669931.966 172870.487 6669934.343 172866.152 6669934.369 172866.102 6669934.396 172866.054 6669934.633 172865.622 6669935.806 172863.482 6669935.87 172863.367 6669936.216 172862.735 6669940.35 172864.953 6669938.69 172868.535 6669936.58 172873.085</gml:posList>
            </gml:LinearRing>
          </gml:exterior>
        </gml:Polygon>
      </lmg:Yta>
      <planbestammelsereferens>ec4fa575-4a35-4b6c-807f-c591e7553bd3</planbestammelsereferens>
    </Lage>
    <Lage>
      <lmg:Yta>
        <lmg:absolutLagesosakerhetPlan>0</lmg:absolutLagesosakerhetPlan>
        <lmg:absolutLagesosakerhetHojd>0</lmg:absolutLagesosakerhetHojd>
        <lmg:hojdsystem>RH 2000</lmg:hojdsystem>
        <gml:Polygon gml:id="ID_ee270595-20ba-4148-83a2-33ab287e9f73" srsName="EPSG:3009" srsDimension="2">
          <gml:exterior>
            <gml:LinearRing gml:id="ID_4904faf7-13d9-4acc-94cd-b2458ddb71e6">
              <gml:posList>6669902.992 172822.758 6669920.594 172829.143 6669920.855 172829.237 6669920.86 172829.238 6669920.594 172830.039 6669919.885 172832.178 6669920.594 172832.546 6669921.036 172832.775 6669919.969 172834.589 6669919.323 172835.689 6669919.283 172835.757 6669918.549 172835.407 6669918.282 172835.28 6669917.683 172834.995 6669916.374 172834.371 6669914.447 172833.453 6669914.297 172833.381 6669910.672 172831.655 6669910.659 172831.648 6669907.799 172830.286 6669906.055 172829.455 6669904.749 172828.833 6669904.905 172828.561 6669902.992 172822.758</gml:posList>
            </gml:LinearRing>
          </gml:exterior>
        </gml:Polygon>
      </lmg:Yta>
      <planbestammelsereferens>6b7a3245-dd7e-4087-a973-60420a2140a0</planbestammelsereferens>
    </Lage>
    <Indelning>
      <tema>Motiv till detaljplanens regleringar</tema>
      <grupp>Motiv till reglering</grupp>
    </Indelning>
  </Omfattning>
  <Omfattning>
    <identitet>ko_grönområde01</identitet>
    <Lage>
      <planomrade>true</planomrade>
    </Lage>
    <Indelning>
      <tema>Konsekvenser</tema>
      <grupp>Natur</grupp>
      <undergrupp>Grönområde</undergrupp>
    </Indelning>
  </Omfattning>
</Planbeskrivning>
</file>

<file path=customXml/itemProps1.xml><?xml version="1.0" encoding="utf-8"?>
<ds:datastoreItem xmlns:ds="http://schemas.openxmlformats.org/officeDocument/2006/customXml" ds:itemID="{2e06f410-3202-408a-9724-fe63d09ceb4c}">
  <ds:schemaRefs>
    <ds:schemaRef ds:uri="http://schemas.microsoft.com/vsto/samples"/>
  </ds:schemaRefs>
</ds:datastoreItem>
</file>

<file path=customXml/itemProps2.xml><?xml version="1.0" encoding="utf-8"?>
<ds:datastoreItem xmlns:ds="http://schemas.openxmlformats.org/officeDocument/2006/customXml" ds:itemID="87bf4fe1-ad1d-40df-a260-d2563e64e402">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Mattias Rostock</dc:creator>
  <dcterms:created xsi:type="dcterms:W3CDTF">2024-12-09T13:09:00Z</dcterms:created>
  <cp:lastModifiedBy>Mattias Rostock</cp:lastModifiedBy>
  <cp:lastPrinted>2026-01-12T09:25:00Z</cp:lastPrinted>
  <dcterms:modified xsi:type="dcterms:W3CDTF">2026-01-29T14:29:09Z</dcterms:modified>
  <cp:revision>195</cp:revision>
</cp:coreProperties>
</file>