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Default Extension="emf" ContentType="application/x-msmetafile"/>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 Id="customR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pPr>
        <w:spacing w:lineRule="auto" w:line="249" w:after="48" w:beforeAutospacing="0" w:afterAutospacing="0"/>
        <w:ind w:left="0" w:right="1171"/>
        <w:jc w:val="both"/>
        <w:rPr>
          <w:rFonts w:ascii="Trebuchet MS" w:hAnsi="Trebuchet MS"/>
          <w:color w:val="00B050"/>
          <w:sz w:val="36"/>
        </w:rPr>
      </w:pPr>
    </w:p>
    <w:p>
      <w:pPr>
        <w:spacing w:lineRule="auto" w:line="249" w:after="48" w:beforeAutospacing="0" w:afterAutospacing="0"/>
        <w:ind w:left="0" w:right="1171"/>
        <w:jc w:val="both"/>
        <w:rPr>
          <w:rFonts w:ascii="Trebuchet MS" w:hAnsi="Trebuchet MS"/>
          <w:color w:val="007941"/>
          <w:sz w:val="36"/>
        </w:rPr>
      </w:pPr>
      <w:r>
        <w:rPr>
          <w:rFonts w:ascii="Trebuchet MS" w:hAnsi="Trebuchet MS"/>
          <w:color w:val="007941"/>
          <w:sz w:val="36"/>
        </w:rPr>
        <w:t>Planbeskrivning</w:t>
      </w:r>
    </w:p>
    <w:p>
      <w:pPr>
        <w:spacing w:lineRule="auto" w:line="249" w:after="48" w:beforeAutospacing="0" w:afterAutospacing="0"/>
        <w:ind w:left="0" w:right="1171"/>
        <w:jc w:val="both"/>
        <w:rPr>
          <w:rFonts w:ascii="Trebuchet MS" w:hAnsi="Trebuchet MS"/>
          <w:color w:val="00B050"/>
          <w:sz w:val="36"/>
        </w:rPr>
      </w:pPr>
    </w:p>
    <w:p>
      <w:pPr>
        <w:spacing w:lineRule="auto" w:line="249" w:after="48" w:beforeAutospacing="0" w:afterAutospacing="0"/>
        <w:ind w:left="0" w:right="1171"/>
        <w:jc w:val="both"/>
        <w:rPr>
          <w:rFonts w:ascii="Trebuchet MS" w:hAnsi="Trebuchet MS"/>
          <w:color w:val="00B050"/>
          <w:sz w:val="36"/>
        </w:rPr>
      </w:pPr>
    </w:p>
    <w:p>
      <w:pPr>
        <w:tabs>
          <w:tab w:val="left" w:pos="6964" w:leader="none"/>
        </w:tabs>
        <w:spacing w:lineRule="auto" w:line="249" w:after="48" w:beforeAutospacing="0" w:afterAutospacing="0"/>
        <w:ind w:left="0" w:right="1171"/>
        <w:jc w:val="both"/>
        <w:rPr>
          <w:rFonts w:ascii="Trebuchet MS" w:hAnsi="Trebuchet MS"/>
          <w:b w:val="1"/>
          <w:color w:val="007941"/>
          <w:sz w:val="40"/>
          <w:szCs w:val="40"/>
        </w:rPr>
      </w:pPr>
      <w:r>
        <w:rPr>
          <w:rFonts w:ascii="Trebuchet MS" w:hAnsi="Trebuchet MS"/>
          <w:b w:val="1"/>
          <w:color w:val="007941"/>
          <w:sz w:val="40"/>
          <w:szCs w:val="40"/>
        </w:rPr>
        <w:t xml:space="preserve">Detaljplan för </w:t>
        <w:tab/>
      </w:r>
    </w:p>
    <w:p>
      <w:pPr>
        <w:spacing w:lineRule="auto" w:line="249" w:after="48" w:beforeAutospacing="0" w:afterAutospacing="0"/>
        <w:ind w:left="0" w:right="1171"/>
        <w:jc w:val="both"/>
        <w:rPr>
          <w:rFonts w:ascii="Trebuchet MS" w:hAnsi="Trebuchet MS"/>
          <w:b w:val="1"/>
          <w:color w:val="007941"/>
          <w:sz w:val="40"/>
          <w:szCs w:val="40"/>
        </w:rPr>
      </w:pPr>
      <w:r>
        <w:rPr>
          <w:rFonts w:ascii="Trebuchet MS" w:hAnsi="Trebuchet MS"/>
          <w:b w:val="1"/>
          <w:color w:val="007941"/>
          <w:sz w:val="40"/>
          <w:szCs w:val="40"/>
        </w:rPr>
        <w:t>Felestad 5:66 (Träningslokal)</w:t>
      </w:r>
    </w:p>
    <w:p>
      <w:pPr>
        <w:spacing w:lineRule="auto" w:line="249" w:after="48" w:beforeAutospacing="0" w:afterAutospacing="0"/>
        <w:ind w:left="0" w:right="1171"/>
        <w:jc w:val="both"/>
        <w:rPr>
          <w:rFonts w:ascii="Trebuchet MS" w:hAnsi="Trebuchet MS"/>
          <w:color w:val="00B050"/>
          <w:sz w:val="36"/>
        </w:rPr>
      </w:pPr>
      <w:r>
        <w:rPr>
          <w:rFonts w:ascii="Trebuchet MS" w:hAnsi="Trebuchet MS"/>
          <w:color w:val="007941"/>
          <w:sz w:val="36"/>
        </w:rPr>
        <w:t>Svalöv,</w:t>
      </w:r>
      <w:r>
        <w:rPr>
          <w:rFonts w:ascii="Trebuchet MS" w:hAnsi="Trebuchet MS"/>
          <w:color w:val="00B050"/>
          <w:sz w:val="36"/>
        </w:rPr>
        <w:t xml:space="preserve"> </w:t>
      </w:r>
      <w:r>
        <w:rPr>
          <w:rFonts w:ascii="Trebuchet MS" w:hAnsi="Trebuchet MS"/>
          <w:color w:val="007941"/>
          <w:sz w:val="36"/>
        </w:rPr>
        <w:t>Svalövs kommun</w:t>
      </w:r>
    </w:p>
    <w:p>
      <w:pPr>
        <w:spacing w:lineRule="auto" w:line="249" w:after="48" w:beforeAutospacing="0" w:afterAutospacing="0"/>
        <w:ind w:left="0" w:right="1171"/>
        <w:jc w:val="both"/>
        <w:rPr>
          <w:rFonts w:ascii="Trebuchet MS" w:hAnsi="Trebuchet MS"/>
          <w:color w:val="00B050"/>
          <w:sz w:val="36"/>
        </w:rPr>
      </w:pPr>
    </w:p>
    <w:p>
      <w:pPr>
        <w:spacing w:lineRule="auto" w:line="249" w:after="48" w:beforeAutospacing="0" w:afterAutospacing="0"/>
        <w:ind w:left="0" w:right="1171"/>
        <w:jc w:val="both"/>
        <w:rPr>
          <w:rFonts w:ascii="Trebuchet MS" w:hAnsi="Trebuchet MS"/>
          <w:color w:val="007941"/>
          <w:sz w:val="36"/>
          <w:rtl w:val="0"/>
          <w:lang w:val="sv-SE" w:bidi="sv-SE" w:eastAsia="sv-SE"/>
        </w:rPr>
      </w:pPr>
      <w:r>
        <w:rPr>
          <w:rFonts w:ascii="Trebuchet MS" w:hAnsi="Trebuchet MS"/>
          <w:color w:val="007941"/>
          <w:sz w:val="36"/>
          <w:rtl w:val="0"/>
          <w:lang w:val="sv-SE" w:bidi="sv-SE" w:eastAsia="sv-SE"/>
        </w:rPr>
        <w:t>Antagen av SBN 2025-09-17</w:t>
      </w:r>
    </w:p>
    <w:p>
      <w:pPr>
        <w:spacing w:lineRule="auto" w:line="249" w:after="48" w:beforeAutospacing="0" w:afterAutospacing="0"/>
        <w:ind w:left="0" w:right="1171"/>
        <w:jc w:val="both"/>
        <w:rPr>
          <w:rFonts w:ascii="Trebuchet MS" w:hAnsi="Trebuchet MS"/>
          <w:color w:val="007941"/>
          <w:sz w:val="36"/>
        </w:rPr>
      </w:pPr>
      <w:r>
        <w:rPr>
          <w:rFonts w:ascii="Trebuchet MS" w:hAnsi="Trebuchet MS"/>
          <w:color w:val="007941"/>
          <w:sz w:val="36"/>
          <w:rtl w:val="0"/>
          <w:lang w:val="sv-SE" w:bidi="sv-SE" w:eastAsia="sv-SE"/>
        </w:rPr>
        <w:t>Laga kraft: 2025-10-17</w:t>
      </w:r>
    </w:p>
    <w:p>
      <w:pPr>
        <w:spacing w:lineRule="auto" w:line="249" w:after="48" w:beforeAutospacing="0" w:afterAutospacing="0"/>
        <w:ind w:left="0" w:right="1171"/>
        <w:jc w:val="both"/>
        <w:rPr>
          <w:rFonts w:ascii="Trebuchet MS" w:hAnsi="Trebuchet MS"/>
          <w:color w:val="FF0000"/>
          <w:sz w:val="36"/>
        </w:rPr>
      </w:pPr>
    </w:p>
    <w:p>
      <w:pPr>
        <w:pStyle w:val="P44"/>
      </w:pPr>
      <w:r>
        <w:rPr>
          <w:noProof w:val="1"/>
        </w:rPr>
        <mc:AlternateContent>
          <mc:Choice Requires="wps">
            <w:drawing>
              <wp:anchor xmlns:wp="http://schemas.openxmlformats.org/drawingml/2006/wordprocessingDrawing" distT="0" distB="0" distL="114300" distR="114300" simplePos="0" relativeHeight="9" behindDoc="0" locked="0" layoutInCell="0" allowOverlap="1">
                <wp:simplePos x="0" y="0"/>
                <wp:positionH relativeFrom="column">
                  <wp:posOffset>3552825</wp:posOffset>
                </wp:positionH>
                <wp:positionV relativeFrom="paragraph">
                  <wp:posOffset>2856865</wp:posOffset>
                </wp:positionV>
                <wp:extent cx="758825" cy="189230"/>
                <wp:effectExtent l="19050" t="19050" r="22225" b="20320"/>
                <wp:wrapNone/>
                <wp:docPr id="4" name="Rak koppling 4"/>
                <wp:cNvGraphicFramePr/>
                <a:graphic xmlns:a="http://schemas.openxmlformats.org/drawingml/2006/main">
                  <a:graphicData uri="http://schemas.microsoft.com/office/word/2010/wordprocessingShape">
                    <wps:wsp>
                      <wps:cNvCnPr>
                        <a:stCxn id="0" idx="0"/>
                        <a:endCxn id="0" idx="0"/>
                      </wps:cNvCnPr>
                      <wps:spPr>
                        <a:xfrm flipV="1">
                          <a:off x="0" y="0"/>
                          <a:ext cx="758872" cy="189572"/>
                        </a:xfrm>
                        <a:prstGeom prst="line"/>
                        <a:ln w="38100">
                          <a:solidFill>
                            <a:srgbClr val="00B050"/>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xmlns:o="urn:schemas-microsoft-com:office:office" id="Rak koppling 4" o:spid="_x0000_s1026" style="position:absolute;flip:y;z-index:9;mso-wrap-distance-left:9pt;mso-wrap-distance-top:0pt;mso-wrap-distance-right:9pt;mso-wrap-distance-bottom:0pt;mso-position-horizontal:absolute;mso-position-horizontal-relative:text;mso-position-vertical:absolute;mso-position-vertical-relative:text" strokecolor="#00B050" strokeweight="3pt" stroked="t" from="279.75pt,224.95pt" to="339.5pt,239.85pt">
                <v:stroke dashstyle="shortdot"/>
              </v:line>
            </w:pict>
          </mc:Fallback>
        </mc:AlternateContent>
      </w:r>
      <w:r>
        <w:rPr>
          <w:noProof w:val="1"/>
        </w:rPr>
        <mc:AlternateContent>
          <mc:Choice Requires="wps">
            <w:drawing>
              <wp:anchor xmlns:wp="http://schemas.openxmlformats.org/drawingml/2006/wordprocessingDrawing" distT="0" distB="0" distL="114300" distR="114300" simplePos="0" relativeHeight="8" behindDoc="0" locked="0" layoutInCell="0" allowOverlap="1">
                <wp:simplePos x="0" y="0"/>
                <wp:positionH relativeFrom="column">
                  <wp:posOffset>3096260</wp:posOffset>
                </wp:positionH>
                <wp:positionV relativeFrom="paragraph">
                  <wp:posOffset>2466340</wp:posOffset>
                </wp:positionV>
                <wp:extent cx="458470" cy="649605"/>
                <wp:effectExtent l="19050" t="19050" r="36830" b="36195"/>
                <wp:wrapNone/>
                <wp:docPr id="2" name="Rak koppling 2"/>
                <wp:cNvGraphicFramePr/>
                <a:graphic xmlns:a="http://schemas.openxmlformats.org/drawingml/2006/main">
                  <a:graphicData uri="http://schemas.microsoft.com/office/word/2010/wordprocessingShape">
                    <wps:wsp>
                      <wps:cNvCnPr>
                        <a:stCxn id="0" idx="0"/>
                        <a:endCxn id="0" idx="0"/>
                      </wps:cNvCnPr>
                      <wps:spPr>
                        <a:xfrm>
                          <a:off x="0" y="0"/>
                          <a:ext cx="458624" cy="649690"/>
                        </a:xfrm>
                        <a:prstGeom prst="line"/>
                        <a:ln w="38100">
                          <a:solidFill>
                            <a:srgbClr val="00B050"/>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xmlns:o="urn:schemas-microsoft-com:office:office" id="Rak koppling 2" o:spid="_x0000_s1027" style="position:absolute;z-index:8;mso-wrap-distance-left:9pt;mso-wrap-distance-top:0pt;mso-wrap-distance-right:9pt;mso-wrap-distance-bottom:0pt;mso-position-horizontal:absolute;mso-position-horizontal-relative:text;mso-position-vertical:absolute;mso-position-vertical-relative:text" strokecolor="#00B050" strokeweight="3pt" stroked="t" from="243.8pt,194.2pt" to="279.9pt,245.35pt">
                <v:stroke dashstyle="shortdot"/>
              </v:line>
            </w:pict>
          </mc:Fallback>
        </mc:AlternateContent>
      </w:r>
      <w:r>
        <w:rPr>
          <w:noProof w:val="1"/>
        </w:rPr>
        <mc:AlternateContent>
          <mc:Choice Requires="wps">
            <w:drawing>
              <wp:anchor xmlns:wp="http://schemas.openxmlformats.org/drawingml/2006/wordprocessingDrawing" distT="0" distB="0" distL="114300" distR="114300" simplePos="0" relativeHeight="11" behindDoc="0" locked="0" layoutInCell="0" allowOverlap="1">
                <wp:simplePos x="0" y="0"/>
                <wp:positionH relativeFrom="column">
                  <wp:posOffset>3029585</wp:posOffset>
                </wp:positionH>
                <wp:positionV relativeFrom="paragraph">
                  <wp:posOffset>2204085</wp:posOffset>
                </wp:positionV>
                <wp:extent cx="855980" cy="240030"/>
                <wp:effectExtent l="19050" t="19050" r="20320" b="26670"/>
                <wp:wrapNone/>
                <wp:docPr id="8" name="Rak koppling 8"/>
                <wp:cNvGraphicFramePr/>
                <a:graphic xmlns:a="http://schemas.openxmlformats.org/drawingml/2006/main">
                  <a:graphicData uri="http://schemas.microsoft.com/office/word/2010/wordprocessingShape">
                    <wps:wsp>
                      <wps:cNvCnPr>
                        <a:stCxn id="0" idx="0"/>
                        <a:endCxn id="0" idx="0"/>
                      </wps:cNvCnPr>
                      <wps:spPr>
                        <a:xfrm flipV="1">
                          <a:off x="0" y="0"/>
                          <a:ext cx="856268" cy="240259"/>
                        </a:xfrm>
                        <a:prstGeom prst="line"/>
                        <a:ln w="38100">
                          <a:solidFill>
                            <a:srgbClr val="00B050"/>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xmlns:o="urn:schemas-microsoft-com:office:office" id="Rak koppling 8" o:spid="_x0000_s1028" style="position:absolute;flip:y;z-index:11;mso-wrap-distance-left:9pt;mso-wrap-distance-top:0pt;mso-wrap-distance-right:9pt;mso-wrap-distance-bottom:0pt;mso-position-horizontal:absolute;mso-position-horizontal-relative:text;mso-position-vertical:absolute;mso-position-vertical-relative:text" strokecolor="#00B050" strokeweight="3pt" stroked="t" from="238.55pt,173.55pt" to="305.95pt,192.45pt">
                <v:stroke dashstyle="shortdot"/>
              </v:line>
            </w:pict>
          </mc:Fallback>
        </mc:AlternateContent>
      </w:r>
      <w:r>
        <w:rPr>
          <w:noProof w:val="1"/>
        </w:rPr>
        <mc:AlternateContent>
          <mc:Choice Requires="wps">
            <w:drawing>
              <wp:anchor xmlns:wp="http://schemas.openxmlformats.org/drawingml/2006/wordprocessingDrawing" distT="0" distB="0" distL="114300" distR="114300" simplePos="0" relativeHeight="10" behindDoc="0" locked="0" layoutInCell="0" allowOverlap="1">
                <wp:simplePos x="0" y="0"/>
                <wp:positionH relativeFrom="column">
                  <wp:posOffset>3818890</wp:posOffset>
                </wp:positionH>
                <wp:positionV relativeFrom="paragraph">
                  <wp:posOffset>2162175</wp:posOffset>
                </wp:positionV>
                <wp:extent cx="444500" cy="676910"/>
                <wp:effectExtent l="19050" t="19050" r="31750" b="27940"/>
                <wp:wrapNone/>
                <wp:docPr id="7" name="Rak koppling 7"/>
                <wp:cNvGraphicFramePr/>
                <a:graphic xmlns:a="http://schemas.openxmlformats.org/drawingml/2006/main">
                  <a:graphicData uri="http://schemas.microsoft.com/office/word/2010/wordprocessingShape">
                    <wps:wsp>
                      <wps:cNvCnPr>
                        <a:stCxn id="0" idx="0"/>
                        <a:endCxn id="0" idx="0"/>
                      </wps:cNvCnPr>
                      <wps:spPr>
                        <a:xfrm>
                          <a:off x="0" y="0"/>
                          <a:ext cx="444927" cy="676986"/>
                        </a:xfrm>
                        <a:prstGeom prst="line"/>
                        <a:ln w="38100">
                          <a:solidFill>
                            <a:srgbClr val="00B050"/>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xmlns:o="urn:schemas-microsoft-com:office:office" id="Rak koppling 7" o:spid="_x0000_s1029" style="position:absolute;z-index:10;mso-wrap-distance-left:9pt;mso-wrap-distance-top:0pt;mso-wrap-distance-right:9pt;mso-wrap-distance-bottom:0pt;mso-position-horizontal:absolute;mso-position-horizontal-relative:text;mso-position-vertical:absolute;mso-position-vertical-relative:text" strokecolor="#00B050" strokeweight="3pt" stroked="t" from="300.7pt,170.25pt" to="335.7pt,223.55pt">
                <v:stroke dashstyle="shortdot"/>
              </v:line>
            </w:pict>
          </mc:Fallback>
        </mc:AlternateContent>
      </w:r>
      <w:r>
        <w:rPr>
          <w:noProof w:val="1"/>
        </w:rPr>
        <w:drawing>
          <wp:inline xmlns:wp="http://schemas.openxmlformats.org/drawingml/2006/wordprocessingDrawing" distT="0" distB="0" distL="0" distR="0">
            <wp:extent cx="6126480" cy="4084320"/>
            <wp:effectExtent l="0" t="0" r="7620" b="0"/>
            <wp:docPr id="1" name="Bildobjekt 1" descr="I:\Flygfoto_2022\098Svalövs kommun Svalöv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Flygfoto_2022\098Svalövs kommun Svalöv98.jpg"/>
                    <pic:cNvPicPr>
                      <a:picLocks noChangeAspect="1" noChangeArrowheads="1"/>
                    </pic:cNvPicPr>
                  </pic:nvPicPr>
                  <pic:blipFill dpi="0">
                    <a:blip xmlns:r="http://schemas.openxmlformats.org/officeDocument/2006/relationships" r:embed="Relimage1" cstate="print"/>
                    <a:srcRect/>
                    <a:stretch>
                      <a:fillRect/>
                    </a:stretch>
                  </pic:blipFill>
                  <pic:spPr bwMode="auto">
                    <a:xfrm>
                      <a:off x="0" y="0"/>
                      <a:ext cx="6172055" cy="4114451"/>
                    </a:xfrm>
                    <a:prstGeom prst="rect"/>
                    <a:noFill/>
                    <a:ln>
                      <a:noFill/>
                    </a:ln>
                  </pic:spPr>
                </pic:pic>
              </a:graphicData>
            </a:graphic>
          </wp:inline>
        </w:drawing>
      </w:r>
    </w:p>
    <w:p>
      <w:pPr>
        <w:ind w:left="0"/>
      </w:pPr>
    </w:p>
    <w:p>
      <w:pPr>
        <w:spacing w:after="160" w:beforeAutospacing="0" w:afterAutospacing="0"/>
        <w:ind w:left="0"/>
      </w:pPr>
    </w:p>
    <w:p>
      <w:pPr>
        <w:spacing w:after="160" w:beforeAutospacing="0" w:afterAutospacing="0"/>
        <w:ind w:left="0"/>
      </w:pPr>
    </w:p>
    <w:p>
      <w:pPr>
        <w:spacing w:after="160" w:beforeAutospacing="0" w:afterAutospacing="0"/>
        <w:ind w:left="0"/>
      </w:pPr>
    </w:p>
    <w:p>
      <w:pPr>
        <w:spacing w:after="160" w:beforeAutospacing="0" w:afterAutospacing="0"/>
        <w:ind w:left="0"/>
      </w:pPr>
    </w:p>
    <w:p>
      <w:pPr>
        <w:spacing w:after="160" w:beforeAutospacing="0" w:afterAutospacing="0"/>
        <w:ind w:left="0"/>
      </w:pPr>
    </w:p>
    <w:p>
      <w:pPr>
        <w:spacing w:after="160" w:beforeAutospacing="0" w:afterAutospacing="0"/>
        <w:ind w:left="0"/>
      </w:pPr>
    </w:p>
    <w:p>
      <w:pPr>
        <w:spacing w:after="160" w:beforeAutospacing="0" w:afterAutospacing="0"/>
        <w:ind w:left="0"/>
      </w:pPr>
    </w:p>
    <w:p>
      <w:pPr>
        <w:spacing w:after="160" w:beforeAutospacing="0" w:afterAutospacing="0"/>
        <w:ind w:left="0"/>
      </w:pPr>
    </w:p>
    <w:p>
      <w:pPr>
        <w:spacing w:after="160" w:beforeAutospacing="0" w:afterAutospacing="0"/>
        <w:ind w:left="0"/>
        <w:rPr>
          <w:rFonts w:ascii="Trebuchet MS" w:hAnsi="Trebuchet MS"/>
          <w:color w:val="007941"/>
          <w:sz w:val="32"/>
          <w:szCs w:val="32"/>
        </w:rPr>
      </w:pPr>
    </w:p>
    <w:p>
      <w:pPr>
        <w:spacing w:after="160" w:beforeAutospacing="0" w:afterAutospacing="0"/>
        <w:ind w:left="0"/>
        <w:rPr>
          <w:noProof w:val="0"/>
        </w:rPr>
      </w:pPr>
      <w:r>
        <w:rPr>
          <w:rFonts w:ascii="Trebuchet MS" w:hAnsi="Trebuchet MS"/>
          <w:color w:val="007941"/>
          <w:sz w:val="32"/>
          <w:szCs w:val="32"/>
        </w:rPr>
        <w:t>Upprättad av Samhällsbyggnad, Svalövs kommun, 2025-</w:t>
      </w:r>
      <w:r>
        <w:rPr>
          <w:rFonts w:ascii="Trebuchet MS" w:hAnsi="Trebuchet MS"/>
          <w:color w:val="007941"/>
          <w:sz w:val="32"/>
          <w:szCs w:val="32"/>
          <w:rtl w:val="0"/>
          <w:lang w:val="sv-SE" w:bidi="sv-SE" w:eastAsia="sv-SE"/>
        </w:rPr>
        <w:t>10</w:t>
      </w:r>
      <w:r>
        <w:rPr>
          <w:rFonts w:ascii="Trebuchet MS" w:hAnsi="Trebuchet MS"/>
          <w:color w:val="007941"/>
          <w:sz w:val="32"/>
          <w:szCs w:val="32"/>
        </w:rPr>
        <w:t>-</w:t>
      </w:r>
      <w:r>
        <w:rPr>
          <w:rFonts w:ascii="Trebuchet MS" w:hAnsi="Trebuchet MS"/>
          <w:color w:val="007941"/>
          <w:sz w:val="32"/>
          <w:szCs w:val="32"/>
          <w:rtl w:val="0"/>
          <w:lang w:val="sv-SE" w:bidi="sv-SE" w:eastAsia="sv-SE"/>
        </w:rPr>
        <w:t>20</w:t>
      </w:r>
      <w:bookmarkStart w:id="0" w:name="_Toc207616093"/>
    </w:p>
    <w:p>
      <w:pPr>
        <w:spacing w:after="160" w:beforeAutospacing="0" w:afterAutospacing="0"/>
        <w:ind w:left="0"/>
        <w:rPr>
          <w:noProof w:val="0"/>
        </w:rPr>
      </w:pPr>
    </w:p>
    <w:p>
      <w:pPr>
        <w:spacing w:after="160" w:beforeAutospacing="0" w:afterAutospacing="0"/>
        <w:ind w:left="0"/>
        <w:rPr>
          <w:noProof w:val="0"/>
        </w:rPr>
      </w:pPr>
    </w:p>
    <w:p>
      <w:pPr>
        <w:spacing w:after="160" w:beforeAutospacing="0" w:afterAutospacing="0"/>
        <w:ind w:left="0"/>
        <w:rPr>
          <w:noProof w:val="0"/>
        </w:rPr>
      </w:pPr>
    </w:p>
    <w:p>
      <w:pPr>
        <w:spacing w:after="160" w:beforeAutospacing="0" w:afterAutospacing="0"/>
        <w:ind w:left="0"/>
        <w:rPr>
          <w:noProof w:val="0"/>
        </w:rPr>
      </w:pPr>
    </w:p>
    <w:p>
      <w:pPr>
        <w:spacing w:after="160" w:beforeAutospacing="0" w:afterAutospacing="0"/>
        <w:ind w:left="0"/>
        <w:rPr>
          <w:noProof w:val="0"/>
        </w:rPr>
      </w:pPr>
    </w:p>
    <w:p>
      <w:pPr>
        <w:spacing w:after="160" w:beforeAutospacing="0" w:afterAutospacing="0"/>
        <w:ind w:left="0"/>
        <w:rPr>
          <w:noProof w:val="0"/>
        </w:rPr>
      </w:pPr>
    </w:p>
    <w:p>
      <w:pPr>
        <w:spacing w:after="160" w:beforeAutospacing="0" w:afterAutospacing="0"/>
        <w:ind w:left="0"/>
        <w:rPr>
          <w:noProof w:val="0"/>
        </w:rPr>
      </w:pPr>
    </w:p>
    <w:p>
      <w:pPr>
        <w:spacing w:after="160" w:beforeAutospacing="0" w:afterAutospacing="0"/>
        <w:ind w:left="0"/>
        <w:rPr>
          <w:noProof w:val="0"/>
        </w:rPr>
      </w:pPr>
    </w:p>
    <w:p>
      <w:pPr>
        <w:spacing w:after="160" w:beforeAutospacing="0" w:afterAutospacing="0"/>
        <w:ind w:left="0"/>
        <w:rPr>
          <w:noProof w:val="0"/>
        </w:rPr>
      </w:pPr>
    </w:p>
    <w:p>
      <w:pPr>
        <w:spacing w:after="160" w:beforeAutospacing="0" w:afterAutospacing="0"/>
        <w:ind w:left="0"/>
        <w:rPr>
          <w:noProof w:val="0"/>
        </w:rPr>
      </w:pPr>
      <w:r>
        <w:rPr>
          <w:noProof w:val="0"/>
        </w:rPr>
        <w:t>Ärendeinformation</w:t>
      </w:r>
      <w:bookmarkEnd w:id="0"/>
    </w:p>
    <w:tbl>
      <w:tblPr>
        <w:tblpPr w:tblpX="1" w:tblpY="176" w:horzAnchor="margin" w:vertAnchor="text" w:tblpXSpec="left"/>
        <w:tblOverlap w:val="never"/>
        <w:tblW w:w="9160" w:type="dxa"/>
        <w:tblLook w:val="04A0"/>
        <w:tblCaption w:val="Ärendeinformation"/>
      </w:tblPr>
      <w:tblGrid/>
      <w:tr>
        <w:trPr>
          <w:trHeight w:hRule="atLeast" w:val="424"/>
        </w:trPr>
        <w:tc>
          <w:tcPr>
            <w:tcW w:w="2830" w:type="dxa"/>
            <w:vAlign w:val="center"/>
          </w:tcPr>
          <w:p>
            <w:pPr>
              <w:spacing w:after="0" w:beforeAutospacing="0" w:afterAutospacing="0"/>
              <w:ind w:left="0"/>
              <w:rPr>
                <w:sz w:val="21"/>
                <w:szCs w:val="21"/>
              </w:rPr>
            </w:pPr>
            <w:r>
              <w:rPr>
                <w:sz w:val="21"/>
                <w:szCs w:val="21"/>
              </w:rPr>
              <w:t>Kommun</w:t>
            </w:r>
          </w:p>
        </w:tc>
        <w:tc>
          <w:tcPr>
            <w:tcW w:w="6330" w:type="dxa"/>
            <w:vAlign w:val="center"/>
          </w:tcPr>
          <w:p>
            <w:pPr>
              <w:spacing w:after="0" w:beforeAutospacing="0" w:afterAutospacing="0"/>
              <w:ind w:left="0"/>
              <w:rPr>
                <w:sz w:val="21"/>
                <w:szCs w:val="21"/>
              </w:rPr>
            </w:pPr>
            <w:r>
              <w:rPr>
                <w:sz w:val="21"/>
                <w:szCs w:val="21"/>
              </w:rPr>
              <w:t>Svalöv</w:t>
            </w:r>
          </w:p>
        </w:tc>
      </w:tr>
      <w:tr>
        <w:trPr>
          <w:trHeight w:hRule="atLeast" w:val="424"/>
        </w:trPr>
        <w:tc>
          <w:tcPr>
            <w:tcW w:w="2830" w:type="dxa"/>
            <w:vAlign w:val="center"/>
          </w:tcPr>
          <w:p>
            <w:pPr>
              <w:spacing w:after="0" w:beforeAutospacing="0" w:afterAutospacing="0"/>
              <w:ind w:left="0"/>
              <w:rPr>
                <w:sz w:val="21"/>
                <w:szCs w:val="21"/>
              </w:rPr>
            </w:pPr>
            <w:r>
              <w:rPr>
                <w:sz w:val="21"/>
                <w:szCs w:val="21"/>
              </w:rPr>
              <w:t>Detaljplanens namn</w:t>
            </w:r>
          </w:p>
        </w:tc>
        <w:tc>
          <w:tcPr>
            <w:tcW w:w="6330" w:type="dxa"/>
            <w:vAlign w:val="center"/>
          </w:tcPr>
          <w:p>
            <w:pPr>
              <w:spacing w:after="0" w:beforeAutospacing="0" w:afterAutospacing="0"/>
              <w:ind w:left="0"/>
              <w:rPr>
                <w:color w:val="auto"/>
                <w:sz w:val="21"/>
                <w:szCs w:val="21"/>
              </w:rPr>
            </w:pPr>
            <w:r>
              <w:rPr>
                <w:color w:val="auto"/>
                <w:sz w:val="21"/>
                <w:szCs w:val="21"/>
              </w:rPr>
              <w:t>Detaljplan för Felestad 5:66</w:t>
            </w:r>
          </w:p>
        </w:tc>
      </w:tr>
      <w:tr>
        <w:trPr>
          <w:trHeight w:hRule="atLeast" w:val="424"/>
        </w:trPr>
        <w:tc>
          <w:tcPr>
            <w:tcW w:w="2830" w:type="dxa"/>
            <w:vAlign w:val="center"/>
          </w:tcPr>
          <w:p>
            <w:pPr>
              <w:spacing w:after="0" w:beforeAutospacing="0" w:afterAutospacing="0"/>
              <w:ind w:left="0"/>
              <w:rPr>
                <w:sz w:val="21"/>
                <w:szCs w:val="21"/>
              </w:rPr>
            </w:pPr>
            <w:r>
              <w:rPr>
                <w:sz w:val="21"/>
                <w:szCs w:val="21"/>
              </w:rPr>
              <w:t>Diarienummer</w:t>
            </w:r>
          </w:p>
        </w:tc>
        <w:tc>
          <w:tcPr>
            <w:tcW w:w="6330" w:type="dxa"/>
            <w:vAlign w:val="center"/>
          </w:tcPr>
          <w:p>
            <w:pPr>
              <w:spacing w:after="0" w:beforeAutospacing="0" w:afterAutospacing="0"/>
              <w:ind w:left="0"/>
              <w:rPr>
                <w:color w:val="auto"/>
                <w:sz w:val="21"/>
                <w:szCs w:val="21"/>
              </w:rPr>
            </w:pPr>
            <w:r>
              <w:rPr>
                <w:color w:val="auto"/>
                <w:sz w:val="21"/>
                <w:szCs w:val="21"/>
              </w:rPr>
              <w:t>SBN 433–2024</w:t>
            </w:r>
          </w:p>
        </w:tc>
      </w:tr>
      <w:tr>
        <w:trPr>
          <w:trHeight w:hRule="atLeast" w:val="424"/>
        </w:trPr>
        <w:tc>
          <w:tcPr>
            <w:tcW w:w="2830" w:type="dxa"/>
            <w:vAlign w:val="center"/>
          </w:tcPr>
          <w:p>
            <w:pPr>
              <w:spacing w:after="0" w:beforeAutospacing="0" w:afterAutospacing="0"/>
              <w:ind w:left="0"/>
              <w:rPr>
                <w:sz w:val="21"/>
                <w:szCs w:val="21"/>
              </w:rPr>
            </w:pPr>
            <w:r>
              <w:rPr>
                <w:sz w:val="21"/>
                <w:szCs w:val="21"/>
              </w:rPr>
              <w:t>Påbörjad</w:t>
            </w:r>
          </w:p>
        </w:tc>
        <w:tc>
          <w:tcPr>
            <w:tcW w:w="6330" w:type="dxa"/>
            <w:vAlign w:val="center"/>
          </w:tcPr>
          <w:p>
            <w:pPr>
              <w:spacing w:after="0" w:beforeAutospacing="0" w:afterAutospacing="0"/>
              <w:ind w:left="0"/>
              <w:rPr>
                <w:sz w:val="21"/>
                <w:szCs w:val="21"/>
              </w:rPr>
            </w:pPr>
            <w:r>
              <w:rPr>
                <w:color w:val="auto"/>
                <w:sz w:val="21"/>
                <w:szCs w:val="21"/>
              </w:rPr>
              <w:t>2024-11-06</w:t>
            </w:r>
          </w:p>
        </w:tc>
      </w:tr>
      <w:tr>
        <w:trPr>
          <w:trHeight w:hRule="atLeast" w:val="479"/>
        </w:trPr>
        <w:tc>
          <w:tcPr>
            <w:tcW w:w="2830" w:type="dxa"/>
            <w:vAlign w:val="center"/>
            <w:hideMark/>
          </w:tcPr>
          <w:p>
            <w:pPr>
              <w:tabs>
                <w:tab w:val="center" w:pos="1440" w:leader="none"/>
              </w:tabs>
              <w:spacing w:after="0" w:beforeAutospacing="0" w:afterAutospacing="0"/>
              <w:ind w:left="0"/>
              <w:rPr>
                <w:sz w:val="21"/>
                <w:szCs w:val="21"/>
              </w:rPr>
            </w:pPr>
            <w:r>
              <w:rPr>
                <w:sz w:val="21"/>
                <w:szCs w:val="21"/>
              </w:rPr>
              <w:t xml:space="preserve">Antagen av </w:t>
            </w:r>
            <w:r>
              <w:rPr>
                <w:color w:val="000000"/>
                <w:sz w:val="21"/>
                <w:szCs w:val="21"/>
              </w:rPr>
              <w:t>SBN</w:t>
            </w:r>
            <w:r>
              <w:rPr>
                <w:sz w:val="21"/>
                <w:szCs w:val="21"/>
              </w:rPr>
              <w:tab/>
              <w:t xml:space="preserve"> </w:t>
            </w:r>
          </w:p>
        </w:tc>
        <w:tc>
          <w:tcPr>
            <w:tcW w:w="6330" w:type="dxa"/>
            <w:vAlign w:val="center"/>
            <w:hideMark/>
          </w:tcPr>
          <w:p>
            <w:pPr>
              <w:spacing w:after="0" w:beforeAutospacing="0" w:afterAutospacing="0"/>
              <w:ind w:left="0"/>
              <w:jc w:val="both"/>
              <w:rPr>
                <w:color w:val="000000"/>
                <w:sz w:val="21"/>
                <w:szCs w:val="21"/>
              </w:rPr>
            </w:pPr>
            <w:r>
              <w:rPr>
                <w:color w:val="000000"/>
                <w:sz w:val="21"/>
                <w:szCs w:val="21"/>
              </w:rPr>
              <w:t>20</w:t>
            </w:r>
            <w:r>
              <w:rPr>
                <w:color w:val="000000"/>
                <w:sz w:val="21"/>
                <w:szCs w:val="21"/>
                <w:rtl w:val="0"/>
                <w:lang w:val="sv-SE" w:bidi="sv-SE" w:eastAsia="sv-SE"/>
              </w:rPr>
              <w:t>25</w:t>
            </w:r>
            <w:r>
              <w:rPr>
                <w:color w:val="000000"/>
                <w:sz w:val="21"/>
                <w:szCs w:val="21"/>
              </w:rPr>
              <w:t>-</w:t>
            </w:r>
            <w:r>
              <w:rPr>
                <w:color w:val="000000"/>
                <w:sz w:val="21"/>
                <w:szCs w:val="21"/>
                <w:rtl w:val="0"/>
                <w:lang w:val="sv-SE" w:bidi="sv-SE" w:eastAsia="sv-SE"/>
              </w:rPr>
              <w:t>09-17 §148</w:t>
            </w:r>
          </w:p>
        </w:tc>
      </w:tr>
      <w:tr>
        <w:trPr>
          <w:trHeight w:hRule="atLeast" w:val="479"/>
        </w:trPr>
        <w:tc>
          <w:tcPr>
            <w:tcW w:w="2830" w:type="dxa"/>
            <w:vAlign w:val="center"/>
            <w:hideMark/>
          </w:tcPr>
          <w:p>
            <w:pPr>
              <w:tabs>
                <w:tab w:val="center" w:pos="1440" w:leader="none"/>
              </w:tabs>
              <w:spacing w:after="0" w:beforeAutospacing="0" w:afterAutospacing="0"/>
              <w:ind w:left="0"/>
              <w:rPr>
                <w:sz w:val="21"/>
                <w:szCs w:val="21"/>
              </w:rPr>
            </w:pPr>
            <w:r>
              <w:rPr>
                <w:sz w:val="21"/>
                <w:szCs w:val="21"/>
              </w:rPr>
              <w:t xml:space="preserve">Laga kraft </w:t>
              <w:tab/>
              <w:t xml:space="preserve"> </w:t>
            </w:r>
          </w:p>
        </w:tc>
        <w:tc>
          <w:tcPr>
            <w:tcW w:w="6330" w:type="dxa"/>
            <w:vAlign w:val="center"/>
            <w:hideMark/>
          </w:tcPr>
          <w:p>
            <w:pPr>
              <w:spacing w:after="0" w:beforeAutospacing="0" w:afterAutospacing="0"/>
              <w:ind w:left="0"/>
              <w:jc w:val="both"/>
              <w:rPr>
                <w:sz w:val="21"/>
                <w:szCs w:val="21"/>
              </w:rPr>
            </w:pPr>
            <w:r>
              <w:rPr>
                <w:sz w:val="21"/>
                <w:szCs w:val="21"/>
              </w:rPr>
              <w:t>2</w:t>
            </w:r>
            <w:r>
              <w:rPr>
                <w:color w:val="000000"/>
                <w:sz w:val="21"/>
                <w:szCs w:val="21"/>
              </w:rPr>
              <w:t>0</w:t>
            </w:r>
            <w:r>
              <w:rPr>
                <w:color w:val="000000"/>
                <w:sz w:val="21"/>
                <w:szCs w:val="21"/>
                <w:rtl w:val="0"/>
                <w:lang w:val="sv-SE" w:bidi="sv-SE" w:eastAsia="sv-SE"/>
              </w:rPr>
              <w:t>25</w:t>
            </w:r>
            <w:r>
              <w:rPr>
                <w:color w:val="000000"/>
                <w:sz w:val="21"/>
                <w:szCs w:val="21"/>
              </w:rPr>
              <w:t>-</w:t>
            </w:r>
            <w:r>
              <w:rPr>
                <w:color w:val="000000"/>
                <w:sz w:val="21"/>
                <w:szCs w:val="21"/>
                <w:rtl w:val="0"/>
                <w:lang w:val="sv-SE" w:bidi="sv-SE" w:eastAsia="sv-SE"/>
              </w:rPr>
              <w:t>10</w:t>
            </w:r>
            <w:r>
              <w:rPr>
                <w:color w:val="000000"/>
                <w:sz w:val="21"/>
                <w:szCs w:val="21"/>
              </w:rPr>
              <w:t>-</w:t>
            </w:r>
            <w:r>
              <w:rPr>
                <w:color w:val="000000"/>
                <w:sz w:val="21"/>
                <w:szCs w:val="21"/>
                <w:rtl w:val="0"/>
                <w:lang w:val="sv-SE" w:bidi="sv-SE" w:eastAsia="sv-SE"/>
              </w:rPr>
              <w:t>17 §148</w:t>
            </w:r>
          </w:p>
        </w:tc>
      </w:tr>
      <w:tr>
        <w:trPr>
          <w:trHeight w:hRule="atLeast" w:val="424"/>
        </w:trPr>
        <w:tc>
          <w:tcPr>
            <w:tcW w:w="2830" w:type="dxa"/>
            <w:vAlign w:val="center"/>
            <w:hideMark/>
          </w:tcPr>
          <w:p>
            <w:pPr>
              <w:spacing w:after="0" w:beforeAutospacing="0" w:afterAutospacing="0"/>
              <w:ind w:left="0"/>
              <w:rPr>
                <w:sz w:val="21"/>
                <w:szCs w:val="21"/>
              </w:rPr>
            </w:pPr>
            <w:r>
              <w:rPr>
                <w:sz w:val="21"/>
                <w:szCs w:val="21"/>
              </w:rPr>
              <w:t>Genomförandetid</w:t>
            </w:r>
          </w:p>
        </w:tc>
        <w:tc>
          <w:tcPr>
            <w:tcW w:w="6330" w:type="dxa"/>
            <w:vAlign w:val="center"/>
            <w:hideMark/>
          </w:tcPr>
          <w:p>
            <w:pPr>
              <w:spacing w:after="0" w:beforeAutospacing="0" w:afterAutospacing="0"/>
              <w:ind w:left="0"/>
              <w:jc w:val="both"/>
              <w:rPr>
                <w:color w:val="auto"/>
                <w:sz w:val="21"/>
                <w:szCs w:val="21"/>
              </w:rPr>
            </w:pPr>
            <w:r>
              <w:rPr>
                <w:color w:val="auto"/>
                <w:sz w:val="21"/>
                <w:szCs w:val="21"/>
              </w:rPr>
              <w:t>60 månader (5 år)</w:t>
            </w:r>
          </w:p>
        </w:tc>
      </w:tr>
      <w:tr>
        <w:trPr>
          <w:trHeight w:hRule="atLeast" w:val="424"/>
        </w:trPr>
        <w:tc>
          <w:tcPr>
            <w:tcW w:w="2830" w:type="dxa"/>
            <w:vAlign w:val="center"/>
          </w:tcPr>
          <w:p>
            <w:pPr>
              <w:spacing w:after="0" w:beforeAutospacing="0" w:afterAutospacing="0"/>
              <w:ind w:left="0"/>
              <w:rPr>
                <w:sz w:val="21"/>
                <w:szCs w:val="21"/>
              </w:rPr>
            </w:pPr>
            <w:r>
              <w:rPr>
                <w:sz w:val="21"/>
                <w:szCs w:val="21"/>
              </w:rPr>
              <w:t xml:space="preserve">Planens beteckning  </w:t>
            </w:r>
          </w:p>
        </w:tc>
        <w:tc>
          <w:tcPr>
            <w:tcW w:w="6330" w:type="dxa"/>
            <w:vAlign w:val="center"/>
          </w:tcPr>
          <w:p>
            <w:pPr>
              <w:spacing w:after="0" w:beforeAutospacing="0" w:afterAutospacing="0"/>
              <w:ind w:left="0"/>
              <w:jc w:val="both"/>
              <w:rPr>
                <w:color w:val="000000"/>
                <w:sz w:val="21"/>
                <w:szCs w:val="21"/>
              </w:rPr>
            </w:pPr>
            <w:r>
              <w:rPr>
                <w:color w:val="000000"/>
                <w:sz w:val="21"/>
                <w:szCs w:val="21"/>
                <w:rtl w:val="0"/>
                <w:lang w:val="sv-SE" w:bidi="sv-SE" w:eastAsia="sv-SE"/>
              </w:rPr>
              <w:t>1223</w:t>
            </w:r>
          </w:p>
        </w:tc>
      </w:tr>
      <w:tr>
        <w:trPr>
          <w:trHeight w:hRule="atLeast" w:val="332"/>
        </w:trPr>
        <w:tc>
          <w:tcPr>
            <w:tcW w:w="2830" w:type="dxa"/>
            <w:vAlign w:val="center"/>
          </w:tcPr>
          <w:p>
            <w:pPr>
              <w:spacing w:after="0" w:beforeAutospacing="0" w:afterAutospacing="0"/>
              <w:ind w:left="0"/>
              <w:rPr>
                <w:sz w:val="21"/>
                <w:szCs w:val="21"/>
              </w:rPr>
            </w:pPr>
            <w:r>
              <w:rPr>
                <w:sz w:val="21"/>
                <w:szCs w:val="21"/>
              </w:rPr>
              <w:t>Beslutsprotokoll</w:t>
            </w:r>
          </w:p>
        </w:tc>
        <w:tc>
          <w:tcPr>
            <w:tcW w:w="6330" w:type="dxa"/>
            <w:vAlign w:val="center"/>
          </w:tcPr>
          <w:p>
            <w:pPr>
              <w:spacing w:after="0" w:beforeAutospacing="0" w:afterAutospacing="0"/>
              <w:ind w:left="0"/>
              <w:jc w:val="both"/>
              <w:rPr>
                <w:color w:val="FF0000"/>
                <w:sz w:val="20"/>
                <w:szCs w:val="20"/>
              </w:rPr>
            </w:pPr>
            <w:r>
              <w:rPr>
                <w:color w:val="auto"/>
                <w:sz w:val="20"/>
                <w:szCs w:val="20"/>
              </w:rPr>
              <w:t>SBN 2024-11-06 §, SBN 2025-04-15 § 48, SBN 2025-06-18 § 92</w:t>
            </w:r>
            <w:r>
              <w:rPr>
                <w:color w:val="auto"/>
                <w:sz w:val="20"/>
                <w:szCs w:val="20"/>
                <w:rtl w:val="0"/>
                <w:lang w:val="sv-SE" w:bidi="sv-SE" w:eastAsia="sv-SE"/>
              </w:rPr>
              <w:t>, SBN 2025-09-17 § 148</w:t>
            </w:r>
          </w:p>
        </w:tc>
      </w:tr>
    </w:tbl>
    <w:p>
      <w:pPr>
        <w:spacing w:after="0" w:beforeAutospacing="0" w:afterAutospacing="0"/>
        <w:ind w:left="0"/>
      </w:pPr>
      <w:r>
        <w:rPr>
          <w:noProof w:val="1"/>
        </w:rPr>
        <mc:AlternateContent>
          <mc:Choice Requires="wps">
            <w:drawing>
              <wp:anchor xmlns:wp="http://schemas.openxmlformats.org/drawingml/2006/wordprocessingDrawing" distT="0" distB="0" distL="114300" distR="114300" simplePos="0" relativeHeight="1" behindDoc="0" locked="0" layoutInCell="1" allowOverlap="1">
                <wp:simplePos x="0" y="0"/>
                <wp:positionH relativeFrom="column">
                  <wp:posOffset>1894205</wp:posOffset>
                </wp:positionH>
                <wp:positionV relativeFrom="paragraph">
                  <wp:posOffset>3242310</wp:posOffset>
                </wp:positionV>
                <wp:extent cx="386715" cy="3315335"/>
                <wp:effectExtent l="19050" t="19050" r="24130" b="26670"/>
                <wp:wrapNone/>
                <wp:docPr id="11" name="Rak koppling 11"/>
                <wp:cNvGraphicFramePr/>
                <a:graphic xmlns:a="http://schemas.openxmlformats.org/drawingml/2006/main">
                  <a:graphicData uri="http://schemas.microsoft.com/office/word/2010/wordprocessingShape">
                    <wps:wsp>
                      <wps:cNvCnPr>
                        <a:stCxn id="0" idx="0"/>
                        <a:endCxn id="0" idx="0"/>
                      </wps:cNvCnPr>
                      <wps:spPr>
                        <a:xfrm>
                          <a:off x="0" y="0"/>
                          <a:ext cx="386715" cy="3315335"/>
                        </a:xfrm>
                        <a:prstGeom prst="line"/>
                        <a:ln w="38100">
                          <a:solidFill>
                            <a:srgbClr val="00794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xmlns:o="urn:schemas-microsoft-com:office:office" id="Rak koppling 11" o:spid="_x0000_s1030" style="position:absolute;z-index:1;mso-wrap-distance-left:9pt;mso-wrap-distance-top:0pt;mso-wrap-distance-right:9pt;mso-wrap-distance-bottom:0pt;mso-position-horizontal:absolute;mso-position-horizontal-relative:text;mso-position-vertical:absolute;mso-position-vertical-relative:text" strokecolor="#007941" strokeweight="3pt" stroked="t" o:allowincell="t" from="149.15pt,255.3pt" to="179.6pt,516.35pt">
                <v:stroke dashstyle="shortdot"/>
              </v:line>
            </w:pict>
          </mc:Fallback>
        </mc:AlternateContent>
      </w:r>
      <w:r>
        <w:rPr>
          <w:noProof w:val="1"/>
        </w:rPr>
        <w:drawing>
          <wp:inline xmlns:wp="http://schemas.openxmlformats.org/drawingml/2006/wordprocessingDrawing" distT="0" distB="0" distL="0" distR="0">
            <wp:extent cx="4463415" cy="4540250"/>
            <wp:effectExtent l="0" t="0" r="0" b="0"/>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Kommunkarta2.png"/>
                    <pic:cNvPicPr/>
                  </pic:nvPicPr>
                  <pic:blipFill dpi="0">
                    <a:blip xmlns:r="http://schemas.openxmlformats.org/officeDocument/2006/relationships" r:embed="Relimage2" cstate="print"/>
                    <a:srcRect t="13971" b="14083"/>
                    <a:stretch>
                      <a:fillRect/>
                    </a:stretch>
                  </pic:blipFill>
                  <pic:spPr bwMode="auto">
                    <a:xfrm>
                      <a:off x="0" y="0"/>
                      <a:ext cx="4479957" cy="4557187"/>
                    </a:xfrm>
                    <a:prstGeom prst="rect"/>
                    <a:ln>
                      <a:noFill/>
                    </a:ln>
                  </pic:spPr>
                </pic:pic>
              </a:graphicData>
            </a:graphic>
          </wp:inline>
        </w:drawing>
      </w:r>
    </w:p>
    <w:p>
      <w:pPr>
        <w:spacing w:after="0" w:beforeAutospacing="0" w:afterAutospacing="0"/>
        <w:ind w:left="0"/>
      </w:pPr>
    </w:p>
    <w:p>
      <w:pPr>
        <w:spacing w:after="0" w:beforeAutospacing="0" w:afterAutospacing="0"/>
        <w:ind w:left="0"/>
      </w:pPr>
    </w:p>
    <w:p>
      <w:pPr>
        <w:spacing w:after="0" w:beforeAutospacing="0" w:afterAutospacing="0"/>
        <w:ind w:left="0"/>
      </w:pPr>
    </w:p>
    <w:p>
      <w:pPr>
        <w:spacing w:after="0" w:beforeAutospacing="0" w:afterAutospacing="0"/>
        <w:ind w:left="0"/>
      </w:pPr>
    </w:p>
    <w:p>
      <w:pPr>
        <w:spacing w:after="0" w:beforeAutospacing="0" w:afterAutospacing="0"/>
        <w:ind w:left="0"/>
      </w:pPr>
    </w:p>
    <w:p>
      <w:pPr>
        <w:ind w:left="0"/>
      </w:pPr>
      <w:r>
        <w:rPr>
          <w:noProof w:val="1"/>
        </w:rPr>
        <mc:AlternateContent>
          <mc:Choice Requires="wps">
            <w:drawing>
              <wp:anchor xmlns:wp="http://schemas.openxmlformats.org/drawingml/2006/wordprocessingDrawing" distT="0" distB="0" distL="114300" distR="114300" simplePos="0" relativeHeight="6" behindDoc="0" locked="0" layoutInCell="0" allowOverlap="1">
                <wp:simplePos x="0" y="0"/>
                <wp:positionH relativeFrom="column">
                  <wp:posOffset>2080260</wp:posOffset>
                </wp:positionH>
                <wp:positionV relativeFrom="paragraph">
                  <wp:posOffset>1013460</wp:posOffset>
                </wp:positionV>
                <wp:extent cx="370205" cy="120650"/>
                <wp:effectExtent l="19050" t="19050" r="29845" b="31750"/>
                <wp:wrapNone/>
                <wp:docPr id="19" name="Rak koppling 19"/>
                <wp:cNvGraphicFramePr/>
                <a:graphic xmlns:a="http://schemas.openxmlformats.org/drawingml/2006/main">
                  <a:graphicData uri="http://schemas.microsoft.com/office/word/2010/wordprocessingShape">
                    <wps:wsp>
                      <wps:cNvCnPr>
                        <a:stCxn id="0" idx="0"/>
                        <a:endCxn id="0" idx="0"/>
                      </wps:cNvCnPr>
                      <wps:spPr>
                        <a:xfrm>
                          <a:off x="0" y="0"/>
                          <a:ext cx="370339" cy="120772"/>
                        </a:xfrm>
                        <a:prstGeom prst="line"/>
                        <a:ln w="38100">
                          <a:solidFill>
                            <a:srgbClr val="00794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xmlns:o="urn:schemas-microsoft-com:office:office" id="Rak koppling 19" o:spid="_x0000_s1031" style="position:absolute;z-index:6;mso-wrap-distance-left:9pt;mso-wrap-distance-top:0pt;mso-wrap-distance-right:9pt;mso-wrap-distance-bottom:0pt;mso-position-horizontal:absolute;mso-position-horizontal-relative:text;mso-position-vertical:absolute;mso-position-vertical-relative:text" strokecolor="#007941" strokeweight="3pt" stroked="t" from="163.8pt,79.8pt" to="192.95pt,89.3pt">
                <v:stroke dashstyle="shortdot"/>
              </v:line>
            </w:pict>
          </mc:Fallback>
        </mc:AlternateContent>
      </w:r>
      <w:r>
        <w:rPr>
          <w:noProof w:val="1"/>
        </w:rPr>
        <mc:AlternateContent>
          <mc:Choice Requires="wps">
            <w:drawing>
              <wp:anchor xmlns:wp="http://schemas.openxmlformats.org/drawingml/2006/wordprocessingDrawing" distT="0" distB="0" distL="114300" distR="114300" simplePos="0" relativeHeight="5" behindDoc="0" locked="0" layoutInCell="0" allowOverlap="1">
                <wp:simplePos x="0" y="0"/>
                <wp:positionH relativeFrom="column">
                  <wp:posOffset>2334895</wp:posOffset>
                </wp:positionH>
                <wp:positionV relativeFrom="paragraph">
                  <wp:posOffset>1134110</wp:posOffset>
                </wp:positionV>
                <wp:extent cx="146050" cy="274955"/>
                <wp:effectExtent l="19050" t="19050" r="25400" b="29845"/>
                <wp:wrapNone/>
                <wp:docPr id="18" name="Rak koppling 18"/>
                <wp:cNvGraphicFramePr/>
                <a:graphic xmlns:a="http://schemas.openxmlformats.org/drawingml/2006/main">
                  <a:graphicData uri="http://schemas.microsoft.com/office/word/2010/wordprocessingShape">
                    <wps:wsp>
                      <wps:cNvCnPr>
                        <a:stCxn id="0" idx="0"/>
                        <a:endCxn id="0" idx="0"/>
                      </wps:cNvCnPr>
                      <wps:spPr>
                        <a:xfrm flipH="1">
                          <a:off x="0" y="0"/>
                          <a:ext cx="146652" cy="275483"/>
                        </a:xfrm>
                        <a:prstGeom prst="line"/>
                        <a:ln w="38100">
                          <a:solidFill>
                            <a:srgbClr val="00794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xmlns:o="urn:schemas-microsoft-com:office:office" id="Rak koppling 18" o:spid="_x0000_s1032" style="position:absolute;flip:x;z-index:5;mso-wrap-distance-left:9pt;mso-wrap-distance-top:0pt;mso-wrap-distance-right:9pt;mso-wrap-distance-bottom:0pt;mso-position-horizontal:absolute;mso-position-horizontal-relative:text;mso-position-vertical:absolute;mso-position-vertical-relative:text" strokecolor="#007941" strokeweight="3pt" stroked="t" from="183.85pt,89.3pt" to="195.35pt,110.95pt">
                <v:stroke dashstyle="shortdot"/>
              </v:line>
            </w:pict>
          </mc:Fallback>
        </mc:AlternateContent>
      </w:r>
      <w:r>
        <w:rPr>
          <w:noProof w:val="1"/>
        </w:rPr>
        <mc:AlternateContent>
          <mc:Choice Requires="wps">
            <w:drawing>
              <wp:anchor xmlns:wp="http://schemas.openxmlformats.org/drawingml/2006/wordprocessingDrawing" distT="0" distB="0" distL="114300" distR="114300" simplePos="0" relativeHeight="3" behindDoc="0" locked="0" layoutInCell="0" allowOverlap="1">
                <wp:simplePos x="0" y="0"/>
                <wp:positionH relativeFrom="column">
                  <wp:posOffset>1991995</wp:posOffset>
                </wp:positionH>
                <wp:positionV relativeFrom="paragraph">
                  <wp:posOffset>1011555</wp:posOffset>
                </wp:positionV>
                <wp:extent cx="111760" cy="292735"/>
                <wp:effectExtent l="19050" t="19050" r="21590" b="31115"/>
                <wp:wrapNone/>
                <wp:docPr id="14" name="Rak koppling 14"/>
                <wp:cNvGraphicFramePr/>
                <a:graphic xmlns:a="http://schemas.openxmlformats.org/drawingml/2006/main">
                  <a:graphicData uri="http://schemas.microsoft.com/office/word/2010/wordprocessingShape">
                    <wps:wsp>
                      <wps:cNvCnPr>
                        <a:stCxn id="0" idx="0"/>
                        <a:endCxn id="0" idx="0"/>
                      </wps:cNvCnPr>
                      <wps:spPr>
                        <a:xfrm flipH="1">
                          <a:off x="0" y="0"/>
                          <a:ext cx="111954" cy="293299"/>
                        </a:xfrm>
                        <a:prstGeom prst="line"/>
                        <a:ln w="38100">
                          <a:solidFill>
                            <a:srgbClr val="00794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xmlns:o="urn:schemas-microsoft-com:office:office" id="Rak koppling 14" o:spid="_x0000_s1033" style="position:absolute;flip:x;z-index:3;mso-wrap-distance-left:9pt;mso-wrap-distance-top:0pt;mso-wrap-distance-right:9pt;mso-wrap-distance-bottom:0pt;mso-position-horizontal:absolute;mso-position-horizontal-relative:text;mso-position-vertical:absolute;mso-position-vertical-relative:text" strokecolor="#007941" strokeweight="3pt" stroked="t" from="156.85pt,79.65pt" to="165.65pt,102.7pt">
                <v:stroke dashstyle="shortdot"/>
              </v:line>
            </w:pict>
          </mc:Fallback>
        </mc:AlternateContent>
      </w:r>
      <w:r>
        <w:rPr>
          <w:noProof w:val="1"/>
        </w:rPr>
        <mc:AlternateContent>
          <mc:Choice Requires="wps">
            <w:drawing>
              <wp:anchor xmlns:wp="http://schemas.openxmlformats.org/drawingml/2006/wordprocessingDrawing" distT="0" distB="0" distL="114300" distR="114300" simplePos="0" relativeHeight="7" behindDoc="0" locked="0" layoutInCell="0" allowOverlap="1">
                <wp:simplePos x="0" y="0"/>
                <wp:positionH relativeFrom="column">
                  <wp:posOffset>535305</wp:posOffset>
                </wp:positionH>
                <wp:positionV relativeFrom="paragraph">
                  <wp:posOffset>811530</wp:posOffset>
                </wp:positionV>
                <wp:extent cx="1155700" cy="275590"/>
                <wp:effectExtent l="0" t="0" r="0" b="0"/>
                <wp:wrapNone/>
                <wp:docPr id="20" name="Textruta 20"/>
                <wp:cNvGraphicFramePr/>
                <a:graphic xmlns:a="http://schemas.openxmlformats.org/drawingml/2006/main">
                  <a:graphicData uri="http://schemas.microsoft.com/office/word/2010/wordprocessingShape">
                    <wps:wsp>
                      <wps:cNvSpPr txBox="1"/>
                      <wps:spPr>
                        <a:xfrm>
                          <a:off x="0" y="0"/>
                          <a:ext cx="1155939" cy="276045"/>
                        </a:xfrm>
                        <a:prstGeom prst="rect"/>
                        <a:no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ind w:left="0"/>
                              <w:rPr>
                                <w:color w:val="007033"/>
                              </w:rPr>
                            </w:pPr>
                            <w:r>
                              <w:rPr>
                                <w:color w:val="007033"/>
                              </w:rPr>
                              <w:t>Planområdet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xmlns:o="urn:schemas-microsoft-com:office:office" id="_x0000_t202" coordsize="21600,21600" o:spt="202" path="m,l,21600r21600,l21600,xe">
                <v:stroke joinstyle="miter"/>
                <v:path gradientshapeok="t" o:connecttype="rect"/>
              </v:shapetype>
              <v:shape xmlns:o="urn:schemas-microsoft-com:office:office" type="#_x0000_t202" id="Textruta 20" o:spid="_x0000_s1034" style="position:absolute;width:91pt;height:21.7pt;z-index:7;mso-wrap-distance-left:9pt;mso-wrap-distance-top:0pt;mso-wrap-distance-right:9pt;mso-wrap-distance-bottom:0pt;margin-left:42.15pt;margin-top:63.9pt;mso-position-horizontal:absolute;mso-position-horizontal-relative:text;mso-position-vertical:absolute;mso-position-vertical-relative:text" filled="f" strokeweight="0.5pt" stroked="f">
                <v:textbox inset="3mm,1mm,3mm,1mm">
                  <w:txbxContent>
                    <w:p>
                      <w:pPr>
                        <w:ind w:left="0"/>
                        <w:rPr>
                          <w:color w:val="007033"/>
                        </w:rPr>
                      </w:pPr>
                      <w:r>
                        <w:rPr>
                          <w:color w:val="007033"/>
                        </w:rPr>
                        <w:t>Planområdet</w:t>
                      </w:r>
                    </w:p>
                  </w:txbxContent>
                </v:textbox>
              </v:shape>
            </w:pict>
          </mc:Fallback>
        </mc:AlternateContent>
      </w:r>
      <w:r>
        <w:rPr>
          <w:noProof w:val="1"/>
        </w:rPr>
        <mc:AlternateContent>
          <mc:Choice Requires="wps">
            <w:drawing>
              <wp:anchor xmlns:wp="http://schemas.openxmlformats.org/drawingml/2006/wordprocessingDrawing" distT="0" distB="0" distL="114300" distR="114300" simplePos="0" relativeHeight="4" behindDoc="0" locked="0" layoutInCell="0" allowOverlap="1">
                <wp:simplePos x="0" y="0"/>
                <wp:positionH relativeFrom="column">
                  <wp:posOffset>1978025</wp:posOffset>
                </wp:positionH>
                <wp:positionV relativeFrom="paragraph">
                  <wp:posOffset>1257935</wp:posOffset>
                </wp:positionV>
                <wp:extent cx="336550" cy="154940"/>
                <wp:effectExtent l="19050" t="19050" r="25400" b="35560"/>
                <wp:wrapNone/>
                <wp:docPr id="17" name="Rak koppling 17"/>
                <wp:cNvGraphicFramePr/>
                <a:graphic xmlns:a="http://schemas.openxmlformats.org/drawingml/2006/main">
                  <a:graphicData uri="http://schemas.microsoft.com/office/word/2010/wordprocessingShape">
                    <wps:wsp>
                      <wps:cNvCnPr>
                        <a:stCxn id="0" idx="0"/>
                        <a:endCxn id="0" idx="0"/>
                      </wps:cNvCnPr>
                      <wps:spPr>
                        <a:xfrm>
                          <a:off x="0" y="0"/>
                          <a:ext cx="336815" cy="155276"/>
                        </a:xfrm>
                        <a:prstGeom prst="line"/>
                        <a:ln w="38100">
                          <a:solidFill>
                            <a:srgbClr val="00794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xmlns:o="urn:schemas-microsoft-com:office:office" id="Rak koppling 17" o:spid="_x0000_s1035" style="position:absolute;z-index:4;mso-wrap-distance-left:9pt;mso-wrap-distance-top:0pt;mso-wrap-distance-right:9pt;mso-wrap-distance-bottom:0pt;mso-position-horizontal:absolute;mso-position-horizontal-relative:text;mso-position-vertical:absolute;mso-position-vertical-relative:text" strokecolor="#007941" strokeweight="3pt" stroked="t" from="155.75pt,99.05pt" to="182.25pt,111.25pt">
                <v:stroke dashstyle="shortdot"/>
              </v:line>
            </w:pict>
          </mc:Fallback>
        </mc:AlternateContent>
      </w:r>
      <w:r>
        <w:rPr>
          <w:noProof w:val="1"/>
        </w:rPr>
        <mc:AlternateContent>
          <mc:Choice Requires="wps">
            <w:drawing>
              <wp:anchor xmlns:wp="http://schemas.openxmlformats.org/drawingml/2006/wordprocessingDrawing" distT="0" distB="0" distL="114300" distR="114300" simplePos="0" relativeHeight="2" behindDoc="0" locked="0" layoutInCell="1" allowOverlap="1">
                <wp:simplePos x="0" y="0"/>
                <wp:positionH relativeFrom="margin">
                  <wp:align>left</wp:align>
                </wp:positionH>
                <wp:positionV relativeFrom="paragraph">
                  <wp:posOffset>28575</wp:posOffset>
                </wp:positionV>
                <wp:extent cx="5202555" cy="2875915"/>
                <wp:effectExtent l="19050" t="19050" r="11430" b="27940"/>
                <wp:wrapNone/>
                <wp:docPr id="12" name="Rektangel 12"/>
                <wp:cNvGraphicFramePr/>
                <a:graphic xmlns:a="http://schemas.openxmlformats.org/drawingml/2006/main">
                  <a:graphicData uri="http://schemas.microsoft.com/office/word/2010/wordprocessingShape">
                    <wps:wsp>
                      <wps:cNvSpPr/>
                      <wps:spPr>
                        <a:xfrm>
                          <a:off x="0" y="0"/>
                          <a:ext cx="5202555" cy="2875915"/>
                        </a:xfrm>
                        <a:prstGeom prst="rect"/>
                        <a:noFill/>
                        <a:ln w="28575">
                          <a:solidFill>
                            <a:srgbClr val="007941"/>
                          </a:solidFill>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xmlns:o="urn:schemas-microsoft-com:office:office" id="Rektangel 12" o:spid="_x0000_s1036" style="position:absolute;width:409.65pt;height:226.45pt;z-index:2;mso-wrap-distance-left:9pt;mso-wrap-distance-top:0pt;mso-wrap-distance-right:9pt;mso-wrap-distance-bottom:0pt;margin-left:0pt;margin-top:2.25pt;mso-position-horizontal:left;mso-position-horizontal-relative:margin;mso-position-vertical:absolute;mso-position-vertical-relative:text;v-text-anchor:middle" o:allowincell="t" filled="f" strokecolor="#007941" strokeweight="2.25pt" stroked="t">
                <v:textbox inset="3mm,1mm,3mm,1mm">
                  <w:txbxContent>
                    <w:p/>
                  </w:txbxContent>
                </v:textbox>
              </v:rect>
            </w:pict>
          </mc:Fallback>
        </mc:AlternateContent>
      </w:r>
      <w:r>
        <w:rPr>
          <w:noProof w:val="1"/>
        </w:rPr>
        <w:drawing>
          <wp:inline xmlns:wp="http://schemas.openxmlformats.org/drawingml/2006/wordprocessingDrawing" distT="0" distB="0" distL="0" distR="0">
            <wp:extent cx="5226050" cy="2893695"/>
            <wp:effectExtent l="0" t="0" r="0" b="1905"/>
            <wp:docPr id="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82"/>
                    <pic:cNvPicPr/>
                  </pic:nvPicPr>
                  <pic:blipFill dpi="0">
                    <a:blip xmlns:r="http://schemas.openxmlformats.org/officeDocument/2006/relationships" r:embed="Relimage3"/>
                    <a:srcRect/>
                    <a:stretch>
                      <a:fillRect/>
                    </a:stretch>
                  </pic:blipFill>
                  <pic:spPr>
                    <a:xfrm>
                      <a:off x="0" y="0"/>
                      <a:ext cx="5226050" cy="2893695"/>
                    </a:xfrm>
                    <a:prstGeom prst="rect"/>
                  </pic:spPr>
                </pic:pic>
              </a:graphicData>
            </a:graphic>
          </wp:inline>
        </w:drawing>
      </w:r>
    </w:p>
    <w:p>
      <w:pPr>
        <w:ind w:left="0"/>
      </w:pPr>
    </w:p>
    <w:p>
      <w:pPr>
        <w:ind w:left="0"/>
      </w:pPr>
      <w:r>
        <w:t>INNEHÅLLSFÖRTECKNING</w:t>
      </w:r>
    </w:p>
    <w:p>
      <w:pPr>
        <w:pStyle w:val="P12"/>
        <w:tabs>
          <w:tab w:val="right" w:pos="9062" w:leader="dot"/>
        </w:tabs>
        <w:rPr>
          <w:rFonts w:cstheme="minorBidi" w:eastAsiaTheme="minorEastAsia"/>
          <w:i w:val="0"/>
          <w:iCs w:val="0"/>
          <w:noProof w:val="1"/>
          <w:color w:val="auto"/>
          <w:sz w:val="24"/>
          <w:szCs w:val="24"/>
          <w:kern w:val="2"/>
        </w:rPr>
      </w:pPr>
      <w:r>
        <w:rPr>
          <w:b w:val="1"/>
          <w:bCs w:val="1"/>
          <w:caps w:val="1"/>
          <w:szCs w:val="18"/>
          <w:u w:val="single"/>
        </w:rPr>
        <w:fldChar w:fldCharType="begin"/>
      </w:r>
      <w:r>
        <w:rPr>
          <w:szCs w:val="18"/>
          <w:u w:val="single"/>
        </w:rPr>
        <w:instrText xml:space="preserve"> TOC \o "1-3" \h \z \u </w:instrText>
      </w:r>
      <w:r>
        <w:rPr>
          <w:b w:val="1"/>
          <w:bCs w:val="1"/>
          <w:caps w:val="1"/>
          <w:szCs w:val="18"/>
          <w:u w:val="single"/>
        </w:rPr>
        <w:fldChar w:fldCharType="separate"/>
      </w:r>
      <w:hyperlink w:anchor="_Toc207616093">
        <w:r>
          <w:rPr>
            <w:rStyle w:val="C2"/>
            <w:noProof w:val="1"/>
          </w:rPr>
          <w:t>Ärendeinformation</w:t>
        </w:r>
        <w:r>
          <w:rPr>
            <w:noProof w:val="1"/>
          </w:rPr>
          <w:tab/>
        </w:r>
        <w:r>
          <w:rPr>
            <w:noProof w:val="1"/>
          </w:rPr>
          <w:fldChar w:fldCharType="begin"/>
        </w:r>
        <w:r>
          <w:rPr>
            <w:noProof w:val="1"/>
          </w:rPr>
          <w:instrText xml:space="preserve"> PAGEREF _Toc207616093 \h </w:instrText>
        </w:r>
        <w:r>
          <w:rPr>
            <w:noProof w:val="1"/>
          </w:rPr>
          <w:fldChar w:fldCharType="separate"/>
        </w:r>
        <w:r>
          <w:rPr>
            <w:noProof w:val="1"/>
          </w:rPr>
          <w:t>2</w:t>
        </w:r>
        <w:r>
          <w:rPr>
            <w:noProof w:val="1"/>
          </w:rPr>
          <w:fldChar w:fldCharType="end"/>
        </w:r>
      </w:hyperlink>
    </w:p>
    <w:p>
      <w:pPr>
        <w:pStyle w:val="P10"/>
        <w:tabs>
          <w:tab w:val="left" w:pos="440" w:leader="none"/>
          <w:tab w:val="right" w:pos="9062" w:leader="dot"/>
        </w:tabs>
        <w:rPr>
          <w:rFonts w:cstheme="minorBidi" w:eastAsiaTheme="minorEastAsia"/>
          <w:b w:val="0"/>
          <w:bCs w:val="0"/>
          <w:caps w:val="0"/>
          <w:noProof w:val="1"/>
          <w:color w:val="auto"/>
          <w:sz w:val="24"/>
          <w:szCs w:val="24"/>
          <w:kern w:val="2"/>
        </w:rPr>
      </w:pPr>
      <w:hyperlink w:anchor="_Toc207616094">
        <w:r>
          <w:rPr>
            <w:rStyle w:val="C2"/>
            <w:noProof w:val="1"/>
          </w:rPr>
          <w:t>1</w:t>
        </w:r>
        <w:r>
          <w:rPr>
            <w:rFonts w:cstheme="minorBidi" w:eastAsiaTheme="minorEastAsia"/>
            <w:b w:val="0"/>
            <w:bCs w:val="0"/>
            <w:caps w:val="0"/>
            <w:noProof w:val="1"/>
            <w:color w:val="auto"/>
            <w:sz w:val="24"/>
            <w:szCs w:val="24"/>
            <w:kern w:val="2"/>
          </w:rPr>
          <w:tab/>
        </w:r>
        <w:r>
          <w:rPr>
            <w:rStyle w:val="C2"/>
            <w:noProof w:val="1"/>
          </w:rPr>
          <w:t>Om detaljplan</w:t>
        </w:r>
        <w:r>
          <w:rPr>
            <w:noProof w:val="1"/>
          </w:rPr>
          <w:tab/>
        </w:r>
        <w:r>
          <w:rPr>
            <w:noProof w:val="1"/>
          </w:rPr>
          <w:fldChar w:fldCharType="begin"/>
        </w:r>
        <w:r>
          <w:rPr>
            <w:noProof w:val="1"/>
          </w:rPr>
          <w:instrText xml:space="preserve"> PAGEREF _Toc207616094 \h </w:instrText>
        </w:r>
        <w:r>
          <w:rPr>
            <w:noProof w:val="1"/>
          </w:rPr>
          <w:fldChar w:fldCharType="separate"/>
        </w:r>
        <w:r>
          <w:rPr>
            <w:noProof w:val="1"/>
          </w:rPr>
          <w:t>6</w:t>
        </w:r>
        <w:r>
          <w:rPr>
            <w:noProof w:val="1"/>
          </w:rPr>
          <w:fldChar w:fldCharType="end"/>
        </w:r>
      </w:hyperlink>
    </w:p>
    <w:p>
      <w:pPr>
        <w:pStyle w:val="P11"/>
        <w:tabs>
          <w:tab w:val="right" w:pos="9062" w:leader="dot"/>
        </w:tabs>
        <w:rPr>
          <w:rFonts w:cstheme="minorBidi" w:eastAsiaTheme="minorEastAsia"/>
          <w:smallCaps w:val="0"/>
          <w:noProof w:val="1"/>
          <w:color w:val="auto"/>
          <w:sz w:val="24"/>
          <w:szCs w:val="24"/>
          <w:kern w:val="2"/>
        </w:rPr>
      </w:pPr>
      <w:hyperlink w:anchor="_Toc207616095">
        <w:r>
          <w:rPr>
            <w:rStyle w:val="C2"/>
            <w:noProof w:val="1"/>
          </w:rPr>
          <w:t>1.1 Detaljplaneprocessen</w:t>
        </w:r>
        <w:r>
          <w:rPr>
            <w:noProof w:val="1"/>
          </w:rPr>
          <w:tab/>
        </w:r>
        <w:r>
          <w:rPr>
            <w:noProof w:val="1"/>
          </w:rPr>
          <w:fldChar w:fldCharType="begin"/>
        </w:r>
        <w:r>
          <w:rPr>
            <w:noProof w:val="1"/>
          </w:rPr>
          <w:instrText xml:space="preserve"> PAGEREF _Toc207616095 \h </w:instrText>
        </w:r>
        <w:r>
          <w:rPr>
            <w:noProof w:val="1"/>
          </w:rPr>
          <w:fldChar w:fldCharType="separate"/>
        </w:r>
        <w:r>
          <w:rPr>
            <w:noProof w:val="1"/>
          </w:rPr>
          <w:t>6</w:t>
        </w:r>
        <w:r>
          <w:rPr>
            <w:noProof w:val="1"/>
          </w:rPr>
          <w:fldChar w:fldCharType="end"/>
        </w:r>
      </w:hyperlink>
    </w:p>
    <w:p>
      <w:pPr>
        <w:pStyle w:val="P11"/>
        <w:tabs>
          <w:tab w:val="right" w:pos="9062" w:leader="dot"/>
        </w:tabs>
        <w:rPr>
          <w:rFonts w:cstheme="minorBidi" w:eastAsiaTheme="minorEastAsia"/>
          <w:smallCaps w:val="0"/>
          <w:noProof w:val="1"/>
          <w:color w:val="auto"/>
          <w:sz w:val="24"/>
          <w:szCs w:val="24"/>
          <w:kern w:val="2"/>
        </w:rPr>
      </w:pPr>
      <w:hyperlink w:anchor="_Toc207616096">
        <w:r>
          <w:rPr>
            <w:rStyle w:val="C2"/>
            <w:noProof w:val="1"/>
          </w:rPr>
          <w:t>1.2 Planförfarande</w:t>
        </w:r>
        <w:r>
          <w:rPr>
            <w:noProof w:val="1"/>
          </w:rPr>
          <w:tab/>
        </w:r>
        <w:r>
          <w:rPr>
            <w:noProof w:val="1"/>
          </w:rPr>
          <w:fldChar w:fldCharType="begin"/>
        </w:r>
        <w:r>
          <w:rPr>
            <w:noProof w:val="1"/>
          </w:rPr>
          <w:instrText xml:space="preserve"> PAGEREF _Toc207616096 \h </w:instrText>
        </w:r>
        <w:r>
          <w:rPr>
            <w:noProof w:val="1"/>
          </w:rPr>
          <w:fldChar w:fldCharType="separate"/>
        </w:r>
        <w:r>
          <w:rPr>
            <w:noProof w:val="1"/>
          </w:rPr>
          <w:t>6</w:t>
        </w:r>
        <w:r>
          <w:rPr>
            <w:noProof w:val="1"/>
          </w:rPr>
          <w:fldChar w:fldCharType="end"/>
        </w:r>
      </w:hyperlink>
    </w:p>
    <w:p>
      <w:pPr>
        <w:pStyle w:val="P10"/>
        <w:tabs>
          <w:tab w:val="left" w:pos="440" w:leader="none"/>
          <w:tab w:val="right" w:pos="9062" w:leader="dot"/>
        </w:tabs>
        <w:rPr>
          <w:rFonts w:cstheme="minorBidi" w:eastAsiaTheme="minorEastAsia"/>
          <w:b w:val="0"/>
          <w:bCs w:val="0"/>
          <w:caps w:val="0"/>
          <w:noProof w:val="1"/>
          <w:color w:val="auto"/>
          <w:sz w:val="24"/>
          <w:szCs w:val="24"/>
          <w:kern w:val="2"/>
        </w:rPr>
      </w:pPr>
      <w:hyperlink w:anchor="_Toc207616097">
        <w:r>
          <w:rPr>
            <w:rStyle w:val="C2"/>
            <w:noProof w:val="1"/>
          </w:rPr>
          <w:t>2</w:t>
        </w:r>
        <w:r>
          <w:rPr>
            <w:rFonts w:cstheme="minorBidi" w:eastAsiaTheme="minorEastAsia"/>
            <w:b w:val="0"/>
            <w:bCs w:val="0"/>
            <w:caps w:val="0"/>
            <w:noProof w:val="1"/>
            <w:color w:val="auto"/>
            <w:sz w:val="24"/>
            <w:szCs w:val="24"/>
            <w:kern w:val="2"/>
          </w:rPr>
          <w:tab/>
        </w:r>
        <w:r>
          <w:rPr>
            <w:rStyle w:val="C2"/>
            <w:noProof w:val="1"/>
          </w:rPr>
          <w:t>Detaljplanens syfte</w:t>
        </w:r>
        <w:r>
          <w:rPr>
            <w:noProof w:val="1"/>
          </w:rPr>
          <w:tab/>
        </w:r>
        <w:r>
          <w:rPr>
            <w:noProof w:val="1"/>
          </w:rPr>
          <w:fldChar w:fldCharType="begin"/>
        </w:r>
        <w:r>
          <w:rPr>
            <w:noProof w:val="1"/>
          </w:rPr>
          <w:instrText xml:space="preserve"> PAGEREF _Toc207616097 \h </w:instrText>
        </w:r>
        <w:r>
          <w:rPr>
            <w:noProof w:val="1"/>
          </w:rPr>
          <w:fldChar w:fldCharType="separate"/>
        </w:r>
        <w:r>
          <w:rPr>
            <w:noProof w:val="1"/>
          </w:rPr>
          <w:t>7</w:t>
        </w:r>
        <w:r>
          <w:rPr>
            <w:noProof w:val="1"/>
          </w:rPr>
          <w:fldChar w:fldCharType="end"/>
        </w:r>
      </w:hyperlink>
    </w:p>
    <w:p>
      <w:pPr>
        <w:pStyle w:val="P10"/>
        <w:tabs>
          <w:tab w:val="left" w:pos="440" w:leader="none"/>
          <w:tab w:val="right" w:pos="9062" w:leader="dot"/>
        </w:tabs>
        <w:rPr>
          <w:rFonts w:cstheme="minorBidi" w:eastAsiaTheme="minorEastAsia"/>
          <w:b w:val="0"/>
          <w:bCs w:val="0"/>
          <w:caps w:val="0"/>
          <w:noProof w:val="1"/>
          <w:color w:val="auto"/>
          <w:sz w:val="24"/>
          <w:szCs w:val="24"/>
          <w:kern w:val="2"/>
        </w:rPr>
      </w:pPr>
      <w:hyperlink w:anchor="_Toc207616098">
        <w:r>
          <w:rPr>
            <w:rStyle w:val="C2"/>
            <w:noProof w:val="1"/>
          </w:rPr>
          <w:t>3</w:t>
        </w:r>
        <w:r>
          <w:rPr>
            <w:rFonts w:cstheme="minorBidi" w:eastAsiaTheme="minorEastAsia"/>
            <w:b w:val="0"/>
            <w:bCs w:val="0"/>
            <w:caps w:val="0"/>
            <w:noProof w:val="1"/>
            <w:color w:val="auto"/>
            <w:sz w:val="24"/>
            <w:szCs w:val="24"/>
            <w:kern w:val="2"/>
          </w:rPr>
          <w:tab/>
        </w:r>
        <w:r>
          <w:rPr>
            <w:rStyle w:val="C2"/>
            <w:noProof w:val="1"/>
          </w:rPr>
          <w:t>Beskrivning av detaljplanen</w:t>
        </w:r>
        <w:r>
          <w:rPr>
            <w:noProof w:val="1"/>
          </w:rPr>
          <w:tab/>
        </w:r>
        <w:r>
          <w:rPr>
            <w:noProof w:val="1"/>
          </w:rPr>
          <w:fldChar w:fldCharType="begin"/>
        </w:r>
        <w:r>
          <w:rPr>
            <w:noProof w:val="1"/>
          </w:rPr>
          <w:instrText xml:space="preserve"> PAGEREF _Toc207616098 \h </w:instrText>
        </w:r>
        <w:r>
          <w:rPr>
            <w:noProof w:val="1"/>
          </w:rPr>
          <w:fldChar w:fldCharType="separate"/>
        </w:r>
        <w:r>
          <w:rPr>
            <w:noProof w:val="1"/>
          </w:rPr>
          <w:t>7</w:t>
        </w:r>
        <w:r>
          <w:rPr>
            <w:noProof w:val="1"/>
          </w:rPr>
          <w:fldChar w:fldCharType="end"/>
        </w:r>
      </w:hyperlink>
    </w:p>
    <w:p>
      <w:pPr>
        <w:pStyle w:val="P11"/>
        <w:tabs>
          <w:tab w:val="right" w:pos="9062" w:leader="dot"/>
        </w:tabs>
        <w:rPr>
          <w:rFonts w:cstheme="minorBidi" w:eastAsiaTheme="minorEastAsia"/>
          <w:smallCaps w:val="0"/>
          <w:noProof w:val="1"/>
          <w:color w:val="auto"/>
          <w:sz w:val="24"/>
          <w:szCs w:val="24"/>
          <w:kern w:val="2"/>
        </w:rPr>
      </w:pPr>
      <w:hyperlink w:anchor="_Toc207616099">
        <w:r>
          <w:rPr>
            <w:rStyle w:val="C2"/>
            <w:noProof w:val="1"/>
          </w:rPr>
          <w:t>3.1 Detaljplanens omfattning och lokalisering</w:t>
        </w:r>
        <w:r>
          <w:rPr>
            <w:noProof w:val="1"/>
          </w:rPr>
          <w:tab/>
        </w:r>
        <w:r>
          <w:rPr>
            <w:noProof w:val="1"/>
          </w:rPr>
          <w:fldChar w:fldCharType="begin"/>
        </w:r>
        <w:r>
          <w:rPr>
            <w:noProof w:val="1"/>
          </w:rPr>
          <w:instrText xml:space="preserve"> PAGEREF _Toc207616099 \h </w:instrText>
        </w:r>
        <w:r>
          <w:rPr>
            <w:noProof w:val="1"/>
          </w:rPr>
          <w:fldChar w:fldCharType="separate"/>
        </w:r>
        <w:r>
          <w:rPr>
            <w:noProof w:val="1"/>
          </w:rPr>
          <w:t>7</w:t>
        </w:r>
        <w:r>
          <w:rPr>
            <w:noProof w:val="1"/>
          </w:rPr>
          <w:fldChar w:fldCharType="end"/>
        </w:r>
      </w:hyperlink>
    </w:p>
    <w:p>
      <w:pPr>
        <w:pStyle w:val="P11"/>
        <w:tabs>
          <w:tab w:val="right" w:pos="9062" w:leader="dot"/>
        </w:tabs>
        <w:rPr>
          <w:rFonts w:cstheme="minorBidi" w:eastAsiaTheme="minorEastAsia"/>
          <w:smallCaps w:val="0"/>
          <w:noProof w:val="1"/>
          <w:color w:val="auto"/>
          <w:sz w:val="24"/>
          <w:szCs w:val="24"/>
          <w:kern w:val="2"/>
        </w:rPr>
      </w:pPr>
      <w:hyperlink w:anchor="_Toc207616100">
        <w:r>
          <w:rPr>
            <w:rStyle w:val="C2"/>
            <w:noProof w:val="1"/>
          </w:rPr>
          <w:t>3.2 Planförslag</w:t>
        </w:r>
        <w:r>
          <w:rPr>
            <w:noProof w:val="1"/>
          </w:rPr>
          <w:tab/>
        </w:r>
        <w:r>
          <w:rPr>
            <w:noProof w:val="1"/>
          </w:rPr>
          <w:fldChar w:fldCharType="begin"/>
        </w:r>
        <w:r>
          <w:rPr>
            <w:noProof w:val="1"/>
          </w:rPr>
          <w:instrText xml:space="preserve"> PAGEREF _Toc207616100 \h </w:instrText>
        </w:r>
        <w:r>
          <w:rPr>
            <w:noProof w:val="1"/>
          </w:rPr>
          <w:fldChar w:fldCharType="separate"/>
        </w:r>
        <w:r>
          <w:rPr>
            <w:noProof w:val="1"/>
          </w:rPr>
          <w:t>7</w:t>
        </w:r>
        <w:r>
          <w:rPr>
            <w:noProof w:val="1"/>
          </w:rPr>
          <w:fldChar w:fldCharType="end"/>
        </w:r>
      </w:hyperlink>
    </w:p>
    <w:p>
      <w:pPr>
        <w:pStyle w:val="P11"/>
        <w:tabs>
          <w:tab w:val="right" w:pos="9062" w:leader="dot"/>
        </w:tabs>
        <w:rPr>
          <w:rFonts w:cstheme="minorBidi" w:eastAsiaTheme="minorEastAsia"/>
          <w:smallCaps w:val="0"/>
          <w:noProof w:val="1"/>
          <w:color w:val="auto"/>
          <w:sz w:val="24"/>
          <w:szCs w:val="24"/>
          <w:kern w:val="2"/>
        </w:rPr>
      </w:pPr>
      <w:hyperlink w:anchor="_Toc207616101">
        <w:r>
          <w:rPr>
            <w:rStyle w:val="C2"/>
            <w:noProof w:val="1"/>
          </w:rPr>
          <w:t>3.3 Allmän plats</w:t>
        </w:r>
        <w:r>
          <w:rPr>
            <w:noProof w:val="1"/>
          </w:rPr>
          <w:tab/>
        </w:r>
        <w:r>
          <w:rPr>
            <w:noProof w:val="1"/>
          </w:rPr>
          <w:fldChar w:fldCharType="begin"/>
        </w:r>
        <w:r>
          <w:rPr>
            <w:noProof w:val="1"/>
          </w:rPr>
          <w:instrText xml:space="preserve"> PAGEREF _Toc207616101 \h </w:instrText>
        </w:r>
        <w:r>
          <w:rPr>
            <w:noProof w:val="1"/>
          </w:rPr>
          <w:fldChar w:fldCharType="separate"/>
        </w:r>
        <w:r>
          <w:rPr>
            <w:noProof w:val="1"/>
          </w:rPr>
          <w:t>7</w:t>
        </w:r>
        <w:r>
          <w:rPr>
            <w:noProof w:val="1"/>
          </w:rPr>
          <w:fldChar w:fldCharType="end"/>
        </w:r>
      </w:hyperlink>
    </w:p>
    <w:p>
      <w:pPr>
        <w:pStyle w:val="P11"/>
        <w:tabs>
          <w:tab w:val="right" w:pos="9062" w:leader="dot"/>
        </w:tabs>
        <w:rPr>
          <w:rFonts w:cstheme="minorBidi" w:eastAsiaTheme="minorEastAsia"/>
          <w:smallCaps w:val="0"/>
          <w:noProof w:val="1"/>
          <w:color w:val="auto"/>
          <w:sz w:val="24"/>
          <w:szCs w:val="24"/>
          <w:kern w:val="2"/>
        </w:rPr>
      </w:pPr>
      <w:hyperlink w:anchor="_Toc207616102">
        <w:r>
          <w:rPr>
            <w:rStyle w:val="C2"/>
            <w:noProof w:val="1"/>
          </w:rPr>
          <w:t>3.4 Kvartersmark</w:t>
        </w:r>
        <w:r>
          <w:rPr>
            <w:noProof w:val="1"/>
          </w:rPr>
          <w:tab/>
        </w:r>
        <w:r>
          <w:rPr>
            <w:noProof w:val="1"/>
          </w:rPr>
          <w:fldChar w:fldCharType="begin"/>
        </w:r>
        <w:r>
          <w:rPr>
            <w:noProof w:val="1"/>
          </w:rPr>
          <w:instrText xml:space="preserve"> PAGEREF _Toc207616102 \h </w:instrText>
        </w:r>
        <w:r>
          <w:rPr>
            <w:noProof w:val="1"/>
          </w:rPr>
          <w:fldChar w:fldCharType="separate"/>
        </w:r>
        <w:r>
          <w:rPr>
            <w:noProof w:val="1"/>
          </w:rPr>
          <w:t>7</w:t>
        </w:r>
        <w:r>
          <w:rPr>
            <w:noProof w:val="1"/>
          </w:rPr>
          <w:fldChar w:fldCharType="end"/>
        </w:r>
      </w:hyperlink>
    </w:p>
    <w:p>
      <w:pPr>
        <w:pStyle w:val="P11"/>
        <w:tabs>
          <w:tab w:val="right" w:pos="9062" w:leader="dot"/>
        </w:tabs>
        <w:rPr>
          <w:rFonts w:cstheme="minorBidi" w:eastAsiaTheme="minorEastAsia"/>
          <w:smallCaps w:val="0"/>
          <w:noProof w:val="1"/>
          <w:color w:val="auto"/>
          <w:sz w:val="24"/>
          <w:szCs w:val="24"/>
          <w:kern w:val="2"/>
        </w:rPr>
      </w:pPr>
      <w:hyperlink w:anchor="_Toc207616103">
        <w:r>
          <w:rPr>
            <w:rStyle w:val="C2"/>
            <w:noProof w:val="1"/>
          </w:rPr>
          <w:t>3.5 Genomförandetid</w:t>
        </w:r>
        <w:r>
          <w:rPr>
            <w:noProof w:val="1"/>
          </w:rPr>
          <w:tab/>
        </w:r>
        <w:r>
          <w:rPr>
            <w:noProof w:val="1"/>
          </w:rPr>
          <w:fldChar w:fldCharType="begin"/>
        </w:r>
        <w:r>
          <w:rPr>
            <w:noProof w:val="1"/>
          </w:rPr>
          <w:instrText xml:space="preserve"> PAGEREF _Toc207616103 \h </w:instrText>
        </w:r>
        <w:r>
          <w:rPr>
            <w:noProof w:val="1"/>
          </w:rPr>
          <w:fldChar w:fldCharType="separate"/>
        </w:r>
        <w:r>
          <w:rPr>
            <w:noProof w:val="1"/>
          </w:rPr>
          <w:t>8</w:t>
        </w:r>
        <w:r>
          <w:rPr>
            <w:noProof w:val="1"/>
          </w:rPr>
          <w:fldChar w:fldCharType="end"/>
        </w:r>
      </w:hyperlink>
    </w:p>
    <w:p>
      <w:pPr>
        <w:pStyle w:val="P10"/>
        <w:tabs>
          <w:tab w:val="left" w:pos="440" w:leader="none"/>
          <w:tab w:val="right" w:pos="9062" w:leader="dot"/>
        </w:tabs>
        <w:rPr>
          <w:rFonts w:cstheme="minorBidi" w:eastAsiaTheme="minorEastAsia"/>
          <w:b w:val="0"/>
          <w:bCs w:val="0"/>
          <w:caps w:val="0"/>
          <w:noProof w:val="1"/>
          <w:color w:val="auto"/>
          <w:sz w:val="24"/>
          <w:szCs w:val="24"/>
          <w:kern w:val="2"/>
        </w:rPr>
      </w:pPr>
      <w:hyperlink w:anchor="_Toc207616104">
        <w:r>
          <w:rPr>
            <w:rStyle w:val="C2"/>
            <w:noProof w:val="1"/>
          </w:rPr>
          <w:t>4</w:t>
        </w:r>
        <w:r>
          <w:rPr>
            <w:rFonts w:cstheme="minorBidi" w:eastAsiaTheme="minorEastAsia"/>
            <w:b w:val="0"/>
            <w:bCs w:val="0"/>
            <w:caps w:val="0"/>
            <w:noProof w:val="1"/>
            <w:color w:val="auto"/>
            <w:sz w:val="24"/>
            <w:szCs w:val="24"/>
            <w:kern w:val="2"/>
          </w:rPr>
          <w:tab/>
        </w:r>
        <w:r>
          <w:rPr>
            <w:rStyle w:val="C2"/>
            <w:noProof w:val="1"/>
          </w:rPr>
          <w:t>Motiv till detaljplanens regleringar</w:t>
        </w:r>
        <w:r>
          <w:rPr>
            <w:noProof w:val="1"/>
          </w:rPr>
          <w:tab/>
        </w:r>
        <w:r>
          <w:rPr>
            <w:noProof w:val="1"/>
          </w:rPr>
          <w:fldChar w:fldCharType="begin"/>
        </w:r>
        <w:r>
          <w:rPr>
            <w:noProof w:val="1"/>
          </w:rPr>
          <w:instrText xml:space="preserve"> PAGEREF _Toc207616104 \h </w:instrText>
        </w:r>
        <w:r>
          <w:rPr>
            <w:noProof w:val="1"/>
          </w:rPr>
          <w:fldChar w:fldCharType="separate"/>
        </w:r>
        <w:r>
          <w:rPr>
            <w:noProof w:val="1"/>
          </w:rPr>
          <w:t>8</w:t>
        </w:r>
        <w:r>
          <w:rPr>
            <w:noProof w:val="1"/>
          </w:rPr>
          <w:fldChar w:fldCharType="end"/>
        </w:r>
      </w:hyperlink>
    </w:p>
    <w:p>
      <w:pPr>
        <w:pStyle w:val="P11"/>
        <w:tabs>
          <w:tab w:val="right" w:pos="9062" w:leader="dot"/>
        </w:tabs>
        <w:rPr>
          <w:rFonts w:cstheme="minorBidi" w:eastAsiaTheme="minorEastAsia"/>
          <w:smallCaps w:val="0"/>
          <w:noProof w:val="1"/>
          <w:color w:val="auto"/>
          <w:sz w:val="24"/>
          <w:szCs w:val="24"/>
          <w:kern w:val="2"/>
        </w:rPr>
      </w:pPr>
      <w:hyperlink w:anchor="_Toc207616105">
        <w:r>
          <w:rPr>
            <w:rStyle w:val="C2"/>
            <w:noProof w:val="1"/>
          </w:rPr>
          <w:t>4.1 Allmän platsmark</w:t>
        </w:r>
        <w:r>
          <w:rPr>
            <w:noProof w:val="1"/>
          </w:rPr>
          <w:tab/>
        </w:r>
        <w:r>
          <w:rPr>
            <w:noProof w:val="1"/>
          </w:rPr>
          <w:fldChar w:fldCharType="begin"/>
        </w:r>
        <w:r>
          <w:rPr>
            <w:noProof w:val="1"/>
          </w:rPr>
          <w:instrText xml:space="preserve"> PAGEREF _Toc207616105 \h </w:instrText>
        </w:r>
        <w:r>
          <w:rPr>
            <w:noProof w:val="1"/>
          </w:rPr>
          <w:fldChar w:fldCharType="separate"/>
        </w:r>
        <w:r>
          <w:rPr>
            <w:noProof w:val="1"/>
          </w:rPr>
          <w:t>8</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06">
        <w:r>
          <w:rPr>
            <w:rStyle w:val="C2"/>
            <w:noProof w:val="1"/>
          </w:rPr>
          <w:t>4.1.1 Reglering av allmän platsmark</w:t>
        </w:r>
        <w:r>
          <w:rPr>
            <w:noProof w:val="1"/>
          </w:rPr>
          <w:tab/>
        </w:r>
        <w:r>
          <w:rPr>
            <w:noProof w:val="1"/>
          </w:rPr>
          <w:fldChar w:fldCharType="begin"/>
        </w:r>
        <w:r>
          <w:rPr>
            <w:noProof w:val="1"/>
          </w:rPr>
          <w:instrText xml:space="preserve"> PAGEREF _Toc207616106 \h </w:instrText>
        </w:r>
        <w:r>
          <w:rPr>
            <w:noProof w:val="1"/>
          </w:rPr>
          <w:fldChar w:fldCharType="separate"/>
        </w:r>
        <w:r>
          <w:rPr>
            <w:noProof w:val="1"/>
          </w:rPr>
          <w:t>8</w:t>
        </w:r>
        <w:r>
          <w:rPr>
            <w:noProof w:val="1"/>
          </w:rPr>
          <w:fldChar w:fldCharType="end"/>
        </w:r>
      </w:hyperlink>
    </w:p>
    <w:p>
      <w:pPr>
        <w:pStyle w:val="P11"/>
        <w:tabs>
          <w:tab w:val="right" w:pos="9062" w:leader="dot"/>
        </w:tabs>
        <w:rPr>
          <w:rFonts w:cstheme="minorBidi" w:eastAsiaTheme="minorEastAsia"/>
          <w:smallCaps w:val="0"/>
          <w:noProof w:val="1"/>
          <w:color w:val="auto"/>
          <w:sz w:val="24"/>
          <w:szCs w:val="24"/>
          <w:kern w:val="2"/>
        </w:rPr>
      </w:pPr>
      <w:hyperlink w:anchor="_Toc207616107">
        <w:r>
          <w:rPr>
            <w:rStyle w:val="C2"/>
            <w:noProof w:val="1"/>
          </w:rPr>
          <w:t>4.2 Kvartersmark</w:t>
        </w:r>
        <w:r>
          <w:rPr>
            <w:noProof w:val="1"/>
          </w:rPr>
          <w:tab/>
        </w:r>
        <w:r>
          <w:rPr>
            <w:noProof w:val="1"/>
          </w:rPr>
          <w:fldChar w:fldCharType="begin"/>
        </w:r>
        <w:r>
          <w:rPr>
            <w:noProof w:val="1"/>
          </w:rPr>
          <w:instrText xml:space="preserve"> PAGEREF _Toc207616107 \h </w:instrText>
        </w:r>
        <w:r>
          <w:rPr>
            <w:noProof w:val="1"/>
          </w:rPr>
          <w:fldChar w:fldCharType="separate"/>
        </w:r>
        <w:r>
          <w:rPr>
            <w:noProof w:val="1"/>
          </w:rPr>
          <w:t>8</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08">
        <w:r>
          <w:rPr>
            <w:rStyle w:val="C2"/>
            <w:noProof w:val="1"/>
          </w:rPr>
          <w:t>4.2.1 Reglering av kvartersmark</w:t>
        </w:r>
        <w:r>
          <w:rPr>
            <w:noProof w:val="1"/>
          </w:rPr>
          <w:tab/>
        </w:r>
        <w:r>
          <w:rPr>
            <w:noProof w:val="1"/>
          </w:rPr>
          <w:fldChar w:fldCharType="begin"/>
        </w:r>
        <w:r>
          <w:rPr>
            <w:noProof w:val="1"/>
          </w:rPr>
          <w:instrText xml:space="preserve"> PAGEREF _Toc207616108 \h </w:instrText>
        </w:r>
        <w:r>
          <w:rPr>
            <w:noProof w:val="1"/>
          </w:rPr>
          <w:fldChar w:fldCharType="separate"/>
        </w:r>
        <w:r>
          <w:rPr>
            <w:noProof w:val="1"/>
          </w:rPr>
          <w:t>9</w:t>
        </w:r>
        <w:r>
          <w:rPr>
            <w:noProof w:val="1"/>
          </w:rPr>
          <w:fldChar w:fldCharType="end"/>
        </w:r>
      </w:hyperlink>
    </w:p>
    <w:p>
      <w:pPr>
        <w:pStyle w:val="P10"/>
        <w:tabs>
          <w:tab w:val="left" w:pos="440" w:leader="none"/>
          <w:tab w:val="right" w:pos="9062" w:leader="dot"/>
        </w:tabs>
        <w:rPr>
          <w:rFonts w:cstheme="minorBidi" w:eastAsiaTheme="minorEastAsia"/>
          <w:b w:val="0"/>
          <w:bCs w:val="0"/>
          <w:caps w:val="0"/>
          <w:noProof w:val="1"/>
          <w:color w:val="auto"/>
          <w:sz w:val="24"/>
          <w:szCs w:val="24"/>
          <w:kern w:val="2"/>
        </w:rPr>
      </w:pPr>
      <w:hyperlink w:anchor="_Toc207616109">
        <w:r>
          <w:rPr>
            <w:rStyle w:val="C2"/>
            <w:noProof w:val="1"/>
          </w:rPr>
          <w:t>5</w:t>
        </w:r>
        <w:r>
          <w:rPr>
            <w:rFonts w:cstheme="minorBidi" w:eastAsiaTheme="minorEastAsia"/>
            <w:b w:val="0"/>
            <w:bCs w:val="0"/>
            <w:caps w:val="0"/>
            <w:noProof w:val="1"/>
            <w:color w:val="auto"/>
            <w:sz w:val="24"/>
            <w:szCs w:val="24"/>
            <w:kern w:val="2"/>
          </w:rPr>
          <w:tab/>
        </w:r>
        <w:r>
          <w:rPr>
            <w:rStyle w:val="C2"/>
            <w:noProof w:val="1"/>
          </w:rPr>
          <w:t>Genomförandefrågor</w:t>
        </w:r>
        <w:r>
          <w:rPr>
            <w:noProof w:val="1"/>
          </w:rPr>
          <w:tab/>
        </w:r>
        <w:r>
          <w:rPr>
            <w:noProof w:val="1"/>
          </w:rPr>
          <w:fldChar w:fldCharType="begin"/>
        </w:r>
        <w:r>
          <w:rPr>
            <w:noProof w:val="1"/>
          </w:rPr>
          <w:instrText xml:space="preserve"> PAGEREF _Toc207616109 \h </w:instrText>
        </w:r>
        <w:r>
          <w:rPr>
            <w:noProof w:val="1"/>
          </w:rPr>
          <w:fldChar w:fldCharType="separate"/>
        </w:r>
        <w:r>
          <w:rPr>
            <w:noProof w:val="1"/>
          </w:rPr>
          <w:t>11</w:t>
        </w:r>
        <w:r>
          <w:rPr>
            <w:noProof w:val="1"/>
          </w:rPr>
          <w:fldChar w:fldCharType="end"/>
        </w:r>
      </w:hyperlink>
    </w:p>
    <w:p>
      <w:pPr>
        <w:pStyle w:val="P11"/>
        <w:tabs>
          <w:tab w:val="right" w:pos="9062" w:leader="dot"/>
        </w:tabs>
        <w:rPr>
          <w:rFonts w:cstheme="minorBidi" w:eastAsiaTheme="minorEastAsia"/>
          <w:smallCaps w:val="0"/>
          <w:noProof w:val="1"/>
          <w:color w:val="auto"/>
          <w:sz w:val="24"/>
          <w:szCs w:val="24"/>
          <w:kern w:val="2"/>
        </w:rPr>
      </w:pPr>
      <w:hyperlink w:anchor="_Toc207616110">
        <w:r>
          <w:rPr>
            <w:rStyle w:val="C2"/>
            <w:noProof w:val="1"/>
          </w:rPr>
          <w:t>5.1 Mark- och utrymmesförvärv</w:t>
        </w:r>
        <w:r>
          <w:rPr>
            <w:noProof w:val="1"/>
          </w:rPr>
          <w:tab/>
        </w:r>
        <w:r>
          <w:rPr>
            <w:noProof w:val="1"/>
          </w:rPr>
          <w:fldChar w:fldCharType="begin"/>
        </w:r>
        <w:r>
          <w:rPr>
            <w:noProof w:val="1"/>
          </w:rPr>
          <w:instrText xml:space="preserve"> PAGEREF _Toc207616110 \h </w:instrText>
        </w:r>
        <w:r>
          <w:rPr>
            <w:noProof w:val="1"/>
          </w:rPr>
          <w:fldChar w:fldCharType="separate"/>
        </w:r>
        <w:r>
          <w:rPr>
            <w:noProof w:val="1"/>
          </w:rPr>
          <w:t>11</w:t>
        </w:r>
        <w:r>
          <w:rPr>
            <w:noProof w:val="1"/>
          </w:rPr>
          <w:fldChar w:fldCharType="end"/>
        </w:r>
      </w:hyperlink>
    </w:p>
    <w:p>
      <w:pPr>
        <w:pStyle w:val="P11"/>
        <w:tabs>
          <w:tab w:val="right" w:pos="9062" w:leader="dot"/>
        </w:tabs>
        <w:rPr>
          <w:rFonts w:cstheme="minorBidi" w:eastAsiaTheme="minorEastAsia"/>
          <w:smallCaps w:val="0"/>
          <w:noProof w:val="1"/>
          <w:color w:val="auto"/>
          <w:sz w:val="24"/>
          <w:szCs w:val="24"/>
          <w:kern w:val="2"/>
        </w:rPr>
      </w:pPr>
      <w:hyperlink w:anchor="_Toc207616111">
        <w:r>
          <w:rPr>
            <w:rStyle w:val="C2"/>
            <w:noProof w:val="1"/>
          </w:rPr>
          <w:t>5.2 Fastighetsrättsliga frågor</w:t>
        </w:r>
        <w:r>
          <w:rPr>
            <w:noProof w:val="1"/>
          </w:rPr>
          <w:tab/>
        </w:r>
        <w:r>
          <w:rPr>
            <w:noProof w:val="1"/>
          </w:rPr>
          <w:fldChar w:fldCharType="begin"/>
        </w:r>
        <w:r>
          <w:rPr>
            <w:noProof w:val="1"/>
          </w:rPr>
          <w:instrText xml:space="preserve"> PAGEREF _Toc207616111 \h </w:instrText>
        </w:r>
        <w:r>
          <w:rPr>
            <w:noProof w:val="1"/>
          </w:rPr>
          <w:fldChar w:fldCharType="separate"/>
        </w:r>
        <w:r>
          <w:rPr>
            <w:noProof w:val="1"/>
          </w:rPr>
          <w:t>11</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12">
        <w:r>
          <w:rPr>
            <w:rStyle w:val="C2"/>
            <w:noProof w:val="1"/>
          </w:rPr>
          <w:t>5.2.1 Förändrad fastighetsindelning</w:t>
        </w:r>
        <w:r>
          <w:rPr>
            <w:noProof w:val="1"/>
          </w:rPr>
          <w:tab/>
        </w:r>
        <w:r>
          <w:rPr>
            <w:noProof w:val="1"/>
          </w:rPr>
          <w:fldChar w:fldCharType="begin"/>
        </w:r>
        <w:r>
          <w:rPr>
            <w:noProof w:val="1"/>
          </w:rPr>
          <w:instrText xml:space="preserve"> PAGEREF _Toc207616112 \h </w:instrText>
        </w:r>
        <w:r>
          <w:rPr>
            <w:noProof w:val="1"/>
          </w:rPr>
          <w:fldChar w:fldCharType="separate"/>
        </w:r>
        <w:r>
          <w:rPr>
            <w:noProof w:val="1"/>
          </w:rPr>
          <w:t>11</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13">
        <w:r>
          <w:rPr>
            <w:rStyle w:val="C2"/>
            <w:noProof w:val="1"/>
          </w:rPr>
          <w:t>5.2.2 Rättigheter</w:t>
        </w:r>
        <w:r>
          <w:rPr>
            <w:noProof w:val="1"/>
          </w:rPr>
          <w:tab/>
        </w:r>
        <w:r>
          <w:rPr>
            <w:noProof w:val="1"/>
          </w:rPr>
          <w:fldChar w:fldCharType="begin"/>
        </w:r>
        <w:r>
          <w:rPr>
            <w:noProof w:val="1"/>
          </w:rPr>
          <w:instrText xml:space="preserve"> PAGEREF _Toc207616113 \h </w:instrText>
        </w:r>
        <w:r>
          <w:rPr>
            <w:noProof w:val="1"/>
          </w:rPr>
          <w:fldChar w:fldCharType="separate"/>
        </w:r>
        <w:r>
          <w:rPr>
            <w:noProof w:val="1"/>
          </w:rPr>
          <w:t>11</w:t>
        </w:r>
        <w:r>
          <w:rPr>
            <w:noProof w:val="1"/>
          </w:rPr>
          <w:fldChar w:fldCharType="end"/>
        </w:r>
      </w:hyperlink>
    </w:p>
    <w:p>
      <w:pPr>
        <w:pStyle w:val="P11"/>
        <w:tabs>
          <w:tab w:val="right" w:pos="9062" w:leader="dot"/>
        </w:tabs>
        <w:rPr>
          <w:rFonts w:cstheme="minorBidi" w:eastAsiaTheme="minorEastAsia"/>
          <w:smallCaps w:val="0"/>
          <w:noProof w:val="1"/>
          <w:color w:val="auto"/>
          <w:sz w:val="24"/>
          <w:szCs w:val="24"/>
          <w:kern w:val="2"/>
        </w:rPr>
      </w:pPr>
      <w:hyperlink w:anchor="_Toc207616114">
        <w:r>
          <w:rPr>
            <w:rStyle w:val="C2"/>
            <w:noProof w:val="1"/>
          </w:rPr>
          <w:t>5.3 Tekniska frågor</w:t>
        </w:r>
        <w:r>
          <w:rPr>
            <w:noProof w:val="1"/>
          </w:rPr>
          <w:tab/>
        </w:r>
        <w:r>
          <w:rPr>
            <w:noProof w:val="1"/>
          </w:rPr>
          <w:fldChar w:fldCharType="begin"/>
        </w:r>
        <w:r>
          <w:rPr>
            <w:noProof w:val="1"/>
          </w:rPr>
          <w:instrText xml:space="preserve"> PAGEREF _Toc207616114 \h </w:instrText>
        </w:r>
        <w:r>
          <w:rPr>
            <w:noProof w:val="1"/>
          </w:rPr>
          <w:fldChar w:fldCharType="separate"/>
        </w:r>
        <w:r>
          <w:rPr>
            <w:noProof w:val="1"/>
          </w:rPr>
          <w:t>12</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15">
        <w:r>
          <w:rPr>
            <w:rStyle w:val="C2"/>
            <w:noProof w:val="1"/>
          </w:rPr>
          <w:t>5.3.1 Tekniska åtgärder</w:t>
        </w:r>
        <w:r>
          <w:rPr>
            <w:noProof w:val="1"/>
          </w:rPr>
          <w:tab/>
        </w:r>
        <w:r>
          <w:rPr>
            <w:noProof w:val="1"/>
          </w:rPr>
          <w:fldChar w:fldCharType="begin"/>
        </w:r>
        <w:r>
          <w:rPr>
            <w:noProof w:val="1"/>
          </w:rPr>
          <w:instrText xml:space="preserve"> PAGEREF _Toc207616115 \h </w:instrText>
        </w:r>
        <w:r>
          <w:rPr>
            <w:noProof w:val="1"/>
          </w:rPr>
          <w:fldChar w:fldCharType="separate"/>
        </w:r>
        <w:r>
          <w:rPr>
            <w:noProof w:val="1"/>
          </w:rPr>
          <w:t>12</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16">
        <w:r>
          <w:rPr>
            <w:rStyle w:val="C2"/>
            <w:noProof w:val="1"/>
          </w:rPr>
          <w:t>5.3.2 Utbyggnad allmän plats</w:t>
        </w:r>
        <w:r>
          <w:rPr>
            <w:noProof w:val="1"/>
          </w:rPr>
          <w:tab/>
        </w:r>
        <w:r>
          <w:rPr>
            <w:noProof w:val="1"/>
          </w:rPr>
          <w:fldChar w:fldCharType="begin"/>
        </w:r>
        <w:r>
          <w:rPr>
            <w:noProof w:val="1"/>
          </w:rPr>
          <w:instrText xml:space="preserve"> PAGEREF _Toc207616116 \h </w:instrText>
        </w:r>
        <w:r>
          <w:rPr>
            <w:noProof w:val="1"/>
          </w:rPr>
          <w:fldChar w:fldCharType="separate"/>
        </w:r>
        <w:r>
          <w:rPr>
            <w:noProof w:val="1"/>
          </w:rPr>
          <w:t>12</w:t>
        </w:r>
        <w:r>
          <w:rPr>
            <w:noProof w:val="1"/>
          </w:rPr>
          <w:fldChar w:fldCharType="end"/>
        </w:r>
      </w:hyperlink>
    </w:p>
    <w:p>
      <w:pPr>
        <w:pStyle w:val="P11"/>
        <w:tabs>
          <w:tab w:val="right" w:pos="9062" w:leader="dot"/>
        </w:tabs>
        <w:rPr>
          <w:rFonts w:cstheme="minorBidi" w:eastAsiaTheme="minorEastAsia"/>
          <w:smallCaps w:val="0"/>
          <w:noProof w:val="1"/>
          <w:color w:val="auto"/>
          <w:sz w:val="24"/>
          <w:szCs w:val="24"/>
          <w:kern w:val="2"/>
        </w:rPr>
      </w:pPr>
      <w:hyperlink w:anchor="_Toc207616117">
        <w:r>
          <w:rPr>
            <w:rStyle w:val="C2"/>
            <w:noProof w:val="1"/>
          </w:rPr>
          <w:t>5.4 Ekonomiska frågor</w:t>
        </w:r>
        <w:r>
          <w:rPr>
            <w:noProof w:val="1"/>
          </w:rPr>
          <w:tab/>
        </w:r>
        <w:r>
          <w:rPr>
            <w:noProof w:val="1"/>
          </w:rPr>
          <w:fldChar w:fldCharType="begin"/>
        </w:r>
        <w:r>
          <w:rPr>
            <w:noProof w:val="1"/>
          </w:rPr>
          <w:instrText xml:space="preserve"> PAGEREF _Toc207616117 \h </w:instrText>
        </w:r>
        <w:r>
          <w:rPr>
            <w:noProof w:val="1"/>
          </w:rPr>
          <w:fldChar w:fldCharType="separate"/>
        </w:r>
        <w:r>
          <w:rPr>
            <w:noProof w:val="1"/>
          </w:rPr>
          <w:t>12</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18">
        <w:r>
          <w:rPr>
            <w:rStyle w:val="C2"/>
            <w:noProof w:val="1"/>
          </w:rPr>
          <w:t>5.4.1 Planekonomisk bedömning</w:t>
        </w:r>
        <w:r>
          <w:rPr>
            <w:noProof w:val="1"/>
          </w:rPr>
          <w:tab/>
        </w:r>
        <w:r>
          <w:rPr>
            <w:noProof w:val="1"/>
          </w:rPr>
          <w:fldChar w:fldCharType="begin"/>
        </w:r>
        <w:r>
          <w:rPr>
            <w:noProof w:val="1"/>
          </w:rPr>
          <w:instrText xml:space="preserve"> PAGEREF _Toc207616118 \h </w:instrText>
        </w:r>
        <w:r>
          <w:rPr>
            <w:noProof w:val="1"/>
          </w:rPr>
          <w:fldChar w:fldCharType="separate"/>
        </w:r>
        <w:r>
          <w:rPr>
            <w:noProof w:val="1"/>
          </w:rPr>
          <w:t>12</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19">
        <w:r>
          <w:rPr>
            <w:rStyle w:val="C2"/>
            <w:noProof w:val="1"/>
          </w:rPr>
          <w:t>5.4.2 Planavgift</w:t>
        </w:r>
        <w:r>
          <w:rPr>
            <w:noProof w:val="1"/>
          </w:rPr>
          <w:tab/>
        </w:r>
        <w:r>
          <w:rPr>
            <w:noProof w:val="1"/>
          </w:rPr>
          <w:fldChar w:fldCharType="begin"/>
        </w:r>
        <w:r>
          <w:rPr>
            <w:noProof w:val="1"/>
          </w:rPr>
          <w:instrText xml:space="preserve"> PAGEREF _Toc207616119 \h </w:instrText>
        </w:r>
        <w:r>
          <w:rPr>
            <w:noProof w:val="1"/>
          </w:rPr>
          <w:fldChar w:fldCharType="separate"/>
        </w:r>
        <w:r>
          <w:rPr>
            <w:noProof w:val="1"/>
          </w:rPr>
          <w:t>12</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20">
        <w:r>
          <w:rPr>
            <w:rStyle w:val="C2"/>
            <w:noProof w:val="1"/>
          </w:rPr>
          <w:t>5.4.3 Drift vatten, spillvatten och dagvatten</w:t>
        </w:r>
        <w:r>
          <w:rPr>
            <w:noProof w:val="1"/>
          </w:rPr>
          <w:tab/>
        </w:r>
        <w:r>
          <w:rPr>
            <w:noProof w:val="1"/>
          </w:rPr>
          <w:fldChar w:fldCharType="begin"/>
        </w:r>
        <w:r>
          <w:rPr>
            <w:noProof w:val="1"/>
          </w:rPr>
          <w:instrText xml:space="preserve"> PAGEREF _Toc207616120 \h </w:instrText>
        </w:r>
        <w:r>
          <w:rPr>
            <w:noProof w:val="1"/>
          </w:rPr>
          <w:fldChar w:fldCharType="separate"/>
        </w:r>
        <w:r>
          <w:rPr>
            <w:noProof w:val="1"/>
          </w:rPr>
          <w:t>13</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21">
        <w:r>
          <w:rPr>
            <w:rStyle w:val="C2"/>
            <w:noProof w:val="1"/>
          </w:rPr>
          <w:t>5.4.4 Gatukostnader</w:t>
        </w:r>
        <w:r>
          <w:rPr>
            <w:noProof w:val="1"/>
          </w:rPr>
          <w:tab/>
        </w:r>
        <w:r>
          <w:rPr>
            <w:noProof w:val="1"/>
          </w:rPr>
          <w:fldChar w:fldCharType="begin"/>
        </w:r>
        <w:r>
          <w:rPr>
            <w:noProof w:val="1"/>
          </w:rPr>
          <w:instrText xml:space="preserve"> PAGEREF _Toc207616121 \h </w:instrText>
        </w:r>
        <w:r>
          <w:rPr>
            <w:noProof w:val="1"/>
          </w:rPr>
          <w:fldChar w:fldCharType="separate"/>
        </w:r>
        <w:r>
          <w:rPr>
            <w:noProof w:val="1"/>
          </w:rPr>
          <w:t>13</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22">
        <w:r>
          <w:rPr>
            <w:rStyle w:val="C2"/>
            <w:noProof w:val="1"/>
          </w:rPr>
          <w:t>5.4.5 Brandvattenförsörjning</w:t>
        </w:r>
        <w:r>
          <w:rPr>
            <w:noProof w:val="1"/>
          </w:rPr>
          <w:tab/>
        </w:r>
        <w:r>
          <w:rPr>
            <w:noProof w:val="1"/>
          </w:rPr>
          <w:fldChar w:fldCharType="begin"/>
        </w:r>
        <w:r>
          <w:rPr>
            <w:noProof w:val="1"/>
          </w:rPr>
          <w:instrText xml:space="preserve"> PAGEREF _Toc207616122 \h </w:instrText>
        </w:r>
        <w:r>
          <w:rPr>
            <w:noProof w:val="1"/>
          </w:rPr>
          <w:fldChar w:fldCharType="separate"/>
        </w:r>
        <w:r>
          <w:rPr>
            <w:noProof w:val="1"/>
          </w:rPr>
          <w:t>13</w:t>
        </w:r>
        <w:r>
          <w:rPr>
            <w:noProof w:val="1"/>
          </w:rPr>
          <w:fldChar w:fldCharType="end"/>
        </w:r>
      </w:hyperlink>
    </w:p>
    <w:p>
      <w:pPr>
        <w:pStyle w:val="P11"/>
        <w:tabs>
          <w:tab w:val="right" w:pos="9062" w:leader="dot"/>
        </w:tabs>
        <w:rPr>
          <w:rFonts w:cstheme="minorBidi" w:eastAsiaTheme="minorEastAsia"/>
          <w:smallCaps w:val="0"/>
          <w:noProof w:val="1"/>
          <w:color w:val="auto"/>
          <w:sz w:val="24"/>
          <w:szCs w:val="24"/>
          <w:kern w:val="2"/>
        </w:rPr>
      </w:pPr>
      <w:hyperlink w:anchor="_Toc207616123">
        <w:r>
          <w:rPr>
            <w:rStyle w:val="C2"/>
            <w:noProof w:val="1"/>
          </w:rPr>
          <w:t>5.5 Organisatoriska frågor</w:t>
        </w:r>
        <w:r>
          <w:rPr>
            <w:noProof w:val="1"/>
          </w:rPr>
          <w:tab/>
        </w:r>
        <w:r>
          <w:rPr>
            <w:noProof w:val="1"/>
          </w:rPr>
          <w:fldChar w:fldCharType="begin"/>
        </w:r>
        <w:r>
          <w:rPr>
            <w:noProof w:val="1"/>
          </w:rPr>
          <w:instrText xml:space="preserve"> PAGEREF _Toc207616123 \h </w:instrText>
        </w:r>
        <w:r>
          <w:rPr>
            <w:noProof w:val="1"/>
          </w:rPr>
          <w:fldChar w:fldCharType="separate"/>
        </w:r>
        <w:r>
          <w:rPr>
            <w:noProof w:val="1"/>
          </w:rPr>
          <w:t>13</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24">
        <w:r>
          <w:rPr>
            <w:rStyle w:val="C2"/>
            <w:noProof w:val="1"/>
          </w:rPr>
          <w:t>5.5.1 Exploateringsavtal</w:t>
        </w:r>
        <w:r>
          <w:rPr>
            <w:noProof w:val="1"/>
          </w:rPr>
          <w:tab/>
        </w:r>
        <w:r>
          <w:rPr>
            <w:noProof w:val="1"/>
          </w:rPr>
          <w:fldChar w:fldCharType="begin"/>
        </w:r>
        <w:r>
          <w:rPr>
            <w:noProof w:val="1"/>
          </w:rPr>
          <w:instrText xml:space="preserve"> PAGEREF _Toc207616124 \h </w:instrText>
        </w:r>
        <w:r>
          <w:rPr>
            <w:noProof w:val="1"/>
          </w:rPr>
          <w:fldChar w:fldCharType="separate"/>
        </w:r>
        <w:r>
          <w:rPr>
            <w:noProof w:val="1"/>
          </w:rPr>
          <w:t>13</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25">
        <w:r>
          <w:rPr>
            <w:rStyle w:val="C2"/>
            <w:noProof w:val="1"/>
          </w:rPr>
          <w:t>5.5.2 Tidplan</w:t>
        </w:r>
        <w:r>
          <w:rPr>
            <w:noProof w:val="1"/>
          </w:rPr>
          <w:tab/>
        </w:r>
        <w:r>
          <w:rPr>
            <w:noProof w:val="1"/>
          </w:rPr>
          <w:fldChar w:fldCharType="begin"/>
        </w:r>
        <w:r>
          <w:rPr>
            <w:noProof w:val="1"/>
          </w:rPr>
          <w:instrText xml:space="preserve"> PAGEREF _Toc207616125 \h </w:instrText>
        </w:r>
        <w:r>
          <w:rPr>
            <w:noProof w:val="1"/>
          </w:rPr>
          <w:fldChar w:fldCharType="separate"/>
        </w:r>
        <w:r>
          <w:rPr>
            <w:noProof w:val="1"/>
          </w:rPr>
          <w:t>14</w:t>
        </w:r>
        <w:r>
          <w:rPr>
            <w:noProof w:val="1"/>
          </w:rPr>
          <w:fldChar w:fldCharType="end"/>
        </w:r>
      </w:hyperlink>
    </w:p>
    <w:p>
      <w:pPr>
        <w:pStyle w:val="P11"/>
        <w:tabs>
          <w:tab w:val="right" w:pos="9062" w:leader="dot"/>
        </w:tabs>
        <w:rPr>
          <w:rFonts w:cstheme="minorBidi" w:eastAsiaTheme="minorEastAsia"/>
          <w:smallCaps w:val="0"/>
          <w:noProof w:val="1"/>
          <w:color w:val="auto"/>
          <w:sz w:val="24"/>
          <w:szCs w:val="24"/>
          <w:kern w:val="2"/>
        </w:rPr>
      </w:pPr>
      <w:hyperlink w:anchor="_Toc207616126">
        <w:r>
          <w:rPr>
            <w:rStyle w:val="C2"/>
            <w:noProof w:val="1"/>
          </w:rPr>
          <w:t>5.6 Upplysningar</w:t>
        </w:r>
        <w:r>
          <w:rPr>
            <w:noProof w:val="1"/>
          </w:rPr>
          <w:tab/>
        </w:r>
        <w:r>
          <w:rPr>
            <w:noProof w:val="1"/>
          </w:rPr>
          <w:fldChar w:fldCharType="begin"/>
        </w:r>
        <w:r>
          <w:rPr>
            <w:noProof w:val="1"/>
          </w:rPr>
          <w:instrText xml:space="preserve"> PAGEREF _Toc207616126 \h </w:instrText>
        </w:r>
        <w:r>
          <w:rPr>
            <w:noProof w:val="1"/>
          </w:rPr>
          <w:fldChar w:fldCharType="separate"/>
        </w:r>
        <w:r>
          <w:rPr>
            <w:noProof w:val="1"/>
          </w:rPr>
          <w:t>14</w:t>
        </w:r>
        <w:r>
          <w:rPr>
            <w:noProof w:val="1"/>
          </w:rPr>
          <w:fldChar w:fldCharType="end"/>
        </w:r>
      </w:hyperlink>
    </w:p>
    <w:p>
      <w:pPr>
        <w:pStyle w:val="P10"/>
        <w:tabs>
          <w:tab w:val="left" w:pos="440" w:leader="none"/>
          <w:tab w:val="right" w:pos="9062" w:leader="dot"/>
        </w:tabs>
        <w:rPr>
          <w:rFonts w:cstheme="minorBidi" w:eastAsiaTheme="minorEastAsia"/>
          <w:b w:val="0"/>
          <w:bCs w:val="0"/>
          <w:caps w:val="0"/>
          <w:noProof w:val="1"/>
          <w:color w:val="auto"/>
          <w:sz w:val="24"/>
          <w:szCs w:val="24"/>
          <w:kern w:val="2"/>
        </w:rPr>
      </w:pPr>
      <w:hyperlink w:anchor="_Toc207616127">
        <w:r>
          <w:rPr>
            <w:rStyle w:val="C2"/>
            <w:noProof w:val="1"/>
          </w:rPr>
          <w:t>6</w:t>
        </w:r>
        <w:r>
          <w:rPr>
            <w:rFonts w:cstheme="minorBidi" w:eastAsiaTheme="minorEastAsia"/>
            <w:b w:val="0"/>
            <w:bCs w:val="0"/>
            <w:caps w:val="0"/>
            <w:noProof w:val="1"/>
            <w:color w:val="auto"/>
            <w:sz w:val="24"/>
            <w:szCs w:val="24"/>
            <w:kern w:val="2"/>
          </w:rPr>
          <w:tab/>
        </w:r>
        <w:r>
          <w:rPr>
            <w:rStyle w:val="C2"/>
            <w:noProof w:val="1"/>
          </w:rPr>
          <w:t>Planeringsförutsättningar och konsekvenser</w:t>
        </w:r>
        <w:r>
          <w:rPr>
            <w:noProof w:val="1"/>
          </w:rPr>
          <w:tab/>
        </w:r>
        <w:r>
          <w:rPr>
            <w:noProof w:val="1"/>
          </w:rPr>
          <w:fldChar w:fldCharType="begin"/>
        </w:r>
        <w:r>
          <w:rPr>
            <w:noProof w:val="1"/>
          </w:rPr>
          <w:instrText xml:space="preserve"> PAGEREF _Toc207616127 \h </w:instrText>
        </w:r>
        <w:r>
          <w:rPr>
            <w:noProof w:val="1"/>
          </w:rPr>
          <w:fldChar w:fldCharType="separate"/>
        </w:r>
        <w:r>
          <w:rPr>
            <w:noProof w:val="1"/>
          </w:rPr>
          <w:t>14</w:t>
        </w:r>
        <w:r>
          <w:rPr>
            <w:noProof w:val="1"/>
          </w:rPr>
          <w:fldChar w:fldCharType="end"/>
        </w:r>
      </w:hyperlink>
    </w:p>
    <w:p>
      <w:pPr>
        <w:pStyle w:val="P11"/>
        <w:tabs>
          <w:tab w:val="right" w:pos="9062" w:leader="dot"/>
        </w:tabs>
        <w:rPr>
          <w:rFonts w:cstheme="minorBidi" w:eastAsiaTheme="minorEastAsia"/>
          <w:smallCaps w:val="0"/>
          <w:noProof w:val="1"/>
          <w:color w:val="auto"/>
          <w:sz w:val="24"/>
          <w:szCs w:val="24"/>
          <w:kern w:val="2"/>
        </w:rPr>
      </w:pPr>
      <w:hyperlink w:anchor="_Toc207616128">
        <w:r>
          <w:rPr>
            <w:rStyle w:val="C2"/>
            <w:noProof w:val="1"/>
          </w:rPr>
          <w:t>6.1 Tidigare ställningstaganden</w:t>
        </w:r>
        <w:r>
          <w:rPr>
            <w:noProof w:val="1"/>
          </w:rPr>
          <w:tab/>
        </w:r>
        <w:r>
          <w:rPr>
            <w:noProof w:val="1"/>
          </w:rPr>
          <w:fldChar w:fldCharType="begin"/>
        </w:r>
        <w:r>
          <w:rPr>
            <w:noProof w:val="1"/>
          </w:rPr>
          <w:instrText xml:space="preserve"> PAGEREF _Toc207616128 \h </w:instrText>
        </w:r>
        <w:r>
          <w:rPr>
            <w:noProof w:val="1"/>
          </w:rPr>
          <w:fldChar w:fldCharType="separate"/>
        </w:r>
        <w:r>
          <w:rPr>
            <w:noProof w:val="1"/>
          </w:rPr>
          <w:t>14</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29">
        <w:r>
          <w:rPr>
            <w:rStyle w:val="C2"/>
            <w:noProof w:val="1"/>
          </w:rPr>
          <w:t>6.1.1 Översiktsplan</w:t>
        </w:r>
        <w:r>
          <w:rPr>
            <w:noProof w:val="1"/>
          </w:rPr>
          <w:tab/>
        </w:r>
        <w:r>
          <w:rPr>
            <w:noProof w:val="1"/>
          </w:rPr>
          <w:fldChar w:fldCharType="begin"/>
        </w:r>
        <w:r>
          <w:rPr>
            <w:noProof w:val="1"/>
          </w:rPr>
          <w:instrText xml:space="preserve"> PAGEREF _Toc207616129 \h </w:instrText>
        </w:r>
        <w:r>
          <w:rPr>
            <w:noProof w:val="1"/>
          </w:rPr>
          <w:fldChar w:fldCharType="separate"/>
        </w:r>
        <w:r>
          <w:rPr>
            <w:noProof w:val="1"/>
          </w:rPr>
          <w:t>14</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30">
        <w:r>
          <w:rPr>
            <w:rStyle w:val="C2"/>
            <w:noProof w:val="1"/>
          </w:rPr>
          <w:t>6.1.2 Planbesked</w:t>
        </w:r>
        <w:r>
          <w:rPr>
            <w:noProof w:val="1"/>
          </w:rPr>
          <w:tab/>
        </w:r>
        <w:r>
          <w:rPr>
            <w:noProof w:val="1"/>
          </w:rPr>
          <w:fldChar w:fldCharType="begin"/>
        </w:r>
        <w:r>
          <w:rPr>
            <w:noProof w:val="1"/>
          </w:rPr>
          <w:instrText xml:space="preserve"> PAGEREF _Toc207616130 \h </w:instrText>
        </w:r>
        <w:r>
          <w:rPr>
            <w:noProof w:val="1"/>
          </w:rPr>
          <w:fldChar w:fldCharType="separate"/>
        </w:r>
        <w:r>
          <w:rPr>
            <w:noProof w:val="1"/>
          </w:rPr>
          <w:t>14</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31">
        <w:r>
          <w:rPr>
            <w:rStyle w:val="C2"/>
            <w:noProof w:val="1"/>
          </w:rPr>
          <w:t>6.1.3 Detaljplan</w:t>
        </w:r>
        <w:r>
          <w:rPr>
            <w:noProof w:val="1"/>
          </w:rPr>
          <w:tab/>
        </w:r>
        <w:r>
          <w:rPr>
            <w:noProof w:val="1"/>
          </w:rPr>
          <w:fldChar w:fldCharType="begin"/>
        </w:r>
        <w:r>
          <w:rPr>
            <w:noProof w:val="1"/>
          </w:rPr>
          <w:instrText xml:space="preserve"> PAGEREF _Toc207616131 \h </w:instrText>
        </w:r>
        <w:r>
          <w:rPr>
            <w:noProof w:val="1"/>
          </w:rPr>
          <w:fldChar w:fldCharType="separate"/>
        </w:r>
        <w:r>
          <w:rPr>
            <w:noProof w:val="1"/>
          </w:rPr>
          <w:t>15</w:t>
        </w:r>
        <w:r>
          <w:rPr>
            <w:noProof w:val="1"/>
          </w:rPr>
          <w:fldChar w:fldCharType="end"/>
        </w:r>
      </w:hyperlink>
    </w:p>
    <w:p>
      <w:pPr>
        <w:pStyle w:val="P11"/>
        <w:tabs>
          <w:tab w:val="right" w:pos="9062" w:leader="dot"/>
        </w:tabs>
        <w:rPr>
          <w:rFonts w:cstheme="minorBidi" w:eastAsiaTheme="minorEastAsia"/>
          <w:smallCaps w:val="0"/>
          <w:noProof w:val="1"/>
          <w:color w:val="auto"/>
          <w:sz w:val="24"/>
          <w:szCs w:val="24"/>
          <w:kern w:val="2"/>
        </w:rPr>
      </w:pPr>
      <w:hyperlink w:anchor="_Toc207616132">
        <w:r>
          <w:rPr>
            <w:rStyle w:val="C2"/>
            <w:noProof w:val="1"/>
          </w:rPr>
          <w:t>6.2 Riksintressen</w:t>
        </w:r>
        <w:r>
          <w:rPr>
            <w:noProof w:val="1"/>
          </w:rPr>
          <w:tab/>
        </w:r>
        <w:r>
          <w:rPr>
            <w:noProof w:val="1"/>
          </w:rPr>
          <w:fldChar w:fldCharType="begin"/>
        </w:r>
        <w:r>
          <w:rPr>
            <w:noProof w:val="1"/>
          </w:rPr>
          <w:instrText xml:space="preserve"> PAGEREF _Toc207616132 \h </w:instrText>
        </w:r>
        <w:r>
          <w:rPr>
            <w:noProof w:val="1"/>
          </w:rPr>
          <w:fldChar w:fldCharType="separate"/>
        </w:r>
        <w:r>
          <w:rPr>
            <w:noProof w:val="1"/>
          </w:rPr>
          <w:t>15</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33">
        <w:r>
          <w:rPr>
            <w:rStyle w:val="C2"/>
            <w:noProof w:val="1"/>
          </w:rPr>
          <w:t>6.2.1 Totalförsvar</w:t>
        </w:r>
        <w:r>
          <w:rPr>
            <w:noProof w:val="1"/>
          </w:rPr>
          <w:tab/>
        </w:r>
        <w:r>
          <w:rPr>
            <w:noProof w:val="1"/>
          </w:rPr>
          <w:fldChar w:fldCharType="begin"/>
        </w:r>
        <w:r>
          <w:rPr>
            <w:noProof w:val="1"/>
          </w:rPr>
          <w:instrText xml:space="preserve"> PAGEREF _Toc207616133 \h </w:instrText>
        </w:r>
        <w:r>
          <w:rPr>
            <w:noProof w:val="1"/>
          </w:rPr>
          <w:fldChar w:fldCharType="separate"/>
        </w:r>
        <w:r>
          <w:rPr>
            <w:noProof w:val="1"/>
          </w:rPr>
          <w:t>15</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34">
        <w:r>
          <w:rPr>
            <w:rStyle w:val="C2"/>
            <w:noProof w:val="1"/>
          </w:rPr>
          <w:t>6.2.2 Luftfart</w:t>
        </w:r>
        <w:r>
          <w:rPr>
            <w:noProof w:val="1"/>
          </w:rPr>
          <w:tab/>
        </w:r>
        <w:r>
          <w:rPr>
            <w:noProof w:val="1"/>
          </w:rPr>
          <w:fldChar w:fldCharType="begin"/>
        </w:r>
        <w:r>
          <w:rPr>
            <w:noProof w:val="1"/>
          </w:rPr>
          <w:instrText xml:space="preserve"> PAGEREF _Toc207616134 \h </w:instrText>
        </w:r>
        <w:r>
          <w:rPr>
            <w:noProof w:val="1"/>
          </w:rPr>
          <w:fldChar w:fldCharType="separate"/>
        </w:r>
        <w:r>
          <w:rPr>
            <w:noProof w:val="1"/>
          </w:rPr>
          <w:t>15</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35">
        <w:r>
          <w:rPr>
            <w:rStyle w:val="C2"/>
            <w:noProof w:val="1"/>
          </w:rPr>
          <w:t>6.2.3 Riksintresse för kommunikation</w:t>
        </w:r>
        <w:r>
          <w:rPr>
            <w:noProof w:val="1"/>
          </w:rPr>
          <w:tab/>
        </w:r>
        <w:r>
          <w:rPr>
            <w:noProof w:val="1"/>
          </w:rPr>
          <w:fldChar w:fldCharType="begin"/>
        </w:r>
        <w:r>
          <w:rPr>
            <w:noProof w:val="1"/>
          </w:rPr>
          <w:instrText xml:space="preserve"> PAGEREF _Toc207616135 \h </w:instrText>
        </w:r>
        <w:r>
          <w:rPr>
            <w:noProof w:val="1"/>
          </w:rPr>
          <w:fldChar w:fldCharType="separate"/>
        </w:r>
        <w:r>
          <w:rPr>
            <w:noProof w:val="1"/>
          </w:rPr>
          <w:t>16</w:t>
        </w:r>
        <w:r>
          <w:rPr>
            <w:noProof w:val="1"/>
          </w:rPr>
          <w:fldChar w:fldCharType="end"/>
        </w:r>
      </w:hyperlink>
    </w:p>
    <w:p>
      <w:pPr>
        <w:pStyle w:val="P11"/>
        <w:tabs>
          <w:tab w:val="right" w:pos="9062" w:leader="dot"/>
        </w:tabs>
        <w:rPr>
          <w:rFonts w:cstheme="minorBidi" w:eastAsiaTheme="minorEastAsia"/>
          <w:smallCaps w:val="0"/>
          <w:noProof w:val="1"/>
          <w:color w:val="auto"/>
          <w:sz w:val="24"/>
          <w:szCs w:val="24"/>
          <w:kern w:val="2"/>
        </w:rPr>
      </w:pPr>
      <w:hyperlink w:anchor="_Toc207616136">
        <w:r>
          <w:rPr>
            <w:rStyle w:val="C2"/>
            <w:noProof w:val="1"/>
          </w:rPr>
          <w:t>6.3 Hushållningsbestämmelser enligt 3 kap. miljöbalken</w:t>
        </w:r>
        <w:r>
          <w:rPr>
            <w:noProof w:val="1"/>
          </w:rPr>
          <w:tab/>
        </w:r>
        <w:r>
          <w:rPr>
            <w:noProof w:val="1"/>
          </w:rPr>
          <w:fldChar w:fldCharType="begin"/>
        </w:r>
        <w:r>
          <w:rPr>
            <w:noProof w:val="1"/>
          </w:rPr>
          <w:instrText xml:space="preserve"> PAGEREF _Toc207616136 \h </w:instrText>
        </w:r>
        <w:r>
          <w:rPr>
            <w:noProof w:val="1"/>
          </w:rPr>
          <w:fldChar w:fldCharType="separate"/>
        </w:r>
        <w:r>
          <w:rPr>
            <w:noProof w:val="1"/>
          </w:rPr>
          <w:t>16</w:t>
        </w:r>
        <w:r>
          <w:rPr>
            <w:noProof w:val="1"/>
          </w:rPr>
          <w:fldChar w:fldCharType="end"/>
        </w:r>
      </w:hyperlink>
    </w:p>
    <w:p>
      <w:pPr>
        <w:pStyle w:val="P11"/>
        <w:tabs>
          <w:tab w:val="right" w:pos="9062" w:leader="dot"/>
        </w:tabs>
        <w:rPr>
          <w:rFonts w:cstheme="minorBidi" w:eastAsiaTheme="minorEastAsia"/>
          <w:smallCaps w:val="0"/>
          <w:noProof w:val="1"/>
          <w:color w:val="auto"/>
          <w:sz w:val="24"/>
          <w:szCs w:val="24"/>
          <w:kern w:val="2"/>
        </w:rPr>
      </w:pPr>
      <w:hyperlink w:anchor="_Toc207616137">
        <w:r>
          <w:rPr>
            <w:rStyle w:val="C2"/>
            <w:noProof w:val="1"/>
          </w:rPr>
          <w:t>6.4 Miljökvalitetsnormer</w:t>
        </w:r>
        <w:r>
          <w:rPr>
            <w:noProof w:val="1"/>
          </w:rPr>
          <w:tab/>
        </w:r>
        <w:r>
          <w:rPr>
            <w:noProof w:val="1"/>
          </w:rPr>
          <w:fldChar w:fldCharType="begin"/>
        </w:r>
        <w:r>
          <w:rPr>
            <w:noProof w:val="1"/>
          </w:rPr>
          <w:instrText xml:space="preserve"> PAGEREF _Toc207616137 \h </w:instrText>
        </w:r>
        <w:r>
          <w:rPr>
            <w:noProof w:val="1"/>
          </w:rPr>
          <w:fldChar w:fldCharType="separate"/>
        </w:r>
        <w:r>
          <w:rPr>
            <w:noProof w:val="1"/>
          </w:rPr>
          <w:t>16</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38">
        <w:r>
          <w:rPr>
            <w:rStyle w:val="C2"/>
            <w:noProof w:val="1"/>
          </w:rPr>
          <w:t>6.4.1 Luft</w:t>
        </w:r>
        <w:r>
          <w:rPr>
            <w:noProof w:val="1"/>
          </w:rPr>
          <w:tab/>
        </w:r>
        <w:r>
          <w:rPr>
            <w:noProof w:val="1"/>
          </w:rPr>
          <w:fldChar w:fldCharType="begin"/>
        </w:r>
        <w:r>
          <w:rPr>
            <w:noProof w:val="1"/>
          </w:rPr>
          <w:instrText xml:space="preserve"> PAGEREF _Toc207616138 \h </w:instrText>
        </w:r>
        <w:r>
          <w:rPr>
            <w:noProof w:val="1"/>
          </w:rPr>
          <w:fldChar w:fldCharType="separate"/>
        </w:r>
        <w:r>
          <w:rPr>
            <w:noProof w:val="1"/>
          </w:rPr>
          <w:t>16</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39">
        <w:r>
          <w:rPr>
            <w:rStyle w:val="C2"/>
            <w:noProof w:val="1"/>
          </w:rPr>
          <w:t>6.4.2 Vatten</w:t>
        </w:r>
        <w:r>
          <w:rPr>
            <w:noProof w:val="1"/>
          </w:rPr>
          <w:tab/>
        </w:r>
        <w:r>
          <w:rPr>
            <w:noProof w:val="1"/>
          </w:rPr>
          <w:fldChar w:fldCharType="begin"/>
        </w:r>
        <w:r>
          <w:rPr>
            <w:noProof w:val="1"/>
          </w:rPr>
          <w:instrText xml:space="preserve"> PAGEREF _Toc207616139 \h </w:instrText>
        </w:r>
        <w:r>
          <w:rPr>
            <w:noProof w:val="1"/>
          </w:rPr>
          <w:fldChar w:fldCharType="separate"/>
        </w:r>
        <w:r>
          <w:rPr>
            <w:noProof w:val="1"/>
          </w:rPr>
          <w:t>17</w:t>
        </w:r>
        <w:r>
          <w:rPr>
            <w:noProof w:val="1"/>
          </w:rPr>
          <w:fldChar w:fldCharType="end"/>
        </w:r>
      </w:hyperlink>
    </w:p>
    <w:p>
      <w:pPr>
        <w:pStyle w:val="P11"/>
        <w:tabs>
          <w:tab w:val="right" w:pos="9062" w:leader="dot"/>
        </w:tabs>
        <w:rPr>
          <w:rFonts w:cstheme="minorBidi" w:eastAsiaTheme="minorEastAsia"/>
          <w:smallCaps w:val="0"/>
          <w:noProof w:val="1"/>
          <w:color w:val="auto"/>
          <w:sz w:val="24"/>
          <w:szCs w:val="24"/>
          <w:kern w:val="2"/>
        </w:rPr>
      </w:pPr>
      <w:hyperlink w:anchor="_Toc207616140">
        <w:r>
          <w:rPr>
            <w:rStyle w:val="C2"/>
            <w:noProof w:val="1"/>
          </w:rPr>
          <w:t>6.5 Betydande miljöpåverkan</w:t>
        </w:r>
        <w:r>
          <w:rPr>
            <w:noProof w:val="1"/>
          </w:rPr>
          <w:tab/>
        </w:r>
        <w:r>
          <w:rPr>
            <w:noProof w:val="1"/>
          </w:rPr>
          <w:fldChar w:fldCharType="begin"/>
        </w:r>
        <w:r>
          <w:rPr>
            <w:noProof w:val="1"/>
          </w:rPr>
          <w:instrText xml:space="preserve"> PAGEREF _Toc207616140 \h </w:instrText>
        </w:r>
        <w:r>
          <w:rPr>
            <w:noProof w:val="1"/>
          </w:rPr>
          <w:fldChar w:fldCharType="separate"/>
        </w:r>
        <w:r>
          <w:rPr>
            <w:noProof w:val="1"/>
          </w:rPr>
          <w:t>17</w:t>
        </w:r>
        <w:r>
          <w:rPr>
            <w:noProof w:val="1"/>
          </w:rPr>
          <w:fldChar w:fldCharType="end"/>
        </w:r>
      </w:hyperlink>
    </w:p>
    <w:p>
      <w:pPr>
        <w:pStyle w:val="P11"/>
        <w:tabs>
          <w:tab w:val="right" w:pos="9062" w:leader="dot"/>
        </w:tabs>
        <w:rPr>
          <w:rFonts w:cstheme="minorBidi" w:eastAsiaTheme="minorEastAsia"/>
          <w:smallCaps w:val="0"/>
          <w:noProof w:val="1"/>
          <w:color w:val="auto"/>
          <w:sz w:val="24"/>
          <w:szCs w:val="24"/>
          <w:kern w:val="2"/>
        </w:rPr>
      </w:pPr>
      <w:hyperlink w:anchor="_Toc207616141">
        <w:r>
          <w:rPr>
            <w:rStyle w:val="C2"/>
            <w:noProof w:val="1"/>
          </w:rPr>
          <w:t>6.6 Hälsa och säkerhet</w:t>
        </w:r>
        <w:r>
          <w:rPr>
            <w:noProof w:val="1"/>
          </w:rPr>
          <w:tab/>
        </w:r>
        <w:r>
          <w:rPr>
            <w:noProof w:val="1"/>
          </w:rPr>
          <w:fldChar w:fldCharType="begin"/>
        </w:r>
        <w:r>
          <w:rPr>
            <w:noProof w:val="1"/>
          </w:rPr>
          <w:instrText xml:space="preserve"> PAGEREF _Toc207616141 \h </w:instrText>
        </w:r>
        <w:r>
          <w:rPr>
            <w:noProof w:val="1"/>
          </w:rPr>
          <w:fldChar w:fldCharType="separate"/>
        </w:r>
        <w:r>
          <w:rPr>
            <w:noProof w:val="1"/>
          </w:rPr>
          <w:t>17</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42">
        <w:r>
          <w:rPr>
            <w:rStyle w:val="C2"/>
            <w:noProof w:val="1"/>
          </w:rPr>
          <w:t>6.6.1 Omgivningsbuller</w:t>
        </w:r>
        <w:r>
          <w:rPr>
            <w:noProof w:val="1"/>
          </w:rPr>
          <w:tab/>
        </w:r>
        <w:r>
          <w:rPr>
            <w:noProof w:val="1"/>
          </w:rPr>
          <w:fldChar w:fldCharType="begin"/>
        </w:r>
        <w:r>
          <w:rPr>
            <w:noProof w:val="1"/>
          </w:rPr>
          <w:instrText xml:space="preserve"> PAGEREF _Toc207616142 \h </w:instrText>
        </w:r>
        <w:r>
          <w:rPr>
            <w:noProof w:val="1"/>
          </w:rPr>
          <w:fldChar w:fldCharType="separate"/>
        </w:r>
        <w:r>
          <w:rPr>
            <w:noProof w:val="1"/>
          </w:rPr>
          <w:t>17</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43">
        <w:r>
          <w:rPr>
            <w:rStyle w:val="C2"/>
            <w:noProof w:val="1"/>
          </w:rPr>
          <w:t>6.6.2 Risk för olyckor</w:t>
        </w:r>
        <w:r>
          <w:rPr>
            <w:noProof w:val="1"/>
          </w:rPr>
          <w:tab/>
        </w:r>
        <w:r>
          <w:rPr>
            <w:noProof w:val="1"/>
          </w:rPr>
          <w:fldChar w:fldCharType="begin"/>
        </w:r>
        <w:r>
          <w:rPr>
            <w:noProof w:val="1"/>
          </w:rPr>
          <w:instrText xml:space="preserve"> PAGEREF _Toc207616143 \h </w:instrText>
        </w:r>
        <w:r>
          <w:rPr>
            <w:noProof w:val="1"/>
          </w:rPr>
          <w:fldChar w:fldCharType="separate"/>
        </w:r>
        <w:r>
          <w:rPr>
            <w:noProof w:val="1"/>
          </w:rPr>
          <w:t>18</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44">
        <w:r>
          <w:rPr>
            <w:rStyle w:val="C2"/>
            <w:noProof w:val="1"/>
          </w:rPr>
          <w:t>6.6.3 Risk för översvämning</w:t>
        </w:r>
        <w:r>
          <w:rPr>
            <w:noProof w:val="1"/>
          </w:rPr>
          <w:tab/>
        </w:r>
        <w:r>
          <w:rPr>
            <w:noProof w:val="1"/>
          </w:rPr>
          <w:fldChar w:fldCharType="begin"/>
        </w:r>
        <w:r>
          <w:rPr>
            <w:noProof w:val="1"/>
          </w:rPr>
          <w:instrText xml:space="preserve"> PAGEREF _Toc207616144 \h </w:instrText>
        </w:r>
        <w:r>
          <w:rPr>
            <w:noProof w:val="1"/>
          </w:rPr>
          <w:fldChar w:fldCharType="separate"/>
        </w:r>
        <w:r>
          <w:rPr>
            <w:noProof w:val="1"/>
          </w:rPr>
          <w:t>22</w:t>
        </w:r>
        <w:r>
          <w:rPr>
            <w:noProof w:val="1"/>
          </w:rPr>
          <w:fldChar w:fldCharType="end"/>
        </w:r>
      </w:hyperlink>
    </w:p>
    <w:p>
      <w:pPr>
        <w:pStyle w:val="P11"/>
        <w:tabs>
          <w:tab w:val="right" w:pos="9062" w:leader="dot"/>
        </w:tabs>
        <w:rPr>
          <w:rFonts w:cstheme="minorBidi" w:eastAsiaTheme="minorEastAsia"/>
          <w:smallCaps w:val="0"/>
          <w:noProof w:val="1"/>
          <w:color w:val="auto"/>
          <w:sz w:val="24"/>
          <w:szCs w:val="24"/>
          <w:kern w:val="2"/>
        </w:rPr>
      </w:pPr>
      <w:hyperlink w:anchor="_Toc207616145">
        <w:r>
          <w:rPr>
            <w:rStyle w:val="C2"/>
            <w:noProof w:val="1"/>
          </w:rPr>
          <w:t>6.7 Natur och miljö</w:t>
        </w:r>
        <w:r>
          <w:rPr>
            <w:noProof w:val="1"/>
          </w:rPr>
          <w:tab/>
        </w:r>
        <w:r>
          <w:rPr>
            <w:noProof w:val="1"/>
          </w:rPr>
          <w:fldChar w:fldCharType="begin"/>
        </w:r>
        <w:r>
          <w:rPr>
            <w:noProof w:val="1"/>
          </w:rPr>
          <w:instrText xml:space="preserve"> PAGEREF _Toc207616145 \h </w:instrText>
        </w:r>
        <w:r>
          <w:rPr>
            <w:noProof w:val="1"/>
          </w:rPr>
          <w:fldChar w:fldCharType="separate"/>
        </w:r>
        <w:r>
          <w:rPr>
            <w:noProof w:val="1"/>
          </w:rPr>
          <w:t>23</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46">
        <w:r>
          <w:rPr>
            <w:rStyle w:val="C2"/>
            <w:noProof w:val="1"/>
          </w:rPr>
          <w:t>6.7.1 Grönområden och rekreation</w:t>
        </w:r>
        <w:r>
          <w:rPr>
            <w:noProof w:val="1"/>
          </w:rPr>
          <w:tab/>
        </w:r>
        <w:r>
          <w:rPr>
            <w:noProof w:val="1"/>
          </w:rPr>
          <w:fldChar w:fldCharType="begin"/>
        </w:r>
        <w:r>
          <w:rPr>
            <w:noProof w:val="1"/>
          </w:rPr>
          <w:instrText xml:space="preserve"> PAGEREF _Toc207616146 \h </w:instrText>
        </w:r>
        <w:r>
          <w:rPr>
            <w:noProof w:val="1"/>
          </w:rPr>
          <w:fldChar w:fldCharType="separate"/>
        </w:r>
        <w:r>
          <w:rPr>
            <w:noProof w:val="1"/>
          </w:rPr>
          <w:t>23</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47">
        <w:r>
          <w:rPr>
            <w:rStyle w:val="C2"/>
            <w:noProof w:val="1"/>
          </w:rPr>
          <w:t>6.7.2 Dagvatten</w:t>
        </w:r>
        <w:r>
          <w:rPr>
            <w:noProof w:val="1"/>
          </w:rPr>
          <w:tab/>
        </w:r>
        <w:r>
          <w:rPr>
            <w:noProof w:val="1"/>
          </w:rPr>
          <w:fldChar w:fldCharType="begin"/>
        </w:r>
        <w:r>
          <w:rPr>
            <w:noProof w:val="1"/>
          </w:rPr>
          <w:instrText xml:space="preserve"> PAGEREF _Toc207616147 \h </w:instrText>
        </w:r>
        <w:r>
          <w:rPr>
            <w:noProof w:val="1"/>
          </w:rPr>
          <w:fldChar w:fldCharType="separate"/>
        </w:r>
        <w:r>
          <w:rPr>
            <w:noProof w:val="1"/>
          </w:rPr>
          <w:t>23</w:t>
        </w:r>
        <w:r>
          <w:rPr>
            <w:noProof w:val="1"/>
          </w:rPr>
          <w:fldChar w:fldCharType="end"/>
        </w:r>
      </w:hyperlink>
    </w:p>
    <w:p>
      <w:pPr>
        <w:pStyle w:val="P11"/>
        <w:tabs>
          <w:tab w:val="right" w:pos="9062" w:leader="dot"/>
        </w:tabs>
        <w:rPr>
          <w:rFonts w:cstheme="minorBidi" w:eastAsiaTheme="minorEastAsia"/>
          <w:smallCaps w:val="0"/>
          <w:noProof w:val="1"/>
          <w:color w:val="auto"/>
          <w:sz w:val="24"/>
          <w:szCs w:val="24"/>
          <w:kern w:val="2"/>
        </w:rPr>
      </w:pPr>
      <w:hyperlink w:anchor="_Toc207616148">
        <w:r>
          <w:rPr>
            <w:rStyle w:val="C2"/>
            <w:noProof w:val="1"/>
          </w:rPr>
          <w:t>6.8 Geotekniska förhållanden</w:t>
        </w:r>
        <w:r>
          <w:rPr>
            <w:noProof w:val="1"/>
          </w:rPr>
          <w:tab/>
        </w:r>
        <w:r>
          <w:rPr>
            <w:noProof w:val="1"/>
          </w:rPr>
          <w:fldChar w:fldCharType="begin"/>
        </w:r>
        <w:r>
          <w:rPr>
            <w:noProof w:val="1"/>
          </w:rPr>
          <w:instrText xml:space="preserve"> PAGEREF _Toc207616148 \h </w:instrText>
        </w:r>
        <w:r>
          <w:rPr>
            <w:noProof w:val="1"/>
          </w:rPr>
          <w:fldChar w:fldCharType="separate"/>
        </w:r>
        <w:r>
          <w:rPr>
            <w:noProof w:val="1"/>
          </w:rPr>
          <w:t>23</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49">
        <w:r>
          <w:rPr>
            <w:rStyle w:val="C2"/>
            <w:noProof w:val="1"/>
          </w:rPr>
          <w:t>6.8.1 Förorenad mark</w:t>
        </w:r>
        <w:r>
          <w:rPr>
            <w:noProof w:val="1"/>
          </w:rPr>
          <w:tab/>
        </w:r>
        <w:r>
          <w:rPr>
            <w:noProof w:val="1"/>
          </w:rPr>
          <w:fldChar w:fldCharType="begin"/>
        </w:r>
        <w:r>
          <w:rPr>
            <w:noProof w:val="1"/>
          </w:rPr>
          <w:instrText xml:space="preserve"> PAGEREF _Toc207616149 \h </w:instrText>
        </w:r>
        <w:r>
          <w:rPr>
            <w:noProof w:val="1"/>
          </w:rPr>
          <w:fldChar w:fldCharType="separate"/>
        </w:r>
        <w:r>
          <w:rPr>
            <w:noProof w:val="1"/>
          </w:rPr>
          <w:t>23</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50">
        <w:r>
          <w:rPr>
            <w:rStyle w:val="C2"/>
            <w:noProof w:val="1"/>
          </w:rPr>
          <w:t>6.8.2 Markradon</w:t>
        </w:r>
        <w:r>
          <w:rPr>
            <w:noProof w:val="1"/>
          </w:rPr>
          <w:tab/>
        </w:r>
        <w:r>
          <w:rPr>
            <w:noProof w:val="1"/>
          </w:rPr>
          <w:fldChar w:fldCharType="begin"/>
        </w:r>
        <w:r>
          <w:rPr>
            <w:noProof w:val="1"/>
          </w:rPr>
          <w:instrText xml:space="preserve"> PAGEREF _Toc207616150 \h </w:instrText>
        </w:r>
        <w:r>
          <w:rPr>
            <w:noProof w:val="1"/>
          </w:rPr>
          <w:fldChar w:fldCharType="separate"/>
        </w:r>
        <w:r>
          <w:rPr>
            <w:noProof w:val="1"/>
          </w:rPr>
          <w:t>24</w:t>
        </w:r>
        <w:r>
          <w:rPr>
            <w:noProof w:val="1"/>
          </w:rPr>
          <w:fldChar w:fldCharType="end"/>
        </w:r>
      </w:hyperlink>
    </w:p>
    <w:p>
      <w:pPr>
        <w:pStyle w:val="P11"/>
        <w:tabs>
          <w:tab w:val="right" w:pos="9062" w:leader="dot"/>
        </w:tabs>
        <w:rPr>
          <w:rFonts w:cstheme="minorBidi" w:eastAsiaTheme="minorEastAsia"/>
          <w:smallCaps w:val="0"/>
          <w:noProof w:val="1"/>
          <w:color w:val="auto"/>
          <w:sz w:val="24"/>
          <w:szCs w:val="24"/>
          <w:kern w:val="2"/>
        </w:rPr>
      </w:pPr>
      <w:hyperlink w:anchor="_Toc207616151">
        <w:r>
          <w:rPr>
            <w:rStyle w:val="C2"/>
            <w:noProof w:val="1"/>
          </w:rPr>
          <w:t>6.9 Hydrologiska förhållanden</w:t>
        </w:r>
        <w:r>
          <w:rPr>
            <w:noProof w:val="1"/>
          </w:rPr>
          <w:tab/>
        </w:r>
        <w:r>
          <w:rPr>
            <w:noProof w:val="1"/>
          </w:rPr>
          <w:fldChar w:fldCharType="begin"/>
        </w:r>
        <w:r>
          <w:rPr>
            <w:noProof w:val="1"/>
          </w:rPr>
          <w:instrText xml:space="preserve"> PAGEREF _Toc207616151 \h </w:instrText>
        </w:r>
        <w:r>
          <w:rPr>
            <w:noProof w:val="1"/>
          </w:rPr>
          <w:fldChar w:fldCharType="separate"/>
        </w:r>
        <w:r>
          <w:rPr>
            <w:noProof w:val="1"/>
          </w:rPr>
          <w:t>24</w:t>
        </w:r>
        <w:r>
          <w:rPr>
            <w:noProof w:val="1"/>
          </w:rPr>
          <w:fldChar w:fldCharType="end"/>
        </w:r>
      </w:hyperlink>
    </w:p>
    <w:p>
      <w:pPr>
        <w:pStyle w:val="P11"/>
        <w:tabs>
          <w:tab w:val="right" w:pos="9062" w:leader="dot"/>
        </w:tabs>
        <w:rPr>
          <w:rFonts w:cstheme="minorBidi" w:eastAsiaTheme="minorEastAsia"/>
          <w:smallCaps w:val="0"/>
          <w:noProof w:val="1"/>
          <w:color w:val="auto"/>
          <w:sz w:val="24"/>
          <w:szCs w:val="24"/>
          <w:kern w:val="2"/>
        </w:rPr>
      </w:pPr>
      <w:hyperlink w:anchor="_Toc207616152">
        <w:r>
          <w:rPr>
            <w:rStyle w:val="C2"/>
            <w:noProof w:val="1"/>
          </w:rPr>
          <w:t>6.10 Verksamheter och övrig bebyggelse</w:t>
        </w:r>
        <w:r>
          <w:rPr>
            <w:noProof w:val="1"/>
          </w:rPr>
          <w:tab/>
        </w:r>
        <w:r>
          <w:rPr>
            <w:noProof w:val="1"/>
          </w:rPr>
          <w:fldChar w:fldCharType="begin"/>
        </w:r>
        <w:r>
          <w:rPr>
            <w:noProof w:val="1"/>
          </w:rPr>
          <w:instrText xml:space="preserve"> PAGEREF _Toc207616152 \h </w:instrText>
        </w:r>
        <w:r>
          <w:rPr>
            <w:noProof w:val="1"/>
          </w:rPr>
          <w:fldChar w:fldCharType="separate"/>
        </w:r>
        <w:r>
          <w:rPr>
            <w:noProof w:val="1"/>
          </w:rPr>
          <w:t>25</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53">
        <w:r>
          <w:rPr>
            <w:rStyle w:val="C2"/>
            <w:noProof w:val="1"/>
          </w:rPr>
          <w:t>6.10.1 Gestaltning</w:t>
        </w:r>
        <w:r>
          <w:rPr>
            <w:noProof w:val="1"/>
          </w:rPr>
          <w:tab/>
        </w:r>
        <w:r>
          <w:rPr>
            <w:noProof w:val="1"/>
          </w:rPr>
          <w:fldChar w:fldCharType="begin"/>
        </w:r>
        <w:r>
          <w:rPr>
            <w:noProof w:val="1"/>
          </w:rPr>
          <w:instrText xml:space="preserve"> PAGEREF _Toc207616153 \h </w:instrText>
        </w:r>
        <w:r>
          <w:rPr>
            <w:noProof w:val="1"/>
          </w:rPr>
          <w:fldChar w:fldCharType="separate"/>
        </w:r>
        <w:r>
          <w:rPr>
            <w:noProof w:val="1"/>
          </w:rPr>
          <w:t>25</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54">
        <w:r>
          <w:rPr>
            <w:rStyle w:val="C2"/>
            <w:noProof w:val="1"/>
          </w:rPr>
          <w:t>6.10.2 Fornlämningar</w:t>
        </w:r>
        <w:r>
          <w:rPr>
            <w:noProof w:val="1"/>
          </w:rPr>
          <w:tab/>
        </w:r>
        <w:r>
          <w:rPr>
            <w:noProof w:val="1"/>
          </w:rPr>
          <w:fldChar w:fldCharType="begin"/>
        </w:r>
        <w:r>
          <w:rPr>
            <w:noProof w:val="1"/>
          </w:rPr>
          <w:instrText xml:space="preserve"> PAGEREF _Toc207616154 \h </w:instrText>
        </w:r>
        <w:r>
          <w:rPr>
            <w:noProof w:val="1"/>
          </w:rPr>
          <w:fldChar w:fldCharType="separate"/>
        </w:r>
        <w:r>
          <w:rPr>
            <w:noProof w:val="1"/>
          </w:rPr>
          <w:t>26</w:t>
        </w:r>
        <w:r>
          <w:rPr>
            <w:noProof w:val="1"/>
          </w:rPr>
          <w:fldChar w:fldCharType="end"/>
        </w:r>
      </w:hyperlink>
    </w:p>
    <w:p>
      <w:pPr>
        <w:pStyle w:val="P11"/>
        <w:tabs>
          <w:tab w:val="right" w:pos="9062" w:leader="dot"/>
        </w:tabs>
        <w:rPr>
          <w:rFonts w:cstheme="minorBidi" w:eastAsiaTheme="minorEastAsia"/>
          <w:smallCaps w:val="0"/>
          <w:noProof w:val="1"/>
          <w:color w:val="auto"/>
          <w:sz w:val="24"/>
          <w:szCs w:val="24"/>
          <w:kern w:val="2"/>
        </w:rPr>
      </w:pPr>
      <w:hyperlink w:anchor="_Toc207616155">
        <w:r>
          <w:rPr>
            <w:rStyle w:val="C2"/>
            <w:noProof w:val="1"/>
          </w:rPr>
          <w:t>6.11 Service</w:t>
        </w:r>
        <w:r>
          <w:rPr>
            <w:noProof w:val="1"/>
          </w:rPr>
          <w:tab/>
        </w:r>
        <w:r>
          <w:rPr>
            <w:noProof w:val="1"/>
          </w:rPr>
          <w:fldChar w:fldCharType="begin"/>
        </w:r>
        <w:r>
          <w:rPr>
            <w:noProof w:val="1"/>
          </w:rPr>
          <w:instrText xml:space="preserve"> PAGEREF _Toc207616155 \h </w:instrText>
        </w:r>
        <w:r>
          <w:rPr>
            <w:noProof w:val="1"/>
          </w:rPr>
          <w:fldChar w:fldCharType="separate"/>
        </w:r>
        <w:r>
          <w:rPr>
            <w:noProof w:val="1"/>
          </w:rPr>
          <w:t>26</w:t>
        </w:r>
        <w:r>
          <w:rPr>
            <w:noProof w:val="1"/>
          </w:rPr>
          <w:fldChar w:fldCharType="end"/>
        </w:r>
      </w:hyperlink>
    </w:p>
    <w:p>
      <w:pPr>
        <w:pStyle w:val="P11"/>
        <w:tabs>
          <w:tab w:val="right" w:pos="9062" w:leader="dot"/>
        </w:tabs>
        <w:rPr>
          <w:rFonts w:cstheme="minorBidi" w:eastAsiaTheme="minorEastAsia"/>
          <w:smallCaps w:val="0"/>
          <w:noProof w:val="1"/>
          <w:color w:val="auto"/>
          <w:sz w:val="24"/>
          <w:szCs w:val="24"/>
          <w:kern w:val="2"/>
        </w:rPr>
      </w:pPr>
      <w:hyperlink w:anchor="_Toc207616156">
        <w:r>
          <w:rPr>
            <w:rStyle w:val="C2"/>
            <w:noProof w:val="1"/>
          </w:rPr>
          <w:t>6.12 Trafik</w:t>
        </w:r>
        <w:r>
          <w:rPr>
            <w:noProof w:val="1"/>
          </w:rPr>
          <w:tab/>
        </w:r>
        <w:r>
          <w:rPr>
            <w:noProof w:val="1"/>
          </w:rPr>
          <w:fldChar w:fldCharType="begin"/>
        </w:r>
        <w:r>
          <w:rPr>
            <w:noProof w:val="1"/>
          </w:rPr>
          <w:instrText xml:space="preserve"> PAGEREF _Toc207616156 \h </w:instrText>
        </w:r>
        <w:r>
          <w:rPr>
            <w:noProof w:val="1"/>
          </w:rPr>
          <w:fldChar w:fldCharType="separate"/>
        </w:r>
        <w:r>
          <w:rPr>
            <w:noProof w:val="1"/>
          </w:rPr>
          <w:t>26</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57">
        <w:r>
          <w:rPr>
            <w:rStyle w:val="C2"/>
            <w:noProof w:val="1"/>
          </w:rPr>
          <w:t>6.12.1 Gång- och cykeltrafik</w:t>
        </w:r>
        <w:r>
          <w:rPr>
            <w:noProof w:val="1"/>
          </w:rPr>
          <w:tab/>
        </w:r>
        <w:r>
          <w:rPr>
            <w:noProof w:val="1"/>
          </w:rPr>
          <w:fldChar w:fldCharType="begin"/>
        </w:r>
        <w:r>
          <w:rPr>
            <w:noProof w:val="1"/>
          </w:rPr>
          <w:instrText xml:space="preserve"> PAGEREF _Toc207616157 \h </w:instrText>
        </w:r>
        <w:r>
          <w:rPr>
            <w:noProof w:val="1"/>
          </w:rPr>
          <w:fldChar w:fldCharType="separate"/>
        </w:r>
        <w:r>
          <w:rPr>
            <w:noProof w:val="1"/>
          </w:rPr>
          <w:t>26</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58">
        <w:r>
          <w:rPr>
            <w:rStyle w:val="C2"/>
            <w:noProof w:val="1"/>
          </w:rPr>
          <w:t>6.12.2 Kollektivtrafik</w:t>
        </w:r>
        <w:r>
          <w:rPr>
            <w:noProof w:val="1"/>
          </w:rPr>
          <w:tab/>
        </w:r>
        <w:r>
          <w:rPr>
            <w:noProof w:val="1"/>
          </w:rPr>
          <w:fldChar w:fldCharType="begin"/>
        </w:r>
        <w:r>
          <w:rPr>
            <w:noProof w:val="1"/>
          </w:rPr>
          <w:instrText xml:space="preserve"> PAGEREF _Toc207616158 \h </w:instrText>
        </w:r>
        <w:r>
          <w:rPr>
            <w:noProof w:val="1"/>
          </w:rPr>
          <w:fldChar w:fldCharType="separate"/>
        </w:r>
        <w:r>
          <w:rPr>
            <w:noProof w:val="1"/>
          </w:rPr>
          <w:t>27</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59">
        <w:r>
          <w:rPr>
            <w:rStyle w:val="C2"/>
            <w:noProof w:val="1"/>
          </w:rPr>
          <w:t>6.12.3 Gatunät</w:t>
        </w:r>
        <w:r>
          <w:rPr>
            <w:noProof w:val="1"/>
          </w:rPr>
          <w:tab/>
        </w:r>
        <w:r>
          <w:rPr>
            <w:noProof w:val="1"/>
          </w:rPr>
          <w:fldChar w:fldCharType="begin"/>
        </w:r>
        <w:r>
          <w:rPr>
            <w:noProof w:val="1"/>
          </w:rPr>
          <w:instrText xml:space="preserve"> PAGEREF _Toc207616159 \h </w:instrText>
        </w:r>
        <w:r>
          <w:rPr>
            <w:noProof w:val="1"/>
          </w:rPr>
          <w:fldChar w:fldCharType="separate"/>
        </w:r>
        <w:r>
          <w:rPr>
            <w:noProof w:val="1"/>
          </w:rPr>
          <w:t>27</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60">
        <w:r>
          <w:rPr>
            <w:rStyle w:val="C2"/>
            <w:noProof w:val="1"/>
          </w:rPr>
          <w:t>6.12.4 Parkering</w:t>
        </w:r>
        <w:r>
          <w:rPr>
            <w:noProof w:val="1"/>
          </w:rPr>
          <w:tab/>
        </w:r>
        <w:r>
          <w:rPr>
            <w:noProof w:val="1"/>
          </w:rPr>
          <w:fldChar w:fldCharType="begin"/>
        </w:r>
        <w:r>
          <w:rPr>
            <w:noProof w:val="1"/>
          </w:rPr>
          <w:instrText xml:space="preserve"> PAGEREF _Toc207616160 \h </w:instrText>
        </w:r>
        <w:r>
          <w:rPr>
            <w:noProof w:val="1"/>
          </w:rPr>
          <w:fldChar w:fldCharType="separate"/>
        </w:r>
        <w:r>
          <w:rPr>
            <w:noProof w:val="1"/>
          </w:rPr>
          <w:t>28</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61">
        <w:r>
          <w:rPr>
            <w:rStyle w:val="C2"/>
            <w:noProof w:val="1"/>
          </w:rPr>
          <w:t>6.12.5 Varumottagning</w:t>
        </w:r>
        <w:r>
          <w:rPr>
            <w:noProof w:val="1"/>
          </w:rPr>
          <w:tab/>
        </w:r>
        <w:r>
          <w:rPr>
            <w:noProof w:val="1"/>
          </w:rPr>
          <w:fldChar w:fldCharType="begin"/>
        </w:r>
        <w:r>
          <w:rPr>
            <w:noProof w:val="1"/>
          </w:rPr>
          <w:instrText xml:space="preserve"> PAGEREF _Toc207616161 \h </w:instrText>
        </w:r>
        <w:r>
          <w:rPr>
            <w:noProof w:val="1"/>
          </w:rPr>
          <w:fldChar w:fldCharType="separate"/>
        </w:r>
        <w:r>
          <w:rPr>
            <w:noProof w:val="1"/>
          </w:rPr>
          <w:t>29</w:t>
        </w:r>
        <w:r>
          <w:rPr>
            <w:noProof w:val="1"/>
          </w:rPr>
          <w:fldChar w:fldCharType="end"/>
        </w:r>
      </w:hyperlink>
    </w:p>
    <w:p>
      <w:pPr>
        <w:pStyle w:val="P11"/>
        <w:tabs>
          <w:tab w:val="right" w:pos="9062" w:leader="dot"/>
        </w:tabs>
        <w:rPr>
          <w:rFonts w:cstheme="minorBidi" w:eastAsiaTheme="minorEastAsia"/>
          <w:smallCaps w:val="0"/>
          <w:noProof w:val="1"/>
          <w:color w:val="auto"/>
          <w:sz w:val="24"/>
          <w:szCs w:val="24"/>
          <w:kern w:val="2"/>
        </w:rPr>
      </w:pPr>
      <w:hyperlink w:anchor="_Toc207616162">
        <w:r>
          <w:rPr>
            <w:rStyle w:val="C2"/>
            <w:noProof w:val="1"/>
          </w:rPr>
          <w:t>6.13 Teknisk försörjning</w:t>
        </w:r>
        <w:r>
          <w:rPr>
            <w:noProof w:val="1"/>
          </w:rPr>
          <w:tab/>
        </w:r>
        <w:r>
          <w:rPr>
            <w:noProof w:val="1"/>
          </w:rPr>
          <w:fldChar w:fldCharType="begin"/>
        </w:r>
        <w:r>
          <w:rPr>
            <w:noProof w:val="1"/>
          </w:rPr>
          <w:instrText xml:space="preserve"> PAGEREF _Toc207616162 \h </w:instrText>
        </w:r>
        <w:r>
          <w:rPr>
            <w:noProof w:val="1"/>
          </w:rPr>
          <w:fldChar w:fldCharType="separate"/>
        </w:r>
        <w:r>
          <w:rPr>
            <w:noProof w:val="1"/>
          </w:rPr>
          <w:t>29</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63">
        <w:r>
          <w:rPr>
            <w:rStyle w:val="C2"/>
            <w:noProof w:val="1"/>
          </w:rPr>
          <w:t>6.13.1 Vatten, spillvatten och dagvatten</w:t>
        </w:r>
        <w:r>
          <w:rPr>
            <w:noProof w:val="1"/>
          </w:rPr>
          <w:tab/>
        </w:r>
        <w:r>
          <w:rPr>
            <w:noProof w:val="1"/>
          </w:rPr>
          <w:fldChar w:fldCharType="begin"/>
        </w:r>
        <w:r>
          <w:rPr>
            <w:noProof w:val="1"/>
          </w:rPr>
          <w:instrText xml:space="preserve"> PAGEREF _Toc207616163 \h </w:instrText>
        </w:r>
        <w:r>
          <w:rPr>
            <w:noProof w:val="1"/>
          </w:rPr>
          <w:fldChar w:fldCharType="separate"/>
        </w:r>
        <w:r>
          <w:rPr>
            <w:noProof w:val="1"/>
          </w:rPr>
          <w:t>29</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64">
        <w:r>
          <w:rPr>
            <w:rStyle w:val="C2"/>
            <w:noProof w:val="1"/>
          </w:rPr>
          <w:t>6.13.2 El</w:t>
        </w:r>
        <w:r>
          <w:rPr>
            <w:noProof w:val="1"/>
          </w:rPr>
          <w:tab/>
        </w:r>
        <w:r>
          <w:rPr>
            <w:noProof w:val="1"/>
          </w:rPr>
          <w:fldChar w:fldCharType="begin"/>
        </w:r>
        <w:r>
          <w:rPr>
            <w:noProof w:val="1"/>
          </w:rPr>
          <w:instrText xml:space="preserve"> PAGEREF _Toc207616164 \h </w:instrText>
        </w:r>
        <w:r>
          <w:rPr>
            <w:noProof w:val="1"/>
          </w:rPr>
          <w:fldChar w:fldCharType="separate"/>
        </w:r>
        <w:r>
          <w:rPr>
            <w:noProof w:val="1"/>
          </w:rPr>
          <w:t>29</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65">
        <w:r>
          <w:rPr>
            <w:rStyle w:val="C2"/>
            <w:noProof w:val="1"/>
          </w:rPr>
          <w:t>6.13.3 Bredband, fiber och teleledningar</w:t>
        </w:r>
        <w:r>
          <w:rPr>
            <w:noProof w:val="1"/>
          </w:rPr>
          <w:tab/>
        </w:r>
        <w:r>
          <w:rPr>
            <w:noProof w:val="1"/>
          </w:rPr>
          <w:fldChar w:fldCharType="begin"/>
        </w:r>
        <w:r>
          <w:rPr>
            <w:noProof w:val="1"/>
          </w:rPr>
          <w:instrText xml:space="preserve"> PAGEREF _Toc207616165 \h </w:instrText>
        </w:r>
        <w:r>
          <w:rPr>
            <w:noProof w:val="1"/>
          </w:rPr>
          <w:fldChar w:fldCharType="separate"/>
        </w:r>
        <w:r>
          <w:rPr>
            <w:noProof w:val="1"/>
          </w:rPr>
          <w:t>29</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66">
        <w:r>
          <w:rPr>
            <w:rStyle w:val="C2"/>
            <w:noProof w:val="1"/>
          </w:rPr>
          <w:t>6.13.4 Avfall</w:t>
        </w:r>
        <w:r>
          <w:rPr>
            <w:noProof w:val="1"/>
          </w:rPr>
          <w:tab/>
        </w:r>
        <w:r>
          <w:rPr>
            <w:noProof w:val="1"/>
          </w:rPr>
          <w:fldChar w:fldCharType="begin"/>
        </w:r>
        <w:r>
          <w:rPr>
            <w:noProof w:val="1"/>
          </w:rPr>
          <w:instrText xml:space="preserve"> PAGEREF _Toc207616166 \h </w:instrText>
        </w:r>
        <w:r>
          <w:rPr>
            <w:noProof w:val="1"/>
          </w:rPr>
          <w:fldChar w:fldCharType="separate"/>
        </w:r>
        <w:r>
          <w:rPr>
            <w:noProof w:val="1"/>
          </w:rPr>
          <w:t>30</w:t>
        </w:r>
        <w:r>
          <w:rPr>
            <w:noProof w:val="1"/>
          </w:rPr>
          <w:fldChar w:fldCharType="end"/>
        </w:r>
      </w:hyperlink>
    </w:p>
    <w:p>
      <w:pPr>
        <w:pStyle w:val="P11"/>
        <w:tabs>
          <w:tab w:val="right" w:pos="9062" w:leader="dot"/>
        </w:tabs>
        <w:rPr>
          <w:rFonts w:cstheme="minorBidi" w:eastAsiaTheme="minorEastAsia"/>
          <w:smallCaps w:val="0"/>
          <w:noProof w:val="1"/>
          <w:color w:val="auto"/>
          <w:sz w:val="24"/>
          <w:szCs w:val="24"/>
          <w:kern w:val="2"/>
        </w:rPr>
      </w:pPr>
      <w:hyperlink w:anchor="_Toc207616167">
        <w:r>
          <w:rPr>
            <w:rStyle w:val="C2"/>
            <w:noProof w:val="1"/>
          </w:rPr>
          <w:t>6.14 Sociala frågor</w:t>
        </w:r>
        <w:r>
          <w:rPr>
            <w:noProof w:val="1"/>
          </w:rPr>
          <w:tab/>
        </w:r>
        <w:r>
          <w:rPr>
            <w:noProof w:val="1"/>
          </w:rPr>
          <w:fldChar w:fldCharType="begin"/>
        </w:r>
        <w:r>
          <w:rPr>
            <w:noProof w:val="1"/>
          </w:rPr>
          <w:instrText xml:space="preserve"> PAGEREF _Toc207616167 \h </w:instrText>
        </w:r>
        <w:r>
          <w:rPr>
            <w:noProof w:val="1"/>
          </w:rPr>
          <w:fldChar w:fldCharType="separate"/>
        </w:r>
        <w:r>
          <w:rPr>
            <w:noProof w:val="1"/>
          </w:rPr>
          <w:t>30</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68">
        <w:r>
          <w:rPr>
            <w:rStyle w:val="C2"/>
            <w:noProof w:val="1"/>
          </w:rPr>
          <w:t>6.14.1 Barn</w:t>
        </w:r>
        <w:r>
          <w:rPr>
            <w:noProof w:val="1"/>
          </w:rPr>
          <w:tab/>
        </w:r>
        <w:r>
          <w:rPr>
            <w:noProof w:val="1"/>
          </w:rPr>
          <w:fldChar w:fldCharType="begin"/>
        </w:r>
        <w:r>
          <w:rPr>
            <w:noProof w:val="1"/>
          </w:rPr>
          <w:instrText xml:space="preserve"> PAGEREF _Toc207616168 \h </w:instrText>
        </w:r>
        <w:r>
          <w:rPr>
            <w:noProof w:val="1"/>
          </w:rPr>
          <w:fldChar w:fldCharType="separate"/>
        </w:r>
        <w:r>
          <w:rPr>
            <w:noProof w:val="1"/>
          </w:rPr>
          <w:t>30</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69">
        <w:r>
          <w:rPr>
            <w:rStyle w:val="C2"/>
            <w:noProof w:val="1"/>
          </w:rPr>
          <w:t>6.14.2 Jämlikhet</w:t>
        </w:r>
        <w:r>
          <w:rPr>
            <w:noProof w:val="1"/>
          </w:rPr>
          <w:tab/>
        </w:r>
        <w:r>
          <w:rPr>
            <w:noProof w:val="1"/>
          </w:rPr>
          <w:fldChar w:fldCharType="begin"/>
        </w:r>
        <w:r>
          <w:rPr>
            <w:noProof w:val="1"/>
          </w:rPr>
          <w:instrText xml:space="preserve"> PAGEREF _Toc207616169 \h </w:instrText>
        </w:r>
        <w:r>
          <w:rPr>
            <w:noProof w:val="1"/>
          </w:rPr>
          <w:fldChar w:fldCharType="separate"/>
        </w:r>
        <w:r>
          <w:rPr>
            <w:noProof w:val="1"/>
          </w:rPr>
          <w:t>31</w:t>
        </w:r>
        <w:r>
          <w:rPr>
            <w:noProof w:val="1"/>
          </w:rPr>
          <w:fldChar w:fldCharType="end"/>
        </w:r>
      </w:hyperlink>
    </w:p>
    <w:p>
      <w:pPr>
        <w:pStyle w:val="P10"/>
        <w:tabs>
          <w:tab w:val="left" w:pos="440" w:leader="none"/>
          <w:tab w:val="right" w:pos="9062" w:leader="dot"/>
        </w:tabs>
        <w:rPr>
          <w:rFonts w:cstheme="minorBidi" w:eastAsiaTheme="minorEastAsia"/>
          <w:b w:val="0"/>
          <w:bCs w:val="0"/>
          <w:caps w:val="0"/>
          <w:noProof w:val="1"/>
          <w:color w:val="auto"/>
          <w:sz w:val="24"/>
          <w:szCs w:val="24"/>
          <w:kern w:val="2"/>
        </w:rPr>
      </w:pPr>
      <w:hyperlink w:anchor="_Toc207616170">
        <w:r>
          <w:rPr>
            <w:rStyle w:val="C2"/>
            <w:noProof w:val="1"/>
          </w:rPr>
          <w:t>7</w:t>
        </w:r>
        <w:r>
          <w:rPr>
            <w:rFonts w:cstheme="minorBidi" w:eastAsiaTheme="minorEastAsia"/>
            <w:b w:val="0"/>
            <w:bCs w:val="0"/>
            <w:caps w:val="0"/>
            <w:noProof w:val="1"/>
            <w:color w:val="auto"/>
            <w:sz w:val="24"/>
            <w:szCs w:val="24"/>
            <w:kern w:val="2"/>
          </w:rPr>
          <w:tab/>
        </w:r>
        <w:r>
          <w:rPr>
            <w:rStyle w:val="C2"/>
            <w:noProof w:val="1"/>
          </w:rPr>
          <w:t>Planeringsunderlag</w:t>
        </w:r>
        <w:r>
          <w:rPr>
            <w:noProof w:val="1"/>
          </w:rPr>
          <w:tab/>
        </w:r>
        <w:r>
          <w:rPr>
            <w:noProof w:val="1"/>
          </w:rPr>
          <w:fldChar w:fldCharType="begin"/>
        </w:r>
        <w:r>
          <w:rPr>
            <w:noProof w:val="1"/>
          </w:rPr>
          <w:instrText xml:space="preserve"> PAGEREF _Toc207616170 \h </w:instrText>
        </w:r>
        <w:r>
          <w:rPr>
            <w:noProof w:val="1"/>
          </w:rPr>
          <w:fldChar w:fldCharType="separate"/>
        </w:r>
        <w:r>
          <w:rPr>
            <w:noProof w:val="1"/>
          </w:rPr>
          <w:t>31</w:t>
        </w:r>
        <w:r>
          <w:rPr>
            <w:noProof w:val="1"/>
          </w:rPr>
          <w:fldChar w:fldCharType="end"/>
        </w:r>
      </w:hyperlink>
    </w:p>
    <w:p>
      <w:pPr>
        <w:pStyle w:val="P11"/>
        <w:tabs>
          <w:tab w:val="right" w:pos="9062" w:leader="dot"/>
        </w:tabs>
        <w:rPr>
          <w:rFonts w:cstheme="minorBidi" w:eastAsiaTheme="minorEastAsia"/>
          <w:smallCaps w:val="0"/>
          <w:noProof w:val="1"/>
          <w:color w:val="auto"/>
          <w:sz w:val="24"/>
          <w:szCs w:val="24"/>
          <w:kern w:val="2"/>
        </w:rPr>
      </w:pPr>
      <w:hyperlink w:anchor="_Toc207616171">
        <w:r>
          <w:rPr>
            <w:rStyle w:val="C2"/>
            <w:noProof w:val="1"/>
          </w:rPr>
          <w:t>7.1 Kommunala</w:t>
        </w:r>
        <w:r>
          <w:rPr>
            <w:noProof w:val="1"/>
          </w:rPr>
          <w:tab/>
        </w:r>
        <w:r>
          <w:rPr>
            <w:noProof w:val="1"/>
          </w:rPr>
          <w:fldChar w:fldCharType="begin"/>
        </w:r>
        <w:r>
          <w:rPr>
            <w:noProof w:val="1"/>
          </w:rPr>
          <w:instrText xml:space="preserve"> PAGEREF _Toc207616171 \h </w:instrText>
        </w:r>
        <w:r>
          <w:rPr>
            <w:noProof w:val="1"/>
          </w:rPr>
          <w:fldChar w:fldCharType="separate"/>
        </w:r>
        <w:r>
          <w:rPr>
            <w:noProof w:val="1"/>
          </w:rPr>
          <w:t>31</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72">
        <w:r>
          <w:rPr>
            <w:rStyle w:val="C2"/>
            <w:noProof w:val="1"/>
          </w:rPr>
          <w:t>7.1.1 Detaljplan</w:t>
        </w:r>
        <w:r>
          <w:rPr>
            <w:noProof w:val="1"/>
          </w:rPr>
          <w:tab/>
        </w:r>
        <w:r>
          <w:rPr>
            <w:noProof w:val="1"/>
          </w:rPr>
          <w:fldChar w:fldCharType="begin"/>
        </w:r>
        <w:r>
          <w:rPr>
            <w:noProof w:val="1"/>
          </w:rPr>
          <w:instrText xml:space="preserve"> PAGEREF _Toc207616172 \h </w:instrText>
        </w:r>
        <w:r>
          <w:rPr>
            <w:noProof w:val="1"/>
          </w:rPr>
          <w:fldChar w:fldCharType="separate"/>
        </w:r>
        <w:r>
          <w:rPr>
            <w:noProof w:val="1"/>
          </w:rPr>
          <w:t>31</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73">
        <w:r>
          <w:rPr>
            <w:rStyle w:val="C2"/>
            <w:noProof w:val="1"/>
          </w:rPr>
          <w:t>7.1.2 Grundkarta</w:t>
        </w:r>
        <w:r>
          <w:rPr>
            <w:noProof w:val="1"/>
          </w:rPr>
          <w:tab/>
        </w:r>
        <w:r>
          <w:rPr>
            <w:noProof w:val="1"/>
          </w:rPr>
          <w:fldChar w:fldCharType="begin"/>
        </w:r>
        <w:r>
          <w:rPr>
            <w:noProof w:val="1"/>
          </w:rPr>
          <w:instrText xml:space="preserve"> PAGEREF _Toc207616173 \h </w:instrText>
        </w:r>
        <w:r>
          <w:rPr>
            <w:noProof w:val="1"/>
          </w:rPr>
          <w:fldChar w:fldCharType="separate"/>
        </w:r>
        <w:r>
          <w:rPr>
            <w:noProof w:val="1"/>
          </w:rPr>
          <w:t>31</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74">
        <w:r>
          <w:rPr>
            <w:rStyle w:val="C2"/>
            <w:noProof w:val="1"/>
          </w:rPr>
          <w:t>7.1.3 Översiktsplan</w:t>
        </w:r>
        <w:r>
          <w:rPr>
            <w:noProof w:val="1"/>
          </w:rPr>
          <w:tab/>
        </w:r>
        <w:r>
          <w:rPr>
            <w:noProof w:val="1"/>
          </w:rPr>
          <w:fldChar w:fldCharType="begin"/>
        </w:r>
        <w:r>
          <w:rPr>
            <w:noProof w:val="1"/>
          </w:rPr>
          <w:instrText xml:space="preserve"> PAGEREF _Toc207616174 \h </w:instrText>
        </w:r>
        <w:r>
          <w:rPr>
            <w:noProof w:val="1"/>
          </w:rPr>
          <w:fldChar w:fldCharType="separate"/>
        </w:r>
        <w:r>
          <w:rPr>
            <w:noProof w:val="1"/>
          </w:rPr>
          <w:t>31</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75">
        <w:r>
          <w:rPr>
            <w:rStyle w:val="C2"/>
            <w:noProof w:val="1"/>
          </w:rPr>
          <w:t xml:space="preserve">7.1.4 Undersökning enligt 6 kap. 6 § </w:t>
        </w:r>
        <w:r>
          <w:rPr>
            <w:rStyle w:val="C2"/>
            <w:noProof w:val="1"/>
            <w:lang w:bidi="sv-SE"/>
          </w:rPr>
          <w:t xml:space="preserve">miljöbalken </w:t>
        </w:r>
        <w:r>
          <w:rPr>
            <w:rStyle w:val="C2"/>
            <w:noProof w:val="1"/>
          </w:rPr>
          <w:t>(</w:t>
        </w:r>
        <w:r>
          <w:rPr>
            <w:rStyle w:val="C2"/>
            <w:noProof w:val="1"/>
            <w:lang w:bidi="sv-SE"/>
          </w:rPr>
          <w:t>1998</w:t>
        </w:r>
        <w:r>
          <w:rPr>
            <w:rStyle w:val="C2"/>
            <w:noProof w:val="1"/>
          </w:rPr>
          <w:t>:</w:t>
        </w:r>
        <w:r>
          <w:rPr>
            <w:rStyle w:val="C2"/>
            <w:noProof w:val="1"/>
            <w:lang w:bidi="sv-SE"/>
          </w:rPr>
          <w:t>808</w:t>
        </w:r>
        <w:r>
          <w:rPr>
            <w:rStyle w:val="C2"/>
            <w:noProof w:val="1"/>
          </w:rPr>
          <w:t>)</w:t>
        </w:r>
        <w:r>
          <w:rPr>
            <w:noProof w:val="1"/>
          </w:rPr>
          <w:tab/>
        </w:r>
        <w:r>
          <w:rPr>
            <w:noProof w:val="1"/>
          </w:rPr>
          <w:fldChar w:fldCharType="begin"/>
        </w:r>
        <w:r>
          <w:rPr>
            <w:noProof w:val="1"/>
          </w:rPr>
          <w:instrText xml:space="preserve"> PAGEREF _Toc207616175 \h </w:instrText>
        </w:r>
        <w:r>
          <w:rPr>
            <w:noProof w:val="1"/>
          </w:rPr>
          <w:fldChar w:fldCharType="separate"/>
        </w:r>
        <w:r>
          <w:rPr>
            <w:noProof w:val="1"/>
          </w:rPr>
          <w:t>31</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76">
        <w:r>
          <w:rPr>
            <w:rStyle w:val="C2"/>
            <w:noProof w:val="1"/>
          </w:rPr>
          <w:t>7.1.5 Särskilt beslut om betydande miljöpåverkan</w:t>
        </w:r>
        <w:r>
          <w:rPr>
            <w:noProof w:val="1"/>
          </w:rPr>
          <w:tab/>
        </w:r>
        <w:r>
          <w:rPr>
            <w:noProof w:val="1"/>
          </w:rPr>
          <w:fldChar w:fldCharType="begin"/>
        </w:r>
        <w:r>
          <w:rPr>
            <w:noProof w:val="1"/>
          </w:rPr>
          <w:instrText xml:space="preserve"> PAGEREF _Toc207616176 \h </w:instrText>
        </w:r>
        <w:r>
          <w:rPr>
            <w:noProof w:val="1"/>
          </w:rPr>
          <w:fldChar w:fldCharType="separate"/>
        </w:r>
        <w:r>
          <w:rPr>
            <w:noProof w:val="1"/>
          </w:rPr>
          <w:t>31</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77">
        <w:r>
          <w:rPr>
            <w:rStyle w:val="C2"/>
            <w:noProof w:val="1"/>
          </w:rPr>
          <w:t>7.1.6 Arkitekturpolicy</w:t>
        </w:r>
        <w:r>
          <w:rPr>
            <w:noProof w:val="1"/>
          </w:rPr>
          <w:tab/>
        </w:r>
        <w:r>
          <w:rPr>
            <w:noProof w:val="1"/>
          </w:rPr>
          <w:fldChar w:fldCharType="begin"/>
        </w:r>
        <w:r>
          <w:rPr>
            <w:noProof w:val="1"/>
          </w:rPr>
          <w:instrText xml:space="preserve"> PAGEREF _Toc207616177 \h </w:instrText>
        </w:r>
        <w:r>
          <w:rPr>
            <w:noProof w:val="1"/>
          </w:rPr>
          <w:fldChar w:fldCharType="separate"/>
        </w:r>
        <w:r>
          <w:rPr>
            <w:noProof w:val="1"/>
          </w:rPr>
          <w:t>31</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78">
        <w:r>
          <w:rPr>
            <w:rStyle w:val="C2"/>
            <w:noProof w:val="1"/>
          </w:rPr>
          <w:t>7.1.7 Cykelplan</w:t>
        </w:r>
        <w:r>
          <w:rPr>
            <w:noProof w:val="1"/>
          </w:rPr>
          <w:tab/>
        </w:r>
        <w:r>
          <w:rPr>
            <w:noProof w:val="1"/>
          </w:rPr>
          <w:fldChar w:fldCharType="begin"/>
        </w:r>
        <w:r>
          <w:rPr>
            <w:noProof w:val="1"/>
          </w:rPr>
          <w:instrText xml:space="preserve"> PAGEREF _Toc207616178 \h </w:instrText>
        </w:r>
        <w:r>
          <w:rPr>
            <w:noProof w:val="1"/>
          </w:rPr>
          <w:fldChar w:fldCharType="separate"/>
        </w:r>
        <w:r>
          <w:rPr>
            <w:noProof w:val="1"/>
          </w:rPr>
          <w:t>31</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79">
        <w:r>
          <w:rPr>
            <w:rStyle w:val="C2"/>
            <w:noProof w:val="1"/>
          </w:rPr>
          <w:t>7.1.8 Dagvattenplan</w:t>
        </w:r>
        <w:r>
          <w:rPr>
            <w:noProof w:val="1"/>
          </w:rPr>
          <w:tab/>
        </w:r>
        <w:r>
          <w:rPr>
            <w:noProof w:val="1"/>
          </w:rPr>
          <w:fldChar w:fldCharType="begin"/>
        </w:r>
        <w:r>
          <w:rPr>
            <w:noProof w:val="1"/>
          </w:rPr>
          <w:instrText xml:space="preserve"> PAGEREF _Toc207616179 \h </w:instrText>
        </w:r>
        <w:r>
          <w:rPr>
            <w:noProof w:val="1"/>
          </w:rPr>
          <w:fldChar w:fldCharType="separate"/>
        </w:r>
        <w:r>
          <w:rPr>
            <w:noProof w:val="1"/>
          </w:rPr>
          <w:t>32</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80">
        <w:r>
          <w:rPr>
            <w:rStyle w:val="C2"/>
            <w:noProof w:val="1"/>
          </w:rPr>
          <w:t>7.1.9 Dagvattenpolicy</w:t>
        </w:r>
        <w:r>
          <w:rPr>
            <w:noProof w:val="1"/>
          </w:rPr>
          <w:tab/>
        </w:r>
        <w:r>
          <w:rPr>
            <w:noProof w:val="1"/>
          </w:rPr>
          <w:fldChar w:fldCharType="begin"/>
        </w:r>
        <w:r>
          <w:rPr>
            <w:noProof w:val="1"/>
          </w:rPr>
          <w:instrText xml:space="preserve"> PAGEREF _Toc207616180 \h </w:instrText>
        </w:r>
        <w:r>
          <w:rPr>
            <w:noProof w:val="1"/>
          </w:rPr>
          <w:fldChar w:fldCharType="separate"/>
        </w:r>
        <w:r>
          <w:rPr>
            <w:noProof w:val="1"/>
          </w:rPr>
          <w:t>32</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81">
        <w:r>
          <w:rPr>
            <w:rStyle w:val="C2"/>
            <w:noProof w:val="1"/>
          </w:rPr>
          <w:t>7.1.10 Naturvårdsprogram</w:t>
        </w:r>
        <w:r>
          <w:rPr>
            <w:noProof w:val="1"/>
          </w:rPr>
          <w:tab/>
        </w:r>
        <w:r>
          <w:rPr>
            <w:noProof w:val="1"/>
          </w:rPr>
          <w:fldChar w:fldCharType="begin"/>
        </w:r>
        <w:r>
          <w:rPr>
            <w:noProof w:val="1"/>
          </w:rPr>
          <w:instrText xml:space="preserve"> PAGEREF _Toc207616181 \h </w:instrText>
        </w:r>
        <w:r>
          <w:rPr>
            <w:noProof w:val="1"/>
          </w:rPr>
          <w:fldChar w:fldCharType="separate"/>
        </w:r>
        <w:r>
          <w:rPr>
            <w:noProof w:val="1"/>
          </w:rPr>
          <w:t>32</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82">
        <w:r>
          <w:rPr>
            <w:rStyle w:val="C2"/>
            <w:noProof w:val="1"/>
          </w:rPr>
          <w:t>7.1.11 Parkeringsriktlinjer</w:t>
        </w:r>
        <w:r>
          <w:rPr>
            <w:noProof w:val="1"/>
          </w:rPr>
          <w:tab/>
        </w:r>
        <w:r>
          <w:rPr>
            <w:noProof w:val="1"/>
          </w:rPr>
          <w:fldChar w:fldCharType="begin"/>
        </w:r>
        <w:r>
          <w:rPr>
            <w:noProof w:val="1"/>
          </w:rPr>
          <w:instrText xml:space="preserve"> PAGEREF _Toc207616182 \h </w:instrText>
        </w:r>
        <w:r>
          <w:rPr>
            <w:noProof w:val="1"/>
          </w:rPr>
          <w:fldChar w:fldCharType="separate"/>
        </w:r>
        <w:r>
          <w:rPr>
            <w:noProof w:val="1"/>
          </w:rPr>
          <w:t>32</w:t>
        </w:r>
        <w:r>
          <w:rPr>
            <w:noProof w:val="1"/>
          </w:rPr>
          <w:fldChar w:fldCharType="end"/>
        </w:r>
      </w:hyperlink>
    </w:p>
    <w:p>
      <w:pPr>
        <w:pStyle w:val="P12"/>
        <w:tabs>
          <w:tab w:val="right" w:pos="9062" w:leader="dot"/>
        </w:tabs>
        <w:rPr>
          <w:rFonts w:cstheme="minorBidi" w:eastAsiaTheme="minorEastAsia"/>
          <w:i w:val="0"/>
          <w:iCs w:val="0"/>
          <w:noProof w:val="1"/>
          <w:color w:val="auto"/>
          <w:sz w:val="24"/>
          <w:szCs w:val="24"/>
          <w:kern w:val="2"/>
        </w:rPr>
      </w:pPr>
      <w:hyperlink w:anchor="_Toc207616183">
        <w:r>
          <w:rPr>
            <w:rStyle w:val="C2"/>
            <w:noProof w:val="1"/>
          </w:rPr>
          <w:t>7.1.12 Trafikstrategi</w:t>
        </w:r>
        <w:r>
          <w:rPr>
            <w:noProof w:val="1"/>
          </w:rPr>
          <w:tab/>
        </w:r>
        <w:r>
          <w:rPr>
            <w:noProof w:val="1"/>
          </w:rPr>
          <w:fldChar w:fldCharType="begin"/>
        </w:r>
        <w:r>
          <w:rPr>
            <w:noProof w:val="1"/>
          </w:rPr>
          <w:instrText xml:space="preserve"> PAGEREF _Toc207616183 \h </w:instrText>
        </w:r>
        <w:r>
          <w:rPr>
            <w:noProof w:val="1"/>
          </w:rPr>
          <w:fldChar w:fldCharType="separate"/>
        </w:r>
        <w:r>
          <w:rPr>
            <w:noProof w:val="1"/>
          </w:rPr>
          <w:t>32</w:t>
        </w:r>
        <w:r>
          <w:rPr>
            <w:noProof w:val="1"/>
          </w:rPr>
          <w:fldChar w:fldCharType="end"/>
        </w:r>
      </w:hyperlink>
    </w:p>
    <w:p>
      <w:pPr>
        <w:pStyle w:val="P10"/>
        <w:tabs>
          <w:tab w:val="left" w:pos="440" w:leader="none"/>
          <w:tab w:val="right" w:pos="9062" w:leader="dot"/>
        </w:tabs>
        <w:rPr>
          <w:rFonts w:cstheme="minorBidi" w:eastAsiaTheme="minorEastAsia"/>
          <w:b w:val="0"/>
          <w:bCs w:val="0"/>
          <w:caps w:val="0"/>
          <w:noProof w:val="1"/>
          <w:color w:val="auto"/>
          <w:sz w:val="24"/>
          <w:szCs w:val="24"/>
          <w:kern w:val="2"/>
        </w:rPr>
      </w:pPr>
      <w:hyperlink w:anchor="_Toc207616184">
        <w:r>
          <w:rPr>
            <w:rStyle w:val="C2"/>
            <w:noProof w:val="1"/>
          </w:rPr>
          <w:t>8</w:t>
        </w:r>
        <w:r>
          <w:rPr>
            <w:rFonts w:cstheme="minorBidi" w:eastAsiaTheme="minorEastAsia"/>
            <w:b w:val="0"/>
            <w:bCs w:val="0"/>
            <w:caps w:val="0"/>
            <w:noProof w:val="1"/>
            <w:color w:val="auto"/>
            <w:sz w:val="24"/>
            <w:szCs w:val="24"/>
            <w:kern w:val="2"/>
          </w:rPr>
          <w:tab/>
        </w:r>
        <w:r>
          <w:rPr>
            <w:rStyle w:val="C2"/>
            <w:noProof w:val="1"/>
          </w:rPr>
          <w:t>Medverkande tjänstepersoner</w:t>
        </w:r>
        <w:r>
          <w:rPr>
            <w:noProof w:val="1"/>
          </w:rPr>
          <w:tab/>
        </w:r>
        <w:r>
          <w:rPr>
            <w:noProof w:val="1"/>
          </w:rPr>
          <w:fldChar w:fldCharType="begin"/>
        </w:r>
        <w:r>
          <w:rPr>
            <w:noProof w:val="1"/>
          </w:rPr>
          <w:instrText xml:space="preserve"> PAGEREF _Toc207616184 \h </w:instrText>
        </w:r>
        <w:r>
          <w:rPr>
            <w:noProof w:val="1"/>
          </w:rPr>
          <w:fldChar w:fldCharType="separate"/>
        </w:r>
        <w:r>
          <w:rPr>
            <w:noProof w:val="1"/>
          </w:rPr>
          <w:t>32</w:t>
        </w:r>
        <w:r>
          <w:rPr>
            <w:noProof w:val="1"/>
          </w:rPr>
          <w:fldChar w:fldCharType="end"/>
        </w:r>
      </w:hyperlink>
    </w:p>
    <w:p>
      <w:pPr>
        <w:rPr>
          <w:sz w:val="18"/>
        </w:rPr>
      </w:pPr>
      <w:r>
        <w:fldChar w:fldCharType="end"/>
      </w:r>
    </w:p>
    <w:p>
      <w:pPr>
        <w:ind w:left="0"/>
      </w:pPr>
      <w:r>
        <w:br w:type="page"/>
      </w:r>
    </w:p>
    <w:p>
      <w:pPr>
        <w:pStyle w:val="P34"/>
        <w:rPr>
          <w:noProof w:val="0"/>
        </w:rPr>
      </w:pPr>
      <w:bookmarkStart w:id="1" w:name="_Toc207616094"/>
      <w:r>
        <w:rPr>
          <w:noProof w:val="0"/>
        </w:rPr>
        <w:t>Om detaljplan</w:t>
      </w:r>
      <w:bookmarkEnd w:id="1"/>
    </w:p>
    <w:p>
      <w:pPr>
        <w:pStyle w:val="P32"/>
      </w:pPr>
      <w:r>
        <w:t>En detaljplan styr hur mark- och vattenområden får användas inom ett visst område, exempelvis till ändamålen bostäder, handel eller kontor. Det går även att reglera utformning såsom husstorlek, byggnadshöjd och vilket avstånd huset ska ha till fastighetsgräns.</w:t>
      </w:r>
    </w:p>
    <w:p>
      <w:pPr>
        <w:pStyle w:val="P32"/>
      </w:pPr>
    </w:p>
    <w:p>
      <w:pPr>
        <w:pStyle w:val="P32"/>
      </w:pPr>
      <w:r>
        <w:t>En detaljplan består av en plankarta som är juridiskt bindande samt en planbeskrivning som inte har någon egen rättsverkan. Det är plankartan som reglerar själva markanvändningen och bebyggelsen. För att underlätta förståelsen för planförslaget och dess innebörd finns denna planbeskrivning. Den redovisar bland annat syfte, förutsättningar, konsekvenser samt hur planen ska genomföras.</w:t>
      </w:r>
    </w:p>
    <w:p>
      <w:pPr>
        <w:pStyle w:val="P32"/>
      </w:pPr>
    </w:p>
    <w:p>
      <w:pPr>
        <w:pStyle w:val="P35"/>
        <w:rPr>
          <w:noProof w:val="0"/>
        </w:rPr>
      </w:pPr>
      <w:bookmarkStart w:id="2" w:name="_Toc207616095"/>
      <w:r>
        <w:rPr>
          <w:noProof w:val="0"/>
        </w:rPr>
        <w:t>Detaljplaneprocessen</w:t>
      </w:r>
      <w:bookmarkEnd w:id="2"/>
    </w:p>
    <w:p>
      <w:pPr>
        <w:pStyle w:val="P32"/>
      </w:pPr>
      <w:r>
        <w:t>Planprocessen startar när exempelvis kommunen själv, en byggherre, exploatörer eller enskilda personer inkommer med en begäran om att få göra eller ändra en detaljplan. Samhällsbyggnadsnämnden ger uppdrag till Sektor samhällsbyggnad att ta fram ett förslag till detaljplan.</w:t>
      </w:r>
    </w:p>
    <w:p>
      <w:pPr>
        <w:pStyle w:val="P32"/>
      </w:pPr>
    </w:p>
    <w:p>
      <w:pPr>
        <w:pStyle w:val="P32"/>
      </w:pPr>
      <w:r>
        <w:t>Efter att ett planförslag tagits fram hålls samråd med bland annat länsstyrelsen, myndigheter, föreningar och enskilda som har ett väsentligt intresse avseende aktuell planläggning.</w:t>
      </w:r>
    </w:p>
    <w:p>
      <w:pPr>
        <w:pStyle w:val="P32"/>
      </w:pPr>
      <w:r>
        <w:t>Samrådets syfte är att förbättra beslutsunderlaget genom att samla in kunskap och synpunkter kopplat till aktuellt ärende. Inkomna synpunkter sammanställs och bemöts i en samrådsredogörelse.</w:t>
      </w:r>
    </w:p>
    <w:p>
      <w:pPr>
        <w:pStyle w:val="P32"/>
      </w:pPr>
    </w:p>
    <w:p>
      <w:pPr>
        <w:pStyle w:val="P32"/>
      </w:pPr>
      <w:r>
        <w:t>Efter att planförslaget reviderats utifrån samrådet så hålls en granskning. Granskningen innebär att kommunen ger möjlighet för bland annat myndigheter och sakägare att lämna synpunkter på ett slutgiltigt planförslag. Efter granskningstidens slut sammanställs eventuella synpunkter i ett granskningsutlåtande.</w:t>
      </w:r>
    </w:p>
    <w:p>
      <w:pPr>
        <w:pStyle w:val="P32"/>
      </w:pPr>
    </w:p>
    <w:p>
      <w:pPr>
        <w:pStyle w:val="P32"/>
      </w:pPr>
      <w:r>
        <w:t xml:space="preserve">Detaljplanen har utformats enligt Boverkets allmänna råd (BFS 2020:6) om redovisning av reglering i detaljplan och Boverkets föreskrifter (BFS 2020:5) om detaljplan. Planbeskrivningen har utformats enligt Boverkets föreskrifter och allmänna råd (BFS 2020:8) om planbeskrivning. </w:t>
      </w:r>
    </w:p>
    <w:p>
      <w:pPr>
        <w:pStyle w:val="P32"/>
      </w:pPr>
    </w:p>
    <w:p>
      <w:pPr>
        <w:pStyle w:val="P35"/>
        <w:rPr>
          <w:noProof w:val="0"/>
        </w:rPr>
      </w:pPr>
      <w:bookmarkStart w:id="3" w:name="_Toc207616096"/>
      <w:r>
        <w:rPr>
          <w:noProof w:val="0"/>
        </w:rPr>
        <w:t>Planförfarande</w:t>
      </w:r>
      <w:bookmarkEnd w:id="3"/>
    </w:p>
    <w:p>
      <w:pPr>
        <w:pStyle w:val="P32"/>
      </w:pPr>
      <w:r>
        <w:t xml:space="preserve">Tidplanen för detaljplanearbetet kan variera kraftigt i längd beroende på händelseutvecklingen i ärendet. Bland annat så kan utredningar, samrådsprocess och överklaganden förlänga tidplanen. </w:t>
      </w:r>
    </w:p>
    <w:p>
      <w:pPr>
        <w:pStyle w:val="P32"/>
      </w:pPr>
    </w:p>
    <w:p>
      <w:pPr>
        <w:pStyle w:val="P32"/>
        <w:rPr>
          <w:color w:val="E30E13"/>
        </w:rPr>
      </w:pPr>
      <w:r>
        <w:t xml:space="preserve">Planprocessen genomförs med standardplanförfarande enligt 5 kap 6-7 § Plan- och bygglagen (2010:900), se illustration nedan. Planen </w:t>
      </w:r>
      <w:r>
        <w:rPr>
          <w:rtl w:val="0"/>
          <w:lang w:val="sv-SE" w:bidi="sv-SE" w:eastAsia="sv-SE"/>
        </w:rPr>
        <w:t>antogs av samhällsbyggnadsnämnden 2025-09-17</w:t>
      </w:r>
    </w:p>
    <w:p>
      <w:pPr>
        <w:pStyle w:val="P32"/>
      </w:pPr>
    </w:p>
    <w:p>
      <w:pPr>
        <w:pStyle w:val="P32"/>
      </w:pPr>
    </w:p>
    <w:p>
      <w:pPr>
        <w:pStyle w:val="P32"/>
      </w:pPr>
      <w:r>
        <w:br w:type="page"/>
      </w:r>
    </w:p>
    <w:p>
      <w:pPr>
        <w:pStyle w:val="P34"/>
        <w:rPr>
          <w:noProof w:val="0"/>
        </w:rPr>
      </w:pPr>
      <w:bookmarkStart w:id="4" w:name="_Toc207616097"/>
      <w:bookmarkStart w:id="5" w:name="sy_syfte02"/>
      <w:r>
        <w:rPr>
          <w:noProof w:val="0"/>
        </w:rPr>
        <w:t>Detaljplanens syfte</w:t>
      </w:r>
      <w:bookmarkEnd w:id="4"/>
    </w:p>
    <w:p>
      <w:pPr>
        <w:pStyle w:val="P32"/>
      </w:pPr>
      <w:bookmarkStart w:id="6" w:name="sy_syfte01"/>
      <w:r>
        <w:t xml:space="preserve">Syftet med detaljplanen är att möjliggöra en träningslokal inom planområdet genom att använda den befintliga byggnaden, med utrymme för en mindre utbyggnad. För att säkerställa flexibilitet över tid tillåts andra verksamheter genom användningsbestämmelsen Z. Mark som redan används som allmän plats detaljplaneläggs som sådan, då det i dagsläget är detaljplanelagt för kvartersmark. För att hantera översvämningsrisk fastställs krav på markens genomsläpplighet inom planområdet. </w:t>
      </w:r>
    </w:p>
    <w:p>
      <w:pPr>
        <w:pStyle w:val="P34"/>
        <w:rPr>
          <w:noProof w:val="0"/>
        </w:rPr>
      </w:pPr>
      <w:bookmarkEnd w:id="5"/>
      <w:bookmarkEnd w:id="6"/>
      <w:bookmarkStart w:id="7" w:name="_Toc207616098"/>
      <w:r>
        <w:rPr>
          <w:noProof w:val="0"/>
        </w:rPr>
        <w:t>Beskrivning av detaljplanen</w:t>
      </w:r>
      <w:bookmarkEnd w:id="7"/>
    </w:p>
    <w:p>
      <w:pPr>
        <w:pStyle w:val="P35"/>
        <w:rPr>
          <w:noProof w:val="0"/>
        </w:rPr>
      </w:pPr>
      <w:bookmarkStart w:id="8" w:name="_Toc207616099"/>
      <w:r>
        <w:rPr>
          <w:noProof w:val="0"/>
        </w:rPr>
        <w:t>Detaljplanens omfattning och lokalisering</w:t>
      </w:r>
      <w:bookmarkEnd w:id="8"/>
    </w:p>
    <w:p>
      <w:pPr>
        <w:pStyle w:val="P32"/>
      </w:pPr>
      <w:bookmarkStart w:id="9" w:name="be_befintligt01"/>
      <w:r>
        <w:t>Planområdets läge framgår av översiktskartan på sidan 3. Det är beläget i södra Svalövs tätort, i nära anslutning till återvinningscentralen, och omfattar fastigheterna Felestad 5:66 och Felestad 3:38, med en total area på cirka 5 900 kvadratmeter. Felestad 5:66 är privatägd, medan Felestad 3:38 ägs av kommunen. Inom Felestad 5:66 finns en byggnad som tidigare använts för industriverksamhet, och markytan består av hårdgjorda ytor, med inslag av vegetation och gräsbeklädd mark i den norra delen av fastigheten.</w:t>
      </w:r>
    </w:p>
    <w:p>
      <w:pPr>
        <w:pStyle w:val="P32"/>
      </w:pPr>
      <w:bookmarkEnd w:id="9"/>
    </w:p>
    <w:p>
      <w:pPr>
        <w:pStyle w:val="P35"/>
        <w:rPr>
          <w:noProof w:val="0"/>
        </w:rPr>
      </w:pPr>
      <w:bookmarkStart w:id="10" w:name="_Toc207616100"/>
      <w:r>
        <w:rPr>
          <w:noProof w:val="0"/>
        </w:rPr>
        <w:t>Planförslag</w:t>
      </w:r>
      <w:bookmarkEnd w:id="10"/>
    </w:p>
    <w:p>
      <w:pPr>
        <w:pStyle w:val="P32"/>
      </w:pPr>
      <w:bookmarkStart w:id="11" w:name="be_heladetaljplan01"/>
      <w:r>
        <w:t xml:space="preserve">Planförslagets huvuddrag är att möjliggör träningslokal som användning inom fastigheten Felestad 5:66. Befintlig byggnad kommer nyttjas med möjlighet till en mindre utbyggnation i framtiden. Fastigheten ligger i nära anslutning till befintlig cykelväg som går mellan Teckomatorp och Svalövs tätort, och det finns således goda förutsättningar för att ta sig till träningslokalen med cykel. </w:t>
      </w:r>
    </w:p>
    <w:p>
      <w:pPr>
        <w:pStyle w:val="P32"/>
      </w:pPr>
    </w:p>
    <w:p>
      <w:pPr>
        <w:pStyle w:val="P37"/>
        <w:rPr>
          <w:rStyle w:val="C31"/>
        </w:rPr>
      </w:pPr>
      <w:r>
        <w:rPr>
          <w:color w:val="auto"/>
        </w:rPr>
        <w:t xml:space="preserve">För att göra planen användbar över tid prövas också verksamheter som inte har större omgivningspåverkan med användningsbestämmelsen Z. För att hantera de lågpunkter som finns inom fastigheten regleras markytan som bör vara genomsläpplig, för att på så vis motverka potentiella översvämningsrisker. </w:t>
      </w:r>
      <w:r>
        <w:br w:type="textWrapping"/>
        <w:br w:type="textWrapping"/>
      </w:r>
      <w:bookmarkStart w:id="12" w:name="_Hlk207609722"/>
      <w:r>
        <w:rPr>
          <w:rStyle w:val="C31"/>
          <w:noProof w:val="0"/>
        </w:rPr>
        <w:t xml:space="preserve">Detaljplanen stämmer överens med gällande översiktsplan för Svalövs kommun, ÖP 2040. </w:t>
      </w:r>
    </w:p>
    <w:p>
      <w:pPr>
        <w:pStyle w:val="P32"/>
      </w:pPr>
      <w:bookmarkStart w:id="13" w:name="_Hlk207194222"/>
      <w:r>
        <w:rPr>
          <w:rStyle w:val="C31"/>
        </w:rPr>
        <w:t>En planeringsstrategi som redogör för översiktsplanens aktualitet, antogs av kommunfullmäktige den 26 februari 2024. Slutsatsen i planeringsstrategin är att översiktsplanen är aktuell och kan fortsatt nyttjas som underlag</w:t>
      </w:r>
      <w:bookmarkEnd w:id="12"/>
      <w:r>
        <w:rPr>
          <w:rStyle w:val="C31"/>
        </w:rPr>
        <w:t>.</w:t>
      </w:r>
    </w:p>
    <w:p>
      <w:pPr>
        <w:pStyle w:val="P37"/>
      </w:pPr>
      <w:bookmarkEnd w:id="11"/>
      <w:bookmarkEnd w:id="13"/>
    </w:p>
    <w:p>
      <w:pPr>
        <w:pStyle w:val="P35"/>
        <w:rPr>
          <w:noProof w:val="0"/>
        </w:rPr>
      </w:pPr>
      <w:bookmarkStart w:id="14" w:name="_Toc207616101"/>
      <w:r>
        <w:rPr>
          <w:noProof w:val="0"/>
        </w:rPr>
        <w:t>Allmän plats</w:t>
      </w:r>
      <w:bookmarkEnd w:id="14"/>
    </w:p>
    <w:p>
      <w:pPr>
        <w:pStyle w:val="P32"/>
      </w:pPr>
      <w:bookmarkStart w:id="15" w:name="be_allmänplats01"/>
      <w:r>
        <w:t>Den befintliga gatan och naturområdet detaljplaneläggs som allmän platsmark. Tidigare var marken kvartersmark för industriverksamhet, men gatan har anlagts av Svalövs kommun som har ansvaret för dess förvaltning.</w:t>
      </w:r>
    </w:p>
    <w:p>
      <w:pPr>
        <w:pStyle w:val="P37"/>
      </w:pPr>
      <w:bookmarkEnd w:id="15"/>
    </w:p>
    <w:p>
      <w:pPr>
        <w:pStyle w:val="P35"/>
        <w:rPr>
          <w:noProof w:val="0"/>
        </w:rPr>
      </w:pPr>
      <w:bookmarkStart w:id="16" w:name="_Toc207616102"/>
      <w:r>
        <w:rPr>
          <w:noProof w:val="0"/>
        </w:rPr>
        <w:t>Kvartersmark</w:t>
      </w:r>
      <w:bookmarkEnd w:id="16"/>
    </w:p>
    <w:p>
      <w:pPr>
        <w:pStyle w:val="P37"/>
      </w:pPr>
      <w:bookmarkStart w:id="17" w:name="be_kvartersmark01"/>
    </w:p>
    <w:p>
      <w:pPr>
        <w:pStyle w:val="P32"/>
      </w:pPr>
      <w:r>
        <w:t xml:space="preserve">Syftet med detaljplanen är att möjliggöra för träningslokal inom området och därför regleras detaljplanen med en C bestämmelse som preciserar användningen till träningslokal. Ifall C – centrumverksamhet hade nyttjats som bestämmelse skulle fler användningar som inte fungerar väl med användingen Z – verksamheter möjliggöras. Exempelvis skulle hotell, vandrarhem och lättare former för vård vara möjligt, samtidigt som användningar som bilverkstad och fordonsservice. Närheten till återvinningscentralen motiverar till att inte möjliggöra en markanvändning som uppmanar till stadigvarande vistelse. </w:t>
      </w:r>
    </w:p>
    <w:p>
      <w:pPr>
        <w:pStyle w:val="P32"/>
      </w:pPr>
    </w:p>
    <w:p>
      <w:pPr>
        <w:pStyle w:val="P32"/>
      </w:pPr>
      <w:r>
        <w:t xml:space="preserve">För att göra detaljplanen möjlig för likartad verksamhet som finns i nära anslutning till området regleras användningen också till Z för verksamheter. Skulle ett gym i framtiden inte vara ekonomiskt lönsamt, finns möjligheten att tillåta annan verksamhet inom fastigheten. </w:t>
      </w:r>
      <w:r>
        <w:rPr>
          <w:rStyle w:val="C34"/>
        </w:rPr>
        <w:t>Användningen Z för verksamheter tillämpas för service, lager, tillverkning med tillhörande försäljning, partihandel och annan jämförlig verksamhet med begränsad omgivningspåverkan.</w:t>
      </w:r>
    </w:p>
    <w:p>
      <w:pPr>
        <w:pStyle w:val="P37"/>
      </w:pPr>
      <w:bookmarkEnd w:id="17"/>
    </w:p>
    <w:p>
      <w:pPr>
        <w:pStyle w:val="P37"/>
      </w:pPr>
    </w:p>
    <w:p>
      <w:pPr>
        <w:pStyle w:val="P35"/>
        <w:rPr>
          <w:noProof w:val="0"/>
          <w:color w:val="auto"/>
        </w:rPr>
      </w:pPr>
      <w:bookmarkStart w:id="18" w:name="_Toc207616103"/>
      <w:r>
        <w:rPr>
          <w:noProof w:val="0"/>
          <w:color w:val="auto"/>
        </w:rPr>
        <w:t>Genomförandetid</w:t>
      </w:r>
      <w:bookmarkEnd w:id="18"/>
    </w:p>
    <w:p>
      <w:pPr>
        <w:pStyle w:val="P32"/>
      </w:pPr>
      <w:bookmarkStart w:id="19" w:name="be_genomförandetid01"/>
      <w:r>
        <w:t>Detaljplanens genomförandetid är 5 år från den dag planen får laga kraft. Innan genomförandetiden gått ut får mot berörda fastighetsägares bestridande detaljplanen ändras eller upphävas endast om det är nödvändigt på grund av nya förhållanden av stor allmän vikt, vilka inte kunnat förutses vid planläggningen. Efter genomförandetidens utgång får planen ändras eller upphävas utan att rättigheter som uppkommit genom planen beaktas.</w:t>
      </w:r>
    </w:p>
    <w:p>
      <w:pPr>
        <w:pStyle w:val="P34"/>
        <w:rPr>
          <w:noProof w:val="0"/>
        </w:rPr>
      </w:pPr>
      <w:bookmarkEnd w:id="19"/>
      <w:bookmarkStart w:id="20" w:name="_Toc207616104"/>
      <w:bookmarkStart w:id="21" w:name="mo_motivtillreglering01"/>
      <w:r>
        <w:rPr>
          <w:noProof w:val="0"/>
        </w:rPr>
        <w:t>Motiv till detaljplanens regleringar</w:t>
      </w:r>
      <w:bookmarkEnd w:id="20"/>
    </w:p>
    <w:p>
      <w:pPr>
        <w:pStyle w:val="P32"/>
      </w:pPr>
      <w:r>
        <w:t xml:space="preserve">Detaljplanen innehåller regleringar för att uppnå detaljplanens syfte. Enligt Boverkets föreskrifter och allmänna råd om planbeskrivning (BFS 2020:8) ska kommunen motivera varje enskild reglering. Nedan följer en lista på de bestämmelser som används i detaljplanen och motiven till dem. </w:t>
      </w:r>
    </w:p>
    <w:p>
      <w:pPr>
        <w:pStyle w:val="P32"/>
      </w:pPr>
      <w:bookmarkEnd w:id="21"/>
    </w:p>
    <w:p>
      <w:pPr>
        <w:pStyle w:val="P35"/>
      </w:pPr>
      <w:bookmarkStart w:id="22" w:name="_Toc207616105"/>
      <w:bookmarkStart w:id="23" w:name="mo_motivtillreglering02"/>
      <w:r>
        <w:t>Allmän platsmark</w:t>
      </w:r>
      <w:bookmarkEnd w:id="22"/>
    </w:p>
    <w:p>
      <w:pPr>
        <w:pStyle w:val="P32"/>
      </w:pPr>
    </w:p>
    <w:p>
      <w:pPr>
        <w:pStyle w:val="P32"/>
        <w:rPr>
          <w:b w:val="1"/>
          <w:bCs w:val="1"/>
        </w:rPr>
      </w:pPr>
      <w:r>
        <w:rPr>
          <w:b w:val="1"/>
          <w:bCs w:val="1"/>
        </w:rPr>
        <w:t>GATA – Gata</w:t>
      </w:r>
    </w:p>
    <w:p>
      <w:pPr>
        <w:pStyle w:val="P32"/>
      </w:pPr>
    </w:p>
    <w:p>
      <w:pPr>
        <w:pStyle w:val="P32"/>
      </w:pPr>
      <w:r>
        <w:t>Motiv: För att säkerställa att befintlig gata i verksamhetsområdet finns kvar, detaljplaneläggs den för sitt nuvarande ändamål. Planens syfte är att möjliggöra för träningslokal och befintlig väg är en förutsättning för den framtida verksamheten.</w:t>
      </w:r>
    </w:p>
    <w:p>
      <w:pPr>
        <w:pStyle w:val="P32"/>
      </w:pPr>
      <w:bookmarkEnd w:id="23"/>
    </w:p>
    <w:p>
      <w:pPr>
        <w:pStyle w:val="P32"/>
        <w:rPr>
          <w:b w:val="1"/>
          <w:bCs w:val="1"/>
        </w:rPr>
      </w:pPr>
      <w:bookmarkStart w:id="24" w:name="mo_motivtillreglering03"/>
      <w:r>
        <w:rPr>
          <w:b w:val="1"/>
          <w:bCs w:val="1"/>
        </w:rPr>
        <w:t>NATUR – Natur</w:t>
      </w:r>
    </w:p>
    <w:p>
      <w:pPr>
        <w:pStyle w:val="P32"/>
      </w:pPr>
    </w:p>
    <w:p>
      <w:pPr>
        <w:pStyle w:val="P32"/>
      </w:pPr>
      <w:r>
        <w:t>Motiv: För att hantera dagvatten inom planområdet detaljplaneläggs befintligt dike som allmän platsmark för natur. Enligt 2 kap 3 § stycke 3, PBL ska planläggning ta hänsyn till en långsiktigt god hushållning med mark, vatten, energi och råvaror samt goda miljöförhållanden i övrigt.</w:t>
      </w:r>
    </w:p>
    <w:p>
      <w:pPr>
        <w:pStyle w:val="P32"/>
      </w:pPr>
      <w:bookmarkEnd w:id="24"/>
    </w:p>
    <w:p>
      <w:pPr>
        <w:pStyle w:val="P36"/>
      </w:pPr>
      <w:bookmarkStart w:id="25" w:name="_Toc207616106"/>
      <w:bookmarkStart w:id="26" w:name="mo_motivtillreglering04"/>
      <w:r>
        <w:t>Reglering av allmän platsmark</w:t>
      </w:r>
      <w:bookmarkEnd w:id="25"/>
    </w:p>
    <w:p>
      <w:pPr>
        <w:pStyle w:val="P43"/>
      </w:pPr>
    </w:p>
    <w:p>
      <w:pPr>
        <w:pStyle w:val="P43"/>
      </w:pPr>
      <w:r>
        <w:t>dike</w:t>
      </w:r>
      <w:r>
        <w:rPr>
          <w:vertAlign w:val="subscript"/>
        </w:rPr>
        <w:t>1</w:t>
      </w:r>
      <w:r>
        <w:t xml:space="preserve"> – Dagvattendike</w:t>
      </w:r>
    </w:p>
    <w:p>
      <w:pPr>
        <w:pStyle w:val="P43"/>
      </w:pPr>
    </w:p>
    <w:p>
      <w:pPr>
        <w:pStyle w:val="P32"/>
      </w:pPr>
      <w:r>
        <w:t>Motiv: För att hantera dagvatten inom planområdet detaljplaneläggs befintligt dike som dike</w:t>
      </w:r>
      <w:r>
        <w:rPr>
          <w:vertAlign w:val="subscript"/>
        </w:rPr>
        <w:t>1</w:t>
      </w:r>
      <w:r>
        <w:t xml:space="preserve"> inom allmän platsmark för natur. Stöd för regleringen enligt 2 kap 3 § stycke 3, PBL.</w:t>
      </w:r>
    </w:p>
    <w:p>
      <w:pPr>
        <w:pStyle w:val="P43"/>
      </w:pPr>
      <w:bookmarkEnd w:id="26"/>
    </w:p>
    <w:p>
      <w:pPr>
        <w:pStyle w:val="P35"/>
        <w:rPr>
          <w:noProof w:val="0"/>
        </w:rPr>
      </w:pPr>
      <w:bookmarkStart w:id="27" w:name="_Toc207616107"/>
      <w:bookmarkStart w:id="28" w:name="mo_motivtillreglering05"/>
      <w:r>
        <w:rPr>
          <w:noProof w:val="0"/>
        </w:rPr>
        <w:t>Kvartersmark</w:t>
      </w:r>
      <w:bookmarkEnd w:id="27"/>
    </w:p>
    <w:p>
      <w:pPr>
        <w:pStyle w:val="P43"/>
      </w:pPr>
    </w:p>
    <w:p>
      <w:pPr>
        <w:pStyle w:val="P43"/>
      </w:pPr>
      <w:r>
        <w:t>C1 – Träningslokal</w:t>
      </w:r>
    </w:p>
    <w:p>
      <w:pPr>
        <w:pStyle w:val="P43"/>
      </w:pPr>
    </w:p>
    <w:p>
      <w:pPr>
        <w:pStyle w:val="P32"/>
        <w:rPr>
          <w:rStyle w:val="C31"/>
          <w:noProof w:val="0"/>
        </w:rPr>
      </w:pPr>
      <w:r>
        <w:rPr>
          <w:rStyle w:val="C31"/>
          <w:noProof w:val="0"/>
        </w:rPr>
        <w:t xml:space="preserve">Motiv:  </w:t>
      </w:r>
      <w:r>
        <w:t>För att kunna anlägga ett gym inom fastigheten behöver detaljplanen reglera så att det är planmässigt möjligt</w:t>
      </w:r>
      <w:r>
        <w:rPr>
          <w:rStyle w:val="C31"/>
          <w:noProof w:val="0"/>
          <w:color w:val="auto"/>
        </w:rPr>
        <w:t>.</w:t>
      </w:r>
      <w:r>
        <w:rPr>
          <w:rStyle w:val="C31"/>
          <w:noProof w:val="0"/>
        </w:rPr>
        <w:t xml:space="preserve"> Planens syfte är att möjliggöra träningslokal som verksamhet inom detaljplaneområdet.</w:t>
      </w:r>
    </w:p>
    <w:p>
      <w:pPr>
        <w:pStyle w:val="P32"/>
      </w:pPr>
      <w:bookmarkEnd w:id="28"/>
      <w:bookmarkStart w:id="29" w:name="mo_motivtillreglering06"/>
    </w:p>
    <w:p>
      <w:pPr>
        <w:pStyle w:val="P32"/>
        <w:rPr>
          <w:b w:val="1"/>
          <w:bCs w:val="1"/>
        </w:rPr>
      </w:pPr>
      <w:r>
        <w:rPr>
          <w:b w:val="1"/>
          <w:bCs w:val="1"/>
        </w:rPr>
        <w:t>Z – Verksamhet</w:t>
      </w:r>
    </w:p>
    <w:p>
      <w:pPr>
        <w:pStyle w:val="P32"/>
      </w:pPr>
    </w:p>
    <w:p>
      <w:pPr>
        <w:pStyle w:val="P32"/>
        <w:rPr>
          <w:rStyle w:val="C31"/>
          <w:noProof w:val="0"/>
        </w:rPr>
      </w:pPr>
      <w:r>
        <w:t xml:space="preserve">Motiv: Stöd för regleringen är att säkerställa planens aktualitet över tid, ifall det inte finns ekonomiska förutsättningar att driva en träningslokal inom området. Enligt 2 kap 3 § stycke 4 PBL </w:t>
      </w:r>
      <w:r>
        <w:rPr>
          <w:rStyle w:val="C31"/>
          <w:noProof w:val="0"/>
        </w:rPr>
        <w:t xml:space="preserve">ska planläggningen ta hänsyn till </w:t>
      </w:r>
      <w:r>
        <w:t>en god ekonomisk tillväxt och en effektiv konkurrens</w:t>
      </w:r>
      <w:r>
        <w:rPr>
          <w:rStyle w:val="C31"/>
          <w:noProof w:val="0"/>
        </w:rPr>
        <w:t xml:space="preserve">. </w:t>
      </w:r>
    </w:p>
    <w:p>
      <w:pPr>
        <w:pStyle w:val="P32"/>
        <w:rPr>
          <w:rStyle w:val="C31"/>
          <w:noProof w:val="0"/>
        </w:rPr>
      </w:pPr>
      <w:bookmarkEnd w:id="29"/>
    </w:p>
    <w:p>
      <w:pPr>
        <w:pStyle w:val="P32"/>
        <w:rPr>
          <w:rStyle w:val="C34"/>
          <w:b w:val="1"/>
          <w:bCs w:val="1"/>
        </w:rPr>
      </w:pPr>
      <w:bookmarkStart w:id="30" w:name="mo_motivtillreglering07"/>
      <w:r>
        <w:rPr>
          <w:rStyle w:val="C31"/>
          <w:b w:val="1"/>
          <w:bCs w:val="1"/>
          <w:noProof w:val="0"/>
        </w:rPr>
        <w:t>E</w:t>
      </w:r>
      <w:r>
        <w:rPr>
          <w:rStyle w:val="C31"/>
          <w:b w:val="1"/>
          <w:bCs w:val="1"/>
          <w:noProof w:val="0"/>
          <w:vertAlign w:val="subscript"/>
        </w:rPr>
        <w:t xml:space="preserve"> </w:t>
      </w:r>
      <w:r>
        <w:t>–</w:t>
      </w:r>
      <w:r>
        <w:rPr>
          <w:rStyle w:val="C34"/>
          <w:b w:val="1"/>
          <w:bCs w:val="1"/>
        </w:rPr>
        <w:t>Tekniska anläggningar</w:t>
      </w:r>
    </w:p>
    <w:p>
      <w:pPr>
        <w:pStyle w:val="P32"/>
        <w:rPr>
          <w:rStyle w:val="C34"/>
          <w:b w:val="1"/>
          <w:bCs w:val="1"/>
        </w:rPr>
      </w:pPr>
    </w:p>
    <w:p>
      <w:pPr>
        <w:pStyle w:val="P32"/>
        <w:rPr>
          <w:rStyle w:val="C31"/>
          <w:noProof w:val="0"/>
        </w:rPr>
      </w:pPr>
      <w:r>
        <w:rPr>
          <w:rStyle w:val="C34"/>
        </w:rPr>
        <w:t xml:space="preserve">Motiv: Inom området finns en mast med tillhörande komplementbyggnad för 4g-nät. För att säkerställa att planen inte gör denna planstridig ritas en bestämmelsen om teknisk anläggning ut. Enligt 2 kap 5 </w:t>
      </w:r>
      <w:r>
        <w:t>§ stycke 3 med hänsyn till möjligheterna att ordna trafik, vattenförsörjning, avlopp, avfallshantering, elektronisk kommunikation samt samhällsservice i övrigt</w:t>
      </w:r>
      <w:bookmarkEnd w:id="30"/>
      <w:r>
        <w:t>.</w:t>
      </w:r>
    </w:p>
    <w:p>
      <w:pPr>
        <w:pStyle w:val="P32"/>
      </w:pPr>
    </w:p>
    <w:p>
      <w:pPr>
        <w:pStyle w:val="P36"/>
        <w:rPr>
          <w:noProof w:val="0"/>
        </w:rPr>
      </w:pPr>
      <w:bookmarkStart w:id="31" w:name="_Toc207616108"/>
      <w:bookmarkStart w:id="32" w:name="mo_motivtillreglering08"/>
      <w:r>
        <w:rPr>
          <w:noProof w:val="0"/>
        </w:rPr>
        <w:t>Reglering av kvartersmark</w:t>
      </w:r>
      <w:bookmarkEnd w:id="31"/>
    </w:p>
    <w:p>
      <w:pPr>
        <w:pStyle w:val="P42"/>
      </w:pPr>
    </w:p>
    <w:p>
      <w:pPr>
        <w:pStyle w:val="P42"/>
      </w:pPr>
      <w:r>
        <w:t>Utnyttjandegrad</w:t>
      </w:r>
    </w:p>
    <w:p>
      <w:pPr>
        <w:pStyle w:val="P42"/>
      </w:pPr>
    </w:p>
    <w:p>
      <w:pPr>
        <w:pStyle w:val="P42"/>
        <w:rPr>
          <w:b w:val="1"/>
          <w:i w:val="0"/>
          <w:bCs w:val="1"/>
          <w:iCs w:val="1"/>
        </w:rPr>
      </w:pPr>
      <w:r>
        <w:rPr>
          <w:b w:val="1"/>
          <w:i w:val="0"/>
          <w:bCs w:val="1"/>
          <w:iCs w:val="1"/>
        </w:rPr>
        <w:t>e</w:t>
      </w:r>
      <w:r>
        <w:rPr>
          <w:b w:val="1"/>
          <w:i w:val="0"/>
          <w:bCs w:val="1"/>
          <w:iCs w:val="1"/>
          <w:vertAlign w:val="subscript"/>
        </w:rPr>
        <w:t>1</w:t>
      </w:r>
      <w:r>
        <w:rPr>
          <w:b w:val="1"/>
          <w:i w:val="0"/>
          <w:bCs w:val="1"/>
          <w:iCs w:val="1"/>
        </w:rPr>
        <w:t xml:space="preserve"> – Största byggnadsarea är 800 kvm</w:t>
      </w:r>
    </w:p>
    <w:p>
      <w:pPr>
        <w:pStyle w:val="P32"/>
      </w:pPr>
    </w:p>
    <w:p>
      <w:pPr>
        <w:pStyle w:val="P32"/>
        <w:rPr>
          <w:rStyle w:val="C31"/>
          <w:noProof w:val="0"/>
        </w:rPr>
      </w:pPr>
      <w:r>
        <w:t>Motiv: Syftet med bestämmelsen är att möjliggöra en viss tillbyggnation av befintlig byggnad som har en byggnadsarea på cirka 500 kvm. Detaljplanens syfte är att pröva möjligheten till att kunna bygga ut inom området</w:t>
      </w:r>
      <w:r>
        <w:rPr>
          <w:rStyle w:val="C31"/>
          <w:noProof w:val="0"/>
        </w:rPr>
        <w:t xml:space="preserve"> i framtiden, ifall det finns incitament att utöka träningslokalen.</w:t>
      </w:r>
    </w:p>
    <w:p>
      <w:pPr>
        <w:pStyle w:val="P32"/>
        <w:rPr>
          <w:rStyle w:val="C31"/>
          <w:noProof w:val="0"/>
        </w:rPr>
      </w:pPr>
    </w:p>
    <w:p>
      <w:pPr>
        <w:pStyle w:val="P42"/>
        <w:rPr>
          <w:rStyle w:val="C31"/>
          <w:noProof w:val="0"/>
          <w:color w:val="auto"/>
          <w:szCs w:val="22"/>
        </w:rPr>
      </w:pPr>
      <w:r>
        <w:rPr>
          <w:rStyle w:val="C31"/>
          <w:noProof w:val="0"/>
          <w:color w:val="auto"/>
          <w:szCs w:val="22"/>
        </w:rPr>
        <w:t>Begränsning av markens utnyttjande</w:t>
      </w:r>
    </w:p>
    <w:p>
      <w:pPr>
        <w:pStyle w:val="P42"/>
        <w:rPr>
          <w:rStyle w:val="C31"/>
          <w:noProof w:val="0"/>
          <w:color w:val="auto"/>
          <w:szCs w:val="22"/>
        </w:rPr>
      </w:pPr>
      <w:bookmarkEnd w:id="32"/>
    </w:p>
    <w:p>
      <w:pPr>
        <w:pStyle w:val="P42"/>
        <w:rPr>
          <w:rStyle w:val="C31"/>
          <w:b w:val="1"/>
          <w:i w:val="0"/>
          <w:bCs w:val="1"/>
          <w:iCs w:val="1"/>
          <w:noProof w:val="0"/>
          <w:color w:val="auto"/>
          <w:szCs w:val="22"/>
        </w:rPr>
      </w:pPr>
      <w:r>
        <w:rPr>
          <w:rStyle w:val="C31"/>
          <w:b w:val="1"/>
          <w:i w:val="0"/>
          <w:bCs w:val="1"/>
          <w:iCs w:val="1"/>
          <w:noProof w:val="0"/>
          <w:color w:val="auto"/>
          <w:szCs w:val="22"/>
        </w:rPr>
        <w:t>prickmark (symbol) - Marken får inte förses med byggnad</w:t>
      </w:r>
    </w:p>
    <w:p>
      <w:pPr>
        <w:pStyle w:val="P42"/>
        <w:rPr>
          <w:rStyle w:val="C31"/>
          <w:b w:val="1"/>
          <w:i w:val="0"/>
          <w:bCs w:val="1"/>
          <w:iCs w:val="1"/>
          <w:noProof w:val="0"/>
          <w:color w:val="auto"/>
          <w:szCs w:val="22"/>
        </w:rPr>
      </w:pPr>
    </w:p>
    <w:p>
      <w:pPr>
        <w:pStyle w:val="P42"/>
        <w:rPr>
          <w:rStyle w:val="C31"/>
          <w:i w:val="0"/>
          <w:iCs w:val="1"/>
          <w:noProof w:val="0"/>
          <w:color w:val="auto"/>
          <w:szCs w:val="22"/>
        </w:rPr>
      </w:pPr>
      <w:bookmarkStart w:id="33" w:name="mo_motivtillreglering09"/>
      <w:r>
        <w:rPr>
          <w:rStyle w:val="C31"/>
          <w:i w:val="0"/>
          <w:iCs w:val="1"/>
          <w:noProof w:val="0"/>
          <w:color w:val="auto"/>
          <w:szCs w:val="22"/>
        </w:rPr>
        <w:t xml:space="preserve">Motiv: Prickmark har ritats ut inom detaljplanen av ett antal skäl. </w:t>
      </w:r>
    </w:p>
    <w:p>
      <w:pPr>
        <w:pStyle w:val="P42"/>
        <w:numPr>
          <w:ilvl w:val="0"/>
          <w:numId w:val="30"/>
        </w:numPr>
        <w:rPr>
          <w:rStyle w:val="C31"/>
          <w:i w:val="0"/>
          <w:iCs w:val="1"/>
          <w:noProof w:val="0"/>
          <w:color w:val="auto"/>
          <w:szCs w:val="22"/>
        </w:rPr>
      </w:pPr>
      <w:r>
        <w:rPr>
          <w:rStyle w:val="C31"/>
          <w:i w:val="0"/>
          <w:iCs w:val="1"/>
          <w:noProof w:val="0"/>
          <w:color w:val="auto"/>
          <w:szCs w:val="22"/>
        </w:rPr>
        <w:t xml:space="preserve">Prickmarken i västra delen av planområdet syftar till att säkerställa att ny bebyggelse inte hamnar för nära väg 106. Vägen används för transport av farligt gods. </w:t>
      </w:r>
      <w:r>
        <w:rPr>
          <w:rStyle w:val="C31"/>
          <w:i w:val="0"/>
          <w:iCs w:val="1"/>
          <w:noProof w:val="0"/>
        </w:rPr>
        <w:t xml:space="preserve">Stöd för regleringen enligt 2 kap 5 § </w:t>
      </w:r>
      <w:r>
        <w:rPr>
          <w:rStyle w:val="C31"/>
          <w:i w:val="0"/>
          <w:iCs w:val="1"/>
          <w:noProof w:val="0"/>
          <w:color w:val="auto"/>
        </w:rPr>
        <w:t>5 stycket</w:t>
      </w:r>
      <w:r>
        <w:rPr>
          <w:rStyle w:val="C31"/>
          <w:i w:val="0"/>
          <w:iCs w:val="1"/>
          <w:noProof w:val="0"/>
        </w:rPr>
        <w:t xml:space="preserve"> PBL,</w:t>
      </w:r>
      <w:r>
        <w:rPr>
          <w:rStyle w:val="C31"/>
          <w:i w:val="0"/>
          <w:iCs w:val="1"/>
          <w:noProof w:val="0"/>
          <w:color w:val="auto"/>
          <w:szCs w:val="22"/>
        </w:rPr>
        <w:t xml:space="preserve"> vid planläggning</w:t>
      </w:r>
      <w:r>
        <w:t xml:space="preserve"> denna lag ska bebyggelse och byggnadsverk lokaliseras till mark som är lämpad för ändamålet med hänsyn till risken för olyckor, översvämning och erosion.</w:t>
      </w:r>
      <w:r>
        <w:rPr>
          <w:rStyle w:val="C31"/>
          <w:i w:val="0"/>
          <w:iCs w:val="1"/>
          <w:noProof w:val="0"/>
          <w:color w:val="auto"/>
          <w:szCs w:val="22"/>
        </w:rPr>
        <w:t xml:space="preserve"> </w:t>
      </w:r>
    </w:p>
    <w:p>
      <w:pPr>
        <w:pStyle w:val="P42"/>
        <w:numPr>
          <w:ilvl w:val="0"/>
          <w:numId w:val="30"/>
        </w:numPr>
        <w:rPr>
          <w:rStyle w:val="C31"/>
          <w:i w:val="0"/>
          <w:iCs w:val="1"/>
          <w:noProof w:val="0"/>
          <w:color w:val="auto"/>
          <w:szCs w:val="22"/>
        </w:rPr>
      </w:pPr>
      <w:bookmarkEnd w:id="33"/>
      <w:bookmarkStart w:id="34" w:name="mo_motivtillreglering10"/>
      <w:r>
        <w:rPr>
          <w:rStyle w:val="C31"/>
          <w:i w:val="0"/>
          <w:iCs w:val="1"/>
          <w:noProof w:val="0"/>
          <w:color w:val="auto"/>
          <w:szCs w:val="22"/>
        </w:rPr>
        <w:t xml:space="preserve">Prickmarken inom den södra delen syftat till att säkerställa att byggnad inte hamnar inom ytan som inte får hårdgöras. </w:t>
      </w:r>
      <w:r>
        <w:rPr>
          <w:rStyle w:val="C31"/>
          <w:i w:val="0"/>
          <w:iCs w:val="1"/>
          <w:noProof w:val="0"/>
        </w:rPr>
        <w:t xml:space="preserve">Stöd för regleringen enligt 2 kap 5 § </w:t>
      </w:r>
      <w:r>
        <w:rPr>
          <w:rStyle w:val="C31"/>
          <w:i w:val="0"/>
          <w:iCs w:val="1"/>
          <w:noProof w:val="0"/>
          <w:color w:val="auto"/>
        </w:rPr>
        <w:t>5 stycket</w:t>
      </w:r>
      <w:r>
        <w:rPr>
          <w:rStyle w:val="C31"/>
          <w:i w:val="0"/>
          <w:iCs w:val="1"/>
          <w:noProof w:val="0"/>
        </w:rPr>
        <w:t xml:space="preserve"> PBL</w:t>
      </w:r>
      <w:bookmarkEnd w:id="34"/>
      <w:r>
        <w:rPr>
          <w:rStyle w:val="C31"/>
          <w:i w:val="0"/>
          <w:iCs w:val="1"/>
          <w:noProof w:val="0"/>
        </w:rPr>
        <w:t>.</w:t>
      </w:r>
    </w:p>
    <w:p>
      <w:pPr>
        <w:pStyle w:val="P42"/>
        <w:numPr>
          <w:ilvl w:val="0"/>
          <w:numId w:val="30"/>
        </w:numPr>
        <w:rPr>
          <w:rStyle w:val="C31"/>
          <w:i w:val="0"/>
          <w:iCs w:val="1"/>
          <w:noProof w:val="0"/>
          <w:color w:val="auto"/>
          <w:szCs w:val="22"/>
        </w:rPr>
      </w:pPr>
      <w:bookmarkStart w:id="35" w:name="mo_motivtillreglering11"/>
      <w:r>
        <w:rPr>
          <w:rStyle w:val="C31"/>
          <w:i w:val="0"/>
          <w:iCs w:val="1"/>
          <w:noProof w:val="0"/>
          <w:color w:val="auto"/>
          <w:szCs w:val="22"/>
        </w:rPr>
        <w:t xml:space="preserve">Prickmarken inom den norra delen är för att säkerställa att byggnad inte hamnar inom u-området. Stöd för regleringen enligt 2 kap 6 </w:t>
      </w:r>
      <w:r>
        <w:rPr>
          <w:rStyle w:val="C31"/>
          <w:i w:val="0"/>
          <w:iCs w:val="1"/>
          <w:noProof w:val="0"/>
        </w:rPr>
        <w:t>§ 4 stycket, vid planläggning för behovet hushållning</w:t>
      </w:r>
      <w:r>
        <w:t xml:space="preserve"> med energi och vatten och av goda klimat- och hygienförhållanden.</w:t>
      </w:r>
      <w:r>
        <w:rPr>
          <w:rStyle w:val="C31"/>
          <w:i w:val="0"/>
          <w:iCs w:val="1"/>
          <w:noProof w:val="0"/>
          <w:color w:val="auto"/>
          <w:szCs w:val="22"/>
        </w:rPr>
        <w:t xml:space="preserve"> </w:t>
      </w:r>
      <w:bookmarkEnd w:id="35"/>
      <w:r>
        <w:rPr>
          <w:rStyle w:val="C31"/>
          <w:i w:val="0"/>
          <w:iCs w:val="1"/>
          <w:noProof w:val="0"/>
          <w:color w:val="auto"/>
          <w:szCs w:val="22"/>
        </w:rPr>
        <w:t xml:space="preserve"> </w:t>
      </w:r>
    </w:p>
    <w:p>
      <w:pPr>
        <w:pStyle w:val="P42"/>
        <w:numPr>
          <w:ilvl w:val="0"/>
          <w:numId w:val="30"/>
        </w:numPr>
      </w:pPr>
      <w:bookmarkStart w:id="36" w:name="mo_motivtillreglering12"/>
      <w:r>
        <w:rPr>
          <w:rStyle w:val="C31"/>
          <w:i w:val="0"/>
          <w:iCs w:val="1"/>
          <w:noProof w:val="0"/>
          <w:color w:val="auto"/>
          <w:szCs w:val="22"/>
        </w:rPr>
        <w:t xml:space="preserve">Prickmarken inom övriga delar av planområdet är för att säkerställa att framtida byggnaders placering hamnar inom ett rimligt avstånd från gata. Stöd för regleringen enligt 2 kap 6 </w:t>
      </w:r>
      <w:r>
        <w:rPr>
          <w:rStyle w:val="C31"/>
          <w:i w:val="0"/>
          <w:iCs w:val="1"/>
          <w:noProof w:val="0"/>
        </w:rPr>
        <w:t xml:space="preserve">§ 1 stycket PBL. Vid planläggning ska bebyggelse och byggnadsverk utformas och placeras på den avsedda marken på ett sätt som är lämpligt med hänsyn till </w:t>
      </w:r>
      <w:r>
        <w:t>stads- och landskapsbilden, natur- och kulturvärdena på platsen och intresset av en god helhetsverkan.</w:t>
      </w:r>
    </w:p>
    <w:p>
      <w:pPr>
        <w:pStyle w:val="P42"/>
        <w:numPr>
          <w:ilvl w:val="0"/>
          <w:numId w:val="30"/>
        </w:numPr>
        <w:rPr>
          <w:rStyle w:val="C31"/>
          <w:i w:val="0"/>
          <w:iCs w:val="1"/>
          <w:noProof w:val="0"/>
          <w:color w:val="auto"/>
          <w:szCs w:val="22"/>
        </w:rPr>
      </w:pPr>
      <w:bookmarkEnd w:id="36"/>
      <w:bookmarkStart w:id="37" w:name="mo_motivtillreglering13"/>
      <w:r>
        <w:t xml:space="preserve">Prickmarken i anslutning till den tekniska anläggningen syftar till att begränsa människors utsatthet till elektromagnetiska fält. </w:t>
      </w:r>
      <w:r>
        <w:rPr>
          <w:rStyle w:val="C31"/>
          <w:i w:val="0"/>
          <w:iCs w:val="1"/>
          <w:noProof w:val="0"/>
        </w:rPr>
        <w:t xml:space="preserve">Stöd för regleringen enligt 2 kap 5 § </w:t>
      </w:r>
      <w:r>
        <w:rPr>
          <w:rStyle w:val="C31"/>
          <w:i w:val="0"/>
          <w:iCs w:val="1"/>
          <w:noProof w:val="0"/>
          <w:color w:val="auto"/>
        </w:rPr>
        <w:t>5 stycket</w:t>
      </w:r>
      <w:r>
        <w:rPr>
          <w:rStyle w:val="C31"/>
          <w:i w:val="0"/>
          <w:iCs w:val="1"/>
          <w:noProof w:val="0"/>
        </w:rPr>
        <w:t xml:space="preserve"> PBL.</w:t>
      </w:r>
    </w:p>
    <w:p>
      <w:pPr>
        <w:pStyle w:val="P42"/>
        <w:rPr>
          <w:rStyle w:val="C31"/>
          <w:noProof w:val="0"/>
          <w:color w:val="auto"/>
          <w:szCs w:val="22"/>
        </w:rPr>
      </w:pPr>
      <w:bookmarkEnd w:id="37"/>
    </w:p>
    <w:p>
      <w:pPr>
        <w:pStyle w:val="P42"/>
        <w:rPr>
          <w:rStyle w:val="C31"/>
          <w:noProof w:val="0"/>
          <w:color w:val="auto"/>
          <w:szCs w:val="22"/>
        </w:rPr>
      </w:pPr>
    </w:p>
    <w:p>
      <w:pPr>
        <w:pStyle w:val="P42"/>
        <w:rPr>
          <w:rStyle w:val="C31"/>
          <w:noProof w:val="0"/>
          <w:color w:val="auto"/>
          <w:szCs w:val="22"/>
        </w:rPr>
      </w:pPr>
      <w:bookmarkStart w:id="38" w:name="mo_motivtillreglering14"/>
      <w:r>
        <w:rPr>
          <w:rStyle w:val="C31"/>
          <w:noProof w:val="0"/>
          <w:color w:val="auto"/>
          <w:szCs w:val="22"/>
        </w:rPr>
        <w:t>Ändrad lovplikt</w:t>
      </w:r>
    </w:p>
    <w:p>
      <w:pPr>
        <w:pStyle w:val="P42"/>
        <w:rPr>
          <w:rStyle w:val="C31"/>
          <w:noProof w:val="0"/>
          <w:color w:val="auto"/>
          <w:szCs w:val="22"/>
        </w:rPr>
      </w:pPr>
    </w:p>
    <w:p>
      <w:pPr>
        <w:pStyle w:val="P42"/>
        <w:rPr>
          <w:rStyle w:val="C31"/>
          <w:b w:val="1"/>
          <w:i w:val="0"/>
          <w:bCs w:val="1"/>
          <w:iCs w:val="1"/>
          <w:noProof w:val="0"/>
          <w:color w:val="auto"/>
          <w:szCs w:val="22"/>
        </w:rPr>
      </w:pPr>
      <w:r>
        <w:rPr>
          <w:rStyle w:val="C31"/>
          <w:b w:val="1"/>
          <w:i w:val="0"/>
          <w:bCs w:val="1"/>
          <w:iCs w:val="1"/>
          <w:noProof w:val="0"/>
          <w:color w:val="auto"/>
          <w:szCs w:val="22"/>
        </w:rPr>
        <w:t>a1 – Marklov krävs även för åtgärd som hämmar markens genomsläpplighet.</w:t>
      </w:r>
    </w:p>
    <w:p>
      <w:pPr>
        <w:pStyle w:val="P42"/>
        <w:rPr>
          <w:rStyle w:val="C31"/>
          <w:i w:val="0"/>
          <w:iCs w:val="1"/>
          <w:noProof w:val="0"/>
          <w:color w:val="auto"/>
          <w:szCs w:val="22"/>
        </w:rPr>
      </w:pPr>
    </w:p>
    <w:p>
      <w:pPr>
        <w:pStyle w:val="P42"/>
        <w:rPr>
          <w:rStyle w:val="C31"/>
          <w:i w:val="0"/>
          <w:iCs w:val="1"/>
          <w:noProof w:val="0"/>
          <w:color w:val="auto"/>
          <w:szCs w:val="22"/>
        </w:rPr>
      </w:pPr>
      <w:r>
        <w:rPr>
          <w:rStyle w:val="C31"/>
          <w:i w:val="0"/>
          <w:iCs w:val="1"/>
          <w:noProof w:val="0"/>
          <w:color w:val="auto"/>
          <w:szCs w:val="22"/>
        </w:rPr>
        <w:t xml:space="preserve">Motiv: För att säkerställa att marken som planeras för att vara genomsläpplig är det, införs en lovpliktsbestämmelse som ställer krav på ansökan om marklov för åtgärder som försämrar markens genomsläpplighet. </w:t>
      </w:r>
      <w:r>
        <w:rPr>
          <w:rStyle w:val="C31"/>
          <w:i w:val="0"/>
          <w:iCs w:val="1"/>
          <w:noProof w:val="0"/>
        </w:rPr>
        <w:t xml:space="preserve">Stöd för regleringen enligt 2 kap 5 § </w:t>
      </w:r>
      <w:r>
        <w:rPr>
          <w:rStyle w:val="C31"/>
          <w:i w:val="0"/>
          <w:iCs w:val="1"/>
          <w:noProof w:val="0"/>
          <w:color w:val="auto"/>
        </w:rPr>
        <w:t>5 stycket</w:t>
      </w:r>
      <w:r>
        <w:rPr>
          <w:rStyle w:val="C31"/>
          <w:i w:val="0"/>
          <w:iCs w:val="1"/>
          <w:noProof w:val="0"/>
        </w:rPr>
        <w:t xml:space="preserve"> PBL.</w:t>
      </w:r>
      <w:bookmarkEnd w:id="38"/>
      <w:r>
        <w:rPr>
          <w:rStyle w:val="C31"/>
          <w:i w:val="0"/>
          <w:iCs w:val="1"/>
          <w:noProof w:val="0"/>
          <w:color w:val="auto"/>
          <w:szCs w:val="22"/>
        </w:rPr>
        <w:br w:type="textWrapping"/>
      </w:r>
    </w:p>
    <w:p>
      <w:pPr>
        <w:pStyle w:val="P42"/>
        <w:rPr>
          <w:rStyle w:val="C31"/>
          <w:noProof w:val="0"/>
          <w:color w:val="auto"/>
          <w:szCs w:val="22"/>
        </w:rPr>
      </w:pPr>
      <w:bookmarkStart w:id="39" w:name="mo_motivtillreglering15"/>
      <w:r>
        <w:rPr>
          <w:rStyle w:val="C31"/>
          <w:noProof w:val="0"/>
          <w:color w:val="auto"/>
          <w:szCs w:val="22"/>
        </w:rPr>
        <w:t>Utförande</w:t>
      </w:r>
    </w:p>
    <w:p>
      <w:pPr>
        <w:pStyle w:val="P42"/>
        <w:rPr>
          <w:rStyle w:val="C31"/>
          <w:b w:val="1"/>
          <w:i w:val="0"/>
          <w:bCs w:val="1"/>
          <w:iCs w:val="1"/>
          <w:noProof w:val="0"/>
          <w:color w:val="auto"/>
          <w:szCs w:val="22"/>
        </w:rPr>
      </w:pPr>
    </w:p>
    <w:p>
      <w:pPr>
        <w:pStyle w:val="P42"/>
        <w:rPr>
          <w:rStyle w:val="C31"/>
          <w:b w:val="1"/>
          <w:i w:val="0"/>
          <w:bCs w:val="1"/>
          <w:iCs w:val="1"/>
          <w:noProof w:val="0"/>
          <w:color w:val="auto"/>
          <w:szCs w:val="22"/>
        </w:rPr>
      </w:pPr>
      <w:r>
        <w:rPr>
          <w:rStyle w:val="C31"/>
          <w:b w:val="1"/>
          <w:i w:val="0"/>
          <w:bCs w:val="1"/>
          <w:iCs w:val="1"/>
          <w:noProof w:val="0"/>
          <w:color w:val="auto"/>
          <w:szCs w:val="22"/>
        </w:rPr>
        <w:t>b1 - Marken ska vara genomsläpplig</w:t>
      </w:r>
    </w:p>
    <w:p>
      <w:pPr>
        <w:pStyle w:val="P42"/>
        <w:rPr>
          <w:rStyle w:val="C31"/>
          <w:b w:val="1"/>
          <w:i w:val="0"/>
          <w:bCs w:val="1"/>
          <w:iCs w:val="1"/>
          <w:noProof w:val="0"/>
          <w:color w:val="auto"/>
          <w:szCs w:val="22"/>
        </w:rPr>
      </w:pPr>
    </w:p>
    <w:p>
      <w:pPr>
        <w:pStyle w:val="P42"/>
        <w:rPr>
          <w:rStyle w:val="C31"/>
          <w:i w:val="0"/>
          <w:iCs w:val="1"/>
          <w:noProof w:val="0"/>
          <w:color w:val="auto"/>
          <w:szCs w:val="22"/>
        </w:rPr>
      </w:pPr>
      <w:r>
        <w:rPr>
          <w:rStyle w:val="C31"/>
          <w:i w:val="0"/>
          <w:iCs w:val="1"/>
          <w:noProof w:val="0"/>
          <w:color w:val="auto"/>
          <w:szCs w:val="22"/>
        </w:rPr>
        <w:t xml:space="preserve">Motiv: Syftet med bestämmelsen är att hantera översvämningsrisk inom planområdet. Det finns lågpunkter som gör att det finns risk för vattenansamlingar i närheten av befintlig byggnad. Genom att reglera så att planområdets lägsta punkter ska vara genomsläppliga finns det förutsättningar för att vatten inte samlas i anslutning till befintlig byggnad. </w:t>
      </w:r>
      <w:r>
        <w:rPr>
          <w:rStyle w:val="C31"/>
          <w:i w:val="0"/>
          <w:iCs w:val="1"/>
          <w:noProof w:val="0"/>
        </w:rPr>
        <w:t xml:space="preserve">Stöd för regleringen enligt 2 kap 5 § </w:t>
      </w:r>
      <w:r>
        <w:rPr>
          <w:rStyle w:val="C31"/>
          <w:i w:val="0"/>
          <w:iCs w:val="1"/>
          <w:noProof w:val="0"/>
          <w:color w:val="auto"/>
        </w:rPr>
        <w:t>5 stycket</w:t>
      </w:r>
      <w:r>
        <w:rPr>
          <w:rStyle w:val="C31"/>
          <w:i w:val="0"/>
          <w:iCs w:val="1"/>
          <w:noProof w:val="0"/>
        </w:rPr>
        <w:t xml:space="preserve"> PBL.</w:t>
      </w:r>
      <w:bookmarkEnd w:id="39"/>
      <w:r>
        <w:rPr>
          <w:rStyle w:val="C31"/>
          <w:i w:val="0"/>
          <w:iCs w:val="1"/>
          <w:noProof w:val="0"/>
          <w:color w:val="auto"/>
          <w:szCs w:val="22"/>
        </w:rPr>
        <w:br w:type="textWrapping"/>
      </w:r>
    </w:p>
    <w:p>
      <w:pPr>
        <w:pStyle w:val="P42"/>
        <w:rPr>
          <w:rStyle w:val="C31"/>
          <w:b w:val="1"/>
          <w:i w:val="0"/>
          <w:bCs w:val="1"/>
          <w:iCs w:val="1"/>
          <w:noProof w:val="0"/>
          <w:color w:val="auto"/>
          <w:szCs w:val="22"/>
        </w:rPr>
      </w:pPr>
      <w:bookmarkStart w:id="40" w:name="mo_motivtillreglering16"/>
      <w:r>
        <w:rPr>
          <w:rStyle w:val="C31"/>
          <w:b w:val="1"/>
          <w:i w:val="0"/>
          <w:bCs w:val="1"/>
          <w:iCs w:val="1"/>
          <w:noProof w:val="0"/>
          <w:color w:val="auto"/>
          <w:szCs w:val="22"/>
        </w:rPr>
        <w:t>b2 - Minst 10 % av marken ska vara genomsläpplig</w:t>
      </w:r>
    </w:p>
    <w:p>
      <w:pPr>
        <w:pStyle w:val="P42"/>
        <w:rPr>
          <w:rStyle w:val="C31"/>
          <w:b w:val="1"/>
          <w:i w:val="0"/>
          <w:bCs w:val="1"/>
          <w:iCs w:val="1"/>
          <w:noProof w:val="0"/>
          <w:color w:val="auto"/>
          <w:szCs w:val="22"/>
        </w:rPr>
      </w:pPr>
    </w:p>
    <w:p>
      <w:pPr>
        <w:pStyle w:val="P42"/>
        <w:rPr>
          <w:rStyle w:val="C31"/>
          <w:i w:val="0"/>
          <w:iCs w:val="1"/>
          <w:noProof w:val="0"/>
          <w:color w:val="auto"/>
          <w:szCs w:val="22"/>
        </w:rPr>
      </w:pPr>
      <w:r>
        <w:rPr>
          <w:rStyle w:val="C31"/>
          <w:i w:val="0"/>
          <w:iCs w:val="1"/>
          <w:noProof w:val="0"/>
          <w:color w:val="auto"/>
          <w:szCs w:val="22"/>
        </w:rPr>
        <w:t xml:space="preserve">Motiv: Syftet med bestämmelsen är att hantera översvämningsrisk inom planområdet. Det finns lågpunkter som gör att det finns risk för vattenansamlingar i närheten av befintlig byggnad. Genom att reglera mängden yta som får hårdgöras minskar risken för översvämning. </w:t>
      </w:r>
      <w:r>
        <w:rPr>
          <w:rStyle w:val="C31"/>
          <w:i w:val="0"/>
          <w:iCs w:val="1"/>
          <w:noProof w:val="0"/>
        </w:rPr>
        <w:t xml:space="preserve">Stöd för regleringen enligt 2 kap 5 § </w:t>
      </w:r>
      <w:r>
        <w:rPr>
          <w:rStyle w:val="C31"/>
          <w:i w:val="0"/>
          <w:iCs w:val="1"/>
          <w:noProof w:val="0"/>
          <w:color w:val="auto"/>
        </w:rPr>
        <w:t>5 stycket</w:t>
      </w:r>
      <w:r>
        <w:rPr>
          <w:rStyle w:val="C31"/>
          <w:i w:val="0"/>
          <w:iCs w:val="1"/>
          <w:noProof w:val="0"/>
        </w:rPr>
        <w:t xml:space="preserve"> PBL.</w:t>
      </w:r>
      <w:bookmarkEnd w:id="40"/>
      <w:r>
        <w:rPr>
          <w:rStyle w:val="C31"/>
          <w:i w:val="0"/>
          <w:iCs w:val="1"/>
          <w:noProof w:val="0"/>
          <w:color w:val="auto"/>
          <w:szCs w:val="22"/>
        </w:rPr>
        <w:br w:type="textWrapping"/>
      </w:r>
      <w:bookmarkStart w:id="41" w:name="mo_motivtillreglering17"/>
      <w:r>
        <w:rPr>
          <w:rStyle w:val="C31"/>
          <w:i w:val="0"/>
          <w:iCs w:val="1"/>
          <w:noProof w:val="0"/>
          <w:color w:val="auto"/>
          <w:szCs w:val="22"/>
        </w:rPr>
        <w:br w:type="textWrapping"/>
      </w:r>
      <w:r>
        <w:rPr>
          <w:rStyle w:val="C31"/>
          <w:noProof w:val="0"/>
          <w:color w:val="auto"/>
          <w:szCs w:val="22"/>
        </w:rPr>
        <w:t>Höjd på byggnadsverk</w:t>
      </w:r>
    </w:p>
    <w:p>
      <w:pPr>
        <w:pStyle w:val="P42"/>
      </w:pPr>
    </w:p>
    <w:p>
      <w:pPr>
        <w:pStyle w:val="P42"/>
        <w:rPr>
          <w:b w:val="1"/>
          <w:i w:val="0"/>
          <w:bCs w:val="1"/>
          <w:iCs w:val="1"/>
        </w:rPr>
      </w:pPr>
      <w:r>
        <w:rPr>
          <w:b w:val="1"/>
          <w:i w:val="0"/>
          <w:bCs w:val="1"/>
          <w:iCs w:val="1"/>
        </w:rPr>
        <w:t>h1 – Högsta totalhöjd är 10 meter</w:t>
      </w:r>
    </w:p>
    <w:p>
      <w:pPr>
        <w:pStyle w:val="P42"/>
      </w:pPr>
    </w:p>
    <w:p>
      <w:pPr>
        <w:pStyle w:val="P32"/>
        <w:rPr>
          <w:rStyle w:val="C31"/>
          <w:i w:val="1"/>
          <w:bCs w:val="1"/>
          <w:noProof w:val="0"/>
          <w:color w:val="auto"/>
          <w:szCs w:val="22"/>
        </w:rPr>
      </w:pPr>
      <w:r>
        <w:t xml:space="preserve">Motiv: Syftet med bestämmelsen är att begränsa totalhöjden på byggnader till en rimlig nivå i förhållande till kringliggande bebyggelse, och att begränsa utnyttjandegraden eftersom detaljplanen reglerar byggnadsarea och inte bruttoarea. </w:t>
      </w:r>
      <w:r>
        <w:rPr>
          <w:rStyle w:val="C31"/>
          <w:iCs w:val="1"/>
          <w:noProof w:val="0"/>
        </w:rPr>
        <w:t xml:space="preserve">Stöd för regleringen enligt 2 kap 3 § stycket </w:t>
      </w:r>
      <w:r>
        <w:rPr>
          <w:rStyle w:val="C31"/>
          <w:iCs w:val="1"/>
          <w:noProof w:val="0"/>
          <w:color w:val="auto"/>
        </w:rPr>
        <w:t>1</w:t>
      </w:r>
      <w:r>
        <w:rPr>
          <w:rStyle w:val="C31"/>
          <w:iCs w:val="1"/>
          <w:noProof w:val="0"/>
        </w:rPr>
        <w:t xml:space="preserve"> PBL, planera för en ändamålsenlig struktur och en estetiskt tilltalande utformning av bebyggelse grönområden och kommunikationsleder. </w:t>
      </w:r>
      <w:r>
        <w:rPr>
          <w:rStyle w:val="C31"/>
          <w:noProof w:val="0"/>
        </w:rPr>
        <w:t xml:space="preserve"> </w:t>
      </w:r>
    </w:p>
    <w:p>
      <w:pPr>
        <w:pStyle w:val="P42"/>
        <w:rPr>
          <w:rStyle w:val="C31"/>
          <w:noProof w:val="0"/>
          <w:color w:val="FF0000"/>
          <w:szCs w:val="22"/>
        </w:rPr>
      </w:pPr>
      <w:bookmarkEnd w:id="41"/>
    </w:p>
    <w:p>
      <w:pPr>
        <w:pStyle w:val="P42"/>
        <w:rPr>
          <w:rStyle w:val="C31"/>
          <w:noProof w:val="0"/>
          <w:color w:val="auto"/>
          <w:szCs w:val="22"/>
        </w:rPr>
      </w:pPr>
      <w:bookmarkStart w:id="42" w:name="mo_motivtillreglering18"/>
      <w:r>
        <w:rPr>
          <w:rStyle w:val="C31"/>
          <w:noProof w:val="0"/>
          <w:color w:val="auto"/>
          <w:szCs w:val="22"/>
        </w:rPr>
        <w:t>Markreservat för allmännyttiga ändamål</w:t>
      </w:r>
    </w:p>
    <w:p>
      <w:pPr>
        <w:pStyle w:val="P42"/>
        <w:rPr>
          <w:rStyle w:val="C31"/>
          <w:b w:val="1"/>
          <w:i w:val="0"/>
          <w:bCs w:val="1"/>
          <w:iCs w:val="1"/>
          <w:noProof w:val="0"/>
          <w:color w:val="FF0000"/>
          <w:szCs w:val="22"/>
        </w:rPr>
      </w:pPr>
    </w:p>
    <w:p>
      <w:pPr>
        <w:pStyle w:val="P42"/>
        <w:rPr>
          <w:rStyle w:val="C31"/>
          <w:b w:val="1"/>
          <w:i w:val="0"/>
          <w:bCs w:val="1"/>
          <w:iCs w:val="1"/>
          <w:noProof w:val="0"/>
          <w:color w:val="auto"/>
          <w:szCs w:val="22"/>
        </w:rPr>
      </w:pPr>
      <w:r>
        <w:rPr>
          <w:b w:val="1"/>
          <w:i w:val="0"/>
          <w:bCs w:val="1"/>
          <w:iCs w:val="1"/>
        </w:rPr>
        <w:t>u1 – Markreservat för allmännyttig ledning</w:t>
      </w:r>
    </w:p>
    <w:p>
      <w:pPr>
        <w:pStyle w:val="P32"/>
      </w:pPr>
    </w:p>
    <w:p>
      <w:pPr>
        <w:pStyle w:val="P32"/>
      </w:pPr>
      <w:r>
        <w:rPr>
          <w:rStyle w:val="C31"/>
          <w:noProof w:val="0"/>
        </w:rPr>
        <w:t xml:space="preserve">Motiv: </w:t>
      </w:r>
      <w:r>
        <w:rPr>
          <w:rStyle w:val="C31"/>
          <w:noProof w:val="0"/>
          <w:color w:val="auto"/>
        </w:rPr>
        <w:t xml:space="preserve">Inom planområdet finns ett servitut om ledning som belastar Felestad 5:66. För planens genomförande behöver ledningen inte flyttas och servitutets syfte kan därför kvarstå. </w:t>
      </w:r>
      <w:r>
        <w:rPr>
          <w:rStyle w:val="C31"/>
          <w:noProof w:val="0"/>
        </w:rPr>
        <w:t xml:space="preserve">Stöd för regleringen är enligt 2 kap 1 § PBL, </w:t>
      </w:r>
      <w:r>
        <w:t>vid prövningen av frågor enligt denna lag ska hänsyn tas till både allmänna och enskilda intressen.</w:t>
      </w:r>
    </w:p>
    <w:p>
      <w:pPr>
        <w:pStyle w:val="P32"/>
      </w:pPr>
      <w:bookmarkEnd w:id="42"/>
    </w:p>
    <w:p>
      <w:pPr>
        <w:pStyle w:val="P32"/>
      </w:pPr>
    </w:p>
    <w:p>
      <w:pPr>
        <w:pStyle w:val="P32"/>
      </w:pPr>
    </w:p>
    <w:p>
      <w:pPr>
        <w:pStyle w:val="P32"/>
      </w:pPr>
    </w:p>
    <w:p>
      <w:pPr>
        <w:pStyle w:val="P32"/>
      </w:pPr>
    </w:p>
    <w:p>
      <w:pPr>
        <w:pStyle w:val="P32"/>
      </w:pPr>
      <w:r>
        <w:t>Stängsel, utfart och annan utgång</w:t>
      </w:r>
    </w:p>
    <w:p>
      <w:pPr>
        <w:pStyle w:val="P32"/>
      </w:pPr>
    </w:p>
    <w:p>
      <w:pPr>
        <w:pStyle w:val="P32"/>
        <w:rPr>
          <w:rStyle w:val="C31"/>
          <w:b w:val="1"/>
          <w:bCs w:val="1"/>
          <w:noProof w:val="0"/>
        </w:rPr>
      </w:pPr>
      <w:bookmarkStart w:id="43" w:name="mo_motivtillreglering19"/>
      <w:r>
        <w:rPr>
          <w:rStyle w:val="C31"/>
          <w:b w:val="1"/>
          <w:bCs w:val="1"/>
          <w:noProof w:val="0"/>
        </w:rPr>
        <w:t>Utfartsförbud (symbol) - utfartsförbud</w:t>
      </w:r>
    </w:p>
    <w:p>
      <w:pPr>
        <w:pStyle w:val="P32"/>
        <w:rPr>
          <w:rStyle w:val="C31"/>
          <w:noProof w:val="0"/>
        </w:rPr>
      </w:pPr>
    </w:p>
    <w:p>
      <w:pPr>
        <w:pStyle w:val="P32"/>
        <w:rPr>
          <w:rStyle w:val="C31"/>
          <w:noProof w:val="0"/>
        </w:rPr>
      </w:pPr>
      <w:r>
        <w:rPr>
          <w:rStyle w:val="C31"/>
        </w:rPr>
        <w:t xml:space="preserve">Motiv: </w:t>
      </w:r>
      <w:r>
        <w:t xml:space="preserve">Bestämmelsen finns för att anpassa planen till återvinningscentralens kommande utbyggnad. När anläggningen expanderar kommer trafiken fortsätta köra in via dagens infart, men lämna området via en ny utfart i norra delen av Harjagersvägen. På så sätt blir trafiken smidigare och säkrare för både besökare och övriga trafikanter. </w:t>
      </w:r>
      <w:r>
        <w:rPr>
          <w:rStyle w:val="C31"/>
        </w:rPr>
        <w:t xml:space="preserve">Stöd för regleringen är enligt </w:t>
      </w:r>
      <w:r>
        <w:rPr>
          <w:rStyle w:val="C31"/>
          <w:iCs w:val="1"/>
          <w:noProof w:val="0"/>
        </w:rPr>
        <w:t xml:space="preserve">2 kap 6 § </w:t>
      </w:r>
      <w:r>
        <w:rPr>
          <w:rStyle w:val="C31"/>
          <w:iCs w:val="1"/>
          <w:noProof w:val="0"/>
          <w:color w:val="auto"/>
        </w:rPr>
        <w:t>6 stycket</w:t>
      </w:r>
      <w:r>
        <w:rPr>
          <w:rStyle w:val="C31"/>
          <w:iCs w:val="1"/>
          <w:noProof w:val="0"/>
        </w:rPr>
        <w:t xml:space="preserve"> PBL </w:t>
      </w:r>
      <w:r>
        <w:rPr>
          <w:noProof w:val="0"/>
        </w:rPr>
        <w:t>Vid planläggning, i ärenden om bygglov och vid åtgärder avseende byggnader som inte kräver lov enligt denna lag ska bebyggelse och byggnadsverk utformas och placeras på den avsedda marken på ett sätt som är lämpligt med hänsyn till trafikförsörjning och behovet av en god trafikmiljö.</w:t>
      </w:r>
    </w:p>
    <w:p>
      <w:pPr>
        <w:pStyle w:val="P34"/>
        <w:rPr>
          <w:noProof w:val="0"/>
        </w:rPr>
      </w:pPr>
      <w:bookmarkEnd w:id="43"/>
      <w:bookmarkStart w:id="44" w:name="_Toc89446138"/>
      <w:bookmarkStart w:id="45" w:name="_Toc207616109"/>
      <w:bookmarkStart w:id="46" w:name="_Toc89445991"/>
      <w:r>
        <w:rPr>
          <w:noProof w:val="0"/>
        </w:rPr>
        <w:t>Genomförandefrågor</w:t>
      </w:r>
      <w:bookmarkEnd w:id="44"/>
      <w:bookmarkEnd w:id="45"/>
    </w:p>
    <w:p>
      <w:pPr>
        <w:pStyle w:val="P32"/>
      </w:pPr>
      <w:r>
        <w:t xml:space="preserve">Genomförandefrågorna redovisar de organisatoriska, tekniska, fastighetsrättsliga och ekonomiska åtgärder som behövs för att planen ska kunna genomföras på ett samordnat och ändamålsenligt sätt. </w:t>
      </w:r>
    </w:p>
    <w:p>
      <w:pPr>
        <w:pStyle w:val="P32"/>
      </w:pPr>
    </w:p>
    <w:p>
      <w:pPr>
        <w:pStyle w:val="P35"/>
        <w:rPr>
          <w:noProof w:val="0"/>
        </w:rPr>
      </w:pPr>
      <w:bookmarkStart w:id="47" w:name="_Toc89446139"/>
      <w:bookmarkStart w:id="48" w:name="_Toc207616110"/>
      <w:r>
        <w:rPr>
          <w:noProof w:val="0"/>
        </w:rPr>
        <w:t>Mark- och utrymmesförvärv</w:t>
      </w:r>
      <w:bookmarkEnd w:id="47"/>
      <w:bookmarkEnd w:id="48"/>
    </w:p>
    <w:p>
      <w:pPr>
        <w:pStyle w:val="P37"/>
      </w:pPr>
      <w:bookmarkStart w:id="49" w:name="gf_markochutrymmesförvärv01"/>
    </w:p>
    <w:p>
      <w:pPr>
        <w:pStyle w:val="P32"/>
      </w:pPr>
      <w:r>
        <w:t>För planförslagets genomförande krävs inga förvärv av mark. Marken som planläggs för allmän platsmark ägs redan idag av kommunen.</w:t>
      </w:r>
    </w:p>
    <w:p>
      <w:pPr>
        <w:pStyle w:val="P32"/>
      </w:pPr>
      <w:bookmarkEnd w:id="49"/>
      <w:bookmarkStart w:id="50" w:name="gf_skyldighetinlösenhuvudman01"/>
    </w:p>
    <w:p>
      <w:pPr>
        <w:pStyle w:val="P35"/>
        <w:rPr>
          <w:noProof w:val="0"/>
        </w:rPr>
      </w:pPr>
      <w:bookmarkEnd w:id="50"/>
      <w:bookmarkStart w:id="51" w:name="_Toc89446144"/>
      <w:bookmarkStart w:id="52" w:name="_Toc207616111"/>
      <w:r>
        <w:rPr>
          <w:noProof w:val="0"/>
        </w:rPr>
        <w:t>Fastighetsrättsliga frågor</w:t>
      </w:r>
      <w:bookmarkEnd w:id="51"/>
      <w:bookmarkEnd w:id="52"/>
    </w:p>
    <w:p>
      <w:pPr>
        <w:pStyle w:val="P37"/>
      </w:pPr>
      <w:bookmarkStart w:id="53" w:name="gf_fastighetsindelningsbestämmelser01"/>
      <w:r>
        <w:t xml:space="preserve">. </w:t>
      </w:r>
    </w:p>
    <w:p>
      <w:pPr>
        <w:pStyle w:val="P36"/>
        <w:rPr>
          <w:noProof w:val="0"/>
          <w:color w:val="auto"/>
        </w:rPr>
      </w:pPr>
      <w:bookmarkEnd w:id="53"/>
      <w:bookmarkStart w:id="54" w:name="_Toc89446146"/>
      <w:bookmarkStart w:id="55" w:name="_Toc207616112"/>
      <w:r>
        <w:rPr>
          <w:noProof w:val="0"/>
          <w:color w:val="auto"/>
        </w:rPr>
        <w:t>Förändrad fastighetsindelning</w:t>
      </w:r>
      <w:bookmarkEnd w:id="54"/>
      <w:bookmarkEnd w:id="55"/>
    </w:p>
    <w:p>
      <w:pPr>
        <w:pStyle w:val="P32"/>
      </w:pPr>
      <w:bookmarkStart w:id="56" w:name="gf_förändradfastighetsindelning01"/>
      <w:r>
        <w:t>Fastigheterna kommer inte att behöva ändras för detaljplanens genomförande. Verksamheten kommer bedrivas inom Felestad 5:66. Detaljplanen medför inga konsekvenser på fastigheternas utformning.</w:t>
      </w:r>
    </w:p>
    <w:p>
      <w:pPr>
        <w:pStyle w:val="P37"/>
      </w:pPr>
    </w:p>
    <w:p>
      <w:pPr>
        <w:pStyle w:val="P36"/>
        <w:rPr>
          <w:noProof w:val="0"/>
          <w:color w:val="auto"/>
        </w:rPr>
      </w:pPr>
      <w:bookmarkEnd w:id="56"/>
      <w:bookmarkStart w:id="57" w:name="_Toc89446147"/>
      <w:bookmarkStart w:id="58" w:name="_Toc207616113"/>
      <w:r>
        <w:rPr>
          <w:noProof w:val="0"/>
          <w:color w:val="auto"/>
        </w:rPr>
        <w:t>Rättigheter</w:t>
      </w:r>
      <w:bookmarkEnd w:id="57"/>
      <w:bookmarkEnd w:id="58"/>
    </w:p>
    <w:p>
      <w:pPr>
        <w:pStyle w:val="P32"/>
      </w:pPr>
      <w:r>
        <w:t xml:space="preserve">Samtliga rättigheter framgår av detaljplanens grundkarta. </w:t>
      </w:r>
    </w:p>
    <w:p>
      <w:pPr>
        <w:pStyle w:val="P32"/>
      </w:pPr>
    </w:p>
    <w:p>
      <w:pPr>
        <w:pStyle w:val="P43"/>
      </w:pPr>
      <w:bookmarkStart w:id="59" w:name="gf_rättigheter01"/>
      <w:r>
        <w:t>Ledningsrätt</w:t>
      </w:r>
    </w:p>
    <w:p>
      <w:pPr>
        <w:pStyle w:val="P32"/>
      </w:pPr>
    </w:p>
    <w:p>
      <w:pPr>
        <w:pStyle w:val="P32"/>
      </w:pPr>
      <w:r>
        <w:t xml:space="preserve">Det finns ett avtalservitut för VA-ledning som belastar fastigheten med beteckning 12-IM6-94/9613.1. Ledningen leder VA till fastigheten norr om Felestad 5:66 Servitutet påverkas inte av detaljplanens genomförande och ledningsrätten säkras med U-område i detaljplanekartan som reglerar att ledningsrätten inte får bebyggas. </w:t>
      </w:r>
    </w:p>
    <w:p>
      <w:pPr>
        <w:pStyle w:val="P43"/>
      </w:pPr>
    </w:p>
    <w:p>
      <w:pPr>
        <w:pStyle w:val="P43"/>
      </w:pPr>
      <w:r>
        <w:t>Servitut för väg</w:t>
      </w:r>
    </w:p>
    <w:p>
      <w:pPr>
        <w:pStyle w:val="P42"/>
      </w:pPr>
      <w:bookmarkStart w:id="60" w:name="_Hlk198900523"/>
    </w:p>
    <w:p>
      <w:pPr>
        <w:pStyle w:val="P42"/>
        <w:rPr>
          <w:i w:val="0"/>
          <w:iCs w:val="1"/>
        </w:rPr>
      </w:pPr>
      <w:r>
        <w:rPr>
          <w:i w:val="0"/>
          <w:iCs w:val="1"/>
        </w:rPr>
        <w:t xml:space="preserve">Felestad 5:38 är enligt fastighetsregistret belastad av tre olika vägservitut för den aktuella vägen, </w:t>
      </w:r>
      <w:bookmarkStart w:id="61" w:name="_Hlk199318920"/>
      <w:r>
        <w:rPr>
          <w:i w:val="0"/>
          <w:iCs w:val="1"/>
        </w:rPr>
        <w:t xml:space="preserve">1214–752.1 </w:t>
      </w:r>
      <w:bookmarkEnd w:id="61"/>
      <w:r>
        <w:rPr>
          <w:i w:val="0"/>
          <w:iCs w:val="1"/>
        </w:rPr>
        <w:t xml:space="preserve">till förmån för Felestad 5:67, 12-FEL-75.1 till förmån för Felestad 5:66 och 12-FEL-74.1 till förmån för Felestad 5:65. </w:t>
      </w:r>
      <w:bookmarkEnd w:id="60"/>
    </w:p>
    <w:p>
      <w:pPr>
        <w:pStyle w:val="P32"/>
      </w:pPr>
    </w:p>
    <w:p>
      <w:pPr>
        <w:pStyle w:val="P32"/>
      </w:pPr>
      <w:r>
        <w:t>Vägen förväntas få en något ökad fordonstrafik, men denna ökning bedöms som marginell och antas inte påverka vägens funktion eller skick negativt. Eftersom den befintliga gatan nu detaljplaneläggs som allmän platsmark, bedöms de aktuella servituten som nämns ovan inte längre fylla någon funktion och bör därför upphävas. Kommunens exploateringsenhet kommer att ansöka om upphävande av servitutet efter att detaljplanen har vunnit laga kraft.</w:t>
      </w:r>
    </w:p>
    <w:p>
      <w:pPr>
        <w:pStyle w:val="P32"/>
      </w:pPr>
    </w:p>
    <w:p>
      <w:pPr>
        <w:pStyle w:val="P35"/>
        <w:rPr>
          <w:noProof w:val="0"/>
          <w:color w:val="auto"/>
        </w:rPr>
      </w:pPr>
      <w:bookmarkEnd w:id="59"/>
      <w:bookmarkStart w:id="62" w:name="_Toc89446148"/>
      <w:bookmarkStart w:id="63" w:name="_Toc207616114"/>
      <w:r>
        <w:rPr>
          <w:noProof w:val="0"/>
          <w:color w:val="auto"/>
        </w:rPr>
        <w:t>Tekniska frågor</w:t>
      </w:r>
      <w:bookmarkEnd w:id="62"/>
      <w:bookmarkEnd w:id="63"/>
    </w:p>
    <w:p>
      <w:pPr>
        <w:pStyle w:val="P36"/>
        <w:rPr>
          <w:noProof w:val="0"/>
          <w:color w:val="auto"/>
        </w:rPr>
      </w:pPr>
      <w:bookmarkStart w:id="64" w:name="_Toc89446149"/>
      <w:bookmarkStart w:id="65" w:name="_Toc207616115"/>
      <w:r>
        <w:rPr>
          <w:noProof w:val="0"/>
          <w:color w:val="auto"/>
        </w:rPr>
        <w:t>Tekniska åtgärder</w:t>
      </w:r>
      <w:bookmarkEnd w:id="64"/>
      <w:bookmarkEnd w:id="65"/>
    </w:p>
    <w:p>
      <w:pPr>
        <w:pStyle w:val="P32"/>
        <w:rPr>
          <w:rStyle w:val="C31"/>
          <w:iCs w:val="1"/>
        </w:rPr>
      </w:pPr>
      <w:bookmarkStart w:id="66" w:name="gf_utbyggnadallmänplats01"/>
      <w:r>
        <w:t xml:space="preserve">För att säkerställa att befintlig och eventuell tillbyggnad inte påverkas av översvämningsrisk, regleras marken så att den södra delen av kvartersmarken ska vara genomsläpplig. Marklov krävs för åtgärder som hämmar genomsläppligheten inom kvartersmarken. Befintligt </w:t>
      </w:r>
      <w:r>
        <w:rPr>
          <w:rStyle w:val="C31"/>
          <w:iCs w:val="1"/>
        </w:rPr>
        <w:t>dike regleras i detaljplan som dagvattenanläggning inom allmän platsmark för natur.</w:t>
      </w:r>
    </w:p>
    <w:p>
      <w:pPr>
        <w:pStyle w:val="P32"/>
      </w:pPr>
    </w:p>
    <w:p>
      <w:pPr>
        <w:pStyle w:val="P32"/>
      </w:pPr>
      <w:r>
        <w:drawing>
          <wp:inline xmlns:wp="http://schemas.openxmlformats.org/drawingml/2006/wordprocessingDrawing" distT="0" distB="0" distL="0" distR="0">
            <wp:extent cx="4565650" cy="2858135"/>
            <wp:effectExtent l="0" t="0" r="6350" b="0"/>
            <wp:docPr id="16" name="Bildobjek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83"/>
                    <pic:cNvPicPr/>
                  </pic:nvPicPr>
                  <pic:blipFill dpi="0">
                    <a:blip xmlns:r="http://schemas.openxmlformats.org/officeDocument/2006/relationships" r:embed="Relimage4"/>
                    <a:srcRect/>
                    <a:stretch>
                      <a:fillRect/>
                    </a:stretch>
                  </pic:blipFill>
                  <pic:spPr>
                    <a:xfrm>
                      <a:off x="0" y="0"/>
                      <a:ext cx="4570091" cy="2860841"/>
                    </a:xfrm>
                    <a:prstGeom prst="rect"/>
                  </pic:spPr>
                </pic:pic>
              </a:graphicData>
            </a:graphic>
          </wp:inline>
        </w:drawing>
      </w:r>
    </w:p>
    <w:p>
      <w:pPr>
        <w:pStyle w:val="P37"/>
      </w:pPr>
    </w:p>
    <w:p>
      <w:pPr>
        <w:pStyle w:val="P36"/>
        <w:rPr>
          <w:noProof w:val="0"/>
          <w:color w:val="auto"/>
        </w:rPr>
      </w:pPr>
      <w:bookmarkStart w:id="67" w:name="_Toc89446150"/>
      <w:bookmarkStart w:id="68" w:name="_Toc116976040"/>
      <w:bookmarkStart w:id="69" w:name="_Toc207616116"/>
      <w:r>
        <w:rPr>
          <w:noProof w:val="0"/>
          <w:color w:val="auto"/>
        </w:rPr>
        <w:t>Utbyggnad allmän plats</w:t>
      </w:r>
      <w:bookmarkEnd w:id="67"/>
      <w:bookmarkEnd w:id="68"/>
      <w:bookmarkEnd w:id="69"/>
    </w:p>
    <w:p>
      <w:pPr>
        <w:pStyle w:val="P32"/>
      </w:pPr>
      <w:r>
        <w:t xml:space="preserve">Den allmänna platsmarken inom planområdet är redan utbyggd. Utfarten i sydöstra delen till felestad 5:66 kommer minskas för att öka trafiksäkerheten mot cykelvägen längs Väg 106. </w:t>
      </w:r>
    </w:p>
    <w:p>
      <w:pPr>
        <w:pStyle w:val="P37"/>
      </w:pPr>
    </w:p>
    <w:p>
      <w:pPr>
        <w:pStyle w:val="P35"/>
        <w:rPr>
          <w:noProof w:val="0"/>
        </w:rPr>
      </w:pPr>
      <w:bookmarkEnd w:id="66"/>
      <w:bookmarkStart w:id="70" w:name="_Toc89446152"/>
      <w:bookmarkStart w:id="71" w:name="_Toc207616117"/>
      <w:r>
        <w:rPr>
          <w:noProof w:val="0"/>
        </w:rPr>
        <w:t>Ekonomiska frågor</w:t>
      </w:r>
      <w:bookmarkEnd w:id="70"/>
      <w:bookmarkEnd w:id="71"/>
    </w:p>
    <w:p>
      <w:pPr>
        <w:pStyle w:val="P35"/>
        <w:numPr>
          <w:ilvl w:val="0"/>
          <w:numId w:val="0"/>
        </w:numPr>
        <w:ind w:firstLine="0" w:left="576"/>
        <w:rPr>
          <w:noProof w:val="0"/>
        </w:rPr>
      </w:pPr>
    </w:p>
    <w:p>
      <w:pPr>
        <w:pStyle w:val="P36"/>
        <w:rPr>
          <w:noProof w:val="0"/>
        </w:rPr>
      </w:pPr>
      <w:bookmarkStart w:id="72" w:name="_Toc89446153"/>
      <w:bookmarkStart w:id="73" w:name="_Toc207616118"/>
      <w:r>
        <w:rPr>
          <w:noProof w:val="0"/>
        </w:rPr>
        <w:t>Planekonomisk bedömning</w:t>
      </w:r>
      <w:bookmarkEnd w:id="72"/>
      <w:bookmarkEnd w:id="73"/>
    </w:p>
    <w:p>
      <w:pPr>
        <w:pStyle w:val="P37"/>
      </w:pPr>
      <w:bookmarkStart w:id="74" w:name="gf_planekonomiskbedömning01"/>
    </w:p>
    <w:p>
      <w:pPr>
        <w:pStyle w:val="P32"/>
      </w:pPr>
      <w:r>
        <w:t>En utökning av kommersiell service i Svalövs tätort möjliggörs genom etableringen av en träningslokal. Eftersom infrastrukturen redan är utbyggd till fastigheten, medför planens genomförande inga kostnader för väg, vatten eller avlopp. Svalövs kommun kommer bekosta upphävandet officialservituten för väg 1214–752.1, 12-FEL-75.1, 12-FEL-74.1. Inga andra fastighetsrelaterade avgifter tillkommer, då ingen fastighetsbildning krävs. Bygglovsavgift för ändrad användning från industriverksamhet till träningslokal tillkommer vid bygglovsansökan och bekostas av sökande. Flytt av ledningar bekostas av exploatören.</w:t>
      </w:r>
    </w:p>
    <w:p>
      <w:pPr>
        <w:pStyle w:val="P37"/>
      </w:pPr>
    </w:p>
    <w:p>
      <w:pPr>
        <w:pStyle w:val="P36"/>
        <w:rPr>
          <w:noProof w:val="0"/>
        </w:rPr>
      </w:pPr>
      <w:bookmarkEnd w:id="74"/>
      <w:bookmarkStart w:id="75" w:name="_Toc89446154"/>
      <w:bookmarkStart w:id="76" w:name="_Toc207616119"/>
      <w:r>
        <w:rPr>
          <w:noProof w:val="0"/>
        </w:rPr>
        <w:t>Planavgift</w:t>
      </w:r>
      <w:bookmarkEnd w:id="75"/>
      <w:bookmarkEnd w:id="76"/>
    </w:p>
    <w:p>
      <w:pPr>
        <w:pStyle w:val="P32"/>
      </w:pPr>
      <w:bookmarkStart w:id="77" w:name="gf_planavgift01"/>
      <w:r>
        <w:t>Framtagandet av detaljplanen bekostas av exploatören vilket regleras i ett planavtal.</w:t>
      </w:r>
      <w:r>
        <w:rPr>
          <w:color w:val="FF0000"/>
        </w:rPr>
        <w:t xml:space="preserve"> </w:t>
      </w:r>
      <w:r>
        <w:t xml:space="preserve">Kommunen kommer därför inte att ta ut någon planavgift i samband med ansökan om bygglov. </w:t>
      </w:r>
    </w:p>
    <w:p>
      <w:pPr>
        <w:pStyle w:val="P32"/>
      </w:pPr>
      <w:bookmarkEnd w:id="77"/>
      <w:bookmarkStart w:id="78" w:name="gf_driftallmänplats01"/>
    </w:p>
    <w:p>
      <w:pPr>
        <w:pStyle w:val="P32"/>
      </w:pPr>
    </w:p>
    <w:p>
      <w:pPr>
        <w:pStyle w:val="P36"/>
        <w:rPr>
          <w:noProof w:val="0"/>
        </w:rPr>
      </w:pPr>
      <w:bookmarkEnd w:id="78"/>
      <w:bookmarkStart w:id="79" w:name="_Toc89446159"/>
      <w:bookmarkStart w:id="80" w:name="_Toc207616120"/>
      <w:r>
        <w:rPr>
          <w:noProof w:val="0"/>
        </w:rPr>
        <w:t>Drift vatten</w:t>
      </w:r>
      <w:bookmarkEnd w:id="79"/>
      <w:r>
        <w:rPr>
          <w:noProof w:val="0"/>
        </w:rPr>
        <w:t>, spillvatten och dagvatten</w:t>
      </w:r>
      <w:bookmarkEnd w:id="80"/>
    </w:p>
    <w:p>
      <w:pPr>
        <w:pStyle w:val="P32"/>
      </w:pPr>
      <w:bookmarkStart w:id="81" w:name="gf_driftvattenochavlopp01"/>
      <w:r>
        <w:t>Planområdet ligger inom kommunalt verksamhetsområde för vatten, spillvatten och dagvatten</w:t>
      </w:r>
      <w:r>
        <w:rPr>
          <w:color w:val="FF0000"/>
        </w:rPr>
        <w:t xml:space="preserve">. </w:t>
      </w:r>
      <w:r>
        <w:t xml:space="preserve">Det kommunala bolaget NSVA ansvarar för samt bekostar drift och underhåll av det kommunala VA-nätet och dagvatten. Befintlig infrastruktur för VA räcker för att tillgodose behov som verksamheten har. Kommunens allmänna bestämmelser för vatten och avlopp ABVA samt taxa för allmän vatten- och avloppsanläggning gäller. Det kommunala dricksvattennätet kan inte försörja sprinkleranläggning för fastigheter.  </w:t>
      </w:r>
    </w:p>
    <w:p>
      <w:pPr>
        <w:pStyle w:val="P32"/>
      </w:pPr>
    </w:p>
    <w:p>
      <w:pPr>
        <w:pStyle w:val="P36"/>
        <w:rPr>
          <w:noProof w:val="0"/>
        </w:rPr>
      </w:pPr>
      <w:bookmarkEnd w:id="81"/>
      <w:bookmarkStart w:id="82" w:name="_Toc89446160"/>
      <w:bookmarkStart w:id="83" w:name="_Toc207616121"/>
      <w:r>
        <w:rPr>
          <w:noProof w:val="0"/>
        </w:rPr>
        <w:t>Gatukostnader</w:t>
      </w:r>
      <w:bookmarkEnd w:id="82"/>
      <w:bookmarkEnd w:id="83"/>
    </w:p>
    <w:p>
      <w:pPr>
        <w:pStyle w:val="P32"/>
      </w:pPr>
      <w:bookmarkStart w:id="84" w:name="gf_gatukostnader01"/>
      <w:r>
        <w:t>Exploatören bekostar utbyggnad av gator och gång- och cykelvägar inom planområdet enligt det planavtal som tecknats mellan kommunen och exploatören. Eftersom befintlig utfart i sydväst vid Harjagersvägen kommer reduceras i storlek, kommer exploatör behöva bekosa denna förändring.</w:t>
      </w:r>
    </w:p>
    <w:p>
      <w:pPr>
        <w:pStyle w:val="P32"/>
      </w:pPr>
    </w:p>
    <w:p>
      <w:pPr>
        <w:pStyle w:val="P36"/>
      </w:pPr>
      <w:bookmarkStart w:id="85" w:name="_Toc207616122"/>
      <w:r>
        <w:t>Brandvattenförsörjning</w:t>
      </w:r>
      <w:bookmarkEnd w:id="85"/>
    </w:p>
    <w:p>
      <w:pPr>
        <w:pStyle w:val="P32"/>
      </w:pPr>
      <w:r>
        <w:t xml:space="preserve">Det kommunala dricksvattennätet kan inte försörja sprinkleranläggning för fastigheter.  </w:t>
      </w:r>
    </w:p>
    <w:p>
      <w:pPr>
        <w:pStyle w:val="P37"/>
      </w:pPr>
    </w:p>
    <w:p>
      <w:pPr>
        <w:pStyle w:val="P36"/>
        <w:numPr>
          <w:ilvl w:val="2"/>
          <w:numId w:val="7"/>
        </w:numPr>
        <w:spacing w:lineRule="auto" w:line="258" w:after="60" w:beforeAutospacing="0" w:afterAutospacing="0"/>
        <w:rPr>
          <w:rFonts w:ascii="Trebuchet MS" w:hAnsi="Trebuchet MS"/>
          <w:noProof w:val="0"/>
          <w:lang w:val="sv-SE" w:bidi="ar-SA" w:eastAsia="sv-SE"/>
        </w:rPr>
      </w:pPr>
      <w:bookmarkEnd w:id="84"/>
      <w:bookmarkStart w:id="86" w:name="_Toc89446162"/>
      <w:bookmarkStart w:id="87" w:name="_Toc207616124"/>
      <w:bookmarkStart w:id="88" w:name="_Toc89446161"/>
      <w:bookmarkStart w:id="89" w:name="_Toc207616123"/>
      <w:r>
        <w:rPr>
          <w:rFonts w:ascii="Trebuchet MS" w:hAnsi="Trebuchet MS"/>
          <w:noProof w:val="0"/>
          <w:lang w:val="sv-SE" w:bidi="ar-SA" w:eastAsia="sv-SE"/>
        </w:rPr>
        <w:t>Exploateringsavtal</w:t>
      </w:r>
      <w:bookmarkEnd w:id="86"/>
      <w:bookmarkEnd w:id="87"/>
    </w:p>
    <w:p>
      <w:pPr>
        <w:pStyle w:val="P32"/>
        <w:rPr>
          <w:lang w:val="sv-SE" w:bidi="ar-SA" w:eastAsia="en-US"/>
        </w:rPr>
      </w:pPr>
      <w:bookmarkStart w:id="90" w:name="gf_exploateringsavtal01"/>
      <w:r>
        <w:rPr>
          <w:noProof w:val="0"/>
          <w:shd w:val="clear" w:color="auto" w:fill="FFFFFF"/>
          <w:lang w:val="sv-SE" w:bidi="ar-SA" w:eastAsia="en-US"/>
        </w:rPr>
        <w:t>Ett exploateringsavtal ska tecknas, vilket redogör för kostnadsfördelning och ansvarstagande vid reduceringen av befintlig utfart i sydväst mot Harjagersvägen (se figur nedan). Det planavtal som redan har tecknats anger de kostnader exploatören ska betala för detaljplaneprocessen. Skillnaden mellan avtalen är att planavtalet avser kostnaderna för själva planläggningen, medan exploateringsavtalet reglerar kostnader och ansvar för genomförandet av åtgärder inom planområdet.</w:t>
      </w:r>
    </w:p>
    <w:p>
      <w:pPr>
        <w:pStyle w:val="P32"/>
        <w:rPr>
          <w:lang w:val="sv-SE" w:bidi="ar-SA" w:eastAsia="en-US"/>
        </w:rPr>
      </w:pPr>
    </w:p>
    <w:p>
      <w:pPr>
        <w:pStyle w:val="P32"/>
        <w:rPr>
          <w:lang w:val="sv-SE" w:bidi="ar-SA" w:eastAsia="en-US"/>
        </w:rPr>
      </w:pPr>
      <w:r>
        <w:rPr>
          <w:shd w:val="clear" w:color="auto" w:fill="FFFFFF"/>
          <w:lang w:val="sv-SE" w:bidi="ar-SA" w:eastAsia="en-US"/>
        </w:rPr>
        <w:t>Bakgrund</w:t>
        <w:br w:type="textWrapping"/>
        <w:t xml:space="preserve">Området som avses är inom fastigheten Felestad 5:38 och fastigheten ägs av kommunen. Marken detaljplaneläggs som allmän platsmark natur i detaljplanen, men nyttjas idagsläget som utfart av Fastigheten Felestad 5:66. Syftet med ändringen i detaljplanen är att säkerställa trafiksäkerheten, så att utfarten i framtiden inte är för nära cykelvägen mellan Svalöv och teckomatorp. Området som ska omvandlas till allmän platsmark för natur har en area på cirka 32 kvm. </w:t>
      </w:r>
    </w:p>
    <w:p>
      <w:pPr>
        <w:pStyle w:val="P32"/>
        <w:rPr>
          <w:lang w:val="sv-SE" w:bidi="ar-SA" w:eastAsia="en-US"/>
        </w:rPr>
      </w:pPr>
    </w:p>
    <w:p>
      <w:pPr>
        <w:pStyle w:val="P32"/>
        <w:rPr>
          <w:lang w:val="sv-SE" w:bidi="ar-SA" w:eastAsia="en-US"/>
        </w:rPr>
      </w:pPr>
      <w:r>
        <w:rPr>
          <w:rFonts w:ascii="Calibri" w:hAnsi="Calibri" w:cstheme="minorBidi" w:eastAsiaTheme="minorEastAsia"/>
          <w:sz w:val="24"/>
          <w:szCs w:val="24"/>
          <w:lang w:val="sv-SE" w:bidi="ar-SA" w:eastAsia="en-US"/>
        </w:rPr>
        <mc:AlternateContent>
          <mc:Choice Requires="wps">
            <w:drawing>
              <wp:anchor xmlns:wp="http://schemas.openxmlformats.org/drawingml/2006/wordprocessingDrawing" distT="0" distB="0" distL="114300" distR="114300" simplePos="0" relativeHeight="12" behindDoc="0" locked="0" layoutInCell="1" allowOverlap="1">
                <wp:simplePos x="0" y="0"/>
                <wp:positionH relativeFrom="column">
                  <wp:posOffset>884555</wp:posOffset>
                </wp:positionH>
                <wp:positionV relativeFrom="paragraph">
                  <wp:posOffset>1003300</wp:posOffset>
                </wp:positionV>
                <wp:extent cx="1304925" cy="798195"/>
                <wp:effectExtent l="0" t="0" r="0" b="0"/>
                <wp:wrapNone/>
                <wp:docPr id="23" name="Oval 27"/>
                <wp:cNvGraphicFramePr/>
                <a:graphic xmlns:a="http://schemas.openxmlformats.org/drawingml/2006/main">
                  <a:graphicData uri="http://schemas.microsoft.com/office/word/2010/wordprocessingShape">
                    <wps:wsp>
                      <wps:cNvSpPr/>
                      <wps:spPr>
                        <a:xfrm>
                          <a:off x="0" y="0"/>
                          <a:ext cx="1304925" cy="798195"/>
                        </a:xfrm>
                        <a:prstGeom prst="ellipse"/>
                        <a:noFill/>
                        <a:ln w="57150" cmpd="sng">
                          <a:solidFill>
                            <a:srgbClr val="FF0000"/>
                          </a:solidFill>
                          <a:prstDash val="solid"/>
                          <a:roun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lang w:val="sv-SE" w:bidi="ar-SA" w:eastAsia="sv-SE"/>
                              </w:rPr>
                            </w:pPr>
                          </w:p>
                        </w:txbxContent>
                      </wps:txbx>
                      <wps:bodyPr anchor="ctr" anchorCtr="0" upright="1">
                        <a:noAutofit/>
                      </wps:bodyPr>
                    </wps:wsp>
                  </a:graphicData>
                </a:graphic>
              </wp:anchor>
            </w:drawing>
          </mc:Choice>
          <mc:Fallback>
            <w:pict>
              <v:oval xmlns:o="urn:schemas-microsoft-com:office:office" id="Oval 27" o:spid="_x0000_s1037" style="position:absolute;width:102.75pt;height:62.85pt;z-index:12;mso-wrap-distance-left:9pt;mso-wrap-distance-top:0pt;mso-wrap-distance-right:9pt;mso-wrap-distance-bottom:0pt;margin-left:69.65pt;margin-top:79pt;mso-position-horizontal:absolute;mso-position-horizontal-relative:text;mso-position-vertical:absolute;mso-position-vertical-relative:text;v-text-anchor:middle" o:allowincell="t" filled="f" strokecolor="#FF0000" strokeweight="4.5pt" stroked="t">
                <v:textbox>
                  <w:txbxContent>
                    <w:p>
                      <w:pPr>
                        <w:rPr>
                          <w:lang w:val="sv-SE" w:bidi="ar-SA" w:eastAsia="sv-SE"/>
                        </w:rPr>
                      </w:pPr>
                    </w:p>
                  </w:txbxContent>
                </v:textbox>
              </v:oval>
            </w:pict>
          </mc:Fallback>
        </mc:AlternateContent>
      </w:r>
      <w:r>
        <w:rPr>
          <w:lang w:val="sv-SE" w:bidi="ar-SA" w:eastAsia="en-US"/>
        </w:rPr>
        <w:drawing>
          <wp:inline xmlns:wp="http://schemas.openxmlformats.org/drawingml/2006/wordprocessingDrawing" distT="0" distB="0" distL="0" distR="0">
            <wp:extent cx="2588895" cy="2706370"/>
            <wp:effectExtent l="0" t="0" r="0" b="0"/>
            <wp:docPr id="25" name="Bildobjekt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1"/>
                    <pic:cNvPicPr>
                      <a:picLocks noChangeAspect="1"/>
                    </pic:cNvPicPr>
                  </pic:nvPicPr>
                  <pic:blipFill dpi="0">
                    <a:blip xmlns:r="http://schemas.openxmlformats.org/officeDocument/2006/relationships" r:embed="Relimage5"/>
                    <a:srcRect/>
                    <a:stretch>
                      <a:fillRect/>
                    </a:stretch>
                  </pic:blipFill>
                  <pic:spPr>
                    <a:xfrm>
                      <a:off x="0" y="0"/>
                      <a:ext cx="2588895" cy="2706370"/>
                    </a:xfrm>
                    <a:prstGeom prst="rect"/>
                    <a:noFill/>
                    <a:ln>
                      <a:noFill/>
                    </a:ln>
                  </pic:spPr>
                </pic:pic>
              </a:graphicData>
            </a:graphic>
          </wp:inline>
        </w:drawing>
      </w:r>
    </w:p>
    <w:p>
      <w:pPr>
        <w:pStyle w:val="P32"/>
        <w:rPr>
          <w:lang w:val="sv-SE" w:bidi="ar-SA" w:eastAsia="en-US"/>
        </w:rPr>
      </w:pPr>
      <w:r>
        <w:rPr>
          <w:shd w:val="clear" w:color="auto" w:fill="FFFFFF"/>
          <w:lang w:val="sv-SE" w:bidi="ar-SA" w:eastAsia="en-US"/>
        </w:rPr>
        <w:t>Minskning av befintlig utfart den rödmarkerade ytan är den tillkommande naturmarken.</w:t>
      </w:r>
    </w:p>
    <w:p>
      <w:pPr>
        <w:pStyle w:val="P37"/>
        <w:rPr>
          <w:lang w:val="sv-SE" w:bidi="ar-SA" w:eastAsia="en-US"/>
        </w:rPr>
      </w:pPr>
      <w:bookmarkEnd w:id="90"/>
    </w:p>
    <w:p>
      <w:pPr>
        <w:pStyle w:val="P37"/>
        <w:rPr>
          <w:noProof w:val="0"/>
        </w:rPr>
      </w:pPr>
      <w:bookmarkStart w:id="91" w:name="ko_annat02"/>
      <w:r>
        <w:rPr>
          <w:rStyle w:val="C31"/>
          <w:shd w:val="clear" w:color="auto" w:fill="FFFFFF"/>
          <w:lang w:val="sv-SE" w:bidi="ar-SA" w:eastAsia="en-US"/>
        </w:rPr>
        <w:t>Åtagande</w:t>
        <w:br w:type="textWrapping"/>
        <w:t xml:space="preserve">Exploatören åtar sig att </w:t>
      </w:r>
      <w:r>
        <w:rPr>
          <w:color w:val="000000"/>
          <w:shd w:val="clear" w:color="auto" w:fill="FFFFFF"/>
          <w:lang w:val="sv-SE" w:bidi="ar-SA" w:eastAsia="en-US"/>
        </w:rPr>
        <w:t>finansiera</w:t>
      </w:r>
      <w:r>
        <w:rPr>
          <w:rStyle w:val="C31"/>
          <w:shd w:val="clear" w:color="auto" w:fill="FFFFFF"/>
          <w:lang w:val="sv-SE" w:bidi="ar-SA" w:eastAsia="en-US"/>
        </w:rPr>
        <w:t xml:space="preserve"> ändringen från utfart till natur. Avtalet ger exploatören möjlighet att antingen själv utföra och bekosta arbetet, eller överlåta ansvaret till kommunen, som då utför arbetet och fakturerar exploatören för kostnaden. Åtgärden ska vara färdigställd ett år från då detaljplanen vunnits laga kraft, vilket uppskattas till oktober 2026</w:t>
      </w:r>
      <w:bookmarkEnd w:id="88"/>
      <w:bookmarkEnd w:id="89"/>
      <w:r>
        <w:rPr>
          <w:noProof w:val="0"/>
          <w:rtl w:val="0"/>
          <w:lang w:val="sv-SE" w:bidi="sv-SE" w:eastAsia="sv-SE"/>
        </w:rPr>
        <w:t>.</w:t>
      </w:r>
    </w:p>
    <w:p>
      <w:pPr>
        <w:pStyle w:val="P37"/>
      </w:pPr>
      <w:bookmarkEnd w:id="91"/>
      <w:r>
        <w:rPr>
          <w:rStyle w:val="C31"/>
        </w:rPr>
        <w:br w:type="textWrapping"/>
      </w:r>
      <w:bookmarkStart w:id="92" w:name="ko_annat01"/>
      <w:r>
        <w:rPr>
          <w:rStyle w:val="C31"/>
        </w:rPr>
        <w:t>Konsekvenser</w:t>
        <w:br w:type="textWrapping"/>
        <w:t>Ändringen medför ingen påverkan på kringliggande fastighetsägare, då infarten enbart leder till fastigheten Felestad 5:66. Inga ekonomiska åtganden för utförandet kommer hamna på Svalövs kommun till följd av exploateringsavtalet. Däremot är det Svalövs kommun som förvaltar den allmänna platsmarken efter att marken är färdigställd</w:t>
      </w:r>
      <w:r>
        <w:t>.</w:t>
      </w:r>
      <w:bookmarkEnd w:id="92"/>
    </w:p>
    <w:p>
      <w:pPr>
        <w:pStyle w:val="P37"/>
      </w:pPr>
    </w:p>
    <w:p>
      <w:pPr>
        <w:pStyle w:val="P36"/>
        <w:rPr>
          <w:noProof w:val="0"/>
        </w:rPr>
      </w:pPr>
      <w:bookmarkStart w:id="93" w:name="_Toc89446164"/>
      <w:bookmarkStart w:id="94" w:name="_Toc207616125"/>
      <w:r>
        <w:rPr>
          <w:noProof w:val="0"/>
        </w:rPr>
        <w:t>Tidplan</w:t>
      </w:r>
      <w:bookmarkEnd w:id="93"/>
      <w:bookmarkEnd w:id="94"/>
    </w:p>
    <w:p>
      <w:pPr>
        <w:pStyle w:val="P32"/>
      </w:pPr>
      <w:bookmarkStart w:id="95" w:name="gf_tidplan01"/>
      <w:r>
        <w:t xml:space="preserve">Detaljplanen gick gå ut på samråd under 2 kvartalet 2025 och på granskning under 3 kvartalet 2025. Detaljplanen förväntas kunna antas under 3 kvartalet 2025. </w:t>
      </w:r>
    </w:p>
    <w:p>
      <w:pPr>
        <w:pStyle w:val="P32"/>
      </w:pPr>
    </w:p>
    <w:p>
      <w:pPr>
        <w:pStyle w:val="P32"/>
      </w:pPr>
      <w:r>
        <w:t>Exploateringsavtalets tidsplan</w:t>
      </w:r>
    </w:p>
    <w:p>
      <w:pPr>
        <w:pStyle w:val="P37"/>
      </w:pPr>
      <w:bookmarkEnd w:id="95"/>
      <w:bookmarkStart w:id="96" w:name="gf_bevarandekrav01"/>
      <w:r>
        <w:rPr>
          <w:rStyle w:val="C31"/>
        </w:rPr>
        <w:t>Åtgärden ska vara färdigställd ett år från då detaljplanen vunnits laga kraft, vilket uppskattas till oktober 2026.</w:t>
      </w:r>
    </w:p>
    <w:p>
      <w:pPr>
        <w:pStyle w:val="P37"/>
      </w:pPr>
      <w:bookmarkEnd w:id="96"/>
      <w:bookmarkStart w:id="97" w:name="gf_prövningenlannanlagstiftning01"/>
    </w:p>
    <w:p>
      <w:pPr>
        <w:pStyle w:val="P35"/>
        <w:rPr>
          <w:noProof w:val="0"/>
          <w:color w:val="auto"/>
        </w:rPr>
      </w:pPr>
      <w:bookmarkEnd w:id="97"/>
      <w:bookmarkStart w:id="98" w:name="_Toc89446169"/>
      <w:bookmarkStart w:id="99" w:name="_Toc207616126"/>
      <w:r>
        <w:rPr>
          <w:noProof w:val="0"/>
          <w:color w:val="auto"/>
        </w:rPr>
        <w:t>Upplysningar</w:t>
      </w:r>
      <w:bookmarkEnd w:id="98"/>
      <w:bookmarkEnd w:id="99"/>
    </w:p>
    <w:p>
      <w:pPr>
        <w:pStyle w:val="P37"/>
      </w:pPr>
      <w:bookmarkStart w:id="100" w:name="gf_upplysningar01"/>
    </w:p>
    <w:p>
      <w:pPr>
        <w:pStyle w:val="P32"/>
      </w:pPr>
      <w:r>
        <w:t xml:space="preserve">Marklov krävs för åtgärder som försämrar markens genomsläpplighet. </w:t>
      </w:r>
    </w:p>
    <w:p>
      <w:pPr>
        <w:pStyle w:val="P34"/>
        <w:rPr>
          <w:noProof w:val="0"/>
        </w:rPr>
      </w:pPr>
      <w:bookmarkEnd w:id="100"/>
      <w:bookmarkStart w:id="101" w:name="_Toc207616127"/>
      <w:r>
        <w:rPr>
          <w:noProof w:val="0"/>
        </w:rPr>
        <w:t>P</w:t>
      </w:r>
      <w:bookmarkEnd w:id="46"/>
      <w:r>
        <w:rPr>
          <w:noProof w:val="0"/>
        </w:rPr>
        <w:t>laneringsförutsättningar och konsekvenser</w:t>
      </w:r>
      <w:bookmarkEnd w:id="101"/>
    </w:p>
    <w:p>
      <w:pPr>
        <w:pStyle w:val="P35"/>
        <w:rPr>
          <w:noProof w:val="0"/>
        </w:rPr>
      </w:pPr>
      <w:bookmarkStart w:id="102" w:name="_Toc207616128"/>
      <w:r>
        <w:rPr>
          <w:noProof w:val="0"/>
        </w:rPr>
        <w:t>Tidigare ställningstaganden</w:t>
      </w:r>
      <w:bookmarkEnd w:id="102"/>
      <w:bookmarkStart w:id="103" w:name="pf_regionplan01"/>
      <w:bookmarkStart w:id="104" w:name="_Toc89445993"/>
    </w:p>
    <w:p>
      <w:pPr>
        <w:pStyle w:val="P32"/>
      </w:pPr>
      <w:bookmarkEnd w:id="103"/>
      <w:bookmarkStart w:id="105" w:name="pf_regionala01"/>
    </w:p>
    <w:p>
      <w:pPr>
        <w:pStyle w:val="P36"/>
        <w:rPr>
          <w:noProof w:val="0"/>
        </w:rPr>
      </w:pPr>
      <w:bookmarkEnd w:id="105"/>
      <w:bookmarkStart w:id="106" w:name="_Toc89445999"/>
      <w:bookmarkStart w:id="107" w:name="_Toc207616129"/>
      <w:r>
        <w:rPr>
          <w:noProof w:val="0"/>
        </w:rPr>
        <w:t>Ö</w:t>
      </w:r>
      <w:bookmarkEnd w:id="106"/>
      <w:r>
        <w:rPr>
          <w:noProof w:val="0"/>
        </w:rPr>
        <w:t>versiktsplan</w:t>
      </w:r>
      <w:bookmarkEnd w:id="107"/>
    </w:p>
    <w:p>
      <w:pPr>
        <w:pStyle w:val="P37"/>
        <w:rPr>
          <w:rStyle w:val="C31"/>
        </w:rPr>
      </w:pPr>
      <w:bookmarkStart w:id="108" w:name="_Hlk90559718"/>
      <w:bookmarkStart w:id="109" w:name="pf_översiktsplan01"/>
      <w:r>
        <w:rPr>
          <w:color w:val="010102"/>
        </w:rPr>
        <w:t xml:space="preserve">I Svalövs kommuns gällande </w:t>
      </w:r>
      <w:r>
        <w:rPr>
          <w:rStyle w:val="C31"/>
          <w:noProof w:val="0"/>
        </w:rPr>
        <w:t xml:space="preserve">översiktsplan, ÖP 2040, är området utpekat som </w:t>
      </w:r>
      <w:r>
        <w:rPr>
          <w:rStyle w:val="C31"/>
          <w:noProof w:val="0"/>
          <w:color w:val="auto"/>
        </w:rPr>
        <w:t>industri och verksamhetsområde</w:t>
      </w:r>
      <w:r>
        <w:rPr>
          <w:rStyle w:val="C31"/>
          <w:noProof w:val="0"/>
        </w:rPr>
        <w:t xml:space="preserve">. </w:t>
      </w:r>
      <w:bookmarkStart w:id="110" w:name="_Hlk198285653"/>
      <w:bookmarkStart w:id="111" w:name="_Hlk198285902"/>
      <w:r>
        <w:rPr>
          <w:rStyle w:val="C31"/>
          <w:noProof w:val="0"/>
        </w:rPr>
        <w:t xml:space="preserve">Detaljplanen </w:t>
      </w:r>
      <w:bookmarkEnd w:id="110"/>
      <w:r>
        <w:rPr>
          <w:rStyle w:val="C31"/>
          <w:noProof w:val="0"/>
        </w:rPr>
        <w:t>överensstämmer därmed med gällande översiktsplan</w:t>
      </w:r>
      <w:bookmarkEnd w:id="111"/>
      <w:r>
        <w:rPr>
          <w:rStyle w:val="C31"/>
          <w:noProof w:val="0"/>
        </w:rPr>
        <w:t xml:space="preserve">. </w:t>
      </w:r>
      <w:r>
        <w:rPr>
          <w:rStyle w:val="C31"/>
        </w:rPr>
        <w:t>Översiktsplanen redogör för att kommunen ska nyttja RIKTSAM som vägledning i detaljplanering när kommunen ska bedöma risk för närhet till väg med transport av farligt gods. Väg 106 är en sådan väg och ligger i nära anslutning till detaljplaneområdet.</w:t>
      </w:r>
      <w:bookmarkEnd w:id="108"/>
      <w:bookmarkEnd w:id="109"/>
      <w:bookmarkStart w:id="112" w:name="pf_planprogram01"/>
    </w:p>
    <w:p>
      <w:pPr>
        <w:pStyle w:val="P37"/>
        <w:rPr>
          <w:rStyle w:val="C31"/>
        </w:rPr>
      </w:pPr>
    </w:p>
    <w:p>
      <w:pPr>
        <w:pStyle w:val="P37"/>
      </w:pPr>
      <w:r>
        <w:rPr>
          <w:rStyle w:val="C31"/>
        </w:rPr>
        <w:t xml:space="preserve">En planeringsstrategi som redogör för översiktsplanens aktualitet, antogs av kommunfullmäktige den 26 februari 2024. Slutsatsen i planeringsstrategin är att översiktsplanen är aktuell och kan fortsatt nyttjas som underlag. </w:t>
      </w:r>
      <w:r>
        <w:rPr>
          <w:color w:val="211D1E"/>
        </w:rPr>
        <w:t>Förändrade planeringsförutsättningar på nationell och regional nivå anses inte påverka översiktsplanens ställningstaganden, syfte, funktion eller aktualitet och översiktsplanen anses fortfarande förhålla sig väl till kraven i plan- och bygglagen.</w:t>
      </w:r>
    </w:p>
    <w:p>
      <w:pPr>
        <w:pStyle w:val="P37"/>
      </w:pPr>
    </w:p>
    <w:p>
      <w:pPr>
        <w:pStyle w:val="P37"/>
      </w:pPr>
    </w:p>
    <w:p>
      <w:pPr>
        <w:pStyle w:val="P36"/>
        <w:rPr>
          <w:noProof w:val="0"/>
          <w:color w:val="auto"/>
        </w:rPr>
      </w:pPr>
      <w:bookmarkEnd w:id="112"/>
      <w:bookmarkStart w:id="113" w:name="_Toc207616130"/>
      <w:r>
        <w:rPr>
          <w:noProof w:val="0"/>
          <w:color w:val="auto"/>
        </w:rPr>
        <w:t>Planbesked</w:t>
      </w:r>
      <w:bookmarkEnd w:id="113"/>
    </w:p>
    <w:p>
      <w:pPr>
        <w:pStyle w:val="P32"/>
      </w:pPr>
      <w:bookmarkStart w:id="114" w:name="pf_planbesked01"/>
      <w:r>
        <w:t xml:space="preserve">Samhällsbyggnadsnämnden beslutade 2024-11-06 § 153 om positivt planbesked för detaljplanen. </w:t>
      </w:r>
    </w:p>
    <w:p>
      <w:pPr>
        <w:pStyle w:val="P37"/>
      </w:pPr>
    </w:p>
    <w:p>
      <w:pPr>
        <w:pStyle w:val="P37"/>
      </w:pPr>
    </w:p>
    <w:p>
      <w:pPr>
        <w:pStyle w:val="P37"/>
      </w:pPr>
    </w:p>
    <w:p>
      <w:pPr>
        <w:pStyle w:val="P37"/>
      </w:pPr>
    </w:p>
    <w:p>
      <w:pPr>
        <w:pStyle w:val="P36"/>
        <w:rPr>
          <w:noProof w:val="0"/>
        </w:rPr>
      </w:pPr>
      <w:bookmarkEnd w:id="114"/>
      <w:bookmarkStart w:id="115" w:name="_Toc207616131"/>
      <w:bookmarkStart w:id="116" w:name="pf_detaljplan01"/>
      <w:r>
        <w:rPr>
          <w:noProof w:val="0"/>
        </w:rPr>
        <w:t>D</w:t>
      </w:r>
      <w:bookmarkEnd w:id="104"/>
      <w:r>
        <w:rPr>
          <w:noProof w:val="0"/>
        </w:rPr>
        <w:t>etaljplan</w:t>
      </w:r>
      <w:bookmarkEnd w:id="115"/>
    </w:p>
    <w:p>
      <w:pPr>
        <w:pStyle w:val="P32"/>
      </w:pPr>
      <w:bookmarkStart w:id="117" w:name="_Toc89445994"/>
    </w:p>
    <w:p>
      <w:pPr>
        <w:pStyle w:val="P32"/>
        <w:rPr>
          <w:i w:val="1"/>
          <w:iCs w:val="1"/>
        </w:rPr>
      </w:pPr>
      <w:r>
        <w:rPr>
          <w:i w:val="1"/>
          <w:iCs w:val="1"/>
        </w:rPr>
        <w:t>Förutsättningar</w:t>
      </w:r>
    </w:p>
    <w:p>
      <w:pPr>
        <w:pStyle w:val="P32"/>
      </w:pPr>
      <w:r>
        <w:t xml:space="preserve">Planområdet omfattas av stadsplanen Svalöv 3:10, Felestad 5:38, med kommunens beteckning 1064 och reglerar markanvändningen till industriverksamhet. Detaljplanen har ingen kvarvarande genomförandetid. Den nya detaljplanen ersätter delar av gällande detaljplan inom fastigheterna Felestad 5:38 och 5:66. </w:t>
      </w:r>
    </w:p>
    <w:p>
      <w:pPr>
        <w:pStyle w:val="P32"/>
      </w:pPr>
      <w:bookmarkEnd w:id="116"/>
      <w:bookmarkStart w:id="118" w:name="ko_annat03"/>
    </w:p>
    <w:p>
      <w:pPr>
        <w:pStyle w:val="P32"/>
        <w:rPr>
          <w:i w:val="1"/>
          <w:iCs w:val="1"/>
        </w:rPr>
      </w:pPr>
      <w:r>
        <w:rPr>
          <w:i w:val="1"/>
          <w:iCs w:val="1"/>
        </w:rPr>
        <w:t>Konsekvenser</w:t>
      </w:r>
    </w:p>
    <w:p>
      <w:pPr>
        <w:pStyle w:val="P32"/>
      </w:pPr>
      <w:r>
        <w:t>I den tidigare stadsplanen (1064) fanns ett utfartsförbud mot Parkväg 106, och området mellan vägen och kvartersmarken reglerades som allmän platsmark för park och plantering. I den nya detaljplanen finns inget utfartsförbud för denna yta, i enlighet med Boverkets rekommendation att inte reglera utfartsförbud längs planområdesgränser. Det är dock viktigt att notera att stadsplan 1064 fortsatt gäller för den allmänna platsmarken för park och plantering, eftersom denna del inte ingår i planområdet för den nya detaljplanen – till skillnad från det tidigare utfartsförbudet som nu tas bort. Då markanvändningen som park och plantering kvarstår bedöms upphävandet av utfartsförbudet inte medföra någon större konsekvens. Det bör inte anläggas någon utfart mot denna allmänna platsmark för park och plantering. Om föreslagen detaljplan antas och får laga kraft upphör tidigare detaljplan att gälla inom planområdet, men fortsätter att gälla som tidigare utanför det nu aktuella planområdet.</w:t>
      </w:r>
    </w:p>
    <w:p>
      <w:pPr>
        <w:pStyle w:val="P37"/>
      </w:pPr>
      <w:bookmarkEnd w:id="117"/>
      <w:bookmarkEnd w:id="118"/>
      <w:bookmarkStart w:id="119" w:name="pf_förhandsbesked01"/>
    </w:p>
    <w:p>
      <w:pPr>
        <w:pStyle w:val="P35"/>
        <w:rPr>
          <w:noProof w:val="0"/>
        </w:rPr>
      </w:pPr>
      <w:bookmarkEnd w:id="119"/>
      <w:bookmarkStart w:id="120" w:name="_Toc89446002"/>
      <w:bookmarkStart w:id="121" w:name="_Toc207616132"/>
      <w:r>
        <w:rPr>
          <w:noProof w:val="0"/>
        </w:rPr>
        <w:t>R</w:t>
      </w:r>
      <w:bookmarkEnd w:id="120"/>
      <w:r>
        <w:rPr>
          <w:noProof w:val="0"/>
        </w:rPr>
        <w:t>iksintressen</w:t>
      </w:r>
      <w:bookmarkEnd w:id="121"/>
    </w:p>
    <w:p>
      <w:pPr>
        <w:pStyle w:val="P37"/>
      </w:pPr>
      <w:bookmarkStart w:id="122" w:name="pf_friluftsliv01"/>
      <w:r>
        <w:t xml:space="preserve">  </w:t>
      </w:r>
    </w:p>
    <w:p>
      <w:pPr>
        <w:pStyle w:val="P42"/>
      </w:pPr>
      <w:bookmarkEnd w:id="122"/>
      <w:bookmarkStart w:id="123" w:name="pf_trafikkommunikation01"/>
      <w:r>
        <w:rPr>
          <w:rStyle w:val="C31"/>
          <w:i w:val="0"/>
          <w:iCs w:val="1"/>
        </w:rPr>
        <w:t>Det finns inga riksintressen inom planområdet, förutom MSA-ytan (Minimum Sector Altitude) för Malmö flygplats, som är kopplad till totalförsvaret, samt Trafikverkets riksintressen för luftfart</w:t>
      </w:r>
      <w:r>
        <w:t xml:space="preserve">. </w:t>
      </w:r>
      <w:r>
        <w:rPr>
          <w:rStyle w:val="C31"/>
          <w:i w:val="0"/>
          <w:iCs w:val="1"/>
        </w:rPr>
        <w:t xml:space="preserve">Söderåsbanan ligger i nära anslutning till planområdet på ett 75 metersavstånd från planområdets östra gräns. </w:t>
      </w:r>
    </w:p>
    <w:p>
      <w:pPr>
        <w:pStyle w:val="P42"/>
      </w:pPr>
    </w:p>
    <w:p>
      <w:pPr>
        <w:pStyle w:val="P36"/>
        <w:rPr>
          <w:noProof w:val="0"/>
          <w:color w:val="auto"/>
        </w:rPr>
      </w:pPr>
      <w:bookmarkEnd w:id="123"/>
      <w:bookmarkStart w:id="124" w:name="_Toc89446016"/>
      <w:bookmarkStart w:id="125" w:name="_Toc207616133"/>
      <w:r>
        <w:rPr>
          <w:noProof w:val="0"/>
          <w:color w:val="auto"/>
        </w:rPr>
        <w:t>T</w:t>
      </w:r>
      <w:bookmarkEnd w:id="124"/>
      <w:r>
        <w:rPr>
          <w:noProof w:val="0"/>
          <w:color w:val="auto"/>
        </w:rPr>
        <w:t>otalförsvar</w:t>
      </w:r>
      <w:bookmarkEnd w:id="125"/>
      <w:r>
        <w:rPr>
          <w:noProof w:val="0"/>
          <w:color w:val="auto"/>
        </w:rPr>
        <w:t xml:space="preserve"> </w:t>
      </w:r>
    </w:p>
    <w:p>
      <w:pPr>
        <w:pStyle w:val="P32"/>
        <w:rPr>
          <w:i w:val="1"/>
          <w:iCs w:val="1"/>
        </w:rPr>
      </w:pPr>
      <w:r>
        <w:rPr>
          <w:i w:val="1"/>
          <w:iCs w:val="1"/>
        </w:rPr>
        <w:t>Förutsättningar</w:t>
      </w:r>
    </w:p>
    <w:p>
      <w:pPr>
        <w:pStyle w:val="P37"/>
      </w:pPr>
      <w:r>
        <w:rPr>
          <w:rStyle w:val="C31"/>
          <w:noProof w:val="0"/>
        </w:rPr>
        <w:t xml:space="preserve">Planområdet ligger inom riksintresse för totalförsvar enligt 3 kap. 9 § miljöbalken. Planområdet ingår i område med särskilt behov av hinderfrihet, vilket ingår i riksintresse för totalförsvaret. Inom detta område anses objekt högre än 45 inom tätort att meter få en inverkan på gällande riksintressen. </w:t>
      </w:r>
      <w:r>
        <w:t xml:space="preserve"> </w:t>
      </w:r>
    </w:p>
    <w:p>
      <w:pPr>
        <w:pStyle w:val="P37"/>
        <w:rPr>
          <w:i w:val="1"/>
          <w:iCs w:val="1"/>
        </w:rPr>
      </w:pPr>
    </w:p>
    <w:p>
      <w:pPr>
        <w:pStyle w:val="P32"/>
        <w:rPr>
          <w:i w:val="1"/>
          <w:iCs w:val="1"/>
        </w:rPr>
      </w:pPr>
      <w:bookmarkStart w:id="126" w:name="ko_totalförsvar01"/>
      <w:r>
        <w:rPr>
          <w:i w:val="1"/>
          <w:iCs w:val="1"/>
        </w:rPr>
        <w:t>Konsekvenser</w:t>
      </w:r>
    </w:p>
    <w:p>
      <w:pPr>
        <w:pStyle w:val="P32"/>
      </w:pPr>
      <w:r>
        <w:t xml:space="preserve">Planförslaget påverkat inte riksintresset eftersom tillåten totalhöjd inte överstiger 20 meter. </w:t>
      </w:r>
      <w:r>
        <w:rPr>
          <w:rStyle w:val="C31"/>
          <w:iCs w:val="1"/>
          <w:noProof w:val="0"/>
          <w:color w:val="auto"/>
        </w:rPr>
        <w:t>Inom planområdet är högsta tillåtna totalhöjden för byggnadsverk reglerad till 10 meter.</w:t>
      </w:r>
      <w:r>
        <w:t xml:space="preserve"> </w:t>
      </w:r>
    </w:p>
    <w:p>
      <w:pPr>
        <w:pStyle w:val="P37"/>
      </w:pPr>
      <w:bookmarkEnd w:id="126"/>
      <w:bookmarkStart w:id="127" w:name="pf_trafikkommunikation02"/>
    </w:p>
    <w:p>
      <w:pPr>
        <w:pStyle w:val="P36"/>
      </w:pPr>
      <w:bookmarkStart w:id="128" w:name="_Toc207616134"/>
      <w:r>
        <w:t>Luftfart</w:t>
      </w:r>
      <w:bookmarkEnd w:id="128"/>
    </w:p>
    <w:p>
      <w:pPr>
        <w:pStyle w:val="P32"/>
        <w:rPr>
          <w:i w:val="1"/>
          <w:iCs w:val="1"/>
        </w:rPr>
      </w:pPr>
      <w:r>
        <w:rPr>
          <w:i w:val="1"/>
          <w:iCs w:val="1"/>
        </w:rPr>
        <w:t>Förutsättningar</w:t>
      </w:r>
    </w:p>
    <w:p>
      <w:pPr>
        <w:pStyle w:val="P37"/>
      </w:pPr>
      <w:r>
        <w:rPr>
          <w:rStyle w:val="C31"/>
          <w:noProof w:val="0"/>
        </w:rPr>
        <w:t xml:space="preserve">Planområdet ligger inom riksintresse för totalförsvar enligt 3 kap. 9 § miljöbalken. Planområdet ingår i område med särskilt behov av hinderfrihet, vilket ingår i riksintresse för totalförsvaret. Inom detta område anses objekt högre än 45 inom tätort att meter få en inverkan på gällande riksintressen. </w:t>
      </w:r>
      <w:r>
        <w:t xml:space="preserve"> </w:t>
      </w:r>
    </w:p>
    <w:p>
      <w:pPr>
        <w:pStyle w:val="P32"/>
      </w:pPr>
      <w:bookmarkEnd w:id="127"/>
    </w:p>
    <w:p>
      <w:pPr>
        <w:pStyle w:val="P32"/>
        <w:rPr>
          <w:i w:val="1"/>
          <w:iCs w:val="1"/>
        </w:rPr>
      </w:pPr>
      <w:bookmarkStart w:id="129" w:name="ko_totalförsvar02"/>
      <w:r>
        <w:rPr>
          <w:i w:val="1"/>
          <w:iCs w:val="1"/>
        </w:rPr>
        <w:t>Konsekvenser</w:t>
      </w:r>
    </w:p>
    <w:p>
      <w:pPr>
        <w:pStyle w:val="P32"/>
      </w:pPr>
      <w:r>
        <w:t xml:space="preserve">Planförslaget påverkat inte riksintresset eftersom tillåten totalhöjd inte överstiger 20 meter. </w:t>
      </w:r>
      <w:r>
        <w:rPr>
          <w:rStyle w:val="C31"/>
          <w:iCs w:val="1"/>
          <w:noProof w:val="0"/>
          <w:color w:val="auto"/>
        </w:rPr>
        <w:t>Inom planområdet är högsta tillåtna totalhöjden för byggnadsverk reglerad till 10 meter.</w:t>
      </w:r>
      <w:r>
        <w:t xml:space="preserve"> </w:t>
      </w:r>
    </w:p>
    <w:p>
      <w:pPr>
        <w:pStyle w:val="P32"/>
      </w:pPr>
      <w:bookmarkEnd w:id="129"/>
    </w:p>
    <w:p>
      <w:pPr>
        <w:pStyle w:val="P36"/>
      </w:pPr>
      <w:bookmarkStart w:id="130" w:name="_Toc207616135"/>
      <w:r>
        <w:t>Riksintresse för kommunikation</w:t>
      </w:r>
      <w:bookmarkEnd w:id="130"/>
    </w:p>
    <w:p>
      <w:pPr>
        <w:pStyle w:val="P32"/>
      </w:pPr>
      <w:bookmarkStart w:id="131" w:name="pf_trafikkommunikation03"/>
    </w:p>
    <w:p>
      <w:pPr>
        <w:pStyle w:val="P32"/>
        <w:rPr>
          <w:i w:val="1"/>
          <w:iCs w:val="1"/>
        </w:rPr>
      </w:pPr>
      <w:r>
        <w:rPr>
          <w:i w:val="1"/>
          <w:iCs w:val="1"/>
        </w:rPr>
        <w:t>Förutsättningar</w:t>
      </w:r>
    </w:p>
    <w:p>
      <w:pPr>
        <w:pStyle w:val="P32"/>
        <w:rPr>
          <w:rFonts w:eastAsiaTheme="minorEastAsia"/>
        </w:rPr>
      </w:pPr>
      <w:r>
        <w:t>Planområdet ligger cirka</w:t>
      </w:r>
      <w:r>
        <w:rPr>
          <w:b w:val="1"/>
          <w:bCs w:val="1"/>
        </w:rPr>
        <w:t xml:space="preserve"> </w:t>
      </w:r>
      <w:r>
        <w:rPr>
          <w:rStyle w:val="C35"/>
          <w:b w:val="0"/>
          <w:bCs w:val="0"/>
        </w:rPr>
        <w:t>75 meter från Söderåsbanan</w:t>
      </w:r>
      <w:r>
        <w:t xml:space="preserve">, som är utpekad som ett </w:t>
      </w:r>
      <w:r>
        <w:rPr>
          <w:rStyle w:val="C35"/>
          <w:b w:val="0"/>
          <w:bCs w:val="0"/>
        </w:rPr>
        <w:t>riksintresse för kommunikation</w:t>
      </w:r>
      <w:r>
        <w:rPr>
          <w:b w:val="1"/>
          <w:bCs w:val="1"/>
        </w:rPr>
        <w:t xml:space="preserve"> </w:t>
      </w:r>
      <w:r>
        <w:t xml:space="preserve">enligt 3 kap. 8 § miljöbalken. Riksintresset för kommunikation omfattar anläggningar av nationell betydelse, såsom </w:t>
      </w:r>
      <w:r>
        <w:rPr>
          <w:rStyle w:val="C35"/>
          <w:b w:val="0"/>
          <w:bCs w:val="0"/>
        </w:rPr>
        <w:t>järnvägar, vägar, flygplatser och hamnar</w:t>
      </w:r>
      <w:r>
        <w:rPr>
          <w:b w:val="1"/>
          <w:bCs w:val="1"/>
        </w:rPr>
        <w:t>.</w:t>
      </w:r>
      <w:r>
        <w:t xml:space="preserve"> Syftet med att utpeka riksintressen är att långsiktigt säkerställa att dessa infrastrukturer </w:t>
      </w:r>
      <w:r>
        <w:rPr>
          <w:rStyle w:val="C35"/>
          <w:b w:val="0"/>
          <w:bCs w:val="0"/>
        </w:rPr>
        <w:t>inte påverkas negativt av närliggande markanvändning</w:t>
      </w:r>
      <w:r>
        <w:t xml:space="preserve">, särskilt sådant som kan försvåra drift, underhåll eller framtida utbyggnad. </w:t>
      </w:r>
      <w:r>
        <w:rPr>
          <w:rStyle w:val="C35"/>
          <w:b w:val="0"/>
          <w:bCs w:val="0"/>
        </w:rPr>
        <w:t>Planerad markanvändning i närområdet av Söderåsbanan skulle kunna begränsa möjligheterna att utveckla eller trafikera banan</w:t>
      </w:r>
      <w:r>
        <w:t xml:space="preserve">. Om omgivande markanvändning exempelvis leder till bullerkrav eller andra restriktioner kopplat till risk, kan det hämma </w:t>
      </w:r>
      <w:r>
        <w:rPr>
          <w:rStyle w:val="C35"/>
          <w:b w:val="0"/>
          <w:bCs w:val="0"/>
        </w:rPr>
        <w:t>riksintressets funktion</w:t>
      </w:r>
      <w:r>
        <w:rPr>
          <w:b w:val="1"/>
          <w:bCs w:val="1"/>
        </w:rPr>
        <w:t xml:space="preserve">, </w:t>
      </w:r>
      <w:r>
        <w:t>särskilt vad gäller</w:t>
      </w:r>
      <w:r>
        <w:rPr>
          <w:b w:val="1"/>
          <w:bCs w:val="1"/>
        </w:rPr>
        <w:t xml:space="preserve"> </w:t>
      </w:r>
      <w:r>
        <w:rPr>
          <w:rStyle w:val="C35"/>
          <w:b w:val="0"/>
          <w:bCs w:val="0"/>
        </w:rPr>
        <w:t>trafikvolym, tågtyper eller utbyggnadspotential</w:t>
      </w:r>
      <w:r>
        <w:t xml:space="preserve"> längs järnvägssträckan. </w:t>
      </w:r>
      <w:r>
        <w:rPr>
          <w:rFonts w:eastAsiaTheme="minorEastAsia"/>
        </w:rPr>
        <w:t xml:space="preserve">Länsstyrelsen i </w:t>
      </w:r>
      <w:r>
        <w:t>Skånes län anger att risker förknippade med transport av farligt gods ska beaktas vid</w:t>
      </w:r>
      <w:r>
        <w:rPr>
          <w:rFonts w:eastAsiaTheme="minorEastAsia"/>
        </w:rPr>
        <w:t xml:space="preserve"> </w:t>
      </w:r>
      <w:r>
        <w:t>framtagande av detaljplaner inom 200 meters avstånd från en farligt godsled. En mer</w:t>
      </w:r>
      <w:r>
        <w:rPr>
          <w:rFonts w:eastAsiaTheme="minorEastAsia"/>
        </w:rPr>
        <w:t xml:space="preserve"> </w:t>
      </w:r>
      <w:r>
        <w:t>detaljerad beskrivning kring vilken bebyggelse som rekommenderas beroende på</w:t>
      </w:r>
      <w:r>
        <w:rPr>
          <w:rFonts w:eastAsiaTheme="minorEastAsia"/>
        </w:rPr>
        <w:t xml:space="preserve"> </w:t>
      </w:r>
      <w:r>
        <w:t>avstånd presenteras i stycke 6.6.2 risk för olyckor.</w:t>
      </w:r>
    </w:p>
    <w:p>
      <w:pPr>
        <w:pStyle w:val="P32"/>
      </w:pPr>
      <w:bookmarkEnd w:id="131"/>
    </w:p>
    <w:p>
      <w:pPr>
        <w:pStyle w:val="P32"/>
        <w:rPr>
          <w:i w:val="1"/>
          <w:iCs w:val="1"/>
        </w:rPr>
      </w:pPr>
      <w:bookmarkStart w:id="132" w:name="ko_trafikkommunikation01"/>
      <w:r>
        <w:rPr>
          <w:i w:val="1"/>
          <w:iCs w:val="1"/>
        </w:rPr>
        <w:t xml:space="preserve">Konsekvenser </w:t>
      </w:r>
    </w:p>
    <w:p>
      <w:pPr>
        <w:pStyle w:val="P32"/>
        <w:rPr>
          <w:rFonts w:ascii="Times New Roman" w:hAnsi="Times New Roman" w:cs="Times New Roman" w:eastAsia="Times New Roman"/>
          <w:b w:val="1"/>
          <w:bCs w:val="1"/>
          <w:sz w:val="24"/>
        </w:rPr>
      </w:pPr>
      <w:r>
        <w:t>Den markanvändning som möjliggörs inom planområdet omfattar</w:t>
      </w:r>
      <w:r>
        <w:rPr>
          <w:b w:val="1"/>
          <w:bCs w:val="1"/>
        </w:rPr>
        <w:t xml:space="preserve"> </w:t>
      </w:r>
      <w:r>
        <w:rPr>
          <w:rStyle w:val="C35"/>
          <w:b w:val="0"/>
          <w:bCs w:val="0"/>
        </w:rPr>
        <w:t>träningslokal samt verksamheter enligt användningen Z</w:t>
      </w:r>
      <w:r>
        <w:rPr>
          <w:b w:val="1"/>
          <w:bCs w:val="1"/>
        </w:rPr>
        <w:t xml:space="preserve">, </w:t>
      </w:r>
      <w:r>
        <w:t>såsom</w:t>
      </w:r>
      <w:r>
        <w:rPr>
          <w:b w:val="1"/>
          <w:bCs w:val="1"/>
        </w:rPr>
        <w:t xml:space="preserve"> </w:t>
      </w:r>
      <w:r>
        <w:rPr>
          <w:rStyle w:val="C35"/>
          <w:b w:val="0"/>
          <w:bCs w:val="0"/>
        </w:rPr>
        <w:t>bilservice, lager och mindre industriverksamhet med begränsad omgivningspåverkan</w:t>
      </w:r>
      <w:r>
        <w:rPr>
          <w:b w:val="1"/>
          <w:bCs w:val="1"/>
        </w:rPr>
        <w:t>.</w:t>
      </w:r>
      <w:r>
        <w:t xml:space="preserve"> Det bedöms att </w:t>
      </w:r>
      <w:r>
        <w:rPr>
          <w:rStyle w:val="C35"/>
          <w:b w:val="0"/>
          <w:bCs w:val="0"/>
        </w:rPr>
        <w:t>avståndet om 75 meter</w:t>
      </w:r>
      <w:r>
        <w:rPr>
          <w:b w:val="1"/>
          <w:bCs w:val="1"/>
        </w:rPr>
        <w:t xml:space="preserve"> </w:t>
      </w:r>
      <w:r>
        <w:t>mellan</w:t>
      </w:r>
      <w:r>
        <w:rPr>
          <w:b w:val="1"/>
          <w:bCs w:val="1"/>
        </w:rPr>
        <w:t xml:space="preserve"> </w:t>
      </w:r>
      <w:r>
        <w:t>planområdet och riksintresset</w:t>
      </w:r>
      <w:r>
        <w:rPr>
          <w:b w:val="1"/>
          <w:bCs w:val="1"/>
        </w:rPr>
        <w:t xml:space="preserve"> </w:t>
      </w:r>
      <w:r>
        <w:rPr>
          <w:rStyle w:val="C35"/>
          <w:b w:val="0"/>
          <w:bCs w:val="0"/>
        </w:rPr>
        <w:t>Söderåsbanan</w:t>
      </w:r>
      <w:r>
        <w:rPr>
          <w:b w:val="1"/>
          <w:bCs w:val="1"/>
        </w:rPr>
        <w:t xml:space="preserve">, </w:t>
      </w:r>
      <w:r>
        <w:t>i kombination med den</w:t>
      </w:r>
      <w:r>
        <w:rPr>
          <w:b w:val="1"/>
          <w:bCs w:val="1"/>
        </w:rPr>
        <w:t xml:space="preserve"> </w:t>
      </w:r>
      <w:r>
        <w:rPr>
          <w:rStyle w:val="C35"/>
          <w:b w:val="0"/>
          <w:bCs w:val="0"/>
        </w:rPr>
        <w:t>icke markkänsliga användningen</w:t>
      </w:r>
      <w:r>
        <w:rPr>
          <w:b w:val="1"/>
          <w:bCs w:val="1"/>
        </w:rPr>
        <w:t xml:space="preserve">, </w:t>
      </w:r>
      <w:r>
        <w:t>innebära att</w:t>
      </w:r>
      <w:r>
        <w:rPr>
          <w:b w:val="1"/>
          <w:bCs w:val="1"/>
        </w:rPr>
        <w:t xml:space="preserve"> </w:t>
      </w:r>
      <w:r>
        <w:rPr>
          <w:rStyle w:val="C35"/>
          <w:b w:val="0"/>
          <w:bCs w:val="0"/>
        </w:rPr>
        <w:t>riksintresset för kommunikation inte påverkas negativt</w:t>
      </w:r>
      <w:r>
        <w:rPr>
          <w:b w:val="1"/>
          <w:bCs w:val="1"/>
        </w:rPr>
        <w:t xml:space="preserve">. </w:t>
      </w:r>
      <w:r>
        <w:t>Utifrån tabellen som presenteras ovan bör bilservice, lager, industri, idrotts och sportanläggningar kunna anläggas. Avståndet till järnvägen medför att underhåll eller eventuell utbyggnad av järnvägen inte hämmas av detaljplanen.</w:t>
      </w:r>
    </w:p>
    <w:p>
      <w:pPr>
        <w:pStyle w:val="P33"/>
      </w:pPr>
      <w:bookmarkEnd w:id="132"/>
    </w:p>
    <w:p>
      <w:pPr>
        <w:pStyle w:val="P35"/>
        <w:rPr>
          <w:noProof w:val="0"/>
        </w:rPr>
      </w:pPr>
      <w:bookmarkStart w:id="133" w:name="_Toc89446025"/>
      <w:bookmarkStart w:id="134" w:name="_Toc207616136"/>
      <w:bookmarkStart w:id="135" w:name="pf_hushållningsbestämmelserenl3kap_mb01"/>
      <w:r>
        <w:rPr>
          <w:noProof w:val="0"/>
        </w:rPr>
        <w:t>Hushållningsbestämmelser enligt 3 kap. miljöbalken</w:t>
      </w:r>
      <w:bookmarkEnd w:id="133"/>
      <w:bookmarkEnd w:id="134"/>
    </w:p>
    <w:p>
      <w:pPr>
        <w:pStyle w:val="P32"/>
      </w:pPr>
      <w:bookmarkStart w:id="136" w:name="_Toc89446026"/>
      <w:r>
        <w:t xml:space="preserve">Planområdet omfattar inte jordbruksmark, skogsmark, stora oexploaterade områden eller ekologiskt särskilt känsliga områden enligt den definition som finns i 3 kap. miljöbalken. </w:t>
      </w:r>
    </w:p>
    <w:p>
      <w:pPr>
        <w:pStyle w:val="P32"/>
      </w:pPr>
    </w:p>
    <w:p>
      <w:pPr>
        <w:pStyle w:val="P37"/>
        <w:rPr>
          <w:rStyle w:val="C31"/>
          <w:i w:val="1"/>
          <w:noProof w:val="0"/>
        </w:rPr>
      </w:pPr>
      <w:bookmarkEnd w:id="136"/>
      <w:r>
        <w:rPr>
          <w:rStyle w:val="C31"/>
          <w:i w:val="1"/>
          <w:noProof w:val="0"/>
        </w:rPr>
        <w:t>Förutsättningar</w:t>
      </w:r>
    </w:p>
    <w:p>
      <w:pPr>
        <w:pStyle w:val="P37"/>
      </w:pPr>
      <w:r>
        <w:rPr>
          <w:rStyle w:val="C31"/>
          <w:noProof w:val="0"/>
        </w:rPr>
        <w:t xml:space="preserve">Planområdet är redan i ianspråktagen och har nyttjats för industriverksamhet men i dagsläget bedrivs ingen verksamhet inom fastigheten. </w:t>
      </w:r>
      <w:r>
        <w:t xml:space="preserve"> </w:t>
      </w:r>
    </w:p>
    <w:p>
      <w:pPr>
        <w:pStyle w:val="P42"/>
      </w:pPr>
      <w:bookmarkEnd w:id="135"/>
      <w:bookmarkStart w:id="137" w:name="ko_hushållningsbestämmelserenl3kap_mb01"/>
    </w:p>
    <w:p>
      <w:pPr>
        <w:pStyle w:val="P42"/>
      </w:pPr>
      <w:r>
        <w:t>Konsekvenser</w:t>
      </w:r>
    </w:p>
    <w:p>
      <w:pPr>
        <w:pStyle w:val="P42"/>
      </w:pPr>
      <w:r>
        <w:t>Genom att nyttja redan exploaterad mark påverkas inte jordbruk-, skog- och naturmark negativ.</w:t>
      </w:r>
    </w:p>
    <w:p>
      <w:pPr>
        <w:pStyle w:val="P37"/>
      </w:pPr>
      <w:bookmarkEnd w:id="137"/>
      <w:bookmarkStart w:id="138" w:name="pf_ekologisktsärskiltkänsligaområden01"/>
    </w:p>
    <w:p>
      <w:pPr>
        <w:pStyle w:val="P35"/>
        <w:rPr>
          <w:noProof w:val="0"/>
        </w:rPr>
      </w:pPr>
      <w:bookmarkEnd w:id="138"/>
      <w:bookmarkStart w:id="139" w:name="_Toc89446030"/>
      <w:bookmarkStart w:id="140" w:name="_Toc207616137"/>
      <w:bookmarkStart w:id="141" w:name="pf_miljökvalitetsnormer01"/>
      <w:r>
        <w:rPr>
          <w:noProof w:val="0"/>
        </w:rPr>
        <w:t>M</w:t>
      </w:r>
      <w:bookmarkEnd w:id="139"/>
      <w:r>
        <w:rPr>
          <w:noProof w:val="0"/>
        </w:rPr>
        <w:t>iljökvalitetsnormer</w:t>
      </w:r>
      <w:bookmarkEnd w:id="140"/>
    </w:p>
    <w:p>
      <w:pPr>
        <w:pStyle w:val="P36"/>
        <w:rPr>
          <w:noProof w:val="0"/>
        </w:rPr>
      </w:pPr>
      <w:bookmarkStart w:id="142" w:name="_Toc89446031"/>
      <w:bookmarkStart w:id="143" w:name="_Toc207616138"/>
      <w:r>
        <w:rPr>
          <w:noProof w:val="0"/>
        </w:rPr>
        <w:t>L</w:t>
      </w:r>
      <w:bookmarkEnd w:id="142"/>
      <w:r>
        <w:rPr>
          <w:noProof w:val="0"/>
        </w:rPr>
        <w:t>uft</w:t>
      </w:r>
      <w:bookmarkEnd w:id="143"/>
    </w:p>
    <w:p>
      <w:pPr>
        <w:pStyle w:val="P42"/>
      </w:pPr>
      <w:r>
        <w:t>Förutsättningar</w:t>
      </w:r>
    </w:p>
    <w:p>
      <w:pPr>
        <w:pStyle w:val="P32"/>
      </w:pPr>
      <w:r>
        <w:t xml:space="preserve">Skånes luftvårdsförbund genomför en samordnad kontroll av luftkvaliteten i Skånes samtliga kommuner. Det säkerställer att kommunerna uppfyller de krav som finns gällande kontroll av utomhusluft enligt miljöbalken. Resultaten av mätningar och beräkningar sammanställs årligen i en rapport. I den senast tillgängliga årsrapporten (2023) framgår att resultatet av mätningar och modellberäkningar inom Svalövs kommun visar att halter för samtliga parametrar ligger långt under miljökvalitetsnormerna för luft. </w:t>
      </w:r>
    </w:p>
    <w:p>
      <w:pPr>
        <w:pStyle w:val="P37"/>
      </w:pPr>
      <w:bookmarkEnd w:id="141"/>
    </w:p>
    <w:p>
      <w:pPr>
        <w:pStyle w:val="P42"/>
      </w:pPr>
    </w:p>
    <w:p>
      <w:pPr>
        <w:pStyle w:val="P42"/>
      </w:pPr>
    </w:p>
    <w:p>
      <w:pPr>
        <w:pStyle w:val="P42"/>
      </w:pPr>
      <w:bookmarkStart w:id="144" w:name="ko_miljökvalitetsnormer01"/>
      <w:r>
        <w:t>Konsekvenser</w:t>
      </w:r>
    </w:p>
    <w:p>
      <w:pPr>
        <w:pStyle w:val="P32"/>
      </w:pPr>
      <w:r>
        <w:t xml:space="preserve">Ett genomförande av detaljplanen bedöms inte medföra en ökad motortrafik eller annan typ av förbränning av sådan omfattning att miljökvalitetsnormerna för luft riskerar att överskridas. </w:t>
      </w:r>
    </w:p>
    <w:p>
      <w:pPr>
        <w:pStyle w:val="P37"/>
      </w:pPr>
      <w:bookmarkEnd w:id="144"/>
      <w:bookmarkStart w:id="145" w:name="pf_miljökvalitetsnormer02"/>
    </w:p>
    <w:p>
      <w:pPr>
        <w:pStyle w:val="P36"/>
        <w:rPr>
          <w:noProof w:val="0"/>
        </w:rPr>
      </w:pPr>
      <w:bookmarkStart w:id="146" w:name="_Toc89446032"/>
      <w:bookmarkStart w:id="147" w:name="_Toc207616139"/>
      <w:r>
        <w:rPr>
          <w:noProof w:val="0"/>
        </w:rPr>
        <w:t>V</w:t>
      </w:r>
      <w:bookmarkEnd w:id="146"/>
      <w:r>
        <w:rPr>
          <w:noProof w:val="0"/>
        </w:rPr>
        <w:t>atten</w:t>
      </w:r>
      <w:bookmarkEnd w:id="147"/>
    </w:p>
    <w:p>
      <w:pPr>
        <w:pStyle w:val="P37"/>
        <w:rPr>
          <w:rStyle w:val="C31"/>
          <w:i w:val="1"/>
          <w:noProof w:val="0"/>
        </w:rPr>
      </w:pPr>
    </w:p>
    <w:p>
      <w:pPr>
        <w:pStyle w:val="P32"/>
        <w:rPr>
          <w:rStyle w:val="C31"/>
        </w:rPr>
      </w:pPr>
      <w:r>
        <w:rPr>
          <w:rStyle w:val="C31"/>
          <w:i w:val="1"/>
          <w:iCs w:val="1"/>
          <w:noProof w:val="0"/>
        </w:rPr>
        <w:t>Förutsättningar</w:t>
      </w:r>
      <w:r>
        <w:rPr>
          <w:rStyle w:val="C31"/>
          <w:noProof w:val="0"/>
        </w:rPr>
        <w:br w:type="textWrapping"/>
      </w:r>
      <w:r>
        <w:rPr>
          <w:rStyle w:val="C31"/>
        </w:rPr>
        <w:t>Recipienten som påverkas av planområdet är Saxån (SE 619 821-133086), vars ekologiska status bedöms som otillfredsställande och kemiska status som ej god enligt Vatteninformationssystem Sverige (VISS). Den ekologiska statusen är bristfällig på grund av förhöjda halter av näringsämnen, särskilt fosfor, samt en låg förekomst av fisk. Den kemiska statusen når inte god nivå på grund av höga halter av bromerade difenyletrar (PBDE), ett ämne vars gränsvärden överskrids i samtliga undersökta ytvattenförekomster i Sverige, inklusive sjöar, vattendrag och kustvatten. Dagvattenanslutning finns mot gatan i fastighetens sydöstra del.</w:t>
      </w:r>
    </w:p>
    <w:p>
      <w:pPr>
        <w:pStyle w:val="P32"/>
      </w:pPr>
      <w:bookmarkEnd w:id="145"/>
      <w:bookmarkStart w:id="148" w:name="ko_miljökvalitetsnormer02"/>
    </w:p>
    <w:p>
      <w:pPr>
        <w:pStyle w:val="P42"/>
      </w:pPr>
      <w:r>
        <w:t>Konsekvenser</w:t>
      </w:r>
    </w:p>
    <w:p>
      <w:pPr>
        <w:pStyle w:val="P32"/>
      </w:pPr>
      <w:r>
        <w:t>Planförslaget innebär endast marginella förändringar av den befintliga andelen hårdgjord yta inom området och bedöms därmed inte påverka dagvattenhanteringen i någon större utsträckning. Sammantaget bedöms miljökvalitetsnormerna för vatten inte riskera att påverkas negativt av planförslagets genomförande.</w:t>
      </w:r>
    </w:p>
    <w:p>
      <w:pPr>
        <w:pStyle w:val="P37"/>
      </w:pPr>
      <w:bookmarkEnd w:id="148"/>
    </w:p>
    <w:p>
      <w:pPr>
        <w:pStyle w:val="P37"/>
      </w:pPr>
      <w:bookmarkStart w:id="149" w:name="pu_särskiltbeslutombetydandemiljöpåver02"/>
    </w:p>
    <w:p>
      <w:pPr>
        <w:pStyle w:val="P35"/>
      </w:pPr>
      <w:bookmarkStart w:id="150" w:name="_Toc207616140"/>
      <w:r>
        <w:t>Betydande miljöpåverkan</w:t>
      </w:r>
      <w:bookmarkEnd w:id="150"/>
    </w:p>
    <w:p>
      <w:pPr>
        <w:pStyle w:val="P32"/>
      </w:pPr>
    </w:p>
    <w:p>
      <w:pPr>
        <w:spacing w:before="60" w:after="60" w:beforeAutospacing="0" w:afterAutospacing="0"/>
        <w:rPr>
          <w:sz w:val="21"/>
          <w:szCs w:val="21"/>
        </w:rPr>
      </w:pPr>
      <w:r>
        <w:rPr>
          <w:sz w:val="21"/>
          <w:szCs w:val="21"/>
        </w:rPr>
        <w:t xml:space="preserve">I undersökningen om betydande miljöpåverkan bedöms detaljplanen ha en liten eller ingen påverkar på nästan samtliga kriterier, och planen ger en positiv påverkan på kriterium som exempelvis hushållning av mark. I de flesta fall får detaljplanen en liten positiv påverkan på kriterierna, som exempelvis klimatpåverkan. Planområdet har en begränsad area på cirka 5 900 kvm och detaljplanen möjliggör en markanvändning som inte påverkar kringliggande verksamheter i större utsträckning. Planen möjliggör i sin tur heller inte någon känslig markanvändning som bostäder, skola eller vård. Därav bedömer inte planen begränsa kringliggande verksamheters möjlighet till utbyggnation inom gällande stadsplan 1064. </w:t>
      </w:r>
    </w:p>
    <w:p>
      <w:pPr>
        <w:spacing w:before="60" w:after="60" w:beforeAutospacing="0" w:afterAutospacing="0"/>
        <w:rPr>
          <w:sz w:val="21"/>
          <w:szCs w:val="21"/>
        </w:rPr>
      </w:pPr>
      <w:r>
        <w:rPr>
          <w:sz w:val="21"/>
          <w:szCs w:val="21"/>
        </w:rPr>
        <w:t>Det är ur klimat- och miljöhänsyn bättre att ianspråkta redan exploaterad mark för nya ändamål än att exploatera jordbruks-, skogs- eller naturmark. Detaljplanens genomförande bedöms inte medföra sådan betydande miljöpåverkan som åsyftas i 4 kap 34 § plan- och bygglagen eller i 6 kap. 11 § miljöbalken. En strategisk miljöbedömning har därför inte upprättats</w:t>
      </w:r>
      <w:r>
        <w:t xml:space="preserve">. </w:t>
      </w:r>
    </w:p>
    <w:p>
      <w:pPr>
        <w:pStyle w:val="P37"/>
      </w:pPr>
      <w:bookmarkEnd w:id="149"/>
      <w:bookmarkStart w:id="151" w:name="pf_hälsaochsäkerhet01"/>
    </w:p>
    <w:p>
      <w:pPr>
        <w:pStyle w:val="P35"/>
        <w:rPr>
          <w:noProof w:val="0"/>
        </w:rPr>
      </w:pPr>
      <w:bookmarkStart w:id="152" w:name="_Toc207616141"/>
      <w:r>
        <w:rPr>
          <w:noProof w:val="0"/>
        </w:rPr>
        <w:t>Hälsa och säkerhet</w:t>
      </w:r>
      <w:bookmarkEnd w:id="152"/>
      <w:r>
        <w:rPr>
          <w:noProof w:val="0"/>
        </w:rPr>
        <w:t xml:space="preserve"> </w:t>
      </w:r>
    </w:p>
    <w:p>
      <w:pPr>
        <w:pStyle w:val="P36"/>
        <w:rPr>
          <w:noProof w:val="0"/>
          <w:color w:val="auto"/>
        </w:rPr>
      </w:pPr>
      <w:bookmarkStart w:id="153" w:name="_Toc89446039"/>
      <w:bookmarkStart w:id="154" w:name="_Toc207616142"/>
      <w:r>
        <w:rPr>
          <w:noProof w:val="0"/>
          <w:color w:val="auto"/>
        </w:rPr>
        <w:t>O</w:t>
      </w:r>
      <w:bookmarkEnd w:id="153"/>
      <w:r>
        <w:rPr>
          <w:noProof w:val="0"/>
          <w:color w:val="auto"/>
        </w:rPr>
        <w:t>mgivningsbuller</w:t>
      </w:r>
      <w:bookmarkEnd w:id="154"/>
    </w:p>
    <w:p>
      <w:pPr>
        <w:pStyle w:val="P42"/>
      </w:pPr>
      <w:r>
        <w:t>Förutsättningar</w:t>
      </w:r>
    </w:p>
    <w:p>
      <w:pPr>
        <w:pStyle w:val="P32"/>
        <w:rPr>
          <w:i w:val="1"/>
        </w:rPr>
      </w:pPr>
      <w:r>
        <w:t xml:space="preserve">Återvinningscentralen och bilverkstaden som finns i anslutning till planområdet och genererar i vists månt buller. Återvinningscentralen klassas som en C-verksamhet, exempel på C-verksamheter är tvätterier, återvinning av avfall för anläggningsändamål, bilverkstad, billackeringar, med mera. C-verksamheter bedöms ha en begränsad omgivningspåverkan och kräver därför en anmälan och inte en tillståndsprövning. Vilken typ av verksamhet som klassas som A-, B- eller C-verksamhet framgår av miljöprövningsförordningen (SFS 2013:251). Enligt anmälan från 2008 är den främsta bullerkällan den transport som sker till och från återvinningscentralen från personbilar och lastbilar samt bearbetningsmaskiner såsom lastmaskiner och mobil kross för behandling av trädgårdsavfall.  </w:t>
      </w:r>
    </w:p>
    <w:p>
      <w:pPr>
        <w:pStyle w:val="P32"/>
      </w:pPr>
      <w:bookmarkEnd w:id="151"/>
    </w:p>
    <w:p>
      <w:pPr>
        <w:pStyle w:val="P42"/>
      </w:pPr>
      <w:bookmarkStart w:id="155" w:name="ko_beräkningavomgivningsbuller01"/>
      <w:r>
        <w:t>Konsekvenser</w:t>
      </w:r>
    </w:p>
    <w:p>
      <w:pPr>
        <w:pStyle w:val="P32"/>
      </w:pPr>
      <w:r>
        <w:t xml:space="preserve">Planområdet bedöms inte vara utsatt för bullernivåer som påverkar de verksamheter som planen möjliggör, då markanvändningen inte är bullerkänslig. Eftersom det inte finns någon bullerkänslig verksamhet i nära anslutning, bedöms den framtida markanvändningen heller inte medföra någon negativ bullerpåverkan på omgivningen. </w:t>
      </w:r>
    </w:p>
    <w:p>
      <w:pPr>
        <w:pStyle w:val="P32"/>
      </w:pPr>
    </w:p>
    <w:p>
      <w:pPr>
        <w:pStyle w:val="P32"/>
      </w:pPr>
      <w:r>
        <w:t>Detaljplanen har preciserats med C</w:t>
      </w:r>
      <w:r>
        <w:rPr>
          <w:vertAlign w:val="subscript"/>
        </w:rPr>
        <w:t xml:space="preserve">1 </w:t>
      </w:r>
      <w:r>
        <w:t>– träningslokal, så att mer bullerkänsliga markanvändningar med bestämmelsen C, exempelvis hotell, mindre vårdrelaterade verksamheter inte möjliggörs. Återvinningscentralens framtida utbyggnad bedöms inte begränsas av etableringen av en träningslokal, då träningslokalen inte är känslig för buller. Även om tung trafik till och från återvinningscentralen kan öka vid en expandering av återvinningscentralen, är trafiken i närområdet begränsad. Enligt Trafikverkets data har väg 106 en årsdygnstrafik (ÅDT år 2021) på 2 499 fordon. Denna siffra inkluderar all trafik som passerar till och från Svalövs tätort i både nordlig och sydlig riktning, samt fordon som har återvinningscentralen eller andra destinationer vid Harjagersvägen som mål.</w:t>
      </w:r>
    </w:p>
    <w:p>
      <w:pPr>
        <w:pStyle w:val="P44"/>
        <w:ind w:left="403"/>
        <w:rPr>
          <w:rFonts w:ascii="Arial" w:hAnsi="Arial" w:cs="Arial"/>
          <w:sz w:val="21"/>
          <w:szCs w:val="21"/>
        </w:rPr>
      </w:pPr>
      <w:r>
        <w:rPr>
          <w:rFonts w:ascii="Arial" w:hAnsi="Arial" w:cs="Arial"/>
          <w:sz w:val="21"/>
          <w:szCs w:val="21"/>
        </w:rPr>
        <w:t>Trafikmängden är låg i ett regionalt perspektiv, särskilt jämfört med större städer där liknande vägar ofta har en ÅDT som överstiger 10 000 fordon per dygn. Med tanke på detta bedöms risken för framtida höga bullernivåer låg.</w:t>
      </w:r>
    </w:p>
    <w:p>
      <w:pPr>
        <w:pStyle w:val="P36"/>
        <w:rPr>
          <w:noProof w:val="0"/>
          <w:color w:val="auto"/>
        </w:rPr>
      </w:pPr>
      <w:bookmarkEnd w:id="155"/>
      <w:bookmarkStart w:id="156" w:name="_Toc207616143"/>
      <w:r>
        <w:rPr>
          <w:noProof w:val="0"/>
          <w:color w:val="auto"/>
        </w:rPr>
        <w:t>Risk för olyckor</w:t>
      </w:r>
      <w:bookmarkEnd w:id="156"/>
      <w:r>
        <w:rPr>
          <w:noProof w:val="0"/>
          <w:color w:val="auto"/>
        </w:rPr>
        <w:t xml:space="preserve"> </w:t>
      </w:r>
      <w:bookmarkStart w:id="157" w:name="pf_riskförolyckor01"/>
    </w:p>
    <w:p>
      <w:pPr>
        <w:pStyle w:val="P42"/>
      </w:pPr>
    </w:p>
    <w:p>
      <w:pPr>
        <w:pStyle w:val="P42"/>
      </w:pPr>
      <w:r>
        <w:t>Förutsättningar</w:t>
      </w:r>
    </w:p>
    <w:p>
      <w:pPr>
        <w:pStyle w:val="P32"/>
      </w:pPr>
    </w:p>
    <w:p>
      <w:pPr>
        <w:pStyle w:val="P32"/>
      </w:pPr>
      <w:r>
        <w:t>Väg 106 (Harjagersvägen)</w:t>
      </w:r>
    </w:p>
    <w:p>
      <w:pPr>
        <w:pStyle w:val="P32"/>
      </w:pPr>
      <w:r>
        <w:t>Väg 106 är utpekat för transport av farligt gods. Enligt Svalövs översiktsplan ska "Riktsam" användas för att bedöma risker kopplade till transporter av farligt gods i detaljplaneprocessen. "Riktsam" är utformad för vägar med två körfält, hastigheter på 90–110 km/h, en årsdygnstrafik (ÅDT) på minst 15 000 fordon och cirka 50 transporter av farligt gods per dygn. Väg 106 har en ÅDT på 2 499 fordon (2021) och en hastighetsbegränsning på 70 km/h. Vägen fungerar som primär transportled för farligt gods endast fram till rondellen i Svalöv; därefter upphör denna funktion, vilket innebär att genomfartstrafik med farligt gods inte förekommer. Transporter av farligt gods sker endast till verksamheter längs väg 106 fram till Svalövs rondellen.</w:t>
      </w:r>
    </w:p>
    <w:p>
      <w:pPr>
        <w:pStyle w:val="P32"/>
      </w:pPr>
    </w:p>
    <w:p>
      <w:pPr>
        <w:pStyle w:val="P32"/>
      </w:pPr>
      <w:r>
        <w:t>Söderåsbanan</w:t>
      </w:r>
    </w:p>
    <w:p>
      <w:pPr>
        <w:pStyle w:val="P32"/>
        <w:rPr>
          <w:rFonts w:eastAsia="Times New Roman"/>
        </w:rPr>
      </w:pPr>
      <w:r>
        <w:t xml:space="preserve">Södersåsbanan befinner sig cirka 75 meter ifrån planområdet, där det transporteras godståg med farligt gods. Trafikverkets riktlinjer anger att bebyggelse inte bör uppföras inom ett avstånd på 30 meter från järnväg. </w:t>
      </w:r>
      <w:r>
        <w:rPr>
          <w:rFonts w:eastAsia="Times New Roman"/>
        </w:rPr>
        <w:t>I RIKTSAMT (Riktlinjer för riskhänsyn i samhällsplaneringen) redovisas vilka typer av markanvändningar som kan anses lämpliga inom olika avstånd till en järnväg som används för transport av farligt gods. Se tabell nedan.</w:t>
      </w:r>
    </w:p>
    <w:p>
      <w:pPr>
        <w:pStyle w:val="P32"/>
      </w:pPr>
      <w:r>
        <w:drawing>
          <wp:inline xmlns:wp="http://schemas.openxmlformats.org/drawingml/2006/wordprocessingDrawing" distT="0" distB="0" distL="0" distR="0">
            <wp:extent cx="4333875" cy="3810000"/>
            <wp:effectExtent l="0" t="0" r="9525" b="0"/>
            <wp:docPr id="15" name="Bildobjek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85"/>
                    <pic:cNvPicPr/>
                  </pic:nvPicPr>
                  <pic:blipFill dpi="0">
                    <a:blip xmlns:r="http://schemas.openxmlformats.org/officeDocument/2006/relationships" r:embed="Relimage6"/>
                    <a:srcRect/>
                    <a:stretch>
                      <a:fillRect/>
                    </a:stretch>
                  </pic:blipFill>
                  <pic:spPr>
                    <a:xfrm>
                      <a:off x="0" y="0"/>
                      <a:ext cx="4333875" cy="3810000"/>
                    </a:xfrm>
                    <a:prstGeom prst="rect"/>
                  </pic:spPr>
                </pic:pic>
              </a:graphicData>
            </a:graphic>
          </wp:inline>
        </w:drawing>
      </w:r>
    </w:p>
    <w:p>
      <w:pPr>
        <w:pStyle w:val="P32"/>
      </w:pPr>
    </w:p>
    <w:p>
      <w:pPr>
        <w:pStyle w:val="P32"/>
      </w:pPr>
      <w:r>
        <w:t>Svalövs Återvinningscentral</w:t>
      </w:r>
    </w:p>
    <w:p>
      <w:pPr>
        <w:pStyle w:val="P32"/>
        <w:rPr>
          <w:b w:val="1"/>
          <w:bCs w:val="1"/>
        </w:rPr>
      </w:pPr>
      <w:r>
        <w:t xml:space="preserve">Svalövs återvinningscentral ligger i nära anslutning till planområdet och drivs av LSR Landskrona - Svalövs Renhållnings AB. Enligt miljöanmälan som godkändes av Samhällsbyggnadsnämnden i Svalöv år 2003 §35 får LSR bedriva mellanlagring av avfall. </w:t>
      </w:r>
      <w:r>
        <w:rPr>
          <w:rFonts w:eastAsia="Times New Roman"/>
        </w:rPr>
        <w:t>År 2008 godkändes en utökning som tillåter lagring av upp till 4 920 ton icke farligt avfall och 332,5 ton farligt avfall om året. Verksamheten är klassad som C-verksamhet enligt miljöprövningsförordningen, vilket är den lägsta graden av miljöfarlig verksamhet (A, B, C) och som bedöms ha den lägsta miljö- och omgivningspåverkan.</w:t>
      </w:r>
    </w:p>
    <w:p>
      <w:pPr>
        <w:spacing w:before="100" w:after="100" w:beforeAutospacing="1" w:afterAutospacing="1"/>
        <w:ind w:left="403"/>
        <w:rPr>
          <w:rFonts w:eastAsia="Times New Roman"/>
          <w:sz w:val="21"/>
          <w:szCs w:val="21"/>
        </w:rPr>
      </w:pPr>
      <w:r>
        <w:rPr>
          <w:rFonts w:eastAsia="Times New Roman"/>
          <w:sz w:val="21"/>
          <w:szCs w:val="21"/>
        </w:rPr>
        <w:t>För icke farligt avfall krävs tillstånd (B-verksamhet) om den totala mängden överstiger 10 000 ton. LSR har utrymme att utöka verksamheten inom ramen för en fortsatt C-klassificering, förutsatt att volymerna hålls under gränsvärdena och att anmälan sker till Söderåsens miljöförbund. För farligt avfall gäller att mellanlagring över 10 ton, eller om bearbetning sker, kan medföra krav på tillståndsprövning enligt B klassen.</w:t>
      </w:r>
    </w:p>
    <w:p>
      <w:pPr>
        <w:pStyle w:val="P32"/>
      </w:pPr>
      <w:r>
        <w:t>Farligt avfall - tabell över avfall från anmälan år 2008</w:t>
      </w:r>
    </w:p>
    <w:p>
      <w:pPr>
        <w:pStyle w:val="P32"/>
      </w:pPr>
    </w:p>
    <w:p>
      <w:pPr>
        <w:pStyle w:val="P32"/>
      </w:pPr>
    </w:p>
    <w:p>
      <w:pPr>
        <w:pStyle w:val="P32"/>
      </w:pPr>
      <w:r>
        <w:drawing>
          <wp:inline xmlns:wp="http://schemas.openxmlformats.org/drawingml/2006/wordprocessingDrawing" distT="0" distB="0" distL="0" distR="0">
            <wp:extent cx="5212080" cy="3329940"/>
            <wp:effectExtent l="0" t="0" r="7620" b="3810"/>
            <wp:docPr id="13" name="Bildobjek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86"/>
                    <pic:cNvPicPr/>
                  </pic:nvPicPr>
                  <pic:blipFill dpi="0">
                    <a:blip xmlns:r="http://schemas.openxmlformats.org/officeDocument/2006/relationships" r:embed="Relimage7"/>
                    <a:srcRect/>
                    <a:stretch>
                      <a:fillRect/>
                    </a:stretch>
                  </pic:blipFill>
                  <pic:spPr>
                    <a:xfrm>
                      <a:off x="0" y="0"/>
                      <a:ext cx="5212080" cy="3330514"/>
                    </a:xfrm>
                    <a:prstGeom prst="rect"/>
                  </pic:spPr>
                </pic:pic>
              </a:graphicData>
            </a:graphic>
          </wp:inline>
        </w:drawing>
      </w:r>
    </w:p>
    <w:p>
      <w:pPr>
        <w:pStyle w:val="P32"/>
      </w:pPr>
    </w:p>
    <w:p>
      <w:pPr>
        <w:pStyle w:val="P32"/>
      </w:pPr>
    </w:p>
    <w:p>
      <w:pPr>
        <w:pStyle w:val="P32"/>
      </w:pPr>
      <w:r>
        <w:t>Övriga avfall - tabell över avfall från anmälan år 2008</w:t>
      </w:r>
    </w:p>
    <w:p>
      <w:pPr>
        <w:pStyle w:val="P32"/>
      </w:pPr>
    </w:p>
    <w:p>
      <w:pPr>
        <w:pStyle w:val="P32"/>
      </w:pPr>
      <w:r>
        <w:drawing>
          <wp:inline xmlns:wp="http://schemas.openxmlformats.org/drawingml/2006/wordprocessingDrawing" distT="0" distB="0" distL="0" distR="0">
            <wp:extent cx="5760720" cy="3173095"/>
            <wp:effectExtent l="0" t="0" r="0" b="8255"/>
            <wp:docPr id="24" name="Bildobjekt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87"/>
                    <pic:cNvPicPr/>
                  </pic:nvPicPr>
                  <pic:blipFill dpi="0">
                    <a:blip xmlns:r="http://schemas.openxmlformats.org/officeDocument/2006/relationships" r:embed="Relimage8"/>
                    <a:srcRect/>
                    <a:stretch>
                      <a:fillRect/>
                    </a:stretch>
                  </pic:blipFill>
                  <pic:spPr>
                    <a:xfrm>
                      <a:off x="0" y="0"/>
                      <a:ext cx="5760720" cy="3173095"/>
                    </a:xfrm>
                    <a:prstGeom prst="rect"/>
                  </pic:spPr>
                </pic:pic>
              </a:graphicData>
            </a:graphic>
          </wp:inline>
        </w:drawing>
      </w:r>
    </w:p>
    <w:p>
      <w:pPr>
        <w:pStyle w:val="P33"/>
        <w:rPr>
          <w:rFonts w:ascii="Arial" w:hAnsi="Arial"/>
          <w:sz w:val="21"/>
        </w:rPr>
      </w:pPr>
    </w:p>
    <w:p>
      <w:pPr>
        <w:pStyle w:val="P33"/>
        <w:rPr>
          <w:rFonts w:ascii="Arial" w:hAnsi="Arial"/>
          <w:sz w:val="21"/>
        </w:rPr>
      </w:pPr>
      <w:r>
        <w:rPr>
          <w:rFonts w:ascii="Arial" w:hAnsi="Arial"/>
          <w:sz w:val="21"/>
        </w:rPr>
        <w:t>Tranformatorstation - elektromagnetiska fält</w:t>
      </w:r>
    </w:p>
    <w:p>
      <w:pPr>
        <w:pStyle w:val="P33"/>
        <w:rPr>
          <w:rFonts w:ascii="Arial" w:hAnsi="Arial"/>
          <w:sz w:val="21"/>
        </w:rPr>
      </w:pPr>
      <w:r>
        <w:rPr>
          <w:rStyle w:val="C38"/>
          <w:rFonts w:ascii="Arial" w:hAnsi="Arial"/>
          <w:sz w:val="21"/>
        </w:rPr>
        <w:t xml:space="preserve">Det finns ingen transformatorstation inom planområdet idag men en transformatorstations möjliggörs med planbestämmelsen E – teknisk anläggning. Inom området idag finns en mast med tillhörande komplementbyggnad. Strålsäkerhetsmyndigheten har fastställt ett referensvärde för magnetfält på </w:t>
      </w:r>
      <w:r>
        <w:rPr>
          <w:rStyle w:val="C35"/>
          <w:rFonts w:ascii="Arial" w:hAnsi="Arial"/>
          <w:b w:val="0"/>
          <w:bCs w:val="0"/>
          <w:sz w:val="21"/>
        </w:rPr>
        <w:t>100 mikrotesla (µT)</w:t>
      </w:r>
      <w:r>
        <w:rPr>
          <w:rStyle w:val="C38"/>
          <w:rFonts w:ascii="Arial" w:hAnsi="Arial"/>
          <w:sz w:val="21"/>
        </w:rPr>
        <w:t xml:space="preserve"> för allmänheten, vilket är avsett att skydda mot alla säkerställda hälsorisker.</w:t>
      </w:r>
      <w:r>
        <w:rPr>
          <w:rFonts w:ascii="Arial" w:hAnsi="Arial"/>
          <w:sz w:val="21"/>
        </w:rPr>
        <w:t xml:space="preserve"> </w:t>
      </w:r>
      <w:r>
        <w:rPr>
          <w:rStyle w:val="C38"/>
          <w:rFonts w:ascii="Arial" w:hAnsi="Arial"/>
          <w:sz w:val="21"/>
        </w:rPr>
        <w:t>Vid samhällsplanering rekommenderas dock att exponeringen för magnetfält hålls så låg som möjligt, särskilt i närheten av bostäder, skolor och förskolor.</w:t>
      </w:r>
      <w:r>
        <w:rPr>
          <w:rFonts w:ascii="Arial" w:hAnsi="Arial"/>
          <w:sz w:val="21"/>
        </w:rPr>
        <w:t xml:space="preserve"> Enligt Strålsäkerhetsmyndigheten och elbranschen bör ett skyddsavstånd på minst 2–5 meter hållas runt mindre nätstationer för att minska exponering för elektromagnetiska fält och möjliggöra underhåll och evakuering.</w:t>
      </w:r>
    </w:p>
    <w:p>
      <w:pPr>
        <w:pStyle w:val="P42"/>
      </w:pPr>
    </w:p>
    <w:p>
      <w:pPr>
        <w:pStyle w:val="P42"/>
      </w:pPr>
      <w:bookmarkStart w:id="158" w:name="pf_omgivningsbuller01"/>
      <w:r>
        <w:t xml:space="preserve">Konsekvenser </w:t>
      </w:r>
    </w:p>
    <w:p>
      <w:pPr>
        <w:pStyle w:val="P32"/>
      </w:pPr>
    </w:p>
    <w:p>
      <w:pPr>
        <w:pStyle w:val="P32"/>
      </w:pPr>
      <w:r>
        <w:t xml:space="preserve">Farligt gods via Väg 106 (Harjagersvägen) </w:t>
      </w:r>
    </w:p>
    <w:p>
      <w:pPr>
        <w:pStyle w:val="P32"/>
        <w:rPr>
          <w:rFonts w:eastAsia="Times New Roman"/>
        </w:rPr>
      </w:pPr>
      <w:r>
        <w:t>Risken för olycka vid genomförandet av detaljplanen för ett gym i Felestad anses inte öka på grund av flera faktorer relaterade till väg 106:s trafikförhållanden och roll som transportled för farligt gods. Väg 106 har en betydligt lägre trafikbelastning med en årsdygnstrafik (ÅDT) på endast 2 499 fordon år 2021, vilket är långt under gränsvärdena i Riktsam, där ÅDT för bedömning av högriskvägar är minst 15 000 fordon. Dessutom är hastighetsbegränsningen på väg 106 70 km/h, vilket också avviker från Rikstams förutsättning om vägar med hastigheter på 90–110 km/h.</w:t>
      </w:r>
    </w:p>
    <w:p>
      <w:pPr>
        <w:pStyle w:val="P32"/>
      </w:pPr>
    </w:p>
    <w:p>
      <w:pPr>
        <w:pStyle w:val="P32"/>
      </w:pPr>
      <w:r>
        <w:t>Vidare fungerar väg 106 som primär transportled för farligt gods endast fram till rondellen i Svalöv, efter vilken den inte längre används för genomfartstransporter av farligt gods. Transporterna är begränsade till enstaka verksamheter längs denna vägsträcka fram till rondellen, vilket ytterligare reducerar risken för olyckor kopplade till farligt gods.</w:t>
      </w:r>
    </w:p>
    <w:p>
      <w:pPr>
        <w:pStyle w:val="P32"/>
      </w:pPr>
    </w:p>
    <w:p>
      <w:pPr>
        <w:pStyle w:val="P32"/>
      </w:pPr>
      <w:r>
        <w:t xml:space="preserve">Sammanfattningsvis innebär dessa faktorer att den faktiska exponeringen för farligt gods är mycket låg, och det föreligger inga förhöjda risknivåer som skulle motivera en mer omfattande riskutredning. </w:t>
      </w:r>
    </w:p>
    <w:p>
      <w:pPr>
        <w:pStyle w:val="P33"/>
        <w:rPr>
          <w:rFonts w:ascii="Arial" w:hAnsi="Arial"/>
          <w:sz w:val="21"/>
        </w:rPr>
      </w:pPr>
    </w:p>
    <w:p>
      <w:pPr>
        <w:pStyle w:val="P33"/>
        <w:rPr>
          <w:rFonts w:ascii="Arial" w:hAnsi="Arial"/>
          <w:sz w:val="21"/>
        </w:rPr>
      </w:pPr>
      <w:r>
        <w:rPr>
          <w:rFonts w:ascii="Arial" w:hAnsi="Arial"/>
          <w:sz w:val="21"/>
        </w:rPr>
        <w:t>Farligt gods via Söderåsbanan</w:t>
        <w:br w:type="textWrapping"/>
        <w:t>i</w:t>
      </w:r>
      <w:r>
        <w:rPr>
          <w:rFonts w:ascii="Arial" w:hAnsi="Arial" w:eastAsia="Times New Roman"/>
          <w:sz w:val="21"/>
        </w:rPr>
        <w:t>nom ett avstånd på 70–150 meter från järnvägen bedöms det vara möjligt att tillåta exempelvis centrumverksamheter eller bostäder i form av småhus som markanvändning enligt RIKTSAM. Det betraktas som ett avstånd där de flesta typer av markanvändning kan tillåtas utan behov av särskilda åtgärder eller riskanalyser. Undantag gäller för markanvändning som innebär vistelse av många eller särskilt utsatta personer. Individrisknivån sjunker påtagligt fram till cirka 65 meter från järnvägen.</w:t>
      </w:r>
    </w:p>
    <w:p>
      <w:pPr>
        <w:spacing w:lineRule="auto" w:line="240" w:before="100" w:after="100" w:beforeAutospacing="1" w:afterAutospacing="1"/>
        <w:ind w:left="403"/>
        <w:rPr>
          <w:rFonts w:eastAsia="Times New Roman"/>
          <w:color w:val="auto"/>
          <w:sz w:val="21"/>
          <w:szCs w:val="21"/>
        </w:rPr>
      </w:pPr>
      <w:r>
        <w:rPr>
          <w:rFonts w:eastAsia="Times New Roman"/>
          <w:color w:val="auto"/>
          <w:sz w:val="21"/>
          <w:szCs w:val="21"/>
        </w:rPr>
        <w:t>Eftersom planområdet för Felestad 5:66 ligger 75 meter från järnvägsspårets mitt, och inte medger känslig markanvändning med stadigvarande vistelse – såsom flerbostadshus, vårdinrättningar eller förskola/skola – bedöms detaljplanen inte medföra någon oacceptabel risk för människors hälsa vid en eventuell tågolycka med farligt gods.</w:t>
      </w:r>
    </w:p>
    <w:p>
      <w:pPr>
        <w:pStyle w:val="P33"/>
        <w:rPr>
          <w:b w:val="1"/>
          <w:bCs w:val="1"/>
        </w:rPr>
      </w:pPr>
      <w:r>
        <w:rPr>
          <w:rFonts w:ascii="Arial" w:hAnsi="Arial"/>
          <w:sz w:val="21"/>
        </w:rPr>
        <w:t>Svalövs återvinningscentral</w:t>
      </w:r>
      <w:r>
        <w:rPr>
          <w:rFonts w:ascii="Arial" w:hAnsi="Arial"/>
          <w:b w:val="1"/>
          <w:bCs w:val="1"/>
          <w:sz w:val="21"/>
        </w:rPr>
        <w:br w:type="textWrapping"/>
      </w:r>
      <w:r>
        <w:rPr>
          <w:rFonts w:ascii="Arial" w:hAnsi="Arial"/>
          <w:sz w:val="21"/>
        </w:rPr>
        <w:t>Inom LSR:s anläggning hanteras vissa brandfarliga avfallsslag, såsom oljeavfall, spillolja, lösningsmedel samt färg- och lackavfall. Dessa omfattas av Lagen (2010:1011) om brandfarliga och explosiva varor (LBE) samt MSB:s föreskrifter om hantering av brandfarliga vätskor (MSBFS 2018:3).</w:t>
      </w:r>
    </w:p>
    <w:p>
      <w:pPr>
        <w:spacing w:lineRule="auto" w:line="240" w:before="100" w:after="100" w:beforeAutospacing="1" w:afterAutospacing="1"/>
        <w:ind w:left="403"/>
        <w:rPr>
          <w:rFonts w:eastAsia="Times New Roman"/>
          <w:color w:val="auto"/>
          <w:sz w:val="21"/>
          <w:szCs w:val="21"/>
        </w:rPr>
      </w:pPr>
      <w:r>
        <w:rPr>
          <w:rFonts w:eastAsia="Times New Roman"/>
          <w:color w:val="auto"/>
          <w:sz w:val="21"/>
          <w:szCs w:val="21"/>
        </w:rPr>
        <w:t xml:space="preserve">De tillåtna mängderna för mellanlagring är små, mellan 0,5 och 2 ton per avfallsslag, och lagras enligt anmälan från 2003 och 2008 i godkända behållare inom inhägnat område. Den planerade träningslokalen bedöms inte utgöra en känslig verksamhet, och ligger inte i direkt anslutning till avfallshanteringen. Mot denna bakgrund bedöms att hanteringen av farligt avfall inte medför någon förhöjd risk för träningsverksamheten eller omgivningen. </w:t>
      </w:r>
    </w:p>
    <w:p>
      <w:pPr>
        <w:spacing w:before="100" w:after="100" w:beforeAutospacing="1" w:afterAutospacing="1"/>
        <w:ind w:left="403"/>
        <w:rPr>
          <w:rFonts w:eastAsia="Times New Roman"/>
          <w:color w:val="auto"/>
          <w:sz w:val="21"/>
          <w:szCs w:val="21"/>
        </w:rPr>
      </w:pPr>
      <w:r>
        <w:rPr>
          <w:rFonts w:eastAsia="Times New Roman"/>
          <w:sz w:val="21"/>
          <w:szCs w:val="21"/>
        </w:rPr>
        <w:t>Vid miljöprövning tas hänsyn till omgivande markanvändning, särskilt vid lokalisering i anslutning till känslig bebyggelse så som bostäder, vård och skolor/förskolor. Detaljplanen har begränsats och preciserats till att enbart tillåta träningslokal och mindre industriverksamhet med planbestämmelsen Z. Andra markanvändningar som ryms inom C-bestämmelsen, så som hotell, handel, samlingslokaler med mera möjliggörs inte. Träningslokal bedöms inte utgöra en sådan känslig markanvändning.</w:t>
      </w:r>
      <w:r>
        <w:rPr>
          <w:rFonts w:eastAsia="Times New Roman"/>
          <w:color w:val="auto"/>
          <w:sz w:val="21"/>
          <w:szCs w:val="21"/>
        </w:rPr>
        <w:t xml:space="preserve"> </w:t>
      </w:r>
      <w:r>
        <w:rPr>
          <w:rFonts w:eastAsia="Times New Roman"/>
          <w:sz w:val="21"/>
          <w:szCs w:val="21"/>
        </w:rPr>
        <w:t xml:space="preserve">Plan- och exploateringsenheten bedömer att den planerade träningslokalen inte får konsekvenser för LSR:s nuvarande verksamhet eller möjligheten att i framtiden utöka denna. </w:t>
      </w:r>
    </w:p>
    <w:p>
      <w:pPr>
        <w:pStyle w:val="P33"/>
        <w:rPr>
          <w:rFonts w:ascii="Arial" w:hAnsi="Arial"/>
          <w:sz w:val="21"/>
        </w:rPr>
      </w:pPr>
      <w:r>
        <w:rPr>
          <w:rFonts w:ascii="Arial" w:hAnsi="Arial"/>
          <w:sz w:val="21"/>
        </w:rPr>
        <w:t>Tranformatorstation - elektromagnetiska fält</w:t>
      </w:r>
    </w:p>
    <w:p>
      <w:pPr>
        <w:pStyle w:val="P33"/>
        <w:rPr>
          <w:lang w:val="sv-SE" w:bidi="ar-SA" w:eastAsia="en-US"/>
        </w:rPr>
      </w:pPr>
      <w:r>
        <w:rPr>
          <w:rFonts w:ascii="Arial" w:hAnsi="Arial"/>
          <w:sz w:val="21"/>
        </w:rPr>
        <w:t xml:space="preserve">För att säkerställa att elektromagnetiska fält inte får en negativ påverkan på framtida besökare och personal inom användningsområdet för träningslokal och mindre industriverksamheter, ritas prickmark ut på 5 meter längs den tekniska anläggningen. </w:t>
      </w:r>
      <w:bookmarkEnd w:id="157"/>
      <w:bookmarkEnd w:id="158"/>
      <w:bookmarkStart w:id="159" w:name="_Toc89446041"/>
      <w:bookmarkStart w:id="160" w:name="_Toc207616144"/>
    </w:p>
    <w:p>
      <w:pPr>
        <w:pStyle w:val="P33"/>
        <w:rPr>
          <w:lang w:val="sv-SE" w:bidi="ar-SA" w:eastAsia="en-US"/>
        </w:rPr>
      </w:pPr>
    </w:p>
    <w:p>
      <w:pPr>
        <w:pStyle w:val="P36"/>
        <w:rPr>
          <w:noProof w:val="0"/>
        </w:rPr>
      </w:pPr>
      <w:bookmarkStart w:id="161" w:name="pf_riskföröversvämning01"/>
      <w:r>
        <w:rPr>
          <w:noProof w:val="0"/>
        </w:rPr>
        <w:t>R</w:t>
      </w:r>
      <w:bookmarkEnd w:id="159"/>
      <w:r>
        <w:rPr>
          <w:noProof w:val="0"/>
        </w:rPr>
        <w:t>isk för översvämning</w:t>
      </w:r>
      <w:bookmarkEnd w:id="160"/>
    </w:p>
    <w:p>
      <w:pPr>
        <w:pStyle w:val="P42"/>
      </w:pPr>
      <w:r>
        <w:t>Förutsättningar</w:t>
      </w:r>
    </w:p>
    <w:p>
      <w:pPr>
        <w:pStyle w:val="P32"/>
      </w:pPr>
      <w:r>
        <w:t xml:space="preserve">Inom planområdet finns lågpunkter i nära anslutning till befintlig byggnad, och i den sydöstra utkanten av planområdet. Dessa lågpunkter innebär en översvämningsrisk vid ett större skyfall och kan potentiellt leda till en översväming av befintlig byggnad. </w:t>
      </w:r>
    </w:p>
    <w:p>
      <w:pPr>
        <w:pStyle w:val="P32"/>
      </w:pPr>
    </w:p>
    <w:p>
      <w:pPr>
        <w:pStyle w:val="P32"/>
      </w:pPr>
      <w:r>
        <w:t>Följande illustration är från NSVA:S lågpunktskartering</w:t>
      </w:r>
    </w:p>
    <w:p>
      <w:pPr>
        <w:pStyle w:val="P37"/>
      </w:pPr>
    </w:p>
    <w:p>
      <w:pPr>
        <w:pStyle w:val="P37"/>
      </w:pPr>
      <w:r>
        <w:drawing>
          <wp:inline xmlns:wp="http://schemas.openxmlformats.org/drawingml/2006/wordprocessingDrawing" distT="0" distB="0" distL="0" distR="0">
            <wp:extent cx="3344545" cy="3525520"/>
            <wp:effectExtent l="0" t="0" r="8255" b="0"/>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xmlns:r="http://schemas.openxmlformats.org/officeDocument/2006/relationships" r:embed="Relimage9"/>
                    <a:srcRect/>
                    <a:stretch>
                      <a:fillRect/>
                    </a:stretch>
                  </pic:blipFill>
                  <pic:spPr bwMode="auto">
                    <a:xfrm>
                      <a:off x="0" y="0"/>
                      <a:ext cx="3346300" cy="3527941"/>
                    </a:xfrm>
                    <a:prstGeom prst="rect"/>
                    <a:noFill/>
                    <a:ln>
                      <a:noFill/>
                    </a:ln>
                  </pic:spPr>
                </pic:pic>
              </a:graphicData>
            </a:graphic>
          </wp:inline>
        </w:drawing>
      </w:r>
    </w:p>
    <w:p>
      <w:pPr>
        <w:pStyle w:val="P42"/>
      </w:pPr>
      <w:bookmarkEnd w:id="161"/>
      <w:bookmarkStart w:id="162" w:name="ko_översvämning01"/>
      <w:r>
        <w:t xml:space="preserve">Konsekvenser </w:t>
      </w:r>
    </w:p>
    <w:p>
      <w:pPr>
        <w:pStyle w:val="P32"/>
      </w:pPr>
      <w:r>
        <w:t>Planen bedöms inte öka risken för översvämning, eftersom den reglerar omfattningen och placeringen av genomsläppliga ytor. I den södra delen ska marken vara genomsläpplig, och i övriga delar ska minst 10 procent av ytan vara genomsläpplig, vilket motsvarar cirka 350 kvadratmeter. Marklov krävs för åtgärder som kan hämma markens genomsläpplighet, vilket säkerställer att ytorna kommer vara genomsläppliga.</w:t>
      </w:r>
    </w:p>
    <w:p>
      <w:pPr>
        <w:pStyle w:val="P32"/>
        <w:ind w:left="0"/>
      </w:pPr>
      <w:bookmarkEnd w:id="162"/>
    </w:p>
    <w:p>
      <w:pPr>
        <w:pStyle w:val="P32"/>
        <w:ind w:left="0"/>
      </w:pPr>
    </w:p>
    <w:p>
      <w:pPr>
        <w:pStyle w:val="P42"/>
      </w:pPr>
      <w:bookmarkStart w:id="163" w:name="pf_miljö01"/>
    </w:p>
    <w:p>
      <w:pPr>
        <w:pStyle w:val="P35"/>
        <w:rPr>
          <w:noProof w:val="0"/>
        </w:rPr>
      </w:pPr>
      <w:bookmarkStart w:id="164" w:name="_Toc207616145"/>
      <w:r>
        <w:rPr>
          <w:noProof w:val="0"/>
        </w:rPr>
        <w:t>Natur och miljö</w:t>
      </w:r>
      <w:bookmarkEnd w:id="164"/>
    </w:p>
    <w:p>
      <w:pPr>
        <w:pStyle w:val="P36"/>
        <w:rPr>
          <w:noProof w:val="0"/>
          <w:color w:val="auto"/>
        </w:rPr>
      </w:pPr>
      <w:bookmarkStart w:id="165" w:name="_Toc207616146"/>
      <w:r>
        <w:rPr>
          <w:noProof w:val="0"/>
          <w:color w:val="auto"/>
        </w:rPr>
        <w:t>Grönområden och rekreation</w:t>
      </w:r>
      <w:bookmarkEnd w:id="165"/>
      <w:r>
        <w:rPr>
          <w:noProof w:val="0"/>
          <w:color w:val="auto"/>
        </w:rPr>
        <w:t xml:space="preserve"> </w:t>
      </w:r>
    </w:p>
    <w:p>
      <w:pPr>
        <w:pStyle w:val="P42"/>
      </w:pPr>
    </w:p>
    <w:p>
      <w:pPr>
        <w:pStyle w:val="P42"/>
      </w:pPr>
      <w:r>
        <w:t>Förutsättningar</w:t>
      </w:r>
    </w:p>
    <w:p>
      <w:pPr>
        <w:pStyle w:val="P32"/>
      </w:pPr>
      <w:r>
        <w:t xml:space="preserve">Det finns inga naturområden i direkt anslutning till planområdet. Området används inte för rekreation, men det finns viss vegetation. Fastigheten är privatägd och inte tillgänglig för allmänheten. </w:t>
      </w:r>
    </w:p>
    <w:p>
      <w:pPr>
        <w:pStyle w:val="P32"/>
      </w:pPr>
      <w:bookmarkEnd w:id="163"/>
      <w:bookmarkStart w:id="166" w:name="ko_miljö01"/>
    </w:p>
    <w:p>
      <w:pPr>
        <w:pStyle w:val="P42"/>
      </w:pPr>
      <w:r>
        <w:t>Konsekvenser</w:t>
      </w:r>
    </w:p>
    <w:p>
      <w:pPr>
        <w:pStyle w:val="P32"/>
      </w:pPr>
      <w:bookmarkStart w:id="167" w:name="_Toc89446036"/>
      <w:r>
        <w:t>Detaljplanen påverkar inte kringliggande grönområden. Området som detaljplaneläggs för natur har inte en tillräckligt stor yta för att nyttjas som rekreation.</w:t>
      </w:r>
    </w:p>
    <w:p>
      <w:pPr>
        <w:pStyle w:val="P32"/>
      </w:pPr>
      <w:bookmarkEnd w:id="166"/>
      <w:bookmarkEnd w:id="167"/>
      <w:bookmarkStart w:id="168" w:name="pf_strandskydd01"/>
    </w:p>
    <w:p>
      <w:pPr>
        <w:pStyle w:val="P36"/>
        <w:rPr>
          <w:noProof w:val="0"/>
        </w:rPr>
      </w:pPr>
      <w:bookmarkEnd w:id="168"/>
      <w:bookmarkStart w:id="169" w:name="_Toc89446037"/>
      <w:bookmarkStart w:id="170" w:name="_Toc207616147"/>
      <w:bookmarkStart w:id="171" w:name="pf_dagvatten01"/>
      <w:r>
        <w:rPr>
          <w:noProof w:val="0"/>
        </w:rPr>
        <w:t>D</w:t>
      </w:r>
      <w:bookmarkEnd w:id="169"/>
      <w:r>
        <w:rPr>
          <w:noProof w:val="0"/>
        </w:rPr>
        <w:t>agvatten</w:t>
      </w:r>
      <w:bookmarkEnd w:id="170"/>
    </w:p>
    <w:p>
      <w:pPr>
        <w:pStyle w:val="P42"/>
      </w:pPr>
      <w:r>
        <w:t>Förutsättningar</w:t>
      </w:r>
    </w:p>
    <w:p>
      <w:pPr>
        <w:pStyle w:val="P32"/>
      </w:pPr>
      <w:r>
        <w:t xml:space="preserve">Dagvattenanslutning finns mot gatan i sydöstra delen av fastigheten. </w:t>
      </w:r>
    </w:p>
    <w:p>
      <w:pPr>
        <w:pStyle w:val="P37"/>
      </w:pPr>
    </w:p>
    <w:p>
      <w:pPr>
        <w:pStyle w:val="P32"/>
      </w:pPr>
      <w:r>
        <w:rPr>
          <w:rStyle w:val="C31"/>
          <w:noProof w:val="0"/>
        </w:rPr>
        <w:t xml:space="preserve">Svalövs kommuns dagvattenpolicy med tillhörande riktlinjer ska följas i plan- och bygglovsprocessen. Policyn redogör för att detaljplanen ska ta hänsyn till förhållande inom rådande planområde och redogöra för hur dagvatten ska kunna renas. Detaljplanen ska redogöra för hur vatten filtreras innan det når recipienten. </w:t>
      </w:r>
      <w:bookmarkEnd w:id="171"/>
      <w:r>
        <w:rPr>
          <w:rStyle w:val="C31"/>
          <w:noProof w:val="0"/>
        </w:rPr>
        <w:t xml:space="preserve"> </w:t>
      </w:r>
      <w:r>
        <w:t xml:space="preserve"> </w:t>
      </w:r>
    </w:p>
    <w:p>
      <w:pPr>
        <w:pStyle w:val="P37"/>
      </w:pPr>
    </w:p>
    <w:p>
      <w:pPr>
        <w:pStyle w:val="P42"/>
      </w:pPr>
      <w:bookmarkStart w:id="172" w:name="ko_dagvatten01"/>
      <w:r>
        <w:t>Konsekvenser</w:t>
      </w:r>
    </w:p>
    <w:p>
      <w:pPr>
        <w:pStyle w:val="P32"/>
      </w:pPr>
      <w:r>
        <w:t>Detaljplanen bedöms inte påverka den befintliga dagvattenhanteringen, eftersom den säkerställer att allmän platsmark för natur bevaras söder om Felestad 5:66. Planen innehåller en bestämmelse om att det befintliga diket ska bevaras för att fortsatt kunna filtrera dagvatten. Därmed bibehålls områdets nuvarande förutsättningar och dagvatten kommer kunna hanteras innan det når recipienten.</w:t>
      </w:r>
    </w:p>
    <w:p>
      <w:pPr>
        <w:pStyle w:val="P42"/>
      </w:pPr>
      <w:bookmarkEnd w:id="172"/>
      <w:bookmarkStart w:id="173" w:name="pf_geotekniskaförhållanden01"/>
    </w:p>
    <w:p>
      <w:pPr>
        <w:pStyle w:val="P35"/>
        <w:rPr>
          <w:noProof w:val="0"/>
        </w:rPr>
      </w:pPr>
      <w:bookmarkStart w:id="174" w:name="_Toc89446045"/>
      <w:bookmarkStart w:id="175" w:name="_Toc207616148"/>
      <w:r>
        <w:rPr>
          <w:noProof w:val="0"/>
        </w:rPr>
        <w:t>G</w:t>
      </w:r>
      <w:bookmarkEnd w:id="174"/>
      <w:r>
        <w:rPr>
          <w:noProof w:val="0"/>
        </w:rPr>
        <w:t>eotekniska förhållanden</w:t>
      </w:r>
      <w:bookmarkEnd w:id="175"/>
      <w:r>
        <w:rPr>
          <w:noProof w:val="0"/>
        </w:rPr>
        <w:t xml:space="preserve"> </w:t>
      </w:r>
    </w:p>
    <w:p>
      <w:pPr>
        <w:pStyle w:val="P42"/>
      </w:pPr>
      <w:r>
        <w:t>Förutsättningar</w:t>
      </w:r>
    </w:p>
    <w:p>
      <w:pPr>
        <w:pStyle w:val="P32"/>
      </w:pPr>
      <w:r>
        <w:t xml:space="preserve">Enligt SGU:s jordartskarta består marken av lermorän. Lermorän har en låg genomsläpplighet. En jordarts förmåga till genomsläpplighet beror dock inte bara på kornstorlek utan även på t.ex. läge i terrängen, mättnadsgrad, grundvattennivå samt det utsläppta ämnets viskositet mm. Växtlighet inom ett område påverkar också hur väl dagvatten och skyfall tas om hand.  </w:t>
      </w:r>
    </w:p>
    <w:p>
      <w:pPr>
        <w:pStyle w:val="P42"/>
      </w:pPr>
    </w:p>
    <w:p>
      <w:pPr>
        <w:pStyle w:val="P42"/>
      </w:pPr>
      <w:r>
        <w:t>Konsekvens</w:t>
      </w:r>
    </w:p>
    <w:p>
      <w:pPr>
        <w:pStyle w:val="P32"/>
      </w:pPr>
      <w:r>
        <w:t>De geotekniska förhållandena påverkar inte detaljplanens genomförande negativt, och planen möjliggör ingen bebyggelse eller verksamhet som kan påverkas negativt av rådande markförhållanden.</w:t>
      </w:r>
    </w:p>
    <w:p>
      <w:pPr>
        <w:pStyle w:val="P37"/>
      </w:pPr>
      <w:bookmarkEnd w:id="173"/>
    </w:p>
    <w:p>
      <w:pPr>
        <w:pStyle w:val="P36"/>
        <w:rPr>
          <w:noProof w:val="0"/>
          <w:color w:val="auto"/>
        </w:rPr>
      </w:pPr>
      <w:bookmarkStart w:id="176" w:name="_Toc207616149"/>
      <w:r>
        <w:rPr>
          <w:noProof w:val="0"/>
          <w:color w:val="auto"/>
        </w:rPr>
        <w:t>Förorenad mark</w:t>
      </w:r>
      <w:bookmarkEnd w:id="176"/>
    </w:p>
    <w:p>
      <w:pPr>
        <w:pStyle w:val="P42"/>
      </w:pPr>
    </w:p>
    <w:p>
      <w:pPr>
        <w:pStyle w:val="P32"/>
      </w:pPr>
      <w:bookmarkStart w:id="177" w:name="pf_förorenadmark01"/>
      <w:r>
        <w:rPr>
          <w:i w:val="1"/>
          <w:iCs w:val="1"/>
        </w:rPr>
        <w:t>Förutsättningar</w:t>
      </w:r>
      <w:r>
        <w:br w:type="textWrapping"/>
      </w:r>
      <w:r>
        <w:rPr>
          <w:rStyle w:val="C31"/>
        </w:rPr>
        <w:t>Marken har under en längre tid använts för industriverksamhet, där kemikalier för schampotillverkning har producerats. Enligt Länsstyrelsens geodata över dokumenterade miljöföroreningar finns inga kända föroreningar inom planområdet. Dock finns en bilverkstad i nära anslutning som är markerad som en potentiellt förorenad plats.</w:t>
      </w:r>
      <w:r>
        <w:t xml:space="preserve"> </w:t>
      </w:r>
      <w:r>
        <w:rPr>
          <w:rFonts w:eastAsia="Times New Roman"/>
        </w:rPr>
        <w:t>I maj 2024 inträffade ett kemikalieutsläpp från den tidigare verksamheten, vilket dokumenterades och hanterades av Söderåsens Miljöförbund. Vid inspektion påträffades silikonolja, ett brunt ämne samt vitt skum både utomhus och inomhus i lokalen. Räddningstjänsten lade en skyddsvall för att förhindra spridning, och saneringsåtgärder genomfördes med våtdammsugare, plasttunnor och absorbenter. Förorenad jord schaktades bort och transporterades för destruktion. Efter klagomål om halka på Harjagersvägen utförde miljöförbundet en kontroll av asfaltsytorna. Baserat på ämnets egenskaper och de begränsade mängderna bedömdes det inte finnas någon risk för miljö eller hälsa. Eftersom alla nödvändiga åtgärder har genomförts, inklusive bortforsling av förorenad mark, bedöms saneringen vara fullständig och ärendet avslutades.</w:t>
      </w:r>
    </w:p>
    <w:p>
      <w:pPr>
        <w:pStyle w:val="P32"/>
      </w:pPr>
      <w:bookmarkEnd w:id="177"/>
    </w:p>
    <w:p>
      <w:pPr>
        <w:pStyle w:val="P32"/>
        <w:rPr>
          <w:i w:val="1"/>
          <w:iCs w:val="1"/>
        </w:rPr>
      </w:pPr>
      <w:bookmarkStart w:id="178" w:name="ko_annat04"/>
      <w:r>
        <w:rPr>
          <w:i w:val="1"/>
          <w:iCs w:val="1"/>
        </w:rPr>
        <w:t>Konsekvenser</w:t>
      </w:r>
    </w:p>
    <w:p>
      <w:pPr>
        <w:pStyle w:val="P32"/>
      </w:pPr>
      <w:r>
        <w:t xml:space="preserve">Detaljplanens genomförande bedöms inte påverkas av några potentiella markföroreningar som kan sprida sig i samband med byggnation eller schaktning av mark. Det finns inga kända markföroreningar inom området, och det utsläpp som uppstod i maj 2024 har åtgärdats och den mark som förorenats schaktats bort. </w:t>
      </w:r>
    </w:p>
    <w:p>
      <w:pPr>
        <w:pStyle w:val="P37"/>
      </w:pPr>
      <w:bookmarkEnd w:id="178"/>
    </w:p>
    <w:p>
      <w:pPr>
        <w:pStyle w:val="P36"/>
        <w:rPr>
          <w:noProof w:val="0"/>
        </w:rPr>
      </w:pPr>
      <w:bookmarkStart w:id="179" w:name="_Toc207616150"/>
      <w:bookmarkStart w:id="180" w:name="pf_6_82markradon01"/>
      <w:r>
        <w:rPr>
          <w:noProof w:val="0"/>
        </w:rPr>
        <w:t>Markradon</w:t>
      </w:r>
      <w:bookmarkEnd w:id="179"/>
    </w:p>
    <w:p>
      <w:pPr>
        <w:pStyle w:val="P42"/>
      </w:pPr>
      <w:r>
        <w:t>Förutsättningar</w:t>
      </w:r>
    </w:p>
    <w:p>
      <w:pPr>
        <w:pStyle w:val="P32"/>
      </w:pPr>
      <w:r>
        <w:t>Planområdet ligger inom lågriskområde för radon enligt kommunens markradonkarta från 1990. Inom vissa områden som tidigare bedömts som lågriskområde har det dock uppmätts förhöjda värden. Generellt gäller att man inte kan utesluta förhöjd risk för markradon lokalt.</w:t>
      </w:r>
    </w:p>
    <w:p>
      <w:pPr>
        <w:pStyle w:val="P32"/>
      </w:pPr>
    </w:p>
    <w:p>
      <w:pPr>
        <w:pStyle w:val="P32"/>
      </w:pPr>
      <w:r>
        <w:t>Åtgärder för att klara tillåten radonhalt inne i byggnader utförs vid projektering av nybyggnation. Byggnader där människor stadigvarande vistas ska med hänsyn till radon utföras med grundläggning i enlighet med Boverkets byggregler. Radonhalten i inomhusluft får inte överstiga 200 Bq/m</w:t>
      </w:r>
      <w:r>
        <w:rPr>
          <w:vertAlign w:val="superscript"/>
        </w:rPr>
        <w:t>3</w:t>
      </w:r>
      <w:r>
        <w:t xml:space="preserve">. Ansvaret för att bedöma den faktiska radonrisken på varje byggplats och vidta tillräckliga skyddsåtgärder åligger den som ska bygga. </w:t>
      </w:r>
    </w:p>
    <w:p>
      <w:pPr>
        <w:pStyle w:val="P32"/>
      </w:pPr>
    </w:p>
    <w:p>
      <w:pPr>
        <w:pStyle w:val="P32"/>
      </w:pPr>
      <w:r>
        <w:t>Konsekvenser</w:t>
        <w:br w:type="textWrapping"/>
        <w:t>Markradon bedöms inte få några konsekvenser på markanvändningen inom planområdet, då det är inom lågriskområde och då markanvändningen inte är av känslig karaktär.</w:t>
      </w:r>
    </w:p>
    <w:p>
      <w:pPr>
        <w:pStyle w:val="P37"/>
      </w:pPr>
      <w:bookmarkEnd w:id="180"/>
    </w:p>
    <w:p>
      <w:pPr>
        <w:pStyle w:val="P35"/>
        <w:rPr>
          <w:noProof w:val="0"/>
        </w:rPr>
      </w:pPr>
      <w:bookmarkStart w:id="181" w:name="_Toc207616151"/>
      <w:bookmarkStart w:id="182" w:name="pf_hydrologiskaförhållanden01"/>
      <w:r>
        <w:rPr>
          <w:noProof w:val="0"/>
        </w:rPr>
        <w:t>Hydrologiska förhållanden</w:t>
      </w:r>
      <w:bookmarkEnd w:id="181"/>
    </w:p>
    <w:p>
      <w:pPr>
        <w:pStyle w:val="P32"/>
      </w:pPr>
      <w:r>
        <w:t>Förutsättning</w:t>
      </w:r>
    </w:p>
    <w:p>
      <w:pPr>
        <w:pStyle w:val="P32"/>
      </w:pPr>
      <w:r>
        <w:t xml:space="preserve">Eftersom jordarten lermorän inte har en god genomsläpplighet är infiltrationen inom planområdet låg. Det finns också vissa lågpunkter inom planområdet som medför en översvämningsrisk. </w:t>
      </w:r>
    </w:p>
    <w:p>
      <w:pPr>
        <w:pStyle w:val="P32"/>
      </w:pPr>
      <w:r>
        <w:t>Kartillustration – redogör för 0,1 till 0,5 meters djup vid skyfall.</w:t>
      </w:r>
    </w:p>
    <w:p>
      <w:pPr>
        <w:pStyle w:val="P37"/>
      </w:pPr>
    </w:p>
    <w:p>
      <w:pPr>
        <w:pStyle w:val="P37"/>
      </w:pPr>
      <w:r>
        <w:drawing>
          <wp:inline xmlns:wp="http://schemas.openxmlformats.org/drawingml/2006/wordprocessingDrawing" distT="0" distB="0" distL="0" distR="0">
            <wp:extent cx="3507105" cy="3054350"/>
            <wp:effectExtent l="0" t="0" r="0" b="0"/>
            <wp:docPr id="1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88"/>
                    <pic:cNvPicPr/>
                  </pic:nvPicPr>
                  <pic:blipFill dpi="0">
                    <a:blip xmlns:r="http://schemas.openxmlformats.org/officeDocument/2006/relationships" r:embed="Relimage10"/>
                    <a:srcRect/>
                    <a:stretch>
                      <a:fillRect/>
                    </a:stretch>
                  </pic:blipFill>
                  <pic:spPr>
                    <a:xfrm>
                      <a:off x="0" y="0"/>
                      <a:ext cx="3507292" cy="3054866"/>
                    </a:xfrm>
                    <a:prstGeom prst="rect"/>
                  </pic:spPr>
                </pic:pic>
              </a:graphicData>
            </a:graphic>
          </wp:inline>
        </w:drawing>
      </w:r>
    </w:p>
    <w:p>
      <w:pPr>
        <w:pStyle w:val="P37"/>
      </w:pPr>
    </w:p>
    <w:p>
      <w:pPr>
        <w:pStyle w:val="P44"/>
        <w:ind w:left="425"/>
        <w:rPr>
          <w:rStyle w:val="C31"/>
        </w:rPr>
      </w:pPr>
      <w:r>
        <w:rPr>
          <w:rFonts w:ascii="Arial" w:hAnsi="Arial" w:cs="Arial"/>
          <w:sz w:val="21"/>
          <w:szCs w:val="21"/>
        </w:rPr>
        <w:t xml:space="preserve">Följande kartunderlag är hämtat för Vattenatlas och kartan redovisar Länsstyrelsens skyfallskartering från 2016. GIS-lagret visar ytor som kan översvämmas vid ett skyfall. Skyfall definieras olika, men enligt SMHI innebär det minst 50 mm nederbörd på en timme eller 1 mm per minut. </w:t>
      </w:r>
      <w:r>
        <w:rPr>
          <w:rStyle w:val="C31"/>
        </w:rPr>
        <w:t>Enligt kartan är det framförallt i den södra delen som vattenansamlingar förväntas uppstå. Det är också där de största lågpunkterna finns, enligt NSVA:s geodata.</w:t>
      </w:r>
    </w:p>
    <w:p>
      <w:pPr>
        <w:pStyle w:val="P44"/>
        <w:ind w:left="425"/>
        <w:rPr>
          <w:rFonts w:ascii="Arial" w:hAnsi="Arial" w:cs="Arial"/>
          <w:i w:val="1"/>
          <w:iCs w:val="1"/>
          <w:sz w:val="21"/>
          <w:szCs w:val="21"/>
        </w:rPr>
      </w:pPr>
      <w:bookmarkEnd w:id="182"/>
      <w:bookmarkStart w:id="183" w:name="ko_annat05"/>
      <w:r>
        <w:rPr>
          <w:rFonts w:ascii="Arial" w:hAnsi="Arial" w:cs="Arial"/>
          <w:i w:val="1"/>
          <w:iCs w:val="1"/>
          <w:sz w:val="21"/>
          <w:szCs w:val="21"/>
        </w:rPr>
        <w:t>Konsekvenser</w:t>
        <w:br w:type="textWrapping"/>
      </w:r>
      <w:r>
        <w:rPr>
          <w:rFonts w:ascii="Arial" w:hAnsi="Arial" w:cs="Arial"/>
          <w:sz w:val="21"/>
          <w:szCs w:val="21"/>
        </w:rPr>
        <w:t>Planen innehåller en bestämmelse om att det befintliga diket ska bevaras för att fortsatt kunna filtrera dagvatten. Därmed bibehålls områdets nuvarande förutsättningar och dagvatten kommer kunna hanteras innan det når recipienten.</w:t>
      </w:r>
    </w:p>
    <w:p>
      <w:pPr>
        <w:pStyle w:val="P35"/>
        <w:rPr>
          <w:noProof w:val="0"/>
        </w:rPr>
      </w:pPr>
      <w:bookmarkEnd w:id="183"/>
      <w:bookmarkStart w:id="184" w:name="_Toc207616152"/>
      <w:bookmarkStart w:id="185" w:name="_Toc89446047"/>
      <w:r>
        <w:rPr>
          <w:noProof w:val="0"/>
        </w:rPr>
        <w:t>V</w:t>
      </w:r>
      <w:bookmarkStart w:id="186" w:name="pf_annat01"/>
      <w:r>
        <w:rPr>
          <w:noProof w:val="0"/>
        </w:rPr>
        <w:t>erksamheter och övrig bebyggelse</w:t>
      </w:r>
      <w:bookmarkEnd w:id="184"/>
    </w:p>
    <w:p>
      <w:pPr>
        <w:pStyle w:val="P42"/>
      </w:pPr>
    </w:p>
    <w:p>
      <w:pPr>
        <w:pStyle w:val="P42"/>
      </w:pPr>
      <w:r>
        <w:t xml:space="preserve">Förutsättningar </w:t>
      </w:r>
    </w:p>
    <w:p>
      <w:pPr>
        <w:pStyle w:val="P32"/>
      </w:pPr>
      <w:r>
        <w:t xml:space="preserve">Befintlig bebyggelse inom planområdet är en verksamhetsbyggnad med en byggnadsarea på cirka 470 kvm. Kringliggande verksamheter i närområdet består av en bilverkstad och en återvinningscentral.  </w:t>
      </w:r>
    </w:p>
    <w:p>
      <w:pPr>
        <w:pStyle w:val="P37"/>
      </w:pPr>
      <w:bookmarkEnd w:id="186"/>
    </w:p>
    <w:p>
      <w:pPr>
        <w:pStyle w:val="P42"/>
      </w:pPr>
      <w:bookmarkStart w:id="187" w:name="ko_annat06"/>
      <w:r>
        <w:t xml:space="preserve">Konsekvenser </w:t>
      </w:r>
    </w:p>
    <w:p>
      <w:pPr>
        <w:pStyle w:val="P32"/>
      </w:pPr>
      <w:r>
        <w:t>Inga bostäder finns i nära anslutning till planområdet, och därmed bedöms ingen känslig markanvändning som påverkas negativt.</w:t>
      </w:r>
    </w:p>
    <w:p>
      <w:pPr>
        <w:pStyle w:val="P37"/>
      </w:pPr>
      <w:bookmarkEnd w:id="187"/>
    </w:p>
    <w:p>
      <w:pPr>
        <w:pStyle w:val="P36"/>
        <w:rPr>
          <w:noProof w:val="0"/>
        </w:rPr>
      </w:pPr>
      <w:bookmarkStart w:id="188" w:name="_Toc207616153"/>
      <w:bookmarkStart w:id="189" w:name="pf_annat02"/>
      <w:r>
        <w:rPr>
          <w:noProof w:val="0"/>
        </w:rPr>
        <w:t>Gestaltning</w:t>
      </w:r>
      <w:bookmarkEnd w:id="188"/>
    </w:p>
    <w:p>
      <w:pPr>
        <w:pStyle w:val="P42"/>
      </w:pPr>
    </w:p>
    <w:p>
      <w:pPr>
        <w:pStyle w:val="P42"/>
      </w:pPr>
      <w:r>
        <w:t>Förutsättningar</w:t>
      </w:r>
    </w:p>
    <w:p>
      <w:pPr>
        <w:pStyle w:val="P32"/>
      </w:pPr>
      <w:r>
        <w:t>I arkitekturpolicy för Svalövs kommun finns förhållningssätt för kommunens samtliga tätorter. Planområdet ligger utanför arkitekturpolicyns redogörelse av utbyggnadsfaserna för Svalövs tätort.</w:t>
      </w:r>
    </w:p>
    <w:p>
      <w:pPr>
        <w:pStyle w:val="P32"/>
      </w:pPr>
      <w:r>
        <w:t xml:space="preserve">För planområdet bedöms följande förhållningssätt viktiga att ta hänsyn till i den aktuella detaljplanen: </w:t>
      </w:r>
    </w:p>
    <w:p>
      <w:pPr>
        <w:pStyle w:val="P45"/>
        <w:ind w:left="1145"/>
        <w:rPr>
          <w:color w:val="auto"/>
          <w:sz w:val="21"/>
          <w:szCs w:val="21"/>
        </w:rPr>
      </w:pPr>
    </w:p>
    <w:p>
      <w:pPr>
        <w:pStyle w:val="P45"/>
        <w:numPr>
          <w:ilvl w:val="0"/>
          <w:numId w:val="29"/>
        </w:numPr>
        <w:rPr>
          <w:color w:val="auto"/>
          <w:sz w:val="21"/>
          <w:szCs w:val="21"/>
        </w:rPr>
      </w:pPr>
      <w:r>
        <w:rPr>
          <w:color w:val="auto"/>
          <w:sz w:val="21"/>
          <w:szCs w:val="21"/>
        </w:rPr>
        <w:t xml:space="preserve">Låt ny bebyggelse ta avstamp i det befintliga men låt arkitekturen spegla vår tid. </w:t>
      </w:r>
    </w:p>
    <w:p>
      <w:pPr>
        <w:pStyle w:val="P45"/>
        <w:ind w:left="1145"/>
        <w:rPr>
          <w:color w:val="auto"/>
          <w:sz w:val="21"/>
          <w:szCs w:val="21"/>
        </w:rPr>
      </w:pPr>
    </w:p>
    <w:p>
      <w:pPr>
        <w:pStyle w:val="P45"/>
        <w:numPr>
          <w:ilvl w:val="0"/>
          <w:numId w:val="29"/>
        </w:numPr>
        <w:rPr>
          <w:color w:val="auto"/>
          <w:sz w:val="21"/>
          <w:szCs w:val="21"/>
        </w:rPr>
      </w:pPr>
      <w:r>
        <w:rPr>
          <w:color w:val="auto"/>
          <w:sz w:val="21"/>
          <w:szCs w:val="21"/>
        </w:rPr>
        <w:t xml:space="preserve">Värna befintlig vegetation inom bebyggelsen. Häckar och grönska är viktiga för att skapa en grön inramning och sammanhållen karaktär. </w:t>
      </w:r>
    </w:p>
    <w:p>
      <w:pPr>
        <w:pStyle w:val="P37"/>
      </w:pPr>
    </w:p>
    <w:p>
      <w:pPr>
        <w:pStyle w:val="P32"/>
      </w:pPr>
      <w:r>
        <w:t>Området är bebyggt i dagsläget med en byggnad som har plåtfasad. Byggnaden är en industribyggnad som monterats dit år 1984 med svart papptak och rödplåtfasad. Befintlig byggnads fasad har ändrats till en plåt med antracitgrå färg.</w:t>
      </w:r>
    </w:p>
    <w:p>
      <w:pPr>
        <w:pStyle w:val="P37"/>
      </w:pPr>
      <w:bookmarkEnd w:id="189"/>
    </w:p>
    <w:p>
      <w:pPr>
        <w:pStyle w:val="P32"/>
      </w:pPr>
    </w:p>
    <w:p>
      <w:pPr>
        <w:pStyle w:val="P42"/>
      </w:pPr>
      <w:bookmarkStart w:id="190" w:name="ko_annat07"/>
      <w:r>
        <w:t>Konsekvenser</w:t>
      </w:r>
    </w:p>
    <w:p>
      <w:pPr>
        <w:pStyle w:val="P32"/>
      </w:pPr>
      <w:r>
        <w:t>Detaljplanen säkerställer att vegetationen i anslutning till bebyggelsen bevaras genom att området planläggs som allmän platsmark – natur, istället för kvartersmark. Den tillkommande bebyggelsen är begränsad i omfattning i förhållande till befintliga förhållanden och möjliggör en tillbyggnad på cirka 300 kvadratmeter med en högsta totalhöjd på 10 meter. På grund av den begränsade höjden förväntas tillbyggnaden inte medföra någon betydande skuggpåverkan på kringliggande bebyggelse. Tillbyggnaden bedöms ha en begränsad påverkan på den omgivande miljön och kan integreras väl i verksamhetsområdet. Arkitekturpolicyn förväntas kunna efterlevas i genomförandeskedet.</w:t>
      </w:r>
    </w:p>
    <w:p>
      <w:pPr>
        <w:pStyle w:val="P37"/>
      </w:pPr>
      <w:bookmarkEnd w:id="185"/>
      <w:bookmarkEnd w:id="190"/>
      <w:bookmarkStart w:id="191" w:name="pf_kulturmiljö01"/>
    </w:p>
    <w:p>
      <w:pPr>
        <w:pStyle w:val="P36"/>
        <w:rPr>
          <w:noProof w:val="0"/>
          <w:color w:val="auto"/>
        </w:rPr>
      </w:pPr>
      <w:bookmarkEnd w:id="191"/>
      <w:bookmarkStart w:id="192" w:name="_Toc89446048"/>
      <w:bookmarkStart w:id="193" w:name="_Toc207616154"/>
      <w:r>
        <w:rPr>
          <w:noProof w:val="0"/>
          <w:color w:val="auto"/>
        </w:rPr>
        <w:t>F</w:t>
      </w:r>
      <w:bookmarkEnd w:id="192"/>
      <w:r>
        <w:rPr>
          <w:noProof w:val="0"/>
          <w:color w:val="auto"/>
        </w:rPr>
        <w:t>ornlämningar</w:t>
      </w:r>
      <w:bookmarkEnd w:id="193"/>
    </w:p>
    <w:p>
      <w:pPr>
        <w:pStyle w:val="P42"/>
      </w:pPr>
      <w:bookmarkStart w:id="194" w:name="pf_fornlämningar01"/>
      <w:r>
        <w:t>Förutsättningar</w:t>
      </w:r>
    </w:p>
    <w:p>
      <w:pPr>
        <w:pStyle w:val="P32"/>
        <w:rPr>
          <w:color w:val="FF0000"/>
        </w:rPr>
      </w:pPr>
      <w:r>
        <w:t xml:space="preserve">Det finns inga kända fornlämningar inom planområdet. Påträffas fornlämningar i samband med markarbeten ska dessa, i enlighet med Kulturmiljölagen, omedelbart avbrytas och Länsstyrelsen underrättas. Fornlämningar kan synas som härdrester, stenpackningar eller mörka färgningar i jorden. </w:t>
      </w:r>
    </w:p>
    <w:p>
      <w:pPr>
        <w:pStyle w:val="P37"/>
      </w:pPr>
      <w:bookmarkEnd w:id="194"/>
      <w:bookmarkStart w:id="195" w:name="pf_kyrkligtkulturarv01"/>
    </w:p>
    <w:p>
      <w:pPr>
        <w:pStyle w:val="P35"/>
        <w:rPr>
          <w:noProof w:val="0"/>
        </w:rPr>
      </w:pPr>
      <w:bookmarkEnd w:id="195"/>
      <w:bookmarkStart w:id="196" w:name="_Toc89446054"/>
      <w:bookmarkStart w:id="197" w:name="_Toc207616155"/>
      <w:bookmarkStart w:id="198" w:name="pf_service02"/>
      <w:r>
        <w:rPr>
          <w:noProof w:val="0"/>
        </w:rPr>
        <w:t>S</w:t>
      </w:r>
      <w:bookmarkEnd w:id="196"/>
      <w:r>
        <w:rPr>
          <w:noProof w:val="0"/>
        </w:rPr>
        <w:t>ervice</w:t>
      </w:r>
      <w:bookmarkEnd w:id="197"/>
      <w:r>
        <w:rPr>
          <w:noProof w:val="0"/>
        </w:rPr>
        <w:t xml:space="preserve"> </w:t>
      </w:r>
    </w:p>
    <w:p>
      <w:pPr>
        <w:pStyle w:val="P42"/>
      </w:pPr>
      <w:r>
        <w:t>Förutsättningar</w:t>
      </w:r>
    </w:p>
    <w:p>
      <w:pPr>
        <w:pStyle w:val="P32"/>
      </w:pPr>
      <w:r>
        <w:t>Inom området bedrivs idag ingen verksamhet. Inom nära anslutning till området finns kommersiell service som livsmedelsbutik och apotek, samt offentlig service som skola och vårdcentral.</w:t>
      </w:r>
    </w:p>
    <w:p>
      <w:pPr>
        <w:pStyle w:val="P42"/>
      </w:pPr>
    </w:p>
    <w:p>
      <w:pPr>
        <w:pStyle w:val="P42"/>
      </w:pPr>
      <w:r>
        <w:t>Konsekvenser</w:t>
      </w:r>
    </w:p>
    <w:p>
      <w:pPr>
        <w:pStyle w:val="P32"/>
      </w:pPr>
      <w:r>
        <w:t xml:space="preserve">Konsekensern av detaljplanen är att en träningslokal i utkanten av Svalövs tätort möjliggörs. Det blir således en utökning av den kommersiella servicen. Behovet av annan service uppkommer inte av detaljplanens genomförande. </w:t>
      </w:r>
    </w:p>
    <w:p>
      <w:pPr>
        <w:pStyle w:val="P37"/>
      </w:pPr>
      <w:bookmarkEnd w:id="198"/>
    </w:p>
    <w:p>
      <w:pPr>
        <w:pStyle w:val="P35"/>
        <w:rPr>
          <w:noProof w:val="0"/>
        </w:rPr>
      </w:pPr>
      <w:bookmarkStart w:id="199" w:name="_Toc89446055"/>
      <w:bookmarkStart w:id="200" w:name="_Toc207616156"/>
      <w:bookmarkStart w:id="201" w:name="pf_trafik01"/>
      <w:r>
        <w:rPr>
          <w:noProof w:val="0"/>
        </w:rPr>
        <w:t>T</w:t>
      </w:r>
      <w:bookmarkEnd w:id="199"/>
      <w:r>
        <w:rPr>
          <w:noProof w:val="0"/>
        </w:rPr>
        <w:t>rafik</w:t>
      </w:r>
      <w:bookmarkEnd w:id="200"/>
      <w:r>
        <w:rPr>
          <w:noProof w:val="0"/>
        </w:rPr>
        <w:t xml:space="preserve"> </w:t>
      </w:r>
    </w:p>
    <w:p>
      <w:pPr>
        <w:pStyle w:val="P36"/>
        <w:rPr>
          <w:noProof w:val="0"/>
        </w:rPr>
      </w:pPr>
      <w:bookmarkStart w:id="202" w:name="_Toc207616157"/>
      <w:r>
        <w:rPr>
          <w:noProof w:val="0"/>
        </w:rPr>
        <w:t>Gång- och cykeltrafik</w:t>
      </w:r>
      <w:bookmarkEnd w:id="202"/>
    </w:p>
    <w:p>
      <w:pPr>
        <w:pStyle w:val="P42"/>
      </w:pPr>
      <w:r>
        <w:t xml:space="preserve">Förutsättningar </w:t>
      </w:r>
    </w:p>
    <w:p>
      <w:pPr>
        <w:pStyle w:val="P32"/>
      </w:pPr>
      <w:r>
        <w:t>Det finns en gång- och cykelväg som går mellan Teckomatorp och Svalöv, och som passerar planområdet. Cykelplanen som antogs 2022 i Kommunfullmäktige nämner inte att några åtgärder behövs på cykelvägen.</w:t>
      </w:r>
    </w:p>
    <w:p>
      <w:pPr>
        <w:pStyle w:val="P32"/>
      </w:pPr>
      <w:bookmarkEnd w:id="201"/>
      <w:bookmarkStart w:id="203" w:name="ko_gångochcykeltrafik01"/>
    </w:p>
    <w:p>
      <w:pPr>
        <w:pStyle w:val="P42"/>
      </w:pPr>
      <w:r>
        <w:t>Konsekvenser</w:t>
      </w:r>
    </w:p>
    <w:p>
      <w:pPr>
        <w:pStyle w:val="P32"/>
      </w:pPr>
      <w:r>
        <w:t>Detaljplanen skapar en ny målpunktsdestination längs cykelvägen, vilket kan leda till en ökad användning av gång- och cykelvägen mellan Svalöv och Teckomatorp.</w:t>
      </w:r>
    </w:p>
    <w:p>
      <w:pPr>
        <w:pStyle w:val="P44"/>
        <w:ind w:left="397"/>
      </w:pPr>
      <w:r>
        <w:rPr>
          <w:rFonts w:ascii="Arial" w:hAnsi="Arial" w:cs="Arial"/>
          <w:sz w:val="21"/>
          <w:szCs w:val="21"/>
        </w:rPr>
        <w:t xml:space="preserve">Enligt Trafikverkets data har väg 106 en årsdygnstrafik (ÅDT år 2021) på 2 499 fordon. Denna siffra inkluderar all trafik som passerar till och från södra delen av Svalövs tätort i både nordlig och sydlig riktning, samt fordon som har återvinningscentralen eller andra destinationer vid Harjagersvägen som mål. Cyklister kommer cykla på den separata cykelvägen som förbinder tätorterna Svalöv och Teckomatorp. </w:t>
      </w:r>
    </w:p>
    <w:p>
      <w:pPr>
        <w:pStyle w:val="P44"/>
        <w:ind w:left="397"/>
        <w:rPr>
          <w:rFonts w:ascii="Arial" w:hAnsi="Arial" w:cs="Arial"/>
          <w:sz w:val="21"/>
          <w:szCs w:val="21"/>
        </w:rPr>
      </w:pPr>
      <w:r>
        <w:rPr>
          <w:rFonts w:ascii="Arial" w:hAnsi="Arial" w:cs="Arial"/>
          <w:sz w:val="21"/>
          <w:szCs w:val="21"/>
        </w:rPr>
        <w:t>Cykelvägen löper i direkt anslutning till fastigheten Felestad 5:66, och cyklisterna kommer behöva färdas en sträcka på 10 meter via Harjagersvägen för att komma till träningslokalen. Kommunen gör bedömningen att trafiksituationen är trygg och säker för oskyddade trafikanter.</w:t>
      </w:r>
    </w:p>
    <w:p>
      <w:pPr>
        <w:pStyle w:val="P36"/>
        <w:rPr>
          <w:noProof w:val="0"/>
        </w:rPr>
      </w:pPr>
      <w:bookmarkEnd w:id="203"/>
      <w:bookmarkStart w:id="204" w:name="_Toc207616158"/>
      <w:r>
        <w:rPr>
          <w:noProof w:val="0"/>
        </w:rPr>
        <w:t>Kollektivtrafik</w:t>
      </w:r>
      <w:bookmarkEnd w:id="204"/>
    </w:p>
    <w:p>
      <w:pPr>
        <w:pStyle w:val="P42"/>
      </w:pPr>
      <w:bookmarkStart w:id="205" w:name="pf_trafik02"/>
      <w:r>
        <w:t xml:space="preserve">Förutsättningar </w:t>
      </w:r>
    </w:p>
    <w:p>
      <w:pPr>
        <w:pStyle w:val="P32"/>
      </w:pPr>
      <w:r>
        <w:t>Busshållsplatsen Kullerstensgården finns i nära anslutning till planområdet. Busslinje 230 går från Teckomatorp via Svalövs tätort till Ekeby tätort, och Kullerstensgården är en av hållplatserna längs linjen. Avståndet mellan planområdet och tågstationen i Svalövs tätort är strax över en kilometer.</w:t>
      </w:r>
    </w:p>
    <w:p>
      <w:pPr>
        <w:pStyle w:val="P37"/>
      </w:pPr>
      <w:bookmarkEnd w:id="205"/>
      <w:bookmarkStart w:id="206" w:name="ko_trafik01"/>
    </w:p>
    <w:p>
      <w:pPr>
        <w:pStyle w:val="P32"/>
        <w:rPr>
          <w:i w:val="1"/>
          <w:iCs w:val="1"/>
        </w:rPr>
      </w:pPr>
      <w:r>
        <w:rPr>
          <w:i w:val="1"/>
          <w:iCs w:val="1"/>
        </w:rPr>
        <w:t>Konsekvenser</w:t>
      </w:r>
    </w:p>
    <w:p>
      <w:pPr>
        <w:pStyle w:val="P32"/>
      </w:pPr>
      <w:r>
        <w:t>Genomförandet av detaljplanen kan leda till ökad användning av busslinje 230 mellan Teckomatorp, Svalöv och Ekeby, då fler kan välja kollektivtrafik för att ta sig till träningslokalen. Det finns även goda möjligheter att personer som pendlar med tåg till Svalöv väljer att gå eller cykla till tågstationen i samband med träning.</w:t>
      </w:r>
    </w:p>
    <w:p>
      <w:pPr>
        <w:pStyle w:val="P42"/>
      </w:pPr>
      <w:bookmarkEnd w:id="206"/>
    </w:p>
    <w:p>
      <w:pPr>
        <w:pStyle w:val="P36"/>
        <w:rPr>
          <w:noProof w:val="0"/>
        </w:rPr>
      </w:pPr>
      <w:bookmarkStart w:id="207" w:name="_Toc207616159"/>
      <w:bookmarkStart w:id="208" w:name="pf_trafik03"/>
      <w:r>
        <w:rPr>
          <w:noProof w:val="0"/>
        </w:rPr>
        <w:t>Gatunät</w:t>
      </w:r>
      <w:bookmarkEnd w:id="207"/>
    </w:p>
    <w:p>
      <w:pPr>
        <w:pStyle w:val="P42"/>
      </w:pPr>
      <w:r>
        <w:t>Förutsättningar</w:t>
      </w:r>
    </w:p>
    <w:p>
      <w:pPr>
        <w:pStyle w:val="P32"/>
      </w:pPr>
      <w:r>
        <w:t xml:space="preserve">Det finns en befintlig infart till fastigheten som nås via Väg 106. Trafikverket är väghållare för vägen och Väg 106 har en ÅDT siffra på 2 499 fordon (2021). Utöver det finns det inget större gatunät inom eller i närheten av planområdet. </w:t>
      </w:r>
    </w:p>
    <w:p>
      <w:pPr>
        <w:pStyle w:val="P37"/>
      </w:pPr>
      <w:bookmarkEnd w:id="208"/>
    </w:p>
    <w:p>
      <w:pPr>
        <w:pStyle w:val="P42"/>
      </w:pPr>
      <w:bookmarkStart w:id="209" w:name="ko_trafik02"/>
      <w:r>
        <w:t>Konsekvenser</w:t>
      </w:r>
    </w:p>
    <w:p>
      <w:pPr>
        <w:pStyle w:val="P32"/>
      </w:pPr>
      <w:r>
        <w:t>Träningslokalen uppskattas få mellan 30 och 40 besökare dagligen. Av dessa besökare går eller cyklar cirka 39 procent beroende på årstid. Gymmet kommer ha öppet alla dagar mellan kl 04-23. Sifforna baseras på en jämförelse med antal besökare till gymmet i Rydebäcks tätort i Helsingborgs kommun, som har likartade förutsättningar.</w:t>
      </w:r>
    </w:p>
    <w:p>
      <w:pPr>
        <w:pStyle w:val="P32"/>
      </w:pPr>
    </w:p>
    <w:p>
      <w:pPr>
        <w:pStyle w:val="P32"/>
      </w:pPr>
      <w:r>
        <w:t>Baserat på dessa siffror skulle ÅDT för väg 106 öka med 60–80 fordon om samtliga besökare tog bilen till gymmet. Denna ökning bedöms vara marginell och påverkar inte väg 106 i någon betydande utsträckning. Inga förändringar av väg 106:s utformning eller den befintliga gatustrukturen krävs för detaljplanens genomförande.</w:t>
      </w:r>
    </w:p>
    <w:p>
      <w:pPr>
        <w:pStyle w:val="P32"/>
      </w:pPr>
    </w:p>
    <w:p>
      <w:pPr>
        <w:pStyle w:val="P32"/>
      </w:pPr>
      <w:r>
        <w:t>Utfartsförbud</w:t>
      </w:r>
    </w:p>
    <w:p>
      <w:pPr>
        <w:pStyle w:val="P32"/>
      </w:pPr>
      <w:r>
        <w:t xml:space="preserve">Detaljplanen inför ett utfartsförbud mellan Felestad 5:66 östra del och Harjagersvägen, se figur nedan. </w:t>
      </w:r>
    </w:p>
    <w:p>
      <w:pPr>
        <w:pStyle w:val="P32"/>
      </w:pPr>
    </w:p>
    <w:p>
      <w:pPr>
        <w:pStyle w:val="P32"/>
      </w:pPr>
      <w:bookmarkStart w:id="210" w:name="_Hlk207608707"/>
      <w:r>
        <w:t>Syftet med utfartsförbudet är att anpassa trafiklösningen till återvinningscentralens framtida expansion. Trafiken ska även fortsättningsvis köra in via den nuvarande infarten till återvinningscentralen, men lämna området genom en ny utfart på den norra delen av Harjagersvägen. För att förbättra trafikflödet planerar Svalövs kommun att enkelrikta den norra delen av Harjagersvägen. Åtgärden kommer att underlätta LSR:s kommande expansion av återvinningscentralen och samtidigt säkerställa ett säkert och effektivt trafikflöde i området.</w:t>
      </w:r>
    </w:p>
    <w:p>
      <w:pPr>
        <w:pStyle w:val="P32"/>
      </w:pPr>
      <w:bookmarkEnd w:id="210"/>
    </w:p>
    <w:p>
      <w:pPr>
        <w:pStyle w:val="P32"/>
      </w:pPr>
      <w:r>
        <w:rPr>
          <w:shd w:val="clear" w:color="auto" w:fill="auto"/>
        </w:rPr>
        <mc:AlternateContent>
          <mc:Choice Requires="wps">
            <w:drawing>
              <wp:anchor xmlns:wp="http://schemas.openxmlformats.org/drawingml/2006/wordprocessingDrawing" distT="0" distB="0" distL="114300" distR="114300" simplePos="0" relativeHeight="13" behindDoc="0" locked="0" layoutInCell="1" allowOverlap="1">
                <wp:simplePos x="0" y="0"/>
                <wp:positionH relativeFrom="column">
                  <wp:posOffset>1755775</wp:posOffset>
                </wp:positionH>
                <wp:positionV relativeFrom="paragraph">
                  <wp:posOffset>864870</wp:posOffset>
                </wp:positionV>
                <wp:extent cx="389890" cy="1255395"/>
                <wp:effectExtent l="285750" t="57150" r="257810" b="59055"/>
                <wp:wrapNone/>
                <wp:docPr id="26" name="Rektangel 26"/>
                <wp:cNvGraphicFramePr/>
                <a:graphic xmlns:a="http://schemas.openxmlformats.org/drawingml/2006/main">
                  <a:graphicData uri="http://schemas.microsoft.com/office/word/2010/wordprocessingShape">
                    <wps:wsp>
                      <wps:cNvSpPr/>
                      <wps:spPr>
                        <a:xfrm rot="1518667">
                          <a:off x="0" y="0"/>
                          <a:ext cx="390206" cy="1255713"/>
                        </a:xfrm>
                        <a:prstGeom prst="rect"/>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xmlns:o="urn:schemas-microsoft-com:office:office" id="Rektangel 26" o:spid="_x0000_s1038" style="position:absolute;width:30.7pt;height:98.85pt;z-index:13;mso-wrap-distance-left:9pt;mso-wrap-distance-top:0pt;mso-wrap-distance-right:9pt;mso-wrap-distance-bottom:0pt;margin-left:138.25pt;margin-top:68.1pt;mso-position-horizontal:absolute;mso-position-horizontal-relative:text;mso-position-vertical:absolute;mso-position-vertical-relative:text;v-text-anchor:middle;rotation:1658789fd" o:allowincell="t" filled="f" strokecolor="#FF0000" strokeweight="2.25pt" stroked="t">
                <v:textbox inset="3mm,1mm,3mm,1mm">
                  <w:txbxContent>
                    <w:p/>
                  </w:txbxContent>
                </v:textbox>
              </v:rect>
            </w:pict>
          </mc:Fallback>
        </mc:AlternateContent>
      </w:r>
      <w:r>
        <w:drawing>
          <wp:inline xmlns:wp="http://schemas.openxmlformats.org/drawingml/2006/wordprocessingDrawing" distT="0" distB="0" distL="0" distR="0">
            <wp:extent cx="2654300" cy="3122930"/>
            <wp:effectExtent l="0" t="0" r="0" b="127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89"/>
                    <pic:cNvPicPr/>
                  </pic:nvPicPr>
                  <pic:blipFill dpi="0">
                    <a:blip xmlns:r="http://schemas.openxmlformats.org/officeDocument/2006/relationships" r:embed="Relimage11"/>
                    <a:srcRect/>
                    <a:stretch>
                      <a:fillRect/>
                    </a:stretch>
                  </pic:blipFill>
                  <pic:spPr>
                    <a:xfrm>
                      <a:off x="0" y="0"/>
                      <a:ext cx="2659221" cy="3128495"/>
                    </a:xfrm>
                    <a:prstGeom prst="rect"/>
                  </pic:spPr>
                </pic:pic>
              </a:graphicData>
            </a:graphic>
          </wp:inline>
        </w:drawing>
      </w:r>
    </w:p>
    <w:p>
      <w:pPr>
        <w:pStyle w:val="P32"/>
      </w:pPr>
      <w:bookmarkEnd w:id="209"/>
    </w:p>
    <w:p>
      <w:pPr>
        <w:pStyle w:val="P32"/>
      </w:pPr>
      <w:bookmarkStart w:id="211" w:name="pf_trafik04"/>
    </w:p>
    <w:p>
      <w:pPr>
        <w:pStyle w:val="P36"/>
        <w:rPr>
          <w:noProof w:val="0"/>
        </w:rPr>
      </w:pPr>
      <w:bookmarkStart w:id="212" w:name="_Toc207616160"/>
      <w:r>
        <w:rPr>
          <w:noProof w:val="0"/>
        </w:rPr>
        <w:t>Parkering</w:t>
      </w:r>
      <w:bookmarkEnd w:id="212"/>
    </w:p>
    <w:p>
      <w:pPr>
        <w:pStyle w:val="P42"/>
      </w:pPr>
      <w:r>
        <w:t xml:space="preserve">Förutsättningar </w:t>
      </w:r>
    </w:p>
    <w:p>
      <w:pPr>
        <w:pStyle w:val="P32"/>
      </w:pPr>
      <w:r>
        <w:t xml:space="preserve">Inom planområdet finns ett antal parkeringsplatser som inte är utmarkerade i anslutning till </w:t>
      </w:r>
    </w:p>
    <w:p>
      <w:pPr>
        <w:pStyle w:val="P32"/>
      </w:pPr>
      <w:r>
        <w:t>befintlig byggnad. Enligt Svalövs gällande parkeringspolicy ska en uppskattning av parkeringsbehovet göras för verksamhetens dagliga behov. Eftersom detaljplanen möjliggör för är en träningslokal och verksamheter som ingår i markanvändningen Z, behövs en uppskattning göras för respektive användning.</w:t>
      </w:r>
    </w:p>
    <w:p>
      <w:pPr>
        <w:pStyle w:val="P37"/>
      </w:pPr>
      <w:bookmarkEnd w:id="211"/>
    </w:p>
    <w:p>
      <w:pPr>
        <w:pStyle w:val="P42"/>
      </w:pPr>
      <w:bookmarkStart w:id="213" w:name="ko_trafik03"/>
      <w:r>
        <w:rPr>
          <w:rStyle w:val="C31"/>
        </w:rPr>
        <w:t xml:space="preserve">Konsekvenser </w:t>
      </w:r>
      <w:r>
        <w:br w:type="textWrapping"/>
      </w:r>
      <w:r>
        <w:rPr>
          <w:rStyle w:val="C31"/>
          <w:i w:val="0"/>
          <w:iCs w:val="1"/>
        </w:rPr>
        <w:t>För träningslokalen krävs besöksparkering och parkeringsplatser för anställda. Jämförelsen från en liknande träningslokal i Rydebäck visar att cirka 40 personer besöker anläggningen dagligen. Ungefär 30 % av dessa använder alternativa transportmedel såsom buss, cykel eller gång.</w:t>
      </w:r>
    </w:p>
    <w:p>
      <w:pPr>
        <w:spacing w:lineRule="auto" w:line="240" w:before="100" w:after="100" w:beforeAutospacing="1" w:afterAutospacing="1"/>
        <w:rPr>
          <w:rFonts w:eastAsia="Times New Roman"/>
          <w:color w:val="auto"/>
          <w:sz w:val="21"/>
          <w:szCs w:val="21"/>
        </w:rPr>
      </w:pPr>
      <w:r>
        <w:rPr>
          <w:rFonts w:eastAsia="Times New Roman"/>
          <w:color w:val="auto"/>
          <w:sz w:val="21"/>
          <w:szCs w:val="21"/>
        </w:rPr>
        <w:t>Gymmet har öppettider mellan 04:00 och 23:00, och besökarna fördelas över hela dagen. Ett träningspass varar i genomsnitt 1–2 timmar, och vid de mest besökta tidpunkterna beräknas mellan 6 och 8 personer vistas samtidigt i lokalen. Detta innebär att cirka 8 parkeringsplatser behövs för att täcka behovet för både besökare och personal. Gymmet kommer att vara bemannat mellan 08:00–12:00 och 16:00–20:00.</w:t>
      </w:r>
    </w:p>
    <w:p>
      <w:pPr>
        <w:spacing w:lineRule="auto" w:line="240" w:before="100" w:after="100" w:beforeAutospacing="1" w:afterAutospacing="1"/>
        <w:rPr>
          <w:rFonts w:eastAsia="Times New Roman"/>
          <w:color w:val="auto"/>
          <w:sz w:val="21"/>
          <w:szCs w:val="21"/>
        </w:rPr>
      </w:pPr>
      <w:r>
        <w:rPr>
          <w:rFonts w:eastAsia="Times New Roman"/>
          <w:color w:val="auto"/>
          <w:sz w:val="21"/>
          <w:szCs w:val="21"/>
        </w:rPr>
        <w:t>Planområdet rymmer mer än dessa 8 parkeringsplatser. Vissa delar av området är dock reglerade för att marken ska vara genomsläpplig, vilket kan påverka parkeringsplatsernas utformning.</w:t>
      </w:r>
    </w:p>
    <w:p>
      <w:pPr>
        <w:spacing w:lineRule="auto" w:line="240" w:before="100" w:after="100" w:beforeAutospacing="1" w:afterAutospacing="1"/>
        <w:rPr>
          <w:rFonts w:eastAsia="Times New Roman"/>
          <w:color w:val="auto"/>
          <w:sz w:val="21"/>
          <w:szCs w:val="21"/>
        </w:rPr>
      </w:pPr>
      <w:r>
        <w:rPr>
          <w:rFonts w:eastAsia="Times New Roman"/>
          <w:color w:val="auto"/>
          <w:sz w:val="21"/>
          <w:szCs w:val="21"/>
        </w:rPr>
        <w:t>Planbestämmelsen Z – verksamheter omfattar service, lager, tillverkning med tillhörande försäljning, partihandel och liknande verksamheter med begränsad omgivningspåverkan.</w:t>
      </w:r>
    </w:p>
    <w:p>
      <w:pPr>
        <w:spacing w:lineRule="auto" w:line="240" w:before="100" w:after="100" w:beforeAutospacing="1" w:afterAutospacing="1"/>
        <w:rPr>
          <w:rFonts w:eastAsia="Times New Roman"/>
          <w:color w:val="auto"/>
          <w:sz w:val="21"/>
          <w:szCs w:val="21"/>
        </w:rPr>
      </w:pPr>
      <w:r>
        <w:rPr>
          <w:rFonts w:eastAsia="Times New Roman"/>
          <w:color w:val="auto"/>
          <w:sz w:val="21"/>
          <w:szCs w:val="21"/>
        </w:rPr>
        <w:t>Om partihandel bedrivs inom området bedöms behovet av parkeringsplatser vara större än de 8 platser som träningslokalen kräver. Uppskattningsvis behövs cirka 15 parkeringsplatser, fördelat enligt följande:</w:t>
      </w:r>
    </w:p>
    <w:p>
      <w:pPr>
        <w:spacing w:lineRule="auto" w:line="240" w:before="100" w:after="100" w:beforeAutospacing="1" w:afterAutospacing="1"/>
        <w:rPr>
          <w:rFonts w:eastAsia="Times New Roman"/>
          <w:color w:val="auto"/>
          <w:sz w:val="21"/>
          <w:szCs w:val="21"/>
        </w:rPr>
      </w:pPr>
    </w:p>
    <w:p>
      <w:pPr>
        <w:numPr>
          <w:ilvl w:val="0"/>
          <w:numId w:val="31"/>
        </w:numPr>
        <w:spacing w:lineRule="auto" w:line="240" w:before="100" w:after="100" w:beforeAutospacing="1" w:afterAutospacing="1"/>
        <w:ind w:left="425"/>
        <w:rPr>
          <w:rFonts w:eastAsia="Times New Roman"/>
          <w:color w:val="auto"/>
          <w:sz w:val="21"/>
          <w:szCs w:val="21"/>
        </w:rPr>
      </w:pPr>
      <w:r>
        <w:rPr>
          <w:rFonts w:eastAsia="Times New Roman"/>
          <w:color w:val="auto"/>
          <w:sz w:val="21"/>
          <w:szCs w:val="21"/>
        </w:rPr>
        <w:t>5–10 platser för personal</w:t>
      </w:r>
    </w:p>
    <w:p>
      <w:pPr>
        <w:numPr>
          <w:ilvl w:val="0"/>
          <w:numId w:val="31"/>
        </w:numPr>
        <w:spacing w:lineRule="auto" w:line="240" w:before="100" w:after="100" w:beforeAutospacing="1" w:afterAutospacing="1"/>
        <w:ind w:left="425"/>
        <w:rPr>
          <w:rFonts w:eastAsia="Times New Roman"/>
          <w:color w:val="auto"/>
          <w:sz w:val="21"/>
          <w:szCs w:val="21"/>
        </w:rPr>
      </w:pPr>
      <w:r>
        <w:rPr>
          <w:rFonts w:eastAsia="Times New Roman"/>
          <w:color w:val="auto"/>
          <w:sz w:val="21"/>
          <w:szCs w:val="21"/>
        </w:rPr>
        <w:t>2–5 platser för besökare och transportörer</w:t>
        <w:br w:type="textWrapping"/>
        <w:br w:type="textWrapping"/>
        <w:t>Om verksamheten har regelbundna kundbesök eller transportflöden kan ytterligare 2–3 platser behövas, men detta beror på antalet anställda och verksamhetens utformning. Därför bedöms 15 parkeringsplatser vara tillräckligt, vilket ryms inom fastigheten. Vissa delar av området är reglerade för att marken ska vara genomsläpplig. Om parkering anläggs inom dessa ytor bör lösningar väljas som säkerställer god genomsläpplighet och undviker hårdgjorda ytor.</w:t>
      </w:r>
    </w:p>
    <w:p>
      <w:pPr>
        <w:pStyle w:val="P36"/>
        <w:rPr>
          <w:noProof w:val="0"/>
          <w:color w:val="auto"/>
        </w:rPr>
      </w:pPr>
      <w:bookmarkEnd w:id="213"/>
      <w:bookmarkStart w:id="214" w:name="_Toc207616161"/>
      <w:bookmarkStart w:id="215" w:name="pf_trafik05"/>
      <w:r>
        <w:rPr>
          <w:noProof w:val="0"/>
          <w:color w:val="auto"/>
        </w:rPr>
        <w:t>Varumottagning</w:t>
      </w:r>
      <w:bookmarkEnd w:id="214"/>
    </w:p>
    <w:p>
      <w:pPr>
        <w:pStyle w:val="P42"/>
      </w:pPr>
      <w:r>
        <w:t xml:space="preserve">Förutsättningar </w:t>
      </w:r>
    </w:p>
    <w:p>
      <w:pPr>
        <w:pStyle w:val="P32"/>
      </w:pPr>
      <w:r>
        <w:t>Det bedrivs ingen verksamhet inom planområdet.</w:t>
      </w:r>
    </w:p>
    <w:p>
      <w:pPr>
        <w:pStyle w:val="P37"/>
      </w:pPr>
      <w:bookmarkEnd w:id="215"/>
      <w:bookmarkStart w:id="216" w:name="ko_trafik04"/>
    </w:p>
    <w:p>
      <w:pPr>
        <w:pStyle w:val="P42"/>
      </w:pPr>
      <w:r>
        <w:t>Konsekvenser</w:t>
      </w:r>
    </w:p>
    <w:p>
      <w:pPr>
        <w:pStyle w:val="P32"/>
      </w:pPr>
      <w:r>
        <w:t>En träningslokal har inga omfattande leveranser för den dagliga verksamheten, förutom eventuell försäljning av träningssupplement. Inom planområdet finns möjlighet till varumottagning, liknande den som tidigare använts för den tidigare industriverksamheten. Den befintliga utformning för varumottaging bör även vara lämplig för andra verksamheter som ryms inom användningsbestämmelsen Z.</w:t>
      </w:r>
    </w:p>
    <w:p>
      <w:pPr>
        <w:pStyle w:val="P32"/>
      </w:pPr>
      <w:bookmarkEnd w:id="216"/>
    </w:p>
    <w:p>
      <w:pPr>
        <w:pStyle w:val="P35"/>
        <w:rPr>
          <w:noProof w:val="0"/>
        </w:rPr>
      </w:pPr>
      <w:bookmarkStart w:id="217" w:name="_Toc89446053"/>
      <w:bookmarkStart w:id="218" w:name="_Toc207616162"/>
      <w:bookmarkStart w:id="219" w:name="pf_6_13tekniskförsörjning01"/>
      <w:r>
        <w:rPr>
          <w:noProof w:val="0"/>
        </w:rPr>
        <w:t>T</w:t>
      </w:r>
      <w:bookmarkEnd w:id="217"/>
      <w:r>
        <w:rPr>
          <w:noProof w:val="0"/>
        </w:rPr>
        <w:t>eknisk försörjning</w:t>
      </w:r>
      <w:bookmarkEnd w:id="218"/>
    </w:p>
    <w:p>
      <w:pPr>
        <w:pStyle w:val="P37"/>
      </w:pPr>
      <w:bookmarkStart w:id="220" w:name="pf_teknik01"/>
    </w:p>
    <w:p>
      <w:pPr>
        <w:pStyle w:val="P36"/>
        <w:rPr>
          <w:noProof w:val="0"/>
        </w:rPr>
      </w:pPr>
      <w:bookmarkEnd w:id="220"/>
      <w:bookmarkStart w:id="221" w:name="pf_service01"/>
      <w:bookmarkStart w:id="222" w:name="_Toc207616163"/>
      <w:r>
        <w:rPr>
          <w:noProof w:val="0"/>
        </w:rPr>
        <w:t>Vatten, spillvatten</w:t>
      </w:r>
      <w:bookmarkEnd w:id="221"/>
      <w:r>
        <w:rPr>
          <w:noProof w:val="0"/>
        </w:rPr>
        <w:t xml:space="preserve"> och dagvatten</w:t>
      </w:r>
      <w:bookmarkEnd w:id="222"/>
    </w:p>
    <w:p>
      <w:pPr>
        <w:pStyle w:val="P42"/>
      </w:pPr>
      <w:r>
        <w:t xml:space="preserve">Förutsättningar </w:t>
      </w:r>
    </w:p>
    <w:p>
      <w:pPr>
        <w:pStyle w:val="P32"/>
      </w:pPr>
      <w:r>
        <w:t>Planområdet har kommunalt VA. Inom fastigheten går en VA-ledning i norra delen av planområdet till grannfastigheten. Dagvattenanslutning finns mot gatan inom Felestad 5:38. Vatten- och spillvattenanslutning finns mot Harjagersgatan. Dagvattenanslutning finns mot gatan i sydöstra delen av fastigheten</w:t>
      </w:r>
      <w:r>
        <w:rPr>
          <w:color w:val="0000FF"/>
        </w:rPr>
        <w:t>.</w:t>
      </w:r>
    </w:p>
    <w:p>
      <w:pPr>
        <w:pStyle w:val="P42"/>
      </w:pPr>
      <w:bookmarkEnd w:id="219"/>
    </w:p>
    <w:p>
      <w:pPr>
        <w:pStyle w:val="P42"/>
      </w:pPr>
      <w:bookmarkStart w:id="223" w:name="ko_annat08"/>
      <w:r>
        <w:t>Konsekvenser</w:t>
      </w:r>
    </w:p>
    <w:p>
      <w:pPr>
        <w:pStyle w:val="P32"/>
      </w:pPr>
      <w:r>
        <w:t>Befintligt VA-nätet bedömer NSVA räcker för att bedriva träningslokal eller annan verksamhet som ingår i användningsbestämmelsen Z. Därav behöver inte VA-nätet byggas ut för planens genomförande. Befintlig VA-ledning säkras med u-område i detaljplanen.</w:t>
      </w:r>
    </w:p>
    <w:p>
      <w:pPr>
        <w:pStyle w:val="P32"/>
      </w:pPr>
      <w:bookmarkEnd w:id="223"/>
    </w:p>
    <w:p>
      <w:pPr>
        <w:pStyle w:val="P36"/>
        <w:rPr>
          <w:noProof w:val="0"/>
        </w:rPr>
      </w:pPr>
      <w:bookmarkStart w:id="224" w:name="_Toc207616164"/>
      <w:bookmarkStart w:id="225" w:name="pf_6_13tekniskförsörjning02"/>
      <w:r>
        <w:rPr>
          <w:noProof w:val="0"/>
        </w:rPr>
        <w:t>El</w:t>
      </w:r>
      <w:bookmarkEnd w:id="224"/>
    </w:p>
    <w:p>
      <w:pPr>
        <w:pStyle w:val="P42"/>
      </w:pPr>
      <w:r>
        <w:t xml:space="preserve">Förutsättningar </w:t>
      </w:r>
    </w:p>
    <w:p>
      <w:pPr>
        <w:pStyle w:val="P32"/>
      </w:pPr>
      <w:r>
        <w:rPr>
          <w:rStyle w:val="C38"/>
        </w:rPr>
        <w:t>I Svalövs kommun ansvarar E.ON Energiinfrastruktur AB för elnätet och elförsörjningen.</w:t>
      </w:r>
      <w:r>
        <w:t xml:space="preserve"> </w:t>
      </w:r>
      <w:r>
        <w:rPr>
          <w:rStyle w:val="C38"/>
        </w:rPr>
        <w:t>Fastigheten Felestad 5:66 är ansluten till detta elnät.</w:t>
      </w:r>
    </w:p>
    <w:p>
      <w:pPr>
        <w:pStyle w:val="P37"/>
      </w:pPr>
      <w:bookmarkEnd w:id="225"/>
    </w:p>
    <w:p>
      <w:pPr>
        <w:pStyle w:val="P42"/>
      </w:pPr>
      <w:bookmarkStart w:id="226" w:name="ko_annat09"/>
      <w:r>
        <w:t>Konsekvenser</w:t>
      </w:r>
    </w:p>
    <w:p>
      <w:pPr>
        <w:pStyle w:val="P32"/>
      </w:pPr>
      <w:r>
        <w:t>Befintliga elledningar bedöms räcka för den nya verksamheten som möjliggörs. Befintlig teknisk anläggning kommer inte behöva flyttas och detaljplanen regleras med användningsbestämmelsen E för teknisk anläggning. Om elledningar behöver flyttas ska detta bekosta av exploatören som vill genomföra byggnationen.</w:t>
      </w:r>
    </w:p>
    <w:p>
      <w:pPr>
        <w:pStyle w:val="P32"/>
      </w:pPr>
      <w:bookmarkEnd w:id="226"/>
    </w:p>
    <w:p>
      <w:pPr>
        <w:pStyle w:val="P36"/>
        <w:rPr>
          <w:noProof w:val="0"/>
        </w:rPr>
      </w:pPr>
      <w:bookmarkStart w:id="227" w:name="_Toc207616165"/>
      <w:bookmarkStart w:id="228" w:name="pf_6_13tekniskförsörjning03"/>
      <w:r>
        <w:rPr>
          <w:noProof w:val="0"/>
        </w:rPr>
        <w:t>Bredband, fiber och teleledningar</w:t>
      </w:r>
      <w:bookmarkEnd w:id="227"/>
    </w:p>
    <w:p>
      <w:pPr>
        <w:pStyle w:val="P42"/>
      </w:pPr>
      <w:r>
        <w:t xml:space="preserve">Förutsättningar </w:t>
      </w:r>
    </w:p>
    <w:p>
      <w:pPr>
        <w:pStyle w:val="P32"/>
      </w:pPr>
      <w:r>
        <w:t xml:space="preserve">Det finns fiberledning i nära anslutning till planområdet längs Harjagersvägen, men den nuvarande byggnaden är inte kopplad till fiber. Det finns en telemast inom planområdet för 4g-nät. </w:t>
      </w:r>
    </w:p>
    <w:p>
      <w:pPr>
        <w:pStyle w:val="P42"/>
        <w:ind w:left="0"/>
      </w:pPr>
      <w:bookmarkEnd w:id="228"/>
    </w:p>
    <w:p>
      <w:pPr>
        <w:pStyle w:val="P42"/>
      </w:pPr>
      <w:bookmarkStart w:id="229" w:name="ko_annat10"/>
      <w:r>
        <w:t>Konsekvenser</w:t>
      </w:r>
    </w:p>
    <w:p>
      <w:pPr>
        <w:pStyle w:val="P32"/>
      </w:pPr>
      <w:r>
        <w:t xml:space="preserve">Inga ledningar behöver flyttas för detaljplanens genomförande, och genomförandet av detaljplanen påverkar inte fibernätet. Det finns förutsättningar för att kunna ansluta till fiber ifall exploatören önskar det. Eventuell flytt av teleledningar bekostas av exploatören. 4g-masten görs planenligt med planbestämmelsen E för teknisk anläggning. </w:t>
      </w:r>
    </w:p>
    <w:p>
      <w:pPr>
        <w:pStyle w:val="P32"/>
      </w:pPr>
      <w:bookmarkEnd w:id="229"/>
    </w:p>
    <w:p>
      <w:pPr>
        <w:pStyle w:val="P36"/>
        <w:rPr>
          <w:noProof w:val="0"/>
        </w:rPr>
      </w:pPr>
      <w:bookmarkStart w:id="230" w:name="_Toc207616166"/>
      <w:bookmarkStart w:id="231" w:name="pf_6_13tekniskförsörjning04"/>
      <w:r>
        <w:rPr>
          <w:noProof w:val="0"/>
        </w:rPr>
        <w:t>Avfall</w:t>
      </w:r>
      <w:bookmarkEnd w:id="230"/>
      <w:r>
        <w:rPr>
          <w:noProof w:val="0"/>
        </w:rPr>
        <w:t xml:space="preserve"> </w:t>
      </w:r>
    </w:p>
    <w:p>
      <w:pPr>
        <w:pStyle w:val="P42"/>
      </w:pPr>
      <w:r>
        <w:t xml:space="preserve">Förutsättningar </w:t>
      </w:r>
    </w:p>
    <w:p>
      <w:pPr>
        <w:pStyle w:val="P32"/>
        <w:rPr>
          <w:rFonts w:ascii="Times New Roman" w:hAnsi="Times New Roman" w:cs="Times New Roman" w:eastAsia="Times New Roman"/>
          <w:sz w:val="24"/>
        </w:rPr>
      </w:pPr>
      <w:r>
        <w:t xml:space="preserve">I Svalövs kommun ansvarar </w:t>
      </w:r>
      <w:r>
        <w:rPr>
          <w:rStyle w:val="C35"/>
          <w:b w:val="0"/>
          <w:bCs w:val="0"/>
        </w:rPr>
        <w:t>LSR</w:t>
      </w:r>
      <w:r>
        <w:t xml:space="preserve"> för avfallshanteringen, inklusive sophämtning och återvinningscentraler. Företag som genererar hushållsliknande avfall omfattas av kommunens avfallshantering, medan verksamhetsavfall hanteras av privata aktörer.</w:t>
      </w:r>
    </w:p>
    <w:p>
      <w:pPr>
        <w:pStyle w:val="P32"/>
      </w:pPr>
      <w:bookmarkEnd w:id="231"/>
      <w:bookmarkStart w:id="232" w:name="ko_annat11"/>
    </w:p>
    <w:p>
      <w:pPr>
        <w:pStyle w:val="P42"/>
      </w:pPr>
      <w:r>
        <w:t>Konsekvenser</w:t>
      </w:r>
    </w:p>
    <w:p>
      <w:pPr>
        <w:pStyle w:val="P32"/>
      </w:pPr>
      <w:r>
        <w:t>En träningslokal producerar främst hushållsliknande avfall och kan teckna ett abonnemang med LSR för hämtning. Verksamhetsavfall, såsom elektronik eller farligt avfall, ska hanteras enligt gällande föreskrifter.</w:t>
      </w:r>
    </w:p>
    <w:p>
      <w:pPr>
        <w:pStyle w:val="P37"/>
      </w:pPr>
    </w:p>
    <w:p>
      <w:pPr>
        <w:pStyle w:val="P32"/>
        <w:rPr>
          <w:rFonts w:ascii="Times New Roman" w:hAnsi="Times New Roman" w:cs="Times New Roman" w:eastAsia="Times New Roman"/>
          <w:sz w:val="24"/>
        </w:rPr>
      </w:pPr>
      <w:r>
        <w:t xml:space="preserve">Inom användningsbestämmelsen </w:t>
      </w:r>
      <w:r>
        <w:rPr>
          <w:rStyle w:val="C35"/>
          <w:b w:val="0"/>
          <w:bCs w:val="0"/>
        </w:rPr>
        <w:t>Z – verksamheter</w:t>
      </w:r>
      <w:r>
        <w:t xml:space="preserve"> kan olika typer av verksamheter bedrivas, såsom service, lager och tillverkning med tillhörande försäljning. Avfallshanteringen för en sådan verksamhet beror på verksamhetens art och omfattning.</w:t>
      </w:r>
    </w:p>
    <w:p>
      <w:pPr>
        <w:pStyle w:val="P32"/>
      </w:pPr>
      <w:r>
        <w:t xml:space="preserve">Hushållsliknande avfall omfattas av den kommunala avfallshanteringen och kan hämtas genom abonnemang hos </w:t>
      </w:r>
      <w:r>
        <w:rPr>
          <w:rStyle w:val="C35"/>
          <w:b w:val="0"/>
          <w:bCs w:val="0"/>
        </w:rPr>
        <w:t>LSR</w:t>
      </w:r>
      <w:r>
        <w:t>. Verksamhetsavfall, såsom emballage, träspill eller metall, hanteras av privata avfallsaktörer eller genom återvinning på anvisade platser. Farligt avfall, exempelvis kemikalier eller elektronik, ska omhändertas enligt gällande lagstiftning och rapporteras vid behov till miljöförbundet.</w:t>
      </w:r>
    </w:p>
    <w:p>
      <w:pPr>
        <w:pStyle w:val="P32"/>
      </w:pPr>
    </w:p>
    <w:p>
      <w:pPr>
        <w:pStyle w:val="P32"/>
      </w:pPr>
      <w:r>
        <w:t xml:space="preserve">För att säkerställa en fungerande avfallshantering bör verksamheten ha tydliga rutiner för sortering och lagring av avfall samt avtal med relevanta avfallsaktörer. Utförande och placering av avfallsutrymmen och kärl samt hanteringsytor kring dessa ska ske enligt anvisningar från LSR </w:t>
      </w:r>
      <w:r>
        <w:rPr>
          <w:sz w:val="22"/>
          <w:szCs w:val="22"/>
        </w:rPr>
        <w:t xml:space="preserve">Landskrona - Svalövs Renhållnings </w:t>
      </w:r>
      <w:r>
        <w:t xml:space="preserve">AB. </w:t>
      </w:r>
    </w:p>
    <w:p>
      <w:pPr>
        <w:pStyle w:val="P32"/>
      </w:pPr>
      <w:bookmarkEnd w:id="232"/>
    </w:p>
    <w:p>
      <w:pPr>
        <w:pStyle w:val="P32"/>
      </w:pPr>
    </w:p>
    <w:p>
      <w:pPr>
        <w:pStyle w:val="P35"/>
        <w:rPr>
          <w:noProof w:val="0"/>
        </w:rPr>
      </w:pPr>
      <w:bookmarkStart w:id="233" w:name="_Toc89446052"/>
      <w:bookmarkStart w:id="234" w:name="_Toc207616167"/>
      <w:bookmarkStart w:id="235" w:name="pf_sociala01"/>
      <w:r>
        <w:rPr>
          <w:noProof w:val="0"/>
        </w:rPr>
        <w:t>S</w:t>
      </w:r>
      <w:bookmarkEnd w:id="233"/>
      <w:r>
        <w:rPr>
          <w:noProof w:val="0"/>
        </w:rPr>
        <w:t>ociala frågor</w:t>
      </w:r>
      <w:bookmarkEnd w:id="234"/>
    </w:p>
    <w:p>
      <w:pPr>
        <w:pStyle w:val="P42"/>
      </w:pPr>
      <w:r>
        <w:t>Förutsättningar</w:t>
      </w:r>
    </w:p>
    <w:p>
      <w:pPr>
        <w:pStyle w:val="P32"/>
      </w:pPr>
      <w:r>
        <w:t>För närvarande bedrivs ingen verksamhet inom området.</w:t>
      </w:r>
    </w:p>
    <w:p>
      <w:pPr>
        <w:pStyle w:val="P37"/>
      </w:pPr>
      <w:bookmarkEnd w:id="235"/>
    </w:p>
    <w:p>
      <w:pPr>
        <w:pStyle w:val="P42"/>
      </w:pPr>
      <w:bookmarkStart w:id="236" w:name="ko_annat12"/>
      <w:r>
        <w:t>Konsekvenser</w:t>
      </w:r>
    </w:p>
    <w:p>
      <w:pPr>
        <w:pStyle w:val="P32"/>
        <w:rPr>
          <w:rFonts w:ascii="Times New Roman" w:hAnsi="Times New Roman" w:cs="Times New Roman" w:eastAsia="Times New Roman"/>
          <w:sz w:val="24"/>
        </w:rPr>
      </w:pPr>
      <w:r>
        <w:t xml:space="preserve">Etableringen av en </w:t>
      </w:r>
      <w:r>
        <w:rPr>
          <w:rStyle w:val="C35"/>
          <w:b w:val="0"/>
          <w:bCs w:val="0"/>
        </w:rPr>
        <w:t>träningslokal</w:t>
      </w:r>
      <w:r>
        <w:t xml:space="preserve"> eller en framtida </w:t>
      </w:r>
      <w:r>
        <w:rPr>
          <w:rStyle w:val="C35"/>
          <w:b w:val="0"/>
          <w:bCs w:val="0"/>
        </w:rPr>
        <w:t>Z-verksamhet</w:t>
      </w:r>
      <w:r>
        <w:t xml:space="preserve"> kan bidra till sysselsättningen i Svalövs kommun.</w:t>
      </w:r>
    </w:p>
    <w:p>
      <w:pPr>
        <w:pStyle w:val="P32"/>
      </w:pPr>
    </w:p>
    <w:p>
      <w:pPr>
        <w:pStyle w:val="P32"/>
      </w:pPr>
      <w:r>
        <w:t xml:space="preserve">En </w:t>
      </w:r>
      <w:r>
        <w:rPr>
          <w:rStyle w:val="C35"/>
          <w:b w:val="0"/>
          <w:bCs w:val="0"/>
        </w:rPr>
        <w:t>träningslokal</w:t>
      </w:r>
      <w:r>
        <w:t xml:space="preserve"> skapar främst behov av personal för kundservice, instruktörer och lokalvård, men påverkan blir begränsad om gymmet är obemannat stora delar av dagen.</w:t>
      </w:r>
    </w:p>
    <w:p>
      <w:pPr>
        <w:pStyle w:val="P32"/>
      </w:pPr>
      <w:r>
        <w:t xml:space="preserve">En </w:t>
      </w:r>
      <w:r>
        <w:rPr>
          <w:rStyle w:val="C35"/>
          <w:b w:val="0"/>
          <w:bCs w:val="0"/>
        </w:rPr>
        <w:t>Z-verksamhet</w:t>
      </w:r>
      <w:r>
        <w:t>, exempelvis lager, produktion eller service, kan generera fler arbetstillfällen, både direkt och genom ökad efterfrågan på transporter och underhåll. På längre sikt kan etableringen stärka det lokala näringslivet och bidra till fler jobb i kommunen.</w:t>
      </w:r>
    </w:p>
    <w:p>
      <w:pPr>
        <w:pStyle w:val="P37"/>
      </w:pPr>
      <w:bookmarkEnd w:id="236"/>
      <w:bookmarkStart w:id="237" w:name="pf_sociala02"/>
    </w:p>
    <w:p>
      <w:pPr>
        <w:pStyle w:val="P36"/>
        <w:rPr>
          <w:noProof w:val="0"/>
        </w:rPr>
      </w:pPr>
      <w:bookmarkStart w:id="238" w:name="_Toc207616168"/>
      <w:r>
        <w:rPr>
          <w:noProof w:val="0"/>
        </w:rPr>
        <w:t>Barn</w:t>
      </w:r>
      <w:bookmarkEnd w:id="238"/>
    </w:p>
    <w:p>
      <w:pPr>
        <w:pStyle w:val="P42"/>
      </w:pPr>
      <w:r>
        <w:t xml:space="preserve">Förutsättningar </w:t>
      </w:r>
    </w:p>
    <w:p>
      <w:pPr>
        <w:pStyle w:val="P32"/>
      </w:pPr>
      <w:r>
        <w:t>För närvarande bedrivs ingen verksamhet inom området.</w:t>
      </w:r>
    </w:p>
    <w:p>
      <w:pPr>
        <w:pStyle w:val="P42"/>
        <w:ind w:left="0"/>
      </w:pPr>
      <w:bookmarkEnd w:id="237"/>
    </w:p>
    <w:p>
      <w:pPr>
        <w:pStyle w:val="P42"/>
      </w:pPr>
      <w:bookmarkStart w:id="239" w:name="ko_barn01"/>
      <w:r>
        <w:t>Konsekvenser</w:t>
      </w:r>
    </w:p>
    <w:p>
      <w:pPr>
        <w:pStyle w:val="P32"/>
      </w:pPr>
      <w:r>
        <w:t>Ett gym kan ge tonåringar en positiv fritidssysselsättning och främja en hälsosam livsstil. Styrketräning rekommenderas från cirka 13–15 år, beroende på mognad och teknikfokus. Tillgång till gym kan stärka självkänslan, öka gemenskapen och minska risken för stillasittande vanor.</w:t>
      </w:r>
    </w:p>
    <w:p>
      <w:pPr>
        <w:pStyle w:val="P37"/>
      </w:pPr>
      <w:bookmarkEnd w:id="239"/>
    </w:p>
    <w:p>
      <w:pPr>
        <w:pStyle w:val="P36"/>
        <w:rPr>
          <w:noProof w:val="0"/>
        </w:rPr>
      </w:pPr>
      <w:bookmarkStart w:id="240" w:name="_Toc207616169"/>
      <w:bookmarkStart w:id="241" w:name="pf_sociala03"/>
      <w:r>
        <w:rPr>
          <w:noProof w:val="0"/>
        </w:rPr>
        <w:t>Jämlikhet</w:t>
      </w:r>
      <w:bookmarkEnd w:id="240"/>
    </w:p>
    <w:p>
      <w:pPr>
        <w:pStyle w:val="P42"/>
      </w:pPr>
      <w:r>
        <w:t>Förutsättningar</w:t>
      </w:r>
    </w:p>
    <w:p>
      <w:pPr>
        <w:pStyle w:val="P32"/>
      </w:pPr>
      <w:r>
        <w:t>För närvarande bedrivs ingen verksamhet inom området.</w:t>
      </w:r>
    </w:p>
    <w:p>
      <w:pPr>
        <w:pStyle w:val="P32"/>
      </w:pPr>
      <w:bookmarkEnd w:id="241"/>
    </w:p>
    <w:p>
      <w:pPr>
        <w:pStyle w:val="P42"/>
      </w:pPr>
      <w:bookmarkStart w:id="242" w:name="ko_jämlikhet01"/>
      <w:r>
        <w:t>Konsekvenser</w:t>
      </w:r>
    </w:p>
    <w:p>
      <w:pPr>
        <w:pStyle w:val="P32"/>
      </w:pPr>
      <w:r>
        <w:t>Etableringen av ett gym kan bidra till ökad jämlikhet genom att göra fysisk träning mer tillgänglig för olika grupper i samhället. Regelbunden träning har positiva effekter på både fysisk och mental hälsa, vilket kan minska skillnader i hälsostatus mellan olika socioekonomiska grupper. Om gymmet erbjuder anpassade öppettider och träningsmöjligheter för exempelvis äldre och personer med funktionsvariationer, kan det bidra till att fler får möjlighet att ta del av hälsofördelarna.</w:t>
      </w:r>
    </w:p>
    <w:p>
      <w:pPr>
        <w:pStyle w:val="P34"/>
        <w:rPr>
          <w:noProof w:val="0"/>
        </w:rPr>
      </w:pPr>
      <w:bookmarkEnd w:id="242"/>
      <w:bookmarkStart w:id="243" w:name="_Toc207616170"/>
      <w:r>
        <w:rPr>
          <w:noProof w:val="0"/>
        </w:rPr>
        <w:t>Planeringsunderlag</w:t>
      </w:r>
      <w:bookmarkEnd w:id="243"/>
    </w:p>
    <w:p>
      <w:pPr>
        <w:pStyle w:val="P35"/>
        <w:rPr>
          <w:noProof w:val="0"/>
        </w:rPr>
      </w:pPr>
      <w:bookmarkStart w:id="244" w:name="_Toc89446058"/>
      <w:bookmarkStart w:id="245" w:name="_Toc207616171"/>
      <w:r>
        <w:rPr>
          <w:noProof w:val="0"/>
        </w:rPr>
        <w:t>K</w:t>
      </w:r>
      <w:bookmarkEnd w:id="244"/>
      <w:r>
        <w:rPr>
          <w:noProof w:val="0"/>
        </w:rPr>
        <w:t>ommunala</w:t>
      </w:r>
      <w:bookmarkEnd w:id="245"/>
      <w:bookmarkStart w:id="246" w:name="pu_kommunala01"/>
    </w:p>
    <w:p>
      <w:pPr>
        <w:pStyle w:val="P37"/>
      </w:pPr>
    </w:p>
    <w:p>
      <w:pPr>
        <w:pStyle w:val="P36"/>
        <w:rPr>
          <w:noProof w:val="0"/>
        </w:rPr>
      </w:pPr>
      <w:bookmarkEnd w:id="246"/>
      <w:bookmarkStart w:id="247" w:name="_Toc89446059"/>
      <w:bookmarkStart w:id="248" w:name="_Toc207616172"/>
      <w:r>
        <w:rPr>
          <w:noProof w:val="0"/>
        </w:rPr>
        <w:t>D</w:t>
      </w:r>
      <w:bookmarkEnd w:id="247"/>
      <w:r>
        <w:rPr>
          <w:noProof w:val="0"/>
        </w:rPr>
        <w:t>etaljplan</w:t>
      </w:r>
      <w:bookmarkEnd w:id="248"/>
    </w:p>
    <w:p>
      <w:pPr>
        <w:pStyle w:val="P32"/>
      </w:pPr>
      <w:bookmarkStart w:id="249" w:name="pu_detaljplan01"/>
      <w:r>
        <w:t>Stadsplan</w:t>
      </w:r>
      <w:r>
        <w:rPr>
          <w:color w:val="FF0000"/>
        </w:rPr>
        <w:t xml:space="preserve"> </w:t>
      </w:r>
      <w:r>
        <w:t>för Södra Svalöv 3:10 och Felestad 5:38 m fl., kommunens aktbeteckning 1068, lantmäteriets aktbeteckning 12-SVA-471, laga kraft 1981-03-27, lagringsplats: Fysiskt arkiv, Svalövs kommun</w:t>
      </w:r>
    </w:p>
    <w:p>
      <w:pPr>
        <w:pStyle w:val="P32"/>
      </w:pPr>
      <w:bookmarkEnd w:id="249"/>
      <w:bookmarkStart w:id="250" w:name="pu_planprogram01"/>
    </w:p>
    <w:p>
      <w:pPr>
        <w:pStyle w:val="P36"/>
        <w:rPr>
          <w:noProof w:val="0"/>
        </w:rPr>
      </w:pPr>
      <w:bookmarkEnd w:id="250"/>
      <w:bookmarkStart w:id="251" w:name="_Toc89446061"/>
      <w:bookmarkStart w:id="252" w:name="_Toc207616173"/>
      <w:r>
        <w:rPr>
          <w:noProof w:val="0"/>
        </w:rPr>
        <w:t>G</w:t>
      </w:r>
      <w:bookmarkEnd w:id="251"/>
      <w:r>
        <w:rPr>
          <w:noProof w:val="0"/>
        </w:rPr>
        <w:t>rundkarta</w:t>
      </w:r>
      <w:bookmarkEnd w:id="252"/>
    </w:p>
    <w:p>
      <w:pPr>
        <w:pStyle w:val="P32"/>
      </w:pPr>
      <w:bookmarkStart w:id="253" w:name="pu_grundkarta01"/>
      <w:r>
        <w:t>Grundkarta för Felestad 5:66, SWECO 2025-01-31, lagringsplats: Fysiskt arkiv, Svalövs kommun</w:t>
      </w:r>
    </w:p>
    <w:p>
      <w:pPr>
        <w:pStyle w:val="P32"/>
      </w:pPr>
    </w:p>
    <w:p>
      <w:pPr>
        <w:pStyle w:val="P36"/>
        <w:rPr>
          <w:noProof w:val="0"/>
        </w:rPr>
      </w:pPr>
      <w:bookmarkEnd w:id="253"/>
      <w:bookmarkStart w:id="254" w:name="_Toc89446062"/>
      <w:bookmarkStart w:id="255" w:name="_Toc207616174"/>
      <w:r>
        <w:rPr>
          <w:noProof w:val="0"/>
        </w:rPr>
        <w:t>Ö</w:t>
      </w:r>
      <w:bookmarkEnd w:id="254"/>
      <w:r>
        <w:rPr>
          <w:noProof w:val="0"/>
        </w:rPr>
        <w:t>versiktsplan</w:t>
      </w:r>
      <w:bookmarkEnd w:id="255"/>
    </w:p>
    <w:p>
      <w:pPr>
        <w:pStyle w:val="P32"/>
      </w:pPr>
      <w:bookmarkStart w:id="256" w:name="pu_översiktsplan01"/>
      <w:r>
        <w:t xml:space="preserve">Översiktsplan för Svalövs kommun, ÖP 2040, antagen av kommunfullmäktige 2021-08-30, lagringsplats: </w:t>
      </w:r>
      <w:hyperlink xmlns:r="http://schemas.openxmlformats.org/officeDocument/2006/relationships" r:id="R2">
        <w:r>
          <w:rPr>
            <w:rStyle w:val="C2"/>
          </w:rPr>
          <w:t>https://www.svalov.se/bo-bygg--miljo/oversiktsplan-och-detaljplaner/oversiktsplan</w:t>
        </w:r>
      </w:hyperlink>
    </w:p>
    <w:p>
      <w:pPr>
        <w:pStyle w:val="P32"/>
      </w:pPr>
    </w:p>
    <w:p>
      <w:pPr>
        <w:pStyle w:val="P36"/>
        <w:rPr>
          <w:noProof w:val="0"/>
        </w:rPr>
      </w:pPr>
      <w:bookmarkEnd w:id="256"/>
      <w:bookmarkStart w:id="257" w:name="_Toc89446063"/>
      <w:bookmarkStart w:id="258" w:name="_Toc207616175"/>
      <w:bookmarkStart w:id="259" w:name="pu_undersökningenl6kap6_mb01"/>
      <w:r>
        <w:rPr>
          <w:noProof w:val="0"/>
        </w:rPr>
        <w:t xml:space="preserve">Undersökning enligt 6 kap. 6 § </w:t>
      </w:r>
      <w:r>
        <w:rPr>
          <w:noProof w:val="0"/>
          <w:lang w:bidi="sv-SE"/>
        </w:rPr>
        <w:t xml:space="preserve">miljöbalken </w:t>
      </w:r>
      <w:r>
        <w:rPr>
          <w:noProof w:val="0"/>
        </w:rPr>
        <w:t>(</w:t>
      </w:r>
      <w:r>
        <w:rPr>
          <w:noProof w:val="0"/>
          <w:lang w:bidi="sv-SE"/>
        </w:rPr>
        <w:t>1998</w:t>
      </w:r>
      <w:r>
        <w:rPr>
          <w:noProof w:val="0"/>
        </w:rPr>
        <w:t>:</w:t>
      </w:r>
      <w:r>
        <w:rPr>
          <w:noProof w:val="0"/>
          <w:lang w:bidi="sv-SE"/>
        </w:rPr>
        <w:t>808</w:t>
      </w:r>
      <w:r>
        <w:rPr>
          <w:noProof w:val="0"/>
        </w:rPr>
        <w:t>)</w:t>
      </w:r>
      <w:bookmarkEnd w:id="257"/>
      <w:bookmarkEnd w:id="258"/>
    </w:p>
    <w:p>
      <w:pPr>
        <w:pStyle w:val="P32"/>
      </w:pPr>
      <w:r>
        <w:t xml:space="preserve">Undersökning av miljöbedömning, detaljplan för Felestad 5:66, </w:t>
      </w:r>
      <w:r>
        <w:rPr>
          <w:sz w:val="22"/>
        </w:rPr>
        <w:t>2025-01-16</w:t>
      </w:r>
      <w:r>
        <w:t>, lagringsplats: Fysiskt arkiv</w:t>
      </w:r>
      <w:bookmarkStart w:id="260" w:name="pu_miljökonsekvensbeskrivning01"/>
    </w:p>
    <w:p>
      <w:pPr>
        <w:pStyle w:val="P32"/>
      </w:pPr>
      <w:bookmarkEnd w:id="259"/>
    </w:p>
    <w:p>
      <w:pPr>
        <w:pStyle w:val="P36"/>
        <w:rPr>
          <w:noProof w:val="0"/>
        </w:rPr>
      </w:pPr>
      <w:bookmarkEnd w:id="260"/>
      <w:bookmarkStart w:id="261" w:name="_Toc207616176"/>
      <w:bookmarkStart w:id="262" w:name="pu_annat01"/>
      <w:r>
        <w:rPr>
          <w:noProof w:val="0"/>
        </w:rPr>
        <w:t>Särskilt beslut om betydande miljöpåverkan</w:t>
      </w:r>
      <w:bookmarkEnd w:id="261"/>
    </w:p>
    <w:p>
      <w:pPr>
        <w:pStyle w:val="P32"/>
        <w:rPr>
          <w:color w:val="FF0000"/>
        </w:rPr>
      </w:pPr>
      <w:r>
        <w:t>Beslut om betydande miljöpåverkan, SBN 2025-04-15 § 48, lagringsplats: Fysiskt arkiv</w:t>
      </w:r>
    </w:p>
    <w:p>
      <w:pPr>
        <w:pStyle w:val="P32"/>
      </w:pPr>
    </w:p>
    <w:p>
      <w:pPr>
        <w:pStyle w:val="P36"/>
        <w:rPr>
          <w:noProof w:val="0"/>
          <w:color w:val="auto"/>
        </w:rPr>
      </w:pPr>
      <w:bookmarkStart w:id="263" w:name="_Toc207616177"/>
      <w:r>
        <w:rPr>
          <w:noProof w:val="0"/>
          <w:color w:val="auto"/>
        </w:rPr>
        <w:t>Arkitekturpolicy</w:t>
      </w:r>
      <w:bookmarkEnd w:id="263"/>
      <w:r>
        <w:rPr>
          <w:noProof w:val="0"/>
          <w:color w:val="auto"/>
        </w:rPr>
        <w:t xml:space="preserve"> </w:t>
      </w:r>
    </w:p>
    <w:p>
      <w:pPr>
        <w:pStyle w:val="P32"/>
        <w:rPr>
          <w:color w:val="0000FF"/>
        </w:rPr>
      </w:pPr>
      <w:r>
        <w:t xml:space="preserve">Arkitekturpolicy för Svalövs kommun, antagen av kommunfullmäktige 2021-11-29, lagringsplats: </w:t>
      </w:r>
      <w:hyperlink xmlns:r="http://schemas.openxmlformats.org/officeDocument/2006/relationships" r:id="R3">
        <w:r>
          <w:rPr>
            <w:rStyle w:val="C2"/>
          </w:rPr>
          <w:t>https://www.svalov.se/bo-bygg--miljo/kulturmiljo</w:t>
        </w:r>
      </w:hyperlink>
    </w:p>
    <w:p>
      <w:pPr>
        <w:pStyle w:val="P32"/>
      </w:pPr>
    </w:p>
    <w:p>
      <w:pPr>
        <w:pStyle w:val="P36"/>
        <w:rPr>
          <w:noProof w:val="0"/>
          <w:color w:val="auto"/>
        </w:rPr>
      </w:pPr>
      <w:bookmarkStart w:id="264" w:name="_Toc207616178"/>
      <w:r>
        <w:rPr>
          <w:noProof w:val="0"/>
          <w:color w:val="auto"/>
        </w:rPr>
        <w:t>Cykelplan</w:t>
      </w:r>
      <w:bookmarkEnd w:id="264"/>
    </w:p>
    <w:p>
      <w:pPr>
        <w:pStyle w:val="P32"/>
        <w:rPr>
          <w:color w:val="FF0000"/>
        </w:rPr>
      </w:pPr>
      <w:r>
        <w:t xml:space="preserve">Cykelplan Svalövs kommun 2022, antagen av kommunfullmäktige 2022-06-20, lagringsplats: </w:t>
      </w:r>
      <w:hyperlink xmlns:r="http://schemas.openxmlformats.org/officeDocument/2006/relationships" r:id="R4">
        <w:r>
          <w:rPr>
            <w:rStyle w:val="C2"/>
          </w:rPr>
          <w:t>https://www.svalov.se/download/18.3c8e66b81817fe07f83e123/1656413893932/Cykelplan,%20antagen%202022-06-20.pdf</w:t>
        </w:r>
      </w:hyperlink>
    </w:p>
    <w:p>
      <w:pPr>
        <w:pStyle w:val="P32"/>
      </w:pPr>
    </w:p>
    <w:p>
      <w:pPr>
        <w:pStyle w:val="P36"/>
        <w:rPr>
          <w:noProof w:val="0"/>
          <w:color w:val="auto"/>
        </w:rPr>
      </w:pPr>
      <w:bookmarkStart w:id="265" w:name="_Toc207616179"/>
      <w:r>
        <w:rPr>
          <w:noProof w:val="0"/>
          <w:color w:val="auto"/>
        </w:rPr>
        <w:t>Dagvattenplan</w:t>
      </w:r>
      <w:bookmarkEnd w:id="265"/>
    </w:p>
    <w:p>
      <w:pPr>
        <w:pStyle w:val="P32"/>
        <w:rPr>
          <w:color w:val="0000FF"/>
        </w:rPr>
      </w:pPr>
      <w:r>
        <w:t xml:space="preserve">Dagvattenplan Svalövs kommun, antagen av kommunfullmäktige 2018-06-18, lagringsplats: </w:t>
      </w:r>
      <w:hyperlink xmlns:r="http://schemas.openxmlformats.org/officeDocument/2006/relationships" r:id="R5">
        <w:r>
          <w:rPr>
            <w:rStyle w:val="C2"/>
          </w:rPr>
          <w:t>https://www.svalov.se/download/18.35b6217817c119d563b2fb85/1634812927266/Dagvattenplan,%20antagen%202018-06-18.pdf</w:t>
        </w:r>
      </w:hyperlink>
    </w:p>
    <w:p>
      <w:pPr>
        <w:pStyle w:val="P32"/>
      </w:pPr>
    </w:p>
    <w:p>
      <w:pPr>
        <w:pStyle w:val="P36"/>
        <w:rPr>
          <w:noProof w:val="0"/>
          <w:color w:val="auto"/>
        </w:rPr>
      </w:pPr>
      <w:bookmarkStart w:id="266" w:name="_Toc207616180"/>
      <w:r>
        <w:rPr>
          <w:noProof w:val="0"/>
          <w:color w:val="auto"/>
        </w:rPr>
        <w:t>Dagvattenpolicy</w:t>
      </w:r>
      <w:bookmarkEnd w:id="266"/>
    </w:p>
    <w:p>
      <w:pPr>
        <w:pStyle w:val="P32"/>
      </w:pPr>
      <w:r>
        <w:t xml:space="preserve">Dagvattenpolicy Svalövs kommun, antagen av kommunfullmäktige 2013-03-25, lagringsplats: </w:t>
      </w:r>
      <w:hyperlink xmlns:r="http://schemas.openxmlformats.org/officeDocument/2006/relationships" r:id="R6">
        <w:r>
          <w:rPr>
            <w:rStyle w:val="C2"/>
          </w:rPr>
          <w:t>https://www.svalov.se/download/18.74ee474217c118676f632d46/1635252607986/Dagvattenpolicy%20f%C3%B6r%20Sval%C3%B6v.pdf</w:t>
        </w:r>
      </w:hyperlink>
    </w:p>
    <w:p>
      <w:pPr>
        <w:pStyle w:val="P32"/>
      </w:pPr>
    </w:p>
    <w:p>
      <w:pPr>
        <w:pStyle w:val="P36"/>
        <w:rPr>
          <w:noProof w:val="0"/>
          <w:color w:val="auto"/>
        </w:rPr>
      </w:pPr>
      <w:bookmarkStart w:id="267" w:name="_Toc207616181"/>
      <w:r>
        <w:rPr>
          <w:noProof w:val="0"/>
          <w:color w:val="auto"/>
        </w:rPr>
        <w:t>Naturvårdsprogram</w:t>
      </w:r>
      <w:bookmarkEnd w:id="267"/>
    </w:p>
    <w:p>
      <w:pPr>
        <w:pStyle w:val="P32"/>
        <w:rPr>
          <w:color w:val="0000FF"/>
        </w:rPr>
      </w:pPr>
      <w:r>
        <w:t xml:space="preserve">Naturvårdsprogram Svalövs kommun, antaget av kommunfullmäktige 2017-01-30, lagringsplats: </w:t>
      </w:r>
      <w:hyperlink xmlns:r="http://schemas.openxmlformats.org/officeDocument/2006/relationships" r:id="R7">
        <w:r>
          <w:rPr>
            <w:rStyle w:val="C2"/>
          </w:rPr>
          <w:t>https://www.svalov.se/bo-bygg--miljo/natur--naturvard</w:t>
        </w:r>
      </w:hyperlink>
    </w:p>
    <w:p>
      <w:pPr>
        <w:pStyle w:val="P32"/>
      </w:pPr>
    </w:p>
    <w:p>
      <w:pPr>
        <w:pStyle w:val="P32"/>
      </w:pPr>
    </w:p>
    <w:p>
      <w:pPr>
        <w:pStyle w:val="P36"/>
        <w:rPr>
          <w:noProof w:val="0"/>
        </w:rPr>
      </w:pPr>
      <w:bookmarkStart w:id="268" w:name="_Toc207616182"/>
      <w:r>
        <w:rPr>
          <w:noProof w:val="0"/>
        </w:rPr>
        <w:t>Parkeringsriktlinjer</w:t>
      </w:r>
      <w:bookmarkEnd w:id="268"/>
    </w:p>
    <w:p>
      <w:pPr>
        <w:pStyle w:val="P32"/>
        <w:rPr>
          <w:color w:val="0000FF"/>
        </w:rPr>
      </w:pPr>
      <w:r>
        <w:t xml:space="preserve">Parkeringsriktlinjer för cykel och bil Svalövs kommun 2021, fastställd av kommunfullmäktige 2022-01-31, lagringsplats: </w:t>
      </w:r>
      <w:hyperlink xmlns:r="http://schemas.openxmlformats.org/officeDocument/2006/relationships" r:id="R8">
        <w:r>
          <w:rPr>
            <w:rStyle w:val="C2"/>
          </w:rPr>
          <w:t>https://www.svalov.se/trafik-gator--parker/parkering--laddplatser</w:t>
        </w:r>
      </w:hyperlink>
    </w:p>
    <w:p>
      <w:pPr>
        <w:pStyle w:val="P32"/>
      </w:pPr>
    </w:p>
    <w:p>
      <w:pPr>
        <w:pStyle w:val="P36"/>
        <w:rPr>
          <w:noProof w:val="0"/>
        </w:rPr>
      </w:pPr>
      <w:bookmarkStart w:id="269" w:name="_Toc207616183"/>
      <w:r>
        <w:rPr>
          <w:noProof w:val="0"/>
        </w:rPr>
        <w:t>Trafikstrategi</w:t>
      </w:r>
      <w:bookmarkEnd w:id="269"/>
    </w:p>
    <w:p>
      <w:pPr>
        <w:pStyle w:val="P32"/>
      </w:pPr>
      <w:r>
        <w:t xml:space="preserve">Trafikstrategi Svalövs kommun 2022, antagen av kommunfullmäktige 2022-02-28, lagringsplats: </w:t>
      </w:r>
      <w:hyperlink xmlns:r="http://schemas.openxmlformats.org/officeDocument/2006/relationships" r:id="R9">
        <w:r>
          <w:rPr>
            <w:rStyle w:val="C2"/>
          </w:rPr>
          <w:t>https://www.svalov.se/trafik-gator--parker/trafikregler--trafiksakerhet</w:t>
        </w:r>
      </w:hyperlink>
    </w:p>
    <w:p>
      <w:pPr>
        <w:pStyle w:val="P32"/>
      </w:pPr>
      <w:bookmarkEnd w:id="262"/>
    </w:p>
    <w:p>
      <w:pPr>
        <w:pStyle w:val="P34"/>
      </w:pPr>
      <w:bookmarkStart w:id="270" w:name="_Toc207616184"/>
      <w:bookmarkStart w:id="271" w:name="pu_annat02"/>
      <w:r>
        <w:t>Medverkande tjänstepersoner</w:t>
      </w:r>
      <w:bookmarkEnd w:id="270"/>
    </w:p>
    <w:p>
      <w:pPr>
        <w:pStyle w:val="P32"/>
      </w:pPr>
      <w:r>
        <w:t>Planhandlingarna har upprättats av planarkitekt Hjalmar Christensen, Sektor Samhällsbyggnad. Övriga som varit delaktiga i planarbetet är planarkitekt Clara Ek, plan- och exploateringschef Sofia Tjernström, Sektor Samhällsbyggnad</w:t>
      </w:r>
    </w:p>
    <w:p>
      <w:pPr>
        <w:pStyle w:val="P32"/>
      </w:pPr>
    </w:p>
    <w:p>
      <w:pPr>
        <w:pStyle w:val="P32"/>
        <w:ind w:left="0"/>
      </w:pPr>
    </w:p>
    <w:p>
      <w:pPr>
        <w:pStyle w:val="P32"/>
        <w:ind w:left="0"/>
      </w:pPr>
    </w:p>
    <w:p>
      <w:pPr>
        <w:pStyle w:val="P32"/>
        <w:rPr>
          <w:color w:val="FF0000"/>
        </w:rPr>
      </w:pPr>
      <w:r>
        <w:t xml:space="preserve">Svalövs kommun den </w:t>
      </w:r>
      <w:r>
        <w:rPr>
          <w:rtl w:val="0"/>
          <w:lang w:val="sv-SE" w:bidi="sv-SE" w:eastAsia="sv-SE"/>
        </w:rPr>
        <w:t>20</w:t>
      </w:r>
      <w:r>
        <w:t xml:space="preserve"> </w:t>
      </w:r>
      <w:r>
        <w:rPr>
          <w:rtl w:val="0"/>
          <w:lang w:val="sv-SE" w:bidi="sv-SE" w:eastAsia="sv-SE"/>
        </w:rPr>
        <w:t>oktober</w:t>
      </w:r>
      <w:r>
        <w:t xml:space="preserve"> 2025</w:t>
      </w:r>
    </w:p>
    <w:p>
      <w:pPr>
        <w:pStyle w:val="P32"/>
      </w:pPr>
    </w:p>
    <w:p>
      <w:pPr>
        <w:pStyle w:val="P32"/>
      </w:pPr>
    </w:p>
    <w:p>
      <w:pPr>
        <w:pStyle w:val="P32"/>
      </w:pPr>
    </w:p>
    <w:p>
      <w:pPr>
        <w:pStyle w:val="P32"/>
      </w:pPr>
    </w:p>
    <w:p>
      <w:pPr>
        <w:pStyle w:val="P32"/>
      </w:pPr>
    </w:p>
    <w:p>
      <w:pPr>
        <w:pStyle w:val="P32"/>
      </w:pPr>
    </w:p>
    <w:p>
      <w:pPr>
        <w:pStyle w:val="P32"/>
      </w:pPr>
      <w:r>
        <w:t>Sofia Tjärnström</w:t>
        <w:tab/>
        <w:tab/>
        <w:tab/>
        <w:t>Hjalmar Christensen</w:t>
      </w:r>
    </w:p>
    <w:p>
      <w:pPr>
        <w:pStyle w:val="P32"/>
        <w:rPr>
          <w:color w:val="FF0000"/>
        </w:rPr>
      </w:pPr>
      <w:r>
        <w:t>Plan- och exploateringschef</w:t>
      </w:r>
      <w:r>
        <w:rPr>
          <w:color w:val="FF0000"/>
        </w:rPr>
        <w:tab/>
        <w:tab/>
      </w:r>
      <w:r>
        <w:t>Planarkitekt</w:t>
      </w:r>
    </w:p>
    <w:p>
      <w:pPr>
        <w:pStyle w:val="P32"/>
      </w:pPr>
      <w:hyperlink xmlns:r="http://schemas.openxmlformats.org/officeDocument/2006/relationships" r:id="RA">
        <w:r>
          <w:rPr>
            <w:rStyle w:val="C2"/>
          </w:rPr>
          <w:t>plan@svalov.se</w:t>
        </w:r>
      </w:hyperlink>
      <w:r>
        <w:rPr>
          <w:color w:val="FF0000"/>
        </w:rPr>
        <w:tab/>
        <w:tab/>
        <w:tab/>
      </w:r>
      <w:hyperlink xmlns:r="http://schemas.openxmlformats.org/officeDocument/2006/relationships" r:id="RB">
        <w:r>
          <w:rPr>
            <w:rStyle w:val="C2"/>
          </w:rPr>
          <w:t>plan@svalov.se</w:t>
        </w:r>
      </w:hyperlink>
      <w:bookmarkEnd w:id="271"/>
    </w:p>
    <w:sectPr>
      <w:headerReference xmlns:r="http://schemas.openxmlformats.org/officeDocument/2006/relationships" w:type="first" r:id="RelHdr1"/>
      <w:footerReference xmlns:r="http://schemas.openxmlformats.org/officeDocument/2006/relationships" w:type="first" r:id="RelFtr1"/>
      <w:footerReference xmlns:r="http://schemas.openxmlformats.org/officeDocument/2006/relationships" w:type="default" r:id="RelFtr2"/>
      <w:footerReference xmlns:r="http://schemas.openxmlformats.org/officeDocument/2006/relationships" w:type="even" r:id="RelFtr3"/>
      <w:footnotePr/>
      <w:endnotePr/>
      <w:type w:val="nextPage"/>
      <w:pgSz w:w="11906" w:h="16838" w:code="0"/>
      <w:pgMar w:left="1417" w:right="1417" w:top="1417" w:bottom="1417" w:header="510" w:footer="510" w:gutter="0"/>
      <w:cols w:equalWidth="1" w:space="720"/>
      <w:titlePg w:val="1"/>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r>
        <w:separator/>
      </w:r>
    </w:p>
    <w:p/>
    <w:p/>
  </w:endnote>
  <w:endnote w:type="continuationSeparator" w:id="0">
    <w:p>
      <w:r>
        <w:continuationSeparator/>
      </w:r>
    </w:p>
    <w:p/>
    <w:p/>
  </w:endnote>
  <w:endnote w:type="continuationNotice" w:id="1">
    <w:p/>
    <w:p/>
    <w:p/>
  </w:endnote>
</w:endnotes>
</file>

<file path=word/footer1.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8"/>
    </w:pPr>
    <w:r>
      <w:tab/>
      <w:t>Detaljplan för Felestad 5:66 (Träningslokal)</w:t>
    </w:r>
  </w:p>
  <w:p>
    <w:pPr>
      <w:pStyle w:val="P18"/>
    </w:pPr>
    <w:r>
      <w:tab/>
    </w:r>
    <w:r>
      <w:rPr>
        <w:rtl w:val="0"/>
        <w:lang w:val="sv-SE" w:bidi="sv-SE" w:eastAsia="sv-SE"/>
      </w:rPr>
      <w:t>Laga krafthandling</w:t>
    </w:r>
  </w:p>
</w:ftr>
</file>

<file path=word/footer2.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8"/>
      <w:jc w:val="center"/>
    </w:pPr>
    <w:r>
      <w:fldChar w:fldCharType="begin"/>
    </w:r>
    <w:r>
      <w:instrText xml:space="preserve">PAGE   \* MERGEFORMAT</w:instrText>
    </w:r>
    <w:r>
      <w:fldChar w:fldCharType="separate"/>
    </w:r>
    <w:r>
      <w:t>#</w:t>
    </w:r>
    <w:r>
      <w:fldChar w:fldCharType="end"/>
    </w:r>
  </w:p>
  <w:p>
    <w:pPr>
      <w:pStyle w:val="P18"/>
    </w:pPr>
  </w:p>
</w:ftr>
</file>

<file path=word/footer3.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8"/>
      <w:jc w:val="center"/>
    </w:pPr>
    <w:r>
      <w:fldChar w:fldCharType="begin"/>
    </w:r>
    <w:r>
      <w:instrText xml:space="preserve">PAGE   \* MERGEFORMAT</w:instrText>
    </w:r>
    <w:r>
      <w:fldChar w:fldCharType="separate"/>
    </w:r>
    <w:r>
      <w:t>#</w:t>
    </w:r>
    <w:r>
      <w:fldChar w:fldCharType="end"/>
    </w:r>
  </w:p>
  <w:p>
    <w:pPr>
      <w:pStyle w:val="P18"/>
    </w:pPr>
  </w:p>
</w:ftr>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r>
        <w:separator/>
      </w:r>
    </w:p>
    <w:p/>
    <w:p/>
  </w:footnote>
  <w:footnote w:type="continuationSeparator" w:id="0">
    <w:p>
      <w:r>
        <w:continuationSeparator/>
      </w:r>
    </w:p>
    <w:p/>
    <w:p/>
  </w:footnote>
  <w:footnote w:type="continuationNotice" w:id="1">
    <w:p/>
    <w:p/>
    <w:p/>
  </w:footnote>
</w:footnotes>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7"/>
      <w:ind w:firstLine="0" w:left="7824"/>
    </w:pPr>
    <w:r>
      <w:rPr>
        <w:rtl w:val="0"/>
        <w:lang w:val="sv-SE" w:bidi="sv-SE" w:eastAsia="sv-SE"/>
      </w:rPr>
      <w:t>DP 1223</w:t>
    </w:r>
    <w:r>
      <w:tab/>
      <w:tab/>
    </w:r>
  </w:p>
  <w:p>
    <w:pPr>
      <w:pStyle w:val="P17"/>
      <w:ind w:firstLine="1304" w:left="6520"/>
      <w:rPr>
        <w:sz w:val="18"/>
        <w:szCs w:val="16"/>
      </w:rPr>
    </w:pPr>
    <w:r>
      <w:rPr>
        <w:sz w:val="18"/>
        <w:szCs w:val="16"/>
      </w:rPr>
      <w:t xml:space="preserve">DNR: </w:t>
    </w:r>
  </w:p>
  <w:p>
    <w:pPr>
      <w:pStyle w:val="P17"/>
      <w:ind w:firstLine="1304" w:left="6520"/>
    </w:pPr>
    <w:r>
      <w:rPr>
        <w:sz w:val="18"/>
        <w:szCs w:val="16"/>
      </w:rPr>
      <w:t>SBN 433-2024</w:t>
    </w:r>
  </w:p>
</w:hdr>
</file>

<file path=word/numbering.xml><?xml version="1.0" encoding="utf-8"?>
<w:numbering xmlns:w="http://schemas.openxmlformats.org/wordprocessingml/2006/main">
  <w:abstractNum w:abstractNumId="0">
    <w:nsid w:val="FFFFFF7C"/>
    <w:multiLevelType w:val="hybridMultilevel"/>
    <w:lvl w:ilvl="0">
      <w:start w:val="1"/>
      <w:numFmt w:val="decimal"/>
      <w:suff w:val="tab"/>
      <w:lvlText w:val="%1."/>
      <w:lvlJc w:val="left"/>
      <w:pPr>
        <w:ind w:hanging="360" w:left="1492"/>
        <w:tabs>
          <w:tab w:val="num" w:pos="1492" w:leader="none"/>
        </w:tabs>
      </w:pPr>
      <w:rPr/>
    </w:lvl>
    <w:lvl w:ilvl="1" w:tplc="15832BE5">
      <w:start w:val="1"/>
      <w:numFmt w:val="decimal"/>
      <w:suff w:val="tab"/>
      <w:lvlText w:val="%1."/>
      <w:lvlJc w:val="left"/>
      <w:pPr/>
      <w:rPr/>
    </w:lvl>
    <w:lvl w:ilvl="2" w:tplc="0ACC9BDB">
      <w:start w:val="1"/>
      <w:numFmt w:val="decimal"/>
      <w:suff w:val="tab"/>
      <w:lvlText w:val="%1."/>
      <w:lvlJc w:val="left"/>
      <w:pPr/>
      <w:rPr/>
    </w:lvl>
    <w:lvl w:ilvl="3" w:tplc="03D79B22">
      <w:start w:val="1"/>
      <w:numFmt w:val="decimal"/>
      <w:suff w:val="tab"/>
      <w:lvlText w:val="%1."/>
      <w:lvlJc w:val="left"/>
      <w:pPr/>
      <w:rPr/>
    </w:lvl>
    <w:lvl w:ilvl="4" w:tplc="238BAAE2">
      <w:start w:val="1"/>
      <w:numFmt w:val="decimal"/>
      <w:suff w:val="tab"/>
      <w:lvlText w:val="%1."/>
      <w:lvlJc w:val="left"/>
      <w:pPr/>
      <w:rPr/>
    </w:lvl>
    <w:lvl w:ilvl="5" w:tplc="6D14EBA5">
      <w:start w:val="1"/>
      <w:numFmt w:val="decimal"/>
      <w:suff w:val="tab"/>
      <w:lvlText w:val="%1."/>
      <w:lvlJc w:val="left"/>
      <w:pPr/>
      <w:rPr/>
    </w:lvl>
    <w:lvl w:ilvl="6" w:tplc="31732721">
      <w:start w:val="1"/>
      <w:numFmt w:val="decimal"/>
      <w:suff w:val="tab"/>
      <w:lvlText w:val="%1."/>
      <w:lvlJc w:val="left"/>
      <w:pPr/>
      <w:rPr/>
    </w:lvl>
    <w:lvl w:ilvl="7" w:tplc="7E40F445">
      <w:start w:val="1"/>
      <w:numFmt w:val="decimal"/>
      <w:suff w:val="tab"/>
      <w:lvlText w:val="%1."/>
      <w:lvlJc w:val="left"/>
      <w:pPr/>
      <w:rPr/>
    </w:lvl>
    <w:lvl w:ilvl="8" w:tplc="3639A4AD">
      <w:start w:val="1"/>
      <w:numFmt w:val="decimal"/>
      <w:suff w:val="tab"/>
      <w:lvlText w:val="%1."/>
      <w:lvlJc w:val="left"/>
      <w:pPr/>
      <w:rPr/>
    </w:lvl>
  </w:abstractNum>
  <w:abstractNum w:abstractNumId="1">
    <w:nsid w:val="FFFFFF7D"/>
    <w:multiLevelType w:val="hybridMultilevel"/>
    <w:lvl w:ilvl="0">
      <w:start w:val="1"/>
      <w:numFmt w:val="decimal"/>
      <w:suff w:val="tab"/>
      <w:lvlText w:val="%1."/>
      <w:lvlJc w:val="left"/>
      <w:pPr>
        <w:ind w:hanging="360" w:left="1209"/>
        <w:tabs>
          <w:tab w:val="num" w:pos="1209" w:leader="none"/>
        </w:tabs>
      </w:pPr>
      <w:rPr/>
    </w:lvl>
    <w:lvl w:ilvl="1" w:tplc="27B23243">
      <w:start w:val="1"/>
      <w:numFmt w:val="decimal"/>
      <w:suff w:val="tab"/>
      <w:lvlText w:val="%1."/>
      <w:lvlJc w:val="left"/>
      <w:pPr/>
      <w:rPr/>
    </w:lvl>
    <w:lvl w:ilvl="2" w:tplc="6311C85A">
      <w:start w:val="1"/>
      <w:numFmt w:val="decimal"/>
      <w:suff w:val="tab"/>
      <w:lvlText w:val="%1."/>
      <w:lvlJc w:val="left"/>
      <w:pPr/>
      <w:rPr/>
    </w:lvl>
    <w:lvl w:ilvl="3" w:tplc="3EC37FA3">
      <w:start w:val="1"/>
      <w:numFmt w:val="decimal"/>
      <w:suff w:val="tab"/>
      <w:lvlText w:val="%1."/>
      <w:lvlJc w:val="left"/>
      <w:pPr/>
      <w:rPr/>
    </w:lvl>
    <w:lvl w:ilvl="4" w:tplc="6298E173">
      <w:start w:val="1"/>
      <w:numFmt w:val="decimal"/>
      <w:suff w:val="tab"/>
      <w:lvlText w:val="%1."/>
      <w:lvlJc w:val="left"/>
      <w:pPr/>
      <w:rPr/>
    </w:lvl>
    <w:lvl w:ilvl="5" w:tplc="120289CD">
      <w:start w:val="1"/>
      <w:numFmt w:val="decimal"/>
      <w:suff w:val="tab"/>
      <w:lvlText w:val="%1."/>
      <w:lvlJc w:val="left"/>
      <w:pPr/>
      <w:rPr/>
    </w:lvl>
    <w:lvl w:ilvl="6" w:tplc="5F85CE63">
      <w:start w:val="1"/>
      <w:numFmt w:val="decimal"/>
      <w:suff w:val="tab"/>
      <w:lvlText w:val="%1."/>
      <w:lvlJc w:val="left"/>
      <w:pPr/>
      <w:rPr/>
    </w:lvl>
    <w:lvl w:ilvl="7" w:tplc="37DE2E0B">
      <w:start w:val="1"/>
      <w:numFmt w:val="decimal"/>
      <w:suff w:val="tab"/>
      <w:lvlText w:val="%1."/>
      <w:lvlJc w:val="left"/>
      <w:pPr/>
      <w:rPr/>
    </w:lvl>
    <w:lvl w:ilvl="8" w:tplc="5A5F2B82">
      <w:start w:val="1"/>
      <w:numFmt w:val="decimal"/>
      <w:suff w:val="tab"/>
      <w:lvlText w:val="%1."/>
      <w:lvlJc w:val="left"/>
      <w:pPr/>
      <w:rPr/>
    </w:lvl>
  </w:abstractNum>
  <w:abstractNum w:abstractNumId="2">
    <w:nsid w:val="FFFFFF7E"/>
    <w:multiLevelType w:val="hybridMultilevel"/>
    <w:lvl w:ilvl="0">
      <w:start w:val="1"/>
      <w:numFmt w:val="decimal"/>
      <w:suff w:val="tab"/>
      <w:lvlText w:val="%1."/>
      <w:lvlJc w:val="left"/>
      <w:pPr>
        <w:ind w:hanging="360" w:left="926"/>
        <w:tabs>
          <w:tab w:val="num" w:pos="926" w:leader="none"/>
        </w:tabs>
      </w:pPr>
      <w:rPr/>
    </w:lvl>
    <w:lvl w:ilvl="1" w:tplc="35FFDB6A">
      <w:start w:val="1"/>
      <w:numFmt w:val="decimal"/>
      <w:suff w:val="tab"/>
      <w:lvlText w:val="%1."/>
      <w:lvlJc w:val="left"/>
      <w:pPr/>
      <w:rPr/>
    </w:lvl>
    <w:lvl w:ilvl="2" w:tplc="33A49954">
      <w:start w:val="1"/>
      <w:numFmt w:val="decimal"/>
      <w:suff w:val="tab"/>
      <w:lvlText w:val="%1."/>
      <w:lvlJc w:val="left"/>
      <w:pPr/>
      <w:rPr/>
    </w:lvl>
    <w:lvl w:ilvl="3" w:tplc="16CAB6B3">
      <w:start w:val="1"/>
      <w:numFmt w:val="decimal"/>
      <w:suff w:val="tab"/>
      <w:lvlText w:val="%1."/>
      <w:lvlJc w:val="left"/>
      <w:pPr/>
      <w:rPr/>
    </w:lvl>
    <w:lvl w:ilvl="4" w:tplc="5DA7ECEC">
      <w:start w:val="1"/>
      <w:numFmt w:val="decimal"/>
      <w:suff w:val="tab"/>
      <w:lvlText w:val="%1."/>
      <w:lvlJc w:val="left"/>
      <w:pPr/>
      <w:rPr/>
    </w:lvl>
    <w:lvl w:ilvl="5" w:tplc="2551809A">
      <w:start w:val="1"/>
      <w:numFmt w:val="decimal"/>
      <w:suff w:val="tab"/>
      <w:lvlText w:val="%1."/>
      <w:lvlJc w:val="left"/>
      <w:pPr/>
      <w:rPr/>
    </w:lvl>
    <w:lvl w:ilvl="6" w:tplc="415257F4">
      <w:start w:val="1"/>
      <w:numFmt w:val="decimal"/>
      <w:suff w:val="tab"/>
      <w:lvlText w:val="%1."/>
      <w:lvlJc w:val="left"/>
      <w:pPr/>
      <w:rPr/>
    </w:lvl>
    <w:lvl w:ilvl="7" w:tplc="61ED4C08">
      <w:start w:val="1"/>
      <w:numFmt w:val="decimal"/>
      <w:suff w:val="tab"/>
      <w:lvlText w:val="%1."/>
      <w:lvlJc w:val="left"/>
      <w:pPr/>
      <w:rPr/>
    </w:lvl>
    <w:lvl w:ilvl="8" w:tplc="6F7EC20D">
      <w:start w:val="1"/>
      <w:numFmt w:val="decimal"/>
      <w:suff w:val="tab"/>
      <w:lvlText w:val="%1."/>
      <w:lvlJc w:val="left"/>
      <w:pPr/>
      <w:rPr/>
    </w:lvl>
  </w:abstractNum>
  <w:abstractNum w:abstractNumId="3">
    <w:nsid w:val="FFFFFF7F"/>
    <w:multiLevelType w:val="hybridMultilevel"/>
    <w:lvl w:ilvl="0">
      <w:start w:val="1"/>
      <w:numFmt w:val="decimal"/>
      <w:suff w:val="tab"/>
      <w:lvlText w:val="%1."/>
      <w:lvlJc w:val="left"/>
      <w:pPr>
        <w:ind w:hanging="360" w:left="643"/>
        <w:tabs>
          <w:tab w:val="num" w:pos="643" w:leader="none"/>
        </w:tabs>
      </w:pPr>
      <w:rPr/>
    </w:lvl>
    <w:lvl w:ilvl="1" w:tplc="147CE0F2">
      <w:start w:val="1"/>
      <w:numFmt w:val="decimal"/>
      <w:suff w:val="tab"/>
      <w:lvlText w:val="%1."/>
      <w:lvlJc w:val="left"/>
      <w:pPr/>
      <w:rPr/>
    </w:lvl>
    <w:lvl w:ilvl="2" w:tplc="13A12FD0">
      <w:start w:val="1"/>
      <w:numFmt w:val="decimal"/>
      <w:suff w:val="tab"/>
      <w:lvlText w:val="%1."/>
      <w:lvlJc w:val="left"/>
      <w:pPr/>
      <w:rPr/>
    </w:lvl>
    <w:lvl w:ilvl="3" w:tplc="02D9E29B">
      <w:start w:val="1"/>
      <w:numFmt w:val="decimal"/>
      <w:suff w:val="tab"/>
      <w:lvlText w:val="%1."/>
      <w:lvlJc w:val="left"/>
      <w:pPr/>
      <w:rPr/>
    </w:lvl>
    <w:lvl w:ilvl="4" w:tplc="1D657CD2">
      <w:start w:val="1"/>
      <w:numFmt w:val="decimal"/>
      <w:suff w:val="tab"/>
      <w:lvlText w:val="%1."/>
      <w:lvlJc w:val="left"/>
      <w:pPr/>
      <w:rPr/>
    </w:lvl>
    <w:lvl w:ilvl="5" w:tplc="1D653813">
      <w:start w:val="1"/>
      <w:numFmt w:val="decimal"/>
      <w:suff w:val="tab"/>
      <w:lvlText w:val="%1."/>
      <w:lvlJc w:val="left"/>
      <w:pPr/>
      <w:rPr/>
    </w:lvl>
    <w:lvl w:ilvl="6" w:tplc="02031F6C">
      <w:start w:val="1"/>
      <w:numFmt w:val="decimal"/>
      <w:suff w:val="tab"/>
      <w:lvlText w:val="%1."/>
      <w:lvlJc w:val="left"/>
      <w:pPr/>
      <w:rPr/>
    </w:lvl>
    <w:lvl w:ilvl="7" w:tplc="733E8C42">
      <w:start w:val="1"/>
      <w:numFmt w:val="decimal"/>
      <w:suff w:val="tab"/>
      <w:lvlText w:val="%1."/>
      <w:lvlJc w:val="left"/>
      <w:pPr/>
      <w:rPr/>
    </w:lvl>
    <w:lvl w:ilvl="8" w:tplc="5646C0BB">
      <w:start w:val="1"/>
      <w:numFmt w:val="decimal"/>
      <w:suff w:val="tab"/>
      <w:lvlText w:val="%1."/>
      <w:lvlJc w:val="left"/>
      <w:pPr/>
      <w:rPr/>
    </w:lvl>
  </w:abstractNum>
  <w:abstractNum w:abstractNumId="4">
    <w:nsid w:val="FFFFFF80"/>
    <w:multiLevelType w:val="hybridMultilevel"/>
    <w:lvl w:ilvl="0">
      <w:start w:val="1"/>
      <w:numFmt w:val="bullet"/>
      <w:suff w:val="tab"/>
      <w:lvlText w:val=""/>
      <w:lvlJc w:val="left"/>
      <w:pPr>
        <w:ind w:hanging="360" w:left="1492"/>
        <w:tabs>
          <w:tab w:val="num" w:pos="1492" w:leader="none"/>
        </w:tabs>
      </w:pPr>
      <w:rPr>
        <w:rFonts w:ascii="Symbol" w:hAnsi="Symbol" w:hint="default"/>
      </w:rPr>
    </w:lvl>
    <w:lvl w:ilvl="1" w:tplc="1241DCB5">
      <w:start w:val="1"/>
      <w:numFmt w:val="decimal"/>
      <w:suff w:val="tab"/>
      <w:lvlText w:val="%1."/>
      <w:lvlJc w:val="left"/>
      <w:pPr/>
      <w:rPr/>
    </w:lvl>
    <w:lvl w:ilvl="2" w:tplc="1B2F7C56">
      <w:start w:val="1"/>
      <w:numFmt w:val="decimal"/>
      <w:suff w:val="tab"/>
      <w:lvlText w:val="%1."/>
      <w:lvlJc w:val="left"/>
      <w:pPr/>
      <w:rPr/>
    </w:lvl>
    <w:lvl w:ilvl="3" w:tplc="265C1F33">
      <w:start w:val="1"/>
      <w:numFmt w:val="decimal"/>
      <w:suff w:val="tab"/>
      <w:lvlText w:val="%1."/>
      <w:lvlJc w:val="left"/>
      <w:pPr/>
      <w:rPr/>
    </w:lvl>
    <w:lvl w:ilvl="4" w:tplc="351554AC">
      <w:start w:val="1"/>
      <w:numFmt w:val="decimal"/>
      <w:suff w:val="tab"/>
      <w:lvlText w:val="%1."/>
      <w:lvlJc w:val="left"/>
      <w:pPr/>
      <w:rPr/>
    </w:lvl>
    <w:lvl w:ilvl="5" w:tplc="5B9C6221">
      <w:start w:val="1"/>
      <w:numFmt w:val="decimal"/>
      <w:suff w:val="tab"/>
      <w:lvlText w:val="%1."/>
      <w:lvlJc w:val="left"/>
      <w:pPr/>
      <w:rPr/>
    </w:lvl>
    <w:lvl w:ilvl="6" w:tplc="628F3A71">
      <w:start w:val="1"/>
      <w:numFmt w:val="decimal"/>
      <w:suff w:val="tab"/>
      <w:lvlText w:val="%1."/>
      <w:lvlJc w:val="left"/>
      <w:pPr/>
      <w:rPr/>
    </w:lvl>
    <w:lvl w:ilvl="7" w:tplc="650AAEFA">
      <w:start w:val="1"/>
      <w:numFmt w:val="decimal"/>
      <w:suff w:val="tab"/>
      <w:lvlText w:val="%1."/>
      <w:lvlJc w:val="left"/>
      <w:pPr/>
      <w:rPr/>
    </w:lvl>
    <w:lvl w:ilvl="8" w:tplc="1E6509FB">
      <w:start w:val="1"/>
      <w:numFmt w:val="decimal"/>
      <w:suff w:val="tab"/>
      <w:lvlText w:val="%1."/>
      <w:lvlJc w:val="left"/>
      <w:pPr/>
      <w:rPr/>
    </w:lvl>
  </w:abstractNum>
  <w:abstractNum w:abstractNumId="5">
    <w:nsid w:val="FFFFFF81"/>
    <w:multiLevelType w:val="hybridMultilevel"/>
    <w:lvl w:ilvl="0">
      <w:start w:val="1"/>
      <w:numFmt w:val="bullet"/>
      <w:suff w:val="tab"/>
      <w:lvlText w:val=""/>
      <w:lvlJc w:val="left"/>
      <w:pPr>
        <w:ind w:hanging="360" w:left="1209"/>
        <w:tabs>
          <w:tab w:val="num" w:pos="1209" w:leader="none"/>
        </w:tabs>
      </w:pPr>
      <w:rPr>
        <w:rFonts w:ascii="Symbol" w:hAnsi="Symbol" w:hint="default"/>
      </w:rPr>
    </w:lvl>
    <w:lvl w:ilvl="1" w:tplc="6E509DBE">
      <w:start w:val="1"/>
      <w:numFmt w:val="decimal"/>
      <w:suff w:val="tab"/>
      <w:lvlText w:val="%1."/>
      <w:lvlJc w:val="left"/>
      <w:pPr/>
      <w:rPr/>
    </w:lvl>
    <w:lvl w:ilvl="2" w:tplc="00E44C77">
      <w:start w:val="1"/>
      <w:numFmt w:val="decimal"/>
      <w:suff w:val="tab"/>
      <w:lvlText w:val="%1."/>
      <w:lvlJc w:val="left"/>
      <w:pPr/>
      <w:rPr/>
    </w:lvl>
    <w:lvl w:ilvl="3" w:tplc="184FAEC3">
      <w:start w:val="1"/>
      <w:numFmt w:val="decimal"/>
      <w:suff w:val="tab"/>
      <w:lvlText w:val="%1."/>
      <w:lvlJc w:val="left"/>
      <w:pPr/>
      <w:rPr/>
    </w:lvl>
    <w:lvl w:ilvl="4" w:tplc="3FBE4A46">
      <w:start w:val="1"/>
      <w:numFmt w:val="decimal"/>
      <w:suff w:val="tab"/>
      <w:lvlText w:val="%1."/>
      <w:lvlJc w:val="left"/>
      <w:pPr/>
      <w:rPr/>
    </w:lvl>
    <w:lvl w:ilvl="5" w:tplc="5BE09C8D">
      <w:start w:val="1"/>
      <w:numFmt w:val="decimal"/>
      <w:suff w:val="tab"/>
      <w:lvlText w:val="%1."/>
      <w:lvlJc w:val="left"/>
      <w:pPr/>
      <w:rPr/>
    </w:lvl>
    <w:lvl w:ilvl="6" w:tplc="20D877B9">
      <w:start w:val="1"/>
      <w:numFmt w:val="decimal"/>
      <w:suff w:val="tab"/>
      <w:lvlText w:val="%1."/>
      <w:lvlJc w:val="left"/>
      <w:pPr/>
      <w:rPr/>
    </w:lvl>
    <w:lvl w:ilvl="7" w:tplc="2F313BB6">
      <w:start w:val="1"/>
      <w:numFmt w:val="decimal"/>
      <w:suff w:val="tab"/>
      <w:lvlText w:val="%1."/>
      <w:lvlJc w:val="left"/>
      <w:pPr/>
      <w:rPr/>
    </w:lvl>
    <w:lvl w:ilvl="8" w:tplc="298A4947">
      <w:start w:val="1"/>
      <w:numFmt w:val="decimal"/>
      <w:suff w:val="tab"/>
      <w:lvlText w:val="%1."/>
      <w:lvlJc w:val="left"/>
      <w:pPr/>
      <w:rPr/>
    </w:lvl>
  </w:abstractNum>
  <w:abstractNum w:abstractNumId="6">
    <w:nsid w:val="FFFFFF82"/>
    <w:multiLevelType w:val="hybridMultilevel"/>
    <w:lvl w:ilvl="0">
      <w:start w:val="1"/>
      <w:numFmt w:val="bullet"/>
      <w:suff w:val="tab"/>
      <w:lvlText w:val=""/>
      <w:lvlJc w:val="left"/>
      <w:pPr>
        <w:ind w:hanging="360" w:left="926"/>
        <w:tabs>
          <w:tab w:val="num" w:pos="926" w:leader="none"/>
        </w:tabs>
      </w:pPr>
      <w:rPr>
        <w:rFonts w:ascii="Symbol" w:hAnsi="Symbol" w:hint="default"/>
      </w:rPr>
    </w:lvl>
    <w:lvl w:ilvl="1" w:tplc="5FC48B68">
      <w:start w:val="1"/>
      <w:numFmt w:val="decimal"/>
      <w:suff w:val="tab"/>
      <w:lvlText w:val="%1."/>
      <w:lvlJc w:val="left"/>
      <w:pPr/>
      <w:rPr/>
    </w:lvl>
    <w:lvl w:ilvl="2" w:tplc="37DB3EF8">
      <w:start w:val="1"/>
      <w:numFmt w:val="decimal"/>
      <w:suff w:val="tab"/>
      <w:lvlText w:val="%1."/>
      <w:lvlJc w:val="left"/>
      <w:pPr/>
      <w:rPr/>
    </w:lvl>
    <w:lvl w:ilvl="3" w:tplc="657B1B40">
      <w:start w:val="1"/>
      <w:numFmt w:val="decimal"/>
      <w:suff w:val="tab"/>
      <w:lvlText w:val="%1."/>
      <w:lvlJc w:val="left"/>
      <w:pPr/>
      <w:rPr/>
    </w:lvl>
    <w:lvl w:ilvl="4" w:tplc="4285432C">
      <w:start w:val="1"/>
      <w:numFmt w:val="decimal"/>
      <w:suff w:val="tab"/>
      <w:lvlText w:val="%1."/>
      <w:lvlJc w:val="left"/>
      <w:pPr/>
      <w:rPr/>
    </w:lvl>
    <w:lvl w:ilvl="5" w:tplc="419E5ED9">
      <w:start w:val="1"/>
      <w:numFmt w:val="decimal"/>
      <w:suff w:val="tab"/>
      <w:lvlText w:val="%1."/>
      <w:lvlJc w:val="left"/>
      <w:pPr/>
      <w:rPr/>
    </w:lvl>
    <w:lvl w:ilvl="6" w:tplc="7D962997">
      <w:start w:val="1"/>
      <w:numFmt w:val="decimal"/>
      <w:suff w:val="tab"/>
      <w:lvlText w:val="%1."/>
      <w:lvlJc w:val="left"/>
      <w:pPr/>
      <w:rPr/>
    </w:lvl>
    <w:lvl w:ilvl="7" w:tplc="7E3D03CA">
      <w:start w:val="1"/>
      <w:numFmt w:val="decimal"/>
      <w:suff w:val="tab"/>
      <w:lvlText w:val="%1."/>
      <w:lvlJc w:val="left"/>
      <w:pPr/>
      <w:rPr/>
    </w:lvl>
    <w:lvl w:ilvl="8" w:tplc="69C41453">
      <w:start w:val="1"/>
      <w:numFmt w:val="decimal"/>
      <w:suff w:val="tab"/>
      <w:lvlText w:val="%1."/>
      <w:lvlJc w:val="left"/>
      <w:pPr/>
      <w:rPr/>
    </w:lvl>
  </w:abstractNum>
  <w:abstractNum w:abstractNumId="7">
    <w:nsid w:val="FFFFFF83"/>
    <w:multiLevelType w:val="hybridMultilevel"/>
    <w:lvl w:ilvl="0">
      <w:start w:val="1"/>
      <w:numFmt w:val="bullet"/>
      <w:suff w:val="tab"/>
      <w:lvlText w:val=""/>
      <w:lvlJc w:val="left"/>
      <w:pPr>
        <w:ind w:hanging="360" w:left="643"/>
        <w:tabs>
          <w:tab w:val="num" w:pos="643" w:leader="none"/>
        </w:tabs>
      </w:pPr>
      <w:rPr>
        <w:rFonts w:ascii="Symbol" w:hAnsi="Symbol" w:hint="default"/>
      </w:rPr>
    </w:lvl>
    <w:lvl w:ilvl="1" w:tplc="305C7DA3">
      <w:start w:val="1"/>
      <w:numFmt w:val="decimal"/>
      <w:suff w:val="tab"/>
      <w:lvlText w:val="%1."/>
      <w:lvlJc w:val="left"/>
      <w:pPr/>
      <w:rPr/>
    </w:lvl>
    <w:lvl w:ilvl="2" w:tplc="0A4CB671">
      <w:start w:val="1"/>
      <w:numFmt w:val="decimal"/>
      <w:suff w:val="tab"/>
      <w:lvlText w:val="%1."/>
      <w:lvlJc w:val="left"/>
      <w:pPr/>
      <w:rPr/>
    </w:lvl>
    <w:lvl w:ilvl="3" w:tplc="45AC9147">
      <w:start w:val="1"/>
      <w:numFmt w:val="decimal"/>
      <w:suff w:val="tab"/>
      <w:lvlText w:val="%1."/>
      <w:lvlJc w:val="left"/>
      <w:pPr/>
      <w:rPr/>
    </w:lvl>
    <w:lvl w:ilvl="4" w:tplc="3CC06136">
      <w:start w:val="1"/>
      <w:numFmt w:val="decimal"/>
      <w:suff w:val="tab"/>
      <w:lvlText w:val="%1."/>
      <w:lvlJc w:val="left"/>
      <w:pPr/>
      <w:rPr/>
    </w:lvl>
    <w:lvl w:ilvl="5" w:tplc="6F5A5530">
      <w:start w:val="1"/>
      <w:numFmt w:val="decimal"/>
      <w:suff w:val="tab"/>
      <w:lvlText w:val="%1."/>
      <w:lvlJc w:val="left"/>
      <w:pPr/>
      <w:rPr/>
    </w:lvl>
    <w:lvl w:ilvl="6" w:tplc="3BBBC911">
      <w:start w:val="1"/>
      <w:numFmt w:val="decimal"/>
      <w:suff w:val="tab"/>
      <w:lvlText w:val="%1."/>
      <w:lvlJc w:val="left"/>
      <w:pPr/>
      <w:rPr/>
    </w:lvl>
    <w:lvl w:ilvl="7" w:tplc="3451F397">
      <w:start w:val="1"/>
      <w:numFmt w:val="decimal"/>
      <w:suff w:val="tab"/>
      <w:lvlText w:val="%1."/>
      <w:lvlJc w:val="left"/>
      <w:pPr/>
      <w:rPr/>
    </w:lvl>
    <w:lvl w:ilvl="8" w:tplc="259C5255">
      <w:start w:val="1"/>
      <w:numFmt w:val="decimal"/>
      <w:suff w:val="tab"/>
      <w:lvlText w:val="%1."/>
      <w:lvlJc w:val="left"/>
      <w:pPr/>
      <w:rPr/>
    </w:lvl>
  </w:abstractNum>
  <w:abstractNum w:abstractNumId="8">
    <w:nsid w:val="FFFFFF88"/>
    <w:multiLevelType w:val="hybridMultilevel"/>
    <w:lvl w:ilvl="0">
      <w:start w:val="1"/>
      <w:numFmt w:val="decimal"/>
      <w:suff w:val="tab"/>
      <w:lvlText w:val="%1."/>
      <w:lvlJc w:val="left"/>
      <w:pPr>
        <w:ind w:hanging="360" w:left="360"/>
        <w:tabs>
          <w:tab w:val="num" w:pos="360" w:leader="none"/>
        </w:tabs>
      </w:pPr>
      <w:rPr/>
    </w:lvl>
    <w:lvl w:ilvl="1" w:tplc="71DFB0CE">
      <w:start w:val="1"/>
      <w:numFmt w:val="decimal"/>
      <w:suff w:val="tab"/>
      <w:lvlText w:val="%1."/>
      <w:lvlJc w:val="left"/>
      <w:pPr/>
      <w:rPr/>
    </w:lvl>
    <w:lvl w:ilvl="2" w:tplc="00EA87BD">
      <w:start w:val="1"/>
      <w:numFmt w:val="decimal"/>
      <w:suff w:val="tab"/>
      <w:lvlText w:val="%1."/>
      <w:lvlJc w:val="left"/>
      <w:pPr/>
      <w:rPr/>
    </w:lvl>
    <w:lvl w:ilvl="3" w:tplc="58083731">
      <w:start w:val="1"/>
      <w:numFmt w:val="decimal"/>
      <w:suff w:val="tab"/>
      <w:lvlText w:val="%1."/>
      <w:lvlJc w:val="left"/>
      <w:pPr/>
      <w:rPr/>
    </w:lvl>
    <w:lvl w:ilvl="4" w:tplc="343B7C40">
      <w:start w:val="1"/>
      <w:numFmt w:val="decimal"/>
      <w:suff w:val="tab"/>
      <w:lvlText w:val="%1."/>
      <w:lvlJc w:val="left"/>
      <w:pPr/>
      <w:rPr/>
    </w:lvl>
    <w:lvl w:ilvl="5" w:tplc="789D3DF0">
      <w:start w:val="1"/>
      <w:numFmt w:val="decimal"/>
      <w:suff w:val="tab"/>
      <w:lvlText w:val="%1."/>
      <w:lvlJc w:val="left"/>
      <w:pPr/>
      <w:rPr/>
    </w:lvl>
    <w:lvl w:ilvl="6" w:tplc="06EC779F">
      <w:start w:val="1"/>
      <w:numFmt w:val="decimal"/>
      <w:suff w:val="tab"/>
      <w:lvlText w:val="%1."/>
      <w:lvlJc w:val="left"/>
      <w:pPr/>
      <w:rPr/>
    </w:lvl>
    <w:lvl w:ilvl="7" w:tplc="41A2902A">
      <w:start w:val="1"/>
      <w:numFmt w:val="decimal"/>
      <w:suff w:val="tab"/>
      <w:lvlText w:val="%1."/>
      <w:lvlJc w:val="left"/>
      <w:pPr/>
      <w:rPr/>
    </w:lvl>
    <w:lvl w:ilvl="8" w:tplc="739CAE48">
      <w:start w:val="1"/>
      <w:numFmt w:val="decimal"/>
      <w:suff w:val="tab"/>
      <w:lvlText w:val="%1."/>
      <w:lvlJc w:val="left"/>
      <w:pPr/>
      <w:rPr/>
    </w:lvl>
  </w:abstractNum>
  <w:abstractNum w:abstractNumId="9">
    <w:nsid w:val="FFFFFF89"/>
    <w:multiLevelType w:val="hybridMultilevel"/>
    <w:lvl w:ilvl="0">
      <w:start w:val="1"/>
      <w:numFmt w:val="bullet"/>
      <w:suff w:val="tab"/>
      <w:lvlText w:val=""/>
      <w:lvlJc w:val="left"/>
      <w:pPr>
        <w:ind w:hanging="360" w:left="360"/>
        <w:tabs>
          <w:tab w:val="num" w:pos="360" w:leader="none"/>
        </w:tabs>
      </w:pPr>
      <w:rPr>
        <w:rFonts w:ascii="Symbol" w:hAnsi="Symbol" w:hint="default"/>
      </w:rPr>
    </w:lvl>
    <w:lvl w:ilvl="1" w:tplc="1AE67592">
      <w:start w:val="1"/>
      <w:numFmt w:val="decimal"/>
      <w:suff w:val="tab"/>
      <w:lvlText w:val="%1."/>
      <w:lvlJc w:val="left"/>
      <w:pPr/>
      <w:rPr/>
    </w:lvl>
    <w:lvl w:ilvl="2" w:tplc="54BE96AA">
      <w:start w:val="1"/>
      <w:numFmt w:val="decimal"/>
      <w:suff w:val="tab"/>
      <w:lvlText w:val="%1."/>
      <w:lvlJc w:val="left"/>
      <w:pPr/>
      <w:rPr/>
    </w:lvl>
    <w:lvl w:ilvl="3" w:tplc="37C09342">
      <w:start w:val="1"/>
      <w:numFmt w:val="decimal"/>
      <w:suff w:val="tab"/>
      <w:lvlText w:val="%1."/>
      <w:lvlJc w:val="left"/>
      <w:pPr/>
      <w:rPr/>
    </w:lvl>
    <w:lvl w:ilvl="4" w:tplc="62016AE0">
      <w:start w:val="1"/>
      <w:numFmt w:val="decimal"/>
      <w:suff w:val="tab"/>
      <w:lvlText w:val="%1."/>
      <w:lvlJc w:val="left"/>
      <w:pPr/>
      <w:rPr/>
    </w:lvl>
    <w:lvl w:ilvl="5" w:tplc="6E34411A">
      <w:start w:val="1"/>
      <w:numFmt w:val="decimal"/>
      <w:suff w:val="tab"/>
      <w:lvlText w:val="%1."/>
      <w:lvlJc w:val="left"/>
      <w:pPr/>
      <w:rPr/>
    </w:lvl>
    <w:lvl w:ilvl="6" w:tplc="73DAEECA">
      <w:start w:val="1"/>
      <w:numFmt w:val="decimal"/>
      <w:suff w:val="tab"/>
      <w:lvlText w:val="%1."/>
      <w:lvlJc w:val="left"/>
      <w:pPr/>
      <w:rPr/>
    </w:lvl>
    <w:lvl w:ilvl="7" w:tplc="3755A7EA">
      <w:start w:val="1"/>
      <w:numFmt w:val="decimal"/>
      <w:suff w:val="tab"/>
      <w:lvlText w:val="%1."/>
      <w:lvlJc w:val="left"/>
      <w:pPr/>
      <w:rPr/>
    </w:lvl>
    <w:lvl w:ilvl="8" w:tplc="137A01DA">
      <w:start w:val="1"/>
      <w:numFmt w:val="decimal"/>
      <w:suff w:val="tab"/>
      <w:lvlText w:val="%1."/>
      <w:lvlJc w:val="left"/>
      <w:pPr/>
      <w:rPr/>
    </w:lvl>
  </w:abstractNum>
  <w:abstractNum w:abstractNumId="10">
    <w:nsid w:val="00530CD7"/>
    <w:multiLevelType w:val="hybridMultilevel"/>
    <w:lvl w:ilvl="0" w:tplc="B2F63F7A">
      <w:start w:val="1"/>
      <w:numFmt w:val="decimal"/>
      <w:suff w:val="tab"/>
      <w:lvlText w:val="%1."/>
      <w:lvlJc w:val="left"/>
      <w:pPr>
        <w:ind w:hanging="360" w:left="785"/>
      </w:pPr>
      <w:rPr>
        <w:rFonts w:hint="default"/>
      </w:rPr>
    </w:lvl>
    <w:lvl w:ilvl="1" w:tplc="041D0019">
      <w:start w:val="1"/>
      <w:numFmt w:val="lowerLetter"/>
      <w:suff w:val="tab"/>
      <w:lvlText w:val="%2."/>
      <w:lvlJc w:val="left"/>
      <w:pPr>
        <w:ind w:hanging="360" w:left="1505"/>
      </w:pPr>
      <w:rPr/>
    </w:lvl>
    <w:lvl w:ilvl="2" w:tplc="041D001B">
      <w:start w:val="1"/>
      <w:numFmt w:val="lowerRoman"/>
      <w:suff w:val="tab"/>
      <w:lvlText w:val="%3."/>
      <w:lvlJc w:val="right"/>
      <w:pPr>
        <w:ind w:hanging="180" w:left="2225"/>
      </w:pPr>
      <w:rPr/>
    </w:lvl>
    <w:lvl w:ilvl="3" w:tplc="041D000F">
      <w:start w:val="1"/>
      <w:numFmt w:val="decimal"/>
      <w:suff w:val="tab"/>
      <w:lvlText w:val="%4."/>
      <w:lvlJc w:val="left"/>
      <w:pPr>
        <w:ind w:hanging="360" w:left="2945"/>
      </w:pPr>
      <w:rPr/>
    </w:lvl>
    <w:lvl w:ilvl="4" w:tplc="041D0019">
      <w:start w:val="1"/>
      <w:numFmt w:val="lowerLetter"/>
      <w:suff w:val="tab"/>
      <w:lvlText w:val="%5."/>
      <w:lvlJc w:val="left"/>
      <w:pPr>
        <w:ind w:hanging="360" w:left="3665"/>
      </w:pPr>
      <w:rPr/>
    </w:lvl>
    <w:lvl w:ilvl="5" w:tplc="041D001B">
      <w:start w:val="1"/>
      <w:numFmt w:val="lowerRoman"/>
      <w:suff w:val="tab"/>
      <w:lvlText w:val="%6."/>
      <w:lvlJc w:val="right"/>
      <w:pPr>
        <w:ind w:hanging="180" w:left="4385"/>
      </w:pPr>
      <w:rPr/>
    </w:lvl>
    <w:lvl w:ilvl="6" w:tplc="041D000F">
      <w:start w:val="1"/>
      <w:numFmt w:val="decimal"/>
      <w:suff w:val="tab"/>
      <w:lvlText w:val="%7."/>
      <w:lvlJc w:val="left"/>
      <w:pPr>
        <w:ind w:hanging="360" w:left="5105"/>
      </w:pPr>
      <w:rPr/>
    </w:lvl>
    <w:lvl w:ilvl="7" w:tplc="041D0019">
      <w:start w:val="1"/>
      <w:numFmt w:val="lowerLetter"/>
      <w:suff w:val="tab"/>
      <w:lvlText w:val="%8."/>
      <w:lvlJc w:val="left"/>
      <w:pPr>
        <w:ind w:hanging="360" w:left="5825"/>
      </w:pPr>
      <w:rPr/>
    </w:lvl>
    <w:lvl w:ilvl="8" w:tplc="041D001B">
      <w:start w:val="1"/>
      <w:numFmt w:val="lowerRoman"/>
      <w:suff w:val="tab"/>
      <w:lvlText w:val="%9."/>
      <w:lvlJc w:val="right"/>
      <w:pPr>
        <w:ind w:hanging="180" w:left="6545"/>
      </w:pPr>
      <w:rPr/>
    </w:lvl>
  </w:abstractNum>
  <w:abstractNum w:abstractNumId="11">
    <w:nsid w:val="00FE5121"/>
    <w:multiLevelType w:val="hybridMultilevel"/>
    <w:lvl w:ilvl="0" w:tplc="846A7484">
      <w:start w:val="1"/>
      <w:numFmt w:val="bullet"/>
      <w:suff w:val="tab"/>
      <w:lvlText w:val="•"/>
      <w:lvlJc w:val="left"/>
      <w:pPr>
        <w:ind w:left="651"/>
      </w:pPr>
      <w:rPr>
        <w:rFonts w:ascii="Arial" w:hAnsi="Arial" w:cs="Arial" w:eastAsia="Arial"/>
        <w:b w:val="0"/>
        <w:i w:val="0"/>
        <w:color w:val="000000"/>
        <w:sz w:val="24"/>
        <w:szCs w:val="24"/>
        <w:u w:val="none" w:color="000000"/>
        <w:shd w:val="clear" w:color="auto" w:fill="auto"/>
        <w:vertAlign w:val="baseline"/>
      </w:rPr>
    </w:lvl>
    <w:lvl w:ilvl="1" w:tplc="6144E354">
      <w:start w:val="1"/>
      <w:numFmt w:val="bullet"/>
      <w:suff w:val="tab"/>
      <w:lvlText w:val="o"/>
      <w:lvlJc w:val="left"/>
      <w:pPr>
        <w:ind w:left="1080"/>
      </w:pPr>
      <w:rPr>
        <w:rFonts w:ascii="Arial" w:hAnsi="Arial" w:cs="Arial" w:eastAsia="Arial"/>
        <w:b w:val="0"/>
        <w:i w:val="0"/>
        <w:color w:val="000000"/>
        <w:sz w:val="24"/>
        <w:szCs w:val="24"/>
        <w:u w:val="none" w:color="000000"/>
        <w:shd w:val="clear" w:color="auto" w:fill="auto"/>
        <w:vertAlign w:val="baseline"/>
      </w:rPr>
    </w:lvl>
    <w:lvl w:ilvl="2" w:tplc="C2A2354C">
      <w:start w:val="1"/>
      <w:numFmt w:val="bullet"/>
      <w:suff w:val="tab"/>
      <w:lvlText w:val="▪"/>
      <w:lvlJc w:val="left"/>
      <w:pPr>
        <w:ind w:left="1800"/>
      </w:pPr>
      <w:rPr>
        <w:rFonts w:ascii="Arial" w:hAnsi="Arial" w:cs="Arial" w:eastAsia="Arial"/>
        <w:b w:val="0"/>
        <w:i w:val="0"/>
        <w:color w:val="000000"/>
        <w:sz w:val="24"/>
        <w:szCs w:val="24"/>
        <w:u w:val="none" w:color="000000"/>
        <w:shd w:val="clear" w:color="auto" w:fill="auto"/>
        <w:vertAlign w:val="baseline"/>
      </w:rPr>
    </w:lvl>
    <w:lvl w:ilvl="3" w:tplc="EC424B1A">
      <w:start w:val="1"/>
      <w:numFmt w:val="bullet"/>
      <w:suff w:val="tab"/>
      <w:lvlText w:val="•"/>
      <w:lvlJc w:val="left"/>
      <w:pPr>
        <w:ind w:left="2520"/>
      </w:pPr>
      <w:rPr>
        <w:rFonts w:ascii="Arial" w:hAnsi="Arial" w:cs="Arial" w:eastAsia="Arial"/>
        <w:b w:val="0"/>
        <w:i w:val="0"/>
        <w:color w:val="000000"/>
        <w:sz w:val="24"/>
        <w:szCs w:val="24"/>
        <w:u w:val="none" w:color="000000"/>
        <w:shd w:val="clear" w:color="auto" w:fill="auto"/>
        <w:vertAlign w:val="baseline"/>
      </w:rPr>
    </w:lvl>
    <w:lvl w:ilvl="4" w:tplc="959ABF7E">
      <w:start w:val="1"/>
      <w:numFmt w:val="bullet"/>
      <w:suff w:val="tab"/>
      <w:lvlText w:val="o"/>
      <w:lvlJc w:val="left"/>
      <w:pPr>
        <w:ind w:left="3240"/>
      </w:pPr>
      <w:rPr>
        <w:rFonts w:ascii="Arial" w:hAnsi="Arial" w:cs="Arial" w:eastAsia="Arial"/>
        <w:b w:val="0"/>
        <w:i w:val="0"/>
        <w:color w:val="000000"/>
        <w:sz w:val="24"/>
        <w:szCs w:val="24"/>
        <w:u w:val="none" w:color="000000"/>
        <w:shd w:val="clear" w:color="auto" w:fill="auto"/>
        <w:vertAlign w:val="baseline"/>
      </w:rPr>
    </w:lvl>
    <w:lvl w:ilvl="5" w:tplc="C108EF94">
      <w:start w:val="1"/>
      <w:numFmt w:val="bullet"/>
      <w:suff w:val="tab"/>
      <w:lvlText w:val="▪"/>
      <w:lvlJc w:val="left"/>
      <w:pPr>
        <w:ind w:left="3960"/>
      </w:pPr>
      <w:rPr>
        <w:rFonts w:ascii="Arial" w:hAnsi="Arial" w:cs="Arial" w:eastAsia="Arial"/>
        <w:b w:val="0"/>
        <w:i w:val="0"/>
        <w:color w:val="000000"/>
        <w:sz w:val="24"/>
        <w:szCs w:val="24"/>
        <w:u w:val="none" w:color="000000"/>
        <w:shd w:val="clear" w:color="auto" w:fill="auto"/>
        <w:vertAlign w:val="baseline"/>
      </w:rPr>
    </w:lvl>
    <w:lvl w:ilvl="6" w:tplc="ADC60302">
      <w:start w:val="1"/>
      <w:numFmt w:val="bullet"/>
      <w:suff w:val="tab"/>
      <w:lvlText w:val="•"/>
      <w:lvlJc w:val="left"/>
      <w:pPr>
        <w:ind w:left="4680"/>
      </w:pPr>
      <w:rPr>
        <w:rFonts w:ascii="Arial" w:hAnsi="Arial" w:cs="Arial" w:eastAsia="Arial"/>
        <w:b w:val="0"/>
        <w:i w:val="0"/>
        <w:color w:val="000000"/>
        <w:sz w:val="24"/>
        <w:szCs w:val="24"/>
        <w:u w:val="none" w:color="000000"/>
        <w:shd w:val="clear" w:color="auto" w:fill="auto"/>
        <w:vertAlign w:val="baseline"/>
      </w:rPr>
    </w:lvl>
    <w:lvl w:ilvl="7" w:tplc="DAAA597E">
      <w:start w:val="1"/>
      <w:numFmt w:val="bullet"/>
      <w:suff w:val="tab"/>
      <w:lvlText w:val="o"/>
      <w:lvlJc w:val="left"/>
      <w:pPr>
        <w:ind w:left="5400"/>
      </w:pPr>
      <w:rPr>
        <w:rFonts w:ascii="Arial" w:hAnsi="Arial" w:cs="Arial" w:eastAsia="Arial"/>
        <w:b w:val="0"/>
        <w:i w:val="0"/>
        <w:color w:val="000000"/>
        <w:sz w:val="24"/>
        <w:szCs w:val="24"/>
        <w:u w:val="none" w:color="000000"/>
        <w:shd w:val="clear" w:color="auto" w:fill="auto"/>
        <w:vertAlign w:val="baseline"/>
      </w:rPr>
    </w:lvl>
    <w:lvl w:ilvl="8" w:tplc="941C948C">
      <w:start w:val="1"/>
      <w:numFmt w:val="bullet"/>
      <w:suff w:val="tab"/>
      <w:lvlText w:val="▪"/>
      <w:lvlJc w:val="left"/>
      <w:pPr>
        <w:ind w:left="6120"/>
      </w:pPr>
      <w:rPr>
        <w:rFonts w:ascii="Arial" w:hAnsi="Arial" w:cs="Arial" w:eastAsia="Arial"/>
        <w:b w:val="0"/>
        <w:i w:val="0"/>
        <w:color w:val="000000"/>
        <w:sz w:val="24"/>
        <w:szCs w:val="24"/>
        <w:u w:val="none" w:color="000000"/>
        <w:shd w:val="clear" w:color="auto" w:fill="auto"/>
        <w:vertAlign w:val="baseline"/>
      </w:rPr>
    </w:lvl>
  </w:abstractNum>
  <w:abstractNum w:abstractNumId="12">
    <w:nsid w:val="06615F1F"/>
    <w:multiLevelType w:val="multilevel"/>
    <w:lvl w:ilvl="0">
      <w:start w:val="1"/>
      <w:numFmt w:val="decimal"/>
      <w:pStyle w:val="P19"/>
      <w:suff w:val="tab"/>
      <w:lvlText w:val="%1"/>
      <w:lvlJc w:val="left"/>
      <w:pPr>
        <w:ind w:hanging="432" w:left="432"/>
      </w:pPr>
      <w:rPr>
        <w:rFonts w:hint="default"/>
      </w:rPr>
    </w:lvl>
    <w:lvl w:ilvl="1">
      <w:start w:val="1"/>
      <w:numFmt w:val="decimal"/>
      <w:pStyle w:val="P20"/>
      <w:suff w:val="space"/>
      <w:lvlText w:val="%1.%2"/>
      <w:lvlJc w:val="left"/>
      <w:pPr>
        <w:ind w:hanging="463" w:left="576"/>
      </w:pPr>
      <w:rPr>
        <w:rFonts w:hint="default"/>
      </w:rPr>
    </w:lvl>
    <w:lvl w:ilvl="2">
      <w:start w:val="1"/>
      <w:numFmt w:val="decimal"/>
      <w:pStyle w:val="P36"/>
      <w:suff w:val="space"/>
      <w:lvlText w:val="%1.%2.%3"/>
      <w:lvlJc w:val="left"/>
      <w:pPr>
        <w:ind w:hanging="380" w:left="720"/>
      </w:pPr>
      <w:rPr>
        <w:rFonts w:hint="default"/>
      </w:rPr>
    </w:lvl>
    <w:lvl w:ilvl="3">
      <w:start w:val="1"/>
      <w:numFmt w:val="decimal"/>
      <w:pStyle w:val="P4"/>
      <w:suff w:val="tab"/>
      <w:lvlText w:val="%1.%2.%3.%4"/>
      <w:lvlJc w:val="left"/>
      <w:pPr>
        <w:ind w:hanging="864" w:left="864"/>
      </w:pPr>
      <w:rPr>
        <w:rFonts w:hint="default"/>
      </w:rPr>
    </w:lvl>
    <w:lvl w:ilvl="4">
      <w:start w:val="1"/>
      <w:numFmt w:val="decimal"/>
      <w:pStyle w:val="P5"/>
      <w:suff w:val="tab"/>
      <w:lvlText w:val="%1.%2.%3.%4.%5"/>
      <w:lvlJc w:val="left"/>
      <w:pPr>
        <w:ind w:hanging="1008" w:left="1008"/>
      </w:pPr>
      <w:rPr>
        <w:rFonts w:hint="default"/>
      </w:rPr>
    </w:lvl>
    <w:lvl w:ilvl="5">
      <w:start w:val="1"/>
      <w:numFmt w:val="decimal"/>
      <w:pStyle w:val="P6"/>
      <w:suff w:val="tab"/>
      <w:lvlText w:val="%1.%2.%3.%4.%5.%6"/>
      <w:lvlJc w:val="left"/>
      <w:pPr>
        <w:ind w:hanging="1152" w:left="1152"/>
      </w:pPr>
      <w:rPr>
        <w:rFonts w:hint="default"/>
      </w:rPr>
    </w:lvl>
    <w:lvl w:ilvl="6">
      <w:start w:val="1"/>
      <w:numFmt w:val="decimal"/>
      <w:pStyle w:val="P7"/>
      <w:suff w:val="tab"/>
      <w:lvlText w:val="%1.%2.%3.%4.%5.%6.%7"/>
      <w:lvlJc w:val="left"/>
      <w:pPr>
        <w:ind w:hanging="1296" w:left="1296"/>
      </w:pPr>
      <w:rPr>
        <w:rFonts w:hint="default"/>
      </w:rPr>
    </w:lvl>
    <w:lvl w:ilvl="7">
      <w:start w:val="1"/>
      <w:numFmt w:val="decimal"/>
      <w:pStyle w:val="P8"/>
      <w:suff w:val="tab"/>
      <w:lvlText w:val="%1.%2.%3.%4.%5.%6.%7.%8"/>
      <w:lvlJc w:val="left"/>
      <w:pPr>
        <w:ind w:hanging="1440" w:left="1440"/>
      </w:pPr>
      <w:rPr>
        <w:rFonts w:hint="default"/>
      </w:rPr>
    </w:lvl>
    <w:lvl w:ilvl="8">
      <w:start w:val="1"/>
      <w:numFmt w:val="decimal"/>
      <w:pStyle w:val="P9"/>
      <w:suff w:val="tab"/>
      <w:lvlText w:val="%1.%2.%3.%4.%5.%6.%7.%8.%9"/>
      <w:lvlJc w:val="left"/>
      <w:pPr>
        <w:ind w:hanging="1584" w:left="1584"/>
      </w:pPr>
      <w:rPr>
        <w:rFonts w:hint="default"/>
      </w:rPr>
    </w:lvl>
  </w:abstractNum>
  <w:abstractNum w:abstractNumId="13">
    <w:nsid w:val="12BF53A8"/>
    <w:multiLevelType w:val="hybridMultilevel"/>
    <w:lvl w:ilvl="0" w:tplc="AD0423AC">
      <w:start w:val="1"/>
      <w:numFmt w:val="bullet"/>
      <w:suff w:val="tab"/>
      <w:lvlText w:val="•"/>
      <w:lvlJc w:val="left"/>
      <w:pPr>
        <w:ind w:left="651"/>
      </w:pPr>
      <w:rPr>
        <w:rFonts w:ascii="Arial" w:hAnsi="Arial" w:cs="Arial" w:eastAsia="Arial"/>
        <w:b w:val="0"/>
        <w:i w:val="0"/>
        <w:color w:val="000000"/>
        <w:sz w:val="22"/>
        <w:szCs w:val="22"/>
        <w:u w:val="none" w:color="000000"/>
        <w:shd w:val="clear" w:color="auto" w:fill="auto"/>
        <w:vertAlign w:val="baseline"/>
      </w:rPr>
    </w:lvl>
    <w:lvl w:ilvl="1" w:tplc="D1763E0C">
      <w:start w:val="1"/>
      <w:numFmt w:val="bullet"/>
      <w:suff w:val="tab"/>
      <w:lvlText w:val="o"/>
      <w:lvlJc w:val="left"/>
      <w:pPr>
        <w:ind w:left="1080"/>
      </w:pPr>
      <w:rPr>
        <w:rFonts w:ascii="Arial" w:hAnsi="Arial" w:cs="Arial" w:eastAsia="Arial"/>
        <w:b w:val="0"/>
        <w:i w:val="0"/>
        <w:color w:val="000000"/>
        <w:sz w:val="22"/>
        <w:szCs w:val="22"/>
        <w:u w:val="none" w:color="000000"/>
        <w:shd w:val="clear" w:color="auto" w:fill="auto"/>
        <w:vertAlign w:val="baseline"/>
      </w:rPr>
    </w:lvl>
    <w:lvl w:ilvl="2" w:tplc="C01C8D4A">
      <w:start w:val="1"/>
      <w:numFmt w:val="bullet"/>
      <w:suff w:val="tab"/>
      <w:lvlText w:val="▪"/>
      <w:lvlJc w:val="left"/>
      <w:pPr>
        <w:ind w:left="1800"/>
      </w:pPr>
      <w:rPr>
        <w:rFonts w:ascii="Arial" w:hAnsi="Arial" w:cs="Arial" w:eastAsia="Arial"/>
        <w:b w:val="0"/>
        <w:i w:val="0"/>
        <w:color w:val="000000"/>
        <w:sz w:val="22"/>
        <w:szCs w:val="22"/>
        <w:u w:val="none" w:color="000000"/>
        <w:shd w:val="clear" w:color="auto" w:fill="auto"/>
        <w:vertAlign w:val="baseline"/>
      </w:rPr>
    </w:lvl>
    <w:lvl w:ilvl="3" w:tplc="B2260E8E">
      <w:start w:val="1"/>
      <w:numFmt w:val="bullet"/>
      <w:suff w:val="tab"/>
      <w:lvlText w:val="•"/>
      <w:lvlJc w:val="left"/>
      <w:pPr>
        <w:ind w:left="2520"/>
      </w:pPr>
      <w:rPr>
        <w:rFonts w:ascii="Arial" w:hAnsi="Arial" w:cs="Arial" w:eastAsia="Arial"/>
        <w:b w:val="0"/>
        <w:i w:val="0"/>
        <w:color w:val="000000"/>
        <w:sz w:val="22"/>
        <w:szCs w:val="22"/>
        <w:u w:val="none" w:color="000000"/>
        <w:shd w:val="clear" w:color="auto" w:fill="auto"/>
        <w:vertAlign w:val="baseline"/>
      </w:rPr>
    </w:lvl>
    <w:lvl w:ilvl="4" w:tplc="E0F49962">
      <w:start w:val="1"/>
      <w:numFmt w:val="bullet"/>
      <w:suff w:val="tab"/>
      <w:lvlText w:val="o"/>
      <w:lvlJc w:val="left"/>
      <w:pPr>
        <w:ind w:left="3240"/>
      </w:pPr>
      <w:rPr>
        <w:rFonts w:ascii="Arial" w:hAnsi="Arial" w:cs="Arial" w:eastAsia="Arial"/>
        <w:b w:val="0"/>
        <w:i w:val="0"/>
        <w:color w:val="000000"/>
        <w:sz w:val="22"/>
        <w:szCs w:val="22"/>
        <w:u w:val="none" w:color="000000"/>
        <w:shd w:val="clear" w:color="auto" w:fill="auto"/>
        <w:vertAlign w:val="baseline"/>
      </w:rPr>
    </w:lvl>
    <w:lvl w:ilvl="5" w:tplc="C2D4DD7E">
      <w:start w:val="1"/>
      <w:numFmt w:val="bullet"/>
      <w:suff w:val="tab"/>
      <w:lvlText w:val="▪"/>
      <w:lvlJc w:val="left"/>
      <w:pPr>
        <w:ind w:left="3960"/>
      </w:pPr>
      <w:rPr>
        <w:rFonts w:ascii="Arial" w:hAnsi="Arial" w:cs="Arial" w:eastAsia="Arial"/>
        <w:b w:val="0"/>
        <w:i w:val="0"/>
        <w:color w:val="000000"/>
        <w:sz w:val="22"/>
        <w:szCs w:val="22"/>
        <w:u w:val="none" w:color="000000"/>
        <w:shd w:val="clear" w:color="auto" w:fill="auto"/>
        <w:vertAlign w:val="baseline"/>
      </w:rPr>
    </w:lvl>
    <w:lvl w:ilvl="6" w:tplc="CA70B28A">
      <w:start w:val="1"/>
      <w:numFmt w:val="bullet"/>
      <w:suff w:val="tab"/>
      <w:lvlText w:val="•"/>
      <w:lvlJc w:val="left"/>
      <w:pPr>
        <w:ind w:left="4680"/>
      </w:pPr>
      <w:rPr>
        <w:rFonts w:ascii="Arial" w:hAnsi="Arial" w:cs="Arial" w:eastAsia="Arial"/>
        <w:b w:val="0"/>
        <w:i w:val="0"/>
        <w:color w:val="000000"/>
        <w:sz w:val="22"/>
        <w:szCs w:val="22"/>
        <w:u w:val="none" w:color="000000"/>
        <w:shd w:val="clear" w:color="auto" w:fill="auto"/>
        <w:vertAlign w:val="baseline"/>
      </w:rPr>
    </w:lvl>
    <w:lvl w:ilvl="7" w:tplc="F7BEC436">
      <w:start w:val="1"/>
      <w:numFmt w:val="bullet"/>
      <w:suff w:val="tab"/>
      <w:lvlText w:val="o"/>
      <w:lvlJc w:val="left"/>
      <w:pPr>
        <w:ind w:left="5400"/>
      </w:pPr>
      <w:rPr>
        <w:rFonts w:ascii="Arial" w:hAnsi="Arial" w:cs="Arial" w:eastAsia="Arial"/>
        <w:b w:val="0"/>
        <w:i w:val="0"/>
        <w:color w:val="000000"/>
        <w:sz w:val="22"/>
        <w:szCs w:val="22"/>
        <w:u w:val="none" w:color="000000"/>
        <w:shd w:val="clear" w:color="auto" w:fill="auto"/>
        <w:vertAlign w:val="baseline"/>
      </w:rPr>
    </w:lvl>
    <w:lvl w:ilvl="8" w:tplc="ECB2FF02">
      <w:start w:val="1"/>
      <w:numFmt w:val="bullet"/>
      <w:suff w:val="tab"/>
      <w:lvlText w:val="▪"/>
      <w:lvlJc w:val="left"/>
      <w:pPr>
        <w:ind w:left="6120"/>
      </w:pPr>
      <w:rPr>
        <w:rFonts w:ascii="Arial" w:hAnsi="Arial" w:cs="Arial" w:eastAsia="Arial"/>
        <w:b w:val="0"/>
        <w:i w:val="0"/>
        <w:color w:val="000000"/>
        <w:sz w:val="22"/>
        <w:szCs w:val="22"/>
        <w:u w:val="none" w:color="000000"/>
        <w:shd w:val="clear" w:color="auto" w:fill="auto"/>
        <w:vertAlign w:val="baseline"/>
      </w:rPr>
    </w:lvl>
  </w:abstractNum>
  <w:abstractNum w:abstractNumId="14">
    <w:nsid w:val="166E2234"/>
    <w:multiLevelType w:val="multilevel"/>
    <w:lvl w:ilvl="0">
      <w:start w:val="1"/>
      <w:numFmt w:val="bullet"/>
      <w:suff w:val="tab"/>
      <w:lvlText w:val=""/>
      <w:lvlJc w:val="left"/>
      <w:pPr>
        <w:ind w:hanging="360" w:left="720"/>
        <w:tabs>
          <w:tab w:val="num" w:pos="720" w:leader="none"/>
        </w:tabs>
      </w:pPr>
      <w:rPr>
        <w:rFonts w:ascii="Symbol" w:hAnsi="Symbol" w:hint="default"/>
        <w:sz w:val="20"/>
      </w:rPr>
    </w:lvl>
    <w:lvl w:ilvl="1">
      <w:start w:val="1"/>
      <w:numFmt w:val="bullet"/>
      <w:suff w:val="tab"/>
      <w:lvlText w:val="o"/>
      <w:lvlJc w:val="left"/>
      <w:pPr>
        <w:ind w:hanging="360" w:left="1440"/>
        <w:tabs>
          <w:tab w:val="num" w:pos="1440" w:leader="none"/>
        </w:tabs>
      </w:pPr>
      <w:rPr>
        <w:rFonts w:ascii="Courier New" w:hAnsi="Courier New" w:hint="default"/>
        <w:sz w:val="20"/>
      </w:rPr>
    </w:lvl>
    <w:lvl w:ilvl="2">
      <w:start w:val="1"/>
      <w:numFmt w:val="bullet"/>
      <w:suff w:val="tab"/>
      <w:lvlText w:val=""/>
      <w:lvlJc w:val="left"/>
      <w:pPr>
        <w:ind w:hanging="360" w:left="2160"/>
        <w:tabs>
          <w:tab w:val="num" w:pos="2160" w:leader="none"/>
        </w:tabs>
      </w:pPr>
      <w:rPr>
        <w:rFonts w:ascii="Wingdings" w:hAnsi="Wingdings" w:hint="default"/>
        <w:sz w:val="20"/>
      </w:rPr>
    </w:lvl>
    <w:lvl w:ilvl="3">
      <w:start w:val="1"/>
      <w:numFmt w:val="bullet"/>
      <w:suff w:val="tab"/>
      <w:lvlText w:val=""/>
      <w:lvlJc w:val="left"/>
      <w:pPr>
        <w:ind w:hanging="360" w:left="2880"/>
        <w:tabs>
          <w:tab w:val="num" w:pos="2880" w:leader="none"/>
        </w:tabs>
      </w:pPr>
      <w:rPr>
        <w:rFonts w:ascii="Wingdings" w:hAnsi="Wingdings" w:hint="default"/>
        <w:sz w:val="20"/>
      </w:rPr>
    </w:lvl>
    <w:lvl w:ilvl="4">
      <w:start w:val="1"/>
      <w:numFmt w:val="bullet"/>
      <w:suff w:val="tab"/>
      <w:lvlText w:val=""/>
      <w:lvlJc w:val="left"/>
      <w:pPr>
        <w:ind w:hanging="360" w:left="3600"/>
        <w:tabs>
          <w:tab w:val="num" w:pos="3600" w:leader="none"/>
        </w:tabs>
      </w:pPr>
      <w:rPr>
        <w:rFonts w:ascii="Wingdings" w:hAnsi="Wingdings" w:hint="default"/>
        <w:sz w:val="20"/>
      </w:rPr>
    </w:lvl>
    <w:lvl w:ilvl="5">
      <w:start w:val="1"/>
      <w:numFmt w:val="bullet"/>
      <w:suff w:val="tab"/>
      <w:lvlText w:val=""/>
      <w:lvlJc w:val="left"/>
      <w:pPr>
        <w:ind w:hanging="360" w:left="4320"/>
        <w:tabs>
          <w:tab w:val="num" w:pos="4320" w:leader="none"/>
        </w:tabs>
      </w:pPr>
      <w:rPr>
        <w:rFonts w:ascii="Wingdings" w:hAnsi="Wingdings" w:hint="default"/>
        <w:sz w:val="20"/>
      </w:rPr>
    </w:lvl>
    <w:lvl w:ilvl="6">
      <w:start w:val="1"/>
      <w:numFmt w:val="bullet"/>
      <w:suff w:val="tab"/>
      <w:lvlText w:val=""/>
      <w:lvlJc w:val="left"/>
      <w:pPr>
        <w:ind w:hanging="360" w:left="5040"/>
        <w:tabs>
          <w:tab w:val="num" w:pos="5040" w:leader="none"/>
        </w:tabs>
      </w:pPr>
      <w:rPr>
        <w:rFonts w:ascii="Wingdings" w:hAnsi="Wingdings" w:hint="default"/>
        <w:sz w:val="20"/>
      </w:rPr>
    </w:lvl>
    <w:lvl w:ilvl="7">
      <w:start w:val="1"/>
      <w:numFmt w:val="bullet"/>
      <w:suff w:val="tab"/>
      <w:lvlText w:val=""/>
      <w:lvlJc w:val="left"/>
      <w:pPr>
        <w:ind w:hanging="360" w:left="5760"/>
        <w:tabs>
          <w:tab w:val="num" w:pos="5760" w:leader="none"/>
        </w:tabs>
      </w:pPr>
      <w:rPr>
        <w:rFonts w:ascii="Wingdings" w:hAnsi="Wingdings" w:hint="default"/>
        <w:sz w:val="20"/>
      </w:rPr>
    </w:lvl>
    <w:lvl w:ilvl="8">
      <w:start w:val="1"/>
      <w:numFmt w:val="bullet"/>
      <w:suff w:val="tab"/>
      <w:lvlText w:val=""/>
      <w:lvlJc w:val="left"/>
      <w:pPr>
        <w:ind w:hanging="360" w:left="6480"/>
        <w:tabs>
          <w:tab w:val="num" w:pos="6480" w:leader="none"/>
        </w:tabs>
      </w:pPr>
      <w:rPr>
        <w:rFonts w:ascii="Wingdings" w:hAnsi="Wingdings" w:hint="default"/>
        <w:sz w:val="20"/>
      </w:rPr>
    </w:lvl>
  </w:abstractNum>
  <w:abstractNum w:abstractNumId="15">
    <w:nsid w:val="294F7BFE"/>
    <w:multiLevelType w:val="multilevel"/>
    <w:lvl w:ilvl="0">
      <w:start w:val="1"/>
      <w:numFmt w:val="decimal"/>
      <w:suff w:val="tab"/>
      <w:lvlText w:val="%1)"/>
      <w:lvlJc w:val="left"/>
      <w:pPr>
        <w:ind w:hanging="360" w:left="360"/>
      </w:pPr>
      <w:rPr/>
    </w:lvl>
    <w:lvl w:ilvl="1">
      <w:start w:val="1"/>
      <w:numFmt w:val="lowerLetter"/>
      <w:suff w:val="tab"/>
      <w:lvlText w:val="%2)"/>
      <w:lvlJc w:val="left"/>
      <w:pPr>
        <w:ind w:hanging="360" w:left="720"/>
      </w:pPr>
      <w:rPr/>
    </w:lvl>
    <w:lvl w:ilvl="2">
      <w:start w:val="1"/>
      <w:numFmt w:val="lowerRoman"/>
      <w:suff w:val="tab"/>
      <w:lvlText w:val="%3)"/>
      <w:lvlJc w:val="left"/>
      <w:pPr>
        <w:ind w:hanging="360" w:left="1080"/>
      </w:pPr>
      <w:rPr/>
    </w:lvl>
    <w:lvl w:ilvl="3">
      <w:start w:val="1"/>
      <w:numFmt w:val="decimal"/>
      <w:suff w:val="tab"/>
      <w:lvlText w:val="(%4)"/>
      <w:lvlJc w:val="left"/>
      <w:pPr>
        <w:ind w:hanging="360" w:left="1440"/>
      </w:pPr>
      <w:rPr/>
    </w:lvl>
    <w:lvl w:ilvl="4">
      <w:start w:val="1"/>
      <w:numFmt w:val="lowerLetter"/>
      <w:suff w:val="tab"/>
      <w:lvlText w:val="(%5)"/>
      <w:lvlJc w:val="left"/>
      <w:pPr>
        <w:ind w:hanging="360" w:left="1800"/>
      </w:pPr>
      <w:rPr/>
    </w:lvl>
    <w:lvl w:ilvl="5">
      <w:start w:val="1"/>
      <w:numFmt w:val="lowerRoman"/>
      <w:suff w:val="tab"/>
      <w:lvlText w:val="(%6)"/>
      <w:lvlJc w:val="left"/>
      <w:pPr>
        <w:ind w:hanging="360" w:left="2160"/>
      </w:pPr>
      <w:rPr/>
    </w:lvl>
    <w:lvl w:ilvl="6">
      <w:start w:val="1"/>
      <w:numFmt w:val="decimal"/>
      <w:suff w:val="tab"/>
      <w:lvlText w:val="%7."/>
      <w:lvlJc w:val="left"/>
      <w:pPr>
        <w:ind w:hanging="360" w:left="2520"/>
      </w:pPr>
      <w:rPr/>
    </w:lvl>
    <w:lvl w:ilvl="7">
      <w:start w:val="1"/>
      <w:numFmt w:val="lowerLetter"/>
      <w:suff w:val="tab"/>
      <w:lvlText w:val="%8."/>
      <w:lvlJc w:val="left"/>
      <w:pPr>
        <w:ind w:hanging="360" w:left="2880"/>
      </w:pPr>
      <w:rPr/>
    </w:lvl>
    <w:lvl w:ilvl="8">
      <w:start w:val="1"/>
      <w:numFmt w:val="lowerRoman"/>
      <w:suff w:val="tab"/>
      <w:lvlText w:val="%9."/>
      <w:lvlJc w:val="left"/>
      <w:pPr>
        <w:ind w:hanging="360" w:left="3240"/>
      </w:pPr>
      <w:rPr/>
    </w:lvl>
  </w:abstractNum>
  <w:abstractNum w:abstractNumId="16">
    <w:nsid w:val="2D0F5DCC"/>
    <w:multiLevelType w:val="hybridMultilevel"/>
    <w:lvl w:ilvl="0" w:tplc="5CDCBC68">
      <w:start w:val="1"/>
      <w:numFmt w:val="decimal"/>
      <w:suff w:val="tab"/>
      <w:lvlText w:val="%1."/>
      <w:lvlJc w:val="left"/>
      <w:pPr>
        <w:ind w:left="536"/>
      </w:pPr>
      <w:rPr>
        <w:rFonts w:ascii="Arial" w:hAnsi="Arial" w:cs="Arial" w:eastAsia="Arial"/>
        <w:b w:val="0"/>
        <w:i w:val="0"/>
        <w:color w:val="000000"/>
        <w:sz w:val="22"/>
        <w:szCs w:val="22"/>
        <w:u w:val="none" w:color="000000"/>
        <w:shd w:val="clear" w:color="auto" w:fill="auto"/>
        <w:vertAlign w:val="baseline"/>
      </w:rPr>
    </w:lvl>
    <w:lvl w:ilvl="1" w:tplc="524CB5AA">
      <w:start w:val="1"/>
      <w:numFmt w:val="lowerLetter"/>
      <w:suff w:val="tab"/>
      <w:lvlText w:val="%2"/>
      <w:lvlJc w:val="left"/>
      <w:pPr>
        <w:ind w:left="1447"/>
      </w:pPr>
      <w:rPr>
        <w:rFonts w:ascii="Arial" w:hAnsi="Arial" w:cs="Arial" w:eastAsia="Arial"/>
        <w:b w:val="0"/>
        <w:i w:val="0"/>
        <w:color w:val="000000"/>
        <w:sz w:val="22"/>
        <w:szCs w:val="22"/>
        <w:u w:val="none" w:color="000000"/>
        <w:shd w:val="clear" w:color="auto" w:fill="auto"/>
        <w:vertAlign w:val="baseline"/>
      </w:rPr>
    </w:lvl>
    <w:lvl w:ilvl="2" w:tplc="E41A38C6">
      <w:start w:val="1"/>
      <w:numFmt w:val="lowerRoman"/>
      <w:suff w:val="tab"/>
      <w:lvlText w:val="%3"/>
      <w:lvlJc w:val="left"/>
      <w:pPr>
        <w:ind w:left="2167"/>
      </w:pPr>
      <w:rPr>
        <w:rFonts w:ascii="Arial" w:hAnsi="Arial" w:cs="Arial" w:eastAsia="Arial"/>
        <w:b w:val="0"/>
        <w:i w:val="0"/>
        <w:color w:val="000000"/>
        <w:sz w:val="22"/>
        <w:szCs w:val="22"/>
        <w:u w:val="none" w:color="000000"/>
        <w:shd w:val="clear" w:color="auto" w:fill="auto"/>
        <w:vertAlign w:val="baseline"/>
      </w:rPr>
    </w:lvl>
    <w:lvl w:ilvl="3" w:tplc="64E2C99C">
      <w:start w:val="1"/>
      <w:numFmt w:val="decimal"/>
      <w:suff w:val="tab"/>
      <w:lvlText w:val="%4"/>
      <w:lvlJc w:val="left"/>
      <w:pPr>
        <w:ind w:left="2887"/>
      </w:pPr>
      <w:rPr>
        <w:rFonts w:ascii="Arial" w:hAnsi="Arial" w:cs="Arial" w:eastAsia="Arial"/>
        <w:b w:val="0"/>
        <w:i w:val="0"/>
        <w:color w:val="000000"/>
        <w:sz w:val="22"/>
        <w:szCs w:val="22"/>
        <w:u w:val="none" w:color="000000"/>
        <w:shd w:val="clear" w:color="auto" w:fill="auto"/>
        <w:vertAlign w:val="baseline"/>
      </w:rPr>
    </w:lvl>
    <w:lvl w:ilvl="4" w:tplc="DC009B92">
      <w:start w:val="1"/>
      <w:numFmt w:val="lowerLetter"/>
      <w:suff w:val="tab"/>
      <w:lvlText w:val="%5"/>
      <w:lvlJc w:val="left"/>
      <w:pPr>
        <w:ind w:left="3607"/>
      </w:pPr>
      <w:rPr>
        <w:rFonts w:ascii="Arial" w:hAnsi="Arial" w:cs="Arial" w:eastAsia="Arial"/>
        <w:b w:val="0"/>
        <w:i w:val="0"/>
        <w:color w:val="000000"/>
        <w:sz w:val="22"/>
        <w:szCs w:val="22"/>
        <w:u w:val="none" w:color="000000"/>
        <w:shd w:val="clear" w:color="auto" w:fill="auto"/>
        <w:vertAlign w:val="baseline"/>
      </w:rPr>
    </w:lvl>
    <w:lvl w:ilvl="5" w:tplc="9D962A02">
      <w:start w:val="1"/>
      <w:numFmt w:val="lowerRoman"/>
      <w:suff w:val="tab"/>
      <w:lvlText w:val="%6"/>
      <w:lvlJc w:val="left"/>
      <w:pPr>
        <w:ind w:left="4327"/>
      </w:pPr>
      <w:rPr>
        <w:rFonts w:ascii="Arial" w:hAnsi="Arial" w:cs="Arial" w:eastAsia="Arial"/>
        <w:b w:val="0"/>
        <w:i w:val="0"/>
        <w:color w:val="000000"/>
        <w:sz w:val="22"/>
        <w:szCs w:val="22"/>
        <w:u w:val="none" w:color="000000"/>
        <w:shd w:val="clear" w:color="auto" w:fill="auto"/>
        <w:vertAlign w:val="baseline"/>
      </w:rPr>
    </w:lvl>
    <w:lvl w:ilvl="6" w:tplc="FA288866">
      <w:start w:val="1"/>
      <w:numFmt w:val="decimal"/>
      <w:suff w:val="tab"/>
      <w:lvlText w:val="%7"/>
      <w:lvlJc w:val="left"/>
      <w:pPr>
        <w:ind w:left="5047"/>
      </w:pPr>
      <w:rPr>
        <w:rFonts w:ascii="Arial" w:hAnsi="Arial" w:cs="Arial" w:eastAsia="Arial"/>
        <w:b w:val="0"/>
        <w:i w:val="0"/>
        <w:color w:val="000000"/>
        <w:sz w:val="22"/>
        <w:szCs w:val="22"/>
        <w:u w:val="none" w:color="000000"/>
        <w:shd w:val="clear" w:color="auto" w:fill="auto"/>
        <w:vertAlign w:val="baseline"/>
      </w:rPr>
    </w:lvl>
    <w:lvl w:ilvl="7" w:tplc="2480B7F0">
      <w:start w:val="1"/>
      <w:numFmt w:val="lowerLetter"/>
      <w:suff w:val="tab"/>
      <w:lvlText w:val="%8"/>
      <w:lvlJc w:val="left"/>
      <w:pPr>
        <w:ind w:left="5767"/>
      </w:pPr>
      <w:rPr>
        <w:rFonts w:ascii="Arial" w:hAnsi="Arial" w:cs="Arial" w:eastAsia="Arial"/>
        <w:b w:val="0"/>
        <w:i w:val="0"/>
        <w:color w:val="000000"/>
        <w:sz w:val="22"/>
        <w:szCs w:val="22"/>
        <w:u w:val="none" w:color="000000"/>
        <w:shd w:val="clear" w:color="auto" w:fill="auto"/>
        <w:vertAlign w:val="baseline"/>
      </w:rPr>
    </w:lvl>
    <w:lvl w:ilvl="8" w:tplc="02442628">
      <w:start w:val="1"/>
      <w:numFmt w:val="lowerRoman"/>
      <w:suff w:val="tab"/>
      <w:lvlText w:val="%9"/>
      <w:lvlJc w:val="left"/>
      <w:pPr>
        <w:ind w:left="6487"/>
      </w:pPr>
      <w:rPr>
        <w:rFonts w:ascii="Arial" w:hAnsi="Arial" w:cs="Arial" w:eastAsia="Arial"/>
        <w:b w:val="0"/>
        <w:i w:val="0"/>
        <w:color w:val="000000"/>
        <w:sz w:val="22"/>
        <w:szCs w:val="22"/>
        <w:u w:val="none" w:color="000000"/>
        <w:shd w:val="clear" w:color="auto" w:fill="auto"/>
        <w:vertAlign w:val="baseline"/>
      </w:rPr>
    </w:lvl>
  </w:abstractNum>
  <w:abstractNum w:abstractNumId="17">
    <w:nsid w:val="422A7862"/>
    <w:multiLevelType w:val="hybridMultilevel"/>
    <w:lvl w:ilvl="0" w:tplc="041D0001">
      <w:start w:val="1"/>
      <w:numFmt w:val="bullet"/>
      <w:suff w:val="tab"/>
      <w:lvlText w:val=""/>
      <w:lvlJc w:val="left"/>
      <w:pPr>
        <w:ind w:hanging="360" w:left="1145"/>
      </w:pPr>
      <w:rPr>
        <w:rFonts w:ascii="Symbol" w:hAnsi="Symbol" w:hint="default"/>
      </w:rPr>
    </w:lvl>
    <w:lvl w:ilvl="1" w:tplc="041D0003">
      <w:start w:val="1"/>
      <w:numFmt w:val="bullet"/>
      <w:suff w:val="tab"/>
      <w:lvlText w:val="o"/>
      <w:lvlJc w:val="left"/>
      <w:pPr>
        <w:ind w:hanging="360" w:left="1865"/>
      </w:pPr>
      <w:rPr>
        <w:rFonts w:ascii="Courier New" w:hAnsi="Courier New" w:cs="Courier New" w:hint="default"/>
      </w:rPr>
    </w:lvl>
    <w:lvl w:ilvl="2" w:tplc="041D0005">
      <w:start w:val="1"/>
      <w:numFmt w:val="bullet"/>
      <w:suff w:val="tab"/>
      <w:lvlText w:val=""/>
      <w:lvlJc w:val="left"/>
      <w:pPr>
        <w:ind w:hanging="360" w:left="2585"/>
      </w:pPr>
      <w:rPr>
        <w:rFonts w:ascii="Wingdings" w:hAnsi="Wingdings" w:hint="default"/>
      </w:rPr>
    </w:lvl>
    <w:lvl w:ilvl="3" w:tplc="041D0001">
      <w:start w:val="1"/>
      <w:numFmt w:val="bullet"/>
      <w:suff w:val="tab"/>
      <w:lvlText w:val=""/>
      <w:lvlJc w:val="left"/>
      <w:pPr>
        <w:ind w:hanging="360" w:left="3305"/>
      </w:pPr>
      <w:rPr>
        <w:rFonts w:ascii="Symbol" w:hAnsi="Symbol" w:hint="default"/>
      </w:rPr>
    </w:lvl>
    <w:lvl w:ilvl="4" w:tplc="041D0003">
      <w:start w:val="1"/>
      <w:numFmt w:val="bullet"/>
      <w:suff w:val="tab"/>
      <w:lvlText w:val="o"/>
      <w:lvlJc w:val="left"/>
      <w:pPr>
        <w:ind w:hanging="360" w:left="4025"/>
      </w:pPr>
      <w:rPr>
        <w:rFonts w:ascii="Courier New" w:hAnsi="Courier New" w:cs="Courier New" w:hint="default"/>
      </w:rPr>
    </w:lvl>
    <w:lvl w:ilvl="5" w:tplc="041D0005">
      <w:start w:val="1"/>
      <w:numFmt w:val="bullet"/>
      <w:suff w:val="tab"/>
      <w:lvlText w:val=""/>
      <w:lvlJc w:val="left"/>
      <w:pPr>
        <w:ind w:hanging="360" w:left="4745"/>
      </w:pPr>
      <w:rPr>
        <w:rFonts w:ascii="Wingdings" w:hAnsi="Wingdings" w:hint="default"/>
      </w:rPr>
    </w:lvl>
    <w:lvl w:ilvl="6" w:tplc="041D0001">
      <w:start w:val="1"/>
      <w:numFmt w:val="bullet"/>
      <w:suff w:val="tab"/>
      <w:lvlText w:val=""/>
      <w:lvlJc w:val="left"/>
      <w:pPr>
        <w:ind w:hanging="360" w:left="5465"/>
      </w:pPr>
      <w:rPr>
        <w:rFonts w:ascii="Symbol" w:hAnsi="Symbol" w:hint="default"/>
      </w:rPr>
    </w:lvl>
    <w:lvl w:ilvl="7" w:tplc="041D0003">
      <w:start w:val="1"/>
      <w:numFmt w:val="bullet"/>
      <w:suff w:val="tab"/>
      <w:lvlText w:val="o"/>
      <w:lvlJc w:val="left"/>
      <w:pPr>
        <w:ind w:hanging="360" w:left="6185"/>
      </w:pPr>
      <w:rPr>
        <w:rFonts w:ascii="Courier New" w:hAnsi="Courier New" w:cs="Courier New" w:hint="default"/>
      </w:rPr>
    </w:lvl>
    <w:lvl w:ilvl="8" w:tplc="041D0005">
      <w:start w:val="1"/>
      <w:numFmt w:val="bullet"/>
      <w:suff w:val="tab"/>
      <w:lvlText w:val=""/>
      <w:lvlJc w:val="left"/>
      <w:pPr>
        <w:ind w:hanging="360" w:left="6905"/>
      </w:pPr>
      <w:rPr>
        <w:rFonts w:ascii="Wingdings" w:hAnsi="Wingdings" w:hint="default"/>
      </w:rPr>
    </w:lvl>
  </w:abstractNum>
  <w:abstractNum w:abstractNumId="18">
    <w:nsid w:val="48617E06"/>
    <w:multiLevelType w:val="hybridMultilevel"/>
    <w:lvl w:ilvl="0" w:tplc="5A6400B6">
      <w:start w:val="1"/>
      <w:numFmt w:val="decimal"/>
      <w:suff w:val="tab"/>
      <w:lvlText w:val="%1."/>
      <w:lvlJc w:val="left"/>
      <w:pPr>
        <w:ind w:left="536"/>
      </w:pPr>
      <w:rPr>
        <w:rFonts w:ascii="Arial" w:hAnsi="Arial" w:cs="Arial" w:eastAsia="Arial"/>
        <w:b w:val="0"/>
        <w:i w:val="0"/>
        <w:color w:val="000000"/>
        <w:sz w:val="22"/>
        <w:szCs w:val="22"/>
        <w:u w:val="none" w:color="000000"/>
        <w:shd w:val="clear" w:color="auto" w:fill="auto"/>
        <w:vertAlign w:val="baseline"/>
      </w:rPr>
    </w:lvl>
    <w:lvl w:ilvl="1" w:tplc="BE82356A">
      <w:start w:val="1"/>
      <w:numFmt w:val="lowerLetter"/>
      <w:suff w:val="tab"/>
      <w:lvlText w:val="%2"/>
      <w:lvlJc w:val="left"/>
      <w:pPr>
        <w:ind w:left="1800"/>
      </w:pPr>
      <w:rPr>
        <w:rFonts w:ascii="Arial" w:hAnsi="Arial" w:cs="Arial" w:eastAsia="Arial"/>
        <w:b w:val="0"/>
        <w:i w:val="0"/>
        <w:color w:val="000000"/>
        <w:sz w:val="22"/>
        <w:szCs w:val="22"/>
        <w:u w:val="none" w:color="000000"/>
        <w:shd w:val="clear" w:color="auto" w:fill="auto"/>
        <w:vertAlign w:val="baseline"/>
      </w:rPr>
    </w:lvl>
    <w:lvl w:ilvl="2" w:tplc="7C9AC2DC">
      <w:start w:val="1"/>
      <w:numFmt w:val="lowerRoman"/>
      <w:suff w:val="tab"/>
      <w:lvlText w:val="%3"/>
      <w:lvlJc w:val="left"/>
      <w:pPr>
        <w:ind w:left="2520"/>
      </w:pPr>
      <w:rPr>
        <w:rFonts w:ascii="Arial" w:hAnsi="Arial" w:cs="Arial" w:eastAsia="Arial"/>
        <w:b w:val="0"/>
        <w:i w:val="0"/>
        <w:color w:val="000000"/>
        <w:sz w:val="22"/>
        <w:szCs w:val="22"/>
        <w:u w:val="none" w:color="000000"/>
        <w:shd w:val="clear" w:color="auto" w:fill="auto"/>
        <w:vertAlign w:val="baseline"/>
      </w:rPr>
    </w:lvl>
    <w:lvl w:ilvl="3" w:tplc="EF844194">
      <w:start w:val="1"/>
      <w:numFmt w:val="decimal"/>
      <w:suff w:val="tab"/>
      <w:lvlText w:val="%4"/>
      <w:lvlJc w:val="left"/>
      <w:pPr>
        <w:ind w:left="3240"/>
      </w:pPr>
      <w:rPr>
        <w:rFonts w:ascii="Arial" w:hAnsi="Arial" w:cs="Arial" w:eastAsia="Arial"/>
        <w:b w:val="0"/>
        <w:i w:val="0"/>
        <w:color w:val="000000"/>
        <w:sz w:val="22"/>
        <w:szCs w:val="22"/>
        <w:u w:val="none" w:color="000000"/>
        <w:shd w:val="clear" w:color="auto" w:fill="auto"/>
        <w:vertAlign w:val="baseline"/>
      </w:rPr>
    </w:lvl>
    <w:lvl w:ilvl="4" w:tplc="3A4846DC">
      <w:start w:val="1"/>
      <w:numFmt w:val="lowerLetter"/>
      <w:suff w:val="tab"/>
      <w:lvlText w:val="%5"/>
      <w:lvlJc w:val="left"/>
      <w:pPr>
        <w:ind w:left="3960"/>
      </w:pPr>
      <w:rPr>
        <w:rFonts w:ascii="Arial" w:hAnsi="Arial" w:cs="Arial" w:eastAsia="Arial"/>
        <w:b w:val="0"/>
        <w:i w:val="0"/>
        <w:color w:val="000000"/>
        <w:sz w:val="22"/>
        <w:szCs w:val="22"/>
        <w:u w:val="none" w:color="000000"/>
        <w:shd w:val="clear" w:color="auto" w:fill="auto"/>
        <w:vertAlign w:val="baseline"/>
      </w:rPr>
    </w:lvl>
    <w:lvl w:ilvl="5" w:tplc="EFA2AE58">
      <w:start w:val="1"/>
      <w:numFmt w:val="lowerRoman"/>
      <w:suff w:val="tab"/>
      <w:lvlText w:val="%6"/>
      <w:lvlJc w:val="left"/>
      <w:pPr>
        <w:ind w:left="4680"/>
      </w:pPr>
      <w:rPr>
        <w:rFonts w:ascii="Arial" w:hAnsi="Arial" w:cs="Arial" w:eastAsia="Arial"/>
        <w:b w:val="0"/>
        <w:i w:val="0"/>
        <w:color w:val="000000"/>
        <w:sz w:val="22"/>
        <w:szCs w:val="22"/>
        <w:u w:val="none" w:color="000000"/>
        <w:shd w:val="clear" w:color="auto" w:fill="auto"/>
        <w:vertAlign w:val="baseline"/>
      </w:rPr>
    </w:lvl>
    <w:lvl w:ilvl="6" w:tplc="19B22C6C">
      <w:start w:val="1"/>
      <w:numFmt w:val="decimal"/>
      <w:suff w:val="tab"/>
      <w:lvlText w:val="%7"/>
      <w:lvlJc w:val="left"/>
      <w:pPr>
        <w:ind w:left="5400"/>
      </w:pPr>
      <w:rPr>
        <w:rFonts w:ascii="Arial" w:hAnsi="Arial" w:cs="Arial" w:eastAsia="Arial"/>
        <w:b w:val="0"/>
        <w:i w:val="0"/>
        <w:color w:val="000000"/>
        <w:sz w:val="22"/>
        <w:szCs w:val="22"/>
        <w:u w:val="none" w:color="000000"/>
        <w:shd w:val="clear" w:color="auto" w:fill="auto"/>
        <w:vertAlign w:val="baseline"/>
      </w:rPr>
    </w:lvl>
    <w:lvl w:ilvl="7" w:tplc="A830B74E">
      <w:start w:val="1"/>
      <w:numFmt w:val="lowerLetter"/>
      <w:suff w:val="tab"/>
      <w:lvlText w:val="%8"/>
      <w:lvlJc w:val="left"/>
      <w:pPr>
        <w:ind w:left="6120"/>
      </w:pPr>
      <w:rPr>
        <w:rFonts w:ascii="Arial" w:hAnsi="Arial" w:cs="Arial" w:eastAsia="Arial"/>
        <w:b w:val="0"/>
        <w:i w:val="0"/>
        <w:color w:val="000000"/>
        <w:sz w:val="22"/>
        <w:szCs w:val="22"/>
        <w:u w:val="none" w:color="000000"/>
        <w:shd w:val="clear" w:color="auto" w:fill="auto"/>
        <w:vertAlign w:val="baseline"/>
      </w:rPr>
    </w:lvl>
    <w:lvl w:ilvl="8" w:tplc="BD40E402">
      <w:start w:val="1"/>
      <w:numFmt w:val="lowerRoman"/>
      <w:suff w:val="tab"/>
      <w:lvlText w:val="%9"/>
      <w:lvlJc w:val="left"/>
      <w:pPr>
        <w:ind w:left="6840"/>
      </w:pPr>
      <w:rPr>
        <w:rFonts w:ascii="Arial" w:hAnsi="Arial" w:cs="Arial" w:eastAsia="Arial"/>
        <w:b w:val="0"/>
        <w:i w:val="0"/>
        <w:color w:val="000000"/>
        <w:sz w:val="22"/>
        <w:szCs w:val="22"/>
        <w:u w:val="none" w:color="000000"/>
        <w:shd w:val="clear" w:color="auto" w:fill="auto"/>
        <w:vertAlign w:val="baseline"/>
      </w:rPr>
    </w:lvl>
  </w:abstractNum>
  <w:abstractNum w:abstractNumId="19">
    <w:nsid w:val="52DA32B5"/>
    <w:multiLevelType w:val="hybridMultilevel"/>
    <w:lvl w:ilvl="0" w:tplc="041D0001">
      <w:start w:val="1"/>
      <w:numFmt w:val="bullet"/>
      <w:suff w:val="tab"/>
      <w:lvlText w:val=""/>
      <w:lvlJc w:val="left"/>
      <w:pPr>
        <w:ind w:hanging="360" w:left="1145"/>
      </w:pPr>
      <w:rPr>
        <w:rFonts w:ascii="Symbol" w:hAnsi="Symbol" w:hint="default"/>
      </w:rPr>
    </w:lvl>
    <w:lvl w:ilvl="1" w:tplc="041D0003">
      <w:start w:val="1"/>
      <w:numFmt w:val="bullet"/>
      <w:suff w:val="tab"/>
      <w:lvlText w:val="o"/>
      <w:lvlJc w:val="left"/>
      <w:pPr>
        <w:ind w:hanging="360" w:left="1865"/>
      </w:pPr>
      <w:rPr>
        <w:rFonts w:ascii="Courier New" w:hAnsi="Courier New" w:cs="Courier New" w:hint="default"/>
      </w:rPr>
    </w:lvl>
    <w:lvl w:ilvl="2" w:tplc="041D0005">
      <w:start w:val="1"/>
      <w:numFmt w:val="bullet"/>
      <w:suff w:val="tab"/>
      <w:lvlText w:val=""/>
      <w:lvlJc w:val="left"/>
      <w:pPr>
        <w:ind w:hanging="360" w:left="2585"/>
      </w:pPr>
      <w:rPr>
        <w:rFonts w:ascii="Wingdings" w:hAnsi="Wingdings" w:hint="default"/>
      </w:rPr>
    </w:lvl>
    <w:lvl w:ilvl="3" w:tplc="041D0001">
      <w:start w:val="1"/>
      <w:numFmt w:val="bullet"/>
      <w:suff w:val="tab"/>
      <w:lvlText w:val=""/>
      <w:lvlJc w:val="left"/>
      <w:pPr>
        <w:ind w:hanging="360" w:left="3305"/>
      </w:pPr>
      <w:rPr>
        <w:rFonts w:ascii="Symbol" w:hAnsi="Symbol" w:hint="default"/>
      </w:rPr>
    </w:lvl>
    <w:lvl w:ilvl="4" w:tplc="041D0003">
      <w:start w:val="1"/>
      <w:numFmt w:val="bullet"/>
      <w:suff w:val="tab"/>
      <w:lvlText w:val="o"/>
      <w:lvlJc w:val="left"/>
      <w:pPr>
        <w:ind w:hanging="360" w:left="4025"/>
      </w:pPr>
      <w:rPr>
        <w:rFonts w:ascii="Courier New" w:hAnsi="Courier New" w:cs="Courier New" w:hint="default"/>
      </w:rPr>
    </w:lvl>
    <w:lvl w:ilvl="5" w:tplc="041D0005">
      <w:start w:val="1"/>
      <w:numFmt w:val="bullet"/>
      <w:suff w:val="tab"/>
      <w:lvlText w:val=""/>
      <w:lvlJc w:val="left"/>
      <w:pPr>
        <w:ind w:hanging="360" w:left="4745"/>
      </w:pPr>
      <w:rPr>
        <w:rFonts w:ascii="Wingdings" w:hAnsi="Wingdings" w:hint="default"/>
      </w:rPr>
    </w:lvl>
    <w:lvl w:ilvl="6" w:tplc="041D0001">
      <w:start w:val="1"/>
      <w:numFmt w:val="bullet"/>
      <w:suff w:val="tab"/>
      <w:lvlText w:val=""/>
      <w:lvlJc w:val="left"/>
      <w:pPr>
        <w:ind w:hanging="360" w:left="5465"/>
      </w:pPr>
      <w:rPr>
        <w:rFonts w:ascii="Symbol" w:hAnsi="Symbol" w:hint="default"/>
      </w:rPr>
    </w:lvl>
    <w:lvl w:ilvl="7" w:tplc="041D0003">
      <w:start w:val="1"/>
      <w:numFmt w:val="bullet"/>
      <w:suff w:val="tab"/>
      <w:lvlText w:val="o"/>
      <w:lvlJc w:val="left"/>
      <w:pPr>
        <w:ind w:hanging="360" w:left="6185"/>
      </w:pPr>
      <w:rPr>
        <w:rFonts w:ascii="Courier New" w:hAnsi="Courier New" w:cs="Courier New" w:hint="default"/>
      </w:rPr>
    </w:lvl>
    <w:lvl w:ilvl="8" w:tplc="041D0005">
      <w:start w:val="1"/>
      <w:numFmt w:val="bullet"/>
      <w:suff w:val="tab"/>
      <w:lvlText w:val=""/>
      <w:lvlJc w:val="left"/>
      <w:pPr>
        <w:ind w:hanging="360" w:left="6905"/>
      </w:pPr>
      <w:rPr>
        <w:rFonts w:ascii="Wingdings" w:hAnsi="Wingdings" w:hint="default"/>
      </w:rPr>
    </w:lvl>
  </w:abstractNum>
  <w:abstractNum w:abstractNumId="20">
    <w:nsid w:val="60BE152F"/>
    <w:multiLevelType w:val="multilevel"/>
    <w:lvl w:ilvl="0">
      <w:start w:val="1"/>
      <w:numFmt w:val="bullet"/>
      <w:suff w:val="tab"/>
      <w:lvlText w:val=""/>
      <w:lvlJc w:val="left"/>
      <w:pPr>
        <w:ind w:hanging="360" w:left="720"/>
        <w:tabs>
          <w:tab w:val="num" w:pos="720" w:leader="none"/>
        </w:tabs>
      </w:pPr>
      <w:rPr>
        <w:rFonts w:ascii="Symbol" w:hAnsi="Symbol" w:hint="default"/>
        <w:sz w:val="20"/>
      </w:rPr>
    </w:lvl>
    <w:lvl w:ilvl="1">
      <w:start w:val="1"/>
      <w:numFmt w:val="bullet"/>
      <w:suff w:val="tab"/>
      <w:lvlText w:val="o"/>
      <w:lvlJc w:val="left"/>
      <w:pPr>
        <w:ind w:hanging="360" w:left="1440"/>
        <w:tabs>
          <w:tab w:val="num" w:pos="1440" w:leader="none"/>
        </w:tabs>
      </w:pPr>
      <w:rPr>
        <w:rFonts w:ascii="Courier New" w:hAnsi="Courier New" w:hint="default"/>
        <w:sz w:val="20"/>
      </w:rPr>
    </w:lvl>
    <w:lvl w:ilvl="2">
      <w:start w:val="1"/>
      <w:numFmt w:val="bullet"/>
      <w:suff w:val="tab"/>
      <w:lvlText w:val=""/>
      <w:lvlJc w:val="left"/>
      <w:pPr>
        <w:ind w:hanging="360" w:left="2160"/>
        <w:tabs>
          <w:tab w:val="num" w:pos="2160" w:leader="none"/>
        </w:tabs>
      </w:pPr>
      <w:rPr>
        <w:rFonts w:ascii="Wingdings" w:hAnsi="Wingdings" w:hint="default"/>
        <w:sz w:val="20"/>
      </w:rPr>
    </w:lvl>
    <w:lvl w:ilvl="3">
      <w:start w:val="1"/>
      <w:numFmt w:val="bullet"/>
      <w:suff w:val="tab"/>
      <w:lvlText w:val=""/>
      <w:lvlJc w:val="left"/>
      <w:pPr>
        <w:ind w:hanging="360" w:left="2880"/>
        <w:tabs>
          <w:tab w:val="num" w:pos="2880" w:leader="none"/>
        </w:tabs>
      </w:pPr>
      <w:rPr>
        <w:rFonts w:ascii="Wingdings" w:hAnsi="Wingdings" w:hint="default"/>
        <w:sz w:val="20"/>
      </w:rPr>
    </w:lvl>
    <w:lvl w:ilvl="4">
      <w:start w:val="1"/>
      <w:numFmt w:val="bullet"/>
      <w:suff w:val="tab"/>
      <w:lvlText w:val=""/>
      <w:lvlJc w:val="left"/>
      <w:pPr>
        <w:ind w:hanging="360" w:left="3600"/>
        <w:tabs>
          <w:tab w:val="num" w:pos="3600" w:leader="none"/>
        </w:tabs>
      </w:pPr>
      <w:rPr>
        <w:rFonts w:ascii="Wingdings" w:hAnsi="Wingdings" w:hint="default"/>
        <w:sz w:val="20"/>
      </w:rPr>
    </w:lvl>
    <w:lvl w:ilvl="5">
      <w:start w:val="1"/>
      <w:numFmt w:val="bullet"/>
      <w:suff w:val="tab"/>
      <w:lvlText w:val=""/>
      <w:lvlJc w:val="left"/>
      <w:pPr>
        <w:ind w:hanging="360" w:left="4320"/>
        <w:tabs>
          <w:tab w:val="num" w:pos="4320" w:leader="none"/>
        </w:tabs>
      </w:pPr>
      <w:rPr>
        <w:rFonts w:ascii="Wingdings" w:hAnsi="Wingdings" w:hint="default"/>
        <w:sz w:val="20"/>
      </w:rPr>
    </w:lvl>
    <w:lvl w:ilvl="6">
      <w:start w:val="1"/>
      <w:numFmt w:val="bullet"/>
      <w:suff w:val="tab"/>
      <w:lvlText w:val=""/>
      <w:lvlJc w:val="left"/>
      <w:pPr>
        <w:ind w:hanging="360" w:left="5040"/>
        <w:tabs>
          <w:tab w:val="num" w:pos="5040" w:leader="none"/>
        </w:tabs>
      </w:pPr>
      <w:rPr>
        <w:rFonts w:ascii="Wingdings" w:hAnsi="Wingdings" w:hint="default"/>
        <w:sz w:val="20"/>
      </w:rPr>
    </w:lvl>
    <w:lvl w:ilvl="7">
      <w:start w:val="1"/>
      <w:numFmt w:val="bullet"/>
      <w:suff w:val="tab"/>
      <w:lvlText w:val=""/>
      <w:lvlJc w:val="left"/>
      <w:pPr>
        <w:ind w:hanging="360" w:left="5760"/>
        <w:tabs>
          <w:tab w:val="num" w:pos="5760" w:leader="none"/>
        </w:tabs>
      </w:pPr>
      <w:rPr>
        <w:rFonts w:ascii="Wingdings" w:hAnsi="Wingdings" w:hint="default"/>
        <w:sz w:val="20"/>
      </w:rPr>
    </w:lvl>
    <w:lvl w:ilvl="8">
      <w:start w:val="1"/>
      <w:numFmt w:val="bullet"/>
      <w:suff w:val="tab"/>
      <w:lvlText w:val=""/>
      <w:lvlJc w:val="left"/>
      <w:pPr>
        <w:ind w:hanging="360" w:left="6480"/>
        <w:tabs>
          <w:tab w:val="num" w:pos="6480" w:leader="none"/>
        </w:tabs>
      </w:pPr>
      <w:rPr>
        <w:rFonts w:ascii="Wingdings" w:hAnsi="Wingdings" w:hint="default"/>
        <w:sz w:val="20"/>
      </w:rPr>
    </w:lvl>
  </w:abstractNum>
  <w:abstractNum w:abstractNumId="21">
    <w:nsid w:val="69B87E02"/>
    <w:multiLevelType w:val="multilevel"/>
    <w:lvl w:ilvl="0">
      <w:start w:val="1"/>
      <w:numFmt w:val="decimal"/>
      <w:suff w:val="tab"/>
      <w:lvlText w:val="%1."/>
      <w:lvlJc w:val="left"/>
      <w:pPr>
        <w:ind w:hanging="360" w:left="720"/>
      </w:pPr>
      <w:rPr>
        <w:rFonts w:hint="default"/>
      </w:rPr>
    </w:lvl>
    <w:lvl w:ilvl="1">
      <w:start w:val="1"/>
      <w:numFmt w:val="decimal"/>
      <w:isLgl w:val="1"/>
      <w:suff w:val="tab"/>
      <w:lvlText w:val="%1.%2"/>
      <w:lvlJc w:val="left"/>
      <w:pPr>
        <w:ind w:hanging="720" w:left="1080"/>
      </w:pPr>
      <w:rPr>
        <w:rFonts w:hint="default"/>
      </w:rPr>
    </w:lvl>
    <w:lvl w:ilvl="2">
      <w:start w:val="2"/>
      <w:numFmt w:val="decimal"/>
      <w:isLgl w:val="1"/>
      <w:suff w:val="tab"/>
      <w:lvlText w:val="%1.%2.%3"/>
      <w:lvlJc w:val="left"/>
      <w:pPr>
        <w:ind w:hanging="1080" w:left="1440"/>
      </w:pPr>
      <w:rPr>
        <w:rFonts w:hint="default"/>
      </w:rPr>
    </w:lvl>
    <w:lvl w:ilvl="3">
      <w:start w:val="1"/>
      <w:numFmt w:val="decimal"/>
      <w:isLgl w:val="1"/>
      <w:suff w:val="tab"/>
      <w:lvlText w:val="%1.%2.%3.%4"/>
      <w:lvlJc w:val="left"/>
      <w:pPr>
        <w:ind w:hanging="1440" w:left="1800"/>
      </w:pPr>
      <w:rPr>
        <w:rFonts w:hint="default"/>
      </w:rPr>
    </w:lvl>
    <w:lvl w:ilvl="4">
      <w:start w:val="1"/>
      <w:numFmt w:val="decimal"/>
      <w:isLgl w:val="1"/>
      <w:suff w:val="tab"/>
      <w:lvlText w:val="%1.%2.%3.%4.%5"/>
      <w:lvlJc w:val="left"/>
      <w:pPr>
        <w:ind w:hanging="1800" w:left="2160"/>
      </w:pPr>
      <w:rPr>
        <w:rFonts w:hint="default"/>
      </w:rPr>
    </w:lvl>
    <w:lvl w:ilvl="5">
      <w:start w:val="1"/>
      <w:numFmt w:val="decimal"/>
      <w:isLgl w:val="1"/>
      <w:suff w:val="tab"/>
      <w:lvlText w:val="%1.%2.%3.%4.%5.%6"/>
      <w:lvlJc w:val="left"/>
      <w:pPr>
        <w:ind w:hanging="2160" w:left="2520"/>
      </w:pPr>
      <w:rPr>
        <w:rFonts w:hint="default"/>
      </w:rPr>
    </w:lvl>
    <w:lvl w:ilvl="6">
      <w:start w:val="1"/>
      <w:numFmt w:val="decimal"/>
      <w:isLgl w:val="1"/>
      <w:suff w:val="tab"/>
      <w:lvlText w:val="%1.%2.%3.%4.%5.%6.%7"/>
      <w:lvlJc w:val="left"/>
      <w:pPr>
        <w:ind w:hanging="2520" w:left="2880"/>
      </w:pPr>
      <w:rPr>
        <w:rFonts w:hint="default"/>
      </w:rPr>
    </w:lvl>
    <w:lvl w:ilvl="7">
      <w:start w:val="1"/>
      <w:numFmt w:val="decimal"/>
      <w:isLgl w:val="1"/>
      <w:suff w:val="tab"/>
      <w:lvlText w:val="%1.%2.%3.%4.%5.%6.%7.%8"/>
      <w:lvlJc w:val="left"/>
      <w:pPr>
        <w:ind w:hanging="2880" w:left="3240"/>
      </w:pPr>
      <w:rPr>
        <w:rFonts w:hint="default"/>
      </w:rPr>
    </w:lvl>
    <w:lvl w:ilvl="8">
      <w:start w:val="1"/>
      <w:numFmt w:val="decimal"/>
      <w:isLgl w:val="1"/>
      <w:suff w:val="tab"/>
      <w:lvlText w:val="%1.%2.%3.%4.%5.%6.%7.%8.%9"/>
      <w:lvlJc w:val="left"/>
      <w:pPr>
        <w:ind w:hanging="3240" w:left="3600"/>
      </w:pPr>
      <w:rPr>
        <w:rFonts w:hint="default"/>
      </w:rPr>
    </w:lvl>
  </w:abstractNum>
  <w:abstractNum w:abstractNumId="22">
    <w:nsid w:val="7C290458"/>
    <w:multiLevelType w:val="hybridMultilevel"/>
    <w:lvl w:ilvl="0" w:tplc="041D0001">
      <w:start w:val="1"/>
      <w:numFmt w:val="bullet"/>
      <w:suff w:val="tab"/>
      <w:lvlText w:val=""/>
      <w:lvlJc w:val="left"/>
      <w:pPr>
        <w:ind w:hanging="360" w:left="1145"/>
      </w:pPr>
      <w:rPr>
        <w:rFonts w:ascii="Symbol" w:hAnsi="Symbol" w:hint="default"/>
      </w:rPr>
    </w:lvl>
    <w:lvl w:ilvl="1" w:tplc="041D0003">
      <w:start w:val="1"/>
      <w:numFmt w:val="bullet"/>
      <w:suff w:val="tab"/>
      <w:lvlText w:val="o"/>
      <w:lvlJc w:val="left"/>
      <w:pPr>
        <w:ind w:hanging="360" w:left="1865"/>
      </w:pPr>
      <w:rPr>
        <w:rFonts w:ascii="Courier New" w:hAnsi="Courier New" w:cs="Courier New" w:hint="default"/>
      </w:rPr>
    </w:lvl>
    <w:lvl w:ilvl="2" w:tplc="041D0005">
      <w:start w:val="1"/>
      <w:numFmt w:val="bullet"/>
      <w:suff w:val="tab"/>
      <w:lvlText w:val=""/>
      <w:lvlJc w:val="left"/>
      <w:pPr>
        <w:ind w:hanging="360" w:left="2585"/>
      </w:pPr>
      <w:rPr>
        <w:rFonts w:ascii="Wingdings" w:hAnsi="Wingdings" w:hint="default"/>
      </w:rPr>
    </w:lvl>
    <w:lvl w:ilvl="3" w:tplc="041D0001">
      <w:start w:val="1"/>
      <w:numFmt w:val="bullet"/>
      <w:suff w:val="tab"/>
      <w:lvlText w:val=""/>
      <w:lvlJc w:val="left"/>
      <w:pPr>
        <w:ind w:hanging="360" w:left="3305"/>
      </w:pPr>
      <w:rPr>
        <w:rFonts w:ascii="Symbol" w:hAnsi="Symbol" w:hint="default"/>
      </w:rPr>
    </w:lvl>
    <w:lvl w:ilvl="4" w:tplc="041D0003">
      <w:start w:val="1"/>
      <w:numFmt w:val="bullet"/>
      <w:suff w:val="tab"/>
      <w:lvlText w:val="o"/>
      <w:lvlJc w:val="left"/>
      <w:pPr>
        <w:ind w:hanging="360" w:left="4025"/>
      </w:pPr>
      <w:rPr>
        <w:rFonts w:ascii="Courier New" w:hAnsi="Courier New" w:cs="Courier New" w:hint="default"/>
      </w:rPr>
    </w:lvl>
    <w:lvl w:ilvl="5" w:tplc="041D0005">
      <w:start w:val="1"/>
      <w:numFmt w:val="bullet"/>
      <w:suff w:val="tab"/>
      <w:lvlText w:val=""/>
      <w:lvlJc w:val="left"/>
      <w:pPr>
        <w:ind w:hanging="360" w:left="4745"/>
      </w:pPr>
      <w:rPr>
        <w:rFonts w:ascii="Wingdings" w:hAnsi="Wingdings" w:hint="default"/>
      </w:rPr>
    </w:lvl>
    <w:lvl w:ilvl="6" w:tplc="041D0001">
      <w:start w:val="1"/>
      <w:numFmt w:val="bullet"/>
      <w:suff w:val="tab"/>
      <w:lvlText w:val=""/>
      <w:lvlJc w:val="left"/>
      <w:pPr>
        <w:ind w:hanging="360" w:left="5465"/>
      </w:pPr>
      <w:rPr>
        <w:rFonts w:ascii="Symbol" w:hAnsi="Symbol" w:hint="default"/>
      </w:rPr>
    </w:lvl>
    <w:lvl w:ilvl="7" w:tplc="041D0003">
      <w:start w:val="1"/>
      <w:numFmt w:val="bullet"/>
      <w:suff w:val="tab"/>
      <w:lvlText w:val="o"/>
      <w:lvlJc w:val="left"/>
      <w:pPr>
        <w:ind w:hanging="360" w:left="6185"/>
      </w:pPr>
      <w:rPr>
        <w:rFonts w:ascii="Courier New" w:hAnsi="Courier New" w:cs="Courier New" w:hint="default"/>
      </w:rPr>
    </w:lvl>
    <w:lvl w:ilvl="8" w:tplc="041D0005">
      <w:start w:val="1"/>
      <w:numFmt w:val="bullet"/>
      <w:suff w:val="tab"/>
      <w:lvlText w:val=""/>
      <w:lvlJc w:val="left"/>
      <w:pPr>
        <w:ind w:hanging="360" w:left="6905"/>
      </w:pPr>
      <w:rPr>
        <w:rFonts w:ascii="Wingdings" w:hAnsi="Wingdings" w:hint="default"/>
      </w:rPr>
    </w:lvl>
  </w:abstractNum>
  <w:abstractNum w:abstractNumId="23">
    <w:nsid w:val="7E857C60"/>
    <w:multiLevelType w:val="hybridMultilevel"/>
    <w:lvl w:ilvl="0" w:tplc="041D0001">
      <w:start w:val="1"/>
      <w:numFmt w:val="bullet"/>
      <w:suff w:val="tab"/>
      <w:lvlText w:val=""/>
      <w:lvlJc w:val="left"/>
      <w:pPr>
        <w:ind w:hanging="360" w:left="1145"/>
      </w:pPr>
      <w:rPr>
        <w:rFonts w:ascii="Symbol" w:hAnsi="Symbol" w:hint="default"/>
      </w:rPr>
    </w:lvl>
    <w:lvl w:ilvl="1" w:tplc="041D0003">
      <w:start w:val="1"/>
      <w:numFmt w:val="bullet"/>
      <w:suff w:val="tab"/>
      <w:lvlText w:val="o"/>
      <w:lvlJc w:val="left"/>
      <w:pPr>
        <w:ind w:hanging="360" w:left="1865"/>
      </w:pPr>
      <w:rPr>
        <w:rFonts w:ascii="Courier New" w:hAnsi="Courier New" w:cs="Courier New" w:hint="default"/>
      </w:rPr>
    </w:lvl>
    <w:lvl w:ilvl="2" w:tplc="041D0005">
      <w:start w:val="1"/>
      <w:numFmt w:val="bullet"/>
      <w:suff w:val="tab"/>
      <w:lvlText w:val=""/>
      <w:lvlJc w:val="left"/>
      <w:pPr>
        <w:ind w:hanging="360" w:left="2585"/>
      </w:pPr>
      <w:rPr>
        <w:rFonts w:ascii="Wingdings" w:hAnsi="Wingdings" w:hint="default"/>
      </w:rPr>
    </w:lvl>
    <w:lvl w:ilvl="3" w:tplc="041D0001">
      <w:start w:val="1"/>
      <w:numFmt w:val="bullet"/>
      <w:suff w:val="tab"/>
      <w:lvlText w:val=""/>
      <w:lvlJc w:val="left"/>
      <w:pPr>
        <w:ind w:hanging="360" w:left="3305"/>
      </w:pPr>
      <w:rPr>
        <w:rFonts w:ascii="Symbol" w:hAnsi="Symbol" w:hint="default"/>
      </w:rPr>
    </w:lvl>
    <w:lvl w:ilvl="4" w:tplc="041D0003">
      <w:start w:val="1"/>
      <w:numFmt w:val="bullet"/>
      <w:suff w:val="tab"/>
      <w:lvlText w:val="o"/>
      <w:lvlJc w:val="left"/>
      <w:pPr>
        <w:ind w:hanging="360" w:left="4025"/>
      </w:pPr>
      <w:rPr>
        <w:rFonts w:ascii="Courier New" w:hAnsi="Courier New" w:cs="Courier New" w:hint="default"/>
      </w:rPr>
    </w:lvl>
    <w:lvl w:ilvl="5" w:tplc="041D0005">
      <w:start w:val="1"/>
      <w:numFmt w:val="bullet"/>
      <w:suff w:val="tab"/>
      <w:lvlText w:val=""/>
      <w:lvlJc w:val="left"/>
      <w:pPr>
        <w:ind w:hanging="360" w:left="4745"/>
      </w:pPr>
      <w:rPr>
        <w:rFonts w:ascii="Wingdings" w:hAnsi="Wingdings" w:hint="default"/>
      </w:rPr>
    </w:lvl>
    <w:lvl w:ilvl="6" w:tplc="041D0001">
      <w:start w:val="1"/>
      <w:numFmt w:val="bullet"/>
      <w:suff w:val="tab"/>
      <w:lvlText w:val=""/>
      <w:lvlJc w:val="left"/>
      <w:pPr>
        <w:ind w:hanging="360" w:left="5465"/>
      </w:pPr>
      <w:rPr>
        <w:rFonts w:ascii="Symbol" w:hAnsi="Symbol" w:hint="default"/>
      </w:rPr>
    </w:lvl>
    <w:lvl w:ilvl="7" w:tplc="041D0003">
      <w:start w:val="1"/>
      <w:numFmt w:val="bullet"/>
      <w:suff w:val="tab"/>
      <w:lvlText w:val="o"/>
      <w:lvlJc w:val="left"/>
      <w:pPr>
        <w:ind w:hanging="360" w:left="6185"/>
      </w:pPr>
      <w:rPr>
        <w:rFonts w:ascii="Courier New" w:hAnsi="Courier New" w:cs="Courier New" w:hint="default"/>
      </w:rPr>
    </w:lvl>
    <w:lvl w:ilvl="8" w:tplc="041D0005">
      <w:start w:val="1"/>
      <w:numFmt w:val="bullet"/>
      <w:suff w:val="tab"/>
      <w:lvlText w:val=""/>
      <w:lvlJc w:val="left"/>
      <w:pPr>
        <w:ind w:hanging="360" w:left="6905"/>
      </w:pPr>
      <w:rPr>
        <w:rFonts w:ascii="Wingdings" w:hAnsi="Wingdings" w:hint="default"/>
      </w:rPr>
    </w:lvl>
  </w:abstractNum>
  <w:num w:numId="1">
    <w:abstractNumId w:val="11"/>
  </w:num>
  <w:num w:numId="2">
    <w:abstractNumId w:val="16"/>
  </w:num>
  <w:num w:numId="3">
    <w:abstractNumId w:val="13"/>
  </w:num>
  <w:num w:numId="4">
    <w:abstractNumId w:val="18"/>
  </w:num>
  <w:num w:numId="5">
    <w:abstractNumId w:val="21"/>
  </w:num>
  <w:num w:numId="6">
    <w:abstractNumId w:val="15"/>
  </w:num>
  <w:num w:numId="7">
    <w:abstractNumId w:val="12"/>
  </w:num>
  <w:num w:numId="8">
    <w:abstractNumId w:val="12"/>
    <w:lvlOverride w:ilvl="0">
      <w:lvl w:ilvl="0">
        <w:start w:val="1"/>
        <w:numFmt w:val="decimal"/>
        <w:suff w:val="tab"/>
        <w:lvlText w:val="%1"/>
        <w:lvlJc w:val="left"/>
        <w:pPr>
          <w:ind w:hanging="432" w:left="432"/>
        </w:pPr>
        <w:rPr>
          <w:rFonts w:hint="default"/>
        </w:rPr>
      </w:lvl>
    </w:lvlOverride>
    <w:lvlOverride w:ilvl="1">
      <w:lvl w:ilvl="1">
        <w:start w:val="1"/>
        <w:numFmt w:val="decimal"/>
        <w:suff w:val="space"/>
        <w:lvlText w:val="%1.%2"/>
        <w:lvlJc w:val="left"/>
        <w:pPr>
          <w:ind w:hanging="576" w:left="576"/>
        </w:pPr>
        <w:rPr>
          <w:rFonts w:hint="default"/>
        </w:rPr>
      </w:lvl>
    </w:lvlOverride>
    <w:lvlOverride w:ilvl="2">
      <w:lvl w:ilvl="2">
        <w:start w:val="1"/>
        <w:numFmt w:val="decimal"/>
        <w:suff w:val="tab"/>
        <w:lvlText w:val="%1.%2.%3"/>
        <w:lvlJc w:val="left"/>
        <w:pPr>
          <w:ind w:hanging="720" w:left="720"/>
        </w:pPr>
        <w:rPr>
          <w:rFonts w:hint="default"/>
        </w:rPr>
      </w:lvl>
    </w:lvlOverride>
    <w:lvlOverride w:ilvl="3">
      <w:lvl w:ilvl="3">
        <w:start w:val="1"/>
        <w:numFmt w:val="decimal"/>
        <w:suff w:val="tab"/>
        <w:lvlText w:val="%1.%2.%3.%4"/>
        <w:lvlJc w:val="left"/>
        <w:pPr>
          <w:ind w:hanging="864" w:left="864"/>
        </w:pPr>
        <w:rPr>
          <w:rFonts w:hint="default"/>
        </w:rPr>
      </w:lvl>
    </w:lvlOverride>
    <w:lvlOverride w:ilvl="4">
      <w:lvl w:ilvl="4">
        <w:start w:val="1"/>
        <w:numFmt w:val="decimal"/>
        <w:suff w:val="tab"/>
        <w:lvlText w:val="%1.%2.%3.%4.%5"/>
        <w:lvlJc w:val="left"/>
        <w:pPr>
          <w:ind w:hanging="1008" w:left="1008"/>
        </w:pPr>
        <w:rPr>
          <w:rFonts w:hint="default"/>
        </w:rPr>
      </w:lvl>
    </w:lvlOverride>
    <w:lvlOverride w:ilvl="5">
      <w:lvl w:ilvl="5">
        <w:start w:val="1"/>
        <w:numFmt w:val="decimal"/>
        <w:suff w:val="tab"/>
        <w:lvlText w:val="%1.%2.%3.%4.%5.%6"/>
        <w:lvlJc w:val="left"/>
        <w:pPr>
          <w:ind w:hanging="1152" w:left="1152"/>
        </w:pPr>
        <w:rPr>
          <w:rFonts w:hint="default"/>
        </w:rPr>
      </w:lvl>
    </w:lvlOverride>
    <w:lvlOverride w:ilvl="6">
      <w:lvl w:ilvl="6">
        <w:start w:val="1"/>
        <w:numFmt w:val="decimal"/>
        <w:suff w:val="tab"/>
        <w:lvlText w:val="%1.%2.%3.%4.%5.%6.%7"/>
        <w:lvlJc w:val="left"/>
        <w:pPr>
          <w:ind w:hanging="1296" w:left="1296"/>
        </w:pPr>
        <w:rPr>
          <w:rFonts w:hint="default"/>
        </w:rPr>
      </w:lvl>
    </w:lvlOverride>
    <w:lvlOverride w:ilvl="7">
      <w:lvl w:ilvl="7">
        <w:start w:val="1"/>
        <w:numFmt w:val="decimal"/>
        <w:suff w:val="tab"/>
        <w:lvlText w:val="%1.%2.%3.%4.%5.%6.%7.%8"/>
        <w:lvlJc w:val="left"/>
        <w:pPr>
          <w:ind w:hanging="1440" w:left="1440"/>
        </w:pPr>
        <w:rPr>
          <w:rFonts w:hint="default"/>
        </w:rPr>
      </w:lvl>
    </w:lvlOverride>
    <w:lvlOverride w:ilvl="8">
      <w:lvl w:ilvl="8">
        <w:start w:val="1"/>
        <w:numFmt w:val="decimal"/>
        <w:suff w:val="tab"/>
        <w:lvlText w:val="%1.%2.%3.%4.%5.%6.%7.%8.%9"/>
        <w:lvlJc w:val="left"/>
        <w:pPr>
          <w:ind w:hanging="1584" w:left="1584"/>
        </w:pPr>
        <w:rPr>
          <w:rFonts w:hint="default"/>
        </w:rPr>
      </w:lvl>
    </w:lvlOverride>
  </w:num>
  <w:num w:numId="9">
    <w:abstractNumId w:val="12"/>
    <w:lvlOverride w:ilvl="0">
      <w:lvl w:ilvl="0">
        <w:start w:val="1"/>
        <w:numFmt w:val="decimal"/>
        <w:suff w:val="tab"/>
        <w:lvlText w:val="%1"/>
        <w:lvlJc w:val="left"/>
        <w:pPr>
          <w:ind w:hanging="432" w:left="432"/>
        </w:pPr>
        <w:rPr>
          <w:rFonts w:hint="default"/>
        </w:rPr>
      </w:lvl>
    </w:lvlOverride>
    <w:lvlOverride w:ilvl="1">
      <w:lvl w:ilvl="1">
        <w:start w:val="1"/>
        <w:numFmt w:val="decimal"/>
        <w:suff w:val="tab"/>
        <w:lvlText w:val="%1.%2"/>
        <w:lvlJc w:val="left"/>
        <w:pPr>
          <w:ind w:hanging="463" w:left="576"/>
          <w:tabs>
            <w:tab w:val="num" w:pos="1134" w:leader="none"/>
          </w:tabs>
        </w:pPr>
        <w:rPr>
          <w:rFonts w:hint="default"/>
        </w:rPr>
      </w:lvl>
    </w:lvlOverride>
    <w:lvlOverride w:ilvl="2">
      <w:lvl w:ilvl="2">
        <w:start w:val="1"/>
        <w:numFmt w:val="decimal"/>
        <w:suff w:val="space"/>
        <w:lvlText w:val="%1.%2.%3"/>
        <w:lvlJc w:val="left"/>
        <w:pPr>
          <w:ind w:hanging="380" w:left="720"/>
        </w:pPr>
        <w:rPr>
          <w:rFonts w:hint="default"/>
        </w:rPr>
      </w:lvl>
    </w:lvlOverride>
    <w:lvlOverride w:ilvl="3">
      <w:lvl w:ilvl="3">
        <w:start w:val="1"/>
        <w:numFmt w:val="decimal"/>
        <w:suff w:val="tab"/>
        <w:lvlText w:val="%1.%2.%3.%4"/>
        <w:lvlJc w:val="left"/>
        <w:pPr>
          <w:ind w:hanging="864" w:left="864"/>
        </w:pPr>
        <w:rPr>
          <w:rFonts w:hint="default"/>
        </w:rPr>
      </w:lvl>
    </w:lvlOverride>
    <w:lvlOverride w:ilvl="4">
      <w:lvl w:ilvl="4">
        <w:start w:val="1"/>
        <w:numFmt w:val="decimal"/>
        <w:suff w:val="tab"/>
        <w:lvlText w:val="%1.%2.%3.%4.%5"/>
        <w:lvlJc w:val="left"/>
        <w:pPr>
          <w:ind w:hanging="1008" w:left="1008"/>
        </w:pPr>
        <w:rPr>
          <w:rFonts w:hint="default"/>
        </w:rPr>
      </w:lvl>
    </w:lvlOverride>
    <w:lvlOverride w:ilvl="5">
      <w:lvl w:ilvl="5">
        <w:start w:val="1"/>
        <w:numFmt w:val="decimal"/>
        <w:suff w:val="tab"/>
        <w:lvlText w:val="%1.%2.%3.%4.%5.%6"/>
        <w:lvlJc w:val="left"/>
        <w:pPr>
          <w:ind w:hanging="1152" w:left="1152"/>
        </w:pPr>
        <w:rPr>
          <w:rFonts w:hint="default"/>
        </w:rPr>
      </w:lvl>
    </w:lvlOverride>
    <w:lvlOverride w:ilvl="6">
      <w:lvl w:ilvl="6">
        <w:start w:val="1"/>
        <w:numFmt w:val="decimal"/>
        <w:suff w:val="tab"/>
        <w:lvlText w:val="%1.%2.%3.%4.%5.%6.%7"/>
        <w:lvlJc w:val="left"/>
        <w:pPr>
          <w:ind w:hanging="1296" w:left="1296"/>
        </w:pPr>
        <w:rPr>
          <w:rFonts w:hint="default"/>
        </w:rPr>
      </w:lvl>
    </w:lvlOverride>
    <w:lvlOverride w:ilvl="7">
      <w:lvl w:ilvl="7">
        <w:start w:val="1"/>
        <w:numFmt w:val="decimal"/>
        <w:suff w:val="tab"/>
        <w:lvlText w:val="%1.%2.%3.%4.%5.%6.%7.%8"/>
        <w:lvlJc w:val="left"/>
        <w:pPr>
          <w:ind w:hanging="1440" w:left="1440"/>
        </w:pPr>
        <w:rPr>
          <w:rFonts w:hint="default"/>
        </w:rPr>
      </w:lvl>
    </w:lvlOverride>
    <w:lvlOverride w:ilvl="8">
      <w:lvl w:ilvl="8">
        <w:start w:val="1"/>
        <w:numFmt w:val="decimal"/>
        <w:suff w:val="tab"/>
        <w:lvlText w:val="%1.%2.%3.%4.%5.%6.%7.%8.%9"/>
        <w:lvlJc w:val="left"/>
        <w:pPr>
          <w:ind w:hanging="1584" w:left="1584"/>
        </w:pPr>
        <w:rPr>
          <w:rFonts w:hint="default"/>
        </w:rPr>
      </w:lvl>
    </w:lvlOverride>
  </w:num>
  <w:num w:numId="10">
    <w:abstractNumId w:val="12"/>
    <w:lvlOverride w:ilvl="0">
      <w:lvl w:ilvl="0">
        <w:start w:val="1"/>
        <w:numFmt w:val="decimal"/>
        <w:suff w:val="tab"/>
        <w:lvlText w:val="%1"/>
        <w:lvlJc w:val="left"/>
        <w:pPr>
          <w:ind w:hanging="432" w:left="432"/>
        </w:pPr>
        <w:rPr>
          <w:rFonts w:hint="default"/>
        </w:rPr>
      </w:lvl>
    </w:lvlOverride>
    <w:lvlOverride w:ilvl="1">
      <w:lvl w:ilvl="1">
        <w:start w:val="1"/>
        <w:numFmt w:val="decimal"/>
        <w:suff w:val="tab"/>
        <w:lvlText w:val="%1.%2"/>
        <w:lvlJc w:val="left"/>
        <w:pPr>
          <w:ind w:hanging="576" w:left="576"/>
          <w:tabs>
            <w:tab w:val="num" w:pos="1134" w:leader="none"/>
          </w:tabs>
        </w:pPr>
        <w:rPr>
          <w:rFonts w:hint="default"/>
        </w:rPr>
      </w:lvl>
    </w:lvlOverride>
    <w:lvlOverride w:ilvl="2">
      <w:lvl w:ilvl="2">
        <w:start w:val="1"/>
        <w:numFmt w:val="decimal"/>
        <w:suff w:val="space"/>
        <w:lvlText w:val="%1.%2.%3"/>
        <w:lvlJc w:val="left"/>
        <w:pPr>
          <w:ind w:hanging="380" w:left="720"/>
        </w:pPr>
        <w:rPr>
          <w:rFonts w:hint="default"/>
        </w:rPr>
      </w:lvl>
    </w:lvlOverride>
    <w:lvlOverride w:ilvl="3">
      <w:lvl w:ilvl="3">
        <w:start w:val="1"/>
        <w:numFmt w:val="decimal"/>
        <w:suff w:val="tab"/>
        <w:lvlText w:val="%1.%2.%3.%4"/>
        <w:lvlJc w:val="left"/>
        <w:pPr>
          <w:ind w:hanging="864" w:left="864"/>
        </w:pPr>
        <w:rPr>
          <w:rFonts w:hint="default"/>
        </w:rPr>
      </w:lvl>
    </w:lvlOverride>
    <w:lvlOverride w:ilvl="4">
      <w:lvl w:ilvl="4">
        <w:start w:val="1"/>
        <w:numFmt w:val="decimal"/>
        <w:suff w:val="tab"/>
        <w:lvlText w:val="%1.%2.%3.%4.%5"/>
        <w:lvlJc w:val="left"/>
        <w:pPr>
          <w:ind w:hanging="1008" w:left="1008"/>
        </w:pPr>
        <w:rPr>
          <w:rFonts w:hint="default"/>
        </w:rPr>
      </w:lvl>
    </w:lvlOverride>
    <w:lvlOverride w:ilvl="5">
      <w:lvl w:ilvl="5">
        <w:start w:val="1"/>
        <w:numFmt w:val="decimal"/>
        <w:suff w:val="tab"/>
        <w:lvlText w:val="%1.%2.%3.%4.%5.%6"/>
        <w:lvlJc w:val="left"/>
        <w:pPr>
          <w:ind w:hanging="1152" w:left="1152"/>
        </w:pPr>
        <w:rPr>
          <w:rFonts w:hint="default"/>
        </w:rPr>
      </w:lvl>
    </w:lvlOverride>
    <w:lvlOverride w:ilvl="6">
      <w:lvl w:ilvl="6">
        <w:start w:val="1"/>
        <w:numFmt w:val="decimal"/>
        <w:suff w:val="tab"/>
        <w:lvlText w:val="%1.%2.%3.%4.%5.%6.%7"/>
        <w:lvlJc w:val="left"/>
        <w:pPr>
          <w:ind w:hanging="1296" w:left="1296"/>
        </w:pPr>
        <w:rPr>
          <w:rFonts w:hint="default"/>
        </w:rPr>
      </w:lvl>
    </w:lvlOverride>
    <w:lvlOverride w:ilvl="7">
      <w:lvl w:ilvl="7">
        <w:start w:val="1"/>
        <w:numFmt w:val="decimal"/>
        <w:suff w:val="tab"/>
        <w:lvlText w:val="%1.%2.%3.%4.%5.%6.%7.%8"/>
        <w:lvlJc w:val="left"/>
        <w:pPr>
          <w:ind w:hanging="1440" w:left="1440"/>
        </w:pPr>
        <w:rPr>
          <w:rFonts w:hint="default"/>
        </w:rPr>
      </w:lvl>
    </w:lvlOverride>
    <w:lvlOverride w:ilvl="8">
      <w:lvl w:ilvl="8">
        <w:start w:val="1"/>
        <w:numFmt w:val="decimal"/>
        <w:suff w:val="tab"/>
        <w:lvlText w:val="%1.%2.%3.%4.%5.%6.%7.%8.%9"/>
        <w:lvlJc w:val="left"/>
        <w:pPr>
          <w:ind w:hanging="1584" w:left="1584"/>
        </w:pPr>
        <w:rPr>
          <w:rFonts w:hint="default"/>
        </w:rPr>
      </w:lvl>
    </w:lvlOverride>
  </w:num>
  <w:num w:numId="11">
    <w:abstractNumId w:val="12"/>
  </w:num>
  <w:num w:numId="12">
    <w:abstractNumId w:val="12"/>
    <w:lvlOverride w:ilvl="0">
      <w:lvl w:ilvl="0">
        <w:start w:val="1"/>
        <w:numFmt w:val="decimal"/>
        <w:suff w:val="tab"/>
        <w:lvlText w:val="%1"/>
        <w:lvlJc w:val="left"/>
        <w:pPr>
          <w:ind w:hanging="432" w:left="432"/>
        </w:pPr>
        <w:rPr>
          <w:rFonts w:hint="default"/>
        </w:rPr>
      </w:lvl>
    </w:lvlOverride>
    <w:lvlOverride w:ilvl="1">
      <w:lvl w:ilvl="1">
        <w:start w:val="1"/>
        <w:numFmt w:val="decimal"/>
        <w:suff w:val="space"/>
        <w:lvlText w:val="%1.%2"/>
        <w:lvlJc w:val="left"/>
        <w:pPr>
          <w:ind w:hanging="463" w:left="576"/>
        </w:pPr>
        <w:rPr>
          <w:rFonts w:hint="default"/>
        </w:rPr>
      </w:lvl>
    </w:lvlOverride>
    <w:lvlOverride w:ilvl="2">
      <w:lvl w:ilvl="2">
        <w:start w:val="1"/>
        <w:numFmt w:val="decimal"/>
        <w:suff w:val="space"/>
        <w:lvlText w:val="%1.%2.%3"/>
        <w:lvlJc w:val="left"/>
        <w:pPr>
          <w:ind w:hanging="380" w:left="720"/>
        </w:pPr>
        <w:rPr>
          <w:rFonts w:hint="default"/>
        </w:rPr>
      </w:lvl>
    </w:lvlOverride>
    <w:lvlOverride w:ilvl="3">
      <w:lvl w:ilvl="3">
        <w:start w:val="1"/>
        <w:numFmt w:val="decimal"/>
        <w:suff w:val="tab"/>
        <w:lvlText w:val="%1.%2.%3.%4"/>
        <w:lvlJc w:val="left"/>
        <w:pPr>
          <w:ind w:hanging="864" w:left="864"/>
        </w:pPr>
        <w:rPr>
          <w:rFonts w:hint="default"/>
        </w:rPr>
      </w:lvl>
    </w:lvlOverride>
    <w:lvlOverride w:ilvl="4">
      <w:lvl w:ilvl="4">
        <w:start w:val="1"/>
        <w:numFmt w:val="decimal"/>
        <w:suff w:val="tab"/>
        <w:lvlText w:val="%1.%2.%3.%4.%5"/>
        <w:lvlJc w:val="left"/>
        <w:pPr>
          <w:ind w:hanging="1008" w:left="1008"/>
        </w:pPr>
        <w:rPr>
          <w:rFonts w:hint="default"/>
        </w:rPr>
      </w:lvl>
    </w:lvlOverride>
    <w:lvlOverride w:ilvl="5">
      <w:lvl w:ilvl="5">
        <w:start w:val="1"/>
        <w:numFmt w:val="decimal"/>
        <w:suff w:val="tab"/>
        <w:lvlText w:val="%1.%2.%3.%4.%5.%6"/>
        <w:lvlJc w:val="left"/>
        <w:pPr>
          <w:ind w:hanging="1152" w:left="1152"/>
        </w:pPr>
        <w:rPr>
          <w:rFonts w:hint="default"/>
        </w:rPr>
      </w:lvl>
    </w:lvlOverride>
    <w:lvlOverride w:ilvl="6">
      <w:lvl w:ilvl="6">
        <w:start w:val="1"/>
        <w:numFmt w:val="decimal"/>
        <w:suff w:val="tab"/>
        <w:lvlText w:val="%1.%2.%3.%4.%5.%6.%7"/>
        <w:lvlJc w:val="left"/>
        <w:pPr>
          <w:ind w:hanging="1296" w:left="1296"/>
        </w:pPr>
        <w:rPr>
          <w:rFonts w:hint="default"/>
        </w:rPr>
      </w:lvl>
    </w:lvlOverride>
    <w:lvlOverride w:ilvl="7">
      <w:lvl w:ilvl="7">
        <w:start w:val="1"/>
        <w:numFmt w:val="decimal"/>
        <w:suff w:val="tab"/>
        <w:lvlText w:val="%1.%2.%3.%4.%5.%6.%7.%8"/>
        <w:lvlJc w:val="left"/>
        <w:pPr>
          <w:ind w:hanging="1440" w:left="1440"/>
        </w:pPr>
        <w:rPr>
          <w:rFonts w:hint="default"/>
        </w:rPr>
      </w:lvl>
    </w:lvlOverride>
    <w:lvlOverride w:ilvl="8">
      <w:lvl w:ilvl="8">
        <w:start w:val="1"/>
        <w:numFmt w:val="decimal"/>
        <w:suff w:val="tab"/>
        <w:lvlText w:val="%1.%2.%3.%4.%5.%6.%7.%8.%9"/>
        <w:lvlJc w:val="left"/>
        <w:pPr>
          <w:ind w:hanging="1584" w:left="1584"/>
        </w:pPr>
        <w:rPr>
          <w:rFonts w:hint="default"/>
        </w:rPr>
      </w:lvl>
    </w:lvlOverride>
  </w:num>
  <w:num w:numId="13">
    <w:abstractNumId w:val="12"/>
    <w:lvlOverride w:ilvl="0">
      <w:lvl w:ilvl="0">
        <w:start w:val="1"/>
        <w:numFmt w:val="decimal"/>
        <w:suff w:val="tab"/>
        <w:lvlText w:val="%1"/>
        <w:lvlJc w:val="left"/>
        <w:pPr>
          <w:ind w:hanging="432" w:left="432"/>
        </w:pPr>
        <w:rPr>
          <w:rFonts w:hint="default"/>
        </w:rPr>
      </w:lvl>
    </w:lvlOverride>
    <w:lvlOverride w:ilvl="1">
      <w:lvl w:ilvl="1">
        <w:start w:val="1"/>
        <w:numFmt w:val="decimal"/>
        <w:suff w:val="space"/>
        <w:lvlText w:val="%1.%2"/>
        <w:lvlJc w:val="left"/>
        <w:pPr>
          <w:ind w:hanging="463" w:left="576"/>
        </w:pPr>
        <w:rPr>
          <w:rFonts w:hint="default"/>
        </w:rPr>
      </w:lvl>
    </w:lvlOverride>
    <w:lvlOverride w:ilvl="2">
      <w:lvl w:ilvl="2">
        <w:start w:val="1"/>
        <w:numFmt w:val="decimal"/>
        <w:suff w:val="space"/>
        <w:lvlText w:val="%1.%2.%3"/>
        <w:lvlJc w:val="left"/>
        <w:pPr>
          <w:ind w:hanging="380" w:left="720"/>
        </w:pPr>
        <w:rPr>
          <w:rFonts w:hint="default"/>
        </w:rPr>
      </w:lvl>
    </w:lvlOverride>
    <w:lvlOverride w:ilvl="3">
      <w:lvl w:ilvl="3">
        <w:start w:val="1"/>
        <w:numFmt w:val="decimal"/>
        <w:suff w:val="tab"/>
        <w:lvlText w:val="%1.%2.%3.%4"/>
        <w:lvlJc w:val="left"/>
        <w:pPr>
          <w:ind w:hanging="864" w:left="864"/>
        </w:pPr>
        <w:rPr>
          <w:rFonts w:hint="default"/>
        </w:rPr>
      </w:lvl>
    </w:lvlOverride>
    <w:lvlOverride w:ilvl="4">
      <w:lvl w:ilvl="4">
        <w:start w:val="1"/>
        <w:numFmt w:val="decimal"/>
        <w:suff w:val="tab"/>
        <w:lvlText w:val="%1.%2.%3.%4.%5"/>
        <w:lvlJc w:val="left"/>
        <w:pPr>
          <w:ind w:hanging="1008" w:left="1008"/>
        </w:pPr>
        <w:rPr>
          <w:rFonts w:hint="default"/>
        </w:rPr>
      </w:lvl>
    </w:lvlOverride>
    <w:lvlOverride w:ilvl="5">
      <w:lvl w:ilvl="5">
        <w:start w:val="1"/>
        <w:numFmt w:val="decimal"/>
        <w:suff w:val="tab"/>
        <w:lvlText w:val="%1.%2.%3.%4.%5.%6"/>
        <w:lvlJc w:val="left"/>
        <w:pPr>
          <w:ind w:hanging="1152" w:left="1152"/>
        </w:pPr>
        <w:rPr>
          <w:rFonts w:hint="default"/>
        </w:rPr>
      </w:lvl>
    </w:lvlOverride>
    <w:lvlOverride w:ilvl="6">
      <w:lvl w:ilvl="6">
        <w:start w:val="1"/>
        <w:numFmt w:val="decimal"/>
        <w:suff w:val="tab"/>
        <w:lvlText w:val="%1.%2.%3.%4.%5.%6.%7"/>
        <w:lvlJc w:val="left"/>
        <w:pPr>
          <w:ind w:hanging="1296" w:left="1296"/>
        </w:pPr>
        <w:rPr>
          <w:rFonts w:hint="default"/>
        </w:rPr>
      </w:lvl>
    </w:lvlOverride>
    <w:lvlOverride w:ilvl="7">
      <w:lvl w:ilvl="7">
        <w:start w:val="1"/>
        <w:numFmt w:val="decimal"/>
        <w:suff w:val="tab"/>
        <w:lvlText w:val="%1.%2.%3.%4.%5.%6.%7.%8"/>
        <w:lvlJc w:val="left"/>
        <w:pPr>
          <w:ind w:hanging="1440" w:left="1440"/>
        </w:pPr>
        <w:rPr>
          <w:rFonts w:hint="default"/>
        </w:rPr>
      </w:lvl>
    </w:lvlOverride>
    <w:lvlOverride w:ilvl="8">
      <w:lvl w:ilvl="8">
        <w:start w:val="1"/>
        <w:numFmt w:val="decimal"/>
        <w:suff w:val="tab"/>
        <w:lvlText w:val="%1.%2.%3.%4.%5.%6.%7.%8.%9"/>
        <w:lvlJc w:val="left"/>
        <w:pPr>
          <w:ind w:hanging="1584" w:left="1584"/>
        </w:pPr>
        <w:rPr>
          <w:rFonts w:hint="default"/>
        </w:rPr>
      </w:lvl>
    </w:lvlOverride>
  </w:num>
  <w:num w:numId="14">
    <w:abstractNumId w:val="8"/>
  </w:num>
  <w:num w:numId="15">
    <w:abstractNumId w:val="3"/>
  </w:num>
  <w:num w:numId="16">
    <w:abstractNumId w:val="2"/>
  </w:num>
  <w:num w:numId="17">
    <w:abstractNumId w:val="1"/>
  </w:num>
  <w:num w:numId="18">
    <w:abstractNumId w:val="0"/>
  </w:num>
  <w:num w:numId="19">
    <w:abstractNumId w:val="9"/>
  </w:num>
  <w:num w:numId="20">
    <w:abstractNumId w:val="7"/>
  </w:num>
  <w:num w:numId="21">
    <w:abstractNumId w:val="6"/>
  </w:num>
  <w:num w:numId="22">
    <w:abstractNumId w:val="5"/>
  </w:num>
  <w:num w:numId="23">
    <w:abstractNumId w:val="4"/>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num>
  <w:num w:numId="27">
    <w:abstractNumId w:val="17"/>
  </w:num>
  <w:num w:numId="28">
    <w:abstractNumId w:val="19"/>
  </w:num>
  <w:num w:numId="29">
    <w:abstractNumId w:val="23"/>
  </w:num>
  <w:num w:numId="30">
    <w:abstractNumId w:val="10"/>
  </w:num>
  <w:num w:numId="31">
    <w:abstractNumId w:val="14"/>
  </w:num>
  <w:num w:numId="32">
    <w:abstractNumId w:val="20"/>
  </w:num>
</w:numbering>
</file>

<file path=word/settings.xml><?xml version="1.0" encoding="utf-8"?>
<w:settings xmlns:w="http://schemas.openxmlformats.org/wordprocessingml/2006/main">
  <w:displayBackgroundShape w:val="0"/>
  <w:defaultTabStop w:val="1304"/>
  <w:autoHyphenation w:val="0"/>
  <w:hyphenationZone w:val="425"/>
  <w:evenAndOddHeaders w:val="1"/>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clrSchemeMapping w:bg1="light1" w:t1="dark1" w:bg2="light2" w:t2="dark2" w:accent1="accent1" w:accent2="accent2" w:accent3="accent3" w:accent4="accent4" w:accent5="accent5" w:accent6="accent6" w:hyperlink="hyperlink" w:followedHyperlink="followedHyperlink"/>
  <w:footnotePr>
    <w:footnote w:id="-1"/>
    <w:footnote w:id="0"/>
    <w:footnote w:id="1"/>
  </w:footnotePr>
  <w:endnotePr>
    <w:endnote w:id="-1"/>
    <w:endnote w:id="0"/>
    <w:endnote w:id="1"/>
  </w:endnotePr>
</w:settings>
</file>

<file path=word/styles.xml><?xml version="1.0" encoding="utf-8"?>
<w:styles xmlns:w="http://schemas.openxmlformats.org/wordprocessingml/2006/main">
  <w:docDefaults>
    <w:rPrDefault>
      <w:rPr>
        <w:rFonts w:asciiTheme="minorHAnsi" w:hAnsiTheme="minorHAnsi" w:cstheme="minorBidi" w:eastAsiaTheme="minorEastAsia"/>
        <w:sz w:val="22"/>
        <w:szCs w:val="22"/>
        <w:lang w:val="sv-SE" w:bidi="ar-SA" w:eastAsia="sv-SE"/>
      </w:rPr>
    </w:rPrDefault>
    <w:pPrDefault>
      <w:pPr>
        <w:keepNext w:val="0"/>
        <w:keepLines w:val="0"/>
        <w:pageBreakBefore w:val="0"/>
        <w:widowControl w:val="1"/>
        <w:suppressLineNumbers w:val="0"/>
        <w:shd w:val="clear" w:fill="auto"/>
        <w:suppressAutoHyphens w:val="0"/>
        <w:spacing w:lineRule="auto" w:line="259" w:before="0" w:after="160" w:beforeAutospacing="0" w:afterAutospacing="0"/>
        <w:ind w:firstLine="0" w:left="0" w:right="0"/>
        <w:contextualSpacing w:val="0"/>
        <w:bidi w:val="0"/>
        <w:jc w:val="left"/>
        <w:outlineLvl w:val="9"/>
      </w:pPr>
    </w:pPrDefault>
  </w:docDefaults>
  <w:style w:type="paragraph" w:styleId="P0" w:default="1">
    <w:name w:val="Normal"/>
    <w:semiHidden/>
    <w:qFormat/>
    <w:pPr>
      <w:spacing w:after="257" w:beforeAutospacing="0" w:afterAutospacing="0"/>
      <w:ind w:left="425"/>
    </w:pPr>
    <w:rPr>
      <w:rFonts w:ascii="Arial" w:hAnsi="Arial" w:cs="Arial" w:eastAsia="Arial"/>
      <w:color w:val="000000"/>
      <w:sz w:val="24"/>
    </w:rPr>
  </w:style>
  <w:style w:type="paragraph" w:styleId="P1">
    <w:name w:val="Heading 1"/>
    <w:next w:val="P0"/>
    <w:link w:val="C3"/>
    <w:semiHidden/>
    <w:qFormat/>
    <w:pPr>
      <w:keepNext w:val="1"/>
      <w:keepLines w:val="1"/>
      <w:spacing w:before="200" w:after="51" w:beforeAutospacing="0" w:afterAutospacing="0"/>
      <w:ind w:hanging="11" w:left="317"/>
      <w:outlineLvl w:val="0"/>
    </w:pPr>
    <w:rPr>
      <w:rFonts w:ascii="Arial" w:hAnsi="Arial" w:cs="Arial" w:eastAsia="Arial"/>
      <w:color w:val="000000"/>
      <w:sz w:val="40"/>
    </w:rPr>
  </w:style>
  <w:style w:type="paragraph" w:styleId="P2">
    <w:name w:val="Heading 2"/>
    <w:next w:val="P0"/>
    <w:link w:val="C4"/>
    <w:semiHidden/>
    <w:qFormat/>
    <w:pPr>
      <w:keepNext w:val="1"/>
      <w:keepLines w:val="1"/>
      <w:spacing w:after="51" w:beforeAutospacing="0" w:afterAutospacing="0"/>
      <w:ind w:hanging="10" w:left="316"/>
      <w:outlineLvl w:val="1"/>
    </w:pPr>
    <w:rPr>
      <w:rFonts w:ascii="Arial" w:hAnsi="Arial" w:cs="Arial" w:eastAsia="Arial"/>
      <w:color w:val="000000"/>
      <w:sz w:val="40"/>
    </w:rPr>
  </w:style>
  <w:style w:type="paragraph" w:styleId="P3">
    <w:name w:val="Heading 3"/>
    <w:next w:val="P0"/>
    <w:link w:val="C5"/>
    <w:semiHidden/>
    <w:qFormat/>
    <w:pPr>
      <w:keepNext w:val="1"/>
      <w:keepLines w:val="1"/>
      <w:spacing w:after="3" w:beforeAutospacing="0" w:afterAutospacing="0"/>
      <w:ind w:hanging="10" w:left="316"/>
      <w:outlineLvl w:val="2"/>
    </w:pPr>
    <w:rPr>
      <w:rFonts w:ascii="Arial" w:hAnsi="Arial" w:cs="Arial" w:eastAsia="Arial"/>
      <w:color w:val="000000"/>
      <w:sz w:val="32"/>
    </w:rPr>
  </w:style>
  <w:style w:type="paragraph" w:styleId="P4">
    <w:name w:val="Heading 4"/>
    <w:next w:val="P0"/>
    <w:link w:val="C6"/>
    <w:semiHidden/>
    <w:qFormat/>
    <w:pPr>
      <w:keepNext w:val="1"/>
      <w:keepLines w:val="1"/>
      <w:numPr>
        <w:ilvl w:val="3"/>
        <w:numId w:val="11"/>
      </w:numPr>
      <w:spacing w:after="3" w:beforeAutospacing="0" w:afterAutospacing="0"/>
      <w:outlineLvl w:val="3"/>
    </w:pPr>
    <w:rPr>
      <w:rFonts w:ascii="Arial" w:hAnsi="Arial" w:cs="Arial" w:eastAsia="Arial"/>
      <w:color w:val="000000"/>
      <w:sz w:val="32"/>
    </w:rPr>
  </w:style>
  <w:style w:type="paragraph" w:styleId="P5">
    <w:name w:val="Heading 5"/>
    <w:next w:val="P0"/>
    <w:link w:val="C7"/>
    <w:semiHidden/>
    <w:qFormat/>
    <w:pPr>
      <w:keepNext w:val="1"/>
      <w:keepLines w:val="1"/>
      <w:numPr>
        <w:ilvl w:val="4"/>
        <w:numId w:val="11"/>
      </w:numPr>
      <w:spacing w:after="0" w:beforeAutospacing="0" w:afterAutospacing="0"/>
      <w:outlineLvl w:val="4"/>
    </w:pPr>
    <w:rPr>
      <w:rFonts w:ascii="Arial" w:hAnsi="Arial" w:cs="Arial" w:eastAsia="Arial"/>
      <w:color w:val="000000"/>
      <w:sz w:val="28"/>
    </w:rPr>
  </w:style>
  <w:style w:type="paragraph" w:styleId="P6">
    <w:name w:val="Heading 6"/>
    <w:next w:val="P0"/>
    <w:link w:val="C8"/>
    <w:semiHidden/>
    <w:qFormat/>
    <w:pPr>
      <w:keepNext w:val="1"/>
      <w:keepLines w:val="1"/>
      <w:numPr>
        <w:ilvl w:val="5"/>
        <w:numId w:val="11"/>
      </w:numPr>
      <w:spacing w:after="0" w:beforeAutospacing="0" w:afterAutospacing="0"/>
      <w:outlineLvl w:val="5"/>
    </w:pPr>
    <w:rPr>
      <w:rFonts w:ascii="Arial" w:hAnsi="Arial" w:cs="Arial" w:eastAsia="Arial"/>
      <w:color w:val="000000"/>
      <w:sz w:val="28"/>
    </w:rPr>
  </w:style>
  <w:style w:type="paragraph" w:styleId="P7">
    <w:name w:val="Heading 7"/>
    <w:next w:val="P0"/>
    <w:link w:val="C9"/>
    <w:qFormat/>
    <w:pPr>
      <w:keepNext w:val="1"/>
      <w:keepLines w:val="1"/>
      <w:numPr>
        <w:ilvl w:val="6"/>
        <w:numId w:val="11"/>
      </w:numPr>
      <w:spacing w:after="3" w:beforeAutospacing="0" w:afterAutospacing="0"/>
      <w:outlineLvl w:val="6"/>
    </w:pPr>
    <w:rPr>
      <w:rFonts w:ascii="Arial" w:hAnsi="Arial" w:cs="Arial" w:eastAsia="Arial"/>
      <w:color w:val="000000"/>
      <w:sz w:val="24"/>
    </w:rPr>
  </w:style>
  <w:style w:type="paragraph" w:styleId="P8">
    <w:name w:val="Heading 8"/>
    <w:basedOn w:val="P0"/>
    <w:next w:val="P0"/>
    <w:link w:val="C10"/>
    <w:semiHidden/>
    <w:qFormat/>
    <w:pPr>
      <w:keepNext w:val="1"/>
      <w:keepLines w:val="1"/>
      <w:numPr>
        <w:ilvl w:val="7"/>
        <w:numId w:val="11"/>
      </w:numPr>
      <w:spacing w:before="40" w:after="0" w:beforeAutospacing="0" w:afterAutospacing="0"/>
      <w:outlineLvl w:val="7"/>
    </w:pPr>
    <w:rPr>
      <w:rFonts w:asciiTheme="majorHAnsi" w:hAnsiTheme="majorHAnsi" w:cstheme="majorBidi" w:eastAsiaTheme="majorEastAsia"/>
      <w:color w:val="272727" w:themeColor="text1" w:themeTint="D8"/>
      <w:sz w:val="21"/>
      <w:szCs w:val="21"/>
    </w:rPr>
  </w:style>
  <w:style w:type="paragraph" w:styleId="P9">
    <w:name w:val="Heading 9"/>
    <w:basedOn w:val="P0"/>
    <w:next w:val="P0"/>
    <w:link w:val="C11"/>
    <w:semiHidden/>
    <w:qFormat/>
    <w:pPr>
      <w:keepNext w:val="1"/>
      <w:keepLines w:val="1"/>
      <w:numPr>
        <w:ilvl w:val="8"/>
        <w:numId w:val="11"/>
      </w:numPr>
      <w:spacing w:before="40" w:after="0" w:beforeAutospacing="0" w:afterAutospacing="0"/>
      <w:outlineLvl w:val="8"/>
    </w:pPr>
    <w:rPr>
      <w:rFonts w:asciiTheme="majorHAnsi" w:hAnsiTheme="majorHAnsi" w:cstheme="majorBidi" w:eastAsiaTheme="majorEastAsia"/>
      <w:i w:val="1"/>
      <w:iCs w:val="1"/>
      <w:color w:val="272727" w:themeColor="text1" w:themeTint="D8"/>
      <w:sz w:val="21"/>
      <w:szCs w:val="21"/>
    </w:rPr>
  </w:style>
  <w:style w:type="paragraph" w:styleId="P10">
    <w:name w:val="TOC 1"/>
    <w:hidden/>
    <w:pPr>
      <w:spacing w:before="120" w:after="120" w:beforeAutospacing="0" w:afterAutospacing="0"/>
      <w:ind w:hanging="10"/>
    </w:pPr>
    <w:rPr>
      <w:rFonts w:cstheme="minorHAnsi" w:eastAsia="Arial"/>
      <w:b w:val="1"/>
      <w:bCs w:val="1"/>
      <w:caps w:val="1"/>
      <w:color w:val="000000"/>
      <w:sz w:val="20"/>
      <w:szCs w:val="20"/>
    </w:rPr>
  </w:style>
  <w:style w:type="paragraph" w:styleId="P11">
    <w:name w:val="TOC 2"/>
    <w:link w:val="C12"/>
    <w:hidden/>
    <w:pPr>
      <w:spacing w:after="0" w:beforeAutospacing="0" w:afterAutospacing="0"/>
      <w:ind w:hanging="10" w:left="220"/>
    </w:pPr>
    <w:rPr>
      <w:rFonts w:cstheme="minorHAnsi" w:eastAsia="Arial"/>
      <w:smallCaps w:val="1"/>
      <w:color w:val="000000"/>
      <w:sz w:val="20"/>
      <w:szCs w:val="20"/>
    </w:rPr>
  </w:style>
  <w:style w:type="paragraph" w:styleId="P12">
    <w:name w:val="TOC 3"/>
    <w:hidden/>
    <w:pPr>
      <w:spacing w:after="0" w:beforeAutospacing="0" w:afterAutospacing="0"/>
      <w:ind w:hanging="10" w:left="440"/>
    </w:pPr>
    <w:rPr>
      <w:rFonts w:cstheme="minorHAnsi" w:eastAsia="Arial"/>
      <w:i w:val="1"/>
      <w:iCs w:val="1"/>
      <w:color w:val="000000"/>
      <w:sz w:val="20"/>
      <w:szCs w:val="20"/>
    </w:rPr>
  </w:style>
  <w:style w:type="paragraph" w:styleId="P13">
    <w:name w:val="TOC 4"/>
    <w:hidden/>
    <w:pPr>
      <w:spacing w:after="0" w:beforeAutospacing="0" w:afterAutospacing="0"/>
      <w:ind w:hanging="10" w:left="660"/>
    </w:pPr>
    <w:rPr>
      <w:rFonts w:cstheme="minorHAnsi" w:eastAsia="Arial"/>
      <w:color w:val="000000"/>
      <w:sz w:val="18"/>
      <w:szCs w:val="18"/>
    </w:rPr>
  </w:style>
  <w:style w:type="paragraph" w:styleId="P14">
    <w:name w:val="TOC 5"/>
    <w:hidden/>
    <w:pPr>
      <w:spacing w:after="0" w:beforeAutospacing="0" w:afterAutospacing="0"/>
      <w:ind w:hanging="10" w:left="880"/>
    </w:pPr>
    <w:rPr>
      <w:rFonts w:cstheme="minorHAnsi" w:eastAsia="Arial"/>
      <w:color w:val="000000"/>
      <w:sz w:val="18"/>
      <w:szCs w:val="18"/>
    </w:rPr>
  </w:style>
  <w:style w:type="paragraph" w:styleId="P15">
    <w:name w:val="Footnote Text"/>
    <w:link w:val="C13"/>
    <w:semiHidden/>
    <w:pPr>
      <w:spacing w:lineRule="auto" w:line="240" w:after="0" w:beforeAutospacing="0" w:afterAutospacing="0"/>
    </w:pPr>
    <w:rPr>
      <w:sz w:val="20"/>
      <w:szCs w:val="20"/>
    </w:rPr>
  </w:style>
  <w:style w:type="paragraph" w:styleId="P16">
    <w:name w:val="Endnote Text"/>
    <w:link w:val="C14"/>
    <w:semiHidden/>
    <w:pPr>
      <w:spacing w:lineRule="auto" w:line="240" w:after="0" w:beforeAutospacing="0" w:afterAutospacing="0"/>
    </w:pPr>
    <w:rPr>
      <w:sz w:val="20"/>
      <w:szCs w:val="20"/>
    </w:rPr>
  </w:style>
  <w:style w:type="paragraph" w:styleId="P17">
    <w:name w:val="Header"/>
    <w:basedOn w:val="P0"/>
    <w:link w:val="C15"/>
    <w:semiHidden/>
    <w:pPr>
      <w:tabs>
        <w:tab w:val="center" w:pos="4536" w:leader="none"/>
        <w:tab w:val="right" w:pos="9072" w:leader="none"/>
      </w:tabs>
      <w:spacing w:lineRule="auto" w:line="240" w:after="0" w:beforeAutospacing="0" w:afterAutospacing="0"/>
    </w:pPr>
    <w:rPr/>
  </w:style>
  <w:style w:type="paragraph" w:styleId="P18">
    <w:name w:val="Footer"/>
    <w:basedOn w:val="P0"/>
    <w:link w:val="C16"/>
    <w:pPr>
      <w:tabs>
        <w:tab w:val="center" w:pos="4536" w:leader="none"/>
        <w:tab w:val="right" w:pos="9072" w:leader="none"/>
      </w:tabs>
      <w:spacing w:lineRule="auto" w:line="240" w:after="0" w:beforeAutospacing="0" w:afterAutospacing="0"/>
    </w:pPr>
    <w:rPr/>
  </w:style>
  <w:style w:type="paragraph" w:styleId="P19">
    <w:name w:val="Tema"/>
    <w:basedOn w:val="P1"/>
    <w:qFormat/>
    <w:pPr>
      <w:numPr>
        <w:numId w:val="11"/>
      </w:numPr>
      <w:spacing w:before="360" w:after="367" w:beforeAutospacing="0" w:afterAutospacing="0"/>
      <w:ind w:hanging="431" w:left="431"/>
    </w:pPr>
    <w:rPr>
      <w:caps w:val="1"/>
      <w:u w:val="single"/>
    </w:rPr>
  </w:style>
  <w:style w:type="paragraph" w:styleId="P20">
    <w:name w:val="Grupp"/>
    <w:basedOn w:val="P2"/>
    <w:qFormat/>
    <w:pPr>
      <w:numPr>
        <w:ilvl w:val="1"/>
        <w:numId w:val="11"/>
      </w:numPr>
    </w:pPr>
    <w:rPr>
      <w:b w:val="1"/>
      <w:bCs w:val="1"/>
      <w:caps w:val="1"/>
      <w:sz w:val="36"/>
      <w:szCs w:val="20"/>
    </w:rPr>
  </w:style>
  <w:style w:type="paragraph" w:styleId="P21">
    <w:name w:val="Undergrupp"/>
    <w:basedOn w:val="P3"/>
    <w:qFormat/>
    <w:pPr>
      <w:keepNext w:val="0"/>
      <w:keepLines w:val="0"/>
      <w:spacing w:after="60" w:beforeAutospacing="0" w:afterAutospacing="0"/>
      <w:ind w:hanging="380" w:left="720"/>
    </w:pPr>
    <w:rPr>
      <w:caps w:val="1"/>
      <w:sz w:val="28"/>
    </w:rPr>
  </w:style>
  <w:style w:type="paragraph" w:styleId="P22">
    <w:name w:val="TOC 6"/>
    <w:basedOn w:val="P0"/>
    <w:next w:val="P0"/>
    <w:pPr>
      <w:spacing w:after="0" w:beforeAutospacing="0" w:afterAutospacing="0"/>
      <w:ind w:left="1100"/>
    </w:pPr>
    <w:rPr>
      <w:rFonts w:asciiTheme="minorHAnsi" w:hAnsiTheme="minorHAnsi" w:cstheme="minorHAnsi"/>
      <w:sz w:val="18"/>
      <w:szCs w:val="18"/>
    </w:rPr>
  </w:style>
  <w:style w:type="paragraph" w:styleId="P23">
    <w:name w:val="TOC 7"/>
    <w:basedOn w:val="P0"/>
    <w:next w:val="P0"/>
    <w:pPr>
      <w:spacing w:after="0" w:beforeAutospacing="0" w:afterAutospacing="0"/>
      <w:ind w:left="1320"/>
    </w:pPr>
    <w:rPr>
      <w:rFonts w:asciiTheme="minorHAnsi" w:hAnsiTheme="minorHAnsi" w:cstheme="minorHAnsi"/>
      <w:sz w:val="18"/>
      <w:szCs w:val="18"/>
    </w:rPr>
  </w:style>
  <w:style w:type="paragraph" w:styleId="P24">
    <w:name w:val="TOC 8"/>
    <w:basedOn w:val="P0"/>
    <w:next w:val="P0"/>
    <w:pPr>
      <w:spacing w:after="0" w:beforeAutospacing="0" w:afterAutospacing="0"/>
      <w:ind w:left="1540"/>
    </w:pPr>
    <w:rPr>
      <w:rFonts w:asciiTheme="minorHAnsi" w:hAnsiTheme="minorHAnsi" w:cstheme="minorHAnsi"/>
      <w:sz w:val="18"/>
      <w:szCs w:val="18"/>
    </w:rPr>
  </w:style>
  <w:style w:type="paragraph" w:styleId="P25">
    <w:name w:val="TOC 9"/>
    <w:basedOn w:val="P0"/>
    <w:next w:val="P0"/>
    <w:pPr>
      <w:spacing w:after="0" w:beforeAutospacing="0" w:afterAutospacing="0"/>
      <w:ind w:left="1760"/>
    </w:pPr>
    <w:rPr>
      <w:rFonts w:asciiTheme="minorHAnsi" w:hAnsiTheme="minorHAnsi" w:cstheme="minorHAnsi"/>
      <w:sz w:val="18"/>
      <w:szCs w:val="18"/>
    </w:rPr>
  </w:style>
  <w:style w:type="paragraph" w:styleId="P26">
    <w:name w:val="List Paragraph"/>
    <w:basedOn w:val="P0"/>
    <w:semiHidden/>
    <w:qFormat/>
    <w:pPr>
      <w:ind w:left="720"/>
      <w:contextualSpacing w:val="1"/>
    </w:pPr>
    <w:rPr/>
  </w:style>
  <w:style w:type="paragraph" w:styleId="P27">
    <w:name w:val="TOC Heading"/>
    <w:basedOn w:val="P1"/>
    <w:next w:val="P0"/>
    <w:semiHidden/>
    <w:qFormat/>
    <w:pPr>
      <w:spacing w:before="240" w:after="0" w:beforeAutospacing="0" w:afterAutospacing="0"/>
      <w:ind w:firstLine="0" w:left="0"/>
      <w:outlineLvl w:val="9"/>
    </w:pPr>
    <w:rPr>
      <w:rFonts w:asciiTheme="majorHAnsi" w:hAnsiTheme="majorHAnsi" w:cstheme="majorBidi" w:eastAsiaTheme="majorEastAsia"/>
      <w:color w:val="2F5496" w:themeColor="accent1" w:themeShade="BF"/>
      <w:sz w:val="32"/>
      <w:szCs w:val="32"/>
    </w:rPr>
  </w:style>
  <w:style w:type="paragraph" w:styleId="P28">
    <w:name w:val="Annan text"/>
    <w:basedOn w:val="P0"/>
    <w:link w:val="C17"/>
    <w:semiHidden/>
    <w:qFormat/>
    <w:pPr>
      <w:framePr w:wrap="around" w:vAnchor="text" w:hAnchor="page" w:x="8401" w:y="-642"/>
      <w:spacing w:lineRule="auto" w:line="240" w:after="0" w:beforeAutospacing="0" w:afterAutospacing="0"/>
    </w:pPr>
    <w:rPr>
      <w:sz w:val="16"/>
    </w:rPr>
  </w:style>
  <w:style w:type="paragraph" w:styleId="P29">
    <w:name w:val="annotation text"/>
    <w:basedOn w:val="P0"/>
    <w:link w:val="C28"/>
    <w:semiHidden/>
    <w:pPr>
      <w:spacing w:lineRule="auto" w:line="240" w:beforeAutospacing="0" w:afterAutospacing="0"/>
    </w:pPr>
    <w:rPr>
      <w:sz w:val="20"/>
      <w:szCs w:val="20"/>
    </w:rPr>
  </w:style>
  <w:style w:type="paragraph" w:styleId="P30">
    <w:name w:val="annotation subject"/>
    <w:basedOn w:val="P29"/>
    <w:next w:val="P29"/>
    <w:link w:val="C29"/>
    <w:semiHidden/>
    <w:pPr/>
    <w:rPr>
      <w:b w:val="1"/>
      <w:bCs w:val="1"/>
    </w:rPr>
  </w:style>
  <w:style w:type="paragraph" w:styleId="P31">
    <w:name w:val="Balloon Text"/>
    <w:basedOn w:val="P0"/>
    <w:link w:val="C30"/>
    <w:semiHidden/>
    <w:pPr>
      <w:spacing w:lineRule="auto" w:line="240" w:after="0" w:beforeAutospacing="0" w:afterAutospacing="0"/>
    </w:pPr>
    <w:rPr>
      <w:rFonts w:ascii="Segoe UI" w:hAnsi="Segoe UI" w:cs="Segoe UI"/>
      <w:sz w:val="18"/>
      <w:szCs w:val="18"/>
    </w:rPr>
  </w:style>
  <w:style w:type="paragraph" w:styleId="P32">
    <w:name w:val="Svalöv brödtext"/>
    <w:basedOn w:val="P0"/>
    <w:link w:val="C31"/>
    <w:qFormat/>
    <w:pPr>
      <w:spacing w:after="0" w:beforeAutospacing="0" w:afterAutospacing="0"/>
      <w:ind w:left="403"/>
    </w:pPr>
    <w:rPr>
      <w:rFonts w:eastAsiaTheme="minorHAnsi"/>
      <w:noProof w:val="1"/>
      <w:color w:val="auto"/>
      <w:sz w:val="21"/>
      <w:szCs w:val="21"/>
      <w:shd w:val="clear" w:color="auto" w:fill="FFFFFF"/>
      <w:lang w:eastAsia="en-US"/>
    </w:rPr>
  </w:style>
  <w:style w:type="paragraph" w:styleId="P33">
    <w:name w:val="Svalöv Bildtext"/>
    <w:basedOn w:val="P32"/>
    <w:link w:val="C32"/>
    <w:qFormat/>
    <w:pPr/>
    <w:rPr>
      <w:rFonts w:ascii="Trebuchet MS" w:hAnsi="Trebuchet MS"/>
      <w:sz w:val="18"/>
    </w:rPr>
  </w:style>
  <w:style w:type="paragraph" w:styleId="P34">
    <w:name w:val="Svalöv 1. Kapitell"/>
    <w:basedOn w:val="P19"/>
    <w:qFormat/>
    <w:pPr/>
    <w:rPr>
      <w:rFonts w:ascii="Trebuchet MS" w:hAnsi="Trebuchet MS"/>
      <w:caps w:val="0"/>
      <w:noProof w:val="1"/>
      <w:sz w:val="32"/>
      <w:u w:val="none"/>
    </w:rPr>
  </w:style>
  <w:style w:type="paragraph" w:styleId="P35">
    <w:name w:val="Svalöv 2. Rubrik"/>
    <w:basedOn w:val="P20"/>
    <w:qFormat/>
    <w:pPr/>
    <w:rPr>
      <w:rFonts w:ascii="Trebuchet MS" w:hAnsi="Trebuchet MS"/>
      <w:b w:val="0"/>
      <w:caps w:val="0"/>
      <w:noProof w:val="1"/>
      <w:sz w:val="28"/>
    </w:rPr>
  </w:style>
  <w:style w:type="paragraph" w:styleId="P36">
    <w:name w:val="Svalöv 3. Underrubrik"/>
    <w:basedOn w:val="P21"/>
    <w:qFormat/>
    <w:pPr>
      <w:numPr>
        <w:ilvl w:val="2"/>
        <w:numId w:val="7"/>
      </w:numPr>
    </w:pPr>
    <w:rPr>
      <w:rFonts w:ascii="Trebuchet MS" w:hAnsi="Trebuchet MS"/>
      <w:caps w:val="0"/>
      <w:noProof w:val="1"/>
      <w:sz w:val="24"/>
    </w:rPr>
  </w:style>
  <w:style w:type="paragraph" w:styleId="P37">
    <w:name w:val="Svalöv hjälptext"/>
    <w:basedOn w:val="P32"/>
    <w:qFormat/>
    <w:pPr/>
    <w:rPr>
      <w:color w:val="0070C0"/>
    </w:rPr>
  </w:style>
  <w:style w:type="paragraph" w:styleId="P38">
    <w:name w:val="Body Text"/>
    <w:basedOn w:val="P0"/>
    <w:link w:val="C33"/>
    <w:pPr>
      <w:suppressAutoHyphens w:val="1"/>
      <w:spacing w:lineRule="auto" w:line="288" w:after="0" w:beforeAutospacing="0" w:afterAutospacing="0"/>
      <w:ind w:left="0"/>
    </w:pPr>
    <w:rPr>
      <w:rFonts w:eastAsiaTheme="minorEastAsia"/>
      <w:sz w:val="21"/>
      <w:szCs w:val="21"/>
    </w:rPr>
  </w:style>
  <w:style w:type="paragraph" w:styleId="P39">
    <w:name w:val="Svalöv 4. Rubrik ej med i innehåll"/>
    <w:basedOn w:val="P3"/>
    <w:qFormat/>
    <w:pPr>
      <w:spacing w:after="120" w:beforeAutospacing="0" w:afterAutospacing="0"/>
      <w:ind w:hanging="11" w:left="317"/>
    </w:pPr>
    <w:rPr>
      <w:rFonts w:ascii="Trebuchet MS" w:hAnsi="Trebuchet MS"/>
      <w:noProof w:val="1"/>
      <w:sz w:val="24"/>
      <w:szCs w:val="16"/>
    </w:rPr>
  </w:style>
  <w:style w:type="paragraph" w:styleId="P40">
    <w:name w:val="Caption"/>
    <w:basedOn w:val="P0"/>
    <w:next w:val="P0"/>
    <w:semiHidden/>
    <w:qFormat/>
    <w:pPr>
      <w:spacing w:lineRule="auto" w:line="240" w:after="200" w:beforeAutospacing="0" w:afterAutospacing="0"/>
    </w:pPr>
    <w:rPr>
      <w:i w:val="1"/>
      <w:iCs w:val="1"/>
      <w:color w:val="44546A" w:themeColor="text2"/>
      <w:sz w:val="18"/>
      <w:szCs w:val="18"/>
    </w:rPr>
  </w:style>
  <w:style w:type="paragraph" w:styleId="P41">
    <w:name w:val="Revision"/>
    <w:hidden/>
    <w:semiHidden/>
    <w:pPr>
      <w:spacing w:lineRule="auto" w:line="240" w:after="0" w:beforeAutospacing="0" w:afterAutospacing="0"/>
    </w:pPr>
    <w:rPr>
      <w:rFonts w:ascii="Arial" w:hAnsi="Arial" w:cs="Arial" w:eastAsia="Arial"/>
      <w:color w:val="000000"/>
      <w:sz w:val="24"/>
    </w:rPr>
  </w:style>
  <w:style w:type="paragraph" w:styleId="P42">
    <w:name w:val="Svalöv brödtext kursiv"/>
    <w:basedOn w:val="P32"/>
    <w:qFormat/>
    <w:pPr/>
    <w:rPr>
      <w:i w:val="1"/>
      <w:noProof w:val="0"/>
    </w:rPr>
  </w:style>
  <w:style w:type="paragraph" w:styleId="P43">
    <w:name w:val="Svalöv brödtext fet"/>
    <w:basedOn w:val="P32"/>
    <w:qFormat/>
    <w:pPr/>
    <w:rPr>
      <w:b w:val="1"/>
    </w:rPr>
  </w:style>
  <w:style w:type="paragraph" w:styleId="P44">
    <w:name w:val="Normal (Web)"/>
    <w:basedOn w:val="P0"/>
    <w:pPr>
      <w:spacing w:lineRule="auto" w:line="240" w:before="100" w:after="100" w:beforeAutospacing="1" w:afterAutospacing="1"/>
      <w:ind w:left="0"/>
    </w:pPr>
    <w:rPr>
      <w:rFonts w:ascii="Times New Roman" w:hAnsi="Times New Roman" w:cs="Times New Roman" w:eastAsia="Times New Roman"/>
      <w:color w:val="auto"/>
      <w:szCs w:val="24"/>
    </w:rPr>
  </w:style>
  <w:style w:type="paragraph" w:styleId="P45">
    <w:name w:val="Default"/>
    <w:pPr>
      <w:spacing w:lineRule="auto" w:line="240" w:after="0" w:beforeAutospacing="0" w:afterAutospacing="0"/>
    </w:pPr>
    <w:rPr>
      <w:rFonts w:ascii="Arial" w:hAnsi="Arial" w:cs="Arial"/>
      <w:color w:val="000000"/>
      <w:sz w:val="24"/>
      <w:szCs w:val="24"/>
    </w:rPr>
  </w:style>
  <w:style w:type="character" w:styleId="C0" w:default="1">
    <w:name w:val="Default Paragraph Font"/>
    <w:rPr/>
  </w:style>
  <w:style w:type="character" w:styleId="C1">
    <w:name w:val="Line Number"/>
    <w:basedOn w:val="C0"/>
    <w:semiHidden/>
    <w:rPr/>
  </w:style>
  <w:style w:type="character" w:styleId="C2">
    <w:name w:val="Hyperlink"/>
    <w:rPr>
      <w:color w:val="0000FF"/>
      <w:u w:val="single"/>
    </w:rPr>
  </w:style>
  <w:style w:type="character" w:styleId="C3">
    <w:name w:val="Rubrik 1 Char"/>
    <w:link w:val="P1"/>
    <w:semiHidden/>
    <w:rPr>
      <w:rFonts w:ascii="Arial" w:hAnsi="Arial" w:cs="Arial" w:eastAsia="Arial"/>
      <w:color w:val="000000"/>
      <w:sz w:val="40"/>
    </w:rPr>
  </w:style>
  <w:style w:type="character" w:styleId="C4">
    <w:name w:val="Rubrik 2 Char"/>
    <w:link w:val="P2"/>
    <w:semiHidden/>
    <w:rPr>
      <w:rFonts w:ascii="Arial" w:hAnsi="Arial" w:cs="Arial" w:eastAsia="Arial"/>
      <w:color w:val="000000"/>
      <w:sz w:val="40"/>
    </w:rPr>
  </w:style>
  <w:style w:type="character" w:styleId="C5">
    <w:name w:val="Rubrik 3 Char"/>
    <w:link w:val="P3"/>
    <w:semiHidden/>
    <w:rPr>
      <w:rFonts w:ascii="Arial" w:hAnsi="Arial" w:cs="Arial" w:eastAsia="Arial"/>
      <w:color w:val="000000"/>
      <w:sz w:val="32"/>
    </w:rPr>
  </w:style>
  <w:style w:type="character" w:styleId="C6">
    <w:name w:val="Rubrik 4 Char"/>
    <w:link w:val="P4"/>
    <w:semiHidden/>
    <w:rPr>
      <w:rFonts w:ascii="Arial" w:hAnsi="Arial" w:cs="Arial" w:eastAsia="Arial"/>
      <w:color w:val="000000"/>
      <w:sz w:val="32"/>
    </w:rPr>
  </w:style>
  <w:style w:type="character" w:styleId="C7">
    <w:name w:val="Rubrik 5 Char"/>
    <w:link w:val="P5"/>
    <w:semiHidden/>
    <w:rPr>
      <w:rFonts w:ascii="Arial" w:hAnsi="Arial" w:cs="Arial" w:eastAsia="Arial"/>
      <w:color w:val="000000"/>
      <w:sz w:val="28"/>
    </w:rPr>
  </w:style>
  <w:style w:type="character" w:styleId="C8">
    <w:name w:val="Rubrik 6 Char"/>
    <w:link w:val="P6"/>
    <w:semiHidden/>
    <w:rPr>
      <w:rFonts w:ascii="Arial" w:hAnsi="Arial" w:cs="Arial" w:eastAsia="Arial"/>
      <w:color w:val="000000"/>
      <w:sz w:val="28"/>
    </w:rPr>
  </w:style>
  <w:style w:type="character" w:styleId="C9">
    <w:name w:val="Rubrik 7 Char"/>
    <w:link w:val="P7"/>
    <w:rPr>
      <w:rFonts w:ascii="Arial" w:hAnsi="Arial" w:cs="Arial" w:eastAsia="Arial"/>
      <w:color w:val="000000"/>
      <w:sz w:val="24"/>
    </w:rPr>
  </w:style>
  <w:style w:type="character" w:styleId="C10">
    <w:name w:val="Rubrik 8 Char"/>
    <w:basedOn w:val="C0"/>
    <w:link w:val="P8"/>
    <w:semiHidden/>
    <w:rPr>
      <w:rFonts w:asciiTheme="majorHAnsi" w:hAnsiTheme="majorHAnsi" w:cstheme="majorBidi" w:eastAsiaTheme="majorEastAsia"/>
      <w:color w:val="272727" w:themeColor="text1" w:themeTint="D8"/>
      <w:sz w:val="21"/>
      <w:szCs w:val="21"/>
    </w:rPr>
  </w:style>
  <w:style w:type="character" w:styleId="C11">
    <w:name w:val="Rubrik 9 Char"/>
    <w:basedOn w:val="C0"/>
    <w:link w:val="P9"/>
    <w:semiHidden/>
    <w:rPr>
      <w:rFonts w:asciiTheme="majorHAnsi" w:hAnsiTheme="majorHAnsi" w:cstheme="majorBidi" w:eastAsiaTheme="majorEastAsia"/>
      <w:i w:val="1"/>
      <w:iCs w:val="1"/>
      <w:color w:val="272727" w:themeColor="text1" w:themeTint="D8"/>
      <w:sz w:val="21"/>
      <w:szCs w:val="21"/>
    </w:rPr>
  </w:style>
  <w:style w:type="character" w:styleId="C12">
    <w:name w:val="Innehåll 2 Char"/>
    <w:basedOn w:val="C0"/>
    <w:link w:val="P11"/>
    <w:rPr>
      <w:rFonts w:cstheme="minorHAnsi" w:eastAsia="Arial"/>
      <w:smallCaps w:val="1"/>
      <w:color w:val="000000"/>
      <w:sz w:val="20"/>
      <w:szCs w:val="20"/>
    </w:rPr>
  </w:style>
  <w:style w:type="character" w:styleId="C13">
    <w:name w:val="Fotnotstext Char"/>
    <w:link w:val="P15"/>
    <w:semiHidden/>
    <w:rPr>
      <w:sz w:val="20"/>
      <w:szCs w:val="20"/>
    </w:rPr>
  </w:style>
  <w:style w:type="character" w:styleId="C14">
    <w:name w:val="Slutnotstext Char"/>
    <w:link w:val="P16"/>
    <w:semiHidden/>
    <w:rPr>
      <w:sz w:val="20"/>
      <w:szCs w:val="20"/>
    </w:rPr>
  </w:style>
  <w:style w:type="character" w:styleId="C15">
    <w:name w:val="Sidhuvud Char"/>
    <w:basedOn w:val="C0"/>
    <w:link w:val="P17"/>
    <w:semiHidden/>
    <w:rPr>
      <w:rFonts w:ascii="Arial" w:hAnsi="Arial" w:cs="Arial" w:eastAsia="Arial"/>
      <w:color w:val="000000"/>
      <w:sz w:val="24"/>
    </w:rPr>
  </w:style>
  <w:style w:type="character" w:styleId="C16">
    <w:name w:val="Sidfot Char"/>
    <w:basedOn w:val="C0"/>
    <w:link w:val="P18"/>
    <w:rPr>
      <w:rFonts w:ascii="Arial" w:hAnsi="Arial" w:cs="Arial" w:eastAsia="Arial"/>
      <w:color w:val="000000"/>
      <w:sz w:val="24"/>
    </w:rPr>
  </w:style>
  <w:style w:type="character" w:styleId="C17">
    <w:name w:val="Annan text Char"/>
    <w:basedOn w:val="C0"/>
    <w:link w:val="P28"/>
    <w:semiHidden/>
    <w:rPr>
      <w:rFonts w:ascii="Arial" w:hAnsi="Arial" w:cs="Arial" w:eastAsia="Arial"/>
      <w:color w:val="000000"/>
      <w:sz w:val="16"/>
    </w:rPr>
  </w:style>
  <w:style w:type="character" w:styleId="C18">
    <w:name w:val="Footnote Reference"/>
    <w:semiHidden/>
    <w:rPr>
      <w:vertAlign w:val="superscript"/>
    </w:rPr>
  </w:style>
  <w:style w:type="character" w:styleId="C19">
    <w:name w:val="Endnote Reference"/>
    <w:semiHidden/>
    <w:rPr>
      <w:vertAlign w:val="superscript"/>
    </w:rPr>
  </w:style>
  <w:style w:type="character" w:styleId="C20">
    <w:name w:val="normaltextrun"/>
    <w:basedOn w:val="C0"/>
    <w:semiHidden/>
    <w:rPr/>
  </w:style>
  <w:style w:type="character" w:styleId="C21">
    <w:name w:val="scxw123887595"/>
    <w:basedOn w:val="C0"/>
    <w:semiHidden/>
    <w:rPr/>
  </w:style>
  <w:style w:type="character" w:styleId="C22">
    <w:name w:val="Unresolved Mention1"/>
    <w:basedOn w:val="C0"/>
    <w:semiHidden/>
    <w:rPr>
      <w:color w:val="605E5C"/>
      <w:shd w:val="clear" w:color="auto" w:fill="E1DFDD"/>
    </w:rPr>
  </w:style>
  <w:style w:type="character" w:styleId="C23">
    <w:name w:val="Unresolved Mention2"/>
    <w:basedOn w:val="C0"/>
    <w:semiHidden/>
    <w:rPr>
      <w:color w:val="605E5C"/>
      <w:shd w:val="clear" w:color="auto" w:fill="E1DFDD"/>
    </w:rPr>
  </w:style>
  <w:style w:type="character" w:styleId="C24">
    <w:name w:val="Footnote Text Char"/>
    <w:semiHidden/>
    <w:rPr>
      <w:sz w:val="20"/>
      <w:szCs w:val="20"/>
    </w:rPr>
  </w:style>
  <w:style w:type="character" w:styleId="C25">
    <w:name w:val="Endnote Text Char"/>
    <w:semiHidden/>
    <w:rPr>
      <w:sz w:val="20"/>
      <w:szCs w:val="20"/>
    </w:rPr>
  </w:style>
  <w:style w:type="character" w:styleId="C26">
    <w:name w:val="Olöst omnämnande1"/>
    <w:basedOn w:val="C0"/>
    <w:semiHidden/>
    <w:rPr>
      <w:color w:val="605E5C"/>
      <w:shd w:val="clear" w:color="auto" w:fill="E1DFDD"/>
    </w:rPr>
  </w:style>
  <w:style w:type="character" w:styleId="C27">
    <w:name w:val="annotation reference"/>
    <w:basedOn w:val="C0"/>
    <w:semiHidden/>
    <w:rPr>
      <w:sz w:val="16"/>
      <w:szCs w:val="16"/>
    </w:rPr>
  </w:style>
  <w:style w:type="character" w:styleId="C28">
    <w:name w:val="Kommentarer Char"/>
    <w:basedOn w:val="C0"/>
    <w:link w:val="P29"/>
    <w:semiHidden/>
    <w:rPr>
      <w:rFonts w:ascii="Arial" w:hAnsi="Arial" w:cs="Arial" w:eastAsia="Arial"/>
      <w:color w:val="000000"/>
      <w:sz w:val="20"/>
      <w:szCs w:val="20"/>
    </w:rPr>
  </w:style>
  <w:style w:type="character" w:styleId="C29">
    <w:name w:val="Kommentarsämne Char"/>
    <w:basedOn w:val="C28"/>
    <w:link w:val="P30"/>
    <w:semiHidden/>
    <w:rPr>
      <w:rFonts w:ascii="Arial" w:hAnsi="Arial" w:cs="Arial" w:eastAsia="Arial"/>
      <w:b w:val="1"/>
      <w:bCs w:val="1"/>
      <w:color w:val="000000"/>
      <w:sz w:val="20"/>
      <w:szCs w:val="20"/>
    </w:rPr>
  </w:style>
  <w:style w:type="character" w:styleId="C30">
    <w:name w:val="Ballongtext Char"/>
    <w:basedOn w:val="C0"/>
    <w:link w:val="P31"/>
    <w:semiHidden/>
    <w:rPr>
      <w:rFonts w:ascii="Segoe UI" w:hAnsi="Segoe UI" w:cs="Segoe UI" w:eastAsia="Arial"/>
      <w:color w:val="000000"/>
      <w:sz w:val="18"/>
      <w:szCs w:val="18"/>
    </w:rPr>
  </w:style>
  <w:style w:type="character" w:styleId="C31">
    <w:name w:val="Svalöv brödtext Char"/>
    <w:basedOn w:val="C12"/>
    <w:link w:val="P32"/>
    <w:rPr>
      <w:rFonts w:ascii="Arial" w:hAnsi="Arial" w:cs="Arial" w:eastAsiaTheme="minorHAnsi"/>
      <w:smallCaps w:val="0"/>
      <w:noProof w:val="1"/>
      <w:color w:val="000000"/>
      <w:sz w:val="21"/>
      <w:szCs w:val="21"/>
      <w:lang w:eastAsia="en-US"/>
    </w:rPr>
  </w:style>
  <w:style w:type="character" w:styleId="C32">
    <w:name w:val="Svalöv Bildtext Char"/>
    <w:basedOn w:val="C31"/>
    <w:link w:val="P33"/>
    <w:rPr>
      <w:rFonts w:ascii="Trebuchet MS" w:hAnsi="Trebuchet MS" w:cs="Arial" w:eastAsia="Arial"/>
      <w:i w:val="0"/>
      <w:iCs w:val="0"/>
      <w:smallCaps w:val="0"/>
      <w:noProof w:val="1"/>
      <w:color w:val="000000"/>
      <w:sz w:val="18"/>
      <w:szCs w:val="20"/>
      <w:lang w:bidi="en-US" w:eastAsia="en-US"/>
    </w:rPr>
  </w:style>
  <w:style w:type="character" w:styleId="C33">
    <w:name w:val="Brödtext Char"/>
    <w:basedOn w:val="C0"/>
    <w:link w:val="P38"/>
    <w:rPr>
      <w:rFonts w:ascii="Arial" w:hAnsi="Arial" w:cs="Arial"/>
      <w:color w:val="000000"/>
      <w:sz w:val="21"/>
      <w:szCs w:val="21"/>
    </w:rPr>
  </w:style>
  <w:style w:type="character" w:styleId="C34">
    <w:name w:val="bov-p"/>
    <w:basedOn w:val="C0"/>
    <w:rPr/>
  </w:style>
  <w:style w:type="character" w:styleId="C35">
    <w:name w:val="Strong"/>
    <w:basedOn w:val="C0"/>
    <w:qFormat/>
    <w:rPr>
      <w:b w:val="1"/>
      <w:bCs w:val="1"/>
    </w:rPr>
  </w:style>
  <w:style w:type="character" w:styleId="C36">
    <w:name w:val="Emphasis"/>
    <w:basedOn w:val="C0"/>
    <w:qFormat/>
    <w:rPr>
      <w:i w:val="1"/>
      <w:iCs w:val="1"/>
    </w:rPr>
  </w:style>
  <w:style w:type="character" w:styleId="C37">
    <w:name w:val="module-wrap"/>
    <w:basedOn w:val="C0"/>
    <w:rPr/>
  </w:style>
  <w:style w:type="character" w:styleId="C38">
    <w:name w:val="relative"/>
    <w:basedOn w:val="C0"/>
    <w:rPr/>
  </w:style>
  <w:style w:type="character" w:styleId="C39">
    <w:name w:val="Unresolved Mention3"/>
    <w:basedOn w:val="C0"/>
    <w:semiHidden/>
    <w:rPr>
      <w:color w:val="605E5C"/>
      <w:shd w:val="clear" w:color="auto" w:fill="E1DFDD"/>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Grid1"/>
    <w:pPr>
      <w:spacing w:lineRule="auto" w:line="240" w:after="0" w:beforeAutospacing="0" w:afterAutospacing="0"/>
    </w:pPr>
    <w:tblPr>
      <w:tblCellMar>
        <w:top w:w="0" w:type="dxa"/>
        <w:left w:w="0" w:type="dxa"/>
        <w:bottom w:w="0" w:type="dxa"/>
        <w:right w:w="0" w:type="dxa"/>
      </w:tblCellMar>
    </w:tblPr>
    <w:trPr/>
    <w:tcPr/>
  </w:style>
  <w:style w:type="numbering" w:styleId="N0">
    <w:name w:val="No List"/>
  </w:style>
</w:styles>
</file>

<file path=word/_rels/document.xml.rels>&#65279;<?xml version="1.0" encoding="utf-8"?><Relationships xmlns="http://schemas.openxmlformats.org/package/2006/relationships"><Relationship Id="Relimage1" Type="http://schemas.openxmlformats.org/officeDocument/2006/relationships/image" Target="/media/image1.jpg" /><Relationship Id="Relimage2" Type="http://schemas.openxmlformats.org/officeDocument/2006/relationships/image" Target="/media/image2.png" /><Relationship Id="Relimage3" Type="http://schemas.openxmlformats.org/officeDocument/2006/relationships/image" Target="/media/image3.png" /><Relationship Id="Relimage4" Type="http://schemas.openxmlformats.org/officeDocument/2006/relationships/image" Target="/media/image4.png" /><Relationship Id="Relimage5" Type="http://schemas.openxmlformats.org/officeDocument/2006/relationships/image" Target="/media/image5.png" /><Relationship Id="Relimage6" Type="http://schemas.openxmlformats.org/officeDocument/2006/relationships/image" Target="/media/image6.png" /><Relationship Id="Relimage7" Type="http://schemas.openxmlformats.org/officeDocument/2006/relationships/image" Target="/media/image7.png" /><Relationship Id="Relimage8" Type="http://schemas.openxmlformats.org/officeDocument/2006/relationships/image" Target="/media/image8.png" /><Relationship Id="Relimage9" Type="http://schemas.openxmlformats.org/officeDocument/2006/relationships/image" Target="/media/image9.emf" /><Relationship Id="Relimage10" Type="http://schemas.openxmlformats.org/officeDocument/2006/relationships/image" Target="/media/image10.png" /><Relationship Id="Relimage11" Type="http://schemas.openxmlformats.org/officeDocument/2006/relationships/image" Target="/media/image11.png" /><Relationship Id="R2" Type="http://schemas.openxmlformats.org/officeDocument/2006/relationships/hyperlink" Target="https://www.svalov.se/bo-bygg--miljo/oversiktsplan-och-detaljplaner/oversiktsplan" TargetMode="External" /><Relationship Id="R3" Type="http://schemas.openxmlformats.org/officeDocument/2006/relationships/hyperlink" Target="https://www.svalov.se/bo-bygg--miljo/kulturmiljo" TargetMode="External" /><Relationship Id="R4" Type="http://schemas.openxmlformats.org/officeDocument/2006/relationships/hyperlink" Target="https://www.svalov.se/download/18.3c8e66b81817fe07f83e123/1656413893932/Cykelplan,%20antagen%202022-06-20.pdf" TargetMode="External" /><Relationship Id="R5" Type="http://schemas.openxmlformats.org/officeDocument/2006/relationships/hyperlink" Target="https://www.svalov.se/download/18.35b6217817c119d563b2fb85/1634812927266/Dagvattenplan,%20antagen%202018-06-18.pdf" TargetMode="External" /><Relationship Id="R6" Type="http://schemas.openxmlformats.org/officeDocument/2006/relationships/hyperlink" Target="https://www.svalov.se/download/18.74ee474217c118676f632d46/1635252607986/Dagvattenpolicy%20f%C3%B6r%20Sval%C3%B6v.pdf" TargetMode="External" /><Relationship Id="R7" Type="http://schemas.openxmlformats.org/officeDocument/2006/relationships/hyperlink" Target="https://www.svalov.se/bo-bygg--miljo/natur--naturvard" TargetMode="External" /><Relationship Id="R8" Type="http://schemas.openxmlformats.org/officeDocument/2006/relationships/hyperlink" Target="https://www.svalov.se/trafik-gator--parker/parkering--laddplatser" TargetMode="External" /><Relationship Id="R9" Type="http://schemas.openxmlformats.org/officeDocument/2006/relationships/hyperlink" Target="https://www.svalov.se/trafik-gator--parker/trafikregler--trafiksakerhet" TargetMode="External" /><Relationship Id="RA" Type="http://schemas.openxmlformats.org/officeDocument/2006/relationships/hyperlink" Target="mailto:plan@svalov.se" TargetMode="External" /><Relationship Id="RB" Type="http://schemas.openxmlformats.org/officeDocument/2006/relationships/hyperlink" Target="file:///\\VM-ADMDATAT\VOL_T\DATA\Sbn\Privat\01_Planering\5.%20Detaljplan\1.%20P&#229;g&#229;ende%20detaljplaner\Felestad%205_66%20(Gym)\1.%20Samr&#229;d\2.%20Planhandlingar%20-%20arbetsmaterial\plan@svalov.se" TargetMode="External" /><Relationship Id="RelHdr1" Type="http://schemas.openxmlformats.org/officeDocument/2006/relationships/header" Target="header1.xml" /><Relationship Id="RelFtr1" Type="http://schemas.openxmlformats.org/officeDocument/2006/relationships/footer" Target="footer1.xml" /><Relationship Id="RelFtr2" Type="http://schemas.openxmlformats.org/officeDocument/2006/relationships/footer" Target="footer2.xml" /><Relationship Id="RelFtr3" Type="http://schemas.openxmlformats.org/officeDocument/2006/relationships/footer" Target="footer3.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 Id="RelItem2" Type="http://schemas.openxmlformats.org/officeDocument/2006/relationships/customXml" Target="../customXml/item2.xml" /><Relationship Id="RelItem3" Type="http://schemas.openxmlformats.org/officeDocument/2006/relationships/customXml" Target="../customXml/item3.xml" /><Relationship Id="RelItem4" Type="http://schemas.openxmlformats.org/officeDocument/2006/relationships/customXml" Target="../customXml/item4.xml" /><Relationship Id="RelItem5" Type="http://schemas.openxmlformats.org/officeDocument/2006/relationships/customXml" Target="../customXml/item5.xml" /><Relationship Id="RelItem6" Type="http://schemas.openxmlformats.org/officeDocument/2006/relationships/customXml" Target="../customXml/item6.xml" /></Relationships>
</file>

<file path=word/_rels/endnotes.xml.rels>&#65279;<?xml version="1.0" encoding="utf-8"?><Relationships xmlns="http://schemas.openxmlformats.org/package/2006/relationships" />
</file>

<file path=word/_rels/footer1.xml.rels>&#65279;<?xml version="1.0" encoding="utf-8"?><Relationships xmlns="http://schemas.openxmlformats.org/package/2006/relationships" />
</file>

<file path=word/_rels/footer2.xml.rels>&#65279;<?xml version="1.0" encoding="utf-8"?><Relationships xmlns="http://schemas.openxmlformats.org/package/2006/relationships" />
</file>

<file path=word/_rels/footer3.xml.rels>&#65279;<?xml version="1.0" encoding="utf-8"?><Relationships xmlns="http://schemas.openxmlformats.org/package/2006/relationships" />
</file>

<file path=word/_rels/footnotes.xml.rels>&#65279;<?xml version="1.0" encoding="utf-8"?><Relationships xmlns="http://schemas.openxmlformats.org/package/2006/relationships" />
</file>

<file path=word/_rels/header1.xml.rels>&#65279;<?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_rels/item4.xml.rels>&#65279;<?xml version="1.0" encoding="utf-8"?><Relationships xmlns="http://schemas.openxmlformats.org/package/2006/relationships"><Relationship Id="rId1" Type="http://schemas.openxmlformats.org/officeDocument/2006/relationships/customXmlProps" Target="itemProps4.xml" /></Relationships>
</file>

<file path=customXml/_rels/item5.xml.rels>&#65279;<?xml version="1.0" encoding="utf-8"?><Relationships xmlns="http://schemas.openxmlformats.org/package/2006/relationships"><Relationship Id="rId1" Type="http://schemas.openxmlformats.org/officeDocument/2006/relationships/customXmlProps" Target="itemProps5.xml" /></Relationships>
</file>

<file path=customXml/_rels/item6.xml.rels>&#65279;<?xml version="1.0" encoding="utf-8"?><Relationships xmlns="http://schemas.openxmlformats.org/package/2006/relationships"><Relationship Id="rId1" Type="http://schemas.openxmlformats.org/officeDocument/2006/relationships/customXmlProps" Target="itemProps6.xml" /></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4b66568-ed0b-4077-902f-93d50dc001bd">
      <UserInfo>
        <DisplayName/>
        <AccountId xsi:nil="true"/>
        <AccountType/>
      </UserInfo>
    </SharedWithUsers>
    <MediaLengthInSeconds xmlns="63d52ff1-2895-408e-86c9-6934ca34b155" xsi:nil="true"/>
    <lcf76f155ced4ddcb4097134ff3c332f xmlns="10d4927a-1818-458a-814a-4ceb75cb40c0">
      <Terms xmlns="http://schemas.microsoft.com/office/infopath/2007/PartnerControls"/>
    </lcf76f155ced4ddcb4097134ff3c332f>
    <TaxCatchAll xmlns="bf467b21-babd-4ab7-ab0b-3349d667b7f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20317652190424FB673AF7230E2E861" ma:contentTypeVersion="125" ma:contentTypeDescription="Skapa ett nytt dokument." ma:contentTypeScope="" ma:versionID="d7b218cc11cc9a77edc1502dbd7e1f6a">
  <xsd:schema xmlns:xsd="http://www.w3.org/2001/XMLSchema" xmlns:xs="http://www.w3.org/2001/XMLSchema" xmlns:p="http://schemas.microsoft.com/office/2006/metadata/properties" xmlns:ns2="63d52ff1-2895-408e-86c9-6934ca34b155" xmlns:ns3="24b66568-ed0b-4077-902f-93d50dc001bd" xmlns:ns4="10d4927a-1818-458a-814a-4ceb75cb40c0" xmlns:ns5="bf467b21-babd-4ab7-ab0b-3349d667b7f8" targetNamespace="http://schemas.microsoft.com/office/2006/metadata/properties" ma:root="true" ma:fieldsID="31c0e0e893b4d31c5995dccfeb93ff8d" ns2:_="" ns3:_="" ns4:_="" ns5:_="">
    <xsd:import namespace="63d52ff1-2895-408e-86c9-6934ca34b155"/>
    <xsd:import namespace="24b66568-ed0b-4077-902f-93d50dc001bd"/>
    <xsd:import namespace="10d4927a-1818-458a-814a-4ceb75cb40c0"/>
    <xsd:import namespace="bf467b21-babd-4ab7-ab0b-3349d667b7f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52ff1-2895-408e-86c9-6934ca34b1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b66568-ed0b-4077-902f-93d50dc001bd"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d4927a-1818-458a-814a-4ceb75cb40c0" elementFormDefault="qualified">
    <xsd:import namespace="http://schemas.microsoft.com/office/2006/documentManagement/types"/>
    <xsd:import namespace="http://schemas.microsoft.com/office/infopath/2007/PartnerControls"/>
    <xsd:element name="lcf76f155ced4ddcb4097134ff3c332f" ma:index="21" nillable="true" ma:taxonomy="true" ma:internalName="lcf76f155ced4ddcb4097134ff3c332f" ma:taxonomyFieldName="MediaServiceImageTags" ma:displayName="Bildmarkeringar" ma:readOnly="false" ma:fieldId="{5cf76f15-5ced-4ddc-b409-7134ff3c332f}" ma:taxonomyMulti="true" ma:sspId="63cae801-ff69-425d-8f93-8872d2d2466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f467b21-babd-4ab7-ab0b-3349d667b7f8"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98b2c31-e7e8-47bc-8a2d-ebf468b7a515}" ma:internalName="TaxCatchAll" ma:showField="CatchAllData" ma:web="bf467b21-babd-4ab7-ab0b-3349d667b7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lanbeskrivning xmlns:lmg="http://namespace.lantmateriet.se/distribution/geometri/v1" xmlns:gml="http://www.opengis.net/gml/3.2" xmlns="http://namespace.lantmateriet.se/distribution/geodatakatalog/NNN"/>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Planbeskrivning xmlns:lmg="http://namespace.lantmateriet.se/distribution/geometri/v2" xmlns:gml="http://www.opengis.net/gml/3.2" xmlns="http://namespace.lantmateriet.se/distribution/geodatakatalog/planbeskrivning/v2">
  <objektversion>0</objektversion>
  <versionGiltigFran>0001-01-01T00:00:00</versionGiltigFran>
  <versionGiltigTill>0001-01-01T00:00:00</versionGiltigTill>
  <detaljplansreferens>116b0be4-3320-4f74-b35c-e6f982207150</detaljplansreferens>
  <Objektmetadata>
    <programvara>GEOSECMA</programvara>
    <programvaruversion>20.6</programvaruversion>
  </Objektmetadata>
  <arkividentitetKommun/>
  <Omfattning>
    <identitet>sy_syfte01</identitet>
    <Lage>
      <lmg:Yta>
        <lmg:absolutLagesosakerhetPlan>0</lmg:absolutLagesosakerhetPlan>
        <lmg:absolutLagesosakerhetHojd>0</lmg:absolutLagesosakerhetHojd>
        <lmg:hojdsystem>RH 2000</lmg:hojdsystem>
        <gml:Polygon gml:id="ID_151ea152-69f6-4210-a7a0-8ee97f94806b" srsName="EPSG:3008" srsDimension="2">
          <gml:exterior>
            <gml:LinearRing gml:id="ID_560e66ef-6491-4140-9491-5cb3832fbe4c">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Detaljplanens syfte</tema>
      <grupp>Syfte</grupp>
    </Indelning>
  </Omfattning>
  <Omfattning>
    <identitet>be_heladetaljplan01</identitet>
    <Lage>
      <lmg:Yta>
        <lmg:absolutLagesosakerhetPlan>0</lmg:absolutLagesosakerhetPlan>
        <lmg:absolutLagesosakerhetHojd>0</lmg:absolutLagesosakerhetHojd>
        <lmg:hojdsystem>RH 2000</lmg:hojdsystem>
        <gml:Polygon gml:id="ID_5cae858e-04a6-444c-8cf1-9da08293ba84" srsName="EPSG:3008" srsDimension="2">
          <gml:exterior>
            <gml:LinearRing gml:id="ID_9728d1b3-0bfe-4d9a-99b9-aa76d93fc0e3">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Beskrivning av detaljplanen</tema>
      <grupp>Hela detaljplan</grupp>
    </Indelning>
  </Omfattning>
  <Omfattning>
    <identitet>be_genomförandetid01</identitet>
    <Lage>
      <lmg:Yta>
        <lmg:absolutLagesosakerhetPlan>0</lmg:absolutLagesosakerhetPlan>
        <lmg:absolutLagesosakerhetHojd>0</lmg:absolutLagesosakerhetHojd>
        <lmg:hojdsystem>RH 2000</lmg:hojdsystem>
        <gml:Polygon gml:id="ID_f4a8ad44-89f0-4f2c-9549-7222379f25d2" srsName="EPSG:3008" srsDimension="2">
          <gml:exterior>
            <gml:LinearRing gml:id="ID_081149a2-4195-4607-98fb-db8e9dacbce3">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Beskrivning av detaljplanen</tema>
      <grupp>Genomförandetid</grupp>
    </Indelning>
  </Omfattning>
  <Omfattning>
    <identitet>be_allmänplats01</identitet>
    <Lage>
      <lmg:Yta>
        <lmg:absolutLagesosakerhetPlan>0</lmg:absolutLagesosakerhetPlan>
        <lmg:absolutLagesosakerhetHojd>0</lmg:absolutLagesosakerhetHojd>
        <lmg:hojdsystem>RH 2000</lmg:hojdsystem>
        <gml:Polygon gml:id="ID_6c33acae-84ba-4309-9dca-3532ff97fe95" srsName="EPSG:3008" srsDimension="2">
          <gml:exterior>
            <gml:LinearRing gml:id="ID_db911656-79c1-42f8-945f-4eb9aab648f7">
              <gml:posList>6197699.561 125377.689 6197698.342 125376.268 6197698.519 125374.771 6197698.712 125373.138 6197703.664 125363.665 6197706.057 125359.48 6197707.454 125356.866 6197712.651 125347.134 6197715.874 125341.1 6197718.741 125335.719 6197719.939 125333.473 6197722.415 125333.771 6197725.326 125336.918 6197725.389 125337.094 6197722.723 125342.082 6197722.284 125342.904 6197717.831 125351.233 6197716.506 125353.712 6197707.032 125371.436 6197704.278 125376.589 6197702.811 125379.332 6197700.891 125378.66 6197699.561 125377.689</gml:posList>
            </gml:LinearRing>
          </gml:exterior>
        </gml:Polygon>
      </lmg:Yta>
      <planbestammelsereferens>ee880ef0-20a0-4a2a-a290-f654610db905</planbestammelsereferens>
    </Lage>
    <Lage>
      <lmg:Yta>
        <lmg:absolutLagesosakerhetPlan>0</lmg:absolutLagesosakerhetPlan>
        <lmg:absolutLagesosakerhetHojd>0</lmg:absolutLagesosakerhetHojd>
        <lmg:hojdsystem>RH 2000</lmg:hojdsystem>
        <gml:Polygon gml:id="ID_8c93279d-25e9-40ac-9541-83270026ce42" srsName="EPSG:3008" srsDimension="2">
          <gml:exterior>
            <gml:LinearRing gml:id="ID_226385d0-8e53-412f-a2f0-bfd0ddaa2fd5">
              <gml:posList>6197724.216 125325.786 6197724.156 125325.757 6197726.892 125321.097 6197727.142 125320.672 6197728.304 125321.122 6197731.533 125322.373 6197732.962 125322.927 6197730.412 125327.697 6197729.322 125329.736 6197728.116 125331.993 6197726.933 125330.551 6197724.611 125327.72 6197724.385 125327.445 6197724.363 125327.462 6197724.327 125327.054 6197724.216 125325.786</gml:posList>
            </gml:LinearRing>
          </gml:exterior>
        </gml:Polygon>
      </lmg:Yta>
      <planbestammelsereferens>110a39d1-f2e6-4066-8906-49cd89a99f1e</planbestammelsereferens>
    </Lage>
    <Lage>
      <lmg:Yta>
        <lmg:absolutLagesosakerhetPlan>0</lmg:absolutLagesosakerhetPlan>
        <lmg:absolutLagesosakerhetHojd>0</lmg:absolutLagesosakerhetHojd>
        <lmg:hojdsystem>RH 2000</lmg:hojdsystem>
        <gml:Polygon gml:id="ID_9592ab45-b5a1-479c-8021-ad9550403886" srsName="EPSG:3008" srsDimension="2">
          <gml:exterior>
            <gml:LinearRing gml:id="ID_c2923618-a186-49fc-ae75-94f0b4ad4f9b">
              <gml:posList>6197727.142 125320.672 6197726.892 125321.097 6197724.156 125325.757 6197724.216 125325.786 6197724.327 125327.054 6197724.363 125327.462 6197724.385 125327.445 6197724.611 125327.72 6197726.933 125330.551 6197728.116 125331.993 6197726.55 125334.923 6197725.389 125337.094 6197725.326 125336.918 6197722.415 125333.771 6197719.939 125333.473 6197718.741 125335.719 6197715.874 125341.1 6197712.651 125347.134 6197707.454 125356.866 6197706.057 125359.48 6197703.664 125363.665 6197698.712 125373.138 6197698.519 125374.771 6197698.342 125376.268 6197699.561 125377.689 6197700.891 125378.66 6197702.811 125379.332 6197703.462 125381.488 6197704.948 125386.407 6197705.269 125387.47 6197714.084 125392.17 6197728.412 125399.81 6197729.089 125400.171 6197734.583 125402.638 6197735.069 125402.857 6197743.238 125406.526 6197746.13 125407.825 6197746.723 125408.092 6197747.414 125408.402 6197748.414 125408.851 6197748.875 125409.058 6197750.241 125409.671 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gml:posList>
            </gml:LinearRing>
          </gml:exterior>
        </gml:Polygon>
      </lmg:Yta>
      <planbestammelsereferens>40094ee3-ba15-4973-9d97-d2b520e9cb83</planbestammelsereferens>
    </Lage>
    <Indelning>
      <tema>Beskrivning av detaljplanen</tema>
      <grupp>Allmän plats</grupp>
    </Indelning>
  </Omfattning>
  <Omfattning>
    <identitet>be_huvudmannaskap01</identitet>
    <Lage>
      <planomrade>true</planomrade>
    </Lage>
    <Indelning>
      <tema>Beskrivning av detaljplanen</tema>
      <grupp>Allmän plats</grupp>
      <undergrupp>Huvudmannaskap</undergrupp>
    </Indelning>
  </Omfattning>
  <Omfattning>
    <identitet>be_kvartersmark01</identitet>
    <Lage>
      <lmg:Yta>
        <lmg:absolutLagesosakerhetPlan>0</lmg:absolutLagesosakerhetPlan>
        <lmg:absolutLagesosakerhetHojd>0</lmg:absolutLagesosakerhetHojd>
        <lmg:hojdsystem>RH 2000</lmg:hojdsystem>
        <gml:Polygon gml:id="ID_68d5644d-9cbb-4594-b8e2-ffd49703f331" srsName="EPSG:3008" srsDimension="2">
          <gml:exterior>
            <gml:LinearRing gml:id="ID_bcb48b96-5db1-48e6-ad04-d738d8e9ecc6">
              <gml:posList>6197756.178 125412.338 6197750.241 125409.671 6197748.875 125409.058 6197750.281 125406.401 6197750.533 125405.925 6197750.984 125405.072 6197751.281 125404.511 6197751.321 125404.435 6197751.544 125404.013 6197754.386 125398.641 6197749.331 125395.84 6197746.146 125401.427 6197745.477 125402.599 6197744.909 125403.595 6197744.731 125403.908 6197744.471 125404.364 6197743.238 125406.526 6197735.069 125402.857 6197734.583 125402.638 6197729.089 125400.171 6197728.412 125399.81 6197714.084 125392.17 6197705.269 125387.47 6197704.948 125386.407 6197703.462 125381.488 6197702.811 125379.332 6197704.278 125376.589 6197707.032 125371.436 6197716.506 125353.712 6197717.831 125351.233 6197722.284 125342.904 6197722.723 125342.082 6197725.389 125337.094 6197726.55 125334.923 6197728.116 125331.993 6197729.322 125329.736 6197730.412 125327.697 6197732.962 125322.927 6197775.352 125339.354 6197777.217 125340.076 6197783.278 125342.425 6197780.492 125349.612 6197775.735 125361.883 6197757.264 125409.537 6197756.178 125412.338</gml:posList>
            </gml:LinearRing>
          </gml:exterior>
        </gml:Polygon>
      </lmg:Yta>
      <planbestammelsereferens>250d56b3-cec0-4da1-ac67-e9599dc9b5c8</planbestammelsereferens>
    </Lage>
    <Indelning>
      <tema>Beskrivning av detaljplanen</tema>
      <grupp>Kvartersmark</grupp>
    </Indelning>
  </Omfattning>
  <Omfattning>
    <identitet>be_vattenområde01</identitet>
    <Lage>
      <planomrade>true</planomrade>
    </Lage>
    <Indelning>
      <tema>Beskrivning av detaljplanen</tema>
      <grupp>Vattenområde</grupp>
    </Indelning>
  </Omfattning>
  <Omfattning>
    <identitet>be_befintligt01</identitet>
    <Lage>
      <lmg:Yta>
        <lmg:absolutLagesosakerhetPlan>0</lmg:absolutLagesosakerhetPlan>
        <lmg:absolutLagesosakerhetHojd>0</lmg:absolutLagesosakerhetHojd>
        <lmg:hojdsystem>RH 2000</lmg:hojdsystem>
        <gml:Polygon gml:id="ID_b885af45-85b2-4257-995d-4c489a2687fc" srsName="EPSG:3008" srsDimension="2">
          <gml:exterior>
            <gml:LinearRing gml:id="ID_cebf33d5-a370-481d-a4cb-1a106abaa89a">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Beskrivning av detaljplanen</tema>
      <grupp>Befintligt</grupp>
    </Indelning>
  </Omfattning>
  <Omfattning>
    <identitet>be_varförändringavdetaljplanvalts01</identitet>
    <Lage>
      <planomrade>true</planomrade>
    </Lage>
    <Indelning>
      <tema>Beskrivning av detaljplanen</tema>
      <grupp>Varför ändring av detaljplan valts</grupp>
    </Indelning>
  </Omfattning>
  <Omfattning>
    <identitet>be_ärendeinformation01</identitet>
    <Lage>
      <planomrade>true</planomrade>
    </Lage>
    <Indelning>
      <tema>Beskrivning av detaljplanen</tema>
      <grupp>Ärendeinformation</grupp>
    </Indelning>
  </Omfattning>
  <Omfattning>
    <identitet>be_annat01</identitet>
    <Lage>
      <planomrade>true</planomrade>
    </Lage>
    <Indelning>
      <tema>Beskrivning av detaljplanen</tema>
      <grupp>Annat</grupp>
    </Indelning>
  </Omfattning>
  <Omfattning>
    <identitet>pf_kommunala01</identitet>
    <Lage>
      <planomrade>true</planomrade>
    </Lage>
    <Indelning>
      <tema>Planeringsförutsättningar</tema>
      <grupp>Kommunala</grupp>
    </Indelning>
  </Omfattning>
  <Omfattning>
    <identitet>pf_områdesbestämmelser01</identitet>
    <Lage>
      <planomrade>true</planomrade>
    </Lage>
    <Indelning>
      <tema>Planeringsförutsättningar</tema>
      <grupp>Kommunala</grupp>
      <undergrupp>Områdesbestämmelser</undergrupp>
    </Indelning>
  </Omfattning>
  <Omfattning>
    <identitet>pf_förhandsbesked01</identitet>
    <Lage>
      <planomrade>true</planomrade>
    </Lage>
    <Indelning>
      <tema>Planeringsförutsättningar</tema>
      <grupp>Kommunala</grupp>
      <undergrupp>Förhandsbesked</undergrupp>
    </Indelning>
  </Omfattning>
  <Omfattning>
    <identitet>pf_planeringsbesked01</identitet>
    <Lage>
      <planomrade>true</planomrade>
    </Lage>
    <Indelning>
      <tema>Planeringsförutsättningar</tema>
      <grupp>Kommunala</grupp>
      <undergrupp>Planeringsbesked</undergrupp>
    </Indelning>
  </Omfattning>
  <Omfattning>
    <identitet>pf_planbesked01</identitet>
    <Lage>
      <lmg:Yta>
        <lmg:absolutLagesosakerhetPlan>0</lmg:absolutLagesosakerhetPlan>
        <lmg:absolutLagesosakerhetHojd>0</lmg:absolutLagesosakerhetHojd>
        <lmg:hojdsystem>RH 2000</lmg:hojdsystem>
        <gml:Polygon gml:id="ID_fc0d2a9a-7ce8-423d-932b-ea43a9aae742" srsName="EPSG:3008" srsDimension="2">
          <gml:exterior>
            <gml:LinearRing gml:id="ID_5eca9fa4-bacd-4931-83af-b28a01998aa7">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Planeringsförutsättningar</tema>
      <grupp>Kommunala</grupp>
      <undergrupp>Planbesked</undergrupp>
    </Indelning>
  </Omfattning>
  <Omfattning>
    <identitet>pf_planprogram01</identitet>
    <Lage>
      <lmg:Yta>
        <lmg:absolutLagesosakerhetPlan>0</lmg:absolutLagesosakerhetPlan>
        <lmg:absolutLagesosakerhetHojd>0</lmg:absolutLagesosakerhetHojd>
        <lmg:hojdsystem>RH 2000</lmg:hojdsystem>
        <gml:Polygon gml:id="ID_b333b5ce-2adc-4f8c-b81d-e27dbf8cfa91" srsName="EPSG:3008" srsDimension="2">
          <gml:exterior>
            <gml:LinearRing gml:id="ID_6f09c915-0851-4595-9030-ce61c15c011a">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Planeringsförutsättningar</tema>
      <grupp>Kommunala</grupp>
      <undergrupp>Planprogram</undergrupp>
    </Indelning>
  </Omfattning>
  <Omfattning>
    <identitet>pf_översiktsplan01</identitet>
    <Lage>
      <lmg:Yta>
        <lmg:absolutLagesosakerhetPlan>0</lmg:absolutLagesosakerhetPlan>
        <lmg:absolutLagesosakerhetHojd>0</lmg:absolutLagesosakerhetHojd>
        <lmg:hojdsystem>RH 2000</lmg:hojdsystem>
        <gml:Polygon gml:id="ID_ea56efe6-070f-4a14-a36e-399163cbfa0d" srsName="EPSG:3008" srsDimension="2">
          <gml:exterior>
            <gml:LinearRing gml:id="ID_6f09c915-0851-4595-9030-ce61c15c011a">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Planeringsförutsättningar</tema>
      <grupp>Kommunala</grupp>
      <undergrupp>Översiktsplan</undergrupp>
    </Indelning>
  </Omfattning>
  <Omfattning>
    <identitet>pf_regionala01</identitet>
    <Lage>
      <lmg:Yta>
        <lmg:absolutLagesosakerhetPlan>0</lmg:absolutLagesosakerhetPlan>
        <lmg:absolutLagesosakerhetHojd>0</lmg:absolutLagesosakerhetHojd>
        <lmg:hojdsystem>RH 2000</lmg:hojdsystem>
        <gml:Polygon gml:id="ID_81a50815-0509-444d-bfca-2e16c8a97c2e" srsName="EPSG:3008" srsDimension="2">
          <gml:exterior>
            <gml:LinearRing gml:id="ID_6f09c915-0851-4595-9030-ce61c15c011a">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Planeringsförutsättningar</tema>
      <grupp>Regionala</grupp>
    </Indelning>
  </Omfattning>
  <Omfattning>
    <identitet>pf_regionplan01</identitet>
    <Lage>
      <lmg:Yta>
        <lmg:absolutLagesosakerhetPlan>0</lmg:absolutLagesosakerhetPlan>
        <lmg:absolutLagesosakerhetHojd>0</lmg:absolutLagesosakerhetHojd>
        <lmg:hojdsystem>RH 2000</lmg:hojdsystem>
        <gml:Polygon gml:id="ID_5b91ecd4-b3e9-4d1f-8a23-a2f8eabd50c6" srsName="EPSG:3008" srsDimension="2">
          <gml:exterior>
            <gml:LinearRing gml:id="ID_6f09c915-0851-4595-9030-ce61c15c011a">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Planeringsförutsättningar</tema>
      <grupp>Regionala</grupp>
      <undergrupp>Regionplan</undergrupp>
    </Indelning>
  </Omfattning>
  <Omfattning>
    <identitet>pf_hushållningsbestämmelserenl3kap_mb01</identitet>
    <Lage>
      <lmg:Yta>
        <lmg:absolutLagesosakerhetPlan>0</lmg:absolutLagesosakerhetPlan>
        <lmg:absolutLagesosakerhetHojd>0</lmg:absolutLagesosakerhetHojd>
        <lmg:hojdsystem>RH 2000</lmg:hojdsystem>
        <gml:Polygon gml:id="ID_f7d6afeb-7797-4e37-8521-d1fae90c4792" srsName="EPSG:3008" srsDimension="2">
          <gml:exterior>
            <gml:LinearRing gml:id="ID_181133a4-d891-4a5d-b5b4-eedd9d3da6ba">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Planeringsförutsättningar</tema>
      <grupp>Hushållningsbestämmelser enligt 3 kap. miljöbalken</grupp>
    </Indelning>
  </Omfattning>
  <Omfattning>
    <identitet>pf_skogsbruk01</identitet>
    <Lage>
      <planomrade>true</planomrade>
    </Lage>
    <Indelning>
      <tema>Planeringsförutsättningar</tema>
      <grupp>Hushållningsbestämmelser enligt 3 kap. miljöbalken</grupp>
      <undergrupp>Skogsbruk</undergrupp>
    </Indelning>
  </Omfattning>
  <Omfattning>
    <identitet>pf_oexploateradeområden01</identitet>
    <Lage>
      <planomrade>true</planomrade>
    </Lage>
    <Indelning>
      <tema>Planeringsförutsättningar</tema>
      <grupp>Hushållningsbestämmelser enligt 3 kap. miljöbalken</grupp>
      <undergrupp>Oexploaterade områden</undergrupp>
    </Indelning>
  </Omfattning>
  <Omfattning>
    <identitet>pf_ekologisktsärskiltkänsligaområden01</identitet>
    <Lage>
      <planomrade>true</planomrade>
    </Lage>
    <Indelning>
      <tema>Planeringsförutsättningar</tema>
      <grupp>Hushållningsbestämmelser enligt 3 kap. miljöbalken</grupp>
      <undergrupp>Ekologiskt särskilt känsliga områden</undergrupp>
    </Indelning>
  </Omfattning>
  <Omfattning>
    <identitet>pf_miljökvalitetsnormer01</identitet>
    <Lage>
      <lmg:Yta>
        <lmg:absolutLagesosakerhetPlan>0</lmg:absolutLagesosakerhetPlan>
        <lmg:absolutLagesosakerhetHojd>0</lmg:absolutLagesosakerhetHojd>
        <lmg:hojdsystem>RH 2000</lmg:hojdsystem>
        <gml:Polygon gml:id="ID_a586590c-60ae-4892-aa71-684d8a837dce" srsName="EPSG:3008" srsDimension="2">
          <gml:exterior>
            <gml:LinearRing gml:id="ID_fbd533b6-21f4-4237-b2b7-2cf025503977">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Planeringsförutsättningar</tema>
      <grupp>Miljökvalitetsnormer</grupp>
    </Indelning>
  </Omfattning>
  <Omfattning>
    <identitet>pf_mellankommunalaintressen01</identitet>
    <Lage>
      <planomrade>true</planomrade>
    </Lage>
    <Indelning>
      <tema>Planeringsförutsättningar</tema>
      <grupp>Mellankommunala intressen</grupp>
    </Indelning>
  </Omfattning>
  <Omfattning>
    <identitet>pf_miljö01</identitet>
    <Lage>
      <lmg:Yta>
        <lmg:absolutLagesosakerhetPlan>0</lmg:absolutLagesosakerhetPlan>
        <lmg:absolutLagesosakerhetHojd>0</lmg:absolutLagesosakerhetHojd>
        <lmg:hojdsystem>RH 2000</lmg:hojdsystem>
        <gml:Polygon gml:id="ID_5537497c-92b6-4b95-b7e1-2736b69ef100" srsName="EPSG:3008" srsDimension="2">
          <gml:exterior>
            <gml:LinearRing gml:id="ID_1df60ee3-f2f5-46d2-853a-e55a4cb92c80">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Planeringsförutsättningar</tema>
      <grupp>Miljö</grupp>
    </Indelning>
  </Omfattning>
  <Omfattning>
    <identitet>pf_strandskydd01</identitet>
    <Lage>
      <planomrade>true</planomrade>
    </Lage>
    <Indelning>
      <tema>Planeringsförutsättningar</tema>
      <grupp>Miljö</grupp>
      <undergrupp>Strandskydd</undergrupp>
    </Indelning>
  </Omfattning>
  <Omfattning>
    <identitet>pf_hälsaochsäkerhet01</identitet>
    <Lage>
      <lmg:Yta>
        <lmg:absolutLagesosakerhetPlan>0</lmg:absolutLagesosakerhetPlan>
        <lmg:absolutLagesosakerhetHojd>0</lmg:absolutLagesosakerhetHojd>
        <lmg:hojdsystem>RH 2000</lmg:hojdsystem>
        <gml:Polygon gml:id="ID_05d61d38-5517-40ea-9ee6-73e0eeaba211" srsName="EPSG:3008" srsDimension="2">
          <gml:exterior>
            <gml:LinearRing gml:id="ID_48a38707-540b-4b5d-980f-0b7c83fb2b23">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Planeringsförutsättningar</tema>
      <grupp>Hälsa och säkerhet</grupp>
    </Indelning>
  </Omfattning>
  <Omfattning>
    <identitet>pf_riskförolyckor01</identitet>
    <Lage>
      <lmg:Yta>
        <lmg:absolutLagesosakerhetPlan>0</lmg:absolutLagesosakerhetPlan>
        <lmg:absolutLagesosakerhetHojd>0</lmg:absolutLagesosakerhetHojd>
        <lmg:hojdsystem>RH 2000</lmg:hojdsystem>
        <gml:Polygon gml:id="ID_530c7a9e-3706-4ce7-809c-846059b268f2" srsName="EPSG:3008" srsDimension="2">
          <gml:exterior>
            <gml:LinearRing gml:id="ID_887be597-87d7-49f1-bdec-dd7bd2423779">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Lage>
      <lmg:Yta>
        <lmg:absolutLagesosakerhetPlan>0</lmg:absolutLagesosakerhetPlan>
        <lmg:absolutLagesosakerhetHojd>0</lmg:absolutLagesosakerhetHojd>
        <lmg:hojdsystem>RH 2000</lmg:hojdsystem>
        <gml:Polygon gml:id="ID_cc80d411-4fdd-475c-a08c-88c8f7030ce1" srsName="EPSG:3008" srsDimension="2">
          <gml:exterior>
            <gml:LinearRing gml:id="ID_97ffe3d8-0b6f-4a63-912c-0af8e0179a01">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Planeringsförutsättningar</tema>
      <grupp>Hälsa och säkerhet</grupp>
      <undergrupp>Risk för olyckor</undergrupp>
    </Indelning>
  </Omfattning>
  <Omfattning>
    <identitet>pf_riskförerosion01</identitet>
    <Lage>
      <planomrade>true</planomrade>
    </Lage>
    <Indelning>
      <tema>Planeringsförutsättningar</tema>
      <grupp>Hälsa och säkerhet</grupp>
      <undergrupp>Risk för erosion</undergrupp>
    </Indelning>
  </Omfattning>
  <Omfattning>
    <identitet>pf_riskförskred01</identitet>
    <Lage>
      <planomrade>true</planomrade>
    </Lage>
    <Indelning>
      <tema>Planeringsförutsättningar</tema>
      <grupp>Hälsa och säkerhet</grupp>
      <undergrupp>Risk för skred</undergrupp>
    </Indelning>
  </Omfattning>
  <Omfattning>
    <identitet>pf_riskförras01</identitet>
    <Lage>
      <planomrade>true</planomrade>
    </Lage>
    <Indelning>
      <tema>Planeringsförutsättningar</tema>
      <grupp>Hälsa och säkerhet</grupp>
      <undergrupp>Risk för ras</undergrupp>
    </Indelning>
  </Omfattning>
  <Omfattning>
    <identitet>pf_kulturmiljö01</identitet>
    <Lage>
      <planomrade>true</planomrade>
    </Lage>
    <Indelning>
      <tema>Planeringsförutsättningar</tema>
      <grupp>Kulturmiljö</grupp>
    </Indelning>
  </Omfattning>
  <Omfattning>
    <identitet>pf_fornlämningar01</identitet>
    <Lage>
      <lmg:Yta>
        <lmg:absolutLagesosakerhetPlan>0</lmg:absolutLagesosakerhetPlan>
        <lmg:absolutLagesosakerhetHojd>0</lmg:absolutLagesosakerhetHojd>
        <lmg:hojdsystem>RH 2000</lmg:hojdsystem>
        <gml:Polygon gml:id="ID_5936198c-d322-4c70-a9df-ffaee1c66eea" srsName="EPSG:3008" srsDimension="2">
          <gml:exterior>
            <gml:LinearRing gml:id="ID_7d8cb7b5-6c23-445b-b385-1018022026fc">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Planeringsförutsättningar</tema>
      <grupp>Kulturmiljö</grupp>
      <undergrupp>Fornlämningar</undergrupp>
    </Indelning>
  </Omfattning>
  <Omfattning>
    <identitet>pf_byggnadsminnen01</identitet>
    <Lage>
      <planomrade>true</planomrade>
    </Lage>
    <Indelning>
      <tema>Planeringsförutsättningar</tema>
      <grupp>Kulturmiljö</grupp>
      <undergrupp>Byggnadsminnen</undergrupp>
    </Indelning>
  </Omfattning>
  <Omfattning>
    <identitet>pf_kyrkligtkulturarv01</identitet>
    <Lage>
      <planomrade>true</planomrade>
    </Lage>
    <Indelning>
      <tema>Planeringsförutsättningar</tema>
      <grupp>Kulturmiljö</grupp>
      <undergrupp>Kyrkligt kulturarv</undergrupp>
    </Indelning>
  </Omfattning>
  <Omfattning>
    <identitet>pf_teknik01</identitet>
    <Lage>
      <lmg:Yta>
        <lmg:absolutLagesosakerhetPlan>0</lmg:absolutLagesosakerhetPlan>
        <lmg:absolutLagesosakerhetHojd>0</lmg:absolutLagesosakerhetHojd>
        <lmg:hojdsystem>RH 2000</lmg:hojdsystem>
        <gml:Polygon gml:id="ID_d2c2b9c9-54a6-4d72-9f29-be2f6818c07f" srsName="EPSG:3008" srsDimension="2">
          <gml:exterior>
            <gml:LinearRing gml:id="ID_b6bd88c7-5ee1-43ea-9871-99b2ed6a6c42">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Lage>
      <lmg:Yta>
        <lmg:absolutLagesosakerhetPlan>0</lmg:absolutLagesosakerhetPlan>
        <lmg:absolutLagesosakerhetHojd>0</lmg:absolutLagesosakerhetHojd>
        <lmg:hojdsystem>RH 2000</lmg:hojdsystem>
        <gml:Polygon gml:id="ID_5488a56a-816e-4aaa-8553-35e0c66546bc" srsName="EPSG:3008" srsDimension="2">
          <gml:exterior>
            <gml:LinearRing gml:id="ID_8e9cf1db-685c-4ce4-92cd-9ec3d812cb6c">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Planeringsförutsättningar</tema>
      <grupp>Teknik</grupp>
    </Indelning>
  </Omfattning>
  <Omfattning>
    <identitet>pf_service01</identitet>
    <Lage>
      <planomrade>true</planomrade>
    </Lage>
    <Indelning>
      <tema>Planeringsförutsättningar</tema>
      <grupp>Service</grupp>
    </Indelning>
  </Omfattning>
  <Omfattning>
    <identitet>pf_trafik01</identitet>
    <Lage>
      <lmg:Yta>
        <lmg:absolutLagesosakerhetPlan>0</lmg:absolutLagesosakerhetPlan>
        <lmg:absolutLagesosakerhetHojd>0</lmg:absolutLagesosakerhetHojd>
        <lmg:hojdsystem>RH 2000</lmg:hojdsystem>
        <gml:Polygon gml:id="ID_052f34c8-94ca-4715-bb98-d67a17a4c4ab" srsName="EPSG:3008" srsDimension="2">
          <gml:exterior>
            <gml:LinearRing gml:id="ID_eb726dc5-d6da-42c9-a058-ab19272d523e">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Planeringsförutsättningar</tema>
      <grupp>Trafik</grupp>
    </Indelning>
  </Omfattning>
  <Omfattning>
    <identitet>pf_annat01</identitet>
    <Lage>
      <lmg:Yta>
        <lmg:absolutLagesosakerhetPlan>0</lmg:absolutLagesosakerhetPlan>
        <lmg:absolutLagesosakerhetHojd>0</lmg:absolutLagesosakerhetHojd>
        <lmg:hojdsystem>RH 2000</lmg:hojdsystem>
        <gml:Polygon gml:id="ID_cfd7446e-6bea-473d-9ace-140aec0f53fa" srsName="EPSG:3008" srsDimension="2">
          <gml:exterior>
            <gml:LinearRing gml:id="ID_3d72dbde-1b8a-4465-b9da-44c3e63da65e">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Planeringsförutsättningar</tema>
      <grupp>Annat</grupp>
    </Indelning>
  </Omfattning>
  <Omfattning>
    <identitet>pu_kommunala01</identitet>
    <Lage>
      <planomrade>true</planomrade>
    </Lage>
    <Indelning>
      <tema>Planeringsunderlag</tema>
      <grupp>Kommunala</grupp>
    </Indelning>
  </Omfattning>
  <Omfattning>
    <identitet>pu_detaljplan01</identitet>
    <Lage>
      <lmg:Yta>
        <lmg:absolutLagesosakerhetPlan>0</lmg:absolutLagesosakerhetPlan>
        <lmg:absolutLagesosakerhetHojd>0</lmg:absolutLagesosakerhetHojd>
        <lmg:hojdsystem>RH 2000</lmg:hojdsystem>
        <gml:Polygon gml:id="ID_739f6f17-0bc8-4202-b03a-9b1c4840d2e8" srsName="EPSG:3008" srsDimension="2">
          <gml:exterior>
            <gml:LinearRing gml:id="ID_14432f80-be43-458e-8213-ce0744c447c5">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Planeringsunderlag</tema>
      <grupp>Kommunala</grupp>
      <undergrupp>Detaljplan</undergrupp>
    </Indelning>
  </Omfattning>
  <Omfattning>
    <identitet>pu_planprogram01</identitet>
    <Lage>
      <planomrade>true</planomrade>
    </Lage>
    <Indelning>
      <tema>Planeringsunderlag</tema>
      <grupp>Kommunala</grupp>
      <undergrupp>Planprogram</undergrupp>
    </Indelning>
  </Omfattning>
  <Omfattning>
    <identitet>pu_grundkarta01</identitet>
    <Lage>
      <lmg:Yta>
        <lmg:absolutLagesosakerhetPlan>0</lmg:absolutLagesosakerhetPlan>
        <lmg:absolutLagesosakerhetHojd>0</lmg:absolutLagesosakerhetHojd>
        <lmg:hojdsystem>RH 2000</lmg:hojdsystem>
        <gml:Polygon gml:id="ID_ad27a6e4-4e9a-4606-8320-250cb993ed72" srsName="EPSG:3008" srsDimension="2">
          <gml:exterior>
            <gml:LinearRing gml:id="ID_9505ad52-067b-4a5e-b748-0856a4b03491">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Planeringsunderlag</tema>
      <grupp>Kommunala</grupp>
      <undergrupp>Grundkarta</undergrupp>
    </Indelning>
  </Omfattning>
  <Omfattning>
    <identitet>pu_översiktsplan01</identitet>
    <Lage>
      <lmg:Yta>
        <lmg:absolutLagesosakerhetPlan>0</lmg:absolutLagesosakerhetPlan>
        <lmg:absolutLagesosakerhetHojd>0</lmg:absolutLagesosakerhetHojd>
        <lmg:hojdsystem>RH 2000</lmg:hojdsystem>
        <gml:Polygon gml:id="ID_713ee357-27e5-464d-9340-4398f187ae17" srsName="EPSG:3008" srsDimension="2">
          <gml:exterior>
            <gml:LinearRing gml:id="ID_85432485-65af-4ea1-9a9b-97a29589658c">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Planeringsunderlag</tema>
      <grupp>Kommunala</grupp>
      <undergrupp>Översiktsplan</undergrupp>
    </Indelning>
  </Omfattning>
  <Omfattning>
    <identitet>pu_miljökonsekvensbeskrivning01</identitet>
    <Lage>
      <planomrade>true</planomrade>
    </Lage>
    <Indelning>
      <tema>Planeringsunderlag</tema>
      <grupp>Kommunala</grupp>
      <undergrupp>Miljökonsekvens-beskrivning</undergrupp>
    </Indelning>
  </Omfattning>
  <Omfattning>
    <identitet>pu_utredningar01</identitet>
    <Lage>
      <planomrade>true</planomrade>
    </Lage>
    <Indelning>
      <tema>Planeringsunderlag</tema>
      <grupp>Utredningar</grupp>
    </Indelning>
  </Omfattning>
  <Omfattning>
    <identitet>pu_dagsljusochskugga01</identitet>
    <Lage>
      <planomrade>true</planomrade>
    </Lage>
    <Indelning>
      <tema>Planeringsunderlag</tema>
      <grupp>Utredningar</grupp>
      <undergrupp>Dagsljus och skugga</undergrupp>
    </Indelning>
  </Omfattning>
  <Omfattning>
    <identitet>pu_dagvattenutredning01</identitet>
    <Lage>
      <planomrade>true</planomrade>
    </Lage>
    <Indelning>
      <tema>Planeringsunderlag</tema>
      <grupp>Utredningar</grupp>
      <undergrupp>Dagvattenutredning</undergrupp>
    </Indelning>
  </Omfattning>
  <Omfattning>
    <identitet>pu_handelsutredning01</identitet>
    <Lage>
      <planomrade>true</planomrade>
    </Lage>
    <Indelning>
      <tema>Planeringsunderlag</tema>
      <grupp>Utredningar</grupp>
      <undergrupp>Handelsutredning</undergrupp>
    </Indelning>
  </Omfattning>
  <Omfattning>
    <identitet>pu_naturinventering01</identitet>
    <Lage>
      <planomrade>true</planomrade>
    </Lage>
    <Indelning>
      <tema>Planeringsunderlag</tema>
      <grupp>Utredningar</grupp>
      <undergrupp>Naturinventering</undergrupp>
    </Indelning>
  </Omfattning>
  <Omfattning>
    <identitet>pu_geotekniskutredning01</identitet>
    <Lage>
      <planomrade>true</planomrade>
    </Lage>
    <Indelning>
      <tema>Planeringsunderlag</tema>
      <grupp>Utredningar</grupp>
      <undergrupp>Geoteknisk utredning</undergrupp>
    </Indelning>
  </Omfattning>
  <Omfattning>
    <identitet>pu_markmiljöutredning01</identitet>
    <Lage>
      <planomrade>true</planomrade>
    </Lage>
    <Indelning>
      <tema>Planeringsunderlag</tema>
      <grupp>Utredningar</grupp>
      <undergrupp>Markmiljöutredning</undergrupp>
    </Indelning>
  </Omfattning>
  <Omfattning>
    <identitet>pu_bullerutredning01</identitet>
    <Lage>
      <planomrade>true</planomrade>
    </Lage>
    <Indelning>
      <tema>Planeringsunderlag</tema>
      <grupp>Utredningar</grupp>
      <undergrupp>Bullerutredning</undergrupp>
    </Indelning>
  </Omfattning>
  <Omfattning>
    <identitet>pu_förprojektering01</identitet>
    <Lage>
      <planomrade>true</planomrade>
    </Lage>
    <Indelning>
      <tema>Planeringsunderlag</tema>
      <grupp>Utredningar</grupp>
      <undergrupp>Förprojektering</undergrupp>
    </Indelning>
  </Omfattning>
  <Omfattning>
    <identitet>pu_riskutredning01</identitet>
    <Lage>
      <planomrade>true</planomrade>
    </Lage>
    <Indelning>
      <tema>Planeringsunderlag</tema>
      <grupp>Utredningar</grupp>
      <undergrupp>Riskutredning</undergrupp>
    </Indelning>
  </Omfattning>
  <Omfattning>
    <identitet>pu_trafikutredning01</identitet>
    <Lage>
      <planomrade>true</planomrade>
    </Lage>
    <Indelning>
      <tema>Planeringsunderlag</tema>
      <grupp>Utredningar</grupp>
      <undergrupp>Trafikutredning</undergrupp>
    </Indelning>
  </Omfattning>
  <Omfattning>
    <identitet>pu_barnkonsekvensanalys01</identitet>
    <Lage>
      <planomrade>true</planomrade>
    </Lage>
    <Indelning>
      <tema>Planeringsunderlag</tema>
      <grupp>Utredningar</grupp>
      <undergrupp>Barnkonsekvensanalys</undergrupp>
    </Indelning>
  </Omfattning>
  <Omfattning>
    <identitet>pu_kulturmiljöutredning01</identitet>
    <Lage>
      <planomrade>true</planomrade>
    </Lage>
    <Indelning>
      <tema>Planeringsunderlag</tema>
      <grupp>Utredningar</grupp>
      <undergrupp>Kulturmiljöutredning</undergrupp>
    </Indelning>
  </Omfattning>
  <Omfattning>
    <identitet>pu_regionala01</identitet>
    <Lage>
      <planomrade>true</planomrade>
    </Lage>
    <Indelning>
      <tema>Planeringsunderlag</tema>
      <grupp>Regionala</grupp>
    </Indelning>
  </Omfattning>
  <Omfattning>
    <identitet>pu_regionplan01</identitet>
    <Lage>
      <planomrade>true</planomrade>
    </Lage>
    <Indelning>
      <tema>Planeringsunderlag</tema>
      <grupp>Regionala</grupp>
      <undergrupp>Regionplan</undergrupp>
    </Indelning>
  </Omfattning>
  <Omfattning>
    <identitet>pu_annat01</identitet>
    <Lage>
      <lmg:Yta>
        <lmg:absolutLagesosakerhetPlan>0</lmg:absolutLagesosakerhetPlan>
        <lmg:absolutLagesosakerhetHojd>0</lmg:absolutLagesosakerhetHojd>
        <lmg:hojdsystem>RH 2000</lmg:hojdsystem>
        <gml:Polygon gml:id="ID_a20be9f3-fdaf-46e7-b4a9-42f49c61c2a1" srsName="EPSG:3008" srsDimension="2">
          <gml:exterior>
            <gml:LinearRing gml:id="ID_590acf60-1c2d-4ddb-bbaf-d182b62261e9">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Planeringsunderlag</tema>
      <grupp>Annat</grupp>
    </Indelning>
  </Omfattning>
  <Omfattning>
    <identitet>ko_fastigheterochrättigheter01</identitet>
    <Lage>
      <planomrade>true</planomrade>
    </Lage>
    <Indelning>
      <tema>Konsekvenser</tema>
      <grupp>Fastigheter och rättigheter</grupp>
    </Indelning>
  </Omfattning>
  <Omfattning>
    <identitet>ko_natur01</identitet>
    <Lage>
      <planomrade>true</planomrade>
    </Lage>
    <Indelning>
      <tema>Konsekvenser</tema>
      <grupp>Natur</grupp>
    </Indelning>
  </Omfattning>
  <Omfattning>
    <identitet>ko_grönområde01</identitet>
    <Lage>
      <planomrade>true</planomrade>
    </Lage>
    <Indelning>
      <tema>Konsekvenser</tema>
      <grupp>Natur</grupp>
      <undergrupp>Grönområde</undergrupp>
    </Indelning>
  </Omfattning>
  <Omfattning>
    <identitet>ko_landskapsbild01</identitet>
    <Lage>
      <planomrade>true</planomrade>
    </Lage>
    <Indelning>
      <tema>Konsekvenser</tema>
      <grupp>Natur</grupp>
      <undergrupp>Landskapsbild</undergrupp>
    </Indelning>
  </Omfattning>
  <Omfattning>
    <identitet>ko_naturreservat01</identitet>
    <Lage>
      <planomrade>true</planomrade>
    </Lage>
    <Indelning>
      <tema>Konsekvenser</tema>
      <grupp>Natur</grupp>
      <undergrupp>Naturreservat</undergrupp>
    </Indelning>
  </Omfattning>
  <Omfattning>
    <identitet>ko_miljö01</identitet>
    <Lage>
      <lmg:Yta>
        <lmg:absolutLagesosakerhetPlan>0</lmg:absolutLagesosakerhetPlan>
        <lmg:absolutLagesosakerhetHojd>0</lmg:absolutLagesosakerhetHojd>
        <lmg:hojdsystem>RH 2000</lmg:hojdsystem>
        <gml:Polygon gml:id="ID_ae6951ee-43a5-4ce4-bcf6-78f45223120e" srsName="EPSG:3008" srsDimension="2">
          <gml:exterior>
            <gml:LinearRing gml:id="ID_0a90ca53-6416-4bf8-8b79-b1d6c740ac89">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Konsekvenser</tema>
      <grupp>Miljö</grupp>
    </Indelning>
  </Omfattning>
  <Omfattning>
    <identitet>ko_miljökonsekvensbeskrivning01</identitet>
    <Lage>
      <planomrade>true</planomrade>
    </Lage>
    <Indelning>
      <tema>Konsekvenser</tema>
      <grupp>Miljö</grupp>
      <undergrupp>Miljökonsekvens-beskrivning</undergrupp>
    </Indelning>
  </Omfattning>
  <Omfattning>
    <identitet>ko_miljöbedömning01</identitet>
    <Lage>
      <planomrade>true</planomrade>
    </Lage>
    <Indelning>
      <tema>Konsekvenser</tema>
      <grupp>Miljö</grupp>
      <undergrupp>Miljöbedömning</undergrupp>
    </Indelning>
  </Omfattning>
  <Omfattning>
    <identitet>ko_ställningstagande4kap33b_pbl01</identitet>
    <Lage>
      <planomrade>true</planomrade>
    </Lage>
    <Indelning>
      <tema>Konsekvenser</tema>
      <grupp>Miljö</grupp>
      <undergrupp>Ställningstagande 4 kap. 33 b § plan- och bygglagen (2010:900)</undergrupp>
    </Indelning>
  </Omfattning>
  <Omfattning>
    <identitet>ko_strandskydd01</identitet>
    <Lage>
      <planomrade>true</planomrade>
    </Lage>
    <Indelning>
      <tema>Konsekvenser</tema>
      <grupp>Miljö</grupp>
      <undergrupp>Strandskydd</undergrupp>
    </Indelning>
  </Omfattning>
  <Omfattning>
    <identitet>ko_dagvatten01</identitet>
    <Lage>
      <lmg:Yta>
        <lmg:absolutLagesosakerhetPlan>0</lmg:absolutLagesosakerhetPlan>
        <lmg:absolutLagesosakerhetHojd>0</lmg:absolutLagesosakerhetHojd>
        <lmg:hojdsystem>RH 2000</lmg:hojdsystem>
        <gml:Polygon gml:id="ID_45f23b18-ff30-479c-85f1-69aae5339791" srsName="EPSG:3008" srsDimension="2">
          <gml:exterior>
            <gml:LinearRing gml:id="ID_4cbd760f-e3ec-4a99-aa1b-bcfa2a1a9a6c">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Konsekvenser</tema>
      <grupp>Miljö</grupp>
      <undergrupp>Dagvatten</undergrupp>
    </Indelning>
  </Omfattning>
  <Omfattning>
    <identitet>pf_riksintressen01</identitet>
    <Lage>
      <planomrade>true</planomrade>
    </Lage>
    <Indelning>
      <tema>Planeringsförutsättningar</tema>
      <grupp>Riksintressen</grupp>
    </Indelning>
  </Omfattning>
  <Omfattning>
    <identitet>pf_rennäring01</identitet>
    <Lage>
      <planomrade>true</planomrade>
    </Lage>
    <Indelning>
      <tema>Planeringsförutsättningar</tema>
      <grupp>Riksintressen</grupp>
      <undergrupp>Rennäring</undergrupp>
    </Indelning>
  </Omfattning>
  <Omfattning>
    <identitet>pf_yrkesfiske01</identitet>
    <Lage>
      <planomrade>true</planomrade>
    </Lage>
    <Indelning>
      <tema>Planeringsförutsättningar</tema>
      <grupp>Riksintressen</grupp>
      <undergrupp>Yrkesfiske</undergrupp>
    </Indelning>
  </Omfattning>
  <Omfattning>
    <identitet>pf_naturvård01</identitet>
    <Lage>
      <planomrade>true</planomrade>
    </Lage>
    <Indelning>
      <tema>Planeringsförutsättningar</tema>
      <grupp>Riksintressen</grupp>
      <undergrupp>Naturvård</undergrupp>
    </Indelning>
  </Omfattning>
  <Omfattning>
    <identitet>pf_friluftsliv01</identitet>
    <Lage>
      <lmg:Yta>
        <lmg:absolutLagesosakerhetPlan>0</lmg:absolutLagesosakerhetPlan>
        <lmg:absolutLagesosakerhetHojd>0</lmg:absolutLagesosakerhetHojd>
        <lmg:hojdsystem>RH 2000</lmg:hojdsystem>
        <gml:Polygon gml:id="ID_7616d4f6-78e4-4b47-8671-7ea73267e8fe" srsName="EPSG:3008" srsDimension="2">
          <gml:exterior>
            <gml:LinearRing gml:id="ID_123ea1c2-5eda-47c8-b0b6-61a4f6fac2be">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Planeringsförutsättningar</tema>
      <grupp>Riksintressen</grupp>
      <undergrupp>Friluftsliv</undergrupp>
    </Indelning>
  </Omfattning>
  <Omfattning>
    <identitet>pf_kulturmiljövård01</identitet>
    <Lage>
      <planomrade>true</planomrade>
    </Lage>
    <Indelning>
      <tema>Planeringsförutsättningar</tema>
      <grupp>Riksintressen</grupp>
      <undergrupp>Kulturmiljövård</undergrupp>
    </Indelning>
  </Omfattning>
  <Omfattning>
    <identitet>pf_fyndigheteravämnenochmaterial01</identitet>
    <Lage>
      <planomrade>true</planomrade>
    </Lage>
    <Indelning>
      <tema>Planeringsförutsättningar</tema>
      <grupp>Riksintressen</grupp>
      <undergrupp>Fyndigheter av ämnen och material</undergrupp>
    </Indelning>
  </Omfattning>
  <Omfattning>
    <identitet>pf_industriellproduktion01</identitet>
    <Lage>
      <planomrade>true</planomrade>
    </Lage>
    <Indelning>
      <tema>Planeringsförutsättningar</tema>
      <grupp>Riksintressen</grupp>
      <undergrupp>Industriell produktion</undergrupp>
    </Indelning>
  </Omfattning>
  <Omfattning>
    <identitet>pf_energiproduktionochenergidistributi01</identitet>
    <Lage>
      <planomrade>true</planomrade>
    </Lage>
    <Indelning>
      <tema>Planeringsförutsättningar</tema>
      <grupp>Riksintressen</grupp>
      <undergrupp>Energiproduktion och energidistribution</undergrupp>
    </Indelning>
  </Omfattning>
  <Omfattning>
    <identitet>pf_slutförvaringavkärnbränsleochkärnav01</identitet>
    <Lage>
      <planomrade>true</planomrade>
    </Lage>
    <Indelning>
      <tema>Planeringsförutsättningar</tema>
      <grupp>Riksintressen</grupp>
      <undergrupp>Slutförvaring av kärnbränsle och kärnavfall</undergrupp>
    </Indelning>
  </Omfattning>
  <Omfattning>
    <identitet>pf_elektroniskkommunikation01</identitet>
    <Lage>
      <planomrade>true</planomrade>
    </Lage>
    <Indelning>
      <tema>Planeringsförutsättningar</tema>
      <grupp>Riksintressen</grupp>
      <undergrupp>Elektronisk kommunikation</undergrupp>
    </Indelning>
  </Omfattning>
  <Omfattning>
    <identitet>pf_trafikkommunikation01</identitet>
    <Lage>
      <lmg:Yta>
        <lmg:absolutLagesosakerhetPlan>0</lmg:absolutLagesosakerhetPlan>
        <lmg:absolutLagesosakerhetHojd>0</lmg:absolutLagesosakerhetHojd>
        <lmg:hojdsystem>RH 2000</lmg:hojdsystem>
        <gml:Polygon gml:id="ID_58db3ff1-2fb6-448f-823a-dafbb82f139f" srsName="EPSG:3008" srsDimension="2">
          <gml:exterior>
            <gml:LinearRing gml:id="ID_123ea1c2-5eda-47c8-b0b6-61a4f6fac2be">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Planeringsförutsättningar</tema>
      <grupp>Riksintressen</grupp>
      <undergrupp>Trafikkommunikation</undergrupp>
    </Indelning>
  </Omfattning>
  <Omfattning>
    <identitet>pf_avfallshantering01</identitet>
    <Lage>
      <planomrade>true</planomrade>
    </Lage>
    <Indelning>
      <tema>Planeringsförutsättningar</tema>
      <grupp>Riksintressen</grupp>
      <undergrupp>Avfallshantering</undergrupp>
    </Indelning>
  </Omfattning>
  <Omfattning>
    <identitet>pf_vattenförsörjning01</identitet>
    <Lage>
      <planomrade>true</planomrade>
    </Lage>
    <Indelning>
      <tema>Planeringsförutsättningar</tema>
      <grupp>Riksintressen</grupp>
      <undergrupp>Vattenförsörjning</undergrupp>
    </Indelning>
  </Omfattning>
  <Omfattning>
    <identitet>pf_rörligtfriluftsliv01</identitet>
    <Lage>
      <planomrade>true</planomrade>
    </Lage>
    <Indelning>
      <tema>Planeringsförutsättningar</tema>
      <grupp>Riksintressen</grupp>
      <undergrupp>Rörligt friluftsliv</undergrupp>
    </Indelning>
  </Omfattning>
  <Omfattning>
    <identitet>pf_obrutenkust01</identitet>
    <Lage>
      <planomrade>true</planomrade>
    </Lage>
    <Indelning>
      <tema>Planeringsförutsättningar</tema>
      <grupp>Riksintressen</grupp>
      <undergrupp>Obruten kust</undergrupp>
    </Indelning>
  </Omfattning>
  <Omfattning>
    <identitet>pf_högexploateradkust01</identitet>
    <Lage>
      <planomrade>true</planomrade>
    </Lage>
    <Indelning>
      <tema>Planeringsförutsättningar</tema>
      <grupp>Riksintressen</grupp>
      <undergrupp>Högexploaterad kust</undergrupp>
    </Indelning>
  </Omfattning>
  <Omfattning>
    <identitet>pf_obrutetfjäll01</identitet>
    <Lage>
      <planomrade>true</planomrade>
    </Lage>
    <Indelning>
      <tema>Planeringsförutsättningar</tema>
      <grupp>Riksintressen</grupp>
      <undergrupp>Obrutet fjäll</undergrupp>
    </Indelning>
  </Omfattning>
  <Omfattning>
    <identitet>pf_skyddadevattendrag01</identitet>
    <Lage>
      <planomrade>true</planomrade>
    </Lage>
    <Indelning>
      <tema>Planeringsförutsättningar</tema>
      <grupp>Riksintressen</grupp>
      <undergrupp>Skyddade vattendrag</undergrupp>
    </Indelning>
  </Omfattning>
  <Omfattning>
    <identitet>pf_nationalstadspark01</identitet>
    <Lage>
      <planomrade>true</planomrade>
    </Lage>
    <Indelning>
      <tema>Planeringsförutsättningar</tema>
      <grupp>Riksintressen</grupp>
      <undergrupp>Nationalstadspark</undergrupp>
    </Indelning>
  </Omfattning>
  <Omfattning>
    <identitet>pf_områdenförgeologisklagringavkoldiox01</identitet>
    <Lage>
      <planomrade>true</planomrade>
    </Lage>
    <Indelning>
      <tema>Planeringsförutsättningar</tema>
      <grupp>Riksintressen</grupp>
      <undergrupp>Områden för geologisk lagring av koldioxid</undergrupp>
    </Indelning>
  </Omfattning>
  <Omfattning>
    <identitet>ko_miljökvalitetsnormer01</identitet>
    <Lage>
      <lmg:Yta>
        <lmg:absolutLagesosakerhetPlan>0</lmg:absolutLagesosakerhetPlan>
        <lmg:absolutLagesosakerhetHojd>0</lmg:absolutLagesosakerhetHojd>
        <lmg:hojdsystem>RH 2000</lmg:hojdsystem>
        <gml:Polygon gml:id="ID_fccb3ace-1940-497f-ab41-6b03a545af8a" srsName="EPSG:3008" srsDimension="2">
          <gml:exterior>
            <gml:LinearRing gml:id="ID_a81170ff-061d-4ce9-938a-f51bd07ac0d5">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Konsekvenser</tema>
      <grupp>Miljökvalitetsnormer</grupp>
    </Indelning>
  </Omfattning>
  <Omfattning>
    <identitet>ko_luft01</identitet>
    <Lage>
      <planomrade>true</planomrade>
    </Lage>
    <Indelning>
      <tema>Konsekvenser</tema>
      <grupp>Miljökvalitetsnormer</grupp>
      <undergrupp>Luft</undergrupp>
    </Indelning>
  </Omfattning>
  <Omfattning>
    <identitet>ko_vatten01</identitet>
    <Lage>
      <planomrade>true</planomrade>
    </Lage>
    <Indelning>
      <tema>Konsekvenser</tema>
      <grupp>Miljökvalitetsnormer</grupp>
      <undergrupp>Vatten</undergrupp>
    </Indelning>
  </Omfattning>
  <Omfattning>
    <identitet>ko_buller01</identitet>
    <Lage>
      <planomrade>true</planomrade>
    </Lage>
    <Indelning>
      <tema>Konsekvenser</tema>
      <grupp>Miljökvalitetsnormer</grupp>
      <undergrupp>Buller</undergrupp>
    </Indelning>
  </Omfattning>
  <Omfattning>
    <identitet>ko_hälsaochsäkerhet01</identitet>
    <Lage>
      <planomrade>true</planomrade>
    </Lage>
    <Indelning>
      <tema>Konsekvenser</tema>
      <grupp>Hälsa och säkerhet</grupp>
    </Indelning>
  </Omfattning>
  <Omfattning>
    <identitet>ko_beräkningavomgivningsbuller01</identitet>
    <Lage>
      <lmg:Yta>
        <lmg:absolutLagesosakerhetPlan>0</lmg:absolutLagesosakerhetPlan>
        <lmg:absolutLagesosakerhetHojd>0</lmg:absolutLagesosakerhetHojd>
        <lmg:hojdsystem>RH 2000</lmg:hojdsystem>
        <gml:Polygon gml:id="ID_b33db34b-83b8-4c71-96db-c86c1cc0d7f3" srsName="EPSG:3008" srsDimension="2">
          <gml:exterior>
            <gml:LinearRing gml:id="ID_e507d026-1c1a-4166-8140-c37b7c877b0e">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Konsekvenser</tema>
      <grupp>Hälsa och säkerhet</grupp>
      <undergrupp>Beräkning av omgivningsbuller</undergrupp>
    </Indelning>
  </Omfattning>
  <Omfattning>
    <identitet>ko_översvämning01</identitet>
    <Lage>
      <lmg:Yta>
        <lmg:absolutLagesosakerhetPlan>0</lmg:absolutLagesosakerhetPlan>
        <lmg:absolutLagesosakerhetHojd>0</lmg:absolutLagesosakerhetHojd>
        <lmg:hojdsystem>RH 2000</lmg:hojdsystem>
        <gml:Polygon gml:id="ID_175e8ab1-75c7-4d6f-b447-7325e0940ea2" srsName="EPSG:3008" srsDimension="2">
          <gml:exterior>
            <gml:LinearRing gml:id="ID_10719638-59ec-4304-9867-6da96510504c">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Konsekvenser</tema>
      <grupp>Hälsa och säkerhet</grupp>
      <undergrupp>Översvämning</undergrupp>
    </Indelning>
  </Omfattning>
  <Omfattning>
    <identitet>ko_olyckor01</identitet>
    <Lage>
      <planomrade>true</planomrade>
    </Lage>
    <Indelning>
      <tema>Konsekvenser</tema>
      <grupp>Hälsa och säkerhet</grupp>
      <undergrupp>Olyckor</undergrupp>
    </Indelning>
  </Omfattning>
  <Omfattning>
    <identitet>ko_erosion01</identitet>
    <Lage>
      <planomrade>true</planomrade>
    </Lage>
    <Indelning>
      <tema>Konsekvenser</tema>
      <grupp>Hälsa och säkerhet</grupp>
      <undergrupp>Erosion</undergrupp>
    </Indelning>
  </Omfattning>
  <Omfattning>
    <identitet>ko_skred01</identitet>
    <Lage>
      <planomrade>true</planomrade>
    </Lage>
    <Indelning>
      <tema>Konsekvenser</tema>
      <grupp>Hälsa och säkerhet</grupp>
      <undergrupp>Skred</undergrupp>
    </Indelning>
  </Omfattning>
  <Omfattning>
    <identitet>ko_ras01</identitet>
    <Lage>
      <planomrade>true</planomrade>
    </Lage>
    <Indelning>
      <tema>Konsekvenser</tema>
      <grupp>Hälsa och säkerhet</grupp>
      <undergrupp>Ras</undergrupp>
    </Indelning>
  </Omfattning>
  <Omfattning>
    <identitet>ko_sociala01</identitet>
    <Lage>
      <planomrade>true</planomrade>
    </Lage>
    <Indelning>
      <tema>Konsekvenser</tema>
      <grupp>Sociala</grupp>
    </Indelning>
  </Omfattning>
  <Omfattning>
    <identitet>ko_barn01</identitet>
    <Lage>
      <planomrade>true</planomrade>
    </Lage>
    <Indelning>
      <tema>Konsekvenser</tema>
      <grupp>Sociala</grupp>
      <undergrupp>Barn</undergrupp>
    </Indelning>
  </Omfattning>
  <Omfattning>
    <identitet>ko_jämlikhet01</identitet>
    <Lage>
      <planomrade>true</planomrade>
    </Lage>
    <Indelning>
      <tema>Konsekvenser</tema>
      <grupp>Sociala</grupp>
      <undergrupp>Jämlikhet</undergrupp>
    </Indelning>
  </Omfattning>
  <Omfattning>
    <identitet>ko_riksintresse01</identitet>
    <Lage>
      <planomrade>true</planomrade>
    </Lage>
    <Indelning>
      <tema>Konsekvenser</tema>
      <grupp>Riksintresse</grupp>
    </Indelning>
  </Omfattning>
  <Omfattning>
    <identitet>ko_rennäring01</identitet>
    <Lage>
      <planomrade>true</planomrade>
    </Lage>
    <Indelning>
      <tema>Konsekvenser</tema>
      <grupp>Riksintresse</grupp>
      <undergrupp>Rennäring</undergrupp>
    </Indelning>
  </Omfattning>
  <Omfattning>
    <identitet>ko_yrkesfiske01</identitet>
    <Lage>
      <planomrade>true</planomrade>
    </Lage>
    <Indelning>
      <tema>Konsekvenser</tema>
      <grupp>Riksintresse</grupp>
      <undergrupp>Yrkesfiske</undergrupp>
    </Indelning>
  </Omfattning>
  <Omfattning>
    <identitet>ko_naturvård01</identitet>
    <Lage>
      <planomrade>true</planomrade>
    </Lage>
    <Indelning>
      <tema>Konsekvenser</tema>
      <grupp>Riksintresse</grupp>
      <undergrupp>Naturvård</undergrupp>
    </Indelning>
  </Omfattning>
  <Omfattning>
    <identitet>ko_friluftsliv01</identitet>
    <Lage>
      <planomrade>true</planomrade>
    </Lage>
    <Indelning>
      <tema>Konsekvenser</tema>
      <grupp>Riksintresse</grupp>
      <undergrupp>Friluftsliv</undergrupp>
    </Indelning>
  </Omfattning>
  <Omfattning>
    <identitet>ko_kulturmiljövård01</identitet>
    <Lage>
      <planomrade>true</planomrade>
    </Lage>
    <Indelning>
      <tema>Konsekvenser</tema>
      <grupp>Riksintresse</grupp>
      <undergrupp>Kulturmiljövård</undergrupp>
    </Indelning>
  </Omfattning>
  <Omfattning>
    <identitet>ko_fyndigheteravämnenochmaterial01</identitet>
    <Lage>
      <planomrade>true</planomrade>
    </Lage>
    <Indelning>
      <tema>Konsekvenser</tema>
      <grupp>Riksintresse</grupp>
      <undergrupp>Fyndigheter av ämnen och material</undergrupp>
    </Indelning>
  </Omfattning>
  <Omfattning>
    <identitet>ko_industriellproduktion01</identitet>
    <Lage>
      <planomrade>true</planomrade>
    </Lage>
    <Indelning>
      <tema>Konsekvenser</tema>
      <grupp>Riksintresse</grupp>
      <undergrupp>Industriell produktion</undergrupp>
    </Indelning>
  </Omfattning>
  <Omfattning>
    <identitet>ko_energiproduktionochenergidistributi01</identitet>
    <Lage>
      <planomrade>true</planomrade>
    </Lage>
    <Indelning>
      <tema>Konsekvenser</tema>
      <grupp>Riksintresse</grupp>
      <undergrupp>Energiproduktion och energidistribution</undergrupp>
    </Indelning>
  </Omfattning>
  <Omfattning>
    <identitet>ko_slutförvaringavkärnbränsleochkärnav01</identitet>
    <Lage>
      <planomrade>true</planomrade>
    </Lage>
    <Indelning>
      <tema>Konsekvenser</tema>
      <grupp>Riksintresse</grupp>
      <undergrupp>Slutförvaring av kärnbränsle och kärnavfall</undergrupp>
    </Indelning>
  </Omfattning>
  <Omfattning>
    <identitet>ko_elektroniskkommunikation01</identitet>
    <Lage>
      <planomrade>true</planomrade>
    </Lage>
    <Indelning>
      <tema>Konsekvenser</tema>
      <grupp>Riksintresse</grupp>
      <undergrupp>Elektronisk kommunikation</undergrupp>
    </Indelning>
  </Omfattning>
  <Omfattning>
    <identitet>ko_trafikkommunikation01</identitet>
    <Lage>
      <lmg:Yta>
        <lmg:absolutLagesosakerhetPlan>0</lmg:absolutLagesosakerhetPlan>
        <lmg:absolutLagesosakerhetHojd>0</lmg:absolutLagesosakerhetHojd>
        <lmg:hojdsystem>RH 2000</lmg:hojdsystem>
        <gml:Polygon gml:id="ID_b623b6e3-b7d2-41d1-a347-4a7309d85fa9" srsName="EPSG:3008" srsDimension="2">
          <gml:exterior>
            <gml:LinearRing gml:id="ID_0adfccee-198c-48fb-9327-ad9067de3644">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Konsekvenser</tema>
      <grupp>Riksintresse</grupp>
      <undergrupp>Trafikkommunikation</undergrupp>
    </Indelning>
  </Omfattning>
  <Omfattning>
    <identitet>ko_avfallshantering01</identitet>
    <Lage>
      <planomrade>true</planomrade>
    </Lage>
    <Indelning>
      <tema>Konsekvenser</tema>
      <grupp>Riksintresse</grupp>
      <undergrupp>Avfallshantering</undergrupp>
    </Indelning>
  </Omfattning>
  <Omfattning>
    <identitet>ko_vattenförsörjning01</identitet>
    <Lage>
      <planomrade>true</planomrade>
    </Lage>
    <Indelning>
      <tema>Konsekvenser</tema>
      <grupp>Riksintresse</grupp>
      <undergrupp>Vattenförsörjning</undergrupp>
    </Indelning>
  </Omfattning>
  <Omfattning>
    <identitet>ko_totalförsvar01</identitet>
    <Lage>
      <lmg:Yta>
        <lmg:absolutLagesosakerhetPlan>0</lmg:absolutLagesosakerhetPlan>
        <lmg:absolutLagesosakerhetHojd>0</lmg:absolutLagesosakerhetHojd>
        <lmg:hojdsystem>RH 2000</lmg:hojdsystem>
        <gml:Polygon gml:id="ID_11f9cb97-076a-434b-b14c-e874658b0f3a" srsName="EPSG:3008" srsDimension="2">
          <gml:exterior>
            <gml:LinearRing gml:id="ID_1ad84700-527d-4050-a5a2-e5074daa5ce7">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Konsekvenser</tema>
      <grupp>Riksintresse</grupp>
      <undergrupp>Totalförsvar</undergrupp>
    </Indelning>
  </Omfattning>
  <Omfattning>
    <identitet>ko_rörligtfriluftsliv01</identitet>
    <Lage>
      <planomrade>true</planomrade>
    </Lage>
    <Indelning>
      <tema>Konsekvenser</tema>
      <grupp>Riksintresse</grupp>
      <undergrupp>Rörligt friluftsliv</undergrupp>
    </Indelning>
  </Omfattning>
  <Omfattning>
    <identitet>ko_obrutenkust01</identitet>
    <Lage>
      <planomrade>true</planomrade>
    </Lage>
    <Indelning>
      <tema>Konsekvenser</tema>
      <grupp>Riksintresse</grupp>
      <undergrupp>Obruten kust</undergrupp>
    </Indelning>
  </Omfattning>
  <Omfattning>
    <identitet>ko_högexploateradkust01</identitet>
    <Lage>
      <planomrade>true</planomrade>
    </Lage>
    <Indelning>
      <tema>Konsekvenser</tema>
      <grupp>Riksintresse</grupp>
      <undergrupp>Högexploaterad kust</undergrupp>
    </Indelning>
  </Omfattning>
  <Omfattning>
    <identitet>ko_obrutetfjäll01</identitet>
    <Lage>
      <planomrade>true</planomrade>
    </Lage>
    <Indelning>
      <tema>Konsekvenser</tema>
      <grupp>Riksintresse</grupp>
      <undergrupp>Obrutet fjäll</undergrupp>
    </Indelning>
  </Omfattning>
  <Omfattning>
    <identitet>ko_skyddadevattendrag01</identitet>
    <Lage>
      <planomrade>true</planomrade>
    </Lage>
    <Indelning>
      <tema>Konsekvenser</tema>
      <grupp>Riksintresse</grupp>
      <undergrupp>Skyddade vattendrag</undergrupp>
    </Indelning>
  </Omfattning>
  <Omfattning>
    <identitet>ko_nationalstadspark01</identitet>
    <Lage>
      <planomrade>true</planomrade>
    </Lage>
    <Indelning>
      <tema>Konsekvenser</tema>
      <grupp>Riksintresse</grupp>
      <undergrupp>Nationalstadspark</undergrupp>
    </Indelning>
  </Omfattning>
  <Omfattning>
    <identitet>ko_natura200001</identitet>
    <Lage>
      <planomrade>true</planomrade>
    </Lage>
    <Indelning>
      <tema>Konsekvenser</tema>
      <grupp>Riksintresse</grupp>
      <undergrupp>Natura 2000</undergrupp>
    </Indelning>
  </Omfattning>
  <Omfattning>
    <identitet>ko_områdenförgeologisklagringavkoldiox01</identitet>
    <Lage>
      <planomrade>true</planomrade>
    </Lage>
    <Indelning>
      <tema>Konsekvenser</tema>
      <grupp>Riksintresse</grupp>
      <undergrupp>Områden för geologisk lagring av koldioxid</undergrupp>
    </Indelning>
  </Omfattning>
  <Omfattning>
    <identitet>ko_hushållningsbestämmelserenl3kap_mb01</identitet>
    <Lage>
      <lmg:Yta>
        <lmg:absolutLagesosakerhetPlan>0</lmg:absolutLagesosakerhetPlan>
        <lmg:absolutLagesosakerhetHojd>0</lmg:absolutLagesosakerhetHojd>
        <lmg:hojdsystem>RH 2000</lmg:hojdsystem>
        <gml:Polygon gml:id="ID_a3c031e8-7928-4533-af63-38a8bd562b8c" srsName="EPSG:3008" srsDimension="2">
          <gml:exterior>
            <gml:LinearRing gml:id="ID_f64ad465-812c-4f6a-8ebb-4cef74491cce">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Konsekvenser</tema>
      <grupp>Hushållningsbestämmelser enligt 3 kap. miljöbalken</grupp>
    </Indelning>
  </Omfattning>
  <Omfattning>
    <identitet>ko_jordbruksmark01</identitet>
    <Lage>
      <planomrade>true</planomrade>
    </Lage>
    <Indelning>
      <tema>Konsekvenser</tema>
      <grupp>Hushållningsbestämmelser enligt 3 kap. miljöbalken</grupp>
      <undergrupp>Jordbruksmark</undergrupp>
    </Indelning>
  </Omfattning>
  <Omfattning>
    <identitet>ko_skogsbruk01</identitet>
    <Lage>
      <planomrade>true</planomrade>
    </Lage>
    <Indelning>
      <tema>Konsekvenser</tema>
      <grupp>Hushållningsbestämmelser enligt 3 kap. miljöbalken</grupp>
      <undergrupp>Skogsbruk</undergrupp>
    </Indelning>
  </Omfattning>
  <Omfattning>
    <identitet>ko_oexploateradeområden01</identitet>
    <Lage>
      <planomrade>true</planomrade>
    </Lage>
    <Indelning>
      <tema>Konsekvenser</tema>
      <grupp>Hushållningsbestämmelser enligt 3 kap. miljöbalken</grupp>
      <undergrupp>Oexploaterade områden</undergrupp>
    </Indelning>
  </Omfattning>
  <Omfattning>
    <identitet>ko_ekologisktsärskiltkänsligaområden01</identitet>
    <Lage>
      <planomrade>true</planomrade>
    </Lage>
    <Indelning>
      <tema>Konsekvenser</tema>
      <grupp>Hushållningsbestämmelser enligt 3 kap. miljöbalken</grupp>
      <undergrupp>Ekologiskt särskilt känsliga områden</undergrupp>
    </Indelning>
  </Omfattning>
  <Omfattning>
    <identitet>ko_trafik01</identitet>
    <Lage>
      <lmg:Yta>
        <lmg:absolutLagesosakerhetPlan>0</lmg:absolutLagesosakerhetPlan>
        <lmg:absolutLagesosakerhetHojd>0</lmg:absolutLagesosakerhetHojd>
        <lmg:hojdsystem>RH 2000</lmg:hojdsystem>
        <gml:Polygon gml:id="ID_37edf643-b38b-4a1b-9246-8383ef9fe4b0" srsName="EPSG:3008" srsDimension="2">
          <gml:exterior>
            <gml:LinearRing gml:id="ID_65b45c2f-aafd-4153-a95d-0dac041a2a06">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Konsekvenser</tema>
      <grupp>Trafik</grupp>
    </Indelning>
  </Omfattning>
  <Omfattning>
    <identitet>ko_motortrafik01</identitet>
    <Lage>
      <planomrade>true</planomrade>
    </Lage>
    <Indelning>
      <tema>Konsekvenser</tema>
      <grupp>Trafik</grupp>
      <undergrupp>Motortrafik</undergrupp>
    </Indelning>
  </Omfattning>
  <Omfattning>
    <identitet>ko_gångochcykeltrafik01</identitet>
    <Lage>
      <lmg:Yta>
        <lmg:absolutLagesosakerhetPlan>0</lmg:absolutLagesosakerhetPlan>
        <lmg:absolutLagesosakerhetHojd>0</lmg:absolutLagesosakerhetHojd>
        <lmg:hojdsystem>RH 2000</lmg:hojdsystem>
        <gml:Polygon gml:id="ID_888e3bc4-3a2e-4ddc-b7f9-b15660462348" srsName="EPSG:3008" srsDimension="2">
          <gml:exterior>
            <gml:LinearRing gml:id="ID_414813dc-24a9-459a-b976-c73ff0821b3a">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Konsekvenser</tema>
      <grupp>Trafik</grupp>
      <undergrupp>Gång- och cykeltrafik</undergrupp>
    </Indelning>
  </Omfattning>
  <Omfattning>
    <identitet>ko_mellankommunalafrågor01</identitet>
    <Lage>
      <planomrade>true</planomrade>
    </Lage>
    <Indelning>
      <tema>Konsekvenser</tema>
      <grupp>Mellankommunala frågor</grupp>
    </Indelning>
  </Omfattning>
  <Omfattning>
    <identitet>ko_annat01</identitet>
    <Lage>
      <lmg:Yta>
        <lmg:absolutLagesosakerhetPlan>0</lmg:absolutLagesosakerhetPlan>
        <lmg:absolutLagesosakerhetHojd>0</lmg:absolutLagesosakerhetHojd>
        <lmg:hojdsystem>RH 2000</lmg:hojdsystem>
        <gml:Polygon gml:id="ID_45503dce-7e56-4b83-bbea-1c839111d6d8" srsName="EPSG:3008" srsDimension="2">
          <gml:exterior>
            <gml:LinearRing gml:id="ID_3f6faef3-22d0-41ef-9baf-64dbf077cebe">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Konsekvenser</tema>
      <grupp>Annat</grupp>
    </Indelning>
  </Omfattning>
  <Omfattning>
    <identitet>gf_markochutrymmesförvärv01</identitet>
    <Lage>
      <planomrade>true</planomrade>
    </Lage>
    <Indelning>
      <tema>Genomförandefrågor</tema>
      <grupp>Mark- och utrymmesförvärv</grupp>
    </Indelning>
  </Omfattning>
  <Omfattning>
    <identitet>gf_skyldighetinlösenhuvudman01</identitet>
    <Lage>
      <planomrade>true</planomrade>
    </Lage>
    <Indelning>
      <tema>Genomförandefrågor</tema>
      <grupp>Mark- och utrymmesförvärv</grupp>
      <undergrupp>Skyldighet inlösen, huvudman</undergrupp>
    </Indelning>
  </Omfattning>
  <Omfattning>
    <identitet>gf_skyldighetinlösenstat01</identitet>
    <Lage>
      <planomrade>true</planomrade>
    </Lage>
    <Indelning>
      <tema>Genomförandefrågor</tema>
      <grupp>Mark- och utrymmesförvärv</grupp>
      <undergrupp>Skyldighet inlösen, stat</undergrupp>
    </Indelning>
  </Omfattning>
  <Omfattning>
    <identitet>gf_rätttillinlösenhuvudman01</identitet>
    <Lage>
      <planomrade>true</planomrade>
    </Lage>
    <Indelning>
      <tema>Genomförandefrågor</tema>
      <grupp>Mark- och utrymmesförvärv</grupp>
      <undergrupp>Rätt till inlösen, huvudman</undergrupp>
    </Indelning>
  </Omfattning>
  <Omfattning>
    <identitet>gf_rätttillinlösenavrättighetkommun01</identitet>
    <Lage>
      <planomrade>true</planomrade>
    </Lage>
    <Indelning>
      <tema>Genomförandefrågor</tema>
      <grupp>Mark- och utrymmesförvärv</grupp>
      <undergrupp>Rätt till inlösen av rättighet, kommun</undergrupp>
    </Indelning>
  </Omfattning>
  <Omfattning>
    <identitet>gf_fastighetsrättsligafrågor01</identitet>
    <Lage>
      <planomrade>true</planomrade>
    </Lage>
    <Indelning>
      <tema>Genomförandefrågor</tema>
      <grupp>Fastighetsrättsliga frågor</grupp>
    </Indelning>
  </Omfattning>
  <Omfattning>
    <identitet>gf_fastighetsindelningsbestämmelser01</identitet>
    <Lage>
      <planomrade>true</planomrade>
    </Lage>
    <Indelning>
      <tema>Genomförandefrågor</tema>
      <grupp>Fastighetsrättsliga frågor</grupp>
      <undergrupp>Fastighetsindelnings-bestämmelser</undergrupp>
    </Indelning>
  </Omfattning>
  <Omfattning>
    <identitet>gf_förändradfastighetsindelning01</identitet>
    <Lage>
      <planomrade>true</planomrade>
    </Lage>
    <Indelning>
      <tema>Genomförandefrågor</tema>
      <grupp>Fastighetsrättsliga frågor</grupp>
      <undergrupp>Förändrad fastighetsindelning</undergrupp>
    </Indelning>
  </Omfattning>
  <Omfattning>
    <identitet>gf_rättigheter01</identitet>
    <Lage>
      <planomrade>true</planomrade>
    </Lage>
    <Indelning>
      <tema>Genomförandefrågor</tema>
      <grupp>Fastighetsrättsliga frågor</grupp>
      <undergrupp>Rättigheter</undergrupp>
    </Indelning>
  </Omfattning>
  <Omfattning>
    <identitet>gf_tekniskafrågor01</identitet>
    <Lage>
      <planomrade>true</planomrade>
    </Lage>
    <Indelning>
      <tema>Genomförandefrågor</tema>
      <grupp>Tekniska frågor</grupp>
    </Indelning>
  </Omfattning>
  <Omfattning>
    <identitet>gf_tekniskaåtgärder01</identitet>
    <Lage>
      <planomrade>true</planomrade>
    </Lage>
    <Indelning>
      <tema>Genomförandefrågor</tema>
      <grupp>Tekniska frågor</grupp>
      <undergrupp>Tekniska åtgärder</undergrupp>
    </Indelning>
  </Omfattning>
  <Omfattning>
    <identitet>gf_utbyggnadallmänplats01</identitet>
    <Lage>
      <planomrade>true</planomrade>
    </Lage>
    <Indelning>
      <tema>Genomförandefrågor</tema>
      <grupp>Tekniska frågor</grupp>
      <undergrupp>Utbyggnad allmän plats</undergrupp>
    </Indelning>
  </Omfattning>
  <Omfattning>
    <identitet>gf_utbyggnadvattenochavlopp01</identitet>
    <Lage>
      <planomrade>true</planomrade>
    </Lage>
    <Indelning>
      <tema>Genomförandefrågor</tema>
      <grupp>Tekniska frågor</grupp>
      <undergrupp>Utbyggnad vatten och avlopp</undergrupp>
    </Indelning>
  </Omfattning>
  <Omfattning>
    <identitet>gf_ekonomiskafrågor01</identitet>
    <Lage>
      <planomrade>true</planomrade>
    </Lage>
    <Indelning>
      <tema>Genomförandefrågor</tema>
      <grupp>Ekonomiska frågor</grupp>
    </Indelning>
  </Omfattning>
  <Omfattning>
    <identitet>gf_planekonomiskbedömning01</identitet>
    <Lage>
      <planomrade>true</planomrade>
    </Lage>
    <Indelning>
      <tema>Genomförandefrågor</tema>
      <grupp>Ekonomiska frågor</grupp>
      <undergrupp>Planekonomisk bedömning</undergrupp>
    </Indelning>
  </Omfattning>
  <Omfattning>
    <identitet>gf_planavgift01</identitet>
    <Lage>
      <planomrade>true</planomrade>
    </Lage>
    <Indelning>
      <tema>Genomförandefrågor</tema>
      <grupp>Ekonomiska frågor</grupp>
      <undergrupp>Planavgift</undergrupp>
    </Indelning>
  </Omfattning>
  <Omfattning>
    <identitet>gf_ersättningsanspråk01</identitet>
    <Lage>
      <planomrade>true</planomrade>
    </Lage>
    <Indelning>
      <tema>Genomförandefrågor</tema>
      <grupp>Ekonomiska frågor</grupp>
      <undergrupp>Ersättningsanspråk</undergrupp>
    </Indelning>
  </Omfattning>
  <Omfattning>
    <identitet>gf_inlösen01</identitet>
    <Lage>
      <planomrade>true</planomrade>
    </Lage>
    <Indelning>
      <tema>Genomförandefrågor</tema>
      <grupp>Ekonomiska frågor</grupp>
      <undergrupp>Inlösen</undergrupp>
    </Indelning>
  </Omfattning>
  <Omfattning>
    <identitet>gf_gemensamhetsanläggningar01</identitet>
    <Lage>
      <planomrade>true</planomrade>
    </Lage>
    <Indelning>
      <tema>Genomförandefrågor</tema>
      <grupp>Ekonomiska frågor</grupp>
      <undergrupp>Gemensamhets-anläggningar</undergrupp>
    </Indelning>
  </Omfattning>
  <Omfattning>
    <identitet>gf_driftallmänplats01</identitet>
    <Lage>
      <planomrade>true</planomrade>
    </Lage>
    <Indelning>
      <tema>Genomförandefrågor</tema>
      <grupp>Ekonomiska frågor</grupp>
      <undergrupp>Drift allmän plats</undergrupp>
    </Indelning>
  </Omfattning>
  <Omfattning>
    <identitet>gf_driftvattenochavlopp01</identitet>
    <Lage>
      <lmg:Yta>
        <lmg:absolutLagesosakerhetPlan>0</lmg:absolutLagesosakerhetPlan>
        <lmg:absolutLagesosakerhetHojd>0</lmg:absolutLagesosakerhetHojd>
        <lmg:hojdsystem>RH 2000</lmg:hojdsystem>
        <gml:Polygon gml:id="ID_ed83f055-d72d-4fde-9297-7d7df8884caf" srsName="EPSG:3008" srsDimension="2">
          <gml:exterior>
            <gml:LinearRing gml:id="ID_2f877dda-4704-4321-8b00-2ff1bfda103c">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Genomförandefrågor</tema>
      <grupp>Ekonomiska frågor</grupp>
      <undergrupp>Drift vatten och avlopp</undergrupp>
    </Indelning>
  </Omfattning>
  <Omfattning>
    <identitet>gf_gatukostnader01</identitet>
    <Lage>
      <lmg:Yta>
        <lmg:absolutLagesosakerhetPlan>0</lmg:absolutLagesosakerhetPlan>
        <lmg:absolutLagesosakerhetHojd>0</lmg:absolutLagesosakerhetHojd>
        <lmg:hojdsystem>RH 2000</lmg:hojdsystem>
        <gml:Polygon gml:id="ID_4bf013f2-29fb-4411-ab24-5dde71b7682f" srsName="EPSG:3008" srsDimension="2">
          <gml:exterior>
            <gml:LinearRing gml:id="ID_07aa7157-344c-421b-9a95-0a1a66b08ad7">
              <gml:posList>6197727.142 125320.672 6197726.892 125321.097 6197724.156 125325.757 6197724.216 125325.786 6197724.327 125327.054 6197724.363 125327.462 6197724.385 125327.445 6197724.611 125327.72 6197726.933 125330.551 6197728.116 125331.993 6197726.55 125334.923 6197725.389 125337.094 6197725.326 125336.918 6197722.415 125333.771 6197719.939 125333.473 6197718.741 125335.719 6197715.874 125341.1 6197712.651 125347.134 6197707.454 125356.866 6197706.057 125359.48 6197703.664 125363.665 6197698.712 125373.138 6197698.519 125374.771 6197698.342 125376.268 6197699.561 125377.689 6197700.891 125378.66 6197702.811 125379.332 6197703.462 125381.488 6197704.948 125386.407 6197705.269 125387.47 6197714.084 125392.17 6197728.412 125399.81 6197729.089 125400.171 6197734.583 125402.638 6197735.069 125402.857 6197743.238 125406.526 6197746.13 125407.825 6197746.723 125408.092 6197747.414 125408.402 6197748.414 125408.851 6197748.875 125409.058 6197750.241 125409.671 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gml:posList>
            </gml:LinearRing>
          </gml:exterior>
        </gml:Polygon>
      </lmg:Yta>
      <planbestammelsereferens>40094ee3-ba15-4973-9d97-d2b520e9cb83</planbestammelsereferens>
    </Lage>
    <Indelning>
      <tema>Genomförandefrågor</tema>
      <grupp>Ekonomiska frågor</grupp>
      <undergrupp>Gatukostnader</undergrupp>
    </Indelning>
  </Omfattning>
  <Omfattning>
    <identitet>gf_organisatoriskafrågor01</identitet>
    <Lage>
      <planomrade>true</planomrade>
    </Lage>
    <Indelning>
      <tema>Genomförandefrågor</tema>
      <grupp>Organisatoriska frågor</grupp>
    </Indelning>
  </Omfattning>
  <Omfattning>
    <identitet>gf_exploateringsavtal01</identitet>
    <Lage>
      <lmg:Yta>
        <lmg:absolutLagesosakerhetPlan>0</lmg:absolutLagesosakerhetPlan>
        <lmg:absolutLagesosakerhetHojd>0</lmg:absolutLagesosakerhetHojd>
        <lmg:hojdsystem>RH 2000</lmg:hojdsystem>
        <gml:Polygon gml:id="ID_a4b68c4b-2e1c-43a1-b8f9-98213355e4ac" srsName="EPSG:3008" srsDimension="2">
          <gml:exterior>
            <gml:LinearRing gml:id="ID_080e17aa-e76a-4c73-be9c-2644d1fe1ef3">
              <gml:posList>6197724.216 125325.786 6197724.156 125325.757 6197726.892 125321.097 6197727.142 125320.672 6197728.304 125321.122 6197731.533 125322.373 6197732.962 125322.927 6197730.412 125327.697 6197729.322 125329.736 6197728.116 125331.993 6197726.933 125330.551 6197724.611 125327.72 6197724.385 125327.445 6197724.363 125327.462 6197724.327 125327.054 6197724.216 125325.786</gml:posList>
            </gml:LinearRing>
          </gml:exterior>
        </gml:Polygon>
      </lmg:Yta>
      <planbestammelsereferens>110a39d1-f2e6-4066-8906-49cd89a99f1e</planbestammelsereferens>
    </Lage>
    <Indelning>
      <tema>Genomförandefrågor</tema>
      <grupp>Organisatoriska frågor</grupp>
      <undergrupp>Exploateringsavtal</undergrupp>
    </Indelning>
  </Omfattning>
  <Omfattning>
    <identitet>gf_tidplan01</identitet>
    <Lage>
      <lmg:Yta>
        <lmg:absolutLagesosakerhetPlan>0</lmg:absolutLagesosakerhetPlan>
        <lmg:absolutLagesosakerhetHojd>0</lmg:absolutLagesosakerhetHojd>
        <lmg:hojdsystem>RH 2000</lmg:hojdsystem>
        <gml:Polygon gml:id="ID_a7607905-b7f1-4b4f-96a0-c70a87d039ed" srsName="EPSG:3008" srsDimension="2">
          <gml:exterior>
            <gml:LinearRing gml:id="ID_6d0f7366-d22f-4c46-8357-f004414c88e5">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Genomförandefrågor</tema>
      <grupp>Organisatoriska frågor</grupp>
      <undergrupp>Tidplan</undergrupp>
    </Indelning>
  </Omfattning>
  <Omfattning>
    <identitet>gf_kulturvärden01</identitet>
    <Lage>
      <planomrade>true</planomrade>
    </Lage>
    <Indelning>
      <tema>Genomförandefrågor</tema>
      <grupp>Kulturvärden</grupp>
    </Indelning>
  </Omfattning>
  <Omfattning>
    <identitet>gf_rivningsförbud01</identitet>
    <Lage>
      <planomrade>true</planomrade>
    </Lage>
    <Indelning>
      <tema>Genomförandefrågor</tema>
      <grupp>Kulturvärden</grupp>
      <undergrupp>Rivningsförbud</undergrupp>
    </Indelning>
  </Omfattning>
  <Omfattning>
    <identitet>gf_bevarandekrav01</identitet>
    <Lage>
      <lmg:Yta>
        <lmg:absolutLagesosakerhetPlan>0</lmg:absolutLagesosakerhetPlan>
        <lmg:absolutLagesosakerhetHojd>0</lmg:absolutLagesosakerhetHojd>
        <lmg:hojdsystem>RH 2000</lmg:hojdsystem>
        <gml:Polygon gml:id="ID_02976e28-56b6-4a72-9e82-00d3164876ba" srsName="EPSG:3008" srsDimension="2">
          <gml:exterior>
            <gml:LinearRing gml:id="ID_6d0f7366-d22f-4c46-8357-f004414c88e5">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Genomförandefrågor</tema>
      <grupp>Kulturvärden</grupp>
      <undergrupp>Bevarandekrav</undergrupp>
    </Indelning>
  </Omfattning>
  <Omfattning>
    <identitet>gf_prövningenlannanlagstiftning01</identitet>
    <Lage>
      <planomrade>true</planomrade>
    </Lage>
    <Indelning>
      <tema>Genomförandefrågor</tema>
      <grupp>Prövning enligt annan lagstiftning</grupp>
    </Indelning>
  </Omfattning>
  <Omfattning>
    <identitet>gf_upplysningar01</identitet>
    <Lage>
      <lmg:Yta>
        <lmg:absolutLagesosakerhetPlan>0</lmg:absolutLagesosakerhetPlan>
        <lmg:absolutLagesosakerhetHojd>0</lmg:absolutLagesosakerhetHojd>
        <lmg:hojdsystem>RH 2000</lmg:hojdsystem>
        <gml:Polygon gml:id="ID_13eb6c8a-3916-4bb7-9700-bfebf7e82117" srsName="EPSG:3008" srsDimension="2">
          <gml:exterior>
            <gml:LinearRing gml:id="ID_4acaaf0d-3ce0-4b7b-ac13-ee2caddfe19c">
              <gml:posList>6197756.178 125412.338 6197750.241 125409.671 6197748.875 125409.058 6197750.281 125406.401 6197750.533 125405.925 6197750.984 125405.072 6197751.281 125404.511 6197751.321 125404.435 6197751.544 125404.013 6197754.386 125398.641 6197749.331 125395.84 6197746.146 125401.427 6197745.477 125402.599 6197744.909 125403.595 6197744.731 125403.908 6197744.471 125404.364 6197743.238 125406.526 6197735.069 125402.857 6197734.583 125402.638 6197729.089 125400.171 6197728.412 125399.81 6197714.084 125392.17 6197705.269 125387.47 6197704.948 125386.407 6197703.462 125381.488 6197702.811 125379.332 6197704.278 125376.589 6197707.032 125371.436 6197716.506 125353.712 6197717.831 125351.233 6197722.284 125342.904 6197722.723 125342.082 6197725.389 125337.094 6197726.55 125334.923 6197728.116 125331.993 6197729.322 125329.736 6197730.412 125327.697 6197732.962 125322.927 6197775.352 125339.354 6197777.217 125340.076 6197783.278 125342.425 6197780.492 125349.612 6197775.735 125361.883 6197757.264 125409.537 6197756.178 125412.338</gml:posList>
            </gml:LinearRing>
          </gml:exterior>
        </gml:Polygon>
      </lmg:Yta>
      <planbestammelsereferens>0caad44d-2aca-4208-9d30-a72c12e28b8c</planbestammelsereferens>
    </Lage>
    <Lage>
      <lmg:Yta>
        <lmg:absolutLagesosakerhetPlan>0</lmg:absolutLagesosakerhetPlan>
        <lmg:absolutLagesosakerhetHojd>0</lmg:absolutLagesosakerhetHojd>
        <lmg:hojdsystem>RH 2000</lmg:hojdsystem>
        <gml:Polygon gml:id="ID_bc121b9e-7743-4688-91e2-d17334b1b6b2" srsName="EPSG:3008" srsDimension="2">
          <gml:exterior>
            <gml:LinearRing gml:id="ID_21c445b7-3a32-4d72-9832-4cb87c41206b">
              <gml:posList>6197756.178 125412.338 6197750.241 125409.671 6197748.875 125409.058 6197750.281 125406.401 6197750.533 125405.925 6197750.984 125405.072 6197751.281 125404.511 6197751.321 125404.435 6197751.544 125404.013 6197754.386 125398.641 6197749.331 125395.84 6197746.146 125401.427 6197745.477 125402.599 6197744.909 125403.595 6197744.731 125403.908 6197744.471 125404.364 6197743.238 125406.526 6197735.069 125402.857 6197734.583 125402.638 6197729.089 125400.171 6197728.412 125399.81 6197714.084 125392.17 6197705.269 125387.47 6197704.948 125386.407 6197703.462 125381.488 6197702.811 125379.332 6197704.278 125376.589 6197707.032 125371.436 6197716.506 125353.712 6197717.831 125351.233 6197722.284 125342.904 6197722.723 125342.082 6197725.389 125337.094 6197726.55 125334.923 6197728.116 125331.993 6197729.322 125329.736 6197730.412 125327.697 6197732.962 125322.927 6197775.352 125339.354 6197777.217 125340.076 6197783.278 125342.425 6197780.492 125349.612 6197775.735 125361.883 6197757.264 125409.537 6197756.178 125412.338</gml:posList>
            </gml:LinearRing>
          </gml:exterior>
        </gml:Polygon>
      </lmg:Yta>
      <planbestammelsereferens>250d56b3-cec0-4da1-ac67-e9599dc9b5c8</planbestammelsereferens>
    </Lage>
    <Indelning>
      <tema>Genomförandefrågor</tema>
      <grupp>Upplysningar</grupp>
    </Indelning>
  </Omfattning>
  <Omfattning>
    <identitet>gf_annat01</identitet>
    <Lage>
      <planomrade>true</planomrade>
    </Lage>
    <Indelning>
      <tema>Genomförandefrågor</tema>
      <grupp>Annat</grupp>
    </Indelning>
  </Omfattning>
  <Omfattning>
    <identitet>sy_syfte01</identitet>
    <Lage>
      <planomrade>true</planomrade>
    </Lage>
    <Indelning>
      <tema>Detaljplanens syfte</tema>
      <grupp>Syfte</grupp>
    </Indelning>
  </Omfattning>
  <Omfattning>
    <identitet>be_heladetaljplan01</identitet>
    <Lage>
      <planomrade>true</planomrade>
    </Lage>
    <Indelning>
      <tema>Beskrivning av detaljplanen</tema>
      <grupp>Hela detaljplan</grupp>
    </Indelning>
  </Omfattning>
  <Omfattning>
    <identitet>be_allmänplats01</identitet>
    <Lage>
      <planomrade>true</planomrade>
    </Lage>
    <Indelning>
      <tema>Beskrivning av detaljplanen</tema>
      <grupp>Allmän plats</grupp>
    </Indelning>
  </Omfattning>
  <Omfattning>
    <identitet>be_kvartersmark01</identitet>
    <Lage>
      <planomrade>true</planomrade>
    </Lage>
    <Indelning>
      <tema>Beskrivning av detaljplanen</tema>
      <grupp>Kvartersmark</grupp>
    </Indelning>
  </Omfattning>
  <Omfattning>
    <identitet>be_befintligt01</identitet>
    <Lage>
      <planomrade>true</planomrade>
    </Lage>
    <Indelning>
      <tema>Beskrivning av detaljplanen</tema>
      <grupp>Befintligt</grupp>
    </Indelning>
  </Omfattning>
  <Omfattning>
    <identitet>be_genomförandetid01</identitet>
    <Lage>
      <planomrade>true</planomrade>
    </Lage>
    <Indelning>
      <tema>Beskrivning av detaljplanen</tema>
      <grupp>Genomförandetid</grupp>
    </Indelning>
  </Omfattning>
  <Omfattning>
    <identitet>mo_motivtillreglering01</identitet>
    <Lage>
      <lmg:Yta>
        <lmg:absolutLagesosakerhetPlan>0</lmg:absolutLagesosakerhetPlan>
        <lmg:absolutLagesosakerhetHojd>0</lmg:absolutLagesosakerhetHojd>
        <lmg:hojdsystem>RH 2000</lmg:hojdsystem>
        <gml:Polygon gml:id="ID_6748504f-7375-4a9f-9601-7826f0d053ec" srsName="EPSG:3008" srsDimension="2">
          <gml:exterior>
            <gml:LinearRing gml:id="ID_46e4b8d5-8aae-414b-8a51-accab23c3d78">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Motiv till detaljplanens regleringar</tema>
      <grupp>Motiv till reglering</grupp>
    </Indelning>
  </Omfattning>
  <Omfattning>
    <identitet>mo_motivtillreglering02</identitet>
    <Lage>
      <lmg:Yta>
        <lmg:absolutLagesosakerhetPlan>0</lmg:absolutLagesosakerhetPlan>
        <lmg:absolutLagesosakerhetHojd>0</lmg:absolutLagesosakerhetHojd>
        <lmg:hojdsystem>RH 2000</lmg:hojdsystem>
        <gml:Polygon gml:id="ID_c5b11665-9471-44e6-ab83-0f1dee63b233" srsName="EPSG:3008" srsDimension="2">
          <gml:exterior>
            <gml:LinearRing gml:id="ID_a31f77f0-9126-46a0-8ae5-26483b540ec7">
              <gml:posList>6197727.142 125320.672 6197726.892 125321.097 6197724.156 125325.757 6197724.216 125325.786 6197724.327 125327.054 6197724.363 125327.462 6197724.385 125327.445 6197724.611 125327.72 6197726.933 125330.551 6197728.116 125331.993 6197726.55 125334.923 6197725.389 125337.094 6197725.326 125336.918 6197722.415 125333.771 6197719.939 125333.473 6197718.741 125335.719 6197715.874 125341.1 6197712.651 125347.134 6197707.454 125356.866 6197706.057 125359.48 6197703.664 125363.665 6197698.712 125373.138 6197698.519 125374.771 6197698.342 125376.268 6197699.561 125377.689 6197700.891 125378.66 6197702.811 125379.332 6197703.462 125381.488 6197704.948 125386.407 6197705.269 125387.47 6197714.084 125392.17 6197728.412 125399.81 6197729.089 125400.171 6197734.583 125402.638 6197735.069 125402.857 6197743.238 125406.526 6197746.13 125407.825 6197746.723 125408.092 6197747.414 125408.402 6197748.414 125408.851 6197748.875 125409.058 6197750.241 125409.671 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gml:posList>
            </gml:LinearRing>
          </gml:exterior>
        </gml:Polygon>
      </lmg:Yta>
      <planbestammelsereferens>40094ee3-ba15-4973-9d97-d2b520e9cb83</planbestammelsereferens>
    </Lage>
    <Indelning>
      <tema>Motiv till detaljplanens regleringar</tema>
      <grupp>Motiv till reglering</grupp>
    </Indelning>
  </Omfattning>
  <Omfattning>
    <identitet>mo_motivtillreglering03</identitet>
    <Lage>
      <lmg:Yta>
        <lmg:absolutLagesosakerhetPlan>0</lmg:absolutLagesosakerhetPlan>
        <lmg:absolutLagesosakerhetHojd>0</lmg:absolutLagesosakerhetHojd>
        <lmg:hojdsystem>RH 2000</lmg:hojdsystem>
        <gml:Polygon gml:id="ID_9c3e85e0-a16c-4c60-b287-e77fed47731d" srsName="EPSG:3008" srsDimension="2">
          <gml:exterior>
            <gml:LinearRing gml:id="ID_5c0fe440-fcf9-48e4-839f-81ac22631dff">
              <gml:posList>6197699.561 125377.689 6197698.342 125376.268 6197698.519 125374.771 6197698.712 125373.138 6197703.664 125363.665 6197706.057 125359.48 6197707.454 125356.866 6197712.651 125347.134 6197715.874 125341.1 6197718.741 125335.719 6197719.939 125333.473 6197722.415 125333.771 6197725.326 125336.918 6197725.389 125337.094 6197722.723 125342.082 6197722.284 125342.904 6197717.831 125351.233 6197716.506 125353.712 6197707.032 125371.436 6197704.278 125376.589 6197702.811 125379.332 6197700.891 125378.66 6197699.561 125377.689</gml:posList>
            </gml:LinearRing>
          </gml:exterior>
        </gml:Polygon>
      </lmg:Yta>
      <planbestammelsereferens>ee880ef0-20a0-4a2a-a290-f654610db905</planbestammelsereferens>
    </Lage>
    <Lage>
      <lmg:Yta>
        <lmg:absolutLagesosakerhetPlan>0</lmg:absolutLagesosakerhetPlan>
        <lmg:absolutLagesosakerhetHojd>0</lmg:absolutLagesosakerhetHojd>
        <lmg:hojdsystem>RH 2000</lmg:hojdsystem>
        <gml:Polygon gml:id="ID_0b106299-6522-40c6-8a75-5f3eef6d11a6" srsName="EPSG:3008" srsDimension="2">
          <gml:exterior>
            <gml:LinearRing gml:id="ID_0aed0871-4f0c-4190-bf76-8a3f180c7b0a">
              <gml:posList>6197724.216 125325.786 6197724.156 125325.757 6197726.892 125321.097 6197727.142 125320.672 6197728.304 125321.122 6197731.533 125322.373 6197732.962 125322.927 6197730.412 125327.697 6197729.322 125329.736 6197728.116 125331.993 6197726.933 125330.551 6197724.611 125327.72 6197724.385 125327.445 6197724.363 125327.462 6197724.327 125327.054 6197724.216 125325.786</gml:posList>
            </gml:LinearRing>
          </gml:exterior>
        </gml:Polygon>
      </lmg:Yta>
      <planbestammelsereferens>110a39d1-f2e6-4066-8906-49cd89a99f1e</planbestammelsereferens>
    </Lage>
    <Indelning>
      <tema>Motiv till detaljplanens regleringar</tema>
      <grupp>Motiv till reglering</grupp>
    </Indelning>
  </Omfattning>
  <Omfattning>
    <identitet>mo_motivtillreglering04</identitet>
    <Lage>
      <lmg:Yta>
        <lmg:absolutLagesosakerhetPlan>0</lmg:absolutLagesosakerhetPlan>
        <lmg:absolutLagesosakerhetHojd>0</lmg:absolutLagesosakerhetHojd>
        <lmg:hojdsystem>RH 2000</lmg:hojdsystem>
        <gml:Polygon gml:id="ID_b225ed3a-6b16-4f98-a570-97e8345eef2d" srsName="EPSG:3008" srsDimension="2">
          <gml:exterior>
            <gml:LinearRing gml:id="ID_da51251b-6407-476c-b499-57f77c09dc8b">
              <gml:posList>6197720.059 125337.856 6197719.605 125340.697 6197715.762 125348.397 6197701.579 125375.137 6197700.038 125375.851 6197698.947 125374.462 6197706.057 125359.48 6197717.534 125338.545 6197720.059 125337.856</gml:posList>
            </gml:LinearRing>
          </gml:exterior>
        </gml:Polygon>
      </lmg:Yta>
      <planbestammelsereferens>e9816d50-40bb-40d1-be54-79d24847dfed</planbestammelsereferens>
    </Lage>
    <Lage>
      <lmg:Yta>
        <lmg:absolutLagesosakerhetPlan>0</lmg:absolutLagesosakerhetPlan>
        <lmg:absolutLagesosakerhetHojd>0</lmg:absolutLagesosakerhetHojd>
        <lmg:hojdsystem>RH 2000</lmg:hojdsystem>
        <gml:Polygon gml:id="ID_5f08898c-57a9-4b52-96df-8104a6513425" srsName="EPSG:3008" srsDimension="2">
          <gml:exterior>
            <gml:LinearRing gml:id="ID_7eee2db0-ad0c-4dba-a9bb-a269608b7140">
              <gml:posList>6197720.059 125337.856 6197719.605 125340.697 6197715.762 125348.397 6197701.579 125375.137 6197700.038 125375.851 6197698.947 125374.462 6197706.057 125359.48 6197717.534 125338.545 6197720.059 125337.856</gml:posList>
            </gml:LinearRing>
          </gml:exterior>
        </gml:Polygon>
      </lmg:Yta>
      <planbestammelsereferens>a901709c-58a6-4c16-9f12-b698c21c03dc</planbestammelsereferens>
    </Lage>
    <Indelning>
      <tema>Motiv till detaljplanens regleringar</tema>
      <grupp>Motiv till reglering</grupp>
    </Indelning>
  </Omfattning>
  <Omfattning>
    <identitet>mo_motivtillreglering05</identitet>
    <Lage>
      <lmg:Yta>
        <lmg:absolutLagesosakerhetPlan>0</lmg:absolutLagesosakerhetPlan>
        <lmg:absolutLagesosakerhetHojd>0</lmg:absolutLagesosakerhetHojd>
        <lmg:hojdsystem>RH 2000</lmg:hojdsystem>
        <gml:Polygon gml:id="ID_691731ff-9bb3-40e4-9c50-b15afac0d4b6" srsName="EPSG:3008" srsDimension="2">
          <gml:exterior>
            <gml:LinearRing gml:id="ID_d3ff0efd-087a-4bb8-b4e5-3fb1e4c4db01">
              <gml:posList>6197756.178 125412.338 6197750.241 125409.671 6197748.875 125409.058 6197750.281 125406.401 6197750.533 125405.925 6197750.984 125405.072 6197751.281 125404.511 6197751.321 125404.435 6197751.544 125404.013 6197754.386 125398.641 6197749.331 125395.84 6197746.146 125401.427 6197745.477 125402.599 6197744.909 125403.595 6197744.731 125403.908 6197744.471 125404.364 6197743.238 125406.526 6197735.069 125402.857 6197734.583 125402.638 6197729.089 125400.171 6197728.412 125399.81 6197714.084 125392.17 6197705.269 125387.47 6197704.948 125386.407 6197703.462 125381.488 6197702.811 125379.332 6197704.278 125376.589 6197707.032 125371.436 6197716.506 125353.712 6197717.831 125351.233 6197722.284 125342.904 6197722.723 125342.082 6197725.389 125337.094 6197726.55 125334.923 6197728.116 125331.993 6197729.322 125329.736 6197730.412 125327.697 6197732.962 125322.927 6197775.352 125339.354 6197777.217 125340.076 6197783.278 125342.425 6197780.492 125349.612 6197775.735 125361.883 6197757.264 125409.537 6197756.178 125412.338</gml:posList>
            </gml:LinearRing>
          </gml:exterior>
        </gml:Polygon>
      </lmg:Yta>
      <planbestammelsereferens>250d56b3-cec0-4da1-ac67-e9599dc9b5c8</planbestammelsereferens>
    </Lage>
    <Indelning>
      <tema>Motiv till detaljplanens regleringar</tema>
      <grupp>Motiv till reglering</grupp>
    </Indelning>
  </Omfattning>
  <Omfattning>
    <identitet>mo_motivtillreglering06</identitet>
    <Lage>
      <lmg:Yta>
        <lmg:absolutLagesosakerhetPlan>0</lmg:absolutLagesosakerhetPlan>
        <lmg:absolutLagesosakerhetHojd>0</lmg:absolutLagesosakerhetHojd>
        <lmg:hojdsystem>RH 2000</lmg:hojdsystem>
        <gml:Polygon gml:id="ID_8054cf17-7680-494d-a54b-9b498c20bf88" srsName="EPSG:3008" srsDimension="2">
          <gml:exterior>
            <gml:LinearRing gml:id="ID_f099d032-8011-4c21-b7e3-188714b236d3">
              <gml:posList>6197756.178 125412.338 6197750.241 125409.671 6197748.875 125409.058 6197750.281 125406.401 6197750.533 125405.925 6197750.984 125405.072 6197751.281 125404.511 6197751.321 125404.435 6197751.544 125404.013 6197754.386 125398.641 6197749.331 125395.84 6197746.146 125401.427 6197745.477 125402.599 6197744.909 125403.595 6197744.731 125403.908 6197744.471 125404.364 6197743.238 125406.526 6197735.069 125402.857 6197734.583 125402.638 6197729.089 125400.171 6197728.412 125399.81 6197714.084 125392.17 6197705.269 125387.47 6197704.948 125386.407 6197703.462 125381.488 6197702.811 125379.332 6197704.278 125376.589 6197707.032 125371.436 6197716.506 125353.712 6197717.831 125351.233 6197722.284 125342.904 6197722.723 125342.082 6197725.389 125337.094 6197726.55 125334.923 6197728.116 125331.993 6197729.322 125329.736 6197730.412 125327.697 6197732.962 125322.927 6197775.352 125339.354 6197777.217 125340.076 6197783.278 125342.425 6197780.492 125349.612 6197775.735 125361.883 6197757.264 125409.537 6197756.178 125412.338</gml:posList>
            </gml:LinearRing>
          </gml:exterior>
        </gml:Polygon>
      </lmg:Yta>
      <planbestammelsereferens>1f0643fa-d358-44d2-8b5d-5596885d9c8d</planbestammelsereferens>
    </Lage>
    <Lage>
      <lmg:Yta>
        <lmg:absolutLagesosakerhetPlan>0</lmg:absolutLagesosakerhetPlan>
        <lmg:absolutLagesosakerhetHojd>0</lmg:absolutLagesosakerhetHojd>
        <lmg:hojdsystem>RH 2000</lmg:hojdsystem>
        <gml:Polygon gml:id="ID_afb30793-9c3f-40f2-bf19-7b69e6848404" srsName="EPSG:3008" srsDimension="2">
          <gml:exterior>
            <gml:LinearRing gml:id="ID_b6189ab2-01ef-4790-bc71-05ed187681ed">
              <gml:posList>6197756.178 125412.338 6197750.241 125409.671 6197748.875 125409.058 6197750.281 125406.401 6197750.533 125405.925 6197750.984 125405.072 6197751.281 125404.511 6197751.321 125404.435 6197751.544 125404.013 6197754.386 125398.641 6197749.331 125395.84 6197746.146 125401.427 6197745.477 125402.599 6197744.909 125403.595 6197744.731 125403.908 6197744.471 125404.364 6197743.238 125406.526 6197735.069 125402.857 6197734.583 125402.638 6197729.089 125400.171 6197728.412 125399.81 6197714.084 125392.17 6197705.269 125387.47 6197704.948 125386.407 6197703.462 125381.488 6197702.811 125379.332 6197704.278 125376.589 6197707.032 125371.436 6197716.506 125353.712 6197717.831 125351.233 6197722.284 125342.904 6197722.723 125342.082 6197725.389 125337.094 6197726.55 125334.923 6197728.116 125331.993 6197729.322 125329.736 6197730.412 125327.697 6197732.962 125322.927 6197775.352 125339.354 6197777.217 125340.076 6197783.278 125342.425 6197780.492 125349.612 6197775.735 125361.883 6197757.264 125409.537 6197756.178 125412.338</gml:posList>
            </gml:LinearRing>
          </gml:exterior>
        </gml:Polygon>
      </lmg:Yta>
      <planbestammelsereferens>250d56b3-cec0-4da1-ac67-e9599dc9b5c8</planbestammelsereferens>
    </Lage>
    <Indelning>
      <tema>Motiv till detaljplanens regleringar</tema>
      <grupp>Motiv till reglering</grupp>
    </Indelning>
  </Omfattning>
  <Omfattning>
    <identitet>mo_motivtillreglering07</identitet>
    <Lage>
      <lmg:Yta>
        <lmg:absolutLagesosakerhetPlan>0</lmg:absolutLagesosakerhetPlan>
        <lmg:absolutLagesosakerhetHojd>0</lmg:absolutLagesosakerhetHojd>
        <lmg:hojdsystem>RH 2000</lmg:hojdsystem>
        <gml:Polygon gml:id="ID_5864d2ce-d282-4309-8610-a42e94f21ae1" srsName="EPSG:3008" srsDimension="2">
          <gml:exterior>
            <gml:LinearRing gml:id="ID_be81aec8-ed1f-414f-acb9-46c2c7358c7d">
              <gml:posList>6197754.386 125398.641 6197751.544 125404.013 6197751.321 125404.435 6197751.281 125404.511 6197750.984 125405.072 6197750.533 125405.925 6197750.281 125406.401 6197748.875 125409.058 6197748.414 125408.851 6197747.414 125408.402 6197746.723 125408.092 6197746.13 125407.825 6197743.238 125406.526 6197744.471 125404.364 6197744.731 125403.908 6197744.909 125403.595 6197745.477 125402.599 6197746.146 125401.427 6197749.331 125395.84 6197754.386 125398.641</gml:posList>
            </gml:LinearRing>
          </gml:exterior>
        </gml:Polygon>
      </lmg:Yta>
      <planbestammelsereferens>435665ce-9736-4675-b89f-6be70a7c7078</planbestammelsereferens>
    </Lage>
    <Indelning>
      <tema>Motiv till detaljplanens regleringar</tema>
      <grupp>Motiv till reglering</grupp>
    </Indelning>
  </Omfattning>
  <Omfattning>
    <identitet>mo_motivtillreglering08</identitet>
    <Lage>
      <lmg:Yta>
        <lmg:absolutLagesosakerhetPlan>0</lmg:absolutLagesosakerhetPlan>
        <lmg:absolutLagesosakerhetHojd>0</lmg:absolutLagesosakerhetHojd>
        <lmg:hojdsystem>RH 2000</lmg:hojdsystem>
        <gml:Polygon gml:id="ID_e01d9086-1f90-4974-b3b4-c37921293d66" srsName="EPSG:3008" srsDimension="2">
          <gml:exterior>
            <gml:LinearRing gml:id="ID_3f208e47-ef97-414d-b055-cb4528a47c80">
              <gml:posList>6197756.178 125412.338 6197750.241 125409.671 6197748.875 125409.058 6197750.281 125406.401 6197750.533 125405.925 6197750.984 125405.072 6197751.281 125404.511 6197751.321 125404.435 6197751.544 125404.013 6197754.386 125398.641 6197749.331 125395.84 6197746.146 125401.427 6197745.477 125402.599 6197744.909 125403.595 6197744.731 125403.908 6197744.471 125404.364 6197743.238 125406.526 6197735.069 125402.857 6197734.583 125402.638 6197729.089 125400.171 6197728.412 125399.81 6197714.084 125392.17 6197705.269 125387.47 6197704.948 125386.407 6197703.462 125381.488 6197702.811 125379.332 6197704.278 125376.589 6197707.032 125371.436 6197716.506 125353.712 6197717.831 125351.233 6197722.284 125342.904 6197722.723 125342.082 6197725.389 125337.094 6197726.55 125334.923 6197728.116 125331.993 6197729.322 125329.736 6197730.412 125327.697 6197732.962 125322.927 6197775.352 125339.354 6197777.217 125340.076 6197783.278 125342.425 6197780.492 125349.612 6197775.735 125361.883 6197757.264 125409.537 6197756.178 125412.338</gml:posList>
            </gml:LinearRing>
          </gml:exterior>
        </gml:Polygon>
      </lmg:Yta>
      <planbestammelsereferens>e889fc5b-7de9-41dd-8edc-757b180282e9</planbestammelsereferens>
    </Lage>
    <Lage>
      <lmg:Yta>
        <lmg:absolutLagesosakerhetPlan>0</lmg:absolutLagesosakerhetPlan>
        <lmg:absolutLagesosakerhetHojd>0</lmg:absolutLagesosakerhetHojd>
        <lmg:hojdsystem>RH 2000</lmg:hojdsystem>
        <gml:Polygon gml:id="ID_f0223e16-1701-4eed-8216-9f5545b61dd5" srsName="EPSG:3008" srsDimension="2">
          <gml:exterior>
            <gml:LinearRing gml:id="ID_3a060f78-1006-4b59-8d45-ef1258de9bd8">
              <gml:posList>6197756.178 125412.338 6197750.241 125409.671 6197748.875 125409.058 6197750.281 125406.401 6197750.533 125405.925 6197750.984 125405.072 6197751.281 125404.511 6197751.321 125404.435 6197751.544 125404.013 6197754.386 125398.641 6197749.331 125395.84 6197746.146 125401.427 6197745.477 125402.599 6197744.909 125403.595 6197744.731 125403.908 6197744.471 125404.364 6197743.238 125406.526 6197735.069 125402.857 6197734.583 125402.638 6197729.089 125400.171 6197728.412 125399.81 6197714.084 125392.17 6197705.269 125387.47 6197704.948 125386.407 6197703.462 125381.488 6197702.811 125379.332 6197704.278 125376.589 6197707.032 125371.436 6197716.506 125353.712 6197717.831 125351.233 6197722.284 125342.904 6197722.723 125342.082 6197725.389 125337.094 6197726.55 125334.923 6197728.116 125331.993 6197729.322 125329.736 6197730.412 125327.697 6197732.962 125322.927 6197775.352 125339.354 6197777.217 125340.076 6197783.278 125342.425 6197780.492 125349.612 6197775.735 125361.883 6197757.264 125409.537 6197756.178 125412.338</gml:posList>
            </gml:LinearRing>
          </gml:exterior>
        </gml:Polygon>
      </lmg:Yta>
      <planbestammelsereferens>250d56b3-cec0-4da1-ac67-e9599dc9b5c8</planbestammelsereferens>
    </Lage>
    <Indelning>
      <tema>Motiv till detaljplanens regleringar</tema>
      <grupp>Motiv till reglering</grupp>
    </Indelning>
  </Omfattning>
  <Omfattning>
    <identitet>mo_motivtillreglering09</identitet>
    <Lage>
      <lmg:Yta>
        <lmg:absolutLagesosakerhetPlan>0</lmg:absolutLagesosakerhetPlan>
        <lmg:absolutLagesosakerhetHojd>0</lmg:absolutLagesosakerhetHojd>
        <lmg:hojdsystem>RH 2000</lmg:hojdsystem>
        <gml:Polygon gml:id="ID_50cfbaa3-bc4f-49b0-bac8-8397f54b1791" srsName="EPSG:3008" srsDimension="2">
          <gml:exterior>
            <gml:LinearRing gml:id="ID_9403c05f-33f1-42d4-ab02-98f0b32c5f9f">
              <gml:posList>6197774.313 125347.569 6197773.686 125347.362 6197762.886 125343.791 6197761.866 125343.454 6197757.27 125341.533 6197743.775 125335.891 6197734.634 125332.009 6197733.475 125331.513 6197732.091 125330.921 6197726.654 125341.093 6197726.591 125340.405 6197725.389 125337.094 6197726.55 125334.923 6197728.116 125331.993 6197729.322 125329.736 6197730.412 125327.697 6197732.962 125322.927 6197775.352 125339.354 6197777.217 125340.076 6197775.591 125344.272 6197774.313 125347.569</gml:posList>
            </gml:LinearRing>
          </gml:exterior>
        </gml:Polygon>
      </lmg:Yta>
      <planbestammelsereferens>4c94c6ac-344c-42f3-845b-79b3a9af9ebc</planbestammelsereferens>
    </Lage>
    <Indelning>
      <tema>Motiv till detaljplanens regleringar</tema>
      <grupp>Motiv till reglering</grupp>
    </Indelning>
  </Omfattning>
  <Omfattning>
    <identitet>mo_motivtillreglering10</identitet>
    <Lage>
      <lmg:Yta>
        <lmg:absolutLagesosakerhetPlan>0</lmg:absolutLagesosakerhetPlan>
        <lmg:absolutLagesosakerhetHojd>0</lmg:absolutLagesosakerhetHojd>
        <lmg:hojdsystem>RH 2000</lmg:hojdsystem>
        <gml:Polygon gml:id="ID_4094086f-0939-447e-8af5-3afd7f28bedd" srsName="EPSG:3008" srsDimension="2">
          <gml:exterior>
            <gml:LinearRing gml:id="ID_4dd09f0b-1cc1-49de-b588-85dbaf1aa112">
              <gml:posList>6197725.389 125337.094 6197726.591 125340.405 6197726.654 125341.093 6197724.506 125345.11 6197721.418 125350.888 6197720.141 125353.275 6197719.127 125355.172 6197710.452 125371.403 6197706.042 125379.653 6197705.342 125379.583 6197704.943 125379.544 6197702.811 125379.332 6197704.278 125376.589 6197707.032 125371.436 6197716.506 125353.712 6197717.831 125351.233 6197722.284 125342.904 6197722.723 125342.082 6197725.389 125337.094</gml:posList>
            </gml:LinearRing>
          </gml:exterior>
        </gml:Polygon>
      </lmg:Yta>
      <planbestammelsereferens>746286e0-341a-41f8-a367-7af8344cba3e</planbestammelsereferens>
    </Lage>
    <Indelning>
      <tema>Motiv till detaljplanens regleringar</tema>
      <grupp>Motiv till reglering</grupp>
    </Indelning>
  </Omfattning>
  <Omfattning>
    <identitet>mo_motivtillreglering11</identitet>
    <Lage>
      <lmg:Yta>
        <lmg:absolutLagesosakerhetPlan>0</lmg:absolutLagesosakerhetPlan>
        <lmg:absolutLagesosakerhetHojd>0</lmg:absolutLagesosakerhetHojd>
        <lmg:hojdsystem>RH 2000</lmg:hojdsystem>
        <gml:Polygon gml:id="ID_2cdf4248-d84a-4a88-a3f5-c2e449e78654" srsName="EPSG:3008" srsDimension="2">
          <gml:exterior>
            <gml:LinearRing gml:id="ID_8e390640-acaf-43ed-87e3-dbf88a67c0b7">
              <gml:posList>6197775.735 125361.883 6197757.264 125409.537 6197756.178 125412.338 6197750.241 125409.671 6197748.875 125409.058 6197750.281 125406.401 6197750.533 125405.925 6197750.984 125405.072 6197751.281 125404.511 6197751.321 125404.435 6197751.544 125404.013 6197754.386 125398.641 6197754.499 125398.685 6197754.751 125398.035 6197755.473 125396.172 6197755.953 125394.935 6197757.813 125390.136 6197774.313 125347.569 6197775.591 125344.272 6197777.217 125340.076 6197783.278 125342.425 6197780.492 125349.612 6197775.735 125361.883</gml:posList>
            </gml:LinearRing>
          </gml:exterior>
        </gml:Polygon>
      </lmg:Yta>
      <planbestammelsereferens>7d1973ae-e899-4284-a0e0-850e1e43ea20</planbestammelsereferens>
    </Lage>
    <Lage>
      <lmg:Yta>
        <lmg:absolutLagesosakerhetPlan>0</lmg:absolutLagesosakerhetPlan>
        <lmg:absolutLagesosakerhetHojd>0</lmg:absolutLagesosakerhetHojd>
        <lmg:hojdsystem>RH 2000</lmg:hojdsystem>
        <gml:Polygon gml:id="ID_5172436b-f574-4f9c-8b0b-73cfaafce145" srsName="EPSG:3008" srsDimension="2">
          <gml:exterior>
            <gml:LinearRing gml:id="ID_98afc438-0a5c-4c1b-a734-366789ec7eaf">
              <gml:posList>6197775.735 125361.883 6197757.264 125409.537 6197756.178 125412.338 6197750.241 125409.671 6197748.875 125409.058 6197750.281 125406.401 6197750.533 125405.925 6197750.984 125405.072 6197751.281 125404.511 6197751.321 125404.435 6197751.544 125404.013 6197754.386 125398.641 6197754.499 125398.685 6197754.751 125398.035 6197755.473 125396.172 6197755.953 125394.935 6197757.813 125390.136 6197774.313 125347.569 6197775.591 125344.272 6197777.217 125340.076 6197783.278 125342.425 6197780.492 125349.612 6197775.735 125361.883</gml:posList>
            </gml:LinearRing>
          </gml:exterior>
        </gml:Polygon>
      </lmg:Yta>
      <planbestammelsereferens>c0d861eb-1e81-406e-9729-471126d5dfbb</planbestammelsereferens>
    </Lage>
    <Indelning>
      <tema>Motiv till detaljplanens regleringar</tema>
      <grupp>Motiv till reglering</grupp>
    </Indelning>
  </Omfattning>
  <Omfattning>
    <identitet>mo_motivtillreglering12</identitet>
    <Lage>
      <lmg:Yta>
        <lmg:absolutLagesosakerhetPlan>0</lmg:absolutLagesosakerhetPlan>
        <lmg:absolutLagesosakerhetHojd>0</lmg:absolutLagesosakerhetHojd>
        <lmg:hojdsystem>RH 2000</lmg:hojdsystem>
        <gml:Polygon gml:id="ID_e6703434-94c5-497c-8619-630ba181fe9e" srsName="EPSG:3008" srsDimension="2">
          <gml:exterior>
            <gml:LinearRing gml:id="ID_25a2ca5e-bc07-4ebf-a33c-4a2471802b4f">
              <gml:posList>6197754.386 125398.641 6197749.331 125395.84 6197746.146 125401.427 6197745.477 125402.599 6197744.909 125403.595 6197744.731 125403.908 6197744.471 125404.364 6197743.238 125406.526 6197735.069 125402.857 6197734.583 125402.638 6197729.089 125400.171 6197728.412 125399.81 6197714.084 125392.17 6197705.269 125387.47 6197704.948 125386.407 6197703.462 125381.488 6197702.811 125379.332 6197704.943 125379.544 6197705.342 125379.583 6197706.042 125379.653 6197706.259 125380.371 6197707.781 125385.409 6197730.411 125397.476 6197741.111 125402.282 6197741.189 125402.045 6197741.364 125401.738 6197741.812 125400.952 6197744.612 125396.041 6197746.75 125392.292 6197747.814 125390.427 6197755.953 125394.935 6197755.473 125396.172 6197754.751 125398.035 6197754.499 125398.685 6197754.386 125398.641</gml:posList>
            </gml:LinearRing>
          </gml:exterior>
        </gml:Polygon>
      </lmg:Yta>
      <planbestammelsereferens>500d7454-c4e5-4cbb-b408-648103401bd3</planbestammelsereferens>
    </Lage>
    <Lage>
      <lmg:Yta>
        <lmg:absolutLagesosakerhetPlan>0</lmg:absolutLagesosakerhetPlan>
        <lmg:absolutLagesosakerhetHojd>0</lmg:absolutLagesosakerhetHojd>
        <lmg:hojdsystem>RH 2000</lmg:hojdsystem>
        <gml:Polygon gml:id="ID_e13feef8-670f-4f42-81a5-f853b0952d3c" srsName="EPSG:3008" srsDimension="2">
          <gml:exterior>
            <gml:LinearRing gml:id="ID_51a5e00a-bdd4-4117-a8a8-8f584a38c78e">
              <gml:posList>6197754.386 125398.641 6197749.331 125395.84 6197746.146 125401.427 6197745.477 125402.599 6197744.909 125403.595 6197744.731 125403.908 6197744.471 125404.364 6197743.238 125406.526 6197735.069 125402.857 6197734.583 125402.638 6197729.089 125400.171 6197728.412 125399.81 6197714.084 125392.17 6197705.269 125387.47 6197704.948 125386.407 6197703.462 125381.488 6197702.811 125379.332 6197704.943 125379.544 6197705.342 125379.583 6197706.042 125379.653 6197706.259 125380.371 6197707.781 125385.409 6197730.411 125397.476 6197741.111 125402.282 6197741.189 125402.045 6197741.364 125401.738 6197741.812 125400.952 6197744.612 125396.041 6197746.75 125392.292 6197747.814 125390.427 6197755.953 125394.935 6197755.473 125396.172 6197754.751 125398.035 6197754.499 125398.685 6197754.386 125398.641</gml:posList>
            </gml:LinearRing>
          </gml:exterior>
        </gml:Polygon>
      </lmg:Yta>
      <planbestammelsereferens>2f76ad47-227f-4dbf-b52f-17e5872b79f3</planbestammelsereferens>
    </Lage>
    <Indelning>
      <tema>Motiv till detaljplanens regleringar</tema>
      <grupp>Motiv till reglering</grupp>
    </Indelning>
  </Omfattning>
  <Omfattning>
    <identitet>mo_motivtillreglering13</identitet>
    <Lage>
      <lmg:Yta>
        <lmg:absolutLagesosakerhetPlan>0</lmg:absolutLagesosakerhetPlan>
        <lmg:absolutLagesosakerhetHojd>0</lmg:absolutLagesosakerhetHojd>
        <lmg:hojdsystem>RH 2000</lmg:hojdsystem>
        <gml:Polygon gml:id="ID_aa60e500-335b-40d4-8568-2cabbffde3e0" srsName="EPSG:3008" srsDimension="2">
          <gml:exterior>
            <gml:LinearRing gml:id="ID_ac6f3395-5fb5-40c5-97d1-6ec74a4f5062">
              <gml:posList>6197754.386 125398.641 6197749.331 125395.84 6197746.146 125401.427 6197745.477 125402.599 6197744.909 125403.595 6197744.731 125403.908 6197744.471 125404.364 6197743.238 125406.526 6197735.069 125402.857 6197734.583 125402.638 6197729.089 125400.171 6197728.412 125399.81 6197714.084 125392.17 6197705.269 125387.47 6197704.948 125386.407 6197703.462 125381.488 6197702.811 125379.332 6197704.943 125379.544 6197705.342 125379.583 6197706.042 125379.653 6197706.259 125380.371 6197707.781 125385.409 6197730.411 125397.476 6197741.111 125402.282 6197741.189 125402.045 6197741.364 125401.738 6197741.812 125400.952 6197744.612 125396.041 6197746.75 125392.292 6197747.814 125390.427 6197755.953 125394.935 6197755.473 125396.172 6197754.751 125398.035 6197754.499 125398.685 6197754.386 125398.641</gml:posList>
            </gml:LinearRing>
          </gml:exterior>
        </gml:Polygon>
      </lmg:Yta>
      <planbestammelsereferens>500d7454-c4e5-4cbb-b408-648103401bd3</planbestammelsereferens>
    </Lage>
    <Lage>
      <lmg:Yta>
        <lmg:absolutLagesosakerhetPlan>0</lmg:absolutLagesosakerhetPlan>
        <lmg:absolutLagesosakerhetHojd>0</lmg:absolutLagesosakerhetHojd>
        <lmg:hojdsystem>RH 2000</lmg:hojdsystem>
        <gml:Polygon gml:id="ID_ca2b53f7-0e89-4b3f-8859-20e72939b9a1" srsName="EPSG:3008" srsDimension="2">
          <gml:exterior>
            <gml:LinearRing gml:id="ID_1476265a-fba8-4b49-a587-b5c72c719334">
              <gml:posList>6197754.386 125398.641 6197749.331 125395.84 6197746.146 125401.427 6197745.477 125402.599 6197744.909 125403.595 6197744.731 125403.908 6197744.471 125404.364 6197743.238 125406.526 6197735.069 125402.857 6197734.583 125402.638 6197729.089 125400.171 6197728.412 125399.81 6197714.084 125392.17 6197705.269 125387.47 6197704.948 125386.407 6197703.462 125381.488 6197702.811 125379.332 6197704.943 125379.544 6197705.342 125379.583 6197706.042 125379.653 6197706.259 125380.371 6197707.781 125385.409 6197730.411 125397.476 6197741.111 125402.282 6197741.189 125402.045 6197741.364 125401.738 6197741.812 125400.952 6197744.612 125396.041 6197746.75 125392.292 6197747.814 125390.427 6197755.953 125394.935 6197755.473 125396.172 6197754.751 125398.035 6197754.499 125398.685 6197754.386 125398.641</gml:posList>
            </gml:LinearRing>
          </gml:exterior>
        </gml:Polygon>
      </lmg:Yta>
      <planbestammelsereferens>2f76ad47-227f-4dbf-b52f-17e5872b79f3</planbestammelsereferens>
    </Lage>
    <Indelning>
      <tema>Motiv till detaljplanens regleringar</tema>
      <grupp>Motiv till reglering</grupp>
    </Indelning>
  </Omfattning>
  <Omfattning>
    <identitet>mo_motivtillreglering14</identitet>
    <Lage>
      <lmg:Yta>
        <lmg:absolutLagesosakerhetPlan>0</lmg:absolutLagesosakerhetPlan>
        <lmg:absolutLagesosakerhetHojd>0</lmg:absolutLagesosakerhetHojd>
        <lmg:hojdsystem>RH 2000</lmg:hojdsystem>
        <gml:Polygon gml:id="ID_fa900643-abc7-4dbc-80f8-26a1d9165558" srsName="EPSG:3008" srsDimension="2">
          <gml:exterior>
            <gml:LinearRing gml:id="ID_02451918-7650-4073-8b45-d0fe77d3ac69">
              <gml:posList>6197756.178 125412.338 6197750.241 125409.671 6197748.875 125409.058 6197750.281 125406.401 6197750.533 125405.925 6197750.984 125405.072 6197751.281 125404.511 6197751.321 125404.435 6197751.544 125404.013 6197754.386 125398.641 6197749.331 125395.84 6197746.146 125401.427 6197745.477 125402.599 6197744.909 125403.595 6197744.731 125403.908 6197744.471 125404.364 6197743.238 125406.526 6197735.069 125402.857 6197734.583 125402.638 6197729.089 125400.171 6197728.412 125399.81 6197714.084 125392.17 6197705.269 125387.47 6197704.948 125386.407 6197703.462 125381.488 6197702.811 125379.332 6197704.278 125376.589 6197707.032 125371.436 6197716.506 125353.712 6197717.831 125351.233 6197722.284 125342.904 6197722.723 125342.082 6197725.389 125337.094 6197726.55 125334.923 6197728.116 125331.993 6197729.322 125329.736 6197730.412 125327.697 6197732.962 125322.927 6197775.352 125339.354 6197777.217 125340.076 6197783.278 125342.425 6197780.492 125349.612 6197775.735 125361.883 6197757.264 125409.537 6197756.178 125412.338</gml:posList>
            </gml:LinearRing>
          </gml:exterior>
        </gml:Polygon>
      </lmg:Yta>
      <planbestammelsereferens>0caad44d-2aca-4208-9d30-a72c12e28b8c</planbestammelsereferens>
    </Lage>
    <Lage>
      <lmg:Yta>
        <lmg:absolutLagesosakerhetPlan>0</lmg:absolutLagesosakerhetPlan>
        <lmg:absolutLagesosakerhetHojd>0</lmg:absolutLagesosakerhetHojd>
        <lmg:hojdsystem>RH 2000</lmg:hojdsystem>
        <gml:Polygon gml:id="ID_15924d71-8afa-424e-84bd-0f1f971aed08" srsName="EPSG:3008" srsDimension="2">
          <gml:exterior>
            <gml:LinearRing gml:id="ID_b6144528-6ec4-460c-8be7-9cb7dc98895f">
              <gml:posList>6197756.178 125412.338 6197750.241 125409.671 6197748.875 125409.058 6197750.281 125406.401 6197750.533 125405.925 6197750.984 125405.072 6197751.281 125404.511 6197751.321 125404.435 6197751.544 125404.013 6197754.386 125398.641 6197749.331 125395.84 6197746.146 125401.427 6197745.477 125402.599 6197744.909 125403.595 6197744.731 125403.908 6197744.471 125404.364 6197743.238 125406.526 6197735.069 125402.857 6197734.583 125402.638 6197729.089 125400.171 6197728.412 125399.81 6197714.084 125392.17 6197705.269 125387.47 6197704.948 125386.407 6197703.462 125381.488 6197702.811 125379.332 6197704.278 125376.589 6197707.032 125371.436 6197716.506 125353.712 6197717.831 125351.233 6197722.284 125342.904 6197722.723 125342.082 6197725.389 125337.094 6197726.55 125334.923 6197728.116 125331.993 6197729.322 125329.736 6197730.412 125327.697 6197732.962 125322.927 6197775.352 125339.354 6197777.217 125340.076 6197783.278 125342.425 6197780.492 125349.612 6197775.735 125361.883 6197757.264 125409.537 6197756.178 125412.338</gml:posList>
            </gml:LinearRing>
          </gml:exterior>
        </gml:Polygon>
      </lmg:Yta>
      <planbestammelsereferens>250d56b3-cec0-4da1-ac67-e9599dc9b5c8</planbestammelsereferens>
    </Lage>
    <Indelning>
      <tema>Motiv till detaljplanens regleringar</tema>
      <grupp>Motiv till reglering</grupp>
    </Indelning>
  </Omfattning>
  <Omfattning>
    <identitet>mo_motivtillreglering15</identitet>
    <Lage>
      <lmg:Yta>
        <lmg:absolutLagesosakerhetPlan>0</lmg:absolutLagesosakerhetPlan>
        <lmg:absolutLagesosakerhetHojd>0</lmg:absolutLagesosakerhetHojd>
        <lmg:hojdsystem>RH 2000</lmg:hojdsystem>
        <gml:Polygon gml:id="ID_95199dfe-9323-4905-8897-e792cbe74204" srsName="EPSG:3008" srsDimension="2">
          <gml:exterior>
            <gml:LinearRing gml:id="ID_1ca312c2-4af0-4404-b806-cc75cfaaa922">
              <gml:posList>6197725.389 125337.094 6197726.591 125340.405 6197726.654 125341.093 6197724.506 125345.11 6197721.418 125350.888 6197720.141 125353.275 6197719.127 125355.172 6197710.452 125371.403 6197706.042 125379.653 6197705.342 125379.583 6197704.943 125379.544 6197702.811 125379.332 6197704.278 125376.589 6197707.032 125371.436 6197716.506 125353.712 6197717.831 125351.233 6197722.284 125342.904 6197722.723 125342.082 6197725.389 125337.094</gml:posList>
            </gml:LinearRing>
          </gml:exterior>
        </gml:Polygon>
      </lmg:Yta>
      <planbestammelsereferens>7d55cbe2-8b40-469b-ada5-d9282a70f550</planbestammelsereferens>
    </Lage>
    <Lage>
      <lmg:Yta>
        <lmg:absolutLagesosakerhetPlan>0</lmg:absolutLagesosakerhetPlan>
        <lmg:absolutLagesosakerhetHojd>0</lmg:absolutLagesosakerhetHojd>
        <lmg:hojdsystem>RH 2000</lmg:hojdsystem>
        <gml:Polygon gml:id="ID_3dd7d869-3a1d-40eb-87e2-5dcc7907b37e" srsName="EPSG:3008" srsDimension="2">
          <gml:exterior>
            <gml:LinearRing gml:id="ID_8fde13ee-77a4-41d1-b132-0ddbc7786933">
              <gml:posList>6197725.389 125337.094 6197726.591 125340.405 6197726.654 125341.093 6197724.506 125345.11 6197721.418 125350.888 6197720.141 125353.275 6197719.127 125355.172 6197710.452 125371.403 6197706.042 125379.653 6197705.342 125379.583 6197704.943 125379.544 6197702.811 125379.332 6197704.278 125376.589 6197707.032 125371.436 6197716.506 125353.712 6197717.831 125351.233 6197722.284 125342.904 6197722.723 125342.082 6197725.389 125337.094</gml:posList>
            </gml:LinearRing>
          </gml:exterior>
        </gml:Polygon>
      </lmg:Yta>
      <planbestammelsereferens>746286e0-341a-41f8-a367-7af8344cba3e</planbestammelsereferens>
    </Lage>
    <Lage>
      <lmg:Yta>
        <lmg:absolutLagesosakerhetPlan>0</lmg:absolutLagesosakerhetPlan>
        <lmg:absolutLagesosakerhetHojd>0</lmg:absolutLagesosakerhetHojd>
        <lmg:hojdsystem>RH 2000</lmg:hojdsystem>
        <gml:Polygon gml:id="ID_bb82b1a0-12e4-438a-9e56-b5051db97e11" srsName="EPSG:3008" srsDimension="2">
          <gml:exterior>
            <gml:LinearRing gml:id="ID_6e586802-7ca2-4895-9c78-9bb43920b668">
              <gml:posList>6197725.389 125337.094 6197726.591 125340.405 6197726.654 125341.093 6197724.506 125345.11 6197721.418 125350.888 6197720.141 125353.275 6197719.127 125355.172 6197710.452 125371.403 6197706.042 125379.653 6197705.342 125379.583 6197704.943 125379.544 6197702.811 125379.332 6197704.278 125376.589 6197707.032 125371.436 6197716.506 125353.712 6197717.831 125351.233 6197722.284 125342.904 6197722.723 125342.082 6197725.389 125337.094</gml:posList>
            </gml:LinearRing>
          </gml:exterior>
        </gml:Polygon>
      </lmg:Yta>
      <planbestammelsereferens>e3529c36-37b2-4cff-97bc-288073353d22</planbestammelsereferens>
    </Lage>
    <Indelning>
      <tema>Motiv till detaljplanens regleringar</tema>
      <grupp>Motiv till reglering</grupp>
    </Indelning>
  </Omfattning>
  <Omfattning>
    <identitet>mo_motivtillreglering16</identitet>
    <Lage>
      <lmg:Yta>
        <lmg:absolutLagesosakerhetPlan>0</lmg:absolutLagesosakerhetPlan>
        <lmg:absolutLagesosakerhetHojd>0</lmg:absolutLagesosakerhetHojd>
        <lmg:hojdsystem>RH 2000</lmg:hojdsystem>
        <gml:Polygon gml:id="ID_bd9fe7cc-cf01-4e53-8639-6e034709bda4" srsName="EPSG:3008" srsDimension="2">
          <gml:exterior>
            <gml:LinearRing gml:id="ID_4fc2e640-8861-42d4-86b7-7e25d20d7ac3">
              <gml:posList>6197756.178 125412.338 6197750.241 125409.671 6197748.875 125409.058 6197750.281 125406.401 6197750.533 125405.925 6197750.984 125405.072 6197751.281 125404.511 6197751.321 125404.435 6197751.544 125404.013 6197754.386 125398.641 6197749.331 125395.84 6197746.146 125401.427 6197745.477 125402.599 6197744.909 125403.595 6197744.731 125403.908 6197744.471 125404.364 6197743.238 125406.526 6197735.069 125402.857 6197734.583 125402.638 6197729.089 125400.171 6197728.412 125399.81 6197714.084 125392.17 6197705.269 125387.47 6197704.948 125386.407 6197703.462 125381.488 6197702.811 125379.332 6197704.278 125376.589 6197707.032 125371.436 6197716.506 125353.712 6197717.831 125351.233 6197722.284 125342.904 6197722.723 125342.082 6197725.389 125337.094 6197726.55 125334.923 6197728.116 125331.993 6197729.322 125329.736 6197730.412 125327.697 6197732.962 125322.927 6197775.352 125339.354 6197777.217 125340.076 6197783.278 125342.425 6197780.492 125349.612 6197775.735 125361.883 6197757.264 125409.537 6197756.178 125412.338</gml:posList>
            </gml:LinearRing>
          </gml:exterior>
        </gml:Polygon>
      </lmg:Yta>
      <planbestammelsereferens>8ec4f3ad-ce99-4ce3-b7c9-bb3b83b45e57</planbestammelsereferens>
    </Lage>
    <Lage>
      <lmg:Yta>
        <lmg:absolutLagesosakerhetPlan>0</lmg:absolutLagesosakerhetPlan>
        <lmg:absolutLagesosakerhetHojd>0</lmg:absolutLagesosakerhetHojd>
        <lmg:hojdsystem>RH 2000</lmg:hojdsystem>
        <gml:Polygon gml:id="ID_568ef7cd-3317-481c-b0be-ea28b8b1ad08" srsName="EPSG:3008" srsDimension="2">
          <gml:exterior>
            <gml:LinearRing gml:id="ID_ec6a1577-dd8b-42cc-9623-a5ef5cf463c8">
              <gml:posList>6197756.178 125412.338 6197750.241 125409.671 6197748.875 125409.058 6197750.281 125406.401 6197750.533 125405.925 6197750.984 125405.072 6197751.281 125404.511 6197751.321 125404.435 6197751.544 125404.013 6197754.386 125398.641 6197749.331 125395.84 6197746.146 125401.427 6197745.477 125402.599 6197744.909 125403.595 6197744.731 125403.908 6197744.471 125404.364 6197743.238 125406.526 6197735.069 125402.857 6197734.583 125402.638 6197729.089 125400.171 6197728.412 125399.81 6197714.084 125392.17 6197705.269 125387.47 6197704.948 125386.407 6197703.462 125381.488 6197702.811 125379.332 6197704.278 125376.589 6197707.032 125371.436 6197716.506 125353.712 6197717.831 125351.233 6197722.284 125342.904 6197722.723 125342.082 6197725.389 125337.094 6197726.55 125334.923 6197728.116 125331.993 6197729.322 125329.736 6197730.412 125327.697 6197732.962 125322.927 6197775.352 125339.354 6197777.217 125340.076 6197783.278 125342.425 6197780.492 125349.612 6197775.735 125361.883 6197757.264 125409.537 6197756.178 125412.338</gml:posList>
            </gml:LinearRing>
          </gml:exterior>
        </gml:Polygon>
      </lmg:Yta>
      <planbestammelsereferens>250d56b3-cec0-4da1-ac67-e9599dc9b5c8</planbestammelsereferens>
    </Lage>
    <Indelning>
      <tema>Motiv till detaljplanens regleringar</tema>
      <grupp>Motiv till reglering</grupp>
    </Indelning>
  </Omfattning>
  <Omfattning>
    <identitet>mo_motivtillreglering17</identitet>
    <Lage>
      <lmg:Yta>
        <lmg:absolutLagesosakerhetPlan>0</lmg:absolutLagesosakerhetPlan>
        <lmg:absolutLagesosakerhetHojd>0</lmg:absolutLagesosakerhetHojd>
        <lmg:hojdsystem>RH 2000</lmg:hojdsystem>
        <gml:Polygon gml:id="ID_2f610aba-26e3-4e47-8795-89c61cee3573" srsName="EPSG:3008" srsDimension="2">
          <gml:exterior>
            <gml:LinearRing gml:id="ID_63d20ae6-1e57-4fc1-b67b-8ab2a523e14f">
              <gml:posList>6197756.178 125412.338 6197750.241 125409.671 6197748.875 125409.058 6197750.281 125406.401 6197750.533 125405.925 6197750.984 125405.072 6197751.281 125404.511 6197751.321 125404.435 6197751.544 125404.013 6197754.386 125398.641 6197749.331 125395.84 6197746.146 125401.427 6197745.477 125402.599 6197744.909 125403.595 6197744.731 125403.908 6197744.471 125404.364 6197743.238 125406.526 6197735.069 125402.857 6197734.583 125402.638 6197729.089 125400.171 6197728.412 125399.81 6197714.084 125392.17 6197705.269 125387.47 6197704.948 125386.407 6197703.462 125381.488 6197702.811 125379.332 6197704.278 125376.589 6197707.032 125371.436 6197716.506 125353.712 6197717.831 125351.233 6197722.284 125342.904 6197722.723 125342.082 6197725.389 125337.094 6197726.55 125334.923 6197728.116 125331.993 6197729.322 125329.736 6197730.412 125327.697 6197732.962 125322.927 6197775.352 125339.354 6197777.217 125340.076 6197783.278 125342.425 6197780.492 125349.612 6197775.735 125361.883 6197757.264 125409.537 6197756.178 125412.338</gml:posList>
            </gml:LinearRing>
          </gml:exterior>
        </gml:Polygon>
      </lmg:Yta>
      <planbestammelsereferens>d7eaa471-4727-4df4-976d-ed363ef4ed7b</planbestammelsereferens>
    </Lage>
    <Lage>
      <lmg:Yta>
        <lmg:absolutLagesosakerhetPlan>0</lmg:absolutLagesosakerhetPlan>
        <lmg:absolutLagesosakerhetHojd>0</lmg:absolutLagesosakerhetHojd>
        <lmg:hojdsystem>RH 2000</lmg:hojdsystem>
        <gml:Polygon gml:id="ID_5727dad5-0714-4c77-8eb5-5c72d7399231" srsName="EPSG:3008" srsDimension="2">
          <gml:exterior>
            <gml:LinearRing gml:id="ID_a3e7f201-86b4-471f-a034-5cfcb4f3d0cc">
              <gml:posList>6197756.178 125412.338 6197750.241 125409.671 6197748.875 125409.058 6197750.281 125406.401 6197750.533 125405.925 6197750.984 125405.072 6197751.281 125404.511 6197751.321 125404.435 6197751.544 125404.013 6197754.386 125398.641 6197749.331 125395.84 6197746.146 125401.427 6197745.477 125402.599 6197744.909 125403.595 6197744.731 125403.908 6197744.471 125404.364 6197743.238 125406.526 6197735.069 125402.857 6197734.583 125402.638 6197729.089 125400.171 6197728.412 125399.81 6197714.084 125392.17 6197705.269 125387.47 6197704.948 125386.407 6197703.462 125381.488 6197702.811 125379.332 6197704.278 125376.589 6197707.032 125371.436 6197716.506 125353.712 6197717.831 125351.233 6197722.284 125342.904 6197722.723 125342.082 6197725.389 125337.094 6197726.55 125334.923 6197728.116 125331.993 6197729.322 125329.736 6197730.412 125327.697 6197732.962 125322.927 6197775.352 125339.354 6197777.217 125340.076 6197783.278 125342.425 6197780.492 125349.612 6197775.735 125361.883 6197757.264 125409.537 6197756.178 125412.338</gml:posList>
            </gml:LinearRing>
          </gml:exterior>
        </gml:Polygon>
      </lmg:Yta>
      <planbestammelsereferens>250d56b3-cec0-4da1-ac67-e9599dc9b5c8</planbestammelsereferens>
    </Lage>
    <Indelning>
      <tema>Motiv till detaljplanens regleringar</tema>
      <grupp>Motiv till reglering</grupp>
    </Indelning>
  </Omfattning>
  <Omfattning>
    <identitet>mo_motivtillreglering18</identitet>
    <Lage>
      <lmg:Yta>
        <lmg:absolutLagesosakerhetPlan>0</lmg:absolutLagesosakerhetPlan>
        <lmg:absolutLagesosakerhetHojd>0</lmg:absolutLagesosakerhetHojd>
        <lmg:hojdsystem>RH 2000</lmg:hojdsystem>
        <gml:Polygon gml:id="ID_7a0b8420-2b34-4e98-b84b-dd01597f240d" srsName="EPSG:3008" srsDimension="2">
          <gml:exterior>
            <gml:LinearRing gml:id="ID_1ece0fab-12bc-48fe-8605-c964a9e0ea75">
              <gml:posList>6197775.735 125361.883 6197757.264 125409.537 6197756.178 125412.338 6197750.241 125409.671 6197748.875 125409.058 6197750.281 125406.401 6197750.533 125405.925 6197750.984 125405.072 6197751.281 125404.511 6197751.321 125404.435 6197751.544 125404.013 6197754.386 125398.641 6197754.499 125398.685 6197754.751 125398.035 6197755.473 125396.172 6197755.953 125394.935 6197757.813 125390.136 6197774.313 125347.569 6197775.591 125344.272 6197777.217 125340.076 6197783.278 125342.425 6197780.492 125349.612 6197775.735 125361.883</gml:posList>
            </gml:LinearRing>
          </gml:exterior>
        </gml:Polygon>
      </lmg:Yta>
      <planbestammelsereferens>cc92569d-c1d7-4dad-8bf6-589030dc70f7</planbestammelsereferens>
    </Lage>
    <Lage>
      <lmg:Yta>
        <lmg:absolutLagesosakerhetPlan>0</lmg:absolutLagesosakerhetPlan>
        <lmg:absolutLagesosakerhetHojd>0</lmg:absolutLagesosakerhetHojd>
        <lmg:hojdsystem>RH 2000</lmg:hojdsystem>
        <gml:Polygon gml:id="ID_a90fd844-0270-4bc2-b7e1-1e57c1ff1522" srsName="EPSG:3008" srsDimension="2">
          <gml:exterior>
            <gml:LinearRing gml:id="ID_a6cc544f-4d6c-484b-87d4-e460db61e802">
              <gml:posList>6197775.735 125361.883 6197757.264 125409.537 6197756.178 125412.338 6197750.241 125409.671 6197748.875 125409.058 6197750.281 125406.401 6197750.533 125405.925 6197750.984 125405.072 6197751.281 125404.511 6197751.321 125404.435 6197751.544 125404.013 6197754.386 125398.641 6197754.499 125398.685 6197754.751 125398.035 6197755.473 125396.172 6197755.953 125394.935 6197757.813 125390.136 6197774.313 125347.569 6197775.591 125344.272 6197777.217 125340.076 6197783.278 125342.425 6197780.492 125349.612 6197775.735 125361.883</gml:posList>
            </gml:LinearRing>
          </gml:exterior>
        </gml:Polygon>
      </lmg:Yta>
      <planbestammelsereferens>7d1973ae-e899-4284-a0e0-850e1e43ea20</planbestammelsereferens>
    </Lage>
    <Lage>
      <lmg:Yta>
        <lmg:absolutLagesosakerhetPlan>0</lmg:absolutLagesosakerhetPlan>
        <lmg:absolutLagesosakerhetHojd>0</lmg:absolutLagesosakerhetHojd>
        <lmg:hojdsystem>RH 2000</lmg:hojdsystem>
        <gml:Polygon gml:id="ID_411b541b-f13b-4e1f-ae84-a980f126da9b" srsName="EPSG:3008" srsDimension="2">
          <gml:exterior>
            <gml:LinearRing gml:id="ID_da26ebd3-8bbb-4638-a8b7-3f4d595b2cc9">
              <gml:posList>6197775.735 125361.883 6197757.264 125409.537 6197756.178 125412.338 6197750.241 125409.671 6197748.875 125409.058 6197750.281 125406.401 6197750.533 125405.925 6197750.984 125405.072 6197751.281 125404.511 6197751.321 125404.435 6197751.544 125404.013 6197754.386 125398.641 6197754.499 125398.685 6197754.751 125398.035 6197755.473 125396.172 6197755.953 125394.935 6197757.813 125390.136 6197774.313 125347.569 6197775.591 125344.272 6197777.217 125340.076 6197783.278 125342.425 6197780.492 125349.612 6197775.735 125361.883</gml:posList>
            </gml:LinearRing>
          </gml:exterior>
        </gml:Polygon>
      </lmg:Yta>
      <planbestammelsereferens>c0d861eb-1e81-406e-9729-471126d5dfbb</planbestammelsereferens>
    </Lage>
    <Indelning>
      <tema>Motiv till detaljplanens regleringar</tema>
      <grupp>Motiv till reglering</grupp>
    </Indelning>
  </Omfattning>
  <Omfattning>
    <identitet>mo_motivtillreglering19</identitet>
    <Lage>
      <lmg:Linje>
        <lmg:absolutLagesosakerhetPlan>0</lmg:absolutLagesosakerhetPlan>
        <lmg:absolutLagesosakerhetHojd>0</lmg:absolutLagesosakerhetHojd>
        <lmg:hojdsystem>RH 2000</lmg:hojdsystem>
        <gml:LineString gml:id="ID_ae8b5415-0cf1-4d2b-8384-6f1889c75af7" srsName="EPSG:3008" srsDimension="2">
          <gml:posList>6197756.178 125412.338 6197750.241 125409.671 6197748.875 125409.058</gml:posList>
        </gml:LineString>
      </lmg:Linje>
      <planbestammelsereferens>5940d70f-c71c-4e7e-829d-0df72341a161</planbestammelsereferens>
    </Lage>
    <Lage>
      <lmg:Linje>
        <lmg:absolutLagesosakerhetPlan>0</lmg:absolutLagesosakerhetPlan>
        <lmg:absolutLagesosakerhetHojd>0</lmg:absolutLagesosakerhetHojd>
        <lmg:hojdsystem>RH 2000</lmg:hojdsystem>
        <gml:LineString gml:id="ID_ec64771a-4f12-4261-8de3-6613b13a8772" srsName="EPSG:3008" srsDimension="2">
          <gml:posList>6197743.238 125406.526 6197735.069 125402.857 6197734.583 125402.638 6197729.089 125400.171 6197728.412 125399.81 6197714.084 125392.17 6197705.269 125387.47 6197704.948 125386.407 6197703.462 125381.488 6197702.811 125379.332</gml:posList>
        </gml:LineString>
      </lmg:Linje>
      <planbestammelsereferens>1f8e4478-4365-492f-8444-3e09b5fa74c0</planbestammelsereferens>
    </Lage>
    <Indelning>
      <tema>Motiv till detaljplanens regleringar</tema>
      <grupp>Motiv till reglering</grupp>
    </Indelning>
  </Omfattning>
  <Omfattning>
    <identitet>sy_syfte02</identitet>
    <Lage>
      <lmg:Yta>
        <lmg:absolutLagesosakerhetPlan>0</lmg:absolutLagesosakerhetPlan>
        <lmg:absolutLagesosakerhetHojd>0</lmg:absolutLagesosakerhetHojd>
        <lmg:hojdsystem>RH 2000</lmg:hojdsystem>
        <gml:Polygon gml:id="ID_3c1aca47-e4a9-4eca-8763-af895aabcd00" srsName="EPSG:3008" srsDimension="2">
          <gml:exterior>
            <gml:LinearRing gml:id="ID_1e0012dd-61e9-465a-bf04-4f12d3f23304">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Detaljplanens syfte</tema>
      <grupp>Syfte</grupp>
    </Indelning>
  </Omfattning>
  <Omfattning>
    <identitet>ko_annat01</identitet>
    <Lage>
      <planomrade>true</planomrade>
    </Lage>
    <Indelning>
      <tema>Konsekvenser</tema>
      <grupp>Annat</grupp>
    </Indelning>
  </Omfattning>
  <Omfattning>
    <identitet>ko_annat02</identitet>
    <Lage>
      <lmg:Yta>
        <lmg:absolutLagesosakerhetPlan>0</lmg:absolutLagesosakerhetPlan>
        <lmg:absolutLagesosakerhetHojd>0</lmg:absolutLagesosakerhetHojd>
        <lmg:hojdsystem>RH 2000</lmg:hojdsystem>
        <gml:Polygon gml:id="ID_ffa86c09-e6c5-4077-bf2c-3ddb20d1f88e" srsName="EPSG:3008" srsDimension="2">
          <gml:exterior>
            <gml:LinearRing gml:id="ID_9e68e49b-5886-4b4e-8e3f-d5791695eac4">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Konsekvenser</tema>
      <grupp>Annat</grupp>
    </Indelning>
  </Omfattning>
  <Omfattning>
    <identitet>pf_detaljplan01</identitet>
    <Lage>
      <lmg:Yta>
        <lmg:absolutLagesosakerhetPlan>0</lmg:absolutLagesosakerhetPlan>
        <lmg:absolutLagesosakerhetHojd>0</lmg:absolutLagesosakerhetHojd>
        <lmg:hojdsystem>RH 2000</lmg:hojdsystem>
        <gml:Polygon gml:id="ID_f9d0d442-f299-459c-b3f7-f4ac93dd4c2c" srsName="EPSG:3008" srsDimension="2">
          <gml:exterior>
            <gml:LinearRing gml:id="ID_48f05a4b-22b1-4b24-9986-c07a7b72b8f9">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Planeringsförutsättningar</tema>
      <grupp>Kommunala</grupp>
      <undergrupp>Detaljplan</undergrupp>
    </Indelning>
  </Omfattning>
  <Omfattning>
    <identitet>ko_annat03</identitet>
    <Lage>
      <lmg:Yta>
        <lmg:absolutLagesosakerhetPlan>0</lmg:absolutLagesosakerhetPlan>
        <lmg:absolutLagesosakerhetHojd>0</lmg:absolutLagesosakerhetHojd>
        <lmg:hojdsystem>RH 2000</lmg:hojdsystem>
        <gml:Polygon gml:id="ID_2e52a196-7489-4bf1-8154-492b433870a5" srsName="EPSG:3008" srsDimension="2">
          <gml:exterior>
            <gml:LinearRing gml:id="ID_874f86d2-573d-4b04-a599-293b66039ce0">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Konsekvenser</tema>
      <grupp>Annat</grupp>
    </Indelning>
  </Omfattning>
  <Omfattning>
    <identitet>ko_totalförsvar01</identitet>
    <Lage>
      <planomrade>true</planomrade>
    </Lage>
    <Indelning>
      <tema>Konsekvenser</tema>
      <grupp>Riksintresse</grupp>
      <undergrupp>Totalförsvar</undergrupp>
    </Indelning>
  </Omfattning>
  <Omfattning>
    <identitet>pf_trafikkommunikation02</identitet>
    <Lage>
      <lmg:Yta>
        <lmg:absolutLagesosakerhetPlan>0</lmg:absolutLagesosakerhetPlan>
        <lmg:absolutLagesosakerhetHojd>0</lmg:absolutLagesosakerhetHojd>
        <lmg:hojdsystem>RH 2000</lmg:hojdsystem>
        <gml:Polygon gml:id="ID_07afc317-d44f-4992-994b-1c4529605105" srsName="EPSG:3008" srsDimension="2">
          <gml:exterior>
            <gml:LinearRing gml:id="ID_35bbc450-d6c3-4072-a3c5-6196606b1eaa">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Planeringsförutsättningar</tema>
      <grupp>Riksintressen</grupp>
      <undergrupp>Trafikkommunikation</undergrupp>
    </Indelning>
  </Omfattning>
  <Omfattning>
    <identitet>ko_totalförsvar02</identitet>
    <Lage>
      <lmg:Yta>
        <lmg:absolutLagesosakerhetPlan>0</lmg:absolutLagesosakerhetPlan>
        <lmg:absolutLagesosakerhetHojd>0</lmg:absolutLagesosakerhetHojd>
        <lmg:hojdsystem>RH 2000</lmg:hojdsystem>
        <gml:Polygon gml:id="ID_48baba8b-7a27-4611-a42a-f9aebd4ce419" srsName="EPSG:3008" srsDimension="2">
          <gml:exterior>
            <gml:LinearRing gml:id="ID_74eae449-a73c-4608-a703-5747b3c48bfe">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Konsekvenser</tema>
      <grupp>Riksintresse</grupp>
      <undergrupp>Totalförsvar</undergrupp>
    </Indelning>
  </Omfattning>
  <Omfattning>
    <identitet>pf_trafikkommunikation03</identitet>
    <Lage>
      <lmg:Yta>
        <lmg:absolutLagesosakerhetPlan>0</lmg:absolutLagesosakerhetPlan>
        <lmg:absolutLagesosakerhetHojd>0</lmg:absolutLagesosakerhetHojd>
        <lmg:hojdsystem>RH 2000</lmg:hojdsystem>
        <gml:Polygon gml:id="ID_482b6c54-9599-4b98-a74d-693670c19143" srsName="EPSG:3008" srsDimension="2">
          <gml:exterior>
            <gml:LinearRing gml:id="ID_db995a52-ff26-4427-a325-119f466877f9">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Planeringsförutsättningar</tema>
      <grupp>Riksintressen</grupp>
      <undergrupp>Trafikkommunikation</undergrupp>
    </Indelning>
  </Omfattning>
  <Omfattning>
    <identitet>ko_trafikkommunikation01</identitet>
    <Lage>
      <planomrade>true</planomrade>
    </Lage>
    <Indelning>
      <tema>Konsekvenser</tema>
      <grupp>Riksintresse</grupp>
      <undergrupp>Trafikkommunikation</undergrupp>
    </Indelning>
  </Omfattning>
  <Omfattning>
    <identitet>pf_hushållningsbestämmelserenl3kap_mb01</identitet>
    <Lage>
      <planomrade>true</planomrade>
    </Lage>
    <Indelning>
      <tema>Planeringsförutsättningar</tema>
      <grupp>Hushållningsbestämmelser enligt 3 kap. miljöbalken</grupp>
    </Indelning>
  </Omfattning>
  <Omfattning>
    <identitet>ko_hushållningsbestämmelserenl3kap_mb01</identitet>
    <Lage>
      <planomrade>true</planomrade>
    </Lage>
    <Indelning>
      <tema>Konsekvenser</tema>
      <grupp>Hushållningsbestämmelser enligt 3 kap. miljöbalken</grupp>
    </Indelning>
  </Omfattning>
  <Omfattning>
    <identitet>pf_miljökvalitetsnormer01</identitet>
    <Lage>
      <planomrade>true</planomrade>
    </Lage>
    <Indelning>
      <tema>Planeringsförutsättningar</tema>
      <grupp>Miljökvalitetsnormer</grupp>
    </Indelning>
  </Omfattning>
  <Omfattning>
    <identitet>ko_miljökvalitetsnormer01</identitet>
    <Lage>
      <planomrade>true</planomrade>
    </Lage>
    <Indelning>
      <tema>Konsekvenser</tema>
      <grupp>Miljökvalitetsnormer</grupp>
    </Indelning>
  </Omfattning>
  <Omfattning>
    <identitet>pf_miljökvalitetsnormer02</identitet>
    <Lage>
      <lmg:Yta>
        <lmg:absolutLagesosakerhetPlan>0</lmg:absolutLagesosakerhetPlan>
        <lmg:absolutLagesosakerhetHojd>0</lmg:absolutLagesosakerhetHojd>
        <lmg:hojdsystem>RH 2000</lmg:hojdsystem>
        <gml:Polygon gml:id="ID_da20e736-1609-4d75-a1fe-e737f162c304" srsName="EPSG:3008" srsDimension="2">
          <gml:exterior>
            <gml:LinearRing gml:id="ID_d0535782-4c0e-4e12-b0a0-6f8d1f21055a">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Planeringsförutsättningar</tema>
      <grupp>Miljökvalitetsnormer</grupp>
    </Indelning>
  </Omfattning>
  <Omfattning>
    <identitet>ko_miljökvalitetsnormer02</identitet>
    <Lage>
      <lmg:Yta>
        <lmg:absolutLagesosakerhetPlan>0</lmg:absolutLagesosakerhetPlan>
        <lmg:absolutLagesosakerhetHojd>0</lmg:absolutLagesosakerhetHojd>
        <lmg:hojdsystem>RH 2000</lmg:hojdsystem>
        <gml:Polygon gml:id="ID_ca47a085-1ec9-47ef-80c4-2a5504cd9211" srsName="EPSG:3008" srsDimension="2">
          <gml:exterior>
            <gml:LinearRing gml:id="ID_8e87a141-d923-4916-bd15-b0f5f3a2bd3c">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Konsekvenser</tema>
      <grupp>Miljökvalitetsnormer</grupp>
    </Indelning>
  </Omfattning>
  <Omfattning>
    <identitet>pu_särskiltbeslutombetydandemiljöpåver02</identitet>
    <Lage>
      <lmg:Yta>
        <lmg:absolutLagesosakerhetPlan>0</lmg:absolutLagesosakerhetPlan>
        <lmg:absolutLagesosakerhetHojd>0</lmg:absolutLagesosakerhetHojd>
        <lmg:hojdsystem>RH 2000</lmg:hojdsystem>
        <gml:Polygon gml:id="ID_89f17f80-1acf-4764-8fcc-93768262cc75" srsName="EPSG:3008" srsDimension="2">
          <gml:exterior>
            <gml:LinearRing gml:id="ID_c7e15ba4-ef9b-45af-b7df-7dc595849fb6">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Planeringsunderlag</tema>
      <grupp>Kommunala</grupp>
      <undergrupp>Särskilt beslut om betydande miljöpåverkan</undergrupp>
    </Indelning>
  </Omfattning>
  <Omfattning>
    <identitet>ko_beräkningavomgivningsbuller01</identitet>
    <Lage>
      <planomrade>true</planomrade>
    </Lage>
    <Indelning>
      <tema>Konsekvenser</tema>
      <grupp>Hälsa och säkerhet</grupp>
      <undergrupp>Beräkning av omgivningsbuller</undergrupp>
    </Indelning>
  </Omfattning>
  <Omfattning>
    <identitet>pf_omgivningsbuller01</identitet>
    <Lage>
      <lmg:Yta>
        <lmg:absolutLagesosakerhetPlan>0</lmg:absolutLagesosakerhetPlan>
        <lmg:absolutLagesosakerhetHojd>0</lmg:absolutLagesosakerhetHojd>
        <lmg:hojdsystem>RH 2000</lmg:hojdsystem>
        <gml:Polygon gml:id="ID_084299d2-5363-442e-a2f6-d96d6cb2685f" srsName="EPSG:3008" srsDimension="2">
          <gml:exterior>
            <gml:LinearRing gml:id="ID_97ffe3d8-0b6f-4a63-912c-0af8e0179a01">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Planeringsförutsättningar</tema>
      <grupp>Hälsa och säkerhet</grupp>
      <undergrupp>Omgivningsbuller</undergrupp>
    </Indelning>
  </Omfattning>
  <Omfattning>
    <identitet>ko_översvämning01</identitet>
    <Lage>
      <planomrade>true</planomrade>
    </Lage>
    <Indelning>
      <tema>Konsekvenser</tema>
      <grupp>Hälsa och säkerhet</grupp>
      <undergrupp>Översvämning</undergrupp>
    </Indelning>
  </Omfattning>
  <Omfattning>
    <identitet>pf_riskföröversvämning01</identitet>
    <Lage>
      <lmg:Yta>
        <lmg:absolutLagesosakerhetPlan>0</lmg:absolutLagesosakerhetPlan>
        <lmg:absolutLagesosakerhetHojd>0</lmg:absolutLagesosakerhetHojd>
        <lmg:hojdsystem>RH 2000</lmg:hojdsystem>
        <gml:Polygon gml:id="ID_49fdf939-729a-47c5-a38d-c1f39eddc599" srsName="EPSG:3008" srsDimension="2">
          <gml:exterior>
            <gml:LinearRing gml:id="ID_39d07411-0d77-4794-aedb-b62061df30d9">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Planeringsförutsättningar</tema>
      <grupp>Hälsa och säkerhet</grupp>
      <undergrupp>Risk för översvämning</undergrupp>
    </Indelning>
  </Omfattning>
  <Omfattning>
    <identitet>pf_miljö01</identitet>
    <Lage>
      <planomrade>true</planomrade>
    </Lage>
    <Indelning>
      <tema>Planeringsförutsättningar</tema>
      <grupp>Miljö</grupp>
    </Indelning>
  </Omfattning>
  <Omfattning>
    <identitet>ko_miljö01</identitet>
    <Lage>
      <planomrade>true</planomrade>
    </Lage>
    <Indelning>
      <tema>Konsekvenser</tema>
      <grupp>Miljö</grupp>
    </Indelning>
  </Omfattning>
  <Omfattning>
    <identitet>ko_dagvatten01</identitet>
    <Lage>
      <planomrade>true</planomrade>
    </Lage>
    <Indelning>
      <tema>Konsekvenser</tema>
      <grupp>Miljö</grupp>
      <undergrupp>Dagvatten</undergrupp>
    </Indelning>
  </Omfattning>
  <Omfattning>
    <identitet>pf_dagvatten01</identitet>
    <Lage>
      <lmg:Yta>
        <lmg:absolutLagesosakerhetPlan>0</lmg:absolutLagesosakerhetPlan>
        <lmg:absolutLagesosakerhetHojd>0</lmg:absolutLagesosakerhetHojd>
        <lmg:hojdsystem>RH 2000</lmg:hojdsystem>
        <gml:Polygon gml:id="ID_a90b457f-e0c7-46a0-8de7-a52cfee2184a" srsName="EPSG:3008" srsDimension="2">
          <gml:exterior>
            <gml:LinearRing gml:id="ID_8c8cfc1f-7dba-4ee3-8b5e-8d3c354a0d8e">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Planeringsförutsättningar</tema>
      <grupp>Miljö</grupp>
      <undergrupp>Dagvatten</undergrupp>
    </Indelning>
  </Omfattning>
  <Omfattning>
    <identitet>pf_förorenadmark01</identitet>
    <Lage>
      <lmg:Yta>
        <lmg:absolutLagesosakerhetPlan>0</lmg:absolutLagesosakerhetPlan>
        <lmg:absolutLagesosakerhetHojd>0</lmg:absolutLagesosakerhetHojd>
        <lmg:hojdsystem>RH 2000</lmg:hojdsystem>
        <gml:Polygon gml:id="ID_ed50866b-61d2-4718-b17d-b4492522219d" srsName="EPSG:3008" srsDimension="2">
          <gml:exterior>
            <gml:LinearRing gml:id="ID_fad2360b-55ea-4724-9760-1a9377bf344d">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Planeringsförutsättningar</tema>
      <grupp>Hälsa och säkerhet</grupp>
      <undergrupp>Förorenad mark</undergrupp>
    </Indelning>
  </Omfattning>
  <Omfattning>
    <identitet>ko_annat04</identitet>
    <Lage>
      <lmg:Yta>
        <lmg:absolutLagesosakerhetPlan>0</lmg:absolutLagesosakerhetPlan>
        <lmg:absolutLagesosakerhetHojd>0</lmg:absolutLagesosakerhetHojd>
        <lmg:hojdsystem>RH 2000</lmg:hojdsystem>
        <gml:Polygon gml:id="ID_eaa68438-1064-4913-a837-cca4ad4b6c8d" srsName="EPSG:3008" srsDimension="2">
          <gml:exterior>
            <gml:LinearRing gml:id="ID_0c4bfdf1-8428-473f-ab4f-1a56338ddcdf">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Konsekvenser</tema>
      <grupp>Annat</grupp>
    </Indelning>
  </Omfattning>
  <Omfattning>
    <identitet>pf_geotekniskaförhållanden01</identitet>
    <Lage>
      <lmg:Yta>
        <lmg:absolutLagesosakerhetPlan>0</lmg:absolutLagesosakerhetPlan>
        <lmg:absolutLagesosakerhetHojd>0</lmg:absolutLagesosakerhetHojd>
        <lmg:hojdsystem>RH 2000</lmg:hojdsystem>
        <gml:Polygon gml:id="ID_235cf623-72fe-4b6a-b0c2-6fb856fc0bbf" srsName="EPSG:3008" srsDimension="2">
          <gml:exterior>
            <gml:LinearRing gml:id="ID_71ed9fb2-189f-4366-a93a-7be77c0de162">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Planeringsförutsättningar</tema>
      <grupp>Geotekniska förhållanden</grupp>
    </Indelning>
  </Omfattning>
  <Omfattning>
    <identitet>pf_6_82markradon01</identitet>
    <Lage>
      <lmg:Yta>
        <lmg:absolutLagesosakerhetPlan>0</lmg:absolutLagesosakerhetPlan>
        <lmg:absolutLagesosakerhetHojd>0</lmg:absolutLagesosakerhetHojd>
        <lmg:hojdsystem>RH 2000</lmg:hojdsystem>
        <gml:Polygon gml:id="ID_576ccd41-caee-4d29-b860-9b99cdc3d205" srsName="EPSG:3008" srsDimension="2">
          <gml:exterior>
            <gml:LinearRing gml:id="ID_73e18be4-701b-4c6c-8595-8f3f439970f0">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Planeringsförutsättningar</tema>
      <grupp>Geotekniska förhållanden</grupp>
      <undergrupp>6.8.2 Markradon</undergrupp>
    </Indelning>
  </Omfattning>
  <Omfattning>
    <identitet>pf_hydrologiskaförhållanden01</identitet>
    <Lage>
      <lmg:Yta>
        <lmg:absolutLagesosakerhetPlan>0</lmg:absolutLagesosakerhetPlan>
        <lmg:absolutLagesosakerhetHojd>0</lmg:absolutLagesosakerhetHojd>
        <lmg:hojdsystem>RH 2000</lmg:hojdsystem>
        <gml:Polygon gml:id="ID_48f9a9c1-60df-43e3-98dc-312abc0e4ba6" srsName="EPSG:3008" srsDimension="2">
          <gml:exterior>
            <gml:LinearRing gml:id="ID_8a2d904a-d3d6-4b70-ab31-da045c673973">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Planeringsförutsättningar</tema>
      <grupp>Hydrologiska förhållanden</grupp>
    </Indelning>
  </Omfattning>
  <Omfattning>
    <identitet>ko_annat05</identitet>
    <Lage>
      <lmg:Yta>
        <lmg:absolutLagesosakerhetPlan>0</lmg:absolutLagesosakerhetPlan>
        <lmg:absolutLagesosakerhetHojd>0</lmg:absolutLagesosakerhetHojd>
        <lmg:hojdsystem>RH 2000</lmg:hojdsystem>
        <gml:Polygon gml:id="ID_c0e9797c-e834-49d0-bfa6-4bc978d21992" srsName="EPSG:3008" srsDimension="2">
          <gml:exterior>
            <gml:LinearRing gml:id="ID_6013bede-9a58-4df2-8550-a5fa1ddd333b">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Konsekvenser</tema>
      <grupp>Annat</grupp>
    </Indelning>
  </Omfattning>
  <Omfattning>
    <identitet>pf_hälsaochsäkerhet01</identitet>
    <Lage>
      <planomrade>true</planomrade>
    </Lage>
    <Indelning>
      <tema>Planeringsförutsättningar</tema>
      <grupp>Hälsa och säkerhet</grupp>
    </Indelning>
  </Omfattning>
  <Omfattning>
    <identitet>pf_annat01</identitet>
    <Lage>
      <planomrade>true</planomrade>
    </Lage>
    <Indelning>
      <tema>Planeringsförutsättningar</tema>
      <grupp>Annat</grupp>
    </Indelning>
  </Omfattning>
  <Omfattning>
    <identitet>ko_annat06</identitet>
    <Lage>
      <lmg:Yta>
        <lmg:absolutLagesosakerhetPlan>0</lmg:absolutLagesosakerhetPlan>
        <lmg:absolutLagesosakerhetHojd>0</lmg:absolutLagesosakerhetHojd>
        <lmg:hojdsystem>RH 2000</lmg:hojdsystem>
        <gml:Polygon gml:id="ID_d3a74a03-d5ef-4d46-b5da-61aa1828434d" srsName="EPSG:3008" srsDimension="2">
          <gml:exterior>
            <gml:LinearRing gml:id="ID_654036cf-8ed4-4747-85f5-2670138f4f06">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Konsekvenser</tema>
      <grupp>Annat</grupp>
    </Indelning>
  </Omfattning>
  <Omfattning>
    <identitet>pf_annat02</identitet>
    <Lage>
      <lmg:Yta>
        <lmg:absolutLagesosakerhetPlan>0</lmg:absolutLagesosakerhetPlan>
        <lmg:absolutLagesosakerhetHojd>0</lmg:absolutLagesosakerhetHojd>
        <lmg:hojdsystem>RH 2000</lmg:hojdsystem>
        <gml:Polygon gml:id="ID_01a5ca97-0f38-4499-aa5e-fa3e24961bc8" srsName="EPSG:3008" srsDimension="2">
          <gml:exterior>
            <gml:LinearRing gml:id="ID_4544dd04-fa12-4693-ab4d-672c7c53a5b8">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Planeringsförutsättningar</tema>
      <grupp>Annat</grupp>
    </Indelning>
  </Omfattning>
  <Omfattning>
    <identitet>ko_annat07</identitet>
    <Lage>
      <lmg:Yta>
        <lmg:absolutLagesosakerhetPlan>0</lmg:absolutLagesosakerhetPlan>
        <lmg:absolutLagesosakerhetHojd>0</lmg:absolutLagesosakerhetHojd>
        <lmg:hojdsystem>RH 2000</lmg:hojdsystem>
        <gml:Polygon gml:id="ID_defdaf35-96ed-4637-afd8-5407d4bba14c" srsName="EPSG:3008" srsDimension="2">
          <gml:exterior>
            <gml:LinearRing gml:id="ID_0e2ef59e-f427-406c-ab15-b48862f83f7d">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Konsekvenser</tema>
      <grupp>Annat</grupp>
    </Indelning>
  </Omfattning>
  <Omfattning>
    <identitet>pf_service02</identitet>
    <Lage>
      <lmg:Yta>
        <lmg:absolutLagesosakerhetPlan>0</lmg:absolutLagesosakerhetPlan>
        <lmg:absolutLagesosakerhetHojd>0</lmg:absolutLagesosakerhetHojd>
        <lmg:hojdsystem>RH 2000</lmg:hojdsystem>
        <gml:Polygon gml:id="ID_90d61946-77c1-43b6-a4f5-aee154d5cbd3" srsName="EPSG:3008" srsDimension="2">
          <gml:exterior>
            <gml:LinearRing gml:id="ID_a20cf668-8efd-44d5-b562-7ae5dfea41a1">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Planeringsförutsättningar</tema>
      <grupp>Service</grupp>
    </Indelning>
  </Omfattning>
  <Omfattning>
    <identitet>pf_trafik01</identitet>
    <Lage>
      <planomrade>true</planomrade>
    </Lage>
    <Indelning>
      <tema>Planeringsförutsättningar</tema>
      <grupp>Trafik</grupp>
    </Indelning>
  </Omfattning>
  <Omfattning>
    <identitet>ko_gångochcykeltrafik01</identitet>
    <Lage>
      <planomrade>true</planomrade>
    </Lage>
    <Indelning>
      <tema>Konsekvenser</tema>
      <grupp>Trafik</grupp>
      <undergrupp>Gång- och cykeltrafik</undergrupp>
    </Indelning>
  </Omfattning>
  <Omfattning>
    <identitet>pf_trafik02</identitet>
    <Lage>
      <lmg:Yta>
        <lmg:absolutLagesosakerhetPlan>0</lmg:absolutLagesosakerhetPlan>
        <lmg:absolutLagesosakerhetHojd>0</lmg:absolutLagesosakerhetHojd>
        <lmg:hojdsystem>RH 2000</lmg:hojdsystem>
        <gml:Polygon gml:id="ID_c824dff2-3974-4568-a050-05b964f6dd67" srsName="EPSG:3008" srsDimension="2">
          <gml:exterior>
            <gml:LinearRing gml:id="ID_0e70f95a-81fa-4d75-822e-9b2b2ec14009">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Planeringsförutsättningar</tema>
      <grupp>Trafik</grupp>
    </Indelning>
  </Omfattning>
  <Omfattning>
    <identitet>ko_trafik01</identitet>
    <Lage>
      <planomrade>true</planomrade>
    </Lage>
    <Indelning>
      <tema>Konsekvenser</tema>
      <grupp>Trafik</grupp>
    </Indelning>
  </Omfattning>
  <Omfattning>
    <identitet>pf_trafik03</identitet>
    <Lage>
      <lmg:Yta>
        <lmg:absolutLagesosakerhetPlan>0</lmg:absolutLagesosakerhetPlan>
        <lmg:absolutLagesosakerhetHojd>0</lmg:absolutLagesosakerhetHojd>
        <lmg:hojdsystem>RH 2000</lmg:hojdsystem>
        <gml:Polygon gml:id="ID_325a2978-eead-4319-bbf1-bc7e6c737f22" srsName="EPSG:3008" srsDimension="2">
          <gml:exterior>
            <gml:LinearRing gml:id="ID_6930d78b-8e7f-4783-8b3e-8a2ca95974a3">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Planeringsförutsättningar</tema>
      <grupp>Trafik</grupp>
    </Indelning>
  </Omfattning>
  <Omfattning>
    <identitet>ko_trafik02</identitet>
    <Lage>
      <lmg:Yta>
        <lmg:absolutLagesosakerhetPlan>0</lmg:absolutLagesosakerhetPlan>
        <lmg:absolutLagesosakerhetHojd>0</lmg:absolutLagesosakerhetHojd>
        <lmg:hojdsystem>RH 2000</lmg:hojdsystem>
        <gml:Polygon gml:id="ID_85b00b0c-00dc-4f77-9ec0-44b5347d9a68" srsName="EPSG:3008" srsDimension="2">
          <gml:exterior>
            <gml:LinearRing gml:id="ID_837e07ff-36d7-4b26-9343-0059186dee68">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Konsekvenser</tema>
      <grupp>Trafik</grupp>
    </Indelning>
  </Omfattning>
  <Omfattning>
    <identitet>pf_trafik04</identitet>
    <Lage>
      <lmg:Yta>
        <lmg:absolutLagesosakerhetPlan>0</lmg:absolutLagesosakerhetPlan>
        <lmg:absolutLagesosakerhetHojd>0</lmg:absolutLagesosakerhetHojd>
        <lmg:hojdsystem>RH 2000</lmg:hojdsystem>
        <gml:Polygon gml:id="ID_0a352f26-180c-481a-ab26-22e5c5d623df" srsName="EPSG:3008" srsDimension="2">
          <gml:exterior>
            <gml:LinearRing gml:id="ID_bfd015c9-a105-4507-8423-234c69c79548">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Planeringsförutsättningar</tema>
      <grupp>Trafik</grupp>
    </Indelning>
  </Omfattning>
  <Omfattning>
    <identitet>ko_trafik03</identitet>
    <Lage>
      <lmg:Yta>
        <lmg:absolutLagesosakerhetPlan>0</lmg:absolutLagesosakerhetPlan>
        <lmg:absolutLagesosakerhetHojd>0</lmg:absolutLagesosakerhetHojd>
        <lmg:hojdsystem>RH 2000</lmg:hojdsystem>
        <gml:Polygon gml:id="ID_f128a2b1-636d-45a7-9c50-884f7356f4be" srsName="EPSG:3008" srsDimension="2">
          <gml:exterior>
            <gml:LinearRing gml:id="ID_7d65684c-f01e-43a3-a7e2-ac2b1ee0ea68">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Konsekvenser</tema>
      <grupp>Trafik</grupp>
    </Indelning>
  </Omfattning>
  <Omfattning>
    <identitet>pf_trafik05</identitet>
    <Lage>
      <lmg:Yta>
        <lmg:absolutLagesosakerhetPlan>0</lmg:absolutLagesosakerhetPlan>
        <lmg:absolutLagesosakerhetHojd>0</lmg:absolutLagesosakerhetHojd>
        <lmg:hojdsystem>RH 2000</lmg:hojdsystem>
        <gml:Polygon gml:id="ID_81fc0eaf-1069-40ad-a699-b9a30c50d52a" srsName="EPSG:3008" srsDimension="2">
          <gml:exterior>
            <gml:LinearRing gml:id="ID_3e484b7d-a768-4c2f-bb6c-f1ccfa61637d">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Planeringsförutsättningar</tema>
      <grupp>Trafik</grupp>
    </Indelning>
  </Omfattning>
  <Omfattning>
    <identitet>ko_trafik04</identitet>
    <Lage>
      <lmg:Yta>
        <lmg:absolutLagesosakerhetPlan>0</lmg:absolutLagesosakerhetPlan>
        <lmg:absolutLagesosakerhetHojd>0</lmg:absolutLagesosakerhetHojd>
        <lmg:hojdsystem>RH 2000</lmg:hojdsystem>
        <gml:Polygon gml:id="ID_77fa23a5-9717-4679-9a19-5ff072d8a8ac" srsName="EPSG:3008" srsDimension="2">
          <gml:exterior>
            <gml:LinearRing gml:id="ID_58d85cc9-8fba-44cd-b1bf-a527ef096209">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Konsekvenser</tema>
      <grupp>Trafik</grupp>
    </Indelning>
  </Omfattning>
  <Omfattning>
    <identitet>pf_6_13tekniskförsörjning01</identitet>
    <Lage>
      <lmg:Yta>
        <lmg:absolutLagesosakerhetPlan>0</lmg:absolutLagesosakerhetPlan>
        <lmg:absolutLagesosakerhetHojd>0</lmg:absolutLagesosakerhetHojd>
        <lmg:hojdsystem>RH 2000</lmg:hojdsystem>
        <gml:Polygon gml:id="ID_b7b0f7f3-f405-49bb-9f0f-7de67a863dde" srsName="EPSG:3008" srsDimension="2">
          <gml:exterior>
            <gml:LinearRing gml:id="ID_b6bd88c7-5ee1-43ea-9871-99b2ed6a6c42">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Lage>
      <lmg:Yta>
        <lmg:absolutLagesosakerhetPlan>0</lmg:absolutLagesosakerhetPlan>
        <lmg:absolutLagesosakerhetHojd>0</lmg:absolutLagesosakerhetHojd>
        <lmg:hojdsystem>RH 2000</lmg:hojdsystem>
        <gml:Polygon gml:id="ID_1e4cee4f-7896-4897-9e70-7b5fa9ed0a0f" srsName="EPSG:3008" srsDimension="2">
          <gml:exterior>
            <gml:LinearRing gml:id="ID_8e9cf1db-685c-4ce4-92cd-9ec3d812cb6c">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Planeringsförutsättningar</tema>
      <grupp>Teknik</grupp>
      <undergrupp>6.13 Teknisk försörjning</undergrupp>
    </Indelning>
  </Omfattning>
  <Omfattning>
    <identitet>ko_annat08</identitet>
    <Lage>
      <lmg:Yta>
        <lmg:absolutLagesosakerhetPlan>0</lmg:absolutLagesosakerhetPlan>
        <lmg:absolutLagesosakerhetHojd>0</lmg:absolutLagesosakerhetHojd>
        <lmg:hojdsystem>RH 2000</lmg:hojdsystem>
        <gml:Polygon gml:id="ID_51f9273f-c076-4bf1-a28a-f406faa51f81" srsName="EPSG:3008" srsDimension="2">
          <gml:exterior>
            <gml:LinearRing gml:id="ID_c71c893b-17de-495e-a38d-325556f24438">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Konsekvenser</tema>
      <grupp>Annat</grupp>
    </Indelning>
  </Omfattning>
  <Omfattning>
    <identitet>pf_6_13tekniskförsörjning02</identitet>
    <Lage>
      <lmg:Yta>
        <lmg:absolutLagesosakerhetPlan>0</lmg:absolutLagesosakerhetPlan>
        <lmg:absolutLagesosakerhetHojd>0</lmg:absolutLagesosakerhetHojd>
        <lmg:hojdsystem>RH 2000</lmg:hojdsystem>
        <gml:Polygon gml:id="ID_10cbab6b-bd3f-46d9-9534-257310670bce" srsName="EPSG:3008" srsDimension="2">
          <gml:exterior>
            <gml:LinearRing gml:id="ID_7f2ef408-d87e-4427-80b5-a73055cf5eba">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Planeringsförutsättningar</tema>
      <grupp>Teknik</grupp>
      <undergrupp>6.13 Teknisk försörjning</undergrupp>
    </Indelning>
  </Omfattning>
  <Omfattning>
    <identitet>ko_annat09</identitet>
    <Lage>
      <lmg:Yta>
        <lmg:absolutLagesosakerhetPlan>0</lmg:absolutLagesosakerhetPlan>
        <lmg:absolutLagesosakerhetHojd>0</lmg:absolutLagesosakerhetHojd>
        <lmg:hojdsystem>RH 2000</lmg:hojdsystem>
        <gml:Polygon gml:id="ID_e7493f5f-550a-4629-879f-7d6dfa6b2390" srsName="EPSG:3008" srsDimension="2">
          <gml:exterior>
            <gml:LinearRing gml:id="ID_1c110d3c-2999-4c92-81e9-2d204ed43e74">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Konsekvenser</tema>
      <grupp>Annat</grupp>
    </Indelning>
  </Omfattning>
  <Omfattning>
    <identitet>pf_6_13tekniskförsörjning03</identitet>
    <Lage>
      <lmg:Yta>
        <lmg:absolutLagesosakerhetPlan>0</lmg:absolutLagesosakerhetPlan>
        <lmg:absolutLagesosakerhetHojd>0</lmg:absolutLagesosakerhetHojd>
        <lmg:hojdsystem>RH 2000</lmg:hojdsystem>
        <gml:Polygon gml:id="ID_eca63435-c27b-4a0b-8cf8-435bae20114b" srsName="EPSG:3008" srsDimension="2">
          <gml:exterior>
            <gml:LinearRing gml:id="ID_e3dcb017-3511-47f3-95ae-baf1aeb61e12">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Planeringsförutsättningar</tema>
      <grupp>Teknik</grupp>
      <undergrupp>6.13 Teknisk försörjning</undergrupp>
    </Indelning>
  </Omfattning>
  <Omfattning>
    <identitet>ko_annat10</identitet>
    <Lage>
      <lmg:Yta>
        <lmg:absolutLagesosakerhetPlan>0</lmg:absolutLagesosakerhetPlan>
        <lmg:absolutLagesosakerhetHojd>0</lmg:absolutLagesosakerhetHojd>
        <lmg:hojdsystem>RH 2000</lmg:hojdsystem>
        <gml:Polygon gml:id="ID_a7bdb22e-f589-4f14-b44e-9633fcb7a3c4" srsName="EPSG:3008" srsDimension="2">
          <gml:exterior>
            <gml:LinearRing gml:id="ID_36983c1c-97db-44fe-8a4f-81d8fe7b3813">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Konsekvenser</tema>
      <grupp>Annat</grupp>
    </Indelning>
  </Omfattning>
  <Omfattning>
    <identitet>pf_6_13tekniskförsörjning04</identitet>
    <Lage>
      <lmg:Yta>
        <lmg:absolutLagesosakerhetPlan>0</lmg:absolutLagesosakerhetPlan>
        <lmg:absolutLagesosakerhetHojd>0</lmg:absolutLagesosakerhetHojd>
        <lmg:hojdsystem>RH 2000</lmg:hojdsystem>
        <gml:Polygon gml:id="ID_492e6564-82b3-4fd3-b3f1-f8da408199c0" srsName="EPSG:3008" srsDimension="2">
          <gml:exterior>
            <gml:LinearRing gml:id="ID_f4bc9ef1-efd3-4bb6-af68-5db679fdeea1">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Planeringsförutsättningar</tema>
      <grupp>Teknik</grupp>
      <undergrupp>6.13 Teknisk försörjning</undergrupp>
    </Indelning>
  </Omfattning>
  <Omfattning>
    <identitet>ko_annat11</identitet>
    <Lage>
      <planomrade>true</planomrade>
    </Lage>
    <Indelning>
      <tema>Konsekvenser</tema>
      <grupp>Annat</grupp>
    </Indelning>
  </Omfattning>
  <Omfattning>
    <identitet>pf_sociala01</identitet>
    <Lage>
      <lmg:Yta>
        <lmg:absolutLagesosakerhetPlan>0</lmg:absolutLagesosakerhetPlan>
        <lmg:absolutLagesosakerhetHojd>0</lmg:absolutLagesosakerhetHojd>
        <lmg:hojdsystem>RH 2000</lmg:hojdsystem>
        <gml:Polygon gml:id="ID_e3f291a6-c40e-4ee1-8d8c-d9929a50743b" srsName="EPSG:3008" srsDimension="2">
          <gml:exterior>
            <gml:LinearRing gml:id="ID_9f464fc1-3f36-4d5b-b573-df454c4d2684">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Planeringsförutsättningar</tema>
      <grupp>Sociala</grupp>
    </Indelning>
  </Omfattning>
  <Omfattning>
    <identitet>ko_annat12</identitet>
    <Lage>
      <lmg:Yta>
        <lmg:absolutLagesosakerhetPlan>0</lmg:absolutLagesosakerhetPlan>
        <lmg:absolutLagesosakerhetHojd>0</lmg:absolutLagesosakerhetHojd>
        <lmg:hojdsystem>RH 2000</lmg:hojdsystem>
        <gml:Polygon gml:id="ID_1e4f6ac2-5e27-41fc-8dbe-d46eed829be5" srsName="EPSG:3008" srsDimension="2">
          <gml:exterior>
            <gml:LinearRing gml:id="ID_61e0df6f-878e-4cd5-8dd3-18a7407fd4ba">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Konsekvenser</tema>
      <grupp>Annat</grupp>
    </Indelning>
  </Omfattning>
  <Omfattning>
    <identitet>pf_sociala02</identitet>
    <Lage>
      <lmg:Yta>
        <lmg:absolutLagesosakerhetPlan>0</lmg:absolutLagesosakerhetPlan>
        <lmg:absolutLagesosakerhetHojd>0</lmg:absolutLagesosakerhetHojd>
        <lmg:hojdsystem>RH 2000</lmg:hojdsystem>
        <gml:Polygon gml:id="ID_d7e00cb9-f677-4a0f-af56-f8036a225000" srsName="EPSG:3008" srsDimension="2">
          <gml:exterior>
            <gml:LinearRing gml:id="ID_afcde9c2-130f-483a-b4b7-4dc3a8c46405">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Planeringsförutsättningar</tema>
      <grupp>Sociala</grupp>
    </Indelning>
  </Omfattning>
  <Omfattning>
    <identitet>ko_barn01</identitet>
    <Lage>
      <planomrade>true</planomrade>
    </Lage>
    <Indelning>
      <tema>Konsekvenser</tema>
      <grupp>Sociala</grupp>
      <undergrupp>Barn</undergrupp>
    </Indelning>
  </Omfattning>
  <Omfattning>
    <identitet>pf_sociala03</identitet>
    <Lage>
      <planomrade>true</planomrade>
    </Lage>
    <Indelning>
      <tema>Planeringsförutsättningar</tema>
      <grupp>Sociala</grupp>
    </Indelning>
  </Omfattning>
  <Omfattning>
    <identitet>ko_jämlikhet01</identitet>
    <Lage>
      <planomrade>true</planomrade>
    </Lage>
    <Indelning>
      <tema>Konsekvenser</tema>
      <grupp>Sociala</grupp>
      <undergrupp>Jämlikhet</undergrupp>
    </Indelning>
  </Omfattning>
  <Omfattning>
    <identitet>pu_annat01</identitet>
    <Lage>
      <planomrade>true</planomrade>
    </Lage>
    <Indelning>
      <tema>Planeringsunderlag</tema>
      <grupp>Annat</grupp>
    </Indelning>
  </Omfattning>
  <Omfattning>
    <identitet>pu_undersökningenl6kap6_mb01</identitet>
    <Lage>
      <lmg:Yta>
        <lmg:absolutLagesosakerhetPlan>0</lmg:absolutLagesosakerhetPlan>
        <lmg:absolutLagesosakerhetHojd>0</lmg:absolutLagesosakerhetHojd>
        <lmg:hojdsystem>RH 2000</lmg:hojdsystem>
        <gml:Polygon gml:id="ID_1faabfc7-c872-4fc2-90d4-9c47340a48ea" srsName="EPSG:3008" srsDimension="2">
          <gml:exterior>
            <gml:LinearRing gml:id="ID_114f1f14-b63b-4ebf-b899-1175bba9ae42">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Planeringsunderlag</tema>
      <grupp>Kommunala</grupp>
      <undergrupp>Undersökning enligt 6 kap. 6 § miljöbalken (1998:808)</undergrupp>
    </Indelning>
  </Omfattning>
  <Omfattning>
    <identitet>pu_annat02</identitet>
    <Lage>
      <lmg:Yta>
        <lmg:absolutLagesosakerhetPlan>0</lmg:absolutLagesosakerhetPlan>
        <lmg:absolutLagesosakerhetHojd>0</lmg:absolutLagesosakerhetHojd>
        <lmg:hojdsystem>RH 2000</lmg:hojdsystem>
        <gml:Polygon gml:id="ID_973cab46-26be-4f35-90c9-dcc9fe713d8c" srsName="EPSG:3008" srsDimension="2">
          <gml:exterior>
            <gml:LinearRing gml:id="ID_90bbeda0-6c30-4a02-b822-74263dbd60e3">
              <gml:posList>6197756.178 125412.338 6197756.166 125412.368 6197756.372 125412.453 6197754.481 125416.717 6197753.599 125418.707 6197748.453 125416.531 6197745.911 125415.456 6197743.662 125414.505 6197729.394 125408.451 6197719.364 125403.19 6197717.144 125402.025 6197713.121 125399.604 6197712.903 125399.473 6197705.983 125395.308 6197702.963 125393.599 6197702.518 125394.456 6197701.173 125393.674 6197693.158 125394.781 6197692.509 125395.572 6197687.419 125392.73 6197684.421 125397.769 6197679.165 125395.145 6197678.349 125393.05 6197683.014 125384.353 6197683.909 125384.293 6197685.441 125382.974 6197692.176 125370.707 6197696.574 125362.495 6197697.443 125360.874 6197702.631 125351.132 6197702.654 125351.089 6197706.253 125344.333 6197712.074 125333.169 6197716.874 125323.964 6197720.004 125317.906 6197727.142 125320.672 6197728.304 125321.122 6197731.533 125322.373 6197732.962 125322.927 6197775.352 125339.354 6197777.217 125340.076 6197783.278 125342.425 6197780.492 125349.612 6197775.735 125361.883 6197757.264 125409.537 6197756.178 125412.338</gml:posList>
            </gml:LinearRing>
          </gml:exterior>
        </gml:Polygon>
      </lmg:Yta>
      <planomrade>true</planomrade>
    </Lage>
    <Indelning>
      <tema>Planeringsunderlag</tema>
      <grupp>Annat</grupp>
    </Indelning>
  </Omfattning>
</Planbeskrivning>
</file>

<file path=customXml/itemProps1.xml><?xml version="1.0" encoding="utf-8"?>
<ds:datastoreItem xmlns:ds="http://schemas.openxmlformats.org/officeDocument/2006/customXml" ds:itemID="{679c15a0-a74f-495b-b2a0-bf1cb69defab}">
  <ds:schemaRefs>
    <ds:schemaRef ds:uri="http://schemas.microsoft.com/vsto/samples"/>
  </ds:schemaRefs>
</ds:datastoreItem>
</file>

<file path=customXml/itemProps2.xml><?xml version="1.0" encoding="utf-8"?>
<ds:datastoreItem xmlns:ds="http://schemas.openxmlformats.org/officeDocument/2006/customXml" ds:itemID="{d8a60cea-3ccd-43fb-a57d-7d8270f18da2}">
  <ds:schemaRefs>
    <ds:schemaRef ds:uri="http://schemas.microsoft.com/vsto/samples"/>
  </ds:schemaRefs>
</ds:datastoreItem>
</file>

<file path=customXml/itemProps3.xml><?xml version="1.0" encoding="utf-8"?>
<ds:datastoreItem xmlns:ds="http://schemas.openxmlformats.org/officeDocument/2006/customXml" ds:itemID="{a631acbd-47d7-4660-a34b-89322b3337b0}">
  <ds:schemaRefs>
    <ds:schemaRef ds:uri="http://schemas.microsoft.com/vsto/samples"/>
  </ds:schemaRefs>
</ds:datastoreItem>
</file>

<file path=customXml/itemProps4.xml><?xml version="1.0" encoding="utf-8"?>
<ds:datastoreItem xmlns:ds="http://schemas.openxmlformats.org/officeDocument/2006/customXml" ds:itemID="{aac14aaa-5a86-4806-a68b-d791982ede4d}">
  <ds:schemaRefs>
    <ds:schemaRef ds:uri="http://schemas.microsoft.com/vsto/samples"/>
  </ds:schemaRefs>
</ds:datastoreItem>
</file>

<file path=customXml/itemProps5.xml><?xml version="1.0" encoding="utf-8"?>
<ds:datastoreItem xmlns:ds="http://schemas.openxmlformats.org/officeDocument/2006/customXml" ds:itemID="{035eadbd-5039-45f5-accd-840b4df312cf}">
  <ds:schemaRefs>
    <ds:schemaRef ds:uri="http://schemas.microsoft.com/vsto/samples"/>
  </ds:schemaRefs>
</ds:datastoreItem>
</file>

<file path=customXml/itemProps6.xml><?xml version="1.0" encoding="utf-8"?>
<ds:datastoreItem xmlns:ds="http://schemas.openxmlformats.org/officeDocument/2006/customXml" ds:itemID="83c4e16a-7bbc-4906-8e30-37f2e37eeeb8">
  <ds:schemaRefs>
    <ds:schemaRef ds:uri="http://schemas.microsoft.com/vsto/samples"/>
  </ds:schemaRefs>
</ds:datastoreItem>
</file>

<file path=docProps/app.xml><?xml version="1.0" encoding="utf-8"?>
<Properties xmlns="http://schemas.openxmlformats.org/officeDocument/2006/extended-properties">
  <Application>GEOSECMA for ArcGIS</Application>
  <Template>Mall - Planbeskrivning digital</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Hjalmar Christensen</dc:creator>
  <dcterms:created xsi:type="dcterms:W3CDTF">2025-09-01T13:14:00Z</dcterms:created>
  <cp:lastModifiedBy>Hjalmar Christensen</cp:lastModifiedBy>
  <cp:lastPrinted>2025-09-01T07:07:00Z</cp:lastPrinted>
  <dcterms:modified xsi:type="dcterms:W3CDTF">2025-11-12T14:21:15Z</dcterms:modified>
  <cp:revision>27</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ontentTypeId">
    <vt:lpwstr>0x010100820317652190424FB673AF7230E2E861</vt:lpwstr>
  </property>
  <property fmtid="{D5CDD505-2E9C-101B-9397-08002B2CF9AE}" pid="3" name="xd_Signature">
    <vt:bool>false</vt:bool>
  </property>
  <property fmtid="{D5CDD505-2E9C-101B-9397-08002B2CF9AE}" pid="4" name="GUID">
    <vt:lpwstr>0cfa04c9-e6fa-4615-beb3-e0b7ec94c8ac</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