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18"/>
        <w:spacing w:before="1680" w:beforeAutospacing="0" w:afterAutospacing="0"/>
        <w:sectPr>
          <w:headerReference xmlns:r="http://schemas.openxmlformats.org/officeDocument/2006/relationships" w:type="default" r:id="RelHdr1"/>
          <w:footerReference xmlns:r="http://schemas.openxmlformats.org/officeDocument/2006/relationships" w:type="default" r:id="RelFtr1"/>
          <w:footnotePr/>
          <w:endnotePr/>
          <w:type w:val="nextPage"/>
          <w:pgSz w:w="11900" w:h="16840" w:code="0"/>
          <w:pgMar w:left="2268" w:right="2177" w:top="1701" w:bottom="2977" w:header="709" w:footer="709" w:gutter="0"/>
        </w:sectPr>
      </w:pPr>
      <w:r>
        <w:rPr>
          <w:noProof w:val="1"/>
        </w:rPr>
        <mc:AlternateContent>
          <mc:Choice Requires="wps">
            <w:drawing>
              <wp:anchor xmlns:wp="http://schemas.openxmlformats.org/drawingml/2006/wordprocessingDrawing" distT="45720" distB="45720" distL="114300" distR="114300" simplePos="0" relativeHeight="1" behindDoc="0" locked="0" layoutInCell="1" allowOverlap="1">
                <wp:simplePos x="0" y="0"/>
                <wp:positionH relativeFrom="page">
                  <wp:posOffset>4591050</wp:posOffset>
                </wp:positionH>
                <wp:positionV relativeFrom="page">
                  <wp:posOffset>1343025</wp:posOffset>
                </wp:positionV>
                <wp:extent cx="2209800" cy="1285875"/>
                <wp:effectExtent l="0" t="0" r="0" b="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209800" cy="1285875"/>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after="0" w:beforeAutospacing="0" w:afterAutospacing="0"/>
                              <w:ind w:left="142"/>
                              <w:rPr>
                                <w:rFonts w:ascii="Century Gothic" w:hAnsi="Century Gothic"/>
                                <w:b w:val="1"/>
                                <w:color w:val="FFFFFF" w:themeColor="background1"/>
                                <w:sz w:val="24"/>
                              </w:rPr>
                            </w:pPr>
                            <w:r>
                              <w:rPr>
                                <w:rFonts w:ascii="Century Gothic" w:hAnsi="Century Gothic"/>
                                <w:b w:val="1"/>
                                <w:color w:val="FFFFFF" w:themeColor="background1"/>
                                <w:sz w:val="24"/>
                              </w:rPr>
                              <w:t>ARBETSMATERIAL</w:t>
                            </w:r>
                            <w:r>
                              <w:rPr>
                                <w:rFonts w:ascii="Century Gothic" w:hAnsi="Century Gothic"/>
                                <w:b w:val="1"/>
                                <w:sz w:val="24"/>
                              </w:rPr>
                              <w:br w:type="textWrapping"/>
                              <w:t>ANTAGANDEHANDLING</w:t>
                              <w:br w:type="textWrapping"/>
                            </w:r>
                            <w:r>
                              <w:rPr>
                                <w:rFonts w:ascii="Century Gothic" w:hAnsi="Century Gothic"/>
                                <w:b w:val="1"/>
                                <w:color w:val="FFFFFF" w:themeColor="background1"/>
                                <w:sz w:val="24"/>
                              </w:rPr>
                              <w:t>GRANSKNINGSHANDLING</w:t>
                              <w:br w:type="textWrapping"/>
                              <w:t>ANTAGANDEHANDLING</w:t>
                            </w:r>
                          </w:p>
                          <w:p>
                            <w:pPr>
                              <w:spacing w:after="0" w:beforeAutospacing="0" w:afterAutospacing="0"/>
                              <w:ind w:left="142"/>
                              <w:rPr>
                                <w:rFonts w:ascii="Century Gothic" w:hAnsi="Century Gothic"/>
                                <w:b w:val="1"/>
                                <w:color w:val="FFFFFF" w:themeColor="background1"/>
                                <w:sz w:val="24"/>
                              </w:rPr>
                            </w:pPr>
                            <w:r>
                              <w:rPr>
                                <w:rFonts w:ascii="Century Gothic" w:hAnsi="Century Gothic"/>
                                <w:b w:val="1"/>
                                <w:color w:val="FFFFFF" w:themeColor="background1"/>
                                <w:sz w:val="24"/>
                              </w:rPr>
                              <w:t>LAGA KRAFTHANDLING</w:t>
                            </w:r>
                          </w:p>
                          <w:p>
                            <w:pPr>
                              <w:spacing w:after="0" w:beforeAutospacing="0" w:afterAutospacing="0"/>
                              <w:ind w:left="142"/>
                              <w:rPr>
                                <w:rFonts w:ascii="Century Gothic" w:hAnsi="Century Gothic"/>
                                <w:sz w:val="20"/>
                                <w:szCs w:val="20"/>
                              </w:rPr>
                            </w:pP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29" style="position:absolute;width:174pt;height:101.25pt;z-index:1;mso-wrap-distance-left:9pt;mso-wrap-distance-top:3.6pt;mso-wrap-distance-right:9pt;mso-wrap-distance-bottom:3.6pt;margin-left:361.5pt;margin-top:105.75pt;mso-position-horizontal:absolute;mso-position-horizontal-relative:page;mso-position-vertical:absolute;mso-position-vertical-relative:page" o:allowincell="t" filled="f" strokeweight="0.75pt" stroked="f">
                <v:textbox inset="3mm,1mm,3mm,1mm">
                  <w:txbxContent>
                    <w:p>
                      <w:pPr>
                        <w:spacing w:after="0" w:beforeAutospacing="0" w:afterAutospacing="0"/>
                        <w:ind w:left="142"/>
                        <w:rPr>
                          <w:rFonts w:ascii="Century Gothic" w:hAnsi="Century Gothic"/>
                          <w:b w:val="1"/>
                          <w:color w:val="FFFFFF" w:themeColor="background1"/>
                          <w:sz w:val="24"/>
                        </w:rPr>
                      </w:pPr>
                      <w:r>
                        <w:rPr>
                          <w:rFonts w:ascii="Century Gothic" w:hAnsi="Century Gothic"/>
                          <w:b w:val="1"/>
                          <w:color w:val="FFFFFF" w:themeColor="background1"/>
                          <w:sz w:val="24"/>
                        </w:rPr>
                        <w:t>ARBETSMATERIAL</w:t>
                      </w:r>
                      <w:r>
                        <w:rPr>
                          <w:rFonts w:ascii="Century Gothic" w:hAnsi="Century Gothic"/>
                          <w:b w:val="1"/>
                          <w:sz w:val="24"/>
                        </w:rPr>
                        <w:br w:type="textWrapping"/>
                        <w:t>ANTAGANDEHANDLING</w:t>
                        <w:br w:type="textWrapping"/>
                      </w:r>
                      <w:r>
                        <w:rPr>
                          <w:rFonts w:ascii="Century Gothic" w:hAnsi="Century Gothic"/>
                          <w:b w:val="1"/>
                          <w:color w:val="FFFFFF" w:themeColor="background1"/>
                          <w:sz w:val="24"/>
                        </w:rPr>
                        <w:t>GRANSKNINGSHANDLING</w:t>
                        <w:br w:type="textWrapping"/>
                        <w:t>ANTAGANDEHANDLING</w:t>
                      </w:r>
                    </w:p>
                    <w:p>
                      <w:pPr>
                        <w:spacing w:after="0" w:beforeAutospacing="0" w:afterAutospacing="0"/>
                        <w:ind w:left="142"/>
                        <w:rPr>
                          <w:rFonts w:ascii="Century Gothic" w:hAnsi="Century Gothic"/>
                          <w:b w:val="1"/>
                          <w:color w:val="FFFFFF" w:themeColor="background1"/>
                          <w:sz w:val="24"/>
                        </w:rPr>
                      </w:pPr>
                      <w:r>
                        <w:rPr>
                          <w:rFonts w:ascii="Century Gothic" w:hAnsi="Century Gothic"/>
                          <w:b w:val="1"/>
                          <w:color w:val="FFFFFF" w:themeColor="background1"/>
                          <w:sz w:val="24"/>
                        </w:rPr>
                        <w:t>LAGA KRAFTHANDLING</w:t>
                      </w:r>
                    </w:p>
                    <w:p>
                      <w:pPr>
                        <w:spacing w:after="0" w:beforeAutospacing="0" w:afterAutospacing="0"/>
                        <w:ind w:left="142"/>
                        <w:rPr>
                          <w:rFonts w:ascii="Century Gothic" w:hAnsi="Century Gothic"/>
                          <w:sz w:val="20"/>
                          <w:szCs w:val="20"/>
                        </w:rPr>
                      </w:pPr>
                    </w:p>
                  </w:txbxContent>
                </v:textbox>
              </v:shape>
            </w:pict>
          </mc:Fallback>
        </mc:AlternateContent>
      </w:r>
    </w:p>
    <w:p>
      <w:pPr>
        <w:pStyle w:val="P25"/>
      </w:pPr>
    </w:p>
    <w:p>
      <w:pPr>
        <w:pStyle w:val="P23"/>
      </w:pPr>
      <w:r>
        <w:drawing>
          <wp:anchor xmlns:wp="http://schemas.openxmlformats.org/drawingml/2006/wordprocessingDrawing" distT="0" distB="0" distL="114300" distR="114300" simplePos="0" relativeHeight="251659265" behindDoc="1" locked="0" layoutInCell="1" allowOverlap="1">
            <wp:simplePos x="0" y="0"/>
            <wp:positionH relativeFrom="column">
              <wp:posOffset>1270</wp:posOffset>
            </wp:positionH>
            <wp:positionV relativeFrom="paragraph">
              <wp:posOffset>-1905</wp:posOffset>
            </wp:positionV>
            <wp:extent cx="4676140" cy="3287395"/>
            <wp:effectExtent l="0" t="0" r="0" b="8255"/>
            <wp:wrapNone/>
            <wp:docPr id="1298149786" name="Bildobjekt 1" descr="En bild som visar Flygfotografi, flygbaserad, Fågelperspektiv,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49786" name="Bildobjekt 1" descr="En bild som visar Flygfotografi, flygbaserad, Fågelperspektiv, karta&#10;&#10;Automatiskt genererad beskrivning"/>
                    <pic:cNvPicPr/>
                  </pic:nvPicPr>
                  <pic:blipFill dpi="0">
                    <a:blip xmlns:r="http://schemas.openxmlformats.org/officeDocument/2006/relationships" r:embed="Relimage2"/>
                    <a:srcRect/>
                    <a:stretch>
                      <a:fillRect/>
                    </a:stretch>
                  </pic:blipFill>
                  <pic:spPr>
                    <a:xfrm>
                      <a:off x="0" y="0"/>
                      <a:ext cx="4676140" cy="3287395"/>
                    </a:xfrm>
                    <a:prstGeom prst="rect"/>
                  </pic:spPr>
                </pic:pic>
              </a:graphicData>
            </a:graphic>
          </wp:anchor>
        </w:drawing>
      </w:r>
    </w:p>
    <w:p>
      <w:pPr>
        <w:pStyle w:val="P23"/>
      </w:pPr>
    </w:p>
    <w:p>
      <w:pPr>
        <w:pStyle w:val="P23"/>
      </w:pPr>
    </w:p>
    <w:p>
      <w:pPr>
        <w:pStyle w:val="P23"/>
        <w:jc w:val="cente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rPr>
          <w:rFonts w:cs="Times New Roman"/>
          <w:bCs w:val="1"/>
          <w:color w:val="FFFFFF" w:themeColor="background1"/>
          <w:szCs w:val="24"/>
        </w:rPr>
      </w:pPr>
    </w:p>
    <w:p>
      <w:pPr>
        <w:pStyle w:val="P23"/>
        <w:ind w:firstLine="1304" w:left="1304"/>
        <w:rPr>
          <w:rFonts w:cs="Times New Roman"/>
          <w:bCs w:val="1"/>
          <w:color w:val="FFFFFF" w:themeColor="background1"/>
          <w:szCs w:val="24"/>
        </w:rPr>
      </w:pPr>
      <w:r>
        <w:rPr>
          <w:rFonts w:cs="Times New Roman"/>
          <w:bCs w:val="1"/>
          <w:color w:val="FFFFFF" w:themeColor="background1"/>
          <w:szCs w:val="24"/>
        </w:rPr>
        <w:t xml:space="preserve">        </w:t>
      </w:r>
      <w:r>
        <w:rPr>
          <w:rFonts w:ascii="Century Gothic" w:hAnsi="Century Gothic" w:cs="Times New Roman"/>
          <w:b w:val="1"/>
          <w:color w:val="FFFFFF" w:themeColor="background1"/>
          <w:szCs w:val="24"/>
        </w:rPr>
        <w:t>PLANOMRÅDE</w:t>
      </w:r>
    </w:p>
    <w:p>
      <w:pPr>
        <w:pStyle w:val="P23"/>
      </w:pPr>
    </w:p>
    <w:p>
      <w:pPr>
        <w:pStyle w:val="P23"/>
      </w:pPr>
    </w:p>
    <w:p>
      <w:pPr>
        <w:pStyle w:val="P23"/>
      </w:pPr>
    </w:p>
    <w:p>
      <w:pPr>
        <w:pStyle w:val="P23"/>
      </w:pPr>
    </w:p>
    <w:p>
      <w:pPr>
        <w:pStyle w:val="P23"/>
        <w:sectPr>
          <w:footerReference xmlns:r="http://schemas.openxmlformats.org/officeDocument/2006/relationships" w:type="default" r:id="RelFtr2"/>
          <w:footnotePr/>
          <w:endnotePr/>
          <w:type w:val="continuous"/>
          <w:pgSz w:w="11900" w:h="16840" w:code="0"/>
          <w:pgMar w:left="2268" w:right="2268" w:top="1701" w:bottom="2268" w:header="709" w:footer="709" w:gutter="0"/>
          <w:cols w:equalWidth="1" w:space="425"/>
        </w:sectPr>
      </w:pPr>
    </w:p>
    <w:p>
      <w:pPr>
        <w:pStyle w:val="P23"/>
        <w:rPr>
          <w:rFonts w:ascii="Century Gothic" w:hAnsi="Century Gothic"/>
          <w:b w:val="1"/>
          <w:sz w:val="36"/>
          <w:szCs w:val="36"/>
        </w:rPr>
      </w:pPr>
    </w:p>
    <w:p>
      <w:pPr>
        <w:pStyle w:val="P23"/>
        <w:rPr>
          <w:rFonts w:ascii="Century Gothic" w:hAnsi="Century Gothic"/>
          <w:b w:val="1"/>
          <w:sz w:val="36"/>
          <w:szCs w:val="36"/>
        </w:rPr>
      </w:pPr>
    </w:p>
    <w:p>
      <w:pPr>
        <w:pStyle w:val="P23"/>
        <w:rPr>
          <w:rFonts w:ascii="Century Gothic" w:hAnsi="Century Gothic"/>
          <w:b w:val="1"/>
          <w:sz w:val="36"/>
          <w:szCs w:val="36"/>
        </w:rPr>
      </w:pPr>
    </w:p>
    <w:p>
      <w:pPr>
        <w:pStyle w:val="P23"/>
        <w:rPr>
          <w:rFonts w:ascii="Century Gothic" w:hAnsi="Century Gothic"/>
          <w:b w:val="1"/>
          <w:sz w:val="36"/>
          <w:szCs w:val="36"/>
        </w:rPr>
      </w:pPr>
    </w:p>
    <w:p>
      <w:pPr>
        <w:pStyle w:val="P23"/>
        <w:rPr>
          <w:rFonts w:ascii="Century Gothic" w:hAnsi="Century Gothic"/>
          <w:b w:val="1"/>
          <w:sz w:val="36"/>
          <w:szCs w:val="36"/>
        </w:rPr>
      </w:pPr>
      <w:r>
        <w:rPr>
          <w:rFonts w:ascii="Century Gothic" w:hAnsi="Century Gothic"/>
          <w:b w:val="1"/>
          <w:sz w:val="36"/>
          <w:szCs w:val="36"/>
        </w:rPr>
        <w:t>Planbeskrivning</w:t>
      </w:r>
    </w:p>
    <w:p>
      <w:pPr>
        <w:pStyle w:val="P23"/>
        <w:rPr>
          <w:rFonts w:ascii="Century Gothic" w:hAnsi="Century Gothic"/>
          <w:b w:val="1"/>
          <w:sz w:val="28"/>
          <w:szCs w:val="28"/>
        </w:rPr>
      </w:pPr>
      <w:r>
        <w:rPr>
          <w:rFonts w:ascii="Century Gothic" w:hAnsi="Century Gothic"/>
          <w:b w:val="1"/>
          <w:sz w:val="28"/>
          <w:szCs w:val="28"/>
        </w:rPr>
        <w:t>Detaljplan för fastigheten Almby 13:212 m.fl.</w:t>
      </w:r>
    </w:p>
    <w:p>
      <w:pPr>
        <w:pStyle w:val="P32"/>
      </w:pPr>
    </w:p>
    <w:p>
      <w:pPr>
        <w:pStyle w:val="P23"/>
      </w:pPr>
      <w:r>
        <w:t>Granskningstid: 8 september 2023 – 22 september 2023</w:t>
      </w:r>
    </w:p>
    <w:p>
      <w:pPr>
        <w:pStyle w:val="P23"/>
      </w:pPr>
    </w:p>
    <w:p>
      <w:pPr>
        <w:pStyle w:val="P23"/>
      </w:pPr>
    </w:p>
    <w:p>
      <w:pPr>
        <w:pStyle w:val="P23"/>
        <w:rPr>
          <w:rFonts w:cs="Times New Roman"/>
          <w:color w:val="auto"/>
          <w:szCs w:val="24"/>
        </w:rPr>
      </w:pPr>
      <w:r>
        <w:rPr>
          <w:rFonts w:cs="Times New Roman"/>
          <w:bCs w:val="1"/>
          <w:color w:val="auto"/>
          <w:szCs w:val="24"/>
        </w:rPr>
        <w:t>Standardförfarande</w:t>
      </w:r>
    </w:p>
    <w:p>
      <w:pPr>
        <w:pStyle w:val="P23"/>
      </w:pPr>
    </w:p>
    <w:p>
      <w:pPr>
        <w:pStyle w:val="P23"/>
        <w:rPr>
          <w:rFonts w:cs="Calibri"/>
          <w:szCs w:val="24"/>
        </w:rPr>
      </w:pPr>
      <w:r>
        <w:rPr>
          <w:rFonts w:cs="Calibri"/>
          <w:szCs w:val="24"/>
        </w:rPr>
        <w:t>Jonas Bäckström</w:t>
      </w:r>
    </w:p>
    <w:p>
      <w:pPr>
        <w:pStyle w:val="P23"/>
        <w:rPr>
          <w:rFonts w:cs="Times New Roman"/>
          <w:color w:val="auto"/>
          <w:szCs w:val="24"/>
        </w:rPr>
      </w:pPr>
      <w:r>
        <w:rPr>
          <w:rFonts w:cs="Times New Roman"/>
          <w:color w:val="auto"/>
          <w:szCs w:val="24"/>
        </w:rPr>
        <w:t>E-post: jonas.backstrom@orebro.se</w:t>
      </w:r>
    </w:p>
    <w:p>
      <w:pPr>
        <w:pStyle w:val="P32"/>
      </w:pPr>
      <w:r>
        <w:br w:type="page"/>
        <w:t>Innehållsförteckning</w:t>
      </w:r>
    </w:p>
    <w:p>
      <w:pPr>
        <w:pStyle w:val="P23"/>
        <w:rPr>
          <w:rFonts w:cs="Times New Roman"/>
          <w:color w:val="auto"/>
          <w:szCs w:val="24"/>
        </w:rPr>
      </w:pPr>
    </w:p>
    <w:p>
      <w:pPr>
        <w:pStyle w:val="P5"/>
        <w:rPr>
          <w:rFonts w:asciiTheme="minorHAnsi" w:hAnsiTheme="minorHAnsi" w:cstheme="minorBidi" w:eastAsiaTheme="minorEastAsia"/>
          <w:b w:val="0"/>
          <w:noProof w:val="1"/>
          <w:kern w:val="2"/>
          <w:lang w:eastAsia="sv-SE"/>
        </w:rPr>
      </w:pPr>
      <w:r>
        <w:rPr>
          <w:b w:val="0"/>
          <w:szCs w:val="24"/>
        </w:rPr>
        <w:fldChar w:fldCharType="begin"/>
      </w:r>
      <w:r>
        <w:rPr>
          <w:b w:val="0"/>
          <w:szCs w:val="24"/>
        </w:rPr>
        <w:instrText xml:space="preserve"> TOC \o "3-3" \t "Rubrik 1;1;Rubrik 2;2;2 Avsnittsrubrik;2;1 Huvudrubrik;1" </w:instrText>
      </w:r>
      <w:r>
        <w:rPr>
          <w:b w:val="0"/>
          <w:szCs w:val="24"/>
        </w:rPr>
        <w:fldChar w:fldCharType="separate"/>
      </w:r>
      <w:r>
        <w:rPr>
          <w:noProof w:val="1"/>
        </w:rPr>
        <w:t>Planens syfte</w:t>
        <w:tab/>
      </w:r>
      <w:r>
        <w:rPr>
          <w:noProof w:val="1"/>
        </w:rPr>
        <w:fldChar w:fldCharType="begin"/>
      </w:r>
      <w:r>
        <w:rPr>
          <w:noProof w:val="1"/>
        </w:rPr>
        <w:instrText xml:space="preserve"> PAGEREF _Toc146894977 \h </w:instrText>
      </w:r>
      <w:r>
        <w:rPr>
          <w:noProof w:val="1"/>
        </w:rPr>
        <w:fldChar w:fldCharType="separate"/>
      </w:r>
      <w:r>
        <w:rPr>
          <w:noProof w:val="1"/>
        </w:rPr>
        <w:t>5</w:t>
      </w:r>
      <w:r>
        <w:rPr>
          <w:noProof w:val="1"/>
        </w:rPr>
        <w:fldChar w:fldCharType="end"/>
      </w:r>
    </w:p>
    <w:p>
      <w:pPr>
        <w:pStyle w:val="P5"/>
        <w:rPr>
          <w:rFonts w:asciiTheme="minorHAnsi" w:hAnsiTheme="minorHAnsi" w:cstheme="minorBidi" w:eastAsiaTheme="minorEastAsia"/>
          <w:b w:val="0"/>
          <w:noProof w:val="1"/>
          <w:kern w:val="2"/>
          <w:lang w:eastAsia="sv-SE"/>
        </w:rPr>
      </w:pPr>
      <w:r>
        <w:rPr>
          <w:noProof w:val="1"/>
        </w:rPr>
        <w:t>Beskrivning av detaljplanen</w:t>
        <w:tab/>
      </w:r>
      <w:r>
        <w:rPr>
          <w:noProof w:val="1"/>
        </w:rPr>
        <w:fldChar w:fldCharType="begin"/>
      </w:r>
      <w:r>
        <w:rPr>
          <w:noProof w:val="1"/>
        </w:rPr>
        <w:instrText xml:space="preserve"> PAGEREF _Toc146894978 \h </w:instrText>
      </w:r>
      <w:r>
        <w:rPr>
          <w:noProof w:val="1"/>
        </w:rPr>
        <w:fldChar w:fldCharType="separate"/>
      </w:r>
      <w:r>
        <w:rPr>
          <w:noProof w:val="1"/>
        </w:rPr>
        <w:t>5</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Läge</w:t>
        <w:tab/>
      </w:r>
      <w:r>
        <w:rPr>
          <w:noProof w:val="1"/>
        </w:rPr>
        <w:fldChar w:fldCharType="begin"/>
      </w:r>
      <w:r>
        <w:rPr>
          <w:noProof w:val="1"/>
        </w:rPr>
        <w:instrText xml:space="preserve"> PAGEREF _Toc146894979 \h </w:instrText>
      </w:r>
      <w:r>
        <w:rPr>
          <w:noProof w:val="1"/>
        </w:rPr>
        <w:fldChar w:fldCharType="separate"/>
      </w:r>
      <w:r>
        <w:rPr>
          <w:noProof w:val="1"/>
        </w:rPr>
        <w:t>5</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Genomförandetid</w:t>
        <w:tab/>
      </w:r>
      <w:r>
        <w:rPr>
          <w:noProof w:val="1"/>
        </w:rPr>
        <w:fldChar w:fldCharType="begin"/>
      </w:r>
      <w:r>
        <w:rPr>
          <w:noProof w:val="1"/>
        </w:rPr>
        <w:instrText xml:space="preserve"> PAGEREF _Toc146894980 \h </w:instrText>
      </w:r>
      <w:r>
        <w:rPr>
          <w:noProof w:val="1"/>
        </w:rPr>
        <w:fldChar w:fldCharType="separate"/>
      </w:r>
      <w:r>
        <w:rPr>
          <w:noProof w:val="1"/>
        </w:rPr>
        <w:t>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Detaljplanens huvuddrag</w:t>
        <w:tab/>
      </w:r>
      <w:r>
        <w:rPr>
          <w:noProof w:val="1"/>
        </w:rPr>
        <w:fldChar w:fldCharType="begin"/>
      </w:r>
      <w:r>
        <w:rPr>
          <w:noProof w:val="1"/>
        </w:rPr>
        <w:instrText xml:space="preserve"> PAGEREF _Toc146894981 \h </w:instrText>
      </w:r>
      <w:r>
        <w:rPr>
          <w:noProof w:val="1"/>
        </w:rPr>
        <w:fldChar w:fldCharType="separate"/>
      </w:r>
      <w:r>
        <w:rPr>
          <w:noProof w:val="1"/>
        </w:rPr>
        <w:t>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Allmän plats</w:t>
        <w:tab/>
      </w:r>
      <w:r>
        <w:rPr>
          <w:noProof w:val="1"/>
        </w:rPr>
        <w:fldChar w:fldCharType="begin"/>
      </w:r>
      <w:r>
        <w:rPr>
          <w:noProof w:val="1"/>
        </w:rPr>
        <w:instrText xml:space="preserve"> PAGEREF _Toc146894982 \h </w:instrText>
      </w:r>
      <w:r>
        <w:rPr>
          <w:noProof w:val="1"/>
        </w:rPr>
        <w:fldChar w:fldCharType="separate"/>
      </w:r>
      <w:r>
        <w:rPr>
          <w:noProof w:val="1"/>
        </w:rPr>
        <w:t>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Kvartersmark</w:t>
        <w:tab/>
      </w:r>
      <w:r>
        <w:rPr>
          <w:noProof w:val="1"/>
        </w:rPr>
        <w:fldChar w:fldCharType="begin"/>
      </w:r>
      <w:r>
        <w:rPr>
          <w:noProof w:val="1"/>
        </w:rPr>
        <w:instrText xml:space="preserve"> PAGEREF _Toc146894983 \h </w:instrText>
      </w:r>
      <w:r>
        <w:rPr>
          <w:noProof w:val="1"/>
        </w:rPr>
        <w:fldChar w:fldCharType="separate"/>
      </w:r>
      <w:r>
        <w:rPr>
          <w:noProof w:val="1"/>
        </w:rPr>
        <w:t>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Användning av allmän plats</w:t>
        <w:tab/>
      </w:r>
      <w:r>
        <w:rPr>
          <w:noProof w:val="1"/>
        </w:rPr>
        <w:fldChar w:fldCharType="begin"/>
      </w:r>
      <w:r>
        <w:rPr>
          <w:noProof w:val="1"/>
        </w:rPr>
        <w:instrText xml:space="preserve"> PAGEREF _Toc146894984 \h </w:instrText>
      </w:r>
      <w:r>
        <w:rPr>
          <w:noProof w:val="1"/>
        </w:rPr>
        <w:fldChar w:fldCharType="separate"/>
      </w:r>
      <w:r>
        <w:rPr>
          <w:noProof w:val="1"/>
        </w:rPr>
        <w:t>8</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Användning av kvartersmark</w:t>
        <w:tab/>
      </w:r>
      <w:r>
        <w:rPr>
          <w:noProof w:val="1"/>
        </w:rPr>
        <w:fldChar w:fldCharType="begin"/>
      </w:r>
      <w:r>
        <w:rPr>
          <w:noProof w:val="1"/>
        </w:rPr>
        <w:instrText xml:space="preserve"> PAGEREF _Toc146894985 \h </w:instrText>
      </w:r>
      <w:r>
        <w:rPr>
          <w:noProof w:val="1"/>
        </w:rPr>
        <w:fldChar w:fldCharType="separate"/>
      </w:r>
      <w:r>
        <w:rPr>
          <w:noProof w:val="1"/>
        </w:rPr>
        <w:t>8</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Egenskapsbestämmelser för allmän plats</w:t>
        <w:tab/>
      </w:r>
      <w:r>
        <w:rPr>
          <w:noProof w:val="1"/>
        </w:rPr>
        <w:fldChar w:fldCharType="begin"/>
      </w:r>
      <w:r>
        <w:rPr>
          <w:noProof w:val="1"/>
        </w:rPr>
        <w:instrText xml:space="preserve"> PAGEREF _Toc146894986 \h </w:instrText>
      </w:r>
      <w:r>
        <w:rPr>
          <w:noProof w:val="1"/>
        </w:rPr>
        <w:fldChar w:fldCharType="separate"/>
      </w:r>
      <w:r>
        <w:rPr>
          <w:noProof w:val="1"/>
        </w:rPr>
        <w:t>8</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Egenskapsbestämmelser för kvartersmark</w:t>
        <w:tab/>
      </w:r>
      <w:r>
        <w:rPr>
          <w:noProof w:val="1"/>
        </w:rPr>
        <w:fldChar w:fldCharType="begin"/>
      </w:r>
      <w:r>
        <w:rPr>
          <w:noProof w:val="1"/>
        </w:rPr>
        <w:instrText xml:space="preserve"> PAGEREF _Toc146894987 \h </w:instrText>
      </w:r>
      <w:r>
        <w:rPr>
          <w:noProof w:val="1"/>
        </w:rPr>
        <w:fldChar w:fldCharType="separate"/>
      </w:r>
      <w:r>
        <w:rPr>
          <w:noProof w:val="1"/>
        </w:rPr>
        <w:t>8</w:t>
      </w:r>
      <w:r>
        <w:rPr>
          <w:noProof w:val="1"/>
        </w:rPr>
        <w:fldChar w:fldCharType="end"/>
      </w:r>
    </w:p>
    <w:p>
      <w:pPr>
        <w:pStyle w:val="P5"/>
        <w:rPr>
          <w:rFonts w:asciiTheme="minorHAnsi" w:hAnsiTheme="minorHAnsi" w:cstheme="minorBidi" w:eastAsiaTheme="minorEastAsia"/>
          <w:b w:val="0"/>
          <w:noProof w:val="1"/>
          <w:kern w:val="2"/>
          <w:lang w:eastAsia="sv-SE"/>
        </w:rPr>
      </w:pPr>
      <w:r>
        <w:rPr>
          <w:noProof w:val="1"/>
        </w:rPr>
        <w:t>Genomförandefrågor</w:t>
        <w:tab/>
      </w:r>
      <w:r>
        <w:rPr>
          <w:noProof w:val="1"/>
        </w:rPr>
        <w:fldChar w:fldCharType="begin"/>
      </w:r>
      <w:r>
        <w:rPr>
          <w:noProof w:val="1"/>
        </w:rPr>
        <w:instrText xml:space="preserve"> PAGEREF _Toc146894988 \h </w:instrText>
      </w:r>
      <w:r>
        <w:rPr>
          <w:noProof w:val="1"/>
        </w:rPr>
        <w:fldChar w:fldCharType="separate"/>
      </w:r>
      <w:r>
        <w:rPr>
          <w:noProof w:val="1"/>
        </w:rPr>
        <w:t>10</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Markägoförhållanden</w:t>
        <w:tab/>
      </w:r>
      <w:r>
        <w:rPr>
          <w:noProof w:val="1"/>
        </w:rPr>
        <w:fldChar w:fldCharType="begin"/>
      </w:r>
      <w:r>
        <w:rPr>
          <w:noProof w:val="1"/>
        </w:rPr>
        <w:instrText xml:space="preserve"> PAGEREF _Toc146894989 \h </w:instrText>
      </w:r>
      <w:r>
        <w:rPr>
          <w:noProof w:val="1"/>
        </w:rPr>
        <w:fldChar w:fldCharType="separate"/>
      </w:r>
      <w:r>
        <w:rPr>
          <w:noProof w:val="1"/>
        </w:rPr>
        <w:t>10</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Fastighetsrättsliga frågor</w:t>
        <w:tab/>
      </w:r>
      <w:r>
        <w:rPr>
          <w:noProof w:val="1"/>
        </w:rPr>
        <w:fldChar w:fldCharType="begin"/>
      </w:r>
      <w:r>
        <w:rPr>
          <w:noProof w:val="1"/>
        </w:rPr>
        <w:instrText xml:space="preserve"> PAGEREF _Toc146894990 \h </w:instrText>
      </w:r>
      <w:r>
        <w:rPr>
          <w:noProof w:val="1"/>
        </w:rPr>
        <w:fldChar w:fldCharType="separate"/>
      </w:r>
      <w:r>
        <w:rPr>
          <w:noProof w:val="1"/>
        </w:rPr>
        <w:t>10</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Tekniska frågor</w:t>
        <w:tab/>
      </w:r>
      <w:r>
        <w:rPr>
          <w:noProof w:val="1"/>
        </w:rPr>
        <w:fldChar w:fldCharType="begin"/>
      </w:r>
      <w:r>
        <w:rPr>
          <w:noProof w:val="1"/>
        </w:rPr>
        <w:instrText xml:space="preserve"> PAGEREF _Toc146894991 \h </w:instrText>
      </w:r>
      <w:r>
        <w:rPr>
          <w:noProof w:val="1"/>
        </w:rPr>
        <w:fldChar w:fldCharType="separate"/>
      </w:r>
      <w:r>
        <w:rPr>
          <w:noProof w:val="1"/>
        </w:rPr>
        <w:t>10</w:t>
      </w:r>
      <w:r>
        <w:rPr>
          <w:noProof w:val="1"/>
        </w:rPr>
        <w:fldChar w:fldCharType="end"/>
      </w:r>
    </w:p>
    <w:p>
      <w:pPr>
        <w:pStyle w:val="P5"/>
        <w:rPr>
          <w:rFonts w:asciiTheme="minorHAnsi" w:hAnsiTheme="minorHAnsi" w:cstheme="minorBidi" w:eastAsiaTheme="minorEastAsia"/>
          <w:b w:val="0"/>
          <w:noProof w:val="1"/>
          <w:kern w:val="2"/>
          <w:lang w:eastAsia="sv-SE"/>
        </w:rPr>
      </w:pPr>
      <w:r>
        <w:rPr>
          <w:noProof w:val="1"/>
        </w:rPr>
        <w:t>Planeringsförutsättningar</w:t>
        <w:tab/>
      </w:r>
      <w:r>
        <w:rPr>
          <w:noProof w:val="1"/>
        </w:rPr>
        <w:fldChar w:fldCharType="begin"/>
      </w:r>
      <w:r>
        <w:rPr>
          <w:noProof w:val="1"/>
        </w:rPr>
        <w:instrText xml:space="preserve"> PAGEREF _Toc146894992 \h </w:instrText>
      </w:r>
      <w:r>
        <w:rPr>
          <w:noProof w:val="1"/>
        </w:rPr>
        <w:fldChar w:fldCharType="separate"/>
      </w:r>
      <w:r>
        <w:rPr>
          <w:noProof w:val="1"/>
        </w:rPr>
        <w:t>12</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Kommunala ställningstaganden</w:t>
        <w:tab/>
      </w:r>
      <w:r>
        <w:rPr>
          <w:noProof w:val="1"/>
        </w:rPr>
        <w:fldChar w:fldCharType="begin"/>
      </w:r>
      <w:r>
        <w:rPr>
          <w:noProof w:val="1"/>
        </w:rPr>
        <w:instrText xml:space="preserve"> PAGEREF _Toc146894993 \h </w:instrText>
      </w:r>
      <w:r>
        <w:rPr>
          <w:noProof w:val="1"/>
        </w:rPr>
        <w:fldChar w:fldCharType="separate"/>
      </w:r>
      <w:r>
        <w:rPr>
          <w:noProof w:val="1"/>
        </w:rPr>
        <w:t>12</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Miljö</w:t>
        <w:tab/>
      </w:r>
      <w:r>
        <w:rPr>
          <w:noProof w:val="1"/>
        </w:rPr>
        <w:fldChar w:fldCharType="begin"/>
      </w:r>
      <w:r>
        <w:rPr>
          <w:noProof w:val="1"/>
        </w:rPr>
        <w:instrText xml:space="preserve"> PAGEREF _Toc146894994 \h </w:instrText>
      </w:r>
      <w:r>
        <w:rPr>
          <w:noProof w:val="1"/>
        </w:rPr>
        <w:fldChar w:fldCharType="separate"/>
      </w:r>
      <w:r>
        <w:rPr>
          <w:noProof w:val="1"/>
        </w:rPr>
        <w:t>15</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Hydrologiska förhållanden</w:t>
        <w:tab/>
      </w:r>
      <w:r>
        <w:rPr>
          <w:noProof w:val="1"/>
        </w:rPr>
        <w:fldChar w:fldCharType="begin"/>
      </w:r>
      <w:r>
        <w:rPr>
          <w:noProof w:val="1"/>
        </w:rPr>
        <w:instrText xml:space="preserve"> PAGEREF _Toc146894995 \h </w:instrText>
      </w:r>
      <w:r>
        <w:rPr>
          <w:noProof w:val="1"/>
        </w:rPr>
        <w:fldChar w:fldCharType="separate"/>
      </w:r>
      <w:r>
        <w:rPr>
          <w:noProof w:val="1"/>
        </w:rPr>
        <w:t>15</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Fysisk miljö</w:t>
        <w:tab/>
      </w:r>
      <w:r>
        <w:rPr>
          <w:noProof w:val="1"/>
        </w:rPr>
        <w:fldChar w:fldCharType="begin"/>
      </w:r>
      <w:r>
        <w:rPr>
          <w:noProof w:val="1"/>
        </w:rPr>
        <w:instrText xml:space="preserve"> PAGEREF _Toc146894996 \h </w:instrText>
      </w:r>
      <w:r>
        <w:rPr>
          <w:noProof w:val="1"/>
        </w:rPr>
        <w:fldChar w:fldCharType="separate"/>
      </w:r>
      <w:r>
        <w:rPr>
          <w:noProof w:val="1"/>
        </w:rPr>
        <w:t>15</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Teknisk försörjning</w:t>
        <w:tab/>
      </w:r>
      <w:r>
        <w:rPr>
          <w:noProof w:val="1"/>
        </w:rPr>
        <w:fldChar w:fldCharType="begin"/>
      </w:r>
      <w:r>
        <w:rPr>
          <w:noProof w:val="1"/>
        </w:rPr>
        <w:instrText xml:space="preserve"> PAGEREF _Toc146894997 \h </w:instrText>
      </w:r>
      <w:r>
        <w:rPr>
          <w:noProof w:val="1"/>
        </w:rPr>
        <w:fldChar w:fldCharType="separate"/>
      </w:r>
      <w:r>
        <w:rPr>
          <w:noProof w:val="1"/>
        </w:rPr>
        <w:t>16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Service</w:t>
        <w:tab/>
      </w:r>
      <w:r>
        <w:rPr>
          <w:noProof w:val="1"/>
        </w:rPr>
        <w:fldChar w:fldCharType="begin"/>
      </w:r>
      <w:r>
        <w:rPr>
          <w:noProof w:val="1"/>
        </w:rPr>
        <w:instrText xml:space="preserve"> PAGEREF _Toc146894998 \h </w:instrText>
      </w:r>
      <w:r>
        <w:rPr>
          <w:noProof w:val="1"/>
        </w:rPr>
        <w:fldChar w:fldCharType="separate"/>
      </w:r>
      <w:r>
        <w:rPr>
          <w:noProof w:val="1"/>
        </w:rPr>
        <w:t>16</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Trafik</w:t>
        <w:tab/>
      </w:r>
      <w:r>
        <w:rPr>
          <w:noProof w:val="1"/>
        </w:rPr>
        <w:fldChar w:fldCharType="begin"/>
      </w:r>
      <w:r>
        <w:rPr>
          <w:noProof w:val="1"/>
        </w:rPr>
        <w:instrText xml:space="preserve"> PAGEREF _Toc146894999 \h </w:instrText>
      </w:r>
      <w:r>
        <w:rPr>
          <w:noProof w:val="1"/>
        </w:rPr>
        <w:fldChar w:fldCharType="separate"/>
      </w:r>
      <w:r>
        <w:rPr>
          <w:noProof w:val="1"/>
        </w:rPr>
        <w:t>16</w:t>
      </w:r>
      <w:r>
        <w:rPr>
          <w:noProof w:val="1"/>
        </w:rPr>
        <w:fldChar w:fldCharType="end"/>
      </w:r>
    </w:p>
    <w:p>
      <w:pPr>
        <w:pStyle w:val="P5"/>
        <w:rPr>
          <w:rFonts w:asciiTheme="minorHAnsi" w:hAnsiTheme="minorHAnsi" w:cstheme="minorBidi" w:eastAsiaTheme="minorEastAsia"/>
          <w:b w:val="0"/>
          <w:noProof w:val="1"/>
          <w:kern w:val="2"/>
          <w:lang w:eastAsia="sv-SE"/>
        </w:rPr>
      </w:pPr>
      <w:r>
        <w:rPr>
          <w:noProof w:val="1"/>
        </w:rPr>
        <w:t>Konsekvenser</w:t>
        <w:tab/>
      </w:r>
      <w:r>
        <w:rPr>
          <w:noProof w:val="1"/>
        </w:rPr>
        <w:fldChar w:fldCharType="begin"/>
      </w:r>
      <w:r>
        <w:rPr>
          <w:noProof w:val="1"/>
        </w:rPr>
        <w:instrText xml:space="preserve"> PAGEREF _Toc146895000 \h </w:instrText>
      </w:r>
      <w:r>
        <w:rPr>
          <w:noProof w:val="1"/>
        </w:rPr>
        <w:fldChar w:fldCharType="separate"/>
      </w:r>
      <w:r>
        <w:rPr>
          <w:noProof w:val="1"/>
        </w:rPr>
        <w:t>17</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Fastigheter och rättigheter</w:t>
        <w:tab/>
      </w:r>
      <w:r>
        <w:rPr>
          <w:noProof w:val="1"/>
        </w:rPr>
        <w:fldChar w:fldCharType="begin"/>
      </w:r>
      <w:r>
        <w:rPr>
          <w:noProof w:val="1"/>
        </w:rPr>
        <w:instrText xml:space="preserve"> PAGEREF _Toc146895001 \h </w:instrText>
      </w:r>
      <w:r>
        <w:rPr>
          <w:noProof w:val="1"/>
        </w:rPr>
        <w:fldChar w:fldCharType="separate"/>
      </w:r>
      <w:r>
        <w:rPr>
          <w:noProof w:val="1"/>
        </w:rPr>
        <w:t>17</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Upplysning</w:t>
        <w:tab/>
      </w:r>
      <w:r>
        <w:rPr>
          <w:noProof w:val="1"/>
        </w:rPr>
        <w:fldChar w:fldCharType="begin"/>
      </w:r>
      <w:r>
        <w:rPr>
          <w:noProof w:val="1"/>
        </w:rPr>
        <w:instrText xml:space="preserve"> PAGEREF _Toc146895002 \h </w:instrText>
      </w:r>
      <w:r>
        <w:rPr>
          <w:noProof w:val="1"/>
        </w:rPr>
        <w:fldChar w:fldCharType="separate"/>
      </w:r>
      <w:r>
        <w:rPr>
          <w:noProof w:val="1"/>
        </w:rPr>
        <w:t>17</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Natur</w:t>
        <w:tab/>
      </w:r>
      <w:r>
        <w:rPr>
          <w:noProof w:val="1"/>
        </w:rPr>
        <w:fldChar w:fldCharType="begin"/>
      </w:r>
      <w:r>
        <w:rPr>
          <w:noProof w:val="1"/>
        </w:rPr>
        <w:instrText xml:space="preserve"> PAGEREF _Toc146895003 \h </w:instrText>
      </w:r>
      <w:r>
        <w:rPr>
          <w:noProof w:val="1"/>
        </w:rPr>
        <w:fldChar w:fldCharType="separate"/>
      </w:r>
      <w:r>
        <w:rPr>
          <w:noProof w:val="1"/>
        </w:rPr>
        <w:t>17</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Miljö</w:t>
        <w:tab/>
      </w:r>
      <w:r>
        <w:rPr>
          <w:noProof w:val="1"/>
        </w:rPr>
        <w:fldChar w:fldCharType="begin"/>
      </w:r>
      <w:r>
        <w:rPr>
          <w:noProof w:val="1"/>
        </w:rPr>
        <w:instrText xml:space="preserve"> PAGEREF _Toc146895004 \h </w:instrText>
      </w:r>
      <w:r>
        <w:rPr>
          <w:noProof w:val="1"/>
        </w:rPr>
        <w:fldChar w:fldCharType="separate"/>
      </w:r>
      <w:r>
        <w:rPr>
          <w:noProof w:val="1"/>
        </w:rPr>
        <w:t>17</w:t>
      </w:r>
      <w:r>
        <w:rPr>
          <w:noProof w:val="1"/>
        </w:rPr>
        <w:fldChar w:fldCharType="end"/>
      </w:r>
    </w:p>
    <w:p>
      <w:pPr>
        <w:pStyle w:val="P6"/>
        <w:tabs>
          <w:tab w:val="right" w:pos="7354" w:leader="dot"/>
        </w:tabs>
        <w:rPr>
          <w:rFonts w:asciiTheme="minorHAnsi" w:hAnsiTheme="minorHAnsi" w:cstheme="minorBidi" w:eastAsiaTheme="minorEastAsia"/>
          <w:noProof w:val="1"/>
          <w:sz w:val="22"/>
          <w:kern w:val="2"/>
          <w:lang w:eastAsia="sv-SE"/>
        </w:rPr>
      </w:pPr>
      <w:r>
        <w:rPr>
          <w:noProof w:val="1"/>
        </w:rPr>
        <w:t>Hydrologiska förhållanden</w:t>
        <w:tab/>
      </w:r>
      <w:r>
        <w:rPr>
          <w:noProof w:val="1"/>
        </w:rPr>
        <w:fldChar w:fldCharType="begin"/>
      </w:r>
      <w:r>
        <w:rPr>
          <w:noProof w:val="1"/>
        </w:rPr>
        <w:instrText xml:space="preserve"> PAGEREF _Toc146895005 \h </w:instrText>
      </w:r>
      <w:r>
        <w:rPr>
          <w:noProof w:val="1"/>
        </w:rPr>
        <w:fldChar w:fldCharType="separate"/>
      </w:r>
      <w:r>
        <w:rPr>
          <w:noProof w:val="1"/>
        </w:rPr>
        <w:t>18</w:t>
      </w:r>
      <w:r>
        <w:rPr>
          <w:noProof w:val="1"/>
        </w:rPr>
        <w:fldChar w:fldCharType="end"/>
      </w:r>
    </w:p>
    <w:p>
      <w:pPr>
        <w:pStyle w:val="P23"/>
        <w:rPr>
          <w:rFonts w:cs="Times New Roman"/>
          <w:color w:val="auto"/>
          <w:szCs w:val="24"/>
        </w:rPr>
        <w:sectPr>
          <w:footnotePr/>
          <w:endnotePr/>
          <w:type w:val="continuous"/>
          <w:pgSz w:w="11900" w:h="16840" w:code="0"/>
          <w:pgMar w:left="2268" w:right="2268" w:top="1701" w:bottom="2268" w:header="709" w:footer="709" w:gutter="0"/>
          <w:cols w:equalWidth="1" w:space="425"/>
        </w:sectPr>
      </w:pPr>
      <w:r>
        <w:rPr>
          <w:rFonts w:ascii="Century Gothic" w:hAnsi="Century Gothic" w:cs="Times New Roman"/>
          <w:b w:val="1"/>
          <w:color w:val="auto"/>
          <w:szCs w:val="24"/>
        </w:rPr>
        <w:fldChar w:fldCharType="end"/>
      </w:r>
    </w:p>
    <w:p>
      <w:pPr>
        <w:pStyle w:val="P32"/>
        <w:rPr>
          <w:rStyle w:val="C11"/>
          <w:rFonts w:ascii="Century Gothic" w:hAnsi="Century Gothic"/>
          <w:sz w:val="28"/>
        </w:rPr>
      </w:pPr>
      <w:bookmarkStart w:id="0" w:name="_Toc36801966"/>
      <w:r>
        <w:t>Vad är en detaljplan?</w:t>
      </w:r>
      <w:bookmarkEnd w:id="0"/>
      <w:r>
        <w:t xml:space="preserve"> </w:t>
      </w:r>
    </w:p>
    <w:p>
      <w:pPr>
        <w:pStyle w:val="P23"/>
        <w:rPr>
          <w:rStyle w:val="C18"/>
          <w:szCs w:val="20"/>
        </w:rPr>
      </w:pPr>
      <w:r>
        <w:rPr>
          <w:rStyle w:val="C18"/>
          <w:szCs w:val="20"/>
        </w:rPr>
        <w:t xml:space="preserve">En detaljplan regleras av Plan- och bygglagen (PBL) och omfattar oftast ett större kvarter eller några fastigheter. Detaljplanen är ett juridiskt bindande dokument som syftar till att göra avvägningar mellan olika intressen och ta ställning till hur ett område ska användas. Detaljplanen kan till exempel reglera om marken ska användas till bostäder, industri eller parkmark men också var gator ska anläggas, hur höga byggnaderna får vara och hur mycket av fastigheten som får bebyggas. </w:t>
      </w:r>
    </w:p>
    <w:p>
      <w:pPr>
        <w:pStyle w:val="P23"/>
        <w:rPr>
          <w:szCs w:val="22"/>
        </w:rPr>
      </w:pPr>
    </w:p>
    <w:p>
      <w:pPr>
        <w:pStyle w:val="P23"/>
        <w:rPr>
          <w:rStyle w:val="C18"/>
        </w:rPr>
      </w:pPr>
      <w:r>
        <w:rPr>
          <w:rStyle w:val="C18"/>
        </w:rPr>
        <w:t xml:space="preserve">Processen för att ta fram en detaljplan skiljer sig åt beroende på vilket förfarande som används: standardförfarande, begränsat förfarande eller utökat förfarande. Det vanligaste är standardförfarandet där planen går ut på </w:t>
      </w:r>
      <w:r>
        <w:rPr>
          <w:rStyle w:val="C18"/>
          <w:i w:val="1"/>
          <w:iCs w:val="1"/>
        </w:rPr>
        <w:t xml:space="preserve">samråd </w:t>
      </w:r>
      <w:r>
        <w:rPr>
          <w:rStyle w:val="C18"/>
        </w:rPr>
        <w:t xml:space="preserve">och </w:t>
      </w:r>
      <w:r>
        <w:rPr>
          <w:rStyle w:val="C18"/>
          <w:i w:val="1"/>
          <w:iCs w:val="1"/>
        </w:rPr>
        <w:t xml:space="preserve">granskning </w:t>
      </w:r>
      <w:r>
        <w:rPr>
          <w:rStyle w:val="C18"/>
        </w:rPr>
        <w:t xml:space="preserve">innan den antas av Bygg- och miljönämnden. Vid ett begränsat förfarande genomförs ingen granskning. Vid ett utökat förfarande tillkommer fler krav på bl.a. hur planarbetet ska kommuniceras till allmänheten och hur lång granskningstiden ska vara. </w:t>
      </w:r>
    </w:p>
    <w:p>
      <w:pPr>
        <w:pStyle w:val="P23"/>
        <w:rPr>
          <w:szCs w:val="22"/>
        </w:rPr>
      </w:pPr>
    </w:p>
    <w:p>
      <w:pPr>
        <w:pStyle w:val="P23"/>
        <w:rPr>
          <w:rStyle w:val="C18"/>
        </w:rPr>
      </w:pPr>
      <w:r>
        <w:rPr>
          <w:rStyle w:val="C18"/>
        </w:rPr>
        <w:t xml:space="preserve">Tiden för att ta fram en detaljplan varierar från fall till fall men brukar ta ungefär ett år. Under planprocessen tas förslag till planhandlingar fram och ibland även olika utredningar. Vid </w:t>
      </w:r>
      <w:r>
        <w:rPr>
          <w:rStyle w:val="C18"/>
          <w:i w:val="1"/>
          <w:iCs w:val="1"/>
        </w:rPr>
        <w:t xml:space="preserve">samråd </w:t>
      </w:r>
      <w:r>
        <w:rPr>
          <w:rStyle w:val="C18"/>
        </w:rPr>
        <w:t xml:space="preserve">och </w:t>
      </w:r>
      <w:r>
        <w:rPr>
          <w:rStyle w:val="C18"/>
          <w:i w:val="1"/>
          <w:iCs w:val="1"/>
        </w:rPr>
        <w:t xml:space="preserve">granskning </w:t>
      </w:r>
      <w:r>
        <w:rPr>
          <w:rStyle w:val="C18"/>
        </w:rPr>
        <w:t>får medborgare och övriga intressenter såsom kommunala förvaltningar, statliga myndigheter, fastighetsägare, organisationer m.fl. möjlighet att studera planhandlingarna och lämna synpunkter. Synpunkterna tas sedan med som underlag i det fortsatta planarbetet.</w:t>
      </w:r>
    </w:p>
    <w:p>
      <w:pPr>
        <w:spacing w:lineRule="auto" w:line="256" w:before="1" w:beforeAutospacing="0" w:afterAutospacing="0"/>
        <w:ind w:right="-858"/>
        <w:rPr>
          <w:rFonts w:ascii="Garamond" w:hAnsi="Garamond"/>
          <w:color w:val="231F20"/>
          <w:szCs w:val="22"/>
        </w:rPr>
      </w:pPr>
    </w:p>
    <w:p>
      <w:pPr>
        <w:pStyle w:val="P32"/>
      </w:pPr>
      <w:r>
        <w:t>Detaljplanprocessen - Standardförfarande</w:t>
      </w:r>
    </w:p>
    <w:p>
      <w:pPr>
        <w:spacing w:lineRule="exact" w:line="241" w:before="100" w:beforeAutospacing="0" w:afterAutospacing="0"/>
        <w:ind w:hanging="163" w:left="163"/>
        <w:rPr>
          <w:rFonts w:ascii="Century Gothic" w:hAnsi="Century Gothic"/>
          <w:color w:val="231F20"/>
          <w:sz w:val="18"/>
        </w:rPr>
      </w:pPr>
      <w:r>
        <w:rPr>
          <w:noProof w:val="1"/>
        </w:rPr>
        <w:drawing>
          <wp:anchor xmlns:wp="http://schemas.openxmlformats.org/drawingml/2006/wordprocessingDrawing" distT="0" distB="0" distL="114300" distR="114300" simplePos="0" relativeHeight="5" behindDoc="0" locked="0" layoutInCell="1" allowOverlap="1">
            <wp:simplePos x="0" y="0"/>
            <wp:positionH relativeFrom="margin">
              <wp:posOffset>-276860</wp:posOffset>
            </wp:positionH>
            <wp:positionV relativeFrom="paragraph">
              <wp:posOffset>347980</wp:posOffset>
            </wp:positionV>
            <wp:extent cx="5426710" cy="2501265"/>
            <wp:effectExtent l="0" t="0" r="0" b="0"/>
            <wp:wrapNone/>
            <wp:docPr id="5" name="Bildobjekt 5" descr="En bild som visar text, glasögon, accessoarer, ögonskyd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glasögon, accessoarer, ögonskydd&#10;&#10;Automatiskt genererad beskrivning"/>
                    <pic:cNvPicPr/>
                  </pic:nvPicPr>
                  <pic:blipFill dpi="0">
                    <a:blip xmlns:r="http://schemas.openxmlformats.org/officeDocument/2006/relationships" r:embed="Relimage3"/>
                    <a:srcRect/>
                    <a:stretch>
                      <a:fillRect/>
                    </a:stretch>
                  </pic:blipFill>
                  <pic:spPr>
                    <a:xfrm>
                      <a:off x="0" y="0"/>
                      <a:ext cx="5435011" cy="2505484"/>
                    </a:xfrm>
                    <a:prstGeom prst="rect"/>
                  </pic:spPr>
                </pic:pic>
              </a:graphicData>
            </a:graphic>
          </wp:anchor>
        </w:drawing>
      </w:r>
      <w:r>
        <w:rPr>
          <w:rFonts w:ascii="Century Gothic" w:hAnsi="Century Gothic"/>
          <w:color w:val="231F20"/>
          <w:sz w:val="18"/>
        </w:rPr>
        <w:t>Plan- och bygglagen PBL (2010:900)</w:t>
      </w:r>
    </w:p>
    <w:p>
      <w:pPr>
        <w:spacing w:lineRule="exact" w:line="241" w:before="100" w:beforeAutospacing="0" w:afterAutospacing="0"/>
      </w:pPr>
    </w:p>
    <w:p>
      <w:pPr>
        <w:spacing w:lineRule="exact" w:line="241" w:before="100" w:beforeAutospacing="0" w:afterAutospacing="0"/>
        <w:sectPr>
          <w:footnotePr/>
          <w:endnotePr/>
          <w:type w:val="nextPage"/>
          <w:pgSz w:w="11900" w:h="16840" w:code="0"/>
          <w:pgMar w:left="2268" w:right="2268" w:top="1701" w:bottom="709" w:header="709" w:footer="709" w:gutter="0"/>
          <w:cols w:equalWidth="1" w:space="425"/>
        </w:sectPr>
      </w:pPr>
    </w:p>
    <w:p>
      <w:pPr>
        <w:pStyle w:val="P23"/>
        <w:rPr>
          <w:rFonts w:cs="Times New Roman"/>
          <w:color w:val="auto"/>
          <w:szCs w:val="22"/>
        </w:rPr>
      </w:pPr>
      <w:r>
        <w:rPr>
          <w:rFonts w:cs="Times New Roman"/>
          <w:color w:val="auto"/>
          <w:szCs w:val="22"/>
        </w:rPr>
        <w:t>Den här detaljplanen genomförs med standardplanförfarande.</w:t>
      </w:r>
    </w:p>
    <w:p>
      <w:pPr>
        <w:pStyle w:val="P23"/>
        <w:rPr>
          <w:rFonts w:cs="Times New Roman"/>
          <w:color w:val="auto"/>
          <w:szCs w:val="22"/>
        </w:rPr>
      </w:pPr>
    </w:p>
    <w:p>
      <w:pPr>
        <w:pStyle w:val="P23"/>
        <w:rPr>
          <w:rFonts w:cs="Times New Roman"/>
          <w:color w:val="auto"/>
          <w:szCs w:val="22"/>
        </w:rPr>
      </w:pPr>
      <w:r>
        <w:rPr>
          <w:rFonts w:cs="Times New Roman"/>
          <w:color w:val="auto"/>
          <w:szCs w:val="22"/>
        </w:rPr>
        <w:t xml:space="preserve">Standardförfarande kan användas om en föreslagen detaljplan är av begränsad betydelse, inte är av betydande intresse för allmänheten och om den överensstämmer med översiktsplanen och länsstyrelsens granskningsyttrande. Endast närmast berörda, sakägare, Länsstyrelsen och Lantmäterimyndigheten behöver höras. </w:t>
      </w:r>
    </w:p>
    <w:p>
      <w:pPr>
        <w:pStyle w:val="P23"/>
        <w:rPr>
          <w:rFonts w:cs="Times New Roman"/>
          <w:color w:val="FF0000"/>
          <w:szCs w:val="22"/>
        </w:rPr>
      </w:pPr>
    </w:p>
    <w:p>
      <w:pPr>
        <w:pStyle w:val="P23"/>
        <w:rPr>
          <w:rFonts w:ascii="Century Gothic" w:hAnsi="Century Gothic"/>
          <w:b w:val="1"/>
          <w:bCs w:val="1"/>
          <w:sz w:val="28"/>
          <w:szCs w:val="22"/>
        </w:rPr>
      </w:pPr>
    </w:p>
    <w:p>
      <w:pPr>
        <w:pStyle w:val="P32"/>
      </w:pPr>
      <w:bookmarkStart w:id="1" w:name="_Toc36801967"/>
      <w:r>
        <w:t>Handlingar</w:t>
      </w:r>
      <w:bookmarkEnd w:id="1"/>
    </w:p>
    <w:p>
      <w:pPr>
        <w:pStyle w:val="P23"/>
        <w:rPr>
          <w:rFonts w:cs="Times New Roman"/>
          <w:color w:val="auto"/>
          <w:szCs w:val="24"/>
        </w:rPr>
      </w:pPr>
      <w:r>
        <w:rPr>
          <w:rFonts w:cs="Times New Roman"/>
          <w:color w:val="auto"/>
          <w:szCs w:val="24"/>
        </w:rPr>
        <w:t>Planhandlingen omfattar:</w:t>
      </w:r>
    </w:p>
    <w:p>
      <w:pPr>
        <w:pStyle w:val="P23"/>
        <w:numPr>
          <w:ilvl w:val="0"/>
          <w:numId w:val="1"/>
        </w:numPr>
        <w:rPr>
          <w:rFonts w:cs="Times New Roman"/>
          <w:color w:val="auto"/>
          <w:szCs w:val="24"/>
        </w:rPr>
      </w:pPr>
      <w:r>
        <w:rPr>
          <w:rFonts w:cs="Times New Roman"/>
          <w:color w:val="auto"/>
          <w:szCs w:val="24"/>
        </w:rPr>
        <w:t xml:space="preserve">plankarta i skala 1:1 000 med planbestämmelser </w:t>
      </w:r>
    </w:p>
    <w:p>
      <w:pPr>
        <w:pStyle w:val="P23"/>
        <w:numPr>
          <w:ilvl w:val="0"/>
          <w:numId w:val="1"/>
        </w:numPr>
        <w:rPr>
          <w:rFonts w:cs="Times New Roman"/>
          <w:color w:val="auto"/>
          <w:szCs w:val="24"/>
        </w:rPr>
      </w:pPr>
      <w:r>
        <w:rPr>
          <w:rFonts w:cs="Times New Roman"/>
          <w:color w:val="auto"/>
          <w:szCs w:val="24"/>
        </w:rPr>
        <w:t>denna planbeskrivning med illustrationer</w:t>
      </w:r>
    </w:p>
    <w:p>
      <w:pPr>
        <w:pStyle w:val="P23"/>
        <w:numPr>
          <w:ilvl w:val="0"/>
          <w:numId w:val="1"/>
        </w:numPr>
        <w:rPr>
          <w:rFonts w:cs="Times New Roman"/>
          <w:i w:val="1"/>
          <w:color w:val="auto"/>
          <w:szCs w:val="24"/>
        </w:rPr>
      </w:pPr>
      <w:r>
        <w:rPr>
          <w:rFonts w:cs="Times New Roman"/>
          <w:color w:val="auto"/>
          <w:szCs w:val="24"/>
        </w:rPr>
        <w:t xml:space="preserve">samrådsredogörelse </w:t>
      </w:r>
      <w:r>
        <w:rPr>
          <w:rFonts w:cs="Times New Roman"/>
          <w:i w:val="1"/>
          <w:color w:val="auto"/>
          <w:szCs w:val="24"/>
        </w:rPr>
        <w:t xml:space="preserve">(efter samråd) </w:t>
      </w:r>
    </w:p>
    <w:p>
      <w:pPr>
        <w:pStyle w:val="P23"/>
        <w:numPr>
          <w:ilvl w:val="0"/>
          <w:numId w:val="1"/>
        </w:numPr>
        <w:rPr>
          <w:rFonts w:cs="Times New Roman"/>
          <w:color w:val="auto"/>
          <w:szCs w:val="24"/>
        </w:rPr>
      </w:pPr>
      <w:r>
        <w:rPr>
          <w:rFonts w:cs="Times New Roman"/>
          <w:color w:val="auto"/>
          <w:szCs w:val="24"/>
        </w:rPr>
        <w:t xml:space="preserve">granskningsutlåtande </w:t>
      </w:r>
      <w:r>
        <w:rPr>
          <w:rFonts w:cs="Times New Roman"/>
          <w:i w:val="1"/>
          <w:color w:val="auto"/>
          <w:szCs w:val="24"/>
        </w:rPr>
        <w:t>(efter granskning)</w:t>
      </w:r>
    </w:p>
    <w:p>
      <w:pPr>
        <w:pStyle w:val="P23"/>
        <w:numPr>
          <w:ilvl w:val="0"/>
          <w:numId w:val="1"/>
        </w:numPr>
        <w:rPr>
          <w:color w:val="auto"/>
        </w:rPr>
      </w:pPr>
      <w:r>
        <w:rPr>
          <w:color w:val="auto"/>
        </w:rPr>
        <w:t>fastighetsförteckning *</w:t>
      </w:r>
    </w:p>
    <w:p>
      <w:pPr>
        <w:pStyle w:val="P23"/>
        <w:numPr>
          <w:ilvl w:val="0"/>
          <w:numId w:val="1"/>
        </w:numPr>
      </w:pPr>
      <w:r>
        <w:t>undersökning om betydande miljöpåverkan</w:t>
      </w:r>
    </w:p>
    <w:p>
      <w:pPr>
        <w:pStyle w:val="P32"/>
        <w:ind w:left="720"/>
        <w:rPr>
          <w:sz w:val="20"/>
        </w:rPr>
      </w:pPr>
    </w:p>
    <w:p>
      <w:pPr>
        <w:pStyle w:val="P23"/>
      </w:pPr>
      <w:bookmarkStart w:id="2" w:name="_Hlk517959884"/>
      <w:r>
        <w:t>*Fastighetsförteckning lämnas ut av kommunen vid begäran.</w:t>
      </w:r>
    </w:p>
    <w:p>
      <w:pPr>
        <w:pStyle w:val="P23"/>
      </w:pPr>
    </w:p>
    <w:p>
      <w:pPr>
        <w:spacing w:after="0" w:beforeAutospacing="0" w:afterAutospacing="0"/>
        <w:rPr>
          <w:rFonts w:ascii="Century Gothic" w:hAnsi="Century Gothic" w:cs="Garamond"/>
          <w:b w:val="1"/>
          <w:bCs w:val="1"/>
          <w:color w:val="000000"/>
          <w:sz w:val="36"/>
          <w:szCs w:val="36"/>
        </w:rPr>
      </w:pPr>
      <w:bookmarkEnd w:id="2"/>
      <w:bookmarkStart w:id="3" w:name="_Toc36801968"/>
      <w:r>
        <w:br w:type="page"/>
      </w:r>
    </w:p>
    <w:p>
      <w:pPr>
        <w:pStyle w:val="P25"/>
      </w:pPr>
      <w:bookmarkStart w:id="4" w:name="_Toc146894977"/>
      <w:r>
        <w:t>Planens syfte</w:t>
      </w:r>
      <w:bookmarkEnd w:id="4"/>
      <w:r>
        <w:t xml:space="preserve"> </w:t>
      </w:r>
      <w:bookmarkEnd w:id="3"/>
    </w:p>
    <w:p>
      <w:pPr>
        <w:spacing w:after="0" w:beforeAutospacing="0" w:afterAutospacing="0"/>
        <w:rPr>
          <w:rFonts w:ascii="Garamond" w:hAnsi="Garamond" w:cs="Garamond"/>
          <w:color w:val="000000"/>
          <w:szCs w:val="20"/>
          <w:highlight w:val="yellow"/>
        </w:rPr>
      </w:pPr>
    </w:p>
    <w:p>
      <w:pPr>
        <w:pStyle w:val="P23"/>
        <w:rPr>
          <w:color w:val="auto"/>
        </w:rPr>
      </w:pPr>
      <w:bookmarkStart w:id="5" w:name="sy_syfte01"/>
      <w:r>
        <w:rPr>
          <w:color w:val="auto"/>
        </w:rPr>
        <w:t>Syftet med detaljplanen är att fortsatt möjliggöra för bostäder i området. Planen initierades med syftet att ta bort en planlagd lokalgata som ej genomförts och den tillhörande prickmarken samt att öka byggrätten. Syftet med detta är att möjliggöra för byggnation av komplementbyggnad på aktuell mark. Då Murkelvägens sträckning drogs på ett annat sätt än planerat bedöms den planlagda sträckan onödig. Den befintliga sträckningen planläggs som gata och marken för den tidigare planlagda gatan blir kvartersmark.</w:t>
      </w:r>
    </w:p>
    <w:p>
      <w:pPr>
        <w:pStyle w:val="P23"/>
        <w:rPr>
          <w:color w:val="auto"/>
        </w:rPr>
      </w:pPr>
    </w:p>
    <w:p>
      <w:pPr>
        <w:pStyle w:val="P23"/>
        <w:rPr>
          <w:color w:val="auto"/>
        </w:rPr>
      </w:pPr>
      <w:r>
        <w:rPr>
          <w:color w:val="auto"/>
        </w:rPr>
        <w:t>I samband med planläggningen tillkommer prickmark längs med den nya gatan på fastigheten Almby 13:212 men även på två övriga fastigheter som ingår i planområdet. Utöver denna åtgärd utökas även byggrätten. En utökad byggrätt bedöms som lämplig eftersom detta inte strider mot översiktsplanen, den fördjupade översiktsplanen eller övriga dokument och ställningstaganden. Byggrätten är i enlighet med vad detaljplaner i närheten anger.</w:t>
      </w:r>
    </w:p>
    <w:p>
      <w:pPr>
        <w:spacing w:after="0" w:beforeAutospacing="0" w:afterAutospacing="0"/>
        <w:rPr>
          <w:rFonts w:ascii="Garamond" w:hAnsi="Garamond" w:cs="Garamond"/>
          <w:color w:val="000000"/>
          <w:szCs w:val="20"/>
          <w:highlight w:val="yellow"/>
        </w:rPr>
      </w:pPr>
      <w:bookmarkEnd w:id="5"/>
    </w:p>
    <w:p>
      <w:pPr>
        <w:pStyle w:val="P23"/>
        <w:rPr>
          <w:rFonts w:cs="Times New Roman"/>
          <w:color w:val="auto"/>
          <w:szCs w:val="24"/>
        </w:rPr>
      </w:pPr>
    </w:p>
    <w:p>
      <w:pPr>
        <w:pStyle w:val="P25"/>
      </w:pPr>
      <w:bookmarkStart w:id="6" w:name="_Toc146894978"/>
      <w:bookmarkStart w:id="7" w:name="_Toc36801970"/>
      <w:r>
        <w:t>Beskrivning av detaljplanen</w:t>
      </w:r>
      <w:bookmarkEnd w:id="6"/>
      <w:r>
        <w:t xml:space="preserve"> </w:t>
      </w:r>
    </w:p>
    <w:p>
      <w:pPr>
        <w:pStyle w:val="P32"/>
      </w:pPr>
    </w:p>
    <w:p>
      <w:pPr>
        <w:pStyle w:val="P24"/>
      </w:pPr>
      <w:bookmarkStart w:id="8" w:name="_Toc146894979"/>
      <w:r>
        <w:t>Läge</w:t>
      </w:r>
      <w:bookmarkEnd w:id="8"/>
    </w:p>
    <w:p>
      <w:pPr>
        <w:pStyle w:val="P23"/>
      </w:pPr>
      <w:bookmarkStart w:id="9" w:name="be_heladetaljplan01"/>
      <w:r>
        <w:t>Planområdet är beläget i Ekeby-Almby, öster om Örebro tätort.</w:t>
      </w:r>
    </w:p>
    <w:p>
      <w:pPr>
        <w:pStyle w:val="P23"/>
      </w:pPr>
    </w:p>
    <w:p>
      <w:pPr>
        <w:pStyle w:val="P23"/>
        <w:rPr>
          <w:rFonts w:cs="Times New Roman"/>
          <w:i w:val="1"/>
          <w:color w:val="auto"/>
          <w:sz w:val="20"/>
        </w:rPr>
      </w:pPr>
      <w:r>
        <w:rPr>
          <w:rFonts w:cs="Times New Roman"/>
          <w:i w:val="1"/>
          <w:noProof w:val="1"/>
          <w:color w:val="auto"/>
          <w:sz w:val="20"/>
        </w:rPr>
        <w:drawing>
          <wp:inline xmlns:wp="http://schemas.openxmlformats.org/drawingml/2006/wordprocessingDrawing" distT="0" distB="0" distL="0" distR="0">
            <wp:extent cx="4672965" cy="3291205"/>
            <wp:effectExtent l="0" t="0" r="0" b="4445"/>
            <wp:docPr id="8" name="Bildobjekt 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10;&#10;Automatiskt genererad beskrivning"/>
                    <pic:cNvPicPr>
                      <a:picLocks noChangeAspect="1" noChangeArrowheads="1"/>
                    </pic:cNvPicPr>
                  </pic:nvPicPr>
                  <pic:blipFill dpi="0">
                    <a:blip xmlns:r="http://schemas.openxmlformats.org/officeDocument/2006/relationships" r:embed="Relimage4"/>
                    <a:srcRect/>
                    <a:stretch>
                      <a:fillRect/>
                    </a:stretch>
                  </pic:blipFill>
                  <pic:spPr bwMode="auto">
                    <a:xfrm>
                      <a:off x="0" y="0"/>
                      <a:ext cx="4672965" cy="3291649"/>
                    </a:xfrm>
                    <a:prstGeom prst="rect"/>
                    <a:noFill/>
                    <a:ln>
                      <a:noFill/>
                    </a:ln>
                  </pic:spPr>
                </pic:pic>
              </a:graphicData>
            </a:graphic>
          </wp:inline>
        </w:drawing>
      </w:r>
    </w:p>
    <w:p>
      <w:pPr>
        <w:pStyle w:val="P23"/>
        <w:rPr>
          <w:rFonts w:cs="Times New Roman"/>
          <w:i w:val="1"/>
          <w:color w:val="auto"/>
          <w:sz w:val="20"/>
        </w:rPr>
      </w:pPr>
      <w:r>
        <w:rPr>
          <w:rFonts w:cs="Times New Roman"/>
          <w:i w:val="1"/>
          <w:color w:val="auto"/>
          <w:sz w:val="20"/>
        </w:rPr>
        <w:t xml:space="preserve">Karta över Ekeby-Almby, östra Örebro. Planområdet schematiskt markerat med rött. </w:t>
      </w:r>
    </w:p>
    <w:p>
      <w:pPr>
        <w:pStyle w:val="P23"/>
      </w:pPr>
      <w:bookmarkEnd w:id="9"/>
    </w:p>
    <w:p>
      <w:pPr>
        <w:pStyle w:val="P23"/>
      </w:pPr>
    </w:p>
    <w:p>
      <w:pPr>
        <w:pStyle w:val="P24"/>
      </w:pPr>
      <w:bookmarkStart w:id="10" w:name="_Toc131587577"/>
      <w:bookmarkStart w:id="11" w:name="_Toc146894980"/>
      <w:bookmarkStart w:id="12" w:name="be_genomförandetid01"/>
      <w:r>
        <w:t>Genomförandetid</w:t>
      </w:r>
      <w:bookmarkEnd w:id="10"/>
      <w:bookmarkEnd w:id="11"/>
    </w:p>
    <w:p>
      <w:pPr>
        <w:pStyle w:val="P23"/>
        <w:rPr>
          <w:rFonts w:cs="Times New Roman"/>
          <w:color w:val="auto"/>
          <w:szCs w:val="24"/>
        </w:rPr>
      </w:pPr>
      <w:r>
        <w:rPr>
          <w:rFonts w:cs="Times New Roman"/>
          <w:color w:val="auto"/>
          <w:szCs w:val="24"/>
        </w:rPr>
        <w:t>Planen föreslås få en genomförandetid om 60 månader (5 år) från den tidpunkt då planen får laga kraft.</w:t>
      </w:r>
    </w:p>
    <w:p>
      <w:pPr>
        <w:pStyle w:val="P24"/>
      </w:pPr>
      <w:bookmarkEnd w:id="12"/>
    </w:p>
    <w:p>
      <w:pPr>
        <w:pStyle w:val="P24"/>
      </w:pPr>
      <w:bookmarkStart w:id="13" w:name="_Toc146894981"/>
      <w:bookmarkStart w:id="14" w:name="be_heladetaljplan02"/>
      <w:r>
        <w:t>Detaljplanens huvuddrag</w:t>
      </w:r>
      <w:bookmarkEnd w:id="13"/>
      <w:r>
        <w:t xml:space="preserve"> </w:t>
      </w:r>
    </w:p>
    <w:p>
      <w:pPr>
        <w:pStyle w:val="P23"/>
        <w:rPr>
          <w:rFonts w:cs="Times New Roman"/>
          <w:color w:val="auto"/>
          <w:szCs w:val="24"/>
        </w:rPr>
      </w:pPr>
      <w:r>
        <w:rPr>
          <w:rFonts w:cs="Times New Roman"/>
          <w:color w:val="auto"/>
          <w:szCs w:val="24"/>
        </w:rPr>
        <w:t xml:space="preserve">Planområdet består av fyra fastigheter som är bebyggda med enbostadshus med tillhörande komplementbyggnader. Murkelvägen utgör en del av detaljplanen, planlagd som gata i enlighet med den befintliga sträckningen av vägen. Detaljplanen innebär ingen större förändring i området som karaktäriseras av villor med stora tomter, skogspartier och grusvägar. Med den ökade byggrätten möjliggörs större byggnader än de som står där idag men inte i sådan omfattning att områdets karaktär ändras. </w:t>
      </w:r>
    </w:p>
    <w:p>
      <w:pPr>
        <w:pStyle w:val="P23"/>
        <w:rPr>
          <w:rFonts w:cs="Times New Roman"/>
          <w:color w:val="auto"/>
          <w:szCs w:val="24"/>
        </w:rPr>
      </w:pPr>
    </w:p>
    <w:p>
      <w:pPr>
        <w:pStyle w:val="P23"/>
        <w:rPr>
          <w:rFonts w:cs="Times New Roman"/>
          <w:color w:val="auto"/>
          <w:szCs w:val="24"/>
        </w:rPr>
      </w:pPr>
      <w:r>
        <w:rPr>
          <w:rFonts w:cs="Times New Roman"/>
          <w:color w:val="auto"/>
          <w:szCs w:val="24"/>
        </w:rPr>
        <w:t>En stor del av bedömningen gällande byggrätt, höjd, utformning och gestaltning har sin utgångspunkt i hur bebyggelsen ser ut idag men även den tidigare detaljplanen, detaljplaner i närheten samt den kringliggande bebyggelsen.</w:t>
      </w:r>
    </w:p>
    <w:p>
      <w:pPr>
        <w:pStyle w:val="P24"/>
      </w:pPr>
      <w:bookmarkEnd w:id="14"/>
    </w:p>
    <w:p>
      <w:pPr>
        <w:pStyle w:val="P24"/>
      </w:pPr>
      <w:bookmarkStart w:id="15" w:name="_Toc146894982"/>
      <w:r>
        <w:t>Allmän plats</w:t>
      </w:r>
      <w:bookmarkEnd w:id="15"/>
      <w:r>
        <w:t xml:space="preserve"> </w:t>
      </w:r>
    </w:p>
    <w:p>
      <w:pPr>
        <w:pStyle w:val="P27"/>
        <w:tabs>
          <w:tab w:val="left" w:pos="2378" w:leader="none"/>
        </w:tabs>
      </w:pPr>
      <w:bookmarkStart w:id="16" w:name="be_allmänplats01"/>
      <w:r>
        <w:t xml:space="preserve">Gator och trafik </w:t>
      </w:r>
    </w:p>
    <w:p>
      <w:pPr>
        <w:pStyle w:val="P23"/>
      </w:pPr>
      <w:r>
        <w:t>Gatan planläggs som allmän plats med enskilt huvudmannaskap. Detta innebär inte någon praktisk förändring. Den gemensamhetsanläggning som finns gäller gatunätets befintliga struktur som den nya detaljplanen anpassas efter.</w:t>
        <w:tab/>
      </w:r>
    </w:p>
    <w:p>
      <w:pPr>
        <w:pStyle w:val="P23"/>
      </w:pPr>
      <w:bookmarkEnd w:id="16"/>
    </w:p>
    <w:p>
      <w:pPr>
        <w:pStyle w:val="P27"/>
      </w:pPr>
      <w:bookmarkStart w:id="17" w:name="be_huvudmannaskap01"/>
      <w:r>
        <w:t>Huvudmannaskap</w:t>
      </w:r>
    </w:p>
    <w:p>
      <w:pPr>
        <w:pStyle w:val="P23"/>
      </w:pPr>
      <w:r>
        <w:t>För den allmänna platsen inom planområdet råder enskilt huvudmannaskap. All allmän plats är planlagd som gata. En gemensamhetsanläggning för underhåll av gatorna finns redan då de har varit i bruk sedan tidigare.</w:t>
      </w:r>
    </w:p>
    <w:p>
      <w:pPr>
        <w:pStyle w:val="P24"/>
      </w:pPr>
      <w:bookmarkEnd w:id="17"/>
    </w:p>
    <w:p>
      <w:pPr>
        <w:pStyle w:val="P24"/>
      </w:pPr>
      <w:bookmarkStart w:id="18" w:name="_Toc146894983"/>
      <w:bookmarkStart w:id="19" w:name="be_kvartersmark01"/>
      <w:r>
        <w:t>Kvartersmark</w:t>
      </w:r>
      <w:bookmarkEnd w:id="18"/>
      <w:r>
        <w:t xml:space="preserve"> </w:t>
      </w:r>
    </w:p>
    <w:p>
      <w:pPr>
        <w:pStyle w:val="P23"/>
      </w:pPr>
      <w:r>
        <w:t>All kvartersmark inom planområdet är planlagd som bostäder i likhet med den tidigare detaljplanen och den befintliga användningen. Längs med gatorna följer prickmark som begränsar bebyggelse 6 meter in på kvartersmarken med undantag för prickmarken på den södra delen av fastigheten Almby 13:6 där den omfattar 5 meter in på kvartersmarken.</w:t>
      </w:r>
    </w:p>
    <w:p>
      <w:pPr>
        <w:pStyle w:val="P23"/>
      </w:pPr>
    </w:p>
    <w:p>
      <w:pPr>
        <w:pStyle w:val="P27"/>
      </w:pPr>
      <w:r>
        <w:t xml:space="preserve">Mark och vegetation </w:t>
      </w:r>
    </w:p>
    <w:p>
      <w:pPr>
        <w:pStyle w:val="P23"/>
        <w:rPr>
          <w:color w:val="auto"/>
        </w:rPr>
      </w:pPr>
      <w:r>
        <w:rPr>
          <w:color w:val="auto"/>
        </w:rPr>
        <w:t>Marken inom kvartersmarken som inte är bebyggd består i huvudsak av gräsmattor, skogsdungar och buskar. Planområdet befinner sig på en brant som sluttar ned mot Gamla Hjälmarvägen och Hjälmaren.</w:t>
      </w:r>
    </w:p>
    <w:p>
      <w:pPr>
        <w:pStyle w:val="P23"/>
      </w:pPr>
    </w:p>
    <w:p>
      <w:pPr>
        <w:pStyle w:val="P27"/>
      </w:pPr>
      <w:r>
        <w:t xml:space="preserve">Bebyggelse </w:t>
      </w:r>
    </w:p>
    <w:p>
      <w:pPr>
        <w:pStyle w:val="P23"/>
      </w:pPr>
      <w:r>
        <w:t xml:space="preserve">Byggrätten är max 300 kvadratmeter byggnadsarea (BYA) per fastighet och högsta tillåtna nockhöjd är 9 meter. Huvudbyggnad inklusive del av huvudbyggnad som har ändamålet garage, carport och/eller förråd ska placeras minst 4 meter från fastighetsgräns. </w:t>
      </w:r>
      <w:bookmarkEnd w:id="7"/>
      <w:r>
        <w:t>Högsta tillåtna nockhöjd för komplementbyggnader är 5 meter. Komplementbyggnader ska placeras minst 1,5 meter från fastighetsgräns eller sammanbyggas i fastighetsgräns. Endast friliggande en- och tvåbostadhus är tillåtna.</w:t>
      </w:r>
    </w:p>
    <w:p>
      <w:pPr>
        <w:spacing w:after="0" w:beforeAutospacing="0" w:afterAutospacing="0"/>
        <w:rPr>
          <w:rFonts w:ascii="Century Gothic" w:hAnsi="Century Gothic" w:cs="CenturyGothic-Bold"/>
          <w:b w:val="1"/>
          <w:bCs w:val="1"/>
          <w:color w:val="7030A0"/>
          <w:sz w:val="36"/>
          <w:szCs w:val="36"/>
          <w:u w:val="single"/>
        </w:rPr>
      </w:pPr>
      <w:bookmarkEnd w:id="19"/>
      <w:r>
        <w:br w:type="page"/>
      </w:r>
      <w:r>
        <w:rPr>
          <w:rFonts w:ascii="Century Gothic" w:hAnsi="Century Gothic"/>
          <w:b w:val="1"/>
          <w:bCs w:val="1"/>
          <w:sz w:val="36"/>
          <w:szCs w:val="36"/>
        </w:rPr>
        <w:t xml:space="preserve">Motiv till detaljplanens regleringar </w:t>
      </w:r>
    </w:p>
    <w:p>
      <w:pPr>
        <w:pStyle w:val="P23"/>
      </w:pPr>
      <w:bookmarkStart w:id="20" w:name="_Toc36801997"/>
    </w:p>
    <w:p>
      <w:pPr>
        <w:pStyle w:val="P24"/>
      </w:pPr>
      <w:bookmarkStart w:id="21" w:name="_Toc146894984"/>
      <w:r>
        <w:t>Användning av allmän plats</w:t>
      </w:r>
      <w:bookmarkEnd w:id="21"/>
      <w:r>
        <w:t xml:space="preserve"> </w:t>
      </w:r>
    </w:p>
    <w:p>
      <w:pPr>
        <w:pStyle w:val="P23"/>
        <w:rPr>
          <w:b w:val="1"/>
          <w:bCs w:val="1"/>
        </w:rPr>
      </w:pPr>
    </w:p>
    <w:p>
      <w:pPr>
        <w:pStyle w:val="P23"/>
        <w:rPr>
          <w:b w:val="1"/>
          <w:bCs w:val="1"/>
        </w:rPr>
      </w:pPr>
      <w:r>
        <w:rPr>
          <w:b w:val="1"/>
          <w:bCs w:val="1"/>
        </w:rPr>
        <w:t xml:space="preserve">Planbestämmelse </w:t>
      </w:r>
      <w:r>
        <w:tab/>
      </w:r>
      <w:r>
        <w:rPr>
          <w:b w:val="1"/>
          <w:bCs w:val="1"/>
        </w:rPr>
        <w:t xml:space="preserve">Beskrivning och motiv </w:t>
      </w:r>
    </w:p>
    <w:p>
      <w:pPr>
        <w:pStyle w:val="P23"/>
        <w:rPr>
          <w:b w:val="1"/>
          <w:bCs w:val="1"/>
        </w:rPr>
      </w:pPr>
    </w:p>
    <w:tbl>
      <w:tblPr>
        <w:tblStyle w:val="T2"/>
        <w:tblW w:w="7370"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113" w:type="dxa"/>
          <w:bottom w:w="113" w:type="dxa"/>
        </w:tblCellMar>
        <w:tblLook w:val="04A0"/>
      </w:tblPr>
      <w:tblGrid/>
      <w:tr>
        <w:trPr>
          <w:trHeight w:hRule="atLeast" w:val="1251"/>
        </w:trPr>
        <w:tc>
          <w:tcPr>
            <w:tcW w:w="2268" w:type="dxa"/>
          </w:tcPr>
          <w:p>
            <w:pPr>
              <w:pStyle w:val="P23"/>
              <w:jc w:val="center"/>
              <w:rPr>
                <w:b w:val="1"/>
                <w:bCs w:val="1"/>
              </w:rPr>
            </w:pPr>
            <w:r>
              <w:rPr>
                <w:b w:val="1"/>
                <w:bCs w:val="1"/>
              </w:rPr>
              <w:t>GATA</w:t>
            </w:r>
          </w:p>
        </w:tc>
        <w:tc>
          <w:tcPr>
            <w:tcW w:w="567" w:type="dxa"/>
          </w:tcPr>
          <w:p>
            <w:pPr>
              <w:pStyle w:val="P23"/>
            </w:pPr>
          </w:p>
        </w:tc>
        <w:tc>
          <w:tcPr>
            <w:tcW w:w="4535" w:type="dxa"/>
          </w:tcPr>
          <w:p>
            <w:pPr>
              <w:pStyle w:val="P23"/>
              <w:rPr>
                <w:i w:val="1"/>
                <w:iCs w:val="1"/>
              </w:rPr>
            </w:pPr>
            <w:r>
              <w:rPr>
                <w:i w:val="1"/>
                <w:iCs w:val="1"/>
              </w:rPr>
              <w:t xml:space="preserve">Gata </w:t>
            </w:r>
          </w:p>
          <w:p>
            <w:pPr>
              <w:pStyle w:val="P23"/>
            </w:pPr>
          </w:p>
          <w:p>
            <w:pPr>
              <w:pStyle w:val="P23"/>
            </w:pPr>
            <w:bookmarkStart w:id="22" w:name="mo_motivtillreglering01" w:colFirst="2" w:colLast="2"/>
            <w:r>
              <w:t>Syftet med markanvändningen är att säkerställa att marken används som gata för allmänhetens bruk.</w:t>
            </w:r>
          </w:p>
        </w:tc>
      </w:tr>
    </w:tbl>
    <w:p>
      <w:pPr>
        <w:pStyle w:val="P23"/>
      </w:pPr>
      <w:bookmarkEnd w:id="22"/>
    </w:p>
    <w:p>
      <w:pPr>
        <w:pStyle w:val="P24"/>
      </w:pPr>
      <w:bookmarkStart w:id="23" w:name="_Toc146894985"/>
      <w:bookmarkStart w:id="24" w:name="mo_motivtillreglering02"/>
      <w:r>
        <w:t>Användning av kvartersmark</w:t>
      </w:r>
      <w:bookmarkEnd w:id="23"/>
      <w:r>
        <w:t xml:space="preserve"> </w:t>
      </w:r>
    </w:p>
    <w:tbl>
      <w:tblPr>
        <w:tblStyle w:val="T2"/>
        <w:tblW w:w="7370"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113" w:type="dxa"/>
          <w:bottom w:w="113" w:type="dxa"/>
        </w:tblCellMar>
        <w:tblLook w:val="04A0"/>
      </w:tblPr>
      <w:tblGrid/>
      <w:tr>
        <w:tc>
          <w:tcPr>
            <w:tcW w:w="2268" w:type="dxa"/>
          </w:tcPr>
          <w:p>
            <w:pPr>
              <w:pStyle w:val="P23"/>
              <w:jc w:val="center"/>
              <w:rPr>
                <w:b w:val="1"/>
                <w:bCs w:val="1"/>
              </w:rPr>
            </w:pPr>
            <w:r>
              <w:rPr>
                <w:b w:val="1"/>
                <w:bCs w:val="1"/>
              </w:rPr>
              <w:t>B</w:t>
            </w:r>
          </w:p>
        </w:tc>
        <w:tc>
          <w:tcPr>
            <w:tcW w:w="567" w:type="dxa"/>
          </w:tcPr>
          <w:p>
            <w:pPr>
              <w:pStyle w:val="P23"/>
            </w:pPr>
          </w:p>
        </w:tc>
        <w:tc>
          <w:tcPr>
            <w:tcW w:w="4535" w:type="dxa"/>
          </w:tcPr>
          <w:p>
            <w:pPr>
              <w:pStyle w:val="P23"/>
              <w:rPr>
                <w:i w:val="1"/>
                <w:iCs w:val="1"/>
              </w:rPr>
            </w:pPr>
            <w:r>
              <w:rPr>
                <w:i w:val="1"/>
                <w:iCs w:val="1"/>
              </w:rPr>
              <w:t xml:space="preserve">Bostäder </w:t>
            </w:r>
          </w:p>
          <w:p>
            <w:pPr>
              <w:pStyle w:val="P23"/>
            </w:pPr>
          </w:p>
          <w:p>
            <w:pPr>
              <w:pStyle w:val="P23"/>
              <w:rPr>
                <w:color w:val="auto"/>
              </w:rPr>
            </w:pPr>
            <w:r>
              <w:rPr>
                <w:color w:val="auto"/>
              </w:rPr>
              <w:t>Syftet med användningen är att fortsatt möjliggöra för bostäder.</w:t>
            </w:r>
          </w:p>
          <w:p>
            <w:pPr>
              <w:pStyle w:val="P23"/>
              <w:rPr>
                <w:color w:val="auto"/>
              </w:rPr>
            </w:pPr>
          </w:p>
          <w:p>
            <w:pPr>
              <w:pStyle w:val="P23"/>
              <w:rPr>
                <w:color w:val="auto"/>
              </w:rPr>
            </w:pPr>
            <w:r>
              <w:rPr>
                <w:color w:val="auto"/>
              </w:rPr>
              <w:t>Användningen har använts då den är förenlig med planens syfte, att möjliggöra en högre byggrätt och ta bort en planlagd gata som inte har genomförts.</w:t>
            </w:r>
          </w:p>
        </w:tc>
      </w:tr>
      <w:tr>
        <w:trPr>
          <w:trHeight w:hRule="atLeast" w:val="85"/>
        </w:trPr>
        <w:tc>
          <w:tcPr>
            <w:tcW w:w="2268" w:type="dxa"/>
          </w:tcPr>
          <w:p>
            <w:pPr>
              <w:pStyle w:val="P23"/>
            </w:pPr>
            <w:bookmarkEnd w:id="24"/>
          </w:p>
        </w:tc>
        <w:tc>
          <w:tcPr>
            <w:tcW w:w="567" w:type="dxa"/>
          </w:tcPr>
          <w:p>
            <w:pPr>
              <w:pStyle w:val="P23"/>
            </w:pPr>
          </w:p>
        </w:tc>
        <w:tc>
          <w:tcPr>
            <w:tcW w:w="4535" w:type="dxa"/>
          </w:tcPr>
          <w:p>
            <w:pPr>
              <w:pStyle w:val="P23"/>
            </w:pPr>
          </w:p>
        </w:tc>
      </w:tr>
    </w:tbl>
    <w:p>
      <w:pPr>
        <w:pStyle w:val="P24"/>
      </w:pPr>
      <w:bookmarkStart w:id="25" w:name="_Toc146894986"/>
      <w:bookmarkStart w:id="26" w:name="mo_motivtillreglering03"/>
      <w:r>
        <w:t>Egenskapsbestämmelser för allmän plats</w:t>
      </w:r>
      <w:bookmarkEnd w:id="25"/>
      <w:r>
        <w:t xml:space="preserve"> </w:t>
      </w:r>
    </w:p>
    <w:tbl>
      <w:tblPr>
        <w:tblStyle w:val="T2"/>
        <w:tblW w:w="7370"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113" w:type="dxa"/>
          <w:bottom w:w="113" w:type="dxa"/>
        </w:tblCellMar>
        <w:tblLook w:val="04A0"/>
      </w:tblPr>
      <w:tblGrid/>
      <w:tr>
        <w:tc>
          <w:tcPr>
            <w:tcW w:w="2268" w:type="dxa"/>
          </w:tcPr>
          <w:p>
            <w:pPr>
              <w:pStyle w:val="P23"/>
              <w:jc w:val="center"/>
              <w:rPr>
                <w:b w:val="1"/>
                <w:bCs w:val="1"/>
              </w:rPr>
            </w:pPr>
            <w:r>
              <w:rPr>
                <w:b w:val="1"/>
                <w:bCs w:val="1"/>
              </w:rPr>
              <w:t>a</w:t>
            </w:r>
            <w:r>
              <w:rPr>
                <w:b w:val="1"/>
                <w:bCs w:val="1"/>
                <w:vertAlign w:val="subscript"/>
              </w:rPr>
              <w:t>1</w:t>
            </w:r>
          </w:p>
        </w:tc>
        <w:tc>
          <w:tcPr>
            <w:tcW w:w="567" w:type="dxa"/>
          </w:tcPr>
          <w:p>
            <w:pPr>
              <w:pStyle w:val="P23"/>
            </w:pPr>
          </w:p>
        </w:tc>
        <w:tc>
          <w:tcPr>
            <w:tcW w:w="4535" w:type="dxa"/>
          </w:tcPr>
          <w:p>
            <w:pPr>
              <w:pStyle w:val="P23"/>
              <w:rPr>
                <w:i w:val="1"/>
                <w:iCs w:val="1"/>
              </w:rPr>
            </w:pPr>
            <w:r>
              <w:rPr>
                <w:i w:val="1"/>
                <w:iCs w:val="1"/>
              </w:rPr>
              <w:t>Huvudmannaskapet är enskilt för den allmänna platsen</w:t>
            </w:r>
          </w:p>
          <w:p>
            <w:pPr>
              <w:pStyle w:val="P23"/>
            </w:pPr>
          </w:p>
          <w:p>
            <w:pPr>
              <w:pStyle w:val="P23"/>
            </w:pPr>
            <w:r>
              <w:t>Motivet till bestämmelsen är att säkerställa att ansvaret för gatan fortsatt ligger på gemensamhetsanläggningen.</w:t>
            </w:r>
          </w:p>
        </w:tc>
      </w:tr>
    </w:tbl>
    <w:p>
      <w:pPr>
        <w:pStyle w:val="P24"/>
      </w:pPr>
      <w:bookmarkEnd w:id="26"/>
    </w:p>
    <w:p>
      <w:pPr>
        <w:pStyle w:val="P24"/>
      </w:pPr>
      <w:bookmarkStart w:id="27" w:name="_Toc146894987"/>
      <w:r>
        <w:t>Egenskapsbestämmelser för kvartersmark</w:t>
      </w:r>
      <w:bookmarkEnd w:id="27"/>
      <w:r>
        <w:t xml:space="preserve"> </w:t>
      </w:r>
    </w:p>
    <w:tbl>
      <w:tblPr>
        <w:tblStyle w:val="T2"/>
        <w:tblW w:w="7370"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CellMar>
          <w:top w:w="113" w:type="dxa"/>
          <w:bottom w:w="113" w:type="dxa"/>
        </w:tblCellMar>
        <w:tblLook w:val="04A0"/>
      </w:tblPr>
      <w:tblGrid/>
      <w:tr>
        <w:trPr>
          <w:cantSplit/>
        </w:trPr>
        <w:tc>
          <w:tcPr>
            <w:tcW w:w="2268" w:type="dxa"/>
          </w:tcPr>
          <w:p>
            <w:pPr>
              <w:pStyle w:val="P23"/>
              <w:jc w:val="center"/>
              <w:rPr>
                <w:b w:val="1"/>
                <w:bCs w:val="1"/>
              </w:rPr>
            </w:pPr>
            <w:bookmarkStart w:id="28" w:name="mo_motivtillreglering04" w:colFirst="0" w:colLast="2"/>
            <w:r>
              <w:rPr>
                <w:noProof w:val="1"/>
              </w:rPr>
              <w:drawing>
                <wp:inline xmlns:wp="http://schemas.openxmlformats.org/drawingml/2006/wordprocessingDrawing" distT="0" distB="0" distL="0" distR="0">
                  <wp:extent cx="916305" cy="375920"/>
                  <wp:effectExtent l="0" t="0" r="0" b="508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5"/>
                          <a:srcRect t="3090" r="1884" b="2586"/>
                          <a:stretch>
                            <a:fillRect/>
                          </a:stretch>
                        </pic:blipFill>
                        <pic:spPr bwMode="auto">
                          <a:xfrm>
                            <a:off x="0" y="0"/>
                            <a:ext cx="940721" cy="386425"/>
                          </a:xfrm>
                          <a:prstGeom prst="rect"/>
                          <a:noFill/>
                          <a:ln>
                            <a:noFill/>
                          </a:ln>
                        </pic:spPr>
                      </pic:pic>
                    </a:graphicData>
                  </a:graphic>
                </wp:inline>
              </w:drawing>
            </w:r>
          </w:p>
        </w:tc>
        <w:tc>
          <w:tcPr>
            <w:tcW w:w="567" w:type="dxa"/>
          </w:tcPr>
          <w:p>
            <w:pPr>
              <w:pStyle w:val="P23"/>
            </w:pPr>
          </w:p>
        </w:tc>
        <w:tc>
          <w:tcPr>
            <w:tcW w:w="4535" w:type="dxa"/>
          </w:tcPr>
          <w:p>
            <w:pPr>
              <w:pStyle w:val="P23"/>
              <w:rPr>
                <w:i w:val="1"/>
                <w:iCs w:val="1"/>
              </w:rPr>
            </w:pPr>
            <w:r>
              <w:rPr>
                <w:i w:val="1"/>
                <w:iCs w:val="1"/>
              </w:rPr>
              <w:t xml:space="preserve">Marken får inte förses med byggnad </w:t>
            </w:r>
          </w:p>
          <w:p>
            <w:pPr>
              <w:pStyle w:val="P23"/>
              <w:rPr>
                <w:i w:val="1"/>
                <w:iCs w:val="1"/>
              </w:rPr>
            </w:pPr>
          </w:p>
          <w:p>
            <w:pPr>
              <w:pStyle w:val="P23"/>
              <w:rPr>
                <w:rFonts w:cs="Sabon LT Std"/>
                <w:color w:val="auto"/>
                <w:szCs w:val="22"/>
              </w:rPr>
            </w:pPr>
            <w:r>
              <w:t xml:space="preserve">Prickad mark finns i gränserna av fastigheterna mot gatorna. </w:t>
            </w:r>
            <w:r>
              <w:rPr>
                <w:rFonts w:cs="Sabon LT Std"/>
                <w:color w:val="auto"/>
                <w:szCs w:val="22"/>
              </w:rPr>
              <w:t>Syftet med bestämmelsen är att reglera placering av byggnader, säkerställa område för interngata och avstånd till fastighetsgränser samt för att överensstämma med områdets karaktär.</w:t>
            </w:r>
          </w:p>
        </w:tc>
      </w:tr>
      <w:tr>
        <w:trPr>
          <w:cantSplit/>
        </w:trPr>
        <w:tc>
          <w:tcPr>
            <w:tcW w:w="2268" w:type="dxa"/>
          </w:tcPr>
          <w:p>
            <w:pPr>
              <w:pStyle w:val="P23"/>
              <w:jc w:val="center"/>
              <w:rPr>
                <w:b w:val="1"/>
                <w:bCs w:val="1"/>
                <w:vertAlign w:val="subscript"/>
              </w:rPr>
            </w:pPr>
            <w:bookmarkEnd w:id="28"/>
            <w:r>
              <w:rPr>
                <w:b w:val="1"/>
                <w:bCs w:val="1"/>
              </w:rPr>
              <w:t>h</w:t>
            </w:r>
            <w:r>
              <w:rPr>
                <w:b w:val="1"/>
                <w:bCs w:val="1"/>
                <w:vertAlign w:val="subscript"/>
              </w:rPr>
              <w:t>1</w:t>
            </w:r>
          </w:p>
          <w:p>
            <w:pPr>
              <w:pStyle w:val="P23"/>
            </w:pPr>
          </w:p>
          <w:p>
            <w:pPr>
              <w:pStyle w:val="P23"/>
            </w:pPr>
          </w:p>
          <w:p>
            <w:pPr>
              <w:pStyle w:val="P23"/>
            </w:pPr>
          </w:p>
          <w:p>
            <w:pPr>
              <w:pStyle w:val="P23"/>
            </w:pPr>
          </w:p>
          <w:p>
            <w:pPr>
              <w:pStyle w:val="P23"/>
            </w:pPr>
          </w:p>
          <w:p>
            <w:pPr>
              <w:pStyle w:val="P23"/>
            </w:pPr>
          </w:p>
          <w:p>
            <w:pPr>
              <w:pStyle w:val="P23"/>
            </w:pPr>
          </w:p>
          <w:p>
            <w:pPr>
              <w:pStyle w:val="P23"/>
              <w:jc w:val="center"/>
              <w:rPr>
                <w:b w:val="1"/>
                <w:bCs w:val="1"/>
                <w:vertAlign w:val="subscript"/>
              </w:rPr>
            </w:pPr>
            <w:r>
              <w:rPr>
                <w:b w:val="1"/>
                <w:bCs w:val="1"/>
              </w:rPr>
              <w:t>h</w:t>
            </w:r>
            <w:r>
              <w:rPr>
                <w:b w:val="1"/>
                <w:bCs w:val="1"/>
                <w:vertAlign w:val="subscript"/>
              </w:rPr>
              <w:t>2</w:t>
            </w:r>
          </w:p>
          <w:p>
            <w:pPr>
              <w:pStyle w:val="P23"/>
            </w:pPr>
          </w:p>
          <w:p>
            <w:pPr>
              <w:pStyle w:val="P23"/>
            </w:pPr>
          </w:p>
          <w:p>
            <w:pPr>
              <w:pStyle w:val="P23"/>
            </w:pPr>
          </w:p>
          <w:p>
            <w:pPr>
              <w:pStyle w:val="P23"/>
            </w:pPr>
          </w:p>
          <w:p>
            <w:pPr>
              <w:pStyle w:val="P23"/>
            </w:pPr>
          </w:p>
          <w:p>
            <w:pPr>
              <w:pStyle w:val="P23"/>
              <w:rPr>
                <w:b w:val="1"/>
                <w:bCs w:val="1"/>
              </w:rPr>
            </w:pPr>
          </w:p>
          <w:p>
            <w:pPr>
              <w:pStyle w:val="P23"/>
              <w:jc w:val="center"/>
              <w:rPr>
                <w:b w:val="1"/>
                <w:bCs w:val="1"/>
              </w:rPr>
            </w:pPr>
          </w:p>
          <w:p>
            <w:pPr>
              <w:pStyle w:val="P23"/>
              <w:jc w:val="center"/>
              <w:rPr>
                <w:b w:val="1"/>
                <w:bCs w:val="1"/>
              </w:rPr>
            </w:pPr>
          </w:p>
          <w:p>
            <w:pPr>
              <w:pStyle w:val="P23"/>
              <w:jc w:val="center"/>
              <w:rPr>
                <w:b w:val="1"/>
                <w:bCs w:val="1"/>
              </w:rPr>
            </w:pPr>
            <w:r>
              <w:rPr>
                <w:b w:val="1"/>
                <w:bCs w:val="1"/>
              </w:rPr>
              <w:t>e</w:t>
            </w:r>
            <w:r>
              <w:rPr>
                <w:b w:val="1"/>
                <w:bCs w:val="1"/>
                <w:vertAlign w:val="subscript"/>
              </w:rPr>
              <w:t>1</w:t>
            </w: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r>
              <w:rPr>
                <w:b w:val="1"/>
                <w:bCs w:val="1"/>
              </w:rPr>
              <w:t>f</w:t>
            </w:r>
            <w:r>
              <w:rPr>
                <w:b w:val="1"/>
                <w:bCs w:val="1"/>
                <w:vertAlign w:val="subscript"/>
              </w:rPr>
              <w:t>1</w:t>
            </w: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r>
              <w:rPr>
                <w:b w:val="1"/>
                <w:bCs w:val="1"/>
              </w:rPr>
              <w:t>d</w:t>
            </w:r>
            <w:r>
              <w:rPr>
                <w:b w:val="1"/>
                <w:bCs w:val="1"/>
                <w:vertAlign w:val="subscript"/>
              </w:rPr>
              <w:t>1</w:t>
            </w: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vertAlign w:val="subscript"/>
              </w:rPr>
            </w:pPr>
            <w:r>
              <w:rPr>
                <w:b w:val="1"/>
                <w:bCs w:val="1"/>
              </w:rPr>
              <w:t>p</w:t>
            </w:r>
            <w:r>
              <w:rPr>
                <w:b w:val="1"/>
                <w:bCs w:val="1"/>
                <w:vertAlign w:val="subscript"/>
              </w:rPr>
              <w:t>1</w:t>
            </w:r>
          </w:p>
          <w:p>
            <w:pPr>
              <w:pStyle w:val="P23"/>
              <w:jc w:val="center"/>
              <w:rPr>
                <w:vertAlign w:val="subscript"/>
              </w:rPr>
            </w:pPr>
          </w:p>
          <w:p>
            <w:pPr>
              <w:pStyle w:val="P23"/>
              <w:jc w:val="center"/>
              <w:rPr>
                <w:b w:val="1"/>
                <w:bCs w:val="1"/>
              </w:rPr>
            </w:pPr>
          </w:p>
          <w:p>
            <w:pPr>
              <w:pStyle w:val="P23"/>
              <w:jc w:val="center"/>
              <w:rPr>
                <w:b w:val="1"/>
                <w:bCs w:val="1"/>
              </w:rPr>
            </w:pPr>
          </w:p>
          <w:p>
            <w:pPr>
              <w:pStyle w:val="P23"/>
              <w:jc w:val="center"/>
              <w:rPr>
                <w:b w:val="1"/>
                <w:bCs w:val="1"/>
              </w:rPr>
            </w:pPr>
          </w:p>
          <w:p>
            <w:pPr>
              <w:pStyle w:val="P23"/>
              <w:jc w:val="center"/>
              <w:rPr>
                <w:b w:val="1"/>
                <w:bCs w:val="1"/>
              </w:rPr>
            </w:pPr>
          </w:p>
          <w:p>
            <w:pPr>
              <w:pStyle w:val="P23"/>
              <w:rPr>
                <w:b w:val="1"/>
                <w:bCs w:val="1"/>
              </w:rPr>
            </w:pPr>
          </w:p>
          <w:p>
            <w:pPr>
              <w:pStyle w:val="P23"/>
              <w:jc w:val="center"/>
              <w:rPr>
                <w:b w:val="1"/>
                <w:bCs w:val="1"/>
              </w:rPr>
            </w:pPr>
          </w:p>
          <w:p>
            <w:pPr>
              <w:pStyle w:val="P23"/>
              <w:jc w:val="center"/>
              <w:rPr>
                <w:b w:val="1"/>
                <w:bCs w:val="1"/>
                <w:vertAlign w:val="subscript"/>
              </w:rPr>
            </w:pPr>
            <w:r>
              <w:rPr>
                <w:b w:val="1"/>
                <w:bCs w:val="1"/>
              </w:rPr>
              <w:t>p</w:t>
            </w:r>
            <w:r>
              <w:rPr>
                <w:b w:val="1"/>
                <w:bCs w:val="1"/>
                <w:vertAlign w:val="subscript"/>
              </w:rPr>
              <w:t>2</w:t>
            </w: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vertAlign w:val="subscript"/>
              </w:rPr>
            </w:pPr>
          </w:p>
          <w:p>
            <w:pPr>
              <w:pStyle w:val="P23"/>
              <w:jc w:val="center"/>
              <w:rPr>
                <w:b w:val="1"/>
                <w:bCs w:val="1"/>
              </w:rPr>
            </w:pPr>
          </w:p>
        </w:tc>
        <w:tc>
          <w:tcPr>
            <w:tcW w:w="567" w:type="dxa"/>
          </w:tcPr>
          <w:p>
            <w:pPr>
              <w:pStyle w:val="P23"/>
            </w:pPr>
          </w:p>
        </w:tc>
        <w:tc>
          <w:tcPr>
            <w:tcW w:w="4535" w:type="dxa"/>
          </w:tcPr>
          <w:p>
            <w:pPr>
              <w:pStyle w:val="P23"/>
              <w:rPr>
                <w:i w:val="1"/>
                <w:iCs w:val="1"/>
              </w:rPr>
            </w:pPr>
            <w:bookmarkStart w:id="29" w:name="mo_motivtillreglering05"/>
            <w:r>
              <w:rPr>
                <w:i w:val="1"/>
                <w:iCs w:val="1"/>
              </w:rPr>
              <w:t xml:space="preserve">Högsta nockhöjd på huvudbyggnad är 9 meter </w:t>
            </w:r>
          </w:p>
          <w:p>
            <w:pPr>
              <w:pStyle w:val="P23"/>
              <w:rPr>
                <w:i w:val="1"/>
                <w:iCs w:val="1"/>
              </w:rPr>
            </w:pPr>
          </w:p>
          <w:p>
            <w:pPr>
              <w:pStyle w:val="P23"/>
            </w:pPr>
            <w:r>
              <w:t>Motivet till bestämmelsen är att begränsa byggnadernas höjd. Nockhöjden är satt med utgångspunkt från planområdets högsta befintliga byggnad som har en nockhöjd på 8,5 meter.</w:t>
            </w:r>
          </w:p>
          <w:p>
            <w:pPr>
              <w:pStyle w:val="P23"/>
            </w:pPr>
            <w:bookmarkEnd w:id="29"/>
          </w:p>
          <w:p>
            <w:pPr>
              <w:pStyle w:val="P23"/>
            </w:pPr>
          </w:p>
          <w:p>
            <w:pPr>
              <w:pStyle w:val="P23"/>
              <w:rPr>
                <w:i w:val="1"/>
                <w:iCs w:val="1"/>
              </w:rPr>
            </w:pPr>
            <w:bookmarkStart w:id="30" w:name="mo_motivtillreglering06"/>
            <w:r>
              <w:rPr>
                <w:i w:val="1"/>
                <w:iCs w:val="1"/>
              </w:rPr>
              <w:t>Högsta nockhöjd på komplementbyggnad är 5 meter</w:t>
            </w:r>
          </w:p>
          <w:p>
            <w:pPr>
              <w:pStyle w:val="P23"/>
              <w:rPr>
                <w:i w:val="1"/>
                <w:iCs w:val="1"/>
              </w:rPr>
            </w:pPr>
          </w:p>
          <w:p>
            <w:pPr>
              <w:pStyle w:val="P23"/>
            </w:pPr>
            <w:r>
              <w:t>Motivet till bestämmelsen är att begränsa byggnadernas höjd. Nockhöjden är satt med utgångspunkt från planområdets högsta befintliga komplementbyggnad som har en nockhöjd på 4,5 meter.</w:t>
            </w:r>
          </w:p>
          <w:p>
            <w:pPr>
              <w:pStyle w:val="P23"/>
              <w:rPr>
                <w:i w:val="1"/>
                <w:iCs w:val="1"/>
              </w:rPr>
            </w:pPr>
            <w:bookmarkEnd w:id="30"/>
          </w:p>
          <w:p>
            <w:pPr>
              <w:pStyle w:val="P23"/>
              <w:rPr>
                <w:i w:val="1"/>
                <w:iCs w:val="1"/>
              </w:rPr>
            </w:pPr>
          </w:p>
          <w:p>
            <w:pPr>
              <w:pStyle w:val="P23"/>
              <w:rPr>
                <w:i w:val="1"/>
                <w:iCs w:val="1"/>
              </w:rPr>
            </w:pPr>
            <w:bookmarkStart w:id="31" w:name="mo_motivtillreglering07"/>
            <w:r>
              <w:rPr>
                <w:i w:val="1"/>
                <w:iCs w:val="1"/>
              </w:rPr>
              <w:t>Största byggnadsarea</w:t>
            </w:r>
          </w:p>
          <w:p>
            <w:pPr>
              <w:pStyle w:val="P23"/>
              <w:rPr>
                <w:highlight w:val="yellow"/>
              </w:rPr>
            </w:pPr>
          </w:p>
          <w:p>
            <w:pPr>
              <w:pStyle w:val="P23"/>
            </w:pPr>
            <w:r>
              <w:t>Bestämmelsen syftar till att begränsa byggnadens utnyttjandegrad så att en tillräcklig friyta säkerställs inom fastigheten som överensstämmer med den kringliggande bebyggelsen och områdets karaktär.</w:t>
            </w:r>
          </w:p>
          <w:p>
            <w:pPr>
              <w:pStyle w:val="P23"/>
            </w:pPr>
            <w:bookmarkEnd w:id="31"/>
          </w:p>
          <w:p>
            <w:pPr>
              <w:pStyle w:val="P23"/>
            </w:pPr>
          </w:p>
          <w:p>
            <w:pPr>
              <w:pStyle w:val="P23"/>
              <w:rPr>
                <w:i w:val="1"/>
                <w:iCs w:val="1"/>
              </w:rPr>
            </w:pPr>
            <w:bookmarkStart w:id="32" w:name="mo_motivtillreglering08"/>
            <w:r>
              <w:rPr>
                <w:i w:val="1"/>
                <w:iCs w:val="1"/>
              </w:rPr>
              <w:t>Endast friliggande en- och tvåbostadshus</w:t>
            </w:r>
          </w:p>
          <w:p>
            <w:pPr>
              <w:pStyle w:val="P23"/>
              <w:rPr>
                <w:i w:val="1"/>
                <w:iCs w:val="1"/>
              </w:rPr>
            </w:pPr>
          </w:p>
          <w:p>
            <w:pPr>
              <w:pStyle w:val="P23"/>
            </w:pPr>
            <w:r>
              <w:t>Syftet med bestämmelsen är att säkerställa att endast friliggande en- och tvåbostadshus byggs inom planområdet för att bevara områdets karaktär som ett småhusområde.</w:t>
            </w:r>
          </w:p>
          <w:p>
            <w:pPr>
              <w:pStyle w:val="P23"/>
            </w:pPr>
            <w:bookmarkEnd w:id="32"/>
          </w:p>
          <w:p>
            <w:pPr>
              <w:pStyle w:val="P23"/>
            </w:pPr>
          </w:p>
          <w:p>
            <w:pPr>
              <w:pStyle w:val="P23"/>
              <w:rPr>
                <w:i w:val="1"/>
                <w:iCs w:val="1"/>
              </w:rPr>
            </w:pPr>
            <w:bookmarkStart w:id="33" w:name="mo_motivtillreglering09"/>
            <w:r>
              <w:rPr>
                <w:i w:val="1"/>
                <w:iCs w:val="1"/>
              </w:rPr>
              <w:t>Minsta fastighetsstorlek</w:t>
            </w:r>
          </w:p>
          <w:p>
            <w:pPr>
              <w:pStyle w:val="P23"/>
            </w:pPr>
          </w:p>
          <w:p>
            <w:pPr>
              <w:pStyle w:val="P23"/>
            </w:pPr>
            <w:r>
              <w:t>Syftet med bestämmelsen är att säkerställa att storleken på fastigheterna bibehålls i enlighet med den fördjupade översiktsplanen för området.</w:t>
            </w:r>
          </w:p>
          <w:p>
            <w:pPr>
              <w:pStyle w:val="P23"/>
            </w:pPr>
            <w:bookmarkEnd w:id="33"/>
          </w:p>
          <w:p>
            <w:pPr>
              <w:pStyle w:val="P23"/>
            </w:pPr>
          </w:p>
          <w:p>
            <w:pPr>
              <w:pStyle w:val="P23"/>
              <w:rPr>
                <w:i w:val="1"/>
                <w:iCs w:val="1"/>
              </w:rPr>
            </w:pPr>
            <w:bookmarkStart w:id="34" w:name="mo_motivtillreglering10"/>
            <w:r>
              <w:rPr>
                <w:i w:val="1"/>
                <w:iCs w:val="1"/>
              </w:rPr>
              <w:t>Huvudbyggnad ska placeras minst 4 meter från fastighetsgräns.</w:t>
            </w:r>
          </w:p>
          <w:p>
            <w:pPr>
              <w:pStyle w:val="P23"/>
              <w:rPr>
                <w:i w:val="1"/>
                <w:iCs w:val="1"/>
              </w:rPr>
            </w:pPr>
          </w:p>
          <w:p>
            <w:pPr>
              <w:pStyle w:val="P23"/>
            </w:pPr>
            <w:r>
              <w:t>Syftet med bestämmelsen är att säkerställa att byggnader inte placeras för nära angränsande fastigheter.</w:t>
            </w:r>
          </w:p>
          <w:p>
            <w:pPr>
              <w:pStyle w:val="P23"/>
            </w:pPr>
            <w:bookmarkEnd w:id="34"/>
          </w:p>
          <w:p>
            <w:pPr>
              <w:pStyle w:val="P23"/>
            </w:pPr>
          </w:p>
          <w:p>
            <w:pPr>
              <w:pStyle w:val="P23"/>
              <w:rPr>
                <w:rStyle w:val="C25"/>
                <w:i w:val="1"/>
                <w:iCs w:val="1"/>
              </w:rPr>
            </w:pPr>
            <w:bookmarkStart w:id="35" w:name="mo_motivtillreglering11"/>
            <w:r>
              <w:rPr>
                <w:rStyle w:val="C25"/>
                <w:i w:val="1"/>
                <w:iCs w:val="1"/>
              </w:rPr>
              <w:t>Komplementbyggnad ska placeras minst 1,5 meter från fastighetsgräns eller sammanbyggas i fastighetsgräns</w:t>
            </w:r>
          </w:p>
          <w:p>
            <w:pPr>
              <w:pStyle w:val="P23"/>
              <w:rPr>
                <w:rStyle w:val="C25"/>
                <w:i w:val="1"/>
                <w:iCs w:val="1"/>
              </w:rPr>
            </w:pPr>
          </w:p>
          <w:p>
            <w:pPr>
              <w:pStyle w:val="P23"/>
            </w:pPr>
            <w:r>
              <w:t>Syftet med bestämmelsen är att säkerställa att komplementbyggnader inte placeras för nära angränsande fastigheter, alternativt att byggnader med likvärdig användning sammanbyggs över fastighetsgränser.</w:t>
            </w:r>
          </w:p>
          <w:p>
            <w:pPr>
              <w:pStyle w:val="P23"/>
            </w:pPr>
            <w:bookmarkEnd w:id="35"/>
          </w:p>
          <w:p>
            <w:pPr>
              <w:pStyle w:val="P23"/>
            </w:pPr>
          </w:p>
        </w:tc>
      </w:tr>
    </w:tbl>
    <w:p>
      <w:pPr>
        <w:pStyle w:val="P25"/>
      </w:pPr>
      <w:bookmarkStart w:id="36" w:name="_Toc146894988"/>
      <w:r>
        <w:t>Genomförande</w:t>
      </w:r>
      <w:bookmarkEnd w:id="20"/>
      <w:r>
        <w:t>frågor</w:t>
      </w:r>
      <w:bookmarkEnd w:id="36"/>
    </w:p>
    <w:p>
      <w:pPr>
        <w:pStyle w:val="P23"/>
      </w:pPr>
    </w:p>
    <w:p>
      <w:pPr>
        <w:pStyle w:val="P24"/>
      </w:pPr>
      <w:bookmarkStart w:id="37" w:name="_Toc36801979"/>
      <w:bookmarkStart w:id="38" w:name="_Toc146894989"/>
      <w:bookmarkStart w:id="39" w:name="gf_annat01"/>
      <w:r>
        <w:t>Markägoförhållanden</w:t>
      </w:r>
      <w:bookmarkEnd w:id="37"/>
      <w:bookmarkEnd w:id="38"/>
    </w:p>
    <w:p>
      <w:pPr>
        <w:pStyle w:val="P23"/>
      </w:pPr>
      <w:r>
        <w:t>Planområdet består av fastigheterna Almby 13:4, 13:6, 13:211, 13:212 och del av 13:25 skifte 20. Samtliga är i privat ägo.</w:t>
      </w:r>
    </w:p>
    <w:p>
      <w:pPr>
        <w:pStyle w:val="P24"/>
      </w:pPr>
      <w:bookmarkEnd w:id="39"/>
    </w:p>
    <w:p>
      <w:pPr>
        <w:pStyle w:val="P24"/>
      </w:pPr>
      <w:bookmarkStart w:id="40" w:name="_Toc146894990"/>
      <w:bookmarkStart w:id="41" w:name="gf_fastighetsrättsligafrågor01"/>
      <w:r>
        <w:t>Fastighetsrättsliga frågor</w:t>
      </w:r>
      <w:bookmarkEnd w:id="40"/>
      <w:r>
        <w:t xml:space="preserve"> </w:t>
      </w:r>
    </w:p>
    <w:p>
      <w:pPr>
        <w:pStyle w:val="P27"/>
      </w:pPr>
      <w:r>
        <w:t xml:space="preserve">Rättigheter </w:t>
      </w:r>
    </w:p>
    <w:p>
      <w:pPr>
        <w:pStyle w:val="P23"/>
      </w:pPr>
      <w:r>
        <w:t>Befintliga u-områden tas bort inom detaljplanen då inga ledningar finns på berörd mark, med undantag för gatans sträckning. Eventuella kostnader i samband med planens genomförande så som flyttningar eller ändringar av befintliga anläggningar för el bekostas av exploatören.</w:t>
      </w:r>
    </w:p>
    <w:p>
      <w:pPr>
        <w:pStyle w:val="P23"/>
      </w:pPr>
    </w:p>
    <w:p>
      <w:pPr>
        <w:pStyle w:val="P27"/>
      </w:pPr>
      <w:r>
        <w:t>Fastighetsbildning</w:t>
      </w:r>
    </w:p>
    <w:p>
      <w:pPr>
        <w:pStyle w:val="P23"/>
      </w:pPr>
      <w:r>
        <w:t>Planen bedöms inte ge upphov till någon fastighetsbildning. Planområdet är indelat i befintliga fastigheter. Minsta fastighetsstorlek är 1900 kvadratmeter. Den minsta fastigheten inom planområdet är lite över 1900 kvadratmeter och de andra tre är över 2000 kvadratmeter.</w:t>
      </w:r>
    </w:p>
    <w:p>
      <w:pPr>
        <w:pStyle w:val="P24"/>
      </w:pPr>
      <w:bookmarkEnd w:id="41"/>
    </w:p>
    <w:p>
      <w:pPr>
        <w:pStyle w:val="P24"/>
      </w:pPr>
      <w:bookmarkStart w:id="42" w:name="_Toc146894991"/>
      <w:r>
        <w:t>Tekniska frågor</w:t>
      </w:r>
      <w:bookmarkEnd w:id="42"/>
    </w:p>
    <w:p>
      <w:pPr>
        <w:pStyle w:val="P27"/>
      </w:pPr>
      <w:bookmarkStart w:id="43" w:name="gf_tekniskaåtgärder01"/>
      <w:r>
        <w:t xml:space="preserve">Tekniska åtgärder </w:t>
      </w:r>
    </w:p>
    <w:p>
      <w:pPr>
        <w:pStyle w:val="P23"/>
        <w:rPr>
          <w:rFonts w:cs="Times New Roman"/>
          <w:color w:val="auto"/>
          <w:szCs w:val="24"/>
        </w:rPr>
      </w:pPr>
      <w:r>
        <w:rPr>
          <w:rFonts w:cs="Times New Roman"/>
          <w:color w:val="auto"/>
          <w:szCs w:val="24"/>
        </w:rPr>
        <w:t>Brandvattenförsörjningen i området ska anpassas till gällande riktlinjer. Om brandvattenkravet överstiger kommunens leveransåtagande ska fastighetsägaren/byggherren vidta åtgärder för att tillgodose fastigheten med erforderlig mängd brandvatten via exempelvis brandvattenreservoarer.</w:t>
      </w:r>
    </w:p>
    <w:p>
      <w:pPr>
        <w:pStyle w:val="P23"/>
        <w:rPr>
          <w:rFonts w:cs="Times New Roman"/>
          <w:color w:val="auto"/>
          <w:szCs w:val="24"/>
        </w:rPr>
      </w:pPr>
      <w:bookmarkEnd w:id="43"/>
    </w:p>
    <w:p>
      <w:pPr>
        <w:pStyle w:val="P27"/>
      </w:pPr>
      <w:bookmarkStart w:id="44" w:name="gf_planavgift01"/>
      <w:r>
        <w:t xml:space="preserve">Planavgift </w:t>
      </w:r>
    </w:p>
    <w:p>
      <w:pPr>
        <w:pStyle w:val="P23"/>
      </w:pPr>
      <w:r>
        <w:t>Planavtal mellan den sökande och kommunen är påskrivet. Övriga fastigheter inom planområdet debiteras planavgift i samband med eventuella bygglov på deras fastigheter.</w:t>
      </w:r>
    </w:p>
    <w:p>
      <w:pPr>
        <w:pStyle w:val="P23"/>
      </w:pPr>
      <w:bookmarkEnd w:id="44"/>
    </w:p>
    <w:p>
      <w:pPr>
        <w:pStyle w:val="P27"/>
      </w:pPr>
      <w:bookmarkStart w:id="45" w:name="gf_driftallmänplats01"/>
      <w:r>
        <w:t xml:space="preserve">Drift allmän plats </w:t>
      </w:r>
    </w:p>
    <w:p>
      <w:pPr>
        <w:pStyle w:val="P23"/>
      </w:pPr>
      <w:r>
        <w:t>Enskilt huvudmannaskap ska råda för allmän plats. En gemensamhetsanläggning finns sedan tidigare.</w:t>
      </w:r>
    </w:p>
    <w:p>
      <w:pPr>
        <w:pStyle w:val="P27"/>
      </w:pPr>
      <w:bookmarkEnd w:id="45"/>
    </w:p>
    <w:p>
      <w:pPr>
        <w:pStyle w:val="P27"/>
      </w:pPr>
      <w:bookmarkStart w:id="46" w:name="gf_tidplan01"/>
      <w:r>
        <w:t xml:space="preserve">Tidplan </w:t>
      </w:r>
    </w:p>
    <w:p>
      <w:pPr>
        <w:pStyle w:val="P23"/>
        <w:rPr>
          <w:rFonts w:cs="Times New Roman"/>
          <w:color w:val="auto"/>
          <w:szCs w:val="24"/>
        </w:rPr>
      </w:pPr>
      <w:r>
        <w:rPr>
          <w:rFonts w:cs="Times New Roman"/>
          <w:color w:val="auto"/>
          <w:szCs w:val="24"/>
        </w:rPr>
        <w:t>Arbetet inriktar sig på att detaljplanen får laga kraft under 2023.</w:t>
      </w:r>
      <w:bookmarkEnd w:id="46"/>
      <w:r>
        <w:br w:type="page"/>
      </w:r>
    </w:p>
    <w:p>
      <w:pPr>
        <w:pStyle w:val="P25"/>
        <w:rPr>
          <w:color w:val="auto"/>
        </w:rPr>
      </w:pPr>
      <w:bookmarkStart w:id="47" w:name="_Toc146894992"/>
      <w:r>
        <w:rPr>
          <w:color w:val="auto"/>
        </w:rPr>
        <w:t>Planeringsförutsättningar</w:t>
      </w:r>
      <w:bookmarkEnd w:id="47"/>
    </w:p>
    <w:p>
      <w:pPr>
        <w:pStyle w:val="P23"/>
      </w:pPr>
    </w:p>
    <w:p>
      <w:pPr>
        <w:pStyle w:val="P24"/>
      </w:pPr>
      <w:bookmarkStart w:id="48" w:name="_Toc146894993"/>
      <w:r>
        <w:t>Kommunala ställningstaganden</w:t>
      </w:r>
      <w:bookmarkEnd w:id="48"/>
      <w:r>
        <w:t xml:space="preserve"> </w:t>
      </w:r>
    </w:p>
    <w:p>
      <w:pPr>
        <w:pStyle w:val="P27"/>
      </w:pPr>
      <w:bookmarkStart w:id="49" w:name="pf_detaljplan01"/>
      <w:r>
        <w:t xml:space="preserve">Detaljplan </w:t>
      </w:r>
    </w:p>
    <w:p>
      <w:pPr>
        <w:pStyle w:val="P35"/>
        <w:rPr>
          <w:color w:val="auto"/>
          <w:sz w:val="22"/>
          <w:szCs w:val="22"/>
        </w:rPr>
      </w:pPr>
      <w:r>
        <w:rPr>
          <w:color w:val="auto"/>
          <w:sz w:val="22"/>
          <w:szCs w:val="22"/>
        </w:rPr>
        <w:t xml:space="preserve">Den gällande detaljplan 1880K-P94/22 reglerar bostadsändamål för villatomter och allmän plats i form av lokalgator samt natur. Detaljplanen täcker in ett större område söder om Gamla Hjälmarvägen och består av tre delplaner. </w:t>
      </w:r>
    </w:p>
    <w:p>
      <w:pPr>
        <w:pStyle w:val="P23"/>
        <w:rPr>
          <w:szCs w:val="22"/>
        </w:rPr>
      </w:pPr>
    </w:p>
    <w:p>
      <w:pPr>
        <w:pStyle w:val="P23"/>
        <w:rPr>
          <w:szCs w:val="22"/>
        </w:rPr>
      </w:pPr>
      <w:r>
        <w:rPr>
          <w:noProof w:val="1"/>
          <w:szCs w:val="22"/>
        </w:rPr>
        <w:drawing>
          <wp:inline xmlns:wp="http://schemas.openxmlformats.org/drawingml/2006/wordprocessingDrawing" distT="0" distB="0" distL="0" distR="0">
            <wp:extent cx="4672330" cy="3300730"/>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
                    <a:srcRect/>
                    <a:stretch>
                      <a:fillRect/>
                    </a:stretch>
                  </pic:blipFill>
                  <pic:spPr bwMode="auto">
                    <a:xfrm>
                      <a:off x="0" y="0"/>
                      <a:ext cx="4672330" cy="3300730"/>
                    </a:xfrm>
                    <a:prstGeom prst="rect"/>
                    <a:noFill/>
                    <a:ln>
                      <a:noFill/>
                    </a:ln>
                  </pic:spPr>
                </pic:pic>
              </a:graphicData>
            </a:graphic>
          </wp:inline>
        </w:drawing>
      </w:r>
    </w:p>
    <w:p>
      <w:pPr>
        <w:pStyle w:val="P23"/>
        <w:rPr>
          <w:i w:val="1"/>
          <w:iCs w:val="1"/>
          <w:sz w:val="20"/>
        </w:rPr>
      </w:pPr>
      <w:r>
        <w:rPr>
          <w:i w:val="1"/>
          <w:iCs w:val="1"/>
          <w:sz w:val="20"/>
        </w:rPr>
        <w:t>Detaljplan 1880K P94/22 med planområdet markerat med röd linje.</w:t>
      </w:r>
    </w:p>
    <w:p>
      <w:pPr>
        <w:pStyle w:val="P23"/>
        <w:rPr>
          <w:color w:val="auto"/>
          <w:szCs w:val="22"/>
        </w:rPr>
      </w:pPr>
    </w:p>
    <w:p>
      <w:pPr>
        <w:pStyle w:val="P23"/>
        <w:rPr>
          <w:color w:val="C00000"/>
          <w:szCs w:val="22"/>
        </w:rPr>
      </w:pPr>
      <w:r>
        <w:rPr>
          <w:color w:val="auto"/>
          <w:szCs w:val="22"/>
        </w:rPr>
        <w:t>2003 blev 1880-P190 gällande som innebar en ändring av våningsantalen inom</w:t>
      </w:r>
      <w:r>
        <w:rPr>
          <w:color w:val="C00000"/>
          <w:szCs w:val="22"/>
        </w:rPr>
        <w:t xml:space="preserve"> </w:t>
      </w:r>
      <w:r>
        <w:rPr>
          <w:color w:val="auto"/>
          <w:szCs w:val="22"/>
        </w:rPr>
        <w:t>gällande detaljplan från en till två våningar och en ökning av byggrätten från 250 kvadratmeter BTA till 300. 2010 ersattes del av detaljplan 1880K-P94/22 med en ny detaljplan, 1880-P697 som bland annat ändrade ett område för skoländamål till natur samt bostäder och en väganslutning till skolan togs bort som tidigare var tänkt att länkas samman med Murkelvägen. Vändplanen togs också bort och ändrades till anslutning till Murkelvägens befintliga sträckning.</w:t>
      </w:r>
    </w:p>
    <w:p>
      <w:pPr>
        <w:pStyle w:val="P23"/>
        <w:rPr>
          <w:szCs w:val="22"/>
        </w:rPr>
      </w:pPr>
    </w:p>
    <w:p>
      <w:pPr>
        <w:pStyle w:val="P23"/>
        <w:rPr>
          <w:szCs w:val="22"/>
        </w:rPr>
      </w:pPr>
    </w:p>
    <w:p>
      <w:pPr>
        <w:pStyle w:val="P23"/>
        <w:rPr>
          <w:szCs w:val="22"/>
        </w:rPr>
      </w:pPr>
      <w:r>
        <w:rPr>
          <w:noProof w:val="1"/>
          <w:szCs w:val="22"/>
        </w:rPr>
        <w:drawing>
          <wp:inline xmlns:wp="http://schemas.openxmlformats.org/drawingml/2006/wordprocessingDrawing" distT="0" distB="0" distL="0" distR="0">
            <wp:extent cx="4676140" cy="352806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7"/>
                    <a:srcRect/>
                    <a:stretch>
                      <a:fillRect/>
                    </a:stretch>
                  </pic:blipFill>
                  <pic:spPr bwMode="auto">
                    <a:xfrm>
                      <a:off x="0" y="0"/>
                      <a:ext cx="4676140" cy="3528060"/>
                    </a:xfrm>
                    <a:prstGeom prst="rect"/>
                    <a:noFill/>
                    <a:ln>
                      <a:noFill/>
                    </a:ln>
                  </pic:spPr>
                </pic:pic>
              </a:graphicData>
            </a:graphic>
          </wp:inline>
        </w:drawing>
      </w:r>
    </w:p>
    <w:p>
      <w:pPr>
        <w:pStyle w:val="P23"/>
        <w:rPr>
          <w:i w:val="1"/>
          <w:iCs w:val="1"/>
          <w:sz w:val="20"/>
        </w:rPr>
      </w:pPr>
      <w:r>
        <w:rPr>
          <w:i w:val="1"/>
          <w:iCs w:val="1"/>
          <w:sz w:val="20"/>
        </w:rPr>
        <w:t>Detaljplan 1880 P697</w:t>
      </w:r>
    </w:p>
    <w:p>
      <w:pPr>
        <w:pStyle w:val="P23"/>
      </w:pPr>
      <w:bookmarkEnd w:id="49"/>
    </w:p>
    <w:p>
      <w:pPr>
        <w:pStyle w:val="P23"/>
        <w:rPr>
          <w:noProof w:val="1"/>
        </w:rPr>
      </w:pPr>
    </w:p>
    <w:p>
      <w:pPr>
        <w:pStyle w:val="P27"/>
        <w:rPr>
          <w:rFonts w:ascii="Garamond" w:hAnsi="Garamond"/>
          <w:b w:val="0"/>
          <w:bCs w:val="1"/>
          <w:color w:val="000000"/>
          <w:sz w:val="22"/>
        </w:rPr>
      </w:pPr>
      <w:bookmarkStart w:id="50" w:name="pf_översiktsplan01"/>
      <w:r>
        <w:t>Översiktsplan</w:t>
      </w:r>
      <w:r>
        <w:rPr>
          <w:rStyle w:val="C11"/>
          <w:b w:val="0"/>
          <w:bCs w:val="1"/>
        </w:rPr>
        <w:t xml:space="preserve">  </w:t>
      </w:r>
    </w:p>
    <w:p>
      <w:pPr>
        <w:pStyle w:val="P23"/>
      </w:pPr>
      <w:r>
        <w:t xml:space="preserve">I den kommunala översiktsplanen </w:t>
      </w:r>
      <w:r>
        <w:rPr>
          <w:rStyle w:val="C26"/>
          <w:szCs w:val="22"/>
          <w:shd w:val="clear" w:color="auto" w:fill="FFFFFF"/>
        </w:rPr>
        <w:t xml:space="preserve">antagen av kommunfullmäktige 2018-04-25 </w:t>
      </w:r>
      <w:r>
        <w:t>återges kommunens övergripande tankar och planering för utvecklingen av mark- och vattenanvändningen de närmaste 25 åren. Översiktsplanen innefattar generella ställningstaganden kring utvecklingen i hela kommunen såväl som målsättningar för olika tematiska områden, geografiska delområden och områdestyper.</w:t>
      </w:r>
    </w:p>
    <w:p>
      <w:pPr>
        <w:pStyle w:val="P23"/>
        <w:rPr>
          <w:szCs w:val="24"/>
        </w:rPr>
      </w:pPr>
    </w:p>
    <w:p>
      <w:pPr>
        <w:pStyle w:val="P23"/>
        <w:rPr>
          <w:szCs w:val="24"/>
        </w:rPr>
      </w:pPr>
      <w:r>
        <w:rPr>
          <w:szCs w:val="24"/>
        </w:rPr>
        <w:t>Marken söder om planområdet pekas ut som utbyggnadsområde för stadsbygd, bebyggelse med en stadsmässig karaktär och högre täthetsgrad. Det är detta område som detaljplanelades 2010. Kulturmiljövärden och riksintresse för friluftsliv omfattar delar av Ekeby-Almby men inte planområdet.</w:t>
      </w:r>
    </w:p>
    <w:p>
      <w:pPr>
        <w:pStyle w:val="P23"/>
        <w:rPr>
          <w:szCs w:val="24"/>
        </w:rPr>
      </w:pPr>
    </w:p>
    <w:p>
      <w:pPr>
        <w:pStyle w:val="P23"/>
        <w:rPr>
          <w:szCs w:val="24"/>
        </w:rPr>
      </w:pPr>
      <w:r>
        <w:rPr>
          <w:szCs w:val="24"/>
        </w:rPr>
        <w:t>För hela Ekeby-Almby finns en fördjupning av översiktsplanen från 2006. Området är också utpekat som utredningsområde för en ny fördjupning av översiktsplanen.</w:t>
      </w:r>
    </w:p>
    <w:p>
      <w:pPr>
        <w:pStyle w:val="P23"/>
        <w:rPr>
          <w:szCs w:val="24"/>
        </w:rPr>
      </w:pPr>
    </w:p>
    <w:p>
      <w:pPr>
        <w:pStyle w:val="P23"/>
        <w:rPr>
          <w:szCs w:val="24"/>
        </w:rPr>
      </w:pPr>
    </w:p>
    <w:p>
      <w:pPr>
        <w:pStyle w:val="P23"/>
        <w:rPr>
          <w:i w:val="1"/>
          <w:iCs w:val="1"/>
        </w:rPr>
      </w:pPr>
      <w:r>
        <w:rPr>
          <w:i w:val="1"/>
          <w:iCs w:val="1"/>
          <w:noProof w:val="1"/>
        </w:rPr>
        <w:drawing>
          <wp:inline xmlns:wp="http://schemas.openxmlformats.org/drawingml/2006/wordprocessingDrawing" distT="0" distB="0" distL="0" distR="0">
            <wp:extent cx="4672965" cy="3307080"/>
            <wp:effectExtent l="0" t="0" r="0" b="762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8"/>
                    <a:srcRect/>
                    <a:stretch>
                      <a:fillRect/>
                    </a:stretch>
                  </pic:blipFill>
                  <pic:spPr bwMode="auto">
                    <a:xfrm>
                      <a:off x="0" y="0"/>
                      <a:ext cx="4672965" cy="3307080"/>
                    </a:xfrm>
                    <a:prstGeom prst="rect"/>
                    <a:noFill/>
                    <a:ln>
                      <a:noFill/>
                    </a:ln>
                  </pic:spPr>
                </pic:pic>
              </a:graphicData>
            </a:graphic>
          </wp:inline>
        </w:drawing>
      </w:r>
    </w:p>
    <w:p>
      <w:pPr>
        <w:pStyle w:val="P23"/>
        <w:rPr>
          <w:i w:val="1"/>
          <w:iCs w:val="1"/>
          <w:sz w:val="20"/>
        </w:rPr>
      </w:pPr>
      <w:r>
        <w:rPr>
          <w:i w:val="1"/>
          <w:iCs w:val="1"/>
          <w:sz w:val="20"/>
        </w:rPr>
        <w:t xml:space="preserve">Kartskikt från översiktsplanen med huvudnät för trafik (Gamla Hjälmarvägen), kulturmiljö (längs med Gamla Hjälmarvägen) och stadsbygd, bostäder (gul markering). Planområde markerat med streckad linje. </w:t>
      </w:r>
    </w:p>
    <w:p>
      <w:pPr>
        <w:pStyle w:val="P23"/>
        <w:rPr>
          <w:i w:val="1"/>
          <w:iCs w:val="1"/>
        </w:rPr>
      </w:pPr>
    </w:p>
    <w:p>
      <w:pPr>
        <w:pStyle w:val="P23"/>
        <w:rPr>
          <w:b w:val="1"/>
          <w:bCs w:val="1"/>
          <w:szCs w:val="24"/>
        </w:rPr>
      </w:pPr>
      <w:r>
        <w:rPr>
          <w:b w:val="1"/>
          <w:bCs w:val="1"/>
          <w:szCs w:val="24"/>
        </w:rPr>
        <w:t>Fördjupad översiktsplan:</w:t>
      </w:r>
    </w:p>
    <w:p>
      <w:pPr>
        <w:pStyle w:val="P23"/>
      </w:pPr>
      <w:r>
        <w:rPr>
          <w:szCs w:val="24"/>
        </w:rPr>
        <w:t>I den fördjupade översiktsplanen gjordes följande övergripande ställningstaganden:</w:t>
      </w:r>
      <w:r>
        <w:t xml:space="preserve"> </w:t>
      </w:r>
    </w:p>
    <w:p>
      <w:pPr>
        <w:pStyle w:val="P23"/>
      </w:pPr>
    </w:p>
    <w:p>
      <w:pPr>
        <w:pStyle w:val="P23"/>
        <w:numPr>
          <w:ilvl w:val="0"/>
          <w:numId w:val="19"/>
        </w:numPr>
      </w:pPr>
      <w:r>
        <w:t xml:space="preserve">Framtida ombyggnationer eller nybebyggelse ska utformas med hänsyn till kulturmiljön. </w:t>
      </w:r>
    </w:p>
    <w:p>
      <w:pPr>
        <w:pStyle w:val="P23"/>
        <w:numPr>
          <w:ilvl w:val="0"/>
          <w:numId w:val="17"/>
        </w:numPr>
      </w:pPr>
      <w:r>
        <w:t xml:space="preserve">Låg exploateringsgrad och större tomter om minst 2 000 kvm ska vara styrande. </w:t>
      </w:r>
    </w:p>
    <w:p>
      <w:pPr>
        <w:pStyle w:val="P23"/>
        <w:numPr>
          <w:ilvl w:val="0"/>
          <w:numId w:val="17"/>
        </w:numPr>
      </w:pPr>
      <w:r>
        <w:t xml:space="preserve">Blandad bebyggelse och olika upplåtelseformer ska eftersträvas. </w:t>
      </w:r>
    </w:p>
    <w:p>
      <w:pPr>
        <w:pStyle w:val="P23"/>
        <w:numPr>
          <w:ilvl w:val="0"/>
          <w:numId w:val="17"/>
        </w:numPr>
      </w:pPr>
      <w:r>
        <w:t xml:space="preserve">Detaljplaner ska vara flexibla. </w:t>
      </w:r>
    </w:p>
    <w:p>
      <w:pPr>
        <w:pStyle w:val="P23"/>
        <w:numPr>
          <w:ilvl w:val="0"/>
          <w:numId w:val="17"/>
        </w:numPr>
      </w:pPr>
      <w:r>
        <w:t>Inom hela Ekeby-Almby ska värdefull natur skyddas och strandskyddsbestämmelser gälla.</w:t>
      </w:r>
    </w:p>
    <w:p>
      <w:pPr>
        <w:pStyle w:val="P23"/>
        <w:numPr>
          <w:ilvl w:val="0"/>
          <w:numId w:val="17"/>
        </w:numPr>
      </w:pPr>
      <w:r>
        <w:t xml:space="preserve">Ingen fastighetsbildning eller permanentboende ska tillåtas i områden med översvämningsrisk. </w:t>
      </w:r>
    </w:p>
    <w:p>
      <w:pPr>
        <w:pStyle w:val="P23"/>
        <w:numPr>
          <w:ilvl w:val="0"/>
          <w:numId w:val="17"/>
        </w:numPr>
      </w:pPr>
      <w:r>
        <w:t xml:space="preserve">Tillgång till rekreationsområden och övriga friytor samt kommersiell service, barnomsorg/skola och gång- och cykelvägar ska beaktas i högre grad i kommande detaljplaner. </w:t>
      </w:r>
    </w:p>
    <w:p>
      <w:pPr>
        <w:pStyle w:val="P23"/>
        <w:numPr>
          <w:ilvl w:val="0"/>
          <w:numId w:val="17"/>
        </w:numPr>
        <w:rPr>
          <w:szCs w:val="24"/>
        </w:rPr>
      </w:pPr>
      <w:r>
        <w:t>Udden Ekeby-Dreve inklusive skogsområdet väster om denna avsätts som naturreservat.</w:t>
      </w:r>
      <w:r>
        <w:rPr>
          <w:szCs w:val="24"/>
        </w:rPr>
        <w:t xml:space="preserve"> </w:t>
      </w:r>
    </w:p>
    <w:p>
      <w:pPr>
        <w:pStyle w:val="P27"/>
      </w:pPr>
      <w:bookmarkEnd w:id="50"/>
    </w:p>
    <w:p>
      <w:pPr>
        <w:pStyle w:val="P27"/>
      </w:pPr>
      <w:bookmarkStart w:id="51" w:name="pf_planbesked01"/>
      <w:r>
        <w:t xml:space="preserve">Övriga ställningstaganden </w:t>
      </w:r>
    </w:p>
    <w:p>
      <w:pPr>
        <w:pStyle w:val="P43"/>
        <w:rPr>
          <w:color w:val="BFBFBF" w:themeColor="background1" w:themeShade="BF"/>
        </w:rPr>
      </w:pPr>
    </w:p>
    <w:p>
      <w:pPr>
        <w:pStyle w:val="P43"/>
      </w:pPr>
      <w:r>
        <w:t xml:space="preserve">Planbesked </w:t>
      </w:r>
    </w:p>
    <w:p>
      <w:pPr>
        <w:pStyle w:val="P23"/>
        <w:rPr>
          <w:color w:val="auto"/>
        </w:rPr>
      </w:pPr>
      <w:r>
        <w:rPr>
          <w:color w:val="auto"/>
        </w:rPr>
        <w:t>Positivt planbesked beslutades 2020 med bedömningen att följande frågor behöver utredas under planprocessen: Flyttandet av den planlagda men ej genomförda delen av Murkelvägen inklusive prickmark, och planläggning av övriga fastigheter som berörs av ändringen (13:211, 13:4 och 13:6).</w:t>
      </w:r>
      <w:bookmarkEnd w:id="51"/>
      <w:r>
        <w:rPr>
          <w:color w:val="auto"/>
        </w:rPr>
        <w:t xml:space="preserve"> </w:t>
      </w:r>
    </w:p>
    <w:p>
      <w:pPr>
        <w:pStyle w:val="P24"/>
      </w:pPr>
      <w:bookmarkStart w:id="52" w:name="_Toc131587592"/>
      <w:bookmarkStart w:id="53" w:name="_Toc146894994"/>
      <w:r>
        <w:t>Miljö</w:t>
      </w:r>
      <w:bookmarkEnd w:id="52"/>
      <w:bookmarkEnd w:id="53"/>
      <w:r>
        <w:t xml:space="preserve"> </w:t>
      </w:r>
    </w:p>
    <w:p>
      <w:pPr>
        <w:pStyle w:val="P27"/>
      </w:pPr>
      <w:bookmarkStart w:id="54" w:name="pf_dagvatten01"/>
      <w:r>
        <w:t xml:space="preserve">Dagvatten </w:t>
      </w:r>
    </w:p>
    <w:p>
      <w:pPr>
        <w:pStyle w:val="P23"/>
      </w:pPr>
      <w:r>
        <w:t xml:space="preserve">Dagvatten hanteras lokalt på respektive fastighet. Dagvattnet har orsakat olägenheter på grund av en markförändring utförd av en av fastighetsägarna. </w:t>
      </w:r>
    </w:p>
    <w:p>
      <w:pPr>
        <w:pStyle w:val="P23"/>
      </w:pPr>
      <w:bookmarkEnd w:id="54"/>
    </w:p>
    <w:p>
      <w:pPr>
        <w:pStyle w:val="P27"/>
      </w:pPr>
      <w:bookmarkStart w:id="55" w:name="pf_förorenadmark01"/>
      <w:r>
        <w:t xml:space="preserve">Förorenad mark </w:t>
      </w:r>
    </w:p>
    <w:p>
      <w:pPr>
        <w:pStyle w:val="P23"/>
      </w:pPr>
      <w:r>
        <w:t>Planområdet berör inte och påverkas inte av förorenade områden, det finns inga misstänkta eller konstaterat förorenade områden i eller kring aktuellt planområde enligt EBH-stödet.</w:t>
      </w:r>
    </w:p>
    <w:p>
      <w:pPr>
        <w:pStyle w:val="P23"/>
      </w:pPr>
      <w:bookmarkEnd w:id="55"/>
    </w:p>
    <w:p>
      <w:pPr>
        <w:pStyle w:val="P23"/>
      </w:pPr>
    </w:p>
    <w:p>
      <w:pPr>
        <w:pStyle w:val="P24"/>
      </w:pPr>
      <w:bookmarkStart w:id="56" w:name="_Toc131587593"/>
      <w:bookmarkStart w:id="57" w:name="_Toc146894995"/>
      <w:bookmarkStart w:id="58" w:name="_Hlk146790864"/>
      <w:bookmarkStart w:id="59" w:name="pf_hydrologiskaförhållanden01"/>
      <w:r>
        <w:t>Hydrologiska förhållanden</w:t>
      </w:r>
      <w:bookmarkEnd w:id="56"/>
      <w:bookmarkEnd w:id="57"/>
      <w:r>
        <w:t xml:space="preserve"> </w:t>
      </w:r>
    </w:p>
    <w:p>
      <w:pPr>
        <w:pStyle w:val="P23"/>
      </w:pPr>
      <w:r>
        <w:t xml:space="preserve">Recipienten för dagvattnet inom planområdet är Hemfjärden. Sjöns ekologiska status beskrivs som dålig och den kemiska statusen uppnår ej god status. Målet enligt miljökvalitetsnormerna är att sjön ska uppnå god ekologiskt status 2033 och god kemisk ytvattenstatus 2027. </w:t>
      </w:r>
    </w:p>
    <w:p>
      <w:pPr>
        <w:pStyle w:val="P23"/>
      </w:pPr>
    </w:p>
    <w:p>
      <w:pPr>
        <w:pStyle w:val="P23"/>
      </w:pPr>
      <w:r>
        <w:t>Skälet till den dåliga ekologiska statusen är övergödning kopplat till jordbruk. Övriga källor som har en betydande påverkan på vattendraget är reningsverk, urban markanvändning, transport och infrastruktur, enskilda avlopp, atmosfärisk deposition, flödes- och vattenståndsförändringar och förändring av konnektivitet och kontinuitet på grund av dammar, barriärer och slussar.</w:t>
      </w:r>
    </w:p>
    <w:p>
      <w:pPr>
        <w:pStyle w:val="P24"/>
      </w:pPr>
      <w:bookmarkEnd w:id="58"/>
      <w:bookmarkEnd w:id="59"/>
    </w:p>
    <w:p>
      <w:pPr>
        <w:pStyle w:val="P24"/>
      </w:pPr>
      <w:bookmarkStart w:id="60" w:name="_Toc146894996"/>
      <w:bookmarkStart w:id="61" w:name="pf_fysiskmiljö01"/>
      <w:r>
        <w:t>Fysisk miljö</w:t>
      </w:r>
      <w:bookmarkEnd w:id="60"/>
      <w:r>
        <w:t xml:space="preserve"> </w:t>
      </w:r>
    </w:p>
    <w:p>
      <w:pPr>
        <w:pStyle w:val="P27"/>
      </w:pPr>
      <w:r>
        <w:t xml:space="preserve">Bebyggelse </w:t>
      </w:r>
    </w:p>
    <w:p>
      <w:pPr>
        <w:pStyle w:val="P23"/>
      </w:pPr>
      <w:r>
        <w:t xml:space="preserve">Området består av friliggande enbostadshus med en till två våningar och komplementbyggnader. </w:t>
      </w:r>
    </w:p>
    <w:p>
      <w:pPr>
        <w:pStyle w:val="P23"/>
      </w:pPr>
    </w:p>
    <w:p>
      <w:pPr>
        <w:pStyle w:val="P27"/>
      </w:pPr>
      <w:r>
        <w:t>Gestaltning</w:t>
      </w:r>
    </w:p>
    <w:p>
      <w:pPr>
        <w:pStyle w:val="P23"/>
      </w:pPr>
      <w:r>
        <w:t>Den befintliga bebyggelsen består av en blandning av enbostadshus mestadels uppförda under 90- och 2000-talet. Gestaltningen består i huvudsak av en volymmässigt traditionell utformning med två våningar och träfasader, men även enplanshus med brutna pulpettak. Utseendemässigt råder en blandning gällande stil och färg.</w:t>
      </w:r>
    </w:p>
    <w:p>
      <w:pPr>
        <w:pStyle w:val="P23"/>
      </w:pPr>
    </w:p>
    <w:p>
      <w:pPr>
        <w:pStyle w:val="P27"/>
      </w:pPr>
      <w:r>
        <w:t xml:space="preserve">Mark och vegetation </w:t>
      </w:r>
    </w:p>
    <w:p>
      <w:pPr>
        <w:pStyle w:val="P23"/>
      </w:pPr>
      <w:r>
        <w:t xml:space="preserve">Den största delen av planområdet består av gräsmattor men även en skogsdunge. Skogsdungen består mest av sly och bedöms inte innehålla skyddsvärda träd. Planområdet befinner sig på en brant som gör att marken sluttar ned mot Gamla Hjälmarvägen och Hjälmaren. </w:t>
      </w:r>
    </w:p>
    <w:p>
      <w:pPr>
        <w:pStyle w:val="P23"/>
      </w:pPr>
    </w:p>
    <w:p>
      <w:pPr>
        <w:pStyle w:val="P23"/>
      </w:pPr>
      <w:r>
        <w:rPr>
          <w:noProof w:val="1"/>
        </w:rPr>
        <w:drawing>
          <wp:inline xmlns:wp="http://schemas.openxmlformats.org/drawingml/2006/wordprocessingDrawing" distT="0" distB="0" distL="0" distR="0">
            <wp:extent cx="2601595" cy="1951355"/>
            <wp:effectExtent l="0" t="0" r="825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9"/>
                    <a:srcRect/>
                    <a:stretch>
                      <a:fillRect/>
                    </a:stretch>
                  </pic:blipFill>
                  <pic:spPr bwMode="auto">
                    <a:xfrm>
                      <a:off x="0" y="0"/>
                      <a:ext cx="2679650" cy="2009738"/>
                    </a:xfrm>
                    <a:prstGeom prst="rect"/>
                    <a:noFill/>
                    <a:ln>
                      <a:noFill/>
                    </a:ln>
                  </pic:spPr>
                </pic:pic>
              </a:graphicData>
            </a:graphic>
          </wp:inline>
        </w:drawing>
      </w:r>
    </w:p>
    <w:p>
      <w:pPr>
        <w:pStyle w:val="P23"/>
        <w:rPr>
          <w:i w:val="1"/>
          <w:iCs w:val="1"/>
          <w:sz w:val="20"/>
        </w:rPr>
      </w:pPr>
      <w:r>
        <w:rPr>
          <w:i w:val="1"/>
          <w:iCs w:val="1"/>
          <w:sz w:val="20"/>
        </w:rPr>
        <w:t>Delar av skogsdungen inom planområdet</w:t>
      </w:r>
    </w:p>
    <w:p>
      <w:pPr>
        <w:pStyle w:val="P27"/>
        <w:rPr>
          <w:color w:val="00B0F0"/>
        </w:rPr>
      </w:pPr>
      <w:bookmarkEnd w:id="61"/>
    </w:p>
    <w:p>
      <w:pPr>
        <w:pStyle w:val="P24"/>
        <w:rPr>
          <w:color w:val="00B0F0"/>
        </w:rPr>
      </w:pPr>
      <w:bookmarkStart w:id="62" w:name="_Toc146894997"/>
      <w:bookmarkStart w:id="63" w:name="pf_teknik01"/>
      <w:r>
        <w:t>Teknisk försörjning</w:t>
      </w:r>
      <w:bookmarkEnd w:id="62"/>
      <w:r>
        <w:t xml:space="preserve"> </w:t>
      </w:r>
    </w:p>
    <w:p>
      <w:pPr>
        <w:pStyle w:val="P27"/>
      </w:pPr>
      <w:r>
        <w:t>Vatten och avlopp</w:t>
      </w:r>
    </w:p>
    <w:p>
      <w:pPr>
        <w:pStyle w:val="P23"/>
      </w:pPr>
      <w:r>
        <w:t>Området ligger inom kommunalt verksamhetsområde för vatten och avlopp (VA), men inte inom kommunalt verksamhetsområde för dagvatten.</w:t>
      </w:r>
    </w:p>
    <w:p>
      <w:pPr>
        <w:pStyle w:val="P23"/>
      </w:pPr>
    </w:p>
    <w:p>
      <w:pPr>
        <w:pStyle w:val="P27"/>
      </w:pPr>
      <w:r>
        <w:t>El</w:t>
      </w:r>
    </w:p>
    <w:p>
      <w:pPr>
        <w:pStyle w:val="P23"/>
      </w:pPr>
      <w:r>
        <w:t>Samtliga fastigheter är anslutna till elnätet. För elledning i mark får byggnad eller annan anläggning inte utan ledningsägarens medgivande och lämnade instruktioner uppföras på närmare avstånd än 3 meter från markkabeln. Inte heller får utan ledningsägarens medgivande upplag anordnas eller marknivån ändras ovanför markkabeln, så att reparation och underhåll försvåras.</w:t>
      </w:r>
    </w:p>
    <w:p>
      <w:pPr>
        <w:pStyle w:val="P23"/>
      </w:pPr>
    </w:p>
    <w:p>
      <w:pPr>
        <w:pStyle w:val="P27"/>
      </w:pPr>
      <w:r>
        <w:t xml:space="preserve">Elektronisk kommunikation </w:t>
      </w:r>
    </w:p>
    <w:p>
      <w:pPr>
        <w:pStyle w:val="P23"/>
      </w:pPr>
      <w:r>
        <w:t xml:space="preserve">Bredband och fiber är utbyggt i området. Samtliga fastigheter inom planområdet är fiberanslutna. </w:t>
      </w:r>
    </w:p>
    <w:p>
      <w:pPr>
        <w:pStyle w:val="P24"/>
      </w:pPr>
      <w:bookmarkEnd w:id="63"/>
    </w:p>
    <w:p>
      <w:pPr>
        <w:pStyle w:val="P24"/>
      </w:pPr>
      <w:bookmarkStart w:id="64" w:name="_Toc146894998"/>
      <w:bookmarkStart w:id="65" w:name="pf_service01"/>
      <w:r>
        <w:t>Service</w:t>
      </w:r>
      <w:bookmarkEnd w:id="64"/>
      <w:r>
        <w:t xml:space="preserve"> </w:t>
      </w:r>
    </w:p>
    <w:p>
      <w:pPr>
        <w:pStyle w:val="P23"/>
      </w:pPr>
      <w:r>
        <w:t xml:space="preserve">Cirka 300 meter från planområdet finns förskola och grundskola. Det finns även en mindre livsmedelsbutik och en pizzeria i Ekeby-Almby. </w:t>
      </w:r>
    </w:p>
    <w:p>
      <w:pPr>
        <w:pStyle w:val="P24"/>
      </w:pPr>
      <w:bookmarkEnd w:id="65"/>
      <w:bookmarkStart w:id="66" w:name="_Toc131587597"/>
    </w:p>
    <w:p>
      <w:pPr>
        <w:pStyle w:val="P24"/>
      </w:pPr>
      <w:bookmarkStart w:id="67" w:name="_Toc146894999"/>
      <w:bookmarkStart w:id="68" w:name="pf_trafik01"/>
      <w:r>
        <w:t>Trafik</w:t>
      </w:r>
      <w:bookmarkEnd w:id="66"/>
      <w:bookmarkEnd w:id="67"/>
      <w:r>
        <w:t xml:space="preserve"> </w:t>
      </w:r>
    </w:p>
    <w:p>
      <w:pPr>
        <w:pStyle w:val="P27"/>
      </w:pPr>
      <w:r>
        <w:t xml:space="preserve">Gator och trafik </w:t>
      </w:r>
    </w:p>
    <w:p>
      <w:pPr>
        <w:pStyle w:val="P23"/>
      </w:pPr>
      <w:r>
        <w:t>Gatorna i området består av grusvägar. Norr om planområdet ansluter gatunätet till Gamla Hjälmarvägen som leder in till Örebro. Längs med Gamla Hjälmarvägen går även en gång- och cykelväg. Trafikintensiteten inom planområdet är låg.</w:t>
      </w:r>
    </w:p>
    <w:p>
      <w:pPr>
        <w:pStyle w:val="P23"/>
      </w:pPr>
    </w:p>
    <w:p>
      <w:pPr>
        <w:pStyle w:val="P27"/>
      </w:pPr>
      <w:r>
        <w:t>Kollektivtrafik</w:t>
      </w:r>
    </w:p>
    <w:p>
      <w:pPr>
        <w:pStyle w:val="P23"/>
      </w:pPr>
      <w:r>
        <w:t xml:space="preserve">Längs med Gamla Hjälmarvägen finns kollektivtrafik i form av linjebuss. </w:t>
      </w:r>
    </w:p>
    <w:p>
      <w:pPr>
        <w:pStyle w:val="P27"/>
      </w:pPr>
    </w:p>
    <w:p>
      <w:pPr>
        <w:pStyle w:val="P27"/>
      </w:pPr>
      <w:r>
        <w:t>Parkering och angöring</w:t>
      </w:r>
    </w:p>
    <w:p>
      <w:pPr>
        <w:pStyle w:val="P23"/>
      </w:pPr>
      <w:r>
        <w:t>Parkeringsbehovet är tillfredsställt inom varje fastighet.</w:t>
      </w:r>
    </w:p>
    <w:p>
      <w:pPr>
        <w:pStyle w:val="P23"/>
      </w:pPr>
      <w:bookmarkEnd w:id="68"/>
    </w:p>
    <w:p>
      <w:pPr>
        <w:pStyle w:val="P25"/>
      </w:pPr>
      <w:bookmarkStart w:id="69" w:name="_Toc131587598"/>
      <w:bookmarkStart w:id="70" w:name="_Toc146895000"/>
      <w:r>
        <w:t>Konsekvenser</w:t>
      </w:r>
      <w:bookmarkEnd w:id="69"/>
      <w:bookmarkEnd w:id="70"/>
      <w:r>
        <w:t xml:space="preserve"> </w:t>
      </w:r>
    </w:p>
    <w:p>
      <w:pPr>
        <w:pStyle w:val="P23"/>
      </w:pPr>
    </w:p>
    <w:p>
      <w:pPr>
        <w:pStyle w:val="P24"/>
      </w:pPr>
      <w:bookmarkStart w:id="71" w:name="_Toc146895001"/>
      <w:bookmarkStart w:id="72" w:name="ko_fastigheterochrättigheter01"/>
      <w:r>
        <w:t>Fastigheter och rättigheter</w:t>
      </w:r>
      <w:bookmarkEnd w:id="71"/>
      <w:r>
        <w:t xml:space="preserve"> </w:t>
      </w:r>
    </w:p>
    <w:p>
      <w:pPr>
        <w:pStyle w:val="P23"/>
      </w:pPr>
      <w:r>
        <w:t xml:space="preserve">Samtliga fastigheter inom planområdet får en ökad byggrätt från 300 kvadratmeter bruttoarea till 300 kvadratmeter byggnadsarea. Med bruttoarea avses den totala yta som hela byggnaden består av. Med byggnadsarea avses byggnadens fotavtryck, alltså ytan som byggnaden upptar. </w:t>
      </w:r>
    </w:p>
    <w:p>
      <w:pPr>
        <w:pStyle w:val="P23"/>
      </w:pPr>
    </w:p>
    <w:p>
      <w:pPr>
        <w:pStyle w:val="P23"/>
      </w:pPr>
      <w:r>
        <w:t xml:space="preserve">I övrigt sker ingen förändring av huvudbyggnader eller användning. På fastigheten Almby 13:212 flyttas en tidigare planlagd gata till fastigheten 13:25 för att stämma överens med det befintliga gatunätet. Konsekvensen blir att fastigheten 13:212 enbart består av kvartersmark och ingen allmän plats. </w:t>
      </w:r>
    </w:p>
    <w:p>
      <w:pPr>
        <w:pStyle w:val="P24"/>
      </w:pPr>
      <w:bookmarkEnd w:id="72"/>
    </w:p>
    <w:p>
      <w:pPr>
        <w:pStyle w:val="P24"/>
      </w:pPr>
      <w:bookmarkStart w:id="73" w:name="_Toc146895002"/>
      <w:bookmarkStart w:id="74" w:name="ko_annat01"/>
      <w:r>
        <w:t>Upplysning</w:t>
      </w:r>
      <w:bookmarkEnd w:id="73"/>
    </w:p>
    <w:p>
      <w:pPr>
        <w:pStyle w:val="P23"/>
      </w:pPr>
      <w:r>
        <w:t>En komplementbyggnad på fastigheten Almby 13:4 kan bli planstridig då den är placerad närmare än 1,5 meter från fastighetsgräns. Detta innebär att det inte är säkert att den kan tillåtas att byggas upp på samma ställe om den skulle rivas eller brinna ned och att bygglov eventuellt inte kan ges för till exempel om- eller tillbyggnad. Nekad återuppbyggnad av en byggnad kan i vissa fall generera ersättning.</w:t>
      </w:r>
    </w:p>
    <w:p>
      <w:pPr>
        <w:pStyle w:val="P24"/>
      </w:pPr>
      <w:bookmarkEnd w:id="74"/>
    </w:p>
    <w:p>
      <w:pPr>
        <w:pStyle w:val="P24"/>
      </w:pPr>
      <w:bookmarkStart w:id="75" w:name="_Toc146895003"/>
      <w:bookmarkStart w:id="76" w:name="ko_landskapsbild01"/>
      <w:r>
        <w:t>Natur</w:t>
      </w:r>
      <w:bookmarkEnd w:id="75"/>
      <w:r>
        <w:t xml:space="preserve"> </w:t>
      </w:r>
    </w:p>
    <w:p>
      <w:pPr>
        <w:pStyle w:val="P27"/>
      </w:pPr>
      <w:r>
        <w:t xml:space="preserve">Landskapsbild </w:t>
      </w:r>
    </w:p>
    <w:p>
      <w:pPr>
        <w:pStyle w:val="P23"/>
      </w:pPr>
      <w:r>
        <w:t xml:space="preserve">Landskapsbilden kan ändras lite då större byggnader möjliggörs till följd av den ökade byggrätten. Byggrätten är i linje med övriga detaljplaner i närområdet. </w:t>
      </w:r>
    </w:p>
    <w:p>
      <w:pPr>
        <w:pStyle w:val="P24"/>
      </w:pPr>
      <w:bookmarkEnd w:id="76"/>
    </w:p>
    <w:p>
      <w:pPr>
        <w:pStyle w:val="P24"/>
      </w:pPr>
      <w:bookmarkStart w:id="77" w:name="_Toc146895004"/>
      <w:r>
        <w:t>Miljö</w:t>
      </w:r>
      <w:bookmarkEnd w:id="77"/>
      <w:r>
        <w:t xml:space="preserve"> </w:t>
      </w:r>
    </w:p>
    <w:p>
      <w:pPr>
        <w:pStyle w:val="P27"/>
      </w:pPr>
      <w:bookmarkStart w:id="78" w:name="ko_miljöbedömning01"/>
      <w:r>
        <w:t xml:space="preserve">Miljöbedömning </w:t>
      </w:r>
    </w:p>
    <w:p>
      <w:pPr>
        <w:pStyle w:val="P42"/>
        <w:rPr>
          <w:i w:val="1"/>
          <w:color w:val="auto"/>
        </w:rPr>
      </w:pPr>
      <w:r>
        <w:rPr>
          <w:i w:val="1"/>
          <w:color w:val="auto"/>
        </w:rPr>
        <w:t>Planen bedöms ej medföra BMP</w:t>
      </w:r>
    </w:p>
    <w:p>
      <w:pPr>
        <w:pStyle w:val="P23"/>
        <w:rPr>
          <w:color w:val="auto"/>
        </w:rPr>
      </w:pPr>
      <w:r>
        <w:rPr>
          <w:color w:val="auto"/>
        </w:rPr>
        <w:t>Stadsbyggnad bedömer att detaljplanens genomförande inte kan antas medföra sådan betydande miljöpåverkan som åsyftas i PBL (2010) 4 kap 34§ eller MB 6 kap 11§ att en miljö-bedömning behöver göras.</w:t>
      </w:r>
    </w:p>
    <w:p>
      <w:pPr>
        <w:pStyle w:val="P42"/>
        <w:rPr>
          <w:color w:val="auto"/>
          <w:sz w:val="23"/>
          <w:szCs w:val="23"/>
        </w:rPr>
      </w:pPr>
    </w:p>
    <w:p>
      <w:pPr>
        <w:pStyle w:val="P23"/>
        <w:rPr>
          <w:color w:val="auto"/>
        </w:rPr>
      </w:pPr>
      <w:r>
        <w:rPr>
          <w:color w:val="auto"/>
        </w:rPr>
        <w:t>De miljöfrågor som har betydelse för projektet studeras under planarbetet och redovisas i planbeskrivningen.</w:t>
      </w:r>
    </w:p>
    <w:p>
      <w:pPr>
        <w:pStyle w:val="P42"/>
        <w:rPr>
          <w:color w:val="FF0000"/>
        </w:rPr>
      </w:pPr>
    </w:p>
    <w:p>
      <w:pPr>
        <w:pStyle w:val="P42"/>
        <w:rPr>
          <w:color w:val="FF0000"/>
          <w:sz w:val="22"/>
          <w:szCs w:val="22"/>
        </w:rPr>
      </w:pPr>
      <w:r>
        <w:rPr>
          <w:sz w:val="22"/>
          <w:szCs w:val="22"/>
        </w:rPr>
        <w:t>Planförslagets genomförande bedöms inte innebära betydande miljöpåverkan. Bedömningen grundas på det faktum att marken redan är bebyggd eller tagen i anspråk på annat sätt så som gräsplantering och angöring. Planområdet ligger i ett befintligt bostadsområde. De förändringar som möjliggörs är inte så omfattande så att områdets karaktär, natur eller andra förutsättningar ändras. Planförslaget strider inte mot översiktsplanen eller den fördjupning av översiktsplanen som gäller för området.</w:t>
      </w:r>
    </w:p>
    <w:p>
      <w:pPr>
        <w:pStyle w:val="P42"/>
        <w:rPr>
          <w:color w:val="FF0000"/>
        </w:rPr>
      </w:pPr>
    </w:p>
    <w:p>
      <w:pPr>
        <w:pStyle w:val="P23"/>
        <w:rPr>
          <w:rFonts w:cs="Times New Roman"/>
          <w:color w:val="auto"/>
          <w:szCs w:val="24"/>
        </w:rPr>
      </w:pPr>
      <w:r>
        <w:rPr>
          <w:rFonts w:cs="Times New Roman"/>
          <w:color w:val="auto"/>
          <w:szCs w:val="24"/>
        </w:rPr>
        <w:t>Beslut om betydande miljöpåverkan är taget på delegation för Bygg- och miljönämnden 2023-05-03.</w:t>
      </w:r>
    </w:p>
    <w:p>
      <w:pPr>
        <w:pStyle w:val="P23"/>
      </w:pPr>
      <w:bookmarkEnd w:id="78"/>
    </w:p>
    <w:p>
      <w:pPr>
        <w:pStyle w:val="P27"/>
      </w:pPr>
      <w:bookmarkStart w:id="79" w:name="ko_dagvatten01"/>
      <w:r>
        <w:t xml:space="preserve">Dagvatten </w:t>
      </w:r>
    </w:p>
    <w:p>
      <w:pPr>
        <w:pStyle w:val="P23"/>
      </w:pPr>
      <w:r>
        <w:t>Dagvatten ska fortsatt tas om hand inom respektive fastighet. Markförändringen som har orsakat olägenheter gäller fastigheten Almby 13:212 och planeras att åtgärdas i samband med ett pågående marklovsärende som återupptas när detaljplanen antas.</w:t>
      </w:r>
    </w:p>
    <w:p>
      <w:pPr>
        <w:pStyle w:val="P23"/>
      </w:pPr>
      <w:bookmarkEnd w:id="79"/>
    </w:p>
    <w:p>
      <w:pPr>
        <w:pStyle w:val="P24"/>
      </w:pPr>
      <w:bookmarkStart w:id="80" w:name="_Toc146895005"/>
      <w:bookmarkStart w:id="81" w:name="ko_annat02"/>
      <w:r>
        <w:t>Hydrologiska förhållanden</w:t>
      </w:r>
      <w:bookmarkEnd w:id="80"/>
    </w:p>
    <w:p>
      <w:pPr>
        <w:pStyle w:val="P23"/>
      </w:pPr>
      <w:r>
        <w:t>Planen bedöms inte ha någon påverkan på statusen eller miljökvalitetsnormen för recipienten Hjälmaren. Detta på grund av att planområdet redan är bebyggt och att planens genomförande inte innebär en sådan förändring av bebyggelsen att miljökvalitetsnormen påverkas.</w:t>
      </w:r>
    </w:p>
    <w:p>
      <w:pPr>
        <w:pStyle w:val="P32"/>
      </w:pPr>
      <w:bookmarkEnd w:id="81"/>
      <w:bookmarkStart w:id="82" w:name="_Toc36802006"/>
    </w:p>
    <w:p>
      <w:pPr>
        <w:pStyle w:val="P32"/>
      </w:pPr>
      <w:r>
        <w:t>Medverkande tjänstepersoner</w:t>
      </w:r>
      <w:bookmarkEnd w:id="82"/>
    </w:p>
    <w:p>
      <w:pPr>
        <w:pStyle w:val="P23"/>
      </w:pPr>
      <w:r>
        <w:t>Planförslaget har upprättats av planarkitekt Jonas Bäckström på Miljö- och Stadsbyggnadsförvaltningen, Örebro kommun. Medverkande i planarbetet har från Miljö- och Stadsbyggnadsförvaltningen varit bygglovsingenjör Staffan Bergh och exploateringsingenjörerna Djenifer Dimbu och Lina Royson, och från Teknik- och serviceförvaltningen ingenjör Magnus Karlsson.</w:t>
      </w:r>
    </w:p>
    <w:p>
      <w:pPr>
        <w:pStyle w:val="P23"/>
        <w:rPr>
          <w:rFonts w:cs="Times New Roman"/>
          <w:color w:val="auto"/>
          <w:szCs w:val="24"/>
        </w:rPr>
      </w:pPr>
    </w:p>
    <w:p>
      <w:pPr>
        <w:pStyle w:val="P23"/>
        <w:rPr>
          <w:rFonts w:cs="Times New Roman"/>
          <w:color w:val="auto"/>
          <w:szCs w:val="24"/>
        </w:rPr>
      </w:pPr>
    </w:p>
    <w:p>
      <w:pPr>
        <w:pStyle w:val="P23"/>
      </w:pPr>
    </w:p>
    <w:p>
      <w:pPr>
        <w:pStyle w:val="P23"/>
      </w:pPr>
      <w:r>
        <w:t>Hanna Bäckgren</w:t>
        <w:tab/>
        <w:tab/>
        <w:tab/>
        <w:t>Jonas Bäckström</w:t>
      </w:r>
    </w:p>
    <w:p>
      <w:pPr>
        <w:pStyle w:val="P23"/>
      </w:pPr>
      <w:r>
        <w:t xml:space="preserve">Enhetschef Detaljplaneenheten </w:t>
        <w:tab/>
        <w:tab/>
        <w:t>Planarkitekt</w:t>
      </w:r>
    </w:p>
    <w:p>
      <w:pPr>
        <w:pStyle w:val="P23"/>
      </w:pPr>
    </w:p>
    <w:p/>
    <w:p/>
    <w:p/>
    <w:p/>
    <w:p/>
    <w:p/>
    <w:p/>
    <w:p/>
    <w:p/>
    <w:p/>
    <w:p/>
    <w:p/>
    <w:p/>
    <w:p/>
    <w:p/>
    <w:p/>
    <w:p>
      <w:pPr>
        <w:rPr>
          <w:rFonts w:ascii="Garamond" w:hAnsi="Garamond"/>
          <w:i w:val="1"/>
          <w:iCs w:val="1"/>
        </w:rPr>
      </w:pPr>
      <w:r>
        <w:rPr>
          <w:rFonts w:ascii="Garamond" w:hAnsi="Garamond"/>
          <w:i w:val="1"/>
          <w:iCs w:val="1"/>
        </w:rPr>
        <w:t>Plankarta</w:t>
      </w:r>
    </w:p>
    <w:p>
      <w:pPr>
        <w:rPr>
          <w:rFonts w:ascii="Garamond" w:hAnsi="Garamond"/>
          <w:i w:val="1"/>
          <w:iCs w:val="1"/>
        </w:rPr>
      </w:pPr>
      <w:r>
        <w:rPr>
          <w:rFonts w:ascii="Garamond" w:hAnsi="Garamond"/>
          <w:i w:val="1"/>
          <w:iCs w:val="1"/>
          <w:noProof w:val="1"/>
        </w:rPr>
        <w:drawing>
          <wp:inline xmlns:wp="http://schemas.openxmlformats.org/drawingml/2006/wordprocessingDrawing" distT="0" distB="0" distL="0" distR="0">
            <wp:extent cx="4667250" cy="3869690"/>
            <wp:effectExtent l="0" t="0" r="0" b="0"/>
            <wp:docPr id="87430426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0"/>
                    <a:srcRect/>
                    <a:stretch>
                      <a:fillRect/>
                    </a:stretch>
                  </pic:blipFill>
                  <pic:spPr bwMode="auto">
                    <a:xfrm>
                      <a:off x="0" y="0"/>
                      <a:ext cx="4667250" cy="3869690"/>
                    </a:xfrm>
                    <a:prstGeom prst="rect"/>
                    <a:noFill/>
                    <a:ln>
                      <a:noFill/>
                    </a:ln>
                  </pic:spPr>
                </pic:pic>
              </a:graphicData>
            </a:graphic>
          </wp:inline>
        </w:drawing>
      </w:r>
    </w:p>
    <w:p/>
    <w:p>
      <w:r>
        <w:rPr>
          <w:noProof w:val="1"/>
        </w:rPr>
        <w:drawing>
          <wp:inline xmlns:wp="http://schemas.openxmlformats.org/drawingml/2006/wordprocessingDrawing" distT="0" distB="0" distL="0" distR="0">
            <wp:extent cx="4674235" cy="5457190"/>
            <wp:effectExtent l="0" t="0" r="0" b="0"/>
            <wp:docPr id="133670991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1"/>
                    <a:srcRect/>
                    <a:stretch>
                      <a:fillRect/>
                    </a:stretch>
                  </pic:blipFill>
                  <pic:spPr bwMode="auto">
                    <a:xfrm>
                      <a:off x="0" y="0"/>
                      <a:ext cx="4674235" cy="5457190"/>
                    </a:xfrm>
                    <a:prstGeom prst="rect"/>
                    <a:noFill/>
                    <a:ln>
                      <a:noFill/>
                    </a:ln>
                  </pic:spPr>
                </pic:pic>
              </a:graphicData>
            </a:graphic>
          </wp:inline>
        </w:drawing>
      </w:r>
    </w:p>
    <w:p/>
    <w:sectPr>
      <w:footnotePr/>
      <w:endnotePr/>
      <w:type w:val="nextPage"/>
      <w:pgSz w:w="11900" w:h="16840" w:code="0"/>
      <w:pgMar w:left="2268" w:right="2268" w:top="1701" w:bottom="2552" w:header="709" w:footer="709" w:gutter="0"/>
      <w:cols w:equalWidth="1" w:space="425"/>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after="0" w:beforeAutospacing="0" w:afterAutospacing="0"/>
      </w:pPr>
      <w:r>
        <w:separator/>
      </w:r>
    </w:p>
  </w:endnote>
  <w:endnote w:type="continuationSeparator" w:id="0">
    <w:p>
      <w:pPr>
        <w:spacing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pP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page">
                <wp:posOffset>3276600</wp:posOffset>
              </wp:positionH>
              <wp:positionV relativeFrom="page">
                <wp:posOffset>9501505</wp:posOffset>
              </wp:positionV>
              <wp:extent cx="2631440" cy="802640"/>
              <wp:effectExtent l="0" t="0" r="16510" b="16510"/>
              <wp:wrapNone/>
              <wp:docPr id="21" name="Textruta 21"/>
              <wp:cNvGraphicFramePr/>
              <a:graphic xmlns:a="http://schemas.openxmlformats.org/drawingml/2006/main">
                <a:graphicData uri="http://schemas.microsoft.com/office/word/2010/wordprocessingShape">
                  <wps:wsp>
                    <wps:cNvSpPr txBox="1"/>
                    <wps:spPr>
                      <a:xfrm>
                        <a:off x="0" y="0"/>
                        <a:ext cx="2631440" cy="802640"/>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0"/>
                            <w:spacing w:lineRule="auto" w:line="240" w:beforeAutospacing="0" w:afterAutospacing="0"/>
                            <w:rPr>
                              <w:rFonts w:ascii="CenturyGothic" w:hAnsi="CenturyGothic" w:cs="CenturyGothic"/>
                              <w:sz w:val="17"/>
                              <w:szCs w:val="17"/>
                            </w:rPr>
                          </w:pPr>
                        </w:p>
                        <w:p>
                          <w:pPr>
                            <w:pStyle w:val="P20"/>
                            <w:spacing w:lineRule="auto" w:line="240" w:beforeAutospacing="0" w:afterAutospacing="0"/>
                            <w:rPr>
                              <w:rFonts w:ascii="CenturyGothic" w:hAnsi="CenturyGothic" w:cs="CenturyGothic"/>
                              <w:sz w:val="17"/>
                              <w:szCs w:val="17"/>
                            </w:rPr>
                          </w:pPr>
                          <w:r>
                            <w:rPr>
                              <w:rFonts w:ascii="CenturyGothic" w:hAnsi="CenturyGothic" w:cs="CenturyGothic"/>
                              <w:sz w:val="17"/>
                              <w:szCs w:val="17"/>
                            </w:rPr>
                            <w:t>Box 33400, 701 35 Örebro</w:t>
                          </w:r>
                        </w:p>
                        <w:p>
                          <w:pPr>
                            <w:pStyle w:val="P20"/>
                            <w:spacing w:lineRule="auto" w:line="240" w:beforeAutospacing="0" w:afterAutospacing="0"/>
                            <w:rPr>
                              <w:rFonts w:ascii="CenturyGothic" w:hAnsi="CenturyGothic" w:cs="CenturyGothic"/>
                              <w:sz w:val="17"/>
                              <w:szCs w:val="17"/>
                            </w:rPr>
                          </w:pPr>
                          <w:r>
                            <w:rPr>
                              <w:rFonts w:ascii="CenturyGothic" w:hAnsi="CenturyGothic" w:cs="CenturyGothic"/>
                              <w:sz w:val="17"/>
                              <w:szCs w:val="17"/>
                            </w:rPr>
                            <w:t>Östra Bangatan 7 A, vån 4, 703 61 Örebro</w:t>
                          </w:r>
                        </w:p>
                        <w:p>
                          <w:pPr>
                            <w:widowControl w:val="0"/>
                            <w:spacing w:after="0" w:beforeAutospacing="0" w:afterAutospacing="0"/>
                            <w:rPr>
                              <w:rFonts w:ascii="CenturyGothic" w:hAnsi="CenturyGothic" w:cs="CenturyGothic"/>
                              <w:color w:val="000000"/>
                              <w:sz w:val="17"/>
                              <w:szCs w:val="17"/>
                            </w:rPr>
                          </w:pPr>
                          <w:bookmarkStart w:id="0" w:name="_Hlk20140345"/>
                          <w:r>
                            <w:rPr>
                              <w:rFonts w:ascii="CenturyGothic" w:hAnsi="CenturyGothic" w:cs="CenturyGothic"/>
                              <w:color w:val="000000"/>
                              <w:sz w:val="17"/>
                              <w:szCs w:val="17"/>
                            </w:rPr>
                            <w:t xml:space="preserve">byggochmiljonamnden@orebro.se </w:t>
                          </w:r>
                        </w:p>
                        <w:p>
                          <w:pPr>
                            <w:widowControl w:val="0"/>
                            <w:spacing w:after="0" w:beforeAutospacing="0" w:afterAutospacing="0"/>
                            <w:rPr>
                              <w:rFonts w:ascii="CenturyGothic" w:hAnsi="CenturyGothic" w:cs="CenturyGothic"/>
                              <w:color w:val="000000"/>
                              <w:sz w:val="17"/>
                              <w:szCs w:val="17"/>
                            </w:rPr>
                          </w:pPr>
                          <w:bookmarkEnd w:id="0"/>
                          <w:r>
                            <w:rPr>
                              <w:rFonts w:ascii="CenturyGothic" w:hAnsi="CenturyGothic" w:cs="CenturyGothic"/>
                              <w:color w:val="000000"/>
                              <w:sz w:val="17"/>
                              <w:szCs w:val="17"/>
                            </w:rPr>
                            <w:t xml:space="preserve">Servicecenter 019-21 10 00 </w:t>
                          </w:r>
                        </w:p>
                        <w:p>
                          <w:pPr>
                            <w:pStyle w:val="P20"/>
                            <w:spacing w:lineRule="auto" w:line="240" w:beforeAutospacing="0" w:afterAutospacing="0"/>
                            <w:rPr>
                              <w:rFonts w:ascii="CenturyGothic" w:hAnsi="CenturyGothic" w:cs="CenturyGothic"/>
                              <w:sz w:val="17"/>
                              <w:szCs w:val="17"/>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1" o:spid="_x0000_s1026" style="position:absolute;width:207.2pt;height:63.2pt;z-index:3;mso-wrap-distance-left:9pt;mso-wrap-distance-top:0pt;mso-wrap-distance-right:9pt;mso-wrap-distance-bottom:0pt;margin-left:258pt;margin-top:748.15pt;mso-position-horizontal:absolute;mso-position-horizontal-relative:page;mso-position-vertical:absolute;mso-position-vertical-relative:page" o:allowincell="t" filled="f" stroked="f">
              <v:textbox inset="0mm,0mm,0mm,0mm">
                <w:txbxContent>
                  <w:p>
                    <w:pPr>
                      <w:pStyle w:val="P20"/>
                      <w:spacing w:lineRule="auto" w:line="240" w:beforeAutospacing="0" w:afterAutospacing="0"/>
                      <w:rPr>
                        <w:rFonts w:ascii="CenturyGothic" w:hAnsi="CenturyGothic" w:cs="CenturyGothic"/>
                        <w:sz w:val="17"/>
                        <w:szCs w:val="17"/>
                      </w:rPr>
                    </w:pPr>
                  </w:p>
                  <w:p>
                    <w:pPr>
                      <w:pStyle w:val="P20"/>
                      <w:spacing w:lineRule="auto" w:line="240" w:beforeAutospacing="0" w:afterAutospacing="0"/>
                      <w:rPr>
                        <w:rFonts w:ascii="CenturyGothic" w:hAnsi="CenturyGothic" w:cs="CenturyGothic"/>
                        <w:sz w:val="17"/>
                        <w:szCs w:val="17"/>
                      </w:rPr>
                    </w:pPr>
                    <w:r>
                      <w:rPr>
                        <w:rFonts w:ascii="CenturyGothic" w:hAnsi="CenturyGothic" w:cs="CenturyGothic"/>
                        <w:sz w:val="17"/>
                        <w:szCs w:val="17"/>
                      </w:rPr>
                      <w:t>Box 33400, 701 35 Örebro</w:t>
                    </w:r>
                  </w:p>
                  <w:p>
                    <w:pPr>
                      <w:pStyle w:val="P20"/>
                      <w:spacing w:lineRule="auto" w:line="240" w:beforeAutospacing="0" w:afterAutospacing="0"/>
                      <w:rPr>
                        <w:rFonts w:ascii="CenturyGothic" w:hAnsi="CenturyGothic" w:cs="CenturyGothic"/>
                        <w:sz w:val="17"/>
                        <w:szCs w:val="17"/>
                      </w:rPr>
                    </w:pPr>
                    <w:r>
                      <w:rPr>
                        <w:rFonts w:ascii="CenturyGothic" w:hAnsi="CenturyGothic" w:cs="CenturyGothic"/>
                        <w:sz w:val="17"/>
                        <w:szCs w:val="17"/>
                      </w:rPr>
                      <w:t>Östra Bangatan 7 A, vån 4, 703 61 Örebro</w:t>
                    </w:r>
                  </w:p>
                  <w:p>
                    <w:pPr>
                      <w:widowControl w:val="0"/>
                      <w:spacing w:after="0" w:beforeAutospacing="0" w:afterAutospacing="0"/>
                      <w:rPr>
                        <w:rFonts w:ascii="CenturyGothic" w:hAnsi="CenturyGothic" w:cs="CenturyGothic"/>
                        <w:color w:val="000000"/>
                        <w:sz w:val="17"/>
                        <w:szCs w:val="17"/>
                      </w:rPr>
                    </w:pPr>
                    <w:bookmarkStart w:id="0" w:name="_Hlk20140345"/>
                    <w:r>
                      <w:rPr>
                        <w:rFonts w:ascii="CenturyGothic" w:hAnsi="CenturyGothic" w:cs="CenturyGothic"/>
                        <w:color w:val="000000"/>
                        <w:sz w:val="17"/>
                        <w:szCs w:val="17"/>
                      </w:rPr>
                      <w:t xml:space="preserve">byggochmiljonamnden@orebro.se </w:t>
                    </w:r>
                  </w:p>
                  <w:p>
                    <w:pPr>
                      <w:widowControl w:val="0"/>
                      <w:spacing w:after="0" w:beforeAutospacing="0" w:afterAutospacing="0"/>
                      <w:rPr>
                        <w:rFonts w:ascii="CenturyGothic" w:hAnsi="CenturyGothic" w:cs="CenturyGothic"/>
                        <w:color w:val="000000"/>
                        <w:sz w:val="17"/>
                        <w:szCs w:val="17"/>
                      </w:rPr>
                    </w:pPr>
                    <w:bookmarkEnd w:id="0"/>
                    <w:r>
                      <w:rPr>
                        <w:rFonts w:ascii="CenturyGothic" w:hAnsi="CenturyGothic" w:cs="CenturyGothic"/>
                        <w:color w:val="000000"/>
                        <w:sz w:val="17"/>
                        <w:szCs w:val="17"/>
                      </w:rPr>
                      <w:t xml:space="preserve">Servicecenter 019-21 10 00 </w:t>
                    </w:r>
                  </w:p>
                  <w:p>
                    <w:pPr>
                      <w:pStyle w:val="P20"/>
                      <w:spacing w:lineRule="auto" w:line="240" w:beforeAutospacing="0" w:afterAutospacing="0"/>
                      <w:rPr>
                        <w:rFonts w:ascii="CenturyGothic" w:hAnsi="CenturyGothic" w:cs="CenturyGothic"/>
                        <w:sz w:val="17"/>
                        <w:szCs w:val="17"/>
                      </w:rPr>
                    </w:pP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page">
                <wp:posOffset>540385</wp:posOffset>
              </wp:positionH>
              <wp:positionV relativeFrom="page">
                <wp:posOffset>9649460</wp:posOffset>
              </wp:positionV>
              <wp:extent cx="2088515" cy="685800"/>
              <wp:effectExtent l="0" t="0" r="0" b="0"/>
              <wp:wrapNone/>
              <wp:docPr id="20" name="Textruta 20"/>
              <wp:cNvGraphicFramePr/>
              <a:graphic xmlns:a="http://schemas.openxmlformats.org/drawingml/2006/main">
                <a:graphicData uri="http://schemas.microsoft.com/office/word/2010/wordprocessingShape">
                  <wps:wsp>
                    <wps:cNvSpPr txBox="1"/>
                    <wps:spPr>
                      <a:xfrm>
                        <a:off x="0" y="0"/>
                        <a:ext cx="2088515" cy="685800"/>
                      </a:xfrm>
                      <a:prstGeom prst="rect"/>
                      <a:noFill/>
                      <a:ln>
                        <a:noFill/>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21"/>
                            <w:spacing w:lineRule="auto" w:line="240" w:after="40" w:beforeAutospacing="0" w:afterAutospacing="0"/>
                            <w:rPr>
                              <w:rFonts w:ascii="CenturyGothic-Bold" w:hAnsi="CenturyGothic-Bold" w:cs="CenturyGothic-Bold"/>
                              <w:b w:val="1"/>
                              <w:bCs w:val="1"/>
                              <w:sz w:val="20"/>
                              <w:szCs w:val="20"/>
                              <w:spacing w:val="-2"/>
                            </w:rPr>
                          </w:pPr>
                        </w:p>
                        <w:p>
                          <w:pPr>
                            <w:pStyle w:val="P21"/>
                            <w:spacing w:lineRule="auto" w:line="240" w:after="40" w:beforeAutospacing="0" w:afterAutospacing="0"/>
                            <w:rPr>
                              <w:rFonts w:ascii="CenturyGothic-Bold" w:hAnsi="CenturyGothic-Bold" w:cs="CenturyGothic-Bold"/>
                              <w:b w:val="1"/>
                              <w:bCs w:val="1"/>
                              <w:sz w:val="20"/>
                              <w:szCs w:val="20"/>
                              <w:spacing w:val="-2"/>
                            </w:rPr>
                          </w:pPr>
                          <w:r>
                            <w:rPr>
                              <w:rFonts w:ascii="CenturyGothic-Bold" w:hAnsi="CenturyGothic-Bold" w:cs="CenturyGothic-Bold"/>
                              <w:b w:val="1"/>
                              <w:bCs w:val="1"/>
                              <w:sz w:val="20"/>
                              <w:szCs w:val="20"/>
                              <w:spacing w:val="-2"/>
                            </w:rPr>
                            <w:t>Bygg- och miljönämnden</w:t>
                          </w:r>
                        </w:p>
                        <w:p>
                          <w:pPr>
                            <w:pStyle w:val="P21"/>
                            <w:spacing w:lineRule="auto" w:line="240" w:after="40" w:beforeAutospacing="0" w:afterAutospacing="0"/>
                            <w:rPr>
                              <w:rFonts w:ascii="CenturyGothic-Bold" w:hAnsi="CenturyGothic-Bold" w:cs="CenturyGothic-Bold"/>
                              <w:bCs w:val="1"/>
                              <w:sz w:val="20"/>
                              <w:szCs w:val="20"/>
                              <w:spacing w:val="-2"/>
                            </w:rPr>
                          </w:pPr>
                          <w:r>
                            <w:rPr>
                              <w:rFonts w:ascii="CenturyGothic-Bold" w:hAnsi="CenturyGothic-Bold" w:cs="CenturyGothic-Bold"/>
                              <w:bCs w:val="1"/>
                              <w:sz w:val="20"/>
                              <w:szCs w:val="20"/>
                              <w:spacing w:val="-2"/>
                            </w:rPr>
                            <w:t>orebro.se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20" o:spid="_x0000_s1027" style="position:absolute;width:164.45pt;height:54pt;z-index:4;mso-wrap-distance-left:9pt;mso-wrap-distance-top:0pt;mso-wrap-distance-right:9pt;mso-wrap-distance-bottom:0pt;margin-left:42.55pt;margin-top:759.8pt;mso-position-horizontal:absolute;mso-position-horizontal-relative:page;mso-position-vertical:absolute;mso-position-vertical-relative:page" o:allowincell="t" filled="f" stroked="f">
              <v:textbox inset="0mm,0mm,0mm,0mm">
                <w:txbxContent>
                  <w:p>
                    <w:pPr>
                      <w:pStyle w:val="P21"/>
                      <w:spacing w:lineRule="auto" w:line="240" w:after="40" w:beforeAutospacing="0" w:afterAutospacing="0"/>
                      <w:rPr>
                        <w:rFonts w:ascii="CenturyGothic-Bold" w:hAnsi="CenturyGothic-Bold" w:cs="CenturyGothic-Bold"/>
                        <w:b w:val="1"/>
                        <w:bCs w:val="1"/>
                        <w:sz w:val="20"/>
                        <w:szCs w:val="20"/>
                        <w:spacing w:val="-2"/>
                      </w:rPr>
                    </w:pPr>
                  </w:p>
                  <w:p>
                    <w:pPr>
                      <w:pStyle w:val="P21"/>
                      <w:spacing w:lineRule="auto" w:line="240" w:after="40" w:beforeAutospacing="0" w:afterAutospacing="0"/>
                      <w:rPr>
                        <w:rFonts w:ascii="CenturyGothic-Bold" w:hAnsi="CenturyGothic-Bold" w:cs="CenturyGothic-Bold"/>
                        <w:b w:val="1"/>
                        <w:bCs w:val="1"/>
                        <w:sz w:val="20"/>
                        <w:szCs w:val="20"/>
                        <w:spacing w:val="-2"/>
                      </w:rPr>
                    </w:pPr>
                    <w:r>
                      <w:rPr>
                        <w:rFonts w:ascii="CenturyGothic-Bold" w:hAnsi="CenturyGothic-Bold" w:cs="CenturyGothic-Bold"/>
                        <w:b w:val="1"/>
                        <w:bCs w:val="1"/>
                        <w:sz w:val="20"/>
                        <w:szCs w:val="20"/>
                        <w:spacing w:val="-2"/>
                      </w:rPr>
                      <w:t>Bygg- och miljönämnden</w:t>
                    </w:r>
                  </w:p>
                  <w:p>
                    <w:pPr>
                      <w:pStyle w:val="P21"/>
                      <w:spacing w:lineRule="auto" w:line="240" w:after="40" w:beforeAutospacing="0" w:afterAutospacing="0"/>
                      <w:rPr>
                        <w:rFonts w:ascii="CenturyGothic-Bold" w:hAnsi="CenturyGothic-Bold" w:cs="CenturyGothic-Bold"/>
                        <w:bCs w:val="1"/>
                        <w:sz w:val="20"/>
                        <w:szCs w:val="20"/>
                        <w:spacing w:val="-2"/>
                      </w:rPr>
                    </w:pPr>
                    <w:r>
                      <w:rPr>
                        <w:rFonts w:ascii="CenturyGothic-Bold" w:hAnsi="CenturyGothic-Bold" w:cs="CenturyGothic-Bold"/>
                        <w:bCs w:val="1"/>
                        <w:sz w:val="20"/>
                        <w:szCs w:val="20"/>
                        <w:spacing w:val="-2"/>
                      </w:rPr>
                      <w:t>orebro.se</w:t>
                    </w:r>
                  </w:p>
                </w:txbxContent>
              </v:textbox>
            </v:shape>
          </w:pict>
        </mc:Fallback>
      </mc:AlternateContent>
    </w:r>
    <w:r>
      <w:rPr>
        <w:noProof w:val="1"/>
      </w:rPr>
      <w:drawing>
        <wp:anchor xmlns:wp="http://schemas.openxmlformats.org/drawingml/2006/wordprocessingDrawing" distT="0" distB="0" distL="114300" distR="114300" simplePos="0" relativeHeight="251659264" behindDoc="1" locked="0" layoutInCell="1" allowOverlap="1">
          <wp:simplePos x="0" y="0"/>
          <wp:positionH relativeFrom="page">
            <wp:posOffset>6578600</wp:posOffset>
          </wp:positionH>
          <wp:positionV relativeFrom="page">
            <wp:posOffset>9432925</wp:posOffset>
          </wp:positionV>
          <wp:extent cx="442595" cy="720090"/>
          <wp:effectExtent l="0" t="0" r="0" b="0"/>
          <wp:wrapNone/>
          <wp:docPr id="1"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8"/>
                  <pic:cNvPicPr>
                    <a:picLocks noChangeAspect="1" noChangeArrowheads="1"/>
                  </pic:cNvPicPr>
                </pic:nvPicPr>
                <pic:blipFill dpi="0">
                  <a:blip xmlns:r="http://schemas.openxmlformats.org/officeDocument/2006/relationships" r:embed="Relimage1"/>
                  <a:srcRect/>
                  <a:stretch>
                    <a:fillRect/>
                  </a:stretch>
                </pic:blipFill>
                <pic:spPr bwMode="auto">
                  <a:xfrm>
                    <a:off x="0" y="0"/>
                    <a:ext cx="442595" cy="720090"/>
                  </a:xfrm>
                  <a:prstGeom prst="rect"/>
                  <a:noFill/>
                </pic:spPr>
              </pic:pic>
            </a:graphicData>
          </a:graphic>
        </wp:anchor>
      </w:drawing>
    </w:r>
    <w:r>
      <w:rPr>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page">
                <wp:posOffset>540385</wp:posOffset>
              </wp:positionH>
              <wp:positionV relativeFrom="page">
                <wp:posOffset>9189720</wp:posOffset>
              </wp:positionV>
              <wp:extent cx="6480175" cy="0"/>
              <wp:effectExtent l="0" t="0" r="0" b="0"/>
              <wp:wrapNone/>
              <wp:docPr id="22" name="Rak 22"/>
              <wp:cNvGraphicFramePr/>
              <a:graphic xmlns:a="http://schemas.openxmlformats.org/drawingml/2006/main">
                <a:graphicData uri="http://schemas.microsoft.com/office/word/2010/wordprocessingShape">
                  <wps:wsp>
                    <wps:cNvCnPr>
                      <a:stCxn id="0" idx="0"/>
                      <a:endCxn id="0" idx="0"/>
                    </wps:cNvCnPr>
                    <wps:spPr>
                      <a:xfrm flipH="1">
                        <a:off x="0" y="0"/>
                        <a:ext cx="6480175" cy="0"/>
                      </a:xfrm>
                      <a:prstGeom prst="line"/>
                      <a:noFill/>
                      <a:ln w="12700" cap="rnd" cmpd="sng" algn="ctr">
                        <a:solidFill>
                          <a:sysClr val="windowText"/>
                        </a:solidFill>
                        <a:prstDash val="sysDot"/>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Rak 22" o:spid="_x0000_s1028" style="position:absolute;flip:x;z-index:2;mso-wrap-distance-left:9pt;mso-wrap-distance-top:0pt;mso-wrap-distance-right:9pt;mso-wrap-distance-bottom:0pt;mso-position-horizontal:absolute;mso-position-horizontal-relative:page;mso-position-vertical:absolute;mso-position-vertical-relative:page" filled="f" strokecolor="#000000" strokeweight="1pt" stroked="t" o:allowincell="t" from="42.55pt,723.6pt" to="552.8pt,723.6pt">
              <v:stroke dashstyle="shortdot"/>
            </v:line>
          </w:pict>
        </mc:Fallback>
      </mc:AlternateContent>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ind w:right="-1425"/>
      <w:rPr>
        <w:rFonts w:ascii="Century Gothic" w:hAnsi="Century Gothic"/>
        <w:sz w:val="20"/>
        <w:szCs w:val="20"/>
      </w:rPr>
    </w:pPr>
    <w:r>
      <w:rPr>
        <w:rFonts w:ascii="Century Gothic" w:hAnsi="Century Gothic"/>
        <w:sz w:val="20"/>
        <w:szCs w:val="20"/>
      </w:rPr>
      <w:tab/>
      <w:tab/>
    </w:r>
    <w:r>
      <w:rPr>
        <w:rFonts w:ascii="Century Gothic" w:hAnsi="Century Gothic"/>
        <w:bCs w:val="1"/>
        <w:sz w:val="20"/>
        <w:szCs w:val="20"/>
      </w:rPr>
      <w:fldChar w:fldCharType="begin"/>
    </w:r>
    <w:r>
      <w:rPr>
        <w:rFonts w:ascii="Century Gothic" w:hAnsi="Century Gothic"/>
        <w:bCs w:val="1"/>
        <w:sz w:val="20"/>
        <w:szCs w:val="20"/>
      </w:rPr>
      <w:instrText xml:space="preserve">PAGE  \* Arabic  \* MERGEFORMAT</w:instrText>
    </w:r>
    <w:r>
      <w:rPr>
        <w:rFonts w:ascii="Century Gothic" w:hAnsi="Century Gothic"/>
        <w:bCs w:val="1"/>
        <w:sz w:val="20"/>
        <w:szCs w:val="20"/>
      </w:rPr>
      <w:fldChar w:fldCharType="separate"/>
    </w:r>
    <w:r>
      <w:rPr>
        <w:rFonts w:ascii="Century Gothic" w:hAnsi="Century Gothic"/>
        <w:bCs w:val="1"/>
        <w:noProof w:val="1"/>
        <w:sz w:val="20"/>
        <w:szCs w:val="20"/>
      </w:rPr>
      <w:t>#</w:t>
    </w:r>
    <w:r>
      <w:rPr>
        <w:rFonts w:ascii="Century Gothic" w:hAnsi="Century Gothic"/>
        <w:bCs w:val="1"/>
        <w:sz w:val="20"/>
        <w:szCs w:val="20"/>
      </w:rPr>
      <w:fldChar w:fldCharType="end"/>
    </w:r>
    <w:r>
      <w:rPr>
        <w:rFonts w:ascii="Century Gothic" w:hAnsi="Century Gothic"/>
        <w:sz w:val="20"/>
        <w:szCs w:val="20"/>
      </w:rPr>
      <w:t xml:space="preserve"> </w:t>
    </w:r>
    <w:r>
      <w:rPr>
        <w:rFonts w:ascii="Century Gothic" w:hAnsi="Century Gothic"/>
        <w:sz w:val="20"/>
        <w:szCs w:val="20"/>
      </w:rPr>
      <w:t>(</w:t>
    </w:r>
    <w:r>
      <w:rPr>
        <w:rFonts w:ascii="Century Gothic" w:hAnsi="Century Gothic"/>
        <w:bCs w:val="1"/>
        <w:sz w:val="20"/>
        <w:szCs w:val="20"/>
      </w:rPr>
      <w:fldChar w:fldCharType="begin"/>
    </w:r>
    <w:r>
      <w:rPr>
        <w:rFonts w:ascii="Century Gothic" w:hAnsi="Century Gothic"/>
        <w:bCs w:val="1"/>
        <w:sz w:val="20"/>
        <w:szCs w:val="20"/>
      </w:rPr>
      <w:instrText xml:space="preserve">NUMPAGES  \* Arabic  \* MERGEFORMAT</w:instrText>
    </w:r>
    <w:r>
      <w:rPr>
        <w:rFonts w:ascii="Century Gothic" w:hAnsi="Century Gothic"/>
        <w:bCs w:val="1"/>
        <w:sz w:val="20"/>
        <w:szCs w:val="20"/>
      </w:rPr>
      <w:fldChar w:fldCharType="separate"/>
    </w:r>
    <w:r>
      <w:rPr>
        <w:rFonts w:ascii="Century Gothic" w:hAnsi="Century Gothic"/>
        <w:bCs w:val="1"/>
        <w:noProof w:val="1"/>
        <w:sz w:val="20"/>
        <w:szCs w:val="20"/>
      </w:rPr>
      <w:t>#</w:t>
    </w:r>
    <w:r>
      <w:rPr>
        <w:rFonts w:ascii="Century Gothic" w:hAnsi="Century Gothic"/>
        <w:bCs w:val="1"/>
        <w:sz w:val="20"/>
        <w:szCs w:val="20"/>
      </w:rPr>
      <w:fldChar w:fldCharType="end"/>
    </w:r>
    <w:r>
      <w:rPr>
        <w:rFonts w:ascii="Century Gothic" w:hAnsi="Century Gothic"/>
        <w:bCs w:val="1"/>
        <w:sz w:val="20"/>
        <w:szCs w:val="20"/>
      </w:rPr>
      <w:t>)</w:t>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after="0" w:beforeAutospacing="0" w:afterAutospacing="0"/>
      </w:pPr>
      <w:r>
        <w:separator/>
      </w:r>
    </w:p>
  </w:footnote>
  <w:footnote w:type="continuationSeparator" w:id="0">
    <w:p>
      <w:pPr>
        <w:spacing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9"/>
      <w:tabs>
        <w:tab w:val="left" w:pos="4253" w:leader="none"/>
        <w:tab w:val="clear" w:pos="4536" w:leader="none"/>
        <w:tab w:val="left" w:pos="6663" w:leader="none"/>
        <w:tab w:val="clear" w:pos="9072" w:leader="none"/>
      </w:tabs>
      <w:ind w:hanging="1418" w:left="1418" w:right="-1191"/>
      <w:rPr>
        <w:rFonts w:ascii="Century Gothic" w:hAnsi="Century Gothic"/>
        <w:sz w:val="20"/>
        <w:szCs w:val="20"/>
      </w:rPr>
    </w:pPr>
    <w:r>
      <w:rPr>
        <w:rFonts w:ascii="Century Gothic" w:hAnsi="Century Gothic"/>
        <w:b w:val="1"/>
        <w:sz w:val="20"/>
        <w:szCs w:val="20"/>
      </w:rPr>
      <w:t>ÖREBRO KOMMUN</w:t>
    </w:r>
    <w:r>
      <w:rPr>
        <w:rFonts w:ascii="Century Gothic" w:hAnsi="Century Gothic"/>
        <w:sz w:val="20"/>
        <w:szCs w:val="20"/>
      </w:rPr>
      <w:tab/>
      <w:t>2023-09-29</w:t>
      <w:tab/>
      <w:t>Bom 106/2023</w:t>
    </w:r>
  </w:p>
</w:hdr>
</file>

<file path=word/numbering.xml><?xml version="1.0" encoding="utf-8"?>
<w:numbering xmlns:w="http://schemas.openxmlformats.org/wordprocessingml/2006/main">
  <w:abstractNum w:abstractNumId="0">
    <w:nsid w:val="038B2241"/>
    <w:multiLevelType w:val="hybridMultilevel"/>
    <w:lvl w:ilvl="0" w:tplc="43BE1A78">
      <w:start w:val="0"/>
      <w:numFmt w:val="bullet"/>
      <w:suff w:val="tab"/>
      <w:lvlText w:val="•"/>
      <w:lvlJc w:val="left"/>
      <w:pPr>
        <w:ind w:hanging="360" w:left="720"/>
      </w:pPr>
      <w:rPr>
        <w:rFonts w:ascii="Garamond" w:hAnsi="Garamond" w:cs="Times New Roman" w:eastAsia="MS Gothic"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50D01CE"/>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
    <w:nsid w:val="06F0489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0D4D6F8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
    <w:nsid w:val="0E6D1DA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1004115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1981115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2A16362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35F5300A"/>
    <w:multiLevelType w:val="hybridMultilevel"/>
    <w:lvl w:ilvl="0" w:tplc="041D0001">
      <w:start w:val="1"/>
      <w:numFmt w:val="bullet"/>
      <w:suff w:val="tab"/>
      <w:lvlText w:val=""/>
      <w:lvlJc w:val="left"/>
      <w:pPr>
        <w:ind w:hanging="360" w:left="720"/>
      </w:pPr>
      <w:rPr>
        <w:rFonts w:ascii="Symbol" w:hAnsi="Symbol"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9">
    <w:nsid w:val="39C320A5"/>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3B446B2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3C4439E2"/>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3D0A6642"/>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3">
    <w:nsid w:val="3D105637"/>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abstractNum w:abstractNumId="14">
    <w:nsid w:val="48D563B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56F256F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6083534E"/>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623D79C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8">
    <w:nsid w:val="6EF21019"/>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o"/>
      <w:lvlJc w:val="left"/>
      <w:pPr>
        <w:ind w:hanging="360" w:left="1440"/>
        <w:tabs>
          <w:tab w:val="num" w:pos="1440" w:leader="none"/>
        </w:tabs>
      </w:pPr>
      <w:rPr>
        <w:rFonts w:ascii="Courier New" w:hAnsi="Courier New" w:hint="default"/>
        <w:sz w:val="20"/>
      </w:rPr>
    </w:lvl>
    <w:lvl w:ilvl="2">
      <w:start w:val="1"/>
      <w:numFmt w:val="bullet"/>
      <w:suff w:val="tab"/>
      <w:lvlText w:val=""/>
      <w:lvlJc w:val="left"/>
      <w:pPr>
        <w:ind w:hanging="360" w:left="2160"/>
        <w:tabs>
          <w:tab w:val="num" w:pos="2160" w:leader="none"/>
        </w:tabs>
      </w:pPr>
      <w:rPr>
        <w:rFonts w:ascii="Wingdings" w:hAnsi="Wingdings" w:hint="default"/>
        <w:sz w:val="20"/>
      </w:rPr>
    </w:lvl>
    <w:lvl w:ilvl="3">
      <w:start w:val="1"/>
      <w:numFmt w:val="bullet"/>
      <w:suff w:val="tab"/>
      <w:lvlText w:val=""/>
      <w:lvlJc w:val="left"/>
      <w:pPr>
        <w:ind w:hanging="360" w:left="2880"/>
        <w:tabs>
          <w:tab w:val="num" w:pos="2880" w:leader="none"/>
        </w:tabs>
      </w:pPr>
      <w:rPr>
        <w:rFonts w:ascii="Wingdings" w:hAnsi="Wingdings" w:hint="default"/>
        <w:sz w:val="20"/>
      </w:rPr>
    </w:lvl>
    <w:lvl w:ilvl="4">
      <w:start w:val="1"/>
      <w:numFmt w:val="bullet"/>
      <w:suff w:val="tab"/>
      <w:lvlText w:val=""/>
      <w:lvlJc w:val="left"/>
      <w:pPr>
        <w:ind w:hanging="360" w:left="3600"/>
        <w:tabs>
          <w:tab w:val="num" w:pos="3600" w:leader="none"/>
        </w:tabs>
      </w:pPr>
      <w:rPr>
        <w:rFonts w:ascii="Wingdings" w:hAnsi="Wingdings" w:hint="default"/>
        <w:sz w:val="20"/>
      </w:rPr>
    </w:lvl>
    <w:lvl w:ilvl="5">
      <w:start w:val="1"/>
      <w:numFmt w:val="bullet"/>
      <w:suff w:val="tab"/>
      <w:lvlText w:val=""/>
      <w:lvlJc w:val="left"/>
      <w:pPr>
        <w:ind w:hanging="360" w:left="4320"/>
        <w:tabs>
          <w:tab w:val="num" w:pos="4320" w:leader="none"/>
        </w:tabs>
      </w:pPr>
      <w:rPr>
        <w:rFonts w:ascii="Wingdings" w:hAnsi="Wingdings" w:hint="default"/>
        <w:sz w:val="20"/>
      </w:rPr>
    </w:lvl>
    <w:lvl w:ilvl="6">
      <w:start w:val="1"/>
      <w:numFmt w:val="bullet"/>
      <w:suff w:val="tab"/>
      <w:lvlText w:val=""/>
      <w:lvlJc w:val="left"/>
      <w:pPr>
        <w:ind w:hanging="360" w:left="5040"/>
        <w:tabs>
          <w:tab w:val="num" w:pos="5040" w:leader="none"/>
        </w:tabs>
      </w:pPr>
      <w:rPr>
        <w:rFonts w:ascii="Wingdings" w:hAnsi="Wingdings" w:hint="default"/>
        <w:sz w:val="20"/>
      </w:rPr>
    </w:lvl>
    <w:lvl w:ilvl="7">
      <w:start w:val="1"/>
      <w:numFmt w:val="bullet"/>
      <w:suff w:val="tab"/>
      <w:lvlText w:val=""/>
      <w:lvlJc w:val="left"/>
      <w:pPr>
        <w:ind w:hanging="360" w:left="5760"/>
        <w:tabs>
          <w:tab w:val="num" w:pos="5760" w:leader="none"/>
        </w:tabs>
      </w:pPr>
      <w:rPr>
        <w:rFonts w:ascii="Wingdings" w:hAnsi="Wingdings" w:hint="default"/>
        <w:sz w:val="20"/>
      </w:rPr>
    </w:lvl>
    <w:lvl w:ilvl="8">
      <w:start w:val="1"/>
      <w:numFmt w:val="bullet"/>
      <w:suff w:val="tab"/>
      <w:lvlText w:val=""/>
      <w:lvlJc w:val="left"/>
      <w:pPr>
        <w:ind w:hanging="360" w:left="6480"/>
        <w:tabs>
          <w:tab w:val="num" w:pos="6480" w:leader="none"/>
        </w:tabs>
      </w:pPr>
      <w:rPr>
        <w:rFonts w:ascii="Wingdings" w:hAnsi="Wingdings" w:hint="default"/>
        <w:sz w:val="20"/>
      </w:rPr>
    </w:lvl>
  </w:abstractNum>
  <w:num w:numId="1">
    <w:abstractNumId w:val="1"/>
  </w:num>
  <w:num w:numId="2">
    <w:abstractNumId w:val="14"/>
  </w:num>
  <w:num w:numId="3">
    <w:abstractNumId w:val="0"/>
  </w:num>
  <w:num w:numId="4">
    <w:abstractNumId w:val="7"/>
  </w:num>
  <w:num w:numId="5">
    <w:abstractNumId w:val="3"/>
  </w:num>
  <w:num w:numId="6">
    <w:abstractNumId w:val="16"/>
  </w:num>
  <w:num w:numId="7">
    <w:abstractNumId w:val="8"/>
  </w:num>
  <w:num w:numId="8">
    <w:abstractNumId w:val="15"/>
  </w:num>
  <w:num w:numId="9">
    <w:abstractNumId w:val="4"/>
  </w:num>
  <w:num w:numId="10">
    <w:abstractNumId w:val="10"/>
  </w:num>
  <w:num w:numId="11">
    <w:abstractNumId w:val="11"/>
  </w:num>
  <w:num w:numId="12">
    <w:abstractNumId w:val="17"/>
  </w:num>
  <w:num w:numId="13">
    <w:abstractNumId w:val="18"/>
  </w:num>
  <w:num w:numId="14">
    <w:abstractNumId w:val="12"/>
  </w:num>
  <w:num w:numId="15">
    <w:abstractNumId w:val="13"/>
  </w:num>
  <w:num w:numId="16">
    <w:abstractNumId w:val="9"/>
  </w:num>
  <w:num w:numId="17">
    <w:abstractNumId w:val="5"/>
  </w:num>
  <w:num w:numId="18">
    <w:abstractNumId w:val="6"/>
  </w:num>
  <w:num w:numId="19">
    <w:abstractNumId w:val="2"/>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Century Gothic" w:hAnsi="Century Gothic" w:cs="Times New Roman" w:eastAsia="MS Gothic"/>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pPr>
      <w:spacing w:after="120" w:beforeAutospacing="0" w:afterAutospacing="0"/>
    </w:pPr>
    <w:rPr>
      <w:rFonts w:ascii="Bookman Old Style" w:hAnsi="Bookman Old Style"/>
      <w:sz w:val="22"/>
      <w:szCs w:val="24"/>
      <w:lang w:eastAsia="ja-JP"/>
    </w:rPr>
  </w:style>
  <w:style w:type="paragraph" w:styleId="P1">
    <w:name w:val="Heading 1"/>
    <w:aliases w:val="Rubrik 1 progress"/>
    <w:next w:val="P0"/>
    <w:link w:val="C3"/>
    <w:pPr>
      <w:keepNext w:val="1"/>
      <w:keepLines w:val="1"/>
      <w:spacing w:before="480" w:beforeAutospacing="0" w:afterAutospacing="0"/>
      <w:outlineLvl w:val="0"/>
    </w:pPr>
    <w:rPr>
      <w:rFonts w:ascii="Arial" w:hAnsi="Arial"/>
      <w:bCs w:val="1"/>
      <w:color w:val="AB2512"/>
      <w:sz w:val="36"/>
      <w:szCs w:val="32"/>
      <w:lang w:eastAsia="ja-JP"/>
    </w:rPr>
  </w:style>
  <w:style w:type="paragraph" w:styleId="P2">
    <w:name w:val="Heading 2"/>
    <w:aliases w:val="Rubrik 2 progress"/>
    <w:basedOn w:val="P0"/>
    <w:next w:val="P0"/>
    <w:link w:val="C4"/>
    <w:pPr>
      <w:keepNext w:val="1"/>
      <w:keepLines w:val="1"/>
      <w:spacing w:before="200" w:after="20" w:beforeAutospacing="0" w:afterAutospacing="0"/>
      <w:outlineLvl w:val="1"/>
    </w:pPr>
    <w:rPr>
      <w:rFonts w:ascii="Arial" w:hAnsi="Arial"/>
      <w:bCs w:val="1"/>
      <w:color w:val="7F7F7F"/>
      <w:sz w:val="28"/>
      <w:szCs w:val="26"/>
    </w:rPr>
  </w:style>
  <w:style w:type="paragraph" w:styleId="P3">
    <w:name w:val="Heading 3"/>
    <w:aliases w:val="Rubrik 3 progress"/>
    <w:basedOn w:val="P0"/>
    <w:next w:val="P0"/>
    <w:link w:val="C5"/>
    <w:pPr>
      <w:keepNext w:val="1"/>
      <w:keepLines w:val="1"/>
      <w:spacing w:before="200" w:after="20" w:beforeAutospacing="0" w:afterAutospacing="0"/>
      <w:outlineLvl w:val="2"/>
    </w:pPr>
    <w:rPr>
      <w:rFonts w:ascii="Arial" w:hAnsi="Arial"/>
      <w:bCs w:val="1"/>
    </w:rPr>
  </w:style>
  <w:style w:type="paragraph" w:styleId="P4">
    <w:name w:val="Brödtext progress"/>
    <w:pPr>
      <w:widowControl w:val="0"/>
      <w:spacing w:lineRule="auto" w:line="288" w:beforeAutospacing="0" w:afterAutospacing="0"/>
      <w:ind w:left="1701" w:right="2835"/>
    </w:pPr>
    <w:rPr>
      <w:rFonts w:ascii="Bookman Old Style" w:hAnsi="Bookman Old Style" w:cs="Times-Roman"/>
      <w:color w:val="000000"/>
      <w:sz w:val="18"/>
      <w:szCs w:val="24"/>
      <w:lang w:eastAsia="ja-JP"/>
    </w:rPr>
  </w:style>
  <w:style w:type="paragraph" w:styleId="P5">
    <w:name w:val="TOC 1"/>
    <w:aliases w:val="Innehåll 1 - progress"/>
    <w:basedOn w:val="P0"/>
    <w:next w:val="P0"/>
    <w:pPr>
      <w:tabs>
        <w:tab w:val="right" w:pos="7354" w:leader="dot"/>
      </w:tabs>
      <w:spacing w:before="160" w:beforeAutospacing="0" w:afterAutospacing="0"/>
    </w:pPr>
    <w:rPr>
      <w:rFonts w:ascii="Century Gothic" w:hAnsi="Century Gothic"/>
      <w:b w:val="1"/>
      <w:szCs w:val="22"/>
    </w:rPr>
  </w:style>
  <w:style w:type="paragraph" w:styleId="P6">
    <w:name w:val="TOC 2"/>
    <w:aliases w:val="Innehåll 2 - progress"/>
    <w:basedOn w:val="P0"/>
    <w:next w:val="P0"/>
    <w:pPr>
      <w:ind w:left="240"/>
    </w:pPr>
    <w:rPr>
      <w:rFonts w:ascii="Century Gothic" w:hAnsi="Century Gothic"/>
      <w:sz w:val="18"/>
      <w:szCs w:val="22"/>
    </w:rPr>
  </w:style>
  <w:style w:type="paragraph" w:styleId="P7">
    <w:name w:val="TOC 3"/>
    <w:aliases w:val="Innehåll 3 - progress"/>
    <w:basedOn w:val="P0"/>
    <w:next w:val="P0"/>
    <w:pPr>
      <w:ind w:left="480"/>
    </w:pPr>
    <w:rPr>
      <w:rFonts w:ascii="Arial" w:hAnsi="Arial"/>
      <w:sz w:val="18"/>
      <w:szCs w:val="22"/>
    </w:rPr>
  </w:style>
  <w:style w:type="paragraph" w:styleId="P8">
    <w:name w:val="Titel"/>
    <w:basedOn w:val="P0"/>
    <w:pPr/>
    <w:rPr>
      <w:rFonts w:ascii="Arial" w:hAnsi="Arial"/>
      <w:color w:val="505150"/>
      <w:sz w:val="40"/>
    </w:rPr>
  </w:style>
  <w:style w:type="paragraph" w:styleId="P9">
    <w:name w:val="fakta ruta"/>
    <w:basedOn w:val="P0"/>
    <w:pPr>
      <w:widowControl w:val="0"/>
      <w:spacing w:lineRule="auto" w:line="216" w:after="0" w:beforeAutospacing="0" w:afterAutospacing="0"/>
    </w:pPr>
    <w:rPr>
      <w:rFonts w:ascii="Verdana" w:hAnsi="Verdana" w:cs="MinionPro-Regular"/>
      <w:color w:val="000000"/>
      <w:sz w:val="16"/>
    </w:rPr>
  </w:style>
  <w:style w:type="paragraph" w:styleId="P10">
    <w:name w:val="fakta ruta vit"/>
    <w:basedOn w:val="P0"/>
    <w:pPr>
      <w:widowControl w:val="0"/>
      <w:spacing w:after="0" w:beforeAutospacing="0" w:afterAutospacing="0"/>
    </w:pPr>
    <w:rPr>
      <w:rFonts w:ascii="Verdana" w:hAnsi="Verdana" w:cs="MinionPro-Regular"/>
      <w:i w:val="1"/>
      <w:color w:val="FFFFFF"/>
      <w:sz w:val="16"/>
    </w:rPr>
  </w:style>
  <w:style w:type="paragraph" w:styleId="P11">
    <w:name w:val="Rubrik 1 - Bergvik"/>
    <w:pPr>
      <w:spacing w:after="120" w:beforeAutospacing="0" w:afterAutospacing="0"/>
      <w:ind w:left="-284"/>
    </w:pPr>
    <w:rPr>
      <w:rFonts w:ascii="Verdana" w:hAnsi="Verdana" w:cs="MinionPro-Regular"/>
      <w:b w:val="1"/>
      <w:color w:val="000000"/>
      <w:sz w:val="56"/>
      <w:szCs w:val="24"/>
      <w:lang w:eastAsia="ja-JP"/>
    </w:rPr>
  </w:style>
  <w:style w:type="paragraph" w:styleId="P12">
    <w:name w:val="Rubrik 2 - Bergvik"/>
    <w:pPr>
      <w:ind w:left="-284"/>
    </w:pPr>
    <w:rPr>
      <w:rFonts w:ascii="Verdana" w:hAnsi="Verdana"/>
      <w:b w:val="1"/>
      <w:sz w:val="36"/>
      <w:szCs w:val="24"/>
      <w:lang w:eastAsia="ja-JP"/>
    </w:rPr>
  </w:style>
  <w:style w:type="paragraph" w:styleId="P13">
    <w:name w:val="Rubrik anslag"/>
    <w:basedOn w:val="P0"/>
    <w:pPr>
      <w:spacing w:lineRule="exact" w:line="1440" w:after="0" w:beforeAutospacing="0" w:afterAutospacing="0"/>
      <w:ind w:left="-284"/>
    </w:pPr>
    <w:rPr>
      <w:rFonts w:ascii="Century Gothic" w:hAnsi="Century Gothic"/>
      <w:b w:val="1"/>
      <w:color w:val="000000"/>
      <w:sz w:val="120"/>
      <w:szCs w:val="120"/>
    </w:rPr>
  </w:style>
  <w:style w:type="paragraph" w:styleId="P14">
    <w:name w:val="www-adress"/>
    <w:basedOn w:val="P15"/>
    <w:pPr>
      <w:tabs>
        <w:tab w:val="left" w:pos="1700" w:leader="none"/>
        <w:tab w:val="left" w:pos="2580" w:leader="none"/>
        <w:tab w:val="clear" w:pos="4536" w:leader="none"/>
        <w:tab w:val="clear" w:pos="9072" w:leader="none"/>
      </w:tabs>
      <w:spacing w:lineRule="auto" w:line="288" w:beforeAutospacing="0" w:afterAutospacing="0"/>
      <w:ind w:left="-284"/>
    </w:pPr>
    <w:rPr>
      <w:rFonts w:ascii="Century Gothic" w:hAnsi="Century Gothic"/>
      <w:b w:val="1"/>
      <w:color w:val="000000"/>
      <w:sz w:val="36"/>
      <w:szCs w:val="36"/>
    </w:rPr>
  </w:style>
  <w:style w:type="paragraph" w:styleId="P15">
    <w:name w:val="Footer"/>
    <w:basedOn w:val="P0"/>
    <w:link w:val="C6"/>
    <w:pPr>
      <w:tabs>
        <w:tab w:val="center" w:pos="4536" w:leader="none"/>
        <w:tab w:val="right" w:pos="9072" w:leader="none"/>
      </w:tabs>
      <w:spacing w:after="0" w:beforeAutospacing="0" w:afterAutospacing="0"/>
    </w:pPr>
    <w:rPr/>
  </w:style>
  <w:style w:type="paragraph" w:styleId="P16">
    <w:name w:val="Budskap - Anslag"/>
    <w:basedOn w:val="P17"/>
    <w:pPr>
      <w:widowControl w:val="0"/>
      <w:suppressAutoHyphens w:val="1"/>
      <w:spacing w:before="800" w:after="0" w:beforeAutospacing="0" w:afterAutospacing="0"/>
      <w:ind w:left="-284"/>
    </w:pPr>
    <w:rPr>
      <w:rFonts w:ascii="CenturyGothic-Bold" w:hAnsi="CenturyGothic-Bold" w:cs="CenturyGothic-Bold"/>
      <w:b w:val="1"/>
      <w:bCs w:val="1"/>
      <w:color w:val="000000"/>
      <w:sz w:val="40"/>
      <w:szCs w:val="40"/>
      <w:spacing w:val="-5"/>
    </w:rPr>
  </w:style>
  <w:style w:type="paragraph" w:styleId="P17">
    <w:name w:val="Body Text"/>
    <w:basedOn w:val="P0"/>
    <w:link w:val="C7"/>
    <w:pPr/>
    <w:rPr/>
  </w:style>
  <w:style w:type="paragraph" w:styleId="P18">
    <w:name w:val="Normal (Web)"/>
    <w:basedOn w:val="P0"/>
    <w:pPr>
      <w:spacing w:before="100" w:after="100" w:beforeAutospacing="1" w:afterAutospacing="1"/>
    </w:pPr>
    <w:rPr>
      <w:rFonts w:ascii="Times" w:hAnsi="Times"/>
      <w:sz w:val="20"/>
      <w:szCs w:val="20"/>
      <w:lang w:eastAsia="sv-SE"/>
    </w:rPr>
  </w:style>
  <w:style w:type="paragraph" w:styleId="P19">
    <w:name w:val="Header"/>
    <w:basedOn w:val="P0"/>
    <w:link w:val="C8"/>
    <w:pPr>
      <w:tabs>
        <w:tab w:val="center" w:pos="4536" w:leader="none"/>
        <w:tab w:val="right" w:pos="9072" w:leader="none"/>
      </w:tabs>
      <w:spacing w:after="0" w:beforeAutospacing="0" w:afterAutospacing="0"/>
    </w:pPr>
    <w:rPr/>
  </w:style>
  <w:style w:type="paragraph" w:styleId="P20">
    <w:name w:val="[Allmänt styckeformat]"/>
    <w:basedOn w:val="P0"/>
    <w:link w:val="C10"/>
    <w:pPr>
      <w:widowControl w:val="0"/>
      <w:spacing w:lineRule="auto" w:line="288" w:after="0" w:beforeAutospacing="0" w:afterAutospacing="0"/>
    </w:pPr>
    <w:rPr>
      <w:rFonts w:ascii="MinionPro-Regular" w:hAnsi="MinionPro-Regular" w:cs="MinionPro-Regular"/>
      <w:color w:val="000000"/>
      <w:sz w:val="24"/>
    </w:rPr>
  </w:style>
  <w:style w:type="paragraph" w:styleId="P21">
    <w:name w:val="[Inget styckeformat]"/>
    <w:pPr>
      <w:widowControl w:val="0"/>
      <w:spacing w:lineRule="auto" w:line="288" w:beforeAutospacing="0" w:afterAutospacing="0"/>
    </w:pPr>
    <w:rPr>
      <w:rFonts w:ascii="MinionPro-Regular" w:hAnsi="MinionPro-Regular" w:cs="MinionPro-Regular"/>
      <w:color w:val="000000"/>
      <w:sz w:val="24"/>
      <w:szCs w:val="24"/>
      <w:lang w:eastAsia="ja-JP"/>
    </w:rPr>
  </w:style>
  <w:style w:type="paragraph" w:styleId="P22">
    <w:name w:val="Styckesrubrik - nyhetsbrev"/>
    <w:basedOn w:val="P0"/>
    <w:pPr>
      <w:widowControl w:val="0"/>
      <w:spacing w:lineRule="auto" w:line="288" w:after="28" w:beforeAutospacing="0" w:afterAutospacing="0"/>
    </w:pPr>
    <w:rPr>
      <w:rFonts w:ascii="CenturyGothic-Bold" w:hAnsi="CenturyGothic-Bold" w:cs="CenturyGothic-Bold"/>
      <w:b w:val="1"/>
      <w:bCs w:val="1"/>
      <w:color w:val="000000"/>
      <w:sz w:val="20"/>
      <w:szCs w:val="20"/>
    </w:rPr>
  </w:style>
  <w:style w:type="paragraph" w:styleId="P23">
    <w:name w:val="4 brödtext - nyhetsbrev"/>
    <w:basedOn w:val="P20"/>
    <w:link w:val="C11"/>
    <w:qFormat/>
    <w:pPr>
      <w:spacing w:lineRule="auto" w:line="240" w:beforeAutospacing="0" w:afterAutospacing="0"/>
    </w:pPr>
    <w:rPr>
      <w:rFonts w:ascii="Garamond" w:hAnsi="Garamond" w:cs="Garamond"/>
      <w:sz w:val="22"/>
      <w:szCs w:val="20"/>
    </w:rPr>
  </w:style>
  <w:style w:type="paragraph" w:styleId="P24">
    <w:name w:val="2 Avsnittsrubrik"/>
    <w:basedOn w:val="P22"/>
    <w:next w:val="P23"/>
    <w:qFormat/>
    <w:pPr>
      <w:spacing w:after="60" w:beforeAutospacing="0" w:afterAutospacing="0"/>
      <w:outlineLvl w:val="0"/>
    </w:pPr>
    <w:rPr>
      <w:color w:val="000000" w:themeColor="text1"/>
      <w:sz w:val="28"/>
      <w:szCs w:val="32"/>
    </w:rPr>
  </w:style>
  <w:style w:type="paragraph" w:styleId="P25">
    <w:name w:val="1 Huvudrubrik"/>
    <w:basedOn w:val="P23"/>
    <w:next w:val="P23"/>
    <w:qFormat/>
    <w:pPr/>
    <w:rPr>
      <w:rFonts w:ascii="Century Gothic" w:hAnsi="Century Gothic"/>
      <w:b w:val="1"/>
      <w:bCs w:val="1"/>
      <w:sz w:val="36"/>
      <w:szCs w:val="36"/>
    </w:rPr>
  </w:style>
  <w:style w:type="paragraph" w:styleId="P26">
    <w:name w:val="Balloon Text"/>
    <w:basedOn w:val="P0"/>
    <w:link w:val="C9"/>
    <w:semiHidden/>
    <w:pPr>
      <w:spacing w:after="0" w:beforeAutospacing="0" w:afterAutospacing="0"/>
    </w:pPr>
    <w:rPr>
      <w:rFonts w:ascii="Segoe UI" w:hAnsi="Segoe UI" w:cs="Segoe UI"/>
      <w:sz w:val="18"/>
      <w:szCs w:val="18"/>
    </w:rPr>
  </w:style>
  <w:style w:type="paragraph" w:styleId="P27">
    <w:name w:val="3 Underrubrik"/>
    <w:basedOn w:val="P23"/>
    <w:next w:val="P23"/>
    <w:link w:val="C12"/>
    <w:qFormat/>
    <w:pPr>
      <w:ind w:right="142"/>
      <w:outlineLvl w:val="1"/>
    </w:pPr>
    <w:rPr>
      <w:rFonts w:ascii="Century Gothic" w:hAnsi="Century Gothic"/>
      <w:b w:val="1"/>
      <w:color w:val="auto"/>
      <w:sz w:val="20"/>
      <w:szCs w:val="24"/>
    </w:rPr>
  </w:style>
  <w:style w:type="paragraph" w:styleId="P28">
    <w:name w:val="No Spacing"/>
    <w:pPr/>
    <w:rPr>
      <w:rFonts w:ascii="Bookman Old Style" w:hAnsi="Bookman Old Style"/>
      <w:sz w:val="22"/>
      <w:szCs w:val="24"/>
      <w:lang w:eastAsia="ja-JP"/>
    </w:rPr>
  </w:style>
  <w:style w:type="paragraph" w:styleId="P29">
    <w:name w:val="TOC Heading"/>
    <w:basedOn w:val="P1"/>
    <w:next w:val="P0"/>
    <w:qFormat/>
    <w:pPr>
      <w:spacing w:lineRule="auto" w:line="259" w:before="240" w:beforeAutospacing="0" w:afterAutospacing="0"/>
      <w:outlineLvl w:val="9"/>
    </w:pPr>
    <w:rPr>
      <w:rFonts w:ascii="Calibri Light" w:hAnsi="Calibri Light" w:eastAsia="Times New Roman"/>
      <w:bCs w:val="0"/>
      <w:color w:val="2E74B5"/>
      <w:sz w:val="32"/>
      <w:lang w:eastAsia="sv-SE"/>
    </w:rPr>
  </w:style>
  <w:style w:type="paragraph" w:styleId="P30">
    <w:name w:val="annotation text"/>
    <w:basedOn w:val="P0"/>
    <w:link w:val="C14"/>
    <w:pPr/>
    <w:rPr>
      <w:sz w:val="20"/>
      <w:szCs w:val="20"/>
    </w:rPr>
  </w:style>
  <w:style w:type="paragraph" w:styleId="P31">
    <w:name w:val="annotation subject"/>
    <w:basedOn w:val="P30"/>
    <w:next w:val="P30"/>
    <w:link w:val="C15"/>
    <w:semiHidden/>
    <w:pPr/>
    <w:rPr>
      <w:b w:val="1"/>
      <w:bCs w:val="1"/>
    </w:rPr>
  </w:style>
  <w:style w:type="paragraph" w:styleId="P32">
    <w:name w:val="Övriga rubriker"/>
    <w:basedOn w:val="P0"/>
    <w:link w:val="C16"/>
    <w:qFormat/>
    <w:pPr>
      <w:widowControl w:val="0"/>
      <w:spacing w:after="0" w:beforeAutospacing="0" w:afterAutospacing="0"/>
    </w:pPr>
    <w:rPr>
      <w:rFonts w:ascii="Century Gothic" w:hAnsi="Century Gothic" w:cs="Garamond"/>
      <w:b w:val="1"/>
      <w:color w:val="000000"/>
      <w:sz w:val="28"/>
      <w:szCs w:val="20"/>
    </w:rPr>
  </w:style>
  <w:style w:type="paragraph" w:styleId="P33">
    <w:name w:val="List Paragraph"/>
    <w:basedOn w:val="P0"/>
    <w:qFormat/>
    <w:pPr>
      <w:ind w:left="1304"/>
    </w:pPr>
    <w:rPr/>
  </w:style>
  <w:style w:type="paragraph" w:styleId="P34">
    <w:name w:val="Pa0"/>
    <w:basedOn w:val="P0"/>
    <w:next w:val="P0"/>
    <w:pPr>
      <w:spacing w:lineRule="atLeast" w:line="241" w:after="0" w:beforeAutospacing="0" w:afterAutospacing="0"/>
    </w:pPr>
    <w:rPr>
      <w:rFonts w:ascii="Garamond" w:hAnsi="Garamond"/>
      <w:sz w:val="24"/>
      <w:lang w:eastAsia="sv-SE"/>
    </w:rPr>
  </w:style>
  <w:style w:type="paragraph" w:styleId="P35">
    <w:name w:val="Default"/>
    <w:pPr/>
    <w:rPr>
      <w:rFonts w:ascii="Garamond" w:hAnsi="Garamond" w:cs="Garamond"/>
      <w:color w:val="000000"/>
      <w:sz w:val="24"/>
      <w:szCs w:val="24"/>
    </w:rPr>
  </w:style>
  <w:style w:type="paragraph" w:styleId="P36">
    <w:name w:val="TOC 4"/>
    <w:basedOn w:val="P0"/>
    <w:next w:val="P0"/>
    <w:pPr>
      <w:spacing w:lineRule="auto" w:line="259" w:after="100" w:beforeAutospacing="0" w:afterAutospacing="0"/>
      <w:ind w:left="660"/>
    </w:pPr>
    <w:rPr>
      <w:rFonts w:asciiTheme="minorHAnsi" w:hAnsiTheme="minorHAnsi" w:cstheme="minorBidi" w:eastAsiaTheme="minorEastAsia"/>
      <w:szCs w:val="22"/>
      <w:lang w:eastAsia="sv-SE"/>
    </w:rPr>
  </w:style>
  <w:style w:type="paragraph" w:styleId="P37">
    <w:name w:val="TOC 5"/>
    <w:basedOn w:val="P0"/>
    <w:next w:val="P0"/>
    <w:pPr>
      <w:spacing w:lineRule="auto" w:line="259" w:after="100" w:beforeAutospacing="0" w:afterAutospacing="0"/>
      <w:ind w:left="880"/>
    </w:pPr>
    <w:rPr>
      <w:rFonts w:asciiTheme="minorHAnsi" w:hAnsiTheme="minorHAnsi" w:cstheme="minorBidi" w:eastAsiaTheme="minorEastAsia"/>
      <w:szCs w:val="22"/>
      <w:lang w:eastAsia="sv-SE"/>
    </w:rPr>
  </w:style>
  <w:style w:type="paragraph" w:styleId="P38">
    <w:name w:val="TOC 6"/>
    <w:basedOn w:val="P0"/>
    <w:next w:val="P0"/>
    <w:pPr>
      <w:spacing w:lineRule="auto" w:line="259" w:after="100" w:beforeAutospacing="0" w:afterAutospacing="0"/>
      <w:ind w:left="1100"/>
    </w:pPr>
    <w:rPr>
      <w:rFonts w:asciiTheme="minorHAnsi" w:hAnsiTheme="minorHAnsi" w:cstheme="minorBidi" w:eastAsiaTheme="minorEastAsia"/>
      <w:szCs w:val="22"/>
      <w:lang w:eastAsia="sv-SE"/>
    </w:rPr>
  </w:style>
  <w:style w:type="paragraph" w:styleId="P39">
    <w:name w:val="TOC 7"/>
    <w:basedOn w:val="P0"/>
    <w:next w:val="P0"/>
    <w:pPr>
      <w:spacing w:lineRule="auto" w:line="259" w:after="100" w:beforeAutospacing="0" w:afterAutospacing="0"/>
      <w:ind w:left="1320"/>
    </w:pPr>
    <w:rPr>
      <w:rFonts w:asciiTheme="minorHAnsi" w:hAnsiTheme="minorHAnsi" w:cstheme="minorBidi" w:eastAsiaTheme="minorEastAsia"/>
      <w:szCs w:val="22"/>
      <w:lang w:eastAsia="sv-SE"/>
    </w:rPr>
  </w:style>
  <w:style w:type="paragraph" w:styleId="P40">
    <w:name w:val="TOC 8"/>
    <w:basedOn w:val="P0"/>
    <w:next w:val="P0"/>
    <w:pPr>
      <w:spacing w:lineRule="auto" w:line="259" w:after="100" w:beforeAutospacing="0" w:afterAutospacing="0"/>
      <w:ind w:left="1540"/>
    </w:pPr>
    <w:rPr>
      <w:rFonts w:asciiTheme="minorHAnsi" w:hAnsiTheme="minorHAnsi" w:cstheme="minorBidi" w:eastAsiaTheme="minorEastAsia"/>
      <w:szCs w:val="22"/>
      <w:lang w:eastAsia="sv-SE"/>
    </w:rPr>
  </w:style>
  <w:style w:type="paragraph" w:styleId="P41">
    <w:name w:val="TOC 9"/>
    <w:basedOn w:val="P0"/>
    <w:next w:val="P0"/>
    <w:pPr>
      <w:spacing w:lineRule="auto" w:line="259" w:after="100" w:beforeAutospacing="0" w:afterAutospacing="0"/>
      <w:ind w:left="1760"/>
    </w:pPr>
    <w:rPr>
      <w:rFonts w:asciiTheme="minorHAnsi" w:hAnsiTheme="minorHAnsi" w:cstheme="minorBidi" w:eastAsiaTheme="minorEastAsia"/>
      <w:szCs w:val="22"/>
      <w:lang w:eastAsia="sv-SE"/>
    </w:rPr>
  </w:style>
  <w:style w:type="paragraph" w:styleId="P42">
    <w:name w:val="brödtext - nyhetsbrev"/>
    <w:basedOn w:val="P0"/>
    <w:link w:val="C19"/>
    <w:pPr>
      <w:widowControl w:val="0"/>
      <w:spacing w:after="0" w:beforeAutospacing="0" w:afterAutospacing="0"/>
    </w:pPr>
    <w:rPr>
      <w:rFonts w:ascii="Garamond" w:hAnsi="Garamond" w:cs="Garamond"/>
      <w:color w:val="000000"/>
      <w:sz w:val="24"/>
      <w:szCs w:val="20"/>
    </w:rPr>
  </w:style>
  <w:style w:type="paragraph" w:styleId="P43">
    <w:name w:val="Annan rubrik"/>
    <w:basedOn w:val="P27"/>
    <w:link w:val="C20"/>
    <w:qFormat/>
    <w:pPr/>
    <w:rPr>
      <w:rFonts w:ascii="Garamond" w:hAnsi="Garamond"/>
    </w:rPr>
  </w:style>
  <w:style w:type="paragraph" w:styleId="P44">
    <w:name w:val="Instruktionstext"/>
    <w:basedOn w:val="P0"/>
    <w:link w:val="C21"/>
    <w:qFormat/>
    <w:pPr>
      <w:spacing w:lineRule="auto" w:line="276" w:after="200" w:beforeAutospacing="0" w:afterAutospacing="0"/>
    </w:pPr>
    <w:rPr>
      <w:rFonts w:ascii="Times New Roman" w:hAnsi="Times New Roman" w:eastAsiaTheme="minorHAnsi"/>
      <w:color w:val="3852DC"/>
      <w:lang w:eastAsia="en-US"/>
    </w:rPr>
  </w:style>
  <w:style w:type="paragraph" w:styleId="P45">
    <w:name w:val="Tabelltext"/>
    <w:basedOn w:val="P0"/>
    <w:link w:val="C22"/>
    <w:qFormat/>
    <w:pPr>
      <w:spacing w:before="20" w:after="20" w:beforeAutospacing="0" w:afterAutospacing="0"/>
    </w:pPr>
    <w:rPr>
      <w:rFonts w:ascii="Source Sans Pro" w:hAnsi="Source Sans Pro" w:cstheme="minorBidi" w:eastAsiaTheme="minorHAnsi"/>
      <w:szCs w:val="22"/>
      <w:spacing w:val="-4"/>
      <w:lang w:eastAsia="en-US"/>
    </w:rPr>
  </w:style>
  <w:style w:type="paragraph" w:styleId="P46">
    <w:name w:val="Förklaringstext"/>
    <w:basedOn w:val="P0"/>
    <w:qFormat/>
    <w:pPr>
      <w:spacing w:lineRule="auto" w:line="360" w:after="160" w:beforeAutospacing="0" w:afterAutospacing="0"/>
    </w:pPr>
    <w:rPr>
      <w:rFonts w:ascii="Arial" w:hAnsi="Arial" w:cstheme="minorBidi" w:eastAsiaTheme="minorHAnsi"/>
      <w:color w:val="FF5050"/>
      <w:szCs w:val="22"/>
      <w:lang w:eastAsia="en-US"/>
    </w:rPr>
  </w:style>
  <w:style w:type="paragraph" w:styleId="P47">
    <w:name w:val="0 Hjälptext"/>
    <w:basedOn w:val="P0"/>
    <w:link w:val="C24"/>
    <w:qFormat/>
    <w:pPr>
      <w:spacing w:lineRule="auto" w:line="360" w:beforeAutospacing="0" w:afterAutospacing="0"/>
    </w:pPr>
    <w:rPr>
      <w:rFonts w:ascii="Arial" w:hAnsi="Arial" w:cs="Arial" w:eastAsia="Arial"/>
      <w:i w:val="1"/>
      <w:color w:val="A6A6A6" w:themeColor="background1" w:themeShade="A6"/>
      <w:szCs w:val="22"/>
      <w:lang w:eastAsia="sv-SE"/>
    </w:rPr>
  </w:style>
  <w:style w:type="paragraph" w:styleId="P48">
    <w:name w:val="brödtext"/>
    <w:basedOn w:val="P0"/>
    <w:pPr>
      <w:keepLines w:val="1"/>
      <w:suppressAutoHyphens w:val="1"/>
      <w:spacing w:lineRule="atLeast" w:line="320" w:after="170" w:beforeAutospacing="0" w:afterAutospacing="0"/>
      <w:jc w:val="both"/>
    </w:pPr>
    <w:rPr>
      <w:rFonts w:ascii="Goudy Old Style" w:hAnsi="Goudy Old Style" w:cs="Goudy Old Style" w:eastAsiaTheme="minorHAnsi"/>
      <w:color w:val="000000"/>
      <w:szCs w:val="22"/>
      <w:lang w:eastAsia="en-US"/>
    </w:rPr>
  </w:style>
  <w:style w:type="paragraph" w:styleId="P49">
    <w:name w:val="Footnote Text"/>
    <w:link w:val="C28"/>
    <w:semiHidden/>
    <w:pPr>
      <w:spacing w:lineRule="auto" w:line="240" w:after="0"/>
    </w:pPr>
    <w:rPr>
      <w:sz w:val="20"/>
      <w:szCs w:val="20"/>
    </w:rPr>
  </w:style>
  <w:style w:type="paragraph" w:styleId="P50">
    <w:name w:val="Endnote Text"/>
    <w:link w:val="C30"/>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563C1"/>
      <w:u w:val="single"/>
    </w:rPr>
  </w:style>
  <w:style w:type="character" w:styleId="C3">
    <w:name w:val="Rubrik 1 Char"/>
    <w:aliases w:val="Rubrik 1 progress Char"/>
    <w:link w:val="P1"/>
    <w:rPr>
      <w:rFonts w:ascii="Arial" w:hAnsi="Arial" w:cs="Times New Roman" w:eastAsia="MS Gothic"/>
      <w:bCs w:val="1"/>
      <w:color w:val="AB2512"/>
      <w:sz w:val="36"/>
      <w:szCs w:val="32"/>
    </w:rPr>
  </w:style>
  <w:style w:type="character" w:styleId="C4">
    <w:name w:val="Rubrik 2 Char"/>
    <w:aliases w:val="Rubrik 2 progress Char"/>
    <w:link w:val="P2"/>
    <w:rPr>
      <w:rFonts w:ascii="Arial" w:hAnsi="Arial" w:cs="Times New Roman" w:eastAsia="MS Gothic"/>
      <w:bCs w:val="1"/>
      <w:color w:val="7F7F7F"/>
      <w:sz w:val="28"/>
      <w:szCs w:val="26"/>
    </w:rPr>
  </w:style>
  <w:style w:type="character" w:styleId="C5">
    <w:name w:val="Rubrik 3 Char"/>
    <w:aliases w:val="Rubrik 3 progress Char"/>
    <w:link w:val="P3"/>
    <w:rPr>
      <w:rFonts w:ascii="Arial" w:hAnsi="Arial" w:cs="Times New Roman" w:eastAsia="MS Gothic"/>
      <w:bCs w:val="1"/>
      <w:sz w:val="22"/>
    </w:rPr>
  </w:style>
  <w:style w:type="character" w:styleId="C6">
    <w:name w:val="Sidfot Char"/>
    <w:link w:val="P15"/>
    <w:rPr>
      <w:rFonts w:ascii="Bookman Old Style" w:hAnsi="Bookman Old Style"/>
      <w:sz w:val="22"/>
    </w:rPr>
  </w:style>
  <w:style w:type="character" w:styleId="C7">
    <w:name w:val="Brödtext Char"/>
    <w:link w:val="P17"/>
    <w:rPr>
      <w:rFonts w:ascii="Bookman Old Style" w:hAnsi="Bookman Old Style"/>
      <w:sz w:val="22"/>
    </w:rPr>
  </w:style>
  <w:style w:type="character" w:styleId="C8">
    <w:name w:val="Sidhuvud Char"/>
    <w:link w:val="P19"/>
    <w:rPr>
      <w:rFonts w:ascii="Bookman Old Style" w:hAnsi="Bookman Old Style"/>
      <w:sz w:val="22"/>
    </w:rPr>
  </w:style>
  <w:style w:type="character" w:styleId="C9">
    <w:name w:val="Ballongtext Char"/>
    <w:link w:val="P26"/>
    <w:semiHidden/>
    <w:rPr>
      <w:rFonts w:ascii="Segoe UI" w:hAnsi="Segoe UI" w:cs="Segoe UI"/>
      <w:sz w:val="18"/>
      <w:szCs w:val="18"/>
      <w:lang w:eastAsia="ja-JP"/>
    </w:rPr>
  </w:style>
  <w:style w:type="character" w:styleId="C10">
    <w:name w:val="[Allmänt styckeformat] Char"/>
    <w:link w:val="P20"/>
    <w:rPr>
      <w:rFonts w:ascii="MinionPro-Regular" w:hAnsi="MinionPro-Regular" w:cs="MinionPro-Regular"/>
      <w:color w:val="000000"/>
      <w:sz w:val="24"/>
      <w:szCs w:val="24"/>
      <w:lang w:eastAsia="ja-JP"/>
    </w:rPr>
  </w:style>
  <w:style w:type="character" w:styleId="C11">
    <w:name w:val="4 brödtext - nyhetsbrev Char"/>
    <w:link w:val="P23"/>
    <w:rPr>
      <w:rFonts w:ascii="Garamond" w:hAnsi="Garamond" w:cs="Garamond"/>
      <w:color w:val="000000"/>
      <w:sz w:val="22"/>
      <w:lang w:eastAsia="ja-JP"/>
    </w:rPr>
  </w:style>
  <w:style w:type="character" w:styleId="C12">
    <w:name w:val="3 Underrubrik Char"/>
    <w:link w:val="P27"/>
    <w:rPr>
      <w:rFonts w:cs="Garamond"/>
      <w:b w:val="1"/>
      <w:szCs w:val="24"/>
      <w:lang w:eastAsia="ja-JP"/>
    </w:rPr>
  </w:style>
  <w:style w:type="character" w:styleId="C13">
    <w:name w:val="annotation reference"/>
    <w:semiHidden/>
    <w:rPr>
      <w:sz w:val="16"/>
      <w:szCs w:val="16"/>
    </w:rPr>
  </w:style>
  <w:style w:type="character" w:styleId="C14">
    <w:name w:val="Kommentarer Char"/>
    <w:link w:val="P30"/>
    <w:rPr>
      <w:rFonts w:ascii="Bookman Old Style" w:hAnsi="Bookman Old Style"/>
      <w:lang w:eastAsia="ja-JP"/>
    </w:rPr>
  </w:style>
  <w:style w:type="character" w:styleId="C15">
    <w:name w:val="Kommentarsämne Char"/>
    <w:link w:val="P31"/>
    <w:semiHidden/>
    <w:rPr>
      <w:rFonts w:ascii="Bookman Old Style" w:hAnsi="Bookman Old Style"/>
      <w:b w:val="1"/>
      <w:bCs w:val="1"/>
      <w:lang w:eastAsia="ja-JP"/>
    </w:rPr>
  </w:style>
  <w:style w:type="character" w:styleId="C16">
    <w:name w:val="Övriga rubriker Char"/>
    <w:link w:val="P32"/>
    <w:rPr>
      <w:rFonts w:cs="Garamond"/>
      <w:b w:val="1"/>
      <w:color w:val="000000"/>
      <w:sz w:val="28"/>
      <w:lang w:eastAsia="ja-JP"/>
    </w:rPr>
  </w:style>
  <w:style w:type="character" w:styleId="C17">
    <w:name w:val="Unresolved Mention1"/>
    <w:basedOn w:val="C0"/>
    <w:semiHidden/>
    <w:rPr>
      <w:color w:val="808080"/>
      <w:shd w:val="clear" w:color="auto" w:fill="E6E6E6"/>
    </w:rPr>
  </w:style>
  <w:style w:type="character" w:styleId="C18">
    <w:name w:val="A4"/>
    <w:rPr>
      <w:rFonts w:cs="Garamond"/>
      <w:color w:val="000000"/>
      <w:sz w:val="22"/>
      <w:szCs w:val="22"/>
    </w:rPr>
  </w:style>
  <w:style w:type="character" w:styleId="C19">
    <w:name w:val="brödtext - nyhetsbrev Char"/>
    <w:link w:val="P42"/>
    <w:rPr>
      <w:rFonts w:ascii="Garamond" w:hAnsi="Garamond" w:cs="Garamond"/>
      <w:color w:val="000000"/>
      <w:sz w:val="24"/>
      <w:lang w:eastAsia="ja-JP"/>
    </w:rPr>
  </w:style>
  <w:style w:type="character" w:styleId="C20">
    <w:name w:val="Annan rubrik Char"/>
    <w:basedOn w:val="C11"/>
    <w:link w:val="P43"/>
    <w:rPr>
      <w:rFonts w:ascii="Garamond" w:hAnsi="Garamond" w:cs="Garamond"/>
      <w:b w:val="1"/>
      <w:color w:val="000000"/>
      <w:sz w:val="22"/>
      <w:szCs w:val="24"/>
      <w:lang w:eastAsia="ja-JP"/>
    </w:rPr>
  </w:style>
  <w:style w:type="character" w:styleId="C21">
    <w:name w:val="Instruktionstext Char"/>
    <w:basedOn w:val="C0"/>
    <w:link w:val="P44"/>
    <w:rPr>
      <w:rFonts w:ascii="Times New Roman" w:hAnsi="Times New Roman" w:eastAsiaTheme="minorHAnsi"/>
      <w:color w:val="3852DC"/>
      <w:sz w:val="22"/>
      <w:szCs w:val="24"/>
      <w:lang w:eastAsia="en-US"/>
    </w:rPr>
  </w:style>
  <w:style w:type="character" w:styleId="C22">
    <w:name w:val="Tabelltext Char"/>
    <w:basedOn w:val="C0"/>
    <w:link w:val="P45"/>
    <w:rPr>
      <w:rFonts w:ascii="Source Sans Pro" w:hAnsi="Source Sans Pro" w:cstheme="minorBidi" w:eastAsiaTheme="minorHAnsi"/>
      <w:sz w:val="22"/>
      <w:szCs w:val="22"/>
      <w:spacing w:val="-4"/>
      <w:lang w:eastAsia="en-US"/>
    </w:rPr>
  </w:style>
  <w:style w:type="character" w:styleId="C23">
    <w:name w:val="A13"/>
    <w:rPr>
      <w:rFonts w:cs="Source Serif Pro Light"/>
      <w:color w:val="211D1E"/>
      <w:sz w:val="16"/>
      <w:szCs w:val="16"/>
    </w:rPr>
  </w:style>
  <w:style w:type="character" w:styleId="C24">
    <w:name w:val="0 Hjälptext Char"/>
    <w:basedOn w:val="C0"/>
    <w:link w:val="P47"/>
    <w:rPr>
      <w:rFonts w:ascii="Arial" w:hAnsi="Arial" w:cs="Arial" w:eastAsia="Arial"/>
      <w:i w:val="1"/>
      <w:color w:val="A6A6A6" w:themeColor="background1" w:themeShade="A6"/>
      <w:sz w:val="22"/>
      <w:szCs w:val="22"/>
    </w:rPr>
  </w:style>
  <w:style w:type="character" w:styleId="C25">
    <w:name w:val="ui-provider"/>
    <w:basedOn w:val="C0"/>
    <w:rPr/>
  </w:style>
  <w:style w:type="character" w:styleId="C26">
    <w:name w:val="normaltextrun"/>
    <w:basedOn w:val="C0"/>
    <w:rPr/>
  </w:style>
  <w:style w:type="character" w:styleId="C27">
    <w:name w:val="Footnote Reference"/>
    <w:semiHidden/>
    <w:rPr>
      <w:vertAlign w:val="superscript"/>
    </w:rPr>
  </w:style>
  <w:style w:type="character" w:styleId="C28">
    <w:name w:val="Footnote Text Char"/>
    <w:link w:val="P49"/>
    <w:semiHidden/>
    <w:rPr>
      <w:sz w:val="20"/>
      <w:szCs w:val="20"/>
    </w:rPr>
  </w:style>
  <w:style w:type="character" w:styleId="C29">
    <w:name w:val="Endnote Reference"/>
    <w:semiHidden/>
    <w:rPr>
      <w:vertAlign w:val="superscript"/>
    </w:rPr>
  </w:style>
  <w:style w:type="character" w:styleId="C30">
    <w:name w:val="Endnote Text Char"/>
    <w:link w:val="P50"/>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emf" /><Relationship Id="Relimage8" Type="http://schemas.openxmlformats.org/officeDocument/2006/relationships/image" Target="/media/image8.pn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1" Type="http://schemas.openxmlformats.org/officeDocument/2006/relationships/image" Target="/media/image1.pn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be_genomförandetid01</identitet>
    <Indelning>
      <tema>Beskrivning av detaljplanen</tema>
      <grupp>Genomförandetid</grupp>
    </Indelning>
  </Omfattning>
  <Omfattning>
    <identitet>be_allmänplats01</identitet>
    <Indelning>
      <tema>Beskrivning av detaljplanen</tema>
      <grupp>Allmän plats</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mo_motivtillreglering02</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e2255e90-f168-4910-bbbb-9e48f69f9e23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4e2364a2-7793-439e-8da7-68b2f6ff2c6b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e2255e90-f168-4910-bbbb-9e48f69f9e23</objektreferens>
    <objektreferens>4e2364a2-7793-439e-8da7-68b2f6ff2c6b</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8b01e0c-96d2-45bf-9ead-1b1e304f5639_f0">
          <gml:exterior>
            <gml:LinearRing>
              <gml:posList>6571562.232 168981.885 6571564.976 168989.283 6571547.797 168995.454 6571532.853 169001.027 6571530.137 168993.563 6571562.232 168981.885</gml:posList>
            </gml:LinearRing>
          </gml:exterior>
        </gml:Polygon>
      </lmg:Position>
    </lmg:Ytgeometri>
    <objektreferens>78b01e0c-96d2-45bf-9ead-1b1e304f5639</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33d323bd-848c-47b7-8215-62728fc1c639_f0">
          <gml:exterior>
            <gml:LinearRing>
              <gml:posList>6571556.112 168906.801 6571561.965 168908.572 6571558.66 168913.805 6571547.755 168931.072 6571545.618 168934.455 6571539.647 168943.905 6571528.729 168961.186 6571527.449 168963.358 6571526.35 168965.522 6571525.387 168967.75 6571524.565 168970.034 6571523.886 168972.365 6571523.354 168974.734 6571522.971 168977.13 6571522.737 168979.547 6571522.654 168981.973 6571522.719 168984.296 6571522.799 168984.929 6571522.934 168985.44 6571523.136 168985.93 6571523.401 168986.388 6571523.724 168986.808 6571524.1 168987.18 6571524.523 168987.5 6571524.984 168987.761 6571525.475 168987.958 6571525.989 168988.089 6571526.515 168988.15 6571527.045 168988.141 6571527.569 168988.062 6571528.272 168987.857 6571560.252 168976.221 6571564.951 168974.51 6571568.716 168973.14 6571589.357 168965.628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1ab5b2de-b2f5-4229-a60c-48b134c8b615_f0">
          <gml:exterior>
            <gml:LinearRing>
              <gml:posList>6571590.329 168980.176 6571592.387 168985.811 6571549.943 169001.257 6571526.158 169009.912 6571525.113 169010.317 6571524.212 169010.72 6571523.386 169011.138 6571522.595 169011.584 6571521.755 169012.11 6571521.239 169012.486 6571520.633 169013.088 6571519.899 169014.387 6571519.451 169015.656 6571519.197 169016.73 6571518.304 169022.534 6571517.893 169025.6 6571517.431 169029.104 6571517.167 169031.507 6571516.741 169035.389 6571516.187 169041.687 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gml:posList>
            </gml:LinearRing>
          </gml:exterior>
        </gml:Polygon>
      </lmg:Position>
    </lmg:Ytgeometri>
    <objektreferens>33d323bd-848c-47b7-8215-62728fc1c639</objektreferens>
    <objektreferens>1ab5b2de-b2f5-4229-a60c-48b134c8b615</objektreferens>
    <Indelning>
      <tema>Motiv till detaljplanens regleringar</tema>
      <grupp>Motiv till reglering</grupp>
    </Indelning>
  </Omfattning>
  <Omfattning>
    <identitet>mo_motivtillreglering05</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a72547a9-a176-4f24-a5d6-0a5cb5d811cb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b5012430-7fab-494e-8a21-fe2d3904e010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objektreferens>a72547a9-a176-4f24-a5d6-0a5cb5d811cb</objektreferens>
    <objektreferens>b5012430-7fab-494e-8a21-fe2d3904e010</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ff30cce7-1703-4dec-b5b2-28966e94a099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12adb038-74a4-44e8-a67f-df953bfc93ec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ff30cce7-1703-4dec-b5b2-28966e94a099</objektreferens>
    <objektreferens>12adb038-74a4-44e8-a67f-df953bfc93ec</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49d0d5e-0669-4a2a-a2a6-fd5677d8913f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a3c002ae-2ae3-4a1b-85c6-7afeaee3ce5b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749d0d5e-0669-4a2a-a2a6-fd5677d8913f</objektreferens>
    <objektreferens>a3c002ae-2ae3-4a1b-85c6-7afeaee3ce5b</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108debce-70fc-4683-ae3a-66428b5df9a4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5cd2b563-de72-46b9-ae0d-4bf70b118c2d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108debce-70fc-4683-ae3a-66428b5df9a4</objektreferens>
    <objektreferens>5cd2b563-de72-46b9-ae0d-4bf70b118c2d</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a457cb20-148a-44b4-9fce-6cf1f711402b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9b083a4-a425-49fe-901a-8adfa4b5bf9c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a457cb20-148a-44b4-9fce-6cf1f711402b</objektreferens>
    <objektreferens>d9b083a4-a425-49fe-901a-8adfa4b5bf9c</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816686b9-bbc6-42db-979d-096de2b98f40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9a693bce-9799-40bb-bced-b75a67b2c299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816686b9-bbc6-42db-979d-096de2b98f40</objektreferens>
    <objektreferens>9a693bce-9799-40bb-bced-b75a67b2c299</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03fd6635-db7d-4e07-8340-8972dbf506e8_f0">
          <gml:exterior>
            <gml:LinearRing>
              <gml:posList>6571556.112 168906.801 6571561.965 168908.572 6571590.948 168917.344 6571585.139 168936.485 6571594.995 168963.575 6571597.046 168969.214 6571570.761 168978.781 6571567.002 168980.149 6571562.304 168981.859 6571562.232 168981.885 6571530.137 168993.563 6571528.861 168993.934 6571527.547 168994.133 6571526.219 168994.156 6571524.899 168994.002 6571523.611 168993.675 6571522.378 168993.18 6571521.222 168992.526 6571520.162 168991.724 6571519.218 168990.789 6571518.407 168989.737 6571517.742 168988.586 6571517.235 168987.358 6571516.896 168986.073 6571516.73 168984.755 6571516.651 168981.955 6571516.747 168979.155 6571517.017 168976.367 6571517.46 168973.601 6571518.074 168970.868 6571518.856 168968.178 6571519.805 168965.543 6571520.916 168962.971 6571522.185 168960.474 6571523.606 168958.06 6571540.585 168931.275 6571542.725 168927.899 6571556.112 168906.801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f3348fbe-e257-48b4-95c8-55ef7ae984cd_f0">
          <gml:exterior>
            <gml:LinearRing>
              <gml:posList>6571515.57 169052.509 6571510.492 169054.144 6571510.777 169047.719 6571511.201 169041.303 6571511.765 169034.897 6571512.467 169028.505 6571513.307 169022.129 6571514.286 169015.773 6571514.644 169014.254 6571515.159 169012.78 6571515.824 169011.368 6571516.633 169010.032 6571517.576 169008.788 6571518.643 169007.649 6571519.823 169006.626 6571521.102 169005.732 6571522.468 169004.975 6571523.905 169004.365 6571532.853 169001.027 6571547.797 168995.454 6571564.976 168989.283 6571590.329 168980.176 6571592.387 168985.811 6571606.24 169023.736 6571563.22 169037.164 6571529.595 169047.992 6571523.148 169050.068 6571516.513 169052.205 6571515.57 169052.509</gml:posList>
            </gml:LinearRing>
          </gml:exterior>
        </gml:Polygon>
      </lmg:Position>
    </lmg:Ytgeometri>
    <objektreferens>03fd6635-db7d-4e07-8340-8972dbf506e8</objektreferens>
    <objektreferens>f3348fbe-e257-48b4-95c8-55ef7ae984cd</objektreferens>
    <Indelning>
      <tema>Motiv till detaljplanens regleringar</tema>
      <grupp>Motiv till reglering</grupp>
    </Indelning>
  </Omfattning>
  <Omfattning>
    <identitet>gf_fastighetsrättsligafrågor01</identitet>
    <Indelning>
      <tema>Genomförandefrågor</tema>
      <grupp>Fastighetsrättsliga frågor</grupp>
    </Indelning>
  </Omfattning>
  <Omfattning>
    <identitet>gf_tekniskaåtgärder01</identitet>
    <Indelning>
      <tema>Genomförandefrågor</tema>
      <grupp>Tekniska frågor</grupp>
      <undergrupp>Tekniska åtgärder</undergrupp>
    </Indelning>
  </Omfattning>
  <Omfattning>
    <identitet>gf_planavgift01</identitet>
    <Indelning>
      <tema>Genomförandefrågor</tema>
      <grupp>Ekonomiska frågor</grupp>
      <undergrupp>Planavgift</undergrupp>
    </Indelning>
  </Omfattning>
  <Omfattning>
    <identitet>gf_driftallmänplats01</identitet>
    <Indelning>
      <tema>Genomförandefrågor</tema>
      <grupp>Ekonomiska frågor</grupp>
      <undergrupp>Drift allmän plats</undergrupp>
    </Indelning>
  </Omfattning>
  <Omfattning>
    <identitet>gf_tidplan01</identitet>
    <Indelning>
      <tema>Genomförandefrågor</tema>
      <grupp>Organisatoriska frågor</grupp>
      <undergrupp>Tidplan</undergrupp>
    </Indelning>
  </Omfattning>
  <Omfattning>
    <identitet>gf_annat01</identitet>
    <Indelning>
      <tema>Genomförandefrågor</tema>
      <grupp>Annat</grupp>
    </Indelning>
  </Omfattning>
  <Omfattning>
    <identitet>pf_detaljplan01</identitet>
    <Indelning>
      <tema>Planeringsförutsättningar</tema>
      <grupp>Kommunala</grupp>
      <undergrupp>Detaljplan</undergrupp>
    </Indelning>
  </Omfattning>
  <Omfattning>
    <identitet>pf_översiktsplan01</identitet>
    <Indelning>
      <tema>Planeringsförutsättningar</tema>
      <grupp>Kommunala</grupp>
      <undergrupp>Översiktsplan</undergrupp>
    </Indelning>
  </Omfattning>
  <Omfattning>
    <identitet>pf_planbesked01</identitet>
    <Indelning>
      <tema>Planeringsförutsättningar</tema>
      <grupp>Kommunala</grupp>
      <undergrupp>Planbesked</undergrupp>
    </Indelning>
  </Omfattning>
  <Omfattning>
    <identitet>pf_dagvatten01</identitet>
    <Indelning>
      <tema>Planeringsförutsättningar</tema>
      <grupp>Miljö</grupp>
      <undergrupp>Dagvatten</undergrupp>
    </Indelning>
  </Omfattning>
  <Omfattning>
    <identitet>pf_förorenadmark01</identitet>
    <Indelning>
      <tema>Planeringsförutsättningar</tema>
      <grupp>Hälsa och säkerhet</grupp>
      <undergrupp>Förorenad mark</undergrupp>
    </Indelning>
  </Omfattning>
  <Omfattning>
    <identitet>pf_hydrologiskaförhållanden01</identitet>
    <Indelning>
      <tema>Planeringsförutsättningar</tema>
      <grupp>Hydrologiska förhållanden</grupp>
    </Indelning>
  </Omfattning>
  <Omfattning>
    <identitet>pf_fysiskmiljö01</identitet>
    <Indelning>
      <tema>Planeringsförutsättningar</tema>
      <grupp>Fysisk miljö</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ko_fastigheterochrättigheter01</identitet>
    <Indelning>
      <tema>Konsekvenser</tema>
      <grupp>Fastigheter och rättigheter</grupp>
    </Indelning>
  </Omfattning>
  <Omfattning>
    <identitet>ko_annat01</identitet>
    <Indelning>
      <tema>Konsekvenser</tema>
      <grupp>Annat</grupp>
    </Indelning>
  </Omfattning>
  <Omfattning>
    <identitet>ko_landskapsbild01</identitet>
    <Indelning>
      <tema>Konsekvenser</tema>
      <grupp>Natur</grupp>
      <undergrupp>Landskapsbild</undergrupp>
    </Indelning>
  </Omfattning>
  <Omfattning>
    <identitet>ko_miljöbedömning01</identitet>
    <Indelning>
      <tema>Konsekvenser</tema>
      <grupp>Miljö</grupp>
      <undergrupp>Miljöbedömning</undergrupp>
    </Indelning>
  </Omfattning>
  <Omfattning>
    <identitet>ko_dagvatten01</identitet>
    <Indelning>
      <tema>Konsekvenser</tema>
      <grupp>Miljö</grupp>
      <undergrupp>Dagvatten</undergrupp>
    </Indelning>
  </Omfattning>
  <Omfattning>
    <identitet>ko_annat02</identitet>
    <Indelning>
      <tema>Konsekvenser</tema>
      <grupp>Annat</grupp>
    </Indelning>
  </Omfattning>
  <Omfattning>
    <identitet>mo_motivtillreglering01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8df9b66b-0ee5-4fe3-9f3a-171df5373a8a_f0">
          <gml:exterior>
            <gml:LinearRing>
              <gml:posList>6571562.232 168981.885 6571564.976 168989.283 6571547.797 168995.454 6571532.853 169001.027 6571530.137 168993.563 6571562.232 168981.885</gml:posList>
            </gml:LinearRing>
          </gml:exterior>
        </gml:Polygon>
      </lmg:Position>
    </lmg:Ytgeometri>
    <objektreferens>8df9b66b-0ee5-4fe3-9f3a-171df5373a8a</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e4d58164-44f9-44c8-bb88-13b3ae58f244}">
  <ds:schemaRefs>
    <ds:schemaRef ds:uri="http://schemas.microsoft.com/vsto/samples"/>
  </ds:schemaRefs>
</ds:datastoreItem>
</file>

<file path=customXml/itemProps2.xml><?xml version="1.0" encoding="utf-8"?>
<ds:datastoreItem xmlns:ds="http://schemas.openxmlformats.org/officeDocument/2006/customXml" ds:itemID="05148216-8e30-4d0e-9e1b-be4367176760">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Advant Produktionsbyrå AB</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Bjurström, Annette</dc:creator>
  <dcterms:created xsi:type="dcterms:W3CDTF">2023-09-29T13:48:00Z</dcterms:created>
  <cp:lastModifiedBy>Jonas Bäckström</cp:lastModifiedBy>
  <cp:lastPrinted>2023-02-02T09:07:00Z</cp:lastPrinted>
  <dcterms:modified xsi:type="dcterms:W3CDTF">2023-10-25T10:01:21Z</dcterms:modified>
  <cp:revision>6</cp:revision>
</cp:coreProperties>
</file>