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bookmarkStart w:id="0" w:name="_top"/>
      <w:bookmarkEnd w:id="0"/>
    </w:p>
    <w:tbl>
      <w:tblPr>
        <w:tblpPr w:leftFromText="141" w:rightFromText="141" w:tblpX="1" w:tblpY="-139" w:vertAnchor="text" w:tblpXSpec="left"/>
        <w:tblW w:w="10631" w:type="dxa"/>
        <w:tblLayout w:type="fixed"/>
        <w:tblCellMar>
          <w:left w:w="70" w:type="dxa"/>
          <w:right w:w="70" w:type="dxa"/>
        </w:tblCellMar>
        <w:tblLook w:val="0000"/>
      </w:tblPr>
      <w:tblGrid/>
      <w:tr>
        <w:tc>
          <w:tcPr>
            <w:tcW w:w="3403" w:type="dxa"/>
          </w:tcPr>
          <w:p>
            <w:pPr>
              <w:ind w:firstLine="0" w:left="72"/>
              <w:rPr>
                <w:rFonts w:ascii="Garamond" w:hAnsi="Garamond"/>
              </w:rPr>
            </w:pPr>
            <w:r>
              <w:rPr>
                <w:rFonts w:ascii="Arial" w:hAnsi="Arial" w:cs="Arial"/>
                <w:sz w:val="16"/>
                <w:szCs w:val="16"/>
              </w:rPr>
              <w:t>Handläggare</w:t>
            </w:r>
          </w:p>
        </w:tc>
        <w:tc>
          <w:tcPr>
            <w:tcW w:w="3685" w:type="dxa"/>
          </w:tcPr>
          <w:p>
            <w:pPr>
              <w:ind w:firstLine="0" w:left="72"/>
              <w:rPr>
                <w:rFonts w:ascii="Garamond" w:hAnsi="Garamond"/>
              </w:rPr>
            </w:pPr>
            <w:r>
              <w:rPr>
                <w:rFonts w:ascii="Arial" w:hAnsi="Arial" w:cs="Arial"/>
                <w:sz w:val="16"/>
                <w:szCs w:val="16"/>
              </w:rPr>
              <w:t>Datum</w:t>
            </w:r>
          </w:p>
        </w:tc>
        <w:tc>
          <w:tcPr>
            <w:tcW w:w="3543" w:type="dxa"/>
            <w:gridSpan w:val="2"/>
          </w:tcPr>
          <w:p>
            <w:pPr>
              <w:ind w:firstLine="0" w:left="72"/>
              <w:rPr>
                <w:rFonts w:ascii="Garamond" w:hAnsi="Garamond"/>
              </w:rPr>
            </w:pPr>
            <w:r>
              <w:rPr>
                <w:rFonts w:ascii="Arial" w:hAnsi="Arial" w:cs="Arial"/>
                <w:sz w:val="16"/>
                <w:szCs w:val="16"/>
              </w:rPr>
              <w:t>Ärendebeteckning</w:t>
            </w:r>
          </w:p>
        </w:tc>
      </w:tr>
      <w:tr>
        <w:tc>
          <w:tcPr>
            <w:tcW w:w="3403" w:type="dxa"/>
          </w:tcPr>
          <w:p>
            <w:pPr>
              <w:ind w:firstLine="0" w:left="72"/>
              <w:rPr>
                <w:rFonts w:ascii="Garamond" w:hAnsi="Garamond"/>
                <w:color w:val="FF0000"/>
              </w:rPr>
            </w:pPr>
            <w:bookmarkStart w:id="1" w:name="bmHandläggare"/>
            <w:bookmarkEnd w:id="1"/>
            <w:r>
              <w:rPr>
                <w:rFonts w:ascii="Garamond" w:hAnsi="Garamond"/>
              </w:rPr>
              <w:t>Hanna Maleus Larsson</w:t>
            </w:r>
          </w:p>
        </w:tc>
        <w:tc>
          <w:tcPr>
            <w:tcW w:w="3685" w:type="dxa"/>
          </w:tcPr>
          <w:p>
            <w:pPr>
              <w:ind w:firstLine="0" w:left="72"/>
              <w:rPr>
                <w:rFonts w:ascii="Garamond" w:hAnsi="Garamond"/>
              </w:rPr>
            </w:pPr>
            <w:bookmarkStart w:id="2" w:name="bmDatum"/>
            <w:bookmarkEnd w:id="2"/>
            <w:r>
              <w:rPr>
                <w:rFonts w:ascii="Garamond" w:hAnsi="Garamond"/>
              </w:rPr>
              <w:t>Upprättad 2023-11-06</w:t>
            </w:r>
          </w:p>
        </w:tc>
        <w:tc>
          <w:tcPr>
            <w:tcW w:w="2835" w:type="dxa"/>
          </w:tcPr>
          <w:p>
            <w:pPr>
              <w:ind w:firstLine="0" w:left="72"/>
              <w:rPr>
                <w:rFonts w:ascii="Garamond" w:hAnsi="Garamond"/>
              </w:rPr>
            </w:pPr>
            <w:bookmarkStart w:id="3" w:name="bmÄrendebeteckning"/>
            <w:bookmarkEnd w:id="3"/>
            <w:r>
              <w:rPr>
                <w:rFonts w:ascii="Garamond" w:hAnsi="Garamond"/>
              </w:rPr>
              <w:t>2022-6052</w:t>
            </w:r>
          </w:p>
        </w:tc>
        <w:tc>
          <w:tcPr>
            <w:tcW w:w="708" w:type="dxa"/>
          </w:tcPr>
          <w:p>
            <w:pPr>
              <w:ind w:firstLine="0" w:left="72"/>
              <w:jc w:val="right"/>
              <w:rPr>
                <w:rFonts w:ascii="Garamond" w:hAnsi="Garamond" w:cs="Arial"/>
              </w:rPr>
            </w:pPr>
            <w:r>
              <w:rPr>
                <w:rStyle w:val="C3"/>
                <w:rFonts w:ascii="Garamond" w:hAnsi="Garamond" w:cs="Arial"/>
              </w:rPr>
              <w:fldChar w:fldCharType="begin"/>
            </w:r>
            <w:r>
              <w:rPr>
                <w:rStyle w:val="C3"/>
                <w:rFonts w:ascii="Garamond" w:hAnsi="Garamond" w:cs="Arial"/>
              </w:rPr>
              <w:instrText xml:space="preserve">PAGE  \* Arabic  \* MERGEFORMAT</w:instrText>
            </w:r>
            <w:r>
              <w:rPr>
                <w:rStyle w:val="C3"/>
                <w:rFonts w:ascii="Garamond" w:hAnsi="Garamond" w:cs="Arial"/>
              </w:rPr>
              <w:fldChar w:fldCharType="separate"/>
            </w:r>
            <w:r>
              <w:rPr>
                <w:rStyle w:val="C3"/>
                <w:rFonts w:ascii="Garamond" w:hAnsi="Garamond" w:cs="Arial"/>
                <w:noProof w:val="1"/>
              </w:rPr>
              <w:t>1</w:t>
            </w:r>
            <w:r>
              <w:rPr>
                <w:rStyle w:val="C3"/>
                <w:rFonts w:ascii="Garamond" w:hAnsi="Garamond" w:cs="Arial"/>
              </w:rPr>
              <w:fldChar w:fldCharType="end"/>
            </w:r>
            <w:r>
              <w:rPr>
                <w:rStyle w:val="C3"/>
                <w:rFonts w:ascii="Garamond" w:hAnsi="Garamond" w:cs="Arial"/>
              </w:rPr>
              <w:t>(</w:t>
            </w:r>
            <w:r>
              <w:rPr>
                <w:rStyle w:val="C3"/>
                <w:rFonts w:ascii="Garamond" w:hAnsi="Garamond" w:cs="Arial"/>
              </w:rPr>
              <w:fldChar w:fldCharType="begin"/>
            </w:r>
            <w:r>
              <w:rPr>
                <w:rStyle w:val="C3"/>
                <w:rFonts w:ascii="Garamond" w:hAnsi="Garamond" w:cs="Arial"/>
              </w:rPr>
              <w:instrText xml:space="preserve"> NUMPAGES  </w:instrText>
            </w:r>
            <w:r>
              <w:rPr>
                <w:rStyle w:val="C3"/>
                <w:rFonts w:ascii="Garamond" w:hAnsi="Garamond" w:cs="Arial"/>
              </w:rPr>
              <w:fldChar w:fldCharType="separate"/>
            </w:r>
            <w:r>
              <w:rPr>
                <w:rStyle w:val="C3"/>
                <w:rFonts w:ascii="Garamond" w:hAnsi="Garamond" w:cs="Arial"/>
                <w:noProof w:val="1"/>
              </w:rPr>
              <w:t>47</w:t>
            </w:r>
            <w:r>
              <w:rPr>
                <w:rStyle w:val="C3"/>
                <w:rFonts w:ascii="Garamond" w:hAnsi="Garamond" w:cs="Arial"/>
              </w:rPr>
              <w:fldChar w:fldCharType="end"/>
            </w:r>
            <w:r>
              <w:rPr>
                <w:rStyle w:val="C3"/>
                <w:rFonts w:ascii="Garamond" w:hAnsi="Garamond" w:cs="Arial"/>
              </w:rPr>
              <w:t>)</w:t>
            </w:r>
          </w:p>
        </w:tc>
      </w:tr>
      <w:tr>
        <w:tc>
          <w:tcPr>
            <w:tcW w:w="3403" w:type="dxa"/>
          </w:tcPr>
          <w:p>
            <w:pPr>
              <w:ind w:firstLine="0" w:left="72"/>
              <w:rPr>
                <w:rFonts w:ascii="Garamond" w:hAnsi="Garamond" w:cs="Arial"/>
                <w:color w:val="FF0000"/>
              </w:rPr>
            </w:pPr>
            <w:bookmarkStart w:id="4" w:name="bmDirekttelefon"/>
            <w:bookmarkEnd w:id="4"/>
          </w:p>
        </w:tc>
        <w:tc>
          <w:tcPr>
            <w:tcW w:w="7228" w:type="dxa"/>
            <w:gridSpan w:val="3"/>
          </w:tcPr>
          <w:p>
            <w:pPr>
              <w:ind w:firstLine="0" w:left="72"/>
              <w:rPr>
                <w:rFonts w:ascii="Garamond" w:hAnsi="Garamond" w:cs="Arial"/>
              </w:rPr>
            </w:pPr>
            <w:r>
              <w:rPr>
                <w:rFonts w:ascii="Garamond" w:hAnsi="Garamond" w:cs="Arial"/>
              </w:rPr>
              <w:t>Senast reviderad 2024-05-23</w:t>
            </w:r>
          </w:p>
        </w:tc>
      </w:tr>
      <w:tr>
        <w:trPr>
          <w:gridAfter w:val="3"/>
          <w:wAfter w:w="7228" w:type="dxa"/>
        </w:trPr>
        <w:tc>
          <w:tcPr>
            <w:tcW w:w="3403" w:type="dxa"/>
          </w:tcPr>
          <w:p>
            <w:pPr>
              <w:ind w:firstLine="0" w:left="72"/>
              <w:rPr>
                <w:rFonts w:ascii="Garamond" w:hAnsi="Garamond" w:cs="Arial"/>
              </w:rPr>
            </w:pPr>
          </w:p>
        </w:tc>
      </w:tr>
    </w:tbl>
    <w:p>
      <w:pPr>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notePr/>
          <w:endnotePr/>
          <w:type w:val="nextPage"/>
          <w:pgSz w:w="11906" w:h="16838" w:code="0"/>
          <w:pgMar w:left="567" w:right="567" w:top="567" w:bottom="567" w:header="720" w:footer="720" w:gutter="0"/>
          <w:cols w:equalWidth="1" w:space="720"/>
          <w:titlePg w:val="1"/>
        </w:sectPr>
      </w:pPr>
    </w:p>
    <w:p>
      <w:pPr>
        <w:pStyle w:val="P13"/>
      </w:pPr>
    </w:p>
    <w:p>
      <w:pPr>
        <w:pStyle w:val="P13"/>
      </w:pPr>
    </w:p>
    <w:p>
      <w:pPr>
        <w:pStyle w:val="P13"/>
      </w:pPr>
    </w:p>
    <w:p>
      <w:pPr>
        <w:pStyle w:val="P13"/>
      </w:pPr>
    </w:p>
    <w:p>
      <w:pPr>
        <w:ind w:firstLine="0" w:left="0"/>
        <w:rPr>
          <w:rFonts w:asciiTheme="majorHAnsi" w:hAnsiTheme="majorHAnsi" w:cstheme="majorHAnsi"/>
          <w:b w:val="1"/>
          <w:bCs w:val="1"/>
          <w:color w:val="4478A4"/>
          <w:sz w:val="36"/>
          <w:szCs w:val="36"/>
        </w:rPr>
      </w:pPr>
      <w:bookmarkStart w:id="5" w:name="_Toc119320187"/>
      <w:bookmarkStart w:id="6" w:name="be_ärendeinformation01"/>
      <w:r>
        <w:rPr>
          <w:rFonts w:asciiTheme="majorHAnsi" w:hAnsiTheme="majorHAnsi" w:cstheme="majorHAnsi"/>
          <w:b w:val="1"/>
          <w:bCs w:val="1"/>
          <w:color w:val="4478A4"/>
          <w:sz w:val="36"/>
          <w:szCs w:val="36"/>
        </w:rPr>
        <w:t>Planbeskrivning</w:t>
      </w:r>
      <w:bookmarkEnd w:id="5"/>
      <w:r>
        <w:rPr>
          <w:rFonts w:asciiTheme="majorHAnsi" w:hAnsiTheme="majorHAnsi" w:cstheme="majorHAnsi"/>
          <w:b w:val="1"/>
          <w:bCs w:val="1"/>
          <w:color w:val="4478A4"/>
          <w:sz w:val="36"/>
          <w:szCs w:val="36"/>
        </w:rPr>
        <w:t xml:space="preserve"> för</w:t>
      </w:r>
    </w:p>
    <w:p>
      <w:pPr>
        <w:ind w:firstLine="0" w:left="0"/>
        <w:rPr>
          <w:rFonts w:asciiTheme="majorHAnsi" w:hAnsiTheme="majorHAnsi" w:cstheme="majorHAnsi"/>
          <w:b w:val="1"/>
          <w:bCs w:val="1"/>
          <w:color w:val="4478A4"/>
          <w:sz w:val="36"/>
          <w:szCs w:val="36"/>
        </w:rPr>
      </w:pPr>
    </w:p>
    <w:p>
      <w:pPr>
        <w:ind w:firstLine="0" w:left="0"/>
        <w:rPr>
          <w:rFonts w:asciiTheme="majorHAnsi" w:hAnsiTheme="majorHAnsi" w:cstheme="majorHAnsi"/>
          <w:b w:val="1"/>
          <w:bCs w:val="1"/>
          <w:color w:val="4478A4"/>
          <w:sz w:val="36"/>
          <w:szCs w:val="36"/>
        </w:rPr>
      </w:pPr>
      <w:bookmarkStart w:id="7" w:name="_Toc119320188"/>
      <w:r>
        <w:rPr>
          <w:rFonts w:asciiTheme="majorHAnsi" w:hAnsiTheme="majorHAnsi" w:cstheme="majorHAnsi"/>
          <w:b w:val="1"/>
          <w:bCs w:val="1"/>
          <w:color w:val="4478A4"/>
          <w:sz w:val="36"/>
          <w:szCs w:val="36"/>
        </w:rPr>
        <w:t xml:space="preserve">Alhagen 1, del av Alhagen 3 och Bilen 3, </w:t>
      </w:r>
      <w:bookmarkEnd w:id="7"/>
      <w:r>
        <w:rPr>
          <w:rFonts w:asciiTheme="majorHAnsi" w:hAnsiTheme="majorHAnsi" w:cstheme="majorHAnsi"/>
          <w:b w:val="1"/>
          <w:bCs w:val="1"/>
          <w:color w:val="4478A4"/>
          <w:sz w:val="36"/>
          <w:szCs w:val="36"/>
        </w:rPr>
        <w:t>Hansa City</w:t>
      </w:r>
    </w:p>
    <w:p>
      <w:pPr>
        <w:pStyle w:val="P13"/>
      </w:pPr>
    </w:p>
    <w:p>
      <w:pPr>
        <w:rPr>
          <w:rFonts w:asciiTheme="majorHAnsi" w:hAnsiTheme="majorHAnsi" w:cstheme="majorHAnsi"/>
          <w:b w:val="1"/>
          <w:bCs w:val="1"/>
          <w:color w:val="4478A4"/>
          <w:sz w:val="26"/>
          <w:szCs w:val="26"/>
        </w:rPr>
      </w:pPr>
      <w:r>
        <w:rPr>
          <w:rFonts w:asciiTheme="majorHAnsi" w:hAnsiTheme="majorHAnsi" w:cstheme="majorHAnsi"/>
          <w:b w:val="1"/>
          <w:bCs w:val="1"/>
          <w:color w:val="4478A4"/>
          <w:sz w:val="26"/>
          <w:szCs w:val="26"/>
        </w:rPr>
        <w:t>Antagandehandling</w:t>
      </w:r>
    </w:p>
    <w:p>
      <w:pPr>
        <w:pStyle w:val="P13"/>
      </w:pPr>
      <w:bookmarkEnd w:id="6"/>
    </w:p>
    <w:p>
      <w:pPr>
        <w:pStyle w:val="P13"/>
      </w:pPr>
    </w:p>
    <w:p>
      <w:pPr>
        <w:pStyle w:val="P13"/>
      </w:pPr>
    </w:p>
    <w:p>
      <w:pPr>
        <w:pStyle w:val="P13"/>
      </w:pPr>
    </w:p>
    <w:p>
      <w:pPr>
        <w:pStyle w:val="P13"/>
      </w:pPr>
      <w:r>
        <w:drawing>
          <wp:inline xmlns:wp="http://schemas.openxmlformats.org/drawingml/2006/wordprocessingDrawing" distT="0" distB="0" distL="0" distR="0">
            <wp:extent cx="4973320" cy="4053840"/>
            <wp:effectExtent l="0" t="0" r="0" b="3810"/>
            <wp:docPr id="6" name="Bildobjekt 6" descr="P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P30#yIS1"/>
                    <pic:cNvPicPr>
                      <a:picLocks noChangeAspect="1" noChangeArrowheads="1"/>
                    </pic:cNvPicPr>
                  </pic:nvPicPr>
                  <pic:blipFill dpi="0">
                    <a:blip xmlns:r="http://schemas.openxmlformats.org/officeDocument/2006/relationships" r:embed="Relimage2" cstate="print"/>
                    <a:srcRect/>
                    <a:stretch>
                      <a:fillRect/>
                    </a:stretch>
                  </pic:blipFill>
                  <pic:spPr bwMode="auto">
                    <a:xfrm>
                      <a:off x="0" y="0"/>
                      <a:ext cx="4981938" cy="4061341"/>
                    </a:xfrm>
                    <a:prstGeom prst="rect"/>
                    <a:noFill/>
                    <a:ln>
                      <a:noFill/>
                    </a:ln>
                  </pic:spPr>
                </pic:pic>
              </a:graphicData>
            </a:graphic>
          </wp:inline>
        </w:drawing>
      </w:r>
    </w:p>
    <w:p>
      <w:pPr>
        <w:pStyle w:val="P13"/>
      </w:pPr>
      <w: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margin">
                  <wp:align>center</wp:align>
                </wp:positionH>
                <wp:positionV relativeFrom="paragraph">
                  <wp:posOffset>162560</wp:posOffset>
                </wp:positionV>
                <wp:extent cx="2305050" cy="771525"/>
                <wp:effectExtent l="0" t="0" r="19050" b="28575"/>
                <wp:wrapNone/>
                <wp:docPr id="785133324" name="Textruta 785133324"/>
                <wp:cNvGraphicFramePr/>
                <a:graphic xmlns:a="http://schemas.openxmlformats.org/drawingml/2006/main">
                  <a:graphicData uri="http://schemas.microsoft.com/office/word/2010/wordprocessingShape">
                    <wps:wsp>
                      <wps:cNvSpPr txBox="1"/>
                      <wps:spPr>
                        <a:xfrm>
                          <a:off x="0" y="0"/>
                          <a:ext cx="2305050" cy="771525"/>
                        </a:xfrm>
                        <a:prstGeom prst="rect"/>
                        <a:solidFill>
                          <a:schemeClr val="lt1"/>
                        </a:solidFill>
                        <a:ln w="6350">
                          <a:solidFill>
                            <a:prstClr val="black"/>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rPr>
                                <w:u w:val="single"/>
                              </w:rPr>
                              <w:t>Beslut:</w:t>
                            </w:r>
                            <w:r>
                              <w:t xml:space="preserve"> </w:t>
                            </w:r>
                          </w:p>
                          <w:p>
                            <w:r>
                              <w:t>Antagen av SBN 2024-05-23 §78</w:t>
                            </w:r>
                          </w:p>
                          <w:p>
                            <w:r>
                              <w:t>Laga kraft 2024-06-24 /HML</w:t>
                            </w:r>
                          </w:p>
                          <w:p>
                            <w:pPr>
                              <w:ind w:left="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785133324" o:spid="_x0000_s1026" style="position:absolute;width:181.5pt;height:60.75pt;z-index:3;mso-wrap-distance-left:9pt;mso-wrap-distance-top:0pt;mso-wrap-distance-right:9pt;mso-wrap-distance-bottom:0pt;margin-left:0pt;margin-top:12.8pt;mso-position-horizontal:center;mso-position-horizontal-relative:margin;mso-position-vertical:absolute;mso-position-vertical-relative:text" o:allowincell="t" fillcolor="#FFFFFF" strokecolor="#000000" strokeweight="0.5pt" stroked="t">
                <v:textbox inset="3mm,1mm,3mm,1mm">
                  <w:txbxContent>
                    <w:p>
                      <w:r>
                        <w:rPr>
                          <w:u w:val="single"/>
                        </w:rPr>
                        <w:t>Beslut:</w:t>
                      </w:r>
                      <w:r>
                        <w:t xml:space="preserve"> </w:t>
                      </w:r>
                    </w:p>
                    <w:p>
                      <w:r>
                        <w:t>Antagen av SBN 2024-05-23 §78</w:t>
                      </w:r>
                    </w:p>
                    <w:p>
                      <w:r>
                        <w:t>Laga kraft 2024-06-24 /HML</w:t>
                      </w:r>
                    </w:p>
                    <w:p>
                      <w:pPr>
                        <w:ind w:left="0"/>
                      </w:pPr>
                    </w:p>
                  </w:txbxContent>
                </v:textbox>
              </v:shape>
            </w:pict>
          </mc:Fallback>
        </mc:AlternateContent>
      </w:r>
      <w:r>
        <w:tab/>
        <w:tab/>
        <w:t xml:space="preserve"> </w:t>
      </w:r>
    </w:p>
    <w:p>
      <w:pPr>
        <w:ind w:firstLine="0" w:left="0"/>
        <w:rPr>
          <w:rFonts w:asciiTheme="minorHAnsi" w:hAnsiTheme="minorHAnsi" w:cs="Arial" w:eastAsia="Arial"/>
          <w:iCs w:val="1"/>
          <w:noProof w:val="1"/>
          <w:sz w:val="20"/>
        </w:rPr>
      </w:pPr>
    </w:p>
    <w:p>
      <w:pPr>
        <w:pStyle w:val="P15"/>
      </w:pPr>
      <w:bookmarkStart w:id="8" w:name="_Toc477943496"/>
    </w:p>
    <w:p>
      <w:pPr>
        <w:ind w:firstLine="0" w:left="0"/>
        <w:rPr>
          <w:rFonts w:asciiTheme="majorHAnsi" w:hAnsiTheme="majorHAnsi" w:cstheme="majorHAnsi" w:eastAsia="Arial"/>
          <w:b w:val="1"/>
          <w:bCs w:val="1"/>
          <w:color w:val="4478A4"/>
          <w:sz w:val="36"/>
          <w:szCs w:val="36"/>
        </w:rPr>
      </w:pPr>
      <w:r>
        <w:rPr>
          <w:rFonts w:asciiTheme="majorHAnsi" w:hAnsiTheme="majorHAnsi" w:cstheme="majorHAnsi" w:eastAsia="Arial"/>
          <w:b w:val="1"/>
          <w:bCs w:val="1"/>
          <w:noProof w:val="1"/>
          <w:color w:val="4478A4"/>
          <w:sz w:val="36"/>
          <w:szCs w:val="36"/>
        </w:rPr>
        <w:drawing>
          <wp:inline xmlns:wp="http://schemas.openxmlformats.org/drawingml/2006/wordprocessingDrawing" distT="0" distB="0" distL="0" distR="0">
            <wp:extent cx="4679950" cy="4011295"/>
            <wp:effectExtent l="0" t="0" r="6350" b="8255"/>
            <wp:docPr id="517396324" name="Bildobjekt 517396324" descr="P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96324" name="Bildobjekt 517396324" descr="P34#yIS1"/>
                    <pic:cNvPicPr/>
                  </pic:nvPicPr>
                  <pic:blipFill dpi="0">
                    <a:blip xmlns:r="http://schemas.openxmlformats.org/officeDocument/2006/relationships" r:embed="Relimage3"/>
                    <a:srcRect/>
                    <a:stretch>
                      <a:fillRect/>
                    </a:stretch>
                  </pic:blipFill>
                  <pic:spPr>
                    <a:xfrm>
                      <a:off x="0" y="0"/>
                      <a:ext cx="4679950" cy="4011295"/>
                    </a:xfrm>
                    <a:prstGeom prst="rect"/>
                  </pic:spPr>
                </pic:pic>
              </a:graphicData>
            </a:graphic>
          </wp:inline>
        </w:drawing>
      </w:r>
    </w:p>
    <w:p>
      <w:pPr>
        <w:pStyle w:val="P15"/>
        <w:rPr>
          <w:rFonts w:asciiTheme="majorHAnsi" w:hAnsiTheme="majorHAnsi" w:cstheme="majorHAnsi"/>
          <w:b w:val="1"/>
          <w:bCs w:val="1"/>
          <w:color w:val="4478A4"/>
          <w:sz w:val="36"/>
          <w:szCs w:val="36"/>
        </w:rPr>
      </w:pPr>
      <w:r>
        <w:t>Planområdets läge i inom Kalmar tätort.</w:t>
      </w:r>
    </w:p>
    <w:p>
      <w:pPr>
        <w:ind w:firstLine="0" w:left="0"/>
        <w:rPr>
          <w:rFonts w:asciiTheme="majorHAnsi" w:hAnsiTheme="majorHAnsi" w:cstheme="majorHAnsi" w:eastAsia="Arial"/>
          <w:b w:val="1"/>
          <w:bCs w:val="1"/>
          <w:color w:val="4478A4"/>
          <w:sz w:val="26"/>
          <w:szCs w:val="26"/>
        </w:rPr>
      </w:pPr>
      <w:r>
        <w:rPr>
          <w:rFonts w:asciiTheme="majorHAnsi" w:hAnsiTheme="majorHAnsi" w:cstheme="majorHAnsi" w:eastAsia="Arial"/>
          <w:b w:val="1"/>
          <w:bCs w:val="1"/>
          <w:color w:val="4478A4"/>
          <w:sz w:val="26"/>
          <w:szCs w:val="26"/>
        </w:rPr>
        <w:br w:type="page"/>
      </w:r>
    </w:p>
    <w:p>
      <w:pPr>
        <w:spacing w:before="180" w:after="220" w:beforeAutospacing="0" w:afterAutospacing="0"/>
        <w:ind w:firstLine="0" w:left="0"/>
        <w:rPr>
          <w:rFonts w:asciiTheme="majorHAnsi" w:hAnsiTheme="majorHAnsi" w:cstheme="majorHAnsi" w:eastAsia="Arial"/>
          <w:b w:val="1"/>
          <w:bCs w:val="1"/>
          <w:color w:val="4478A4"/>
          <w:sz w:val="26"/>
          <w:szCs w:val="26"/>
        </w:rPr>
      </w:pPr>
      <w:bookmarkStart w:id="9" w:name="be_allmänt02"/>
      <w:r>
        <w:rPr>
          <w:rFonts w:asciiTheme="majorHAnsi" w:hAnsiTheme="majorHAnsi" w:cstheme="majorHAnsi" w:eastAsia="Arial"/>
          <w:b w:val="1"/>
          <w:bCs w:val="1"/>
          <w:color w:val="4478A4"/>
          <w:sz w:val="26"/>
          <w:szCs w:val="26"/>
        </w:rPr>
        <w:t>Sammanfattning</w:t>
      </w:r>
      <w:bookmarkEnd w:id="8"/>
    </w:p>
    <w:p>
      <w:pPr>
        <w:pStyle w:val="P13"/>
      </w:pPr>
      <w:r>
        <w:t xml:space="preserve">Planområdet omfattas i dagsläget av en detaljplan som endast tillåter industriverksamhet. Den nya detaljplanen genomförs i syfte att möjliggöra en mer flexibel användning av fastigheten och det inom en byggrättsvolym som bättre kan anpassas till efterfrågad etablering och till de i området redan rådande byggnadshöjderna och -volymerna. </w:t>
      </w:r>
    </w:p>
    <w:p>
      <w:pPr>
        <w:pStyle w:val="P13"/>
      </w:pPr>
    </w:p>
    <w:p>
      <w:pPr>
        <w:pStyle w:val="P13"/>
      </w:pPr>
      <w:r>
        <w:t>Detaljplanen möjliggör för etablering av verksamheter inom såväl verksamhet som handel, kontor, service och centrumverksamhet. På grund av det tydliga skyltläget, alldeles vid den sydvästra infarten till Hansa City, intill såväl Trångsundsvägen och Ölandsleden som järnvägen skall särskild hänsyn tas till gestaltning och anpassning till platsen.</w:t>
      </w:r>
    </w:p>
    <w:p>
      <w:pPr>
        <w:pStyle w:val="P13"/>
      </w:pPr>
    </w:p>
    <w:p>
      <w:pPr>
        <w:pStyle w:val="P13"/>
      </w:pPr>
      <w:r>
        <w:t xml:space="preserve">Planförslaget omfattar mestadels redan bebyggd eller hårdgjord mark, befintlig trädridå mot väster och grönytor sydväst om fastigheten bevaras. </w:t>
      </w:r>
    </w:p>
    <w:p>
      <w:pPr>
        <w:pStyle w:val="P13"/>
      </w:pPr>
    </w:p>
    <w:p>
      <w:pPr>
        <w:pStyle w:val="P13"/>
      </w:pPr>
      <w:r>
        <w:drawing>
          <wp:inline xmlns:wp="http://schemas.openxmlformats.org/drawingml/2006/wordprocessingDrawing" distT="0" distB="0" distL="0" distR="0">
            <wp:extent cx="4676775" cy="4010025"/>
            <wp:effectExtent l="0" t="0" r="9525" b="9525"/>
            <wp:docPr id="10" name="Bildobjekt 10" descr="P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P44#yIS1"/>
                    <pic:cNvPicPr>
                      <a:picLocks noChangeAspect="1" noChangeArrowheads="1"/>
                    </pic:cNvPicPr>
                  </pic:nvPicPr>
                  <pic:blipFill dpi="0">
                    <a:blip xmlns:r="http://schemas.openxmlformats.org/officeDocument/2006/relationships" r:embed="Relimage4"/>
                    <a:srcRect/>
                    <a:stretch>
                      <a:fillRect/>
                    </a:stretch>
                  </pic:blipFill>
                  <pic:spPr bwMode="auto">
                    <a:xfrm>
                      <a:off x="0" y="0"/>
                      <a:ext cx="4676775" cy="4010025"/>
                    </a:xfrm>
                    <a:prstGeom prst="rect"/>
                    <a:noFill/>
                    <a:ln>
                      <a:noFill/>
                    </a:ln>
                  </pic:spPr>
                </pic:pic>
              </a:graphicData>
            </a:graphic>
          </wp:inline>
        </w:drawing>
      </w:r>
    </w:p>
    <w:p>
      <w:pPr>
        <w:pStyle w:val="P15"/>
      </w:pPr>
      <w:r>
        <w:t>Karta som visar planområdes läge inom Hansa City</w:t>
      </w:r>
    </w:p>
    <w:p>
      <w:pPr>
        <w:pStyle w:val="P13"/>
      </w:pPr>
    </w:p>
    <w:p>
      <w:pPr>
        <w:pStyle w:val="P13"/>
      </w:pPr>
      <w:r>
        <w:t>Kommunen har gjort en undersökning och i den bedömt att genomförandet av detaljplanen inte kan antas medföra betydande miljöpåverkan. En strategisk miljöbedömning krävs därför inte. Relevanta miljöaspekter behandlas i planbeskrivningen.</w:t>
      </w:r>
    </w:p>
    <w:p>
      <w:pPr>
        <w:pStyle w:val="P13"/>
      </w:pPr>
    </w:p>
    <w:p>
      <w:pPr>
        <w:pStyle w:val="P13"/>
      </w:pPr>
      <w:r>
        <w:t xml:space="preserve">I gällande översiktsplan (antagen 2013-06-17) för Kalmar kommun är planområdet markerat som regionalt intresseområde, gränsande till handelsområde direkt åt nordost och flankerat av utbredningsområde för järnväg till väster samt rekreationsstråk till söder, se 2.1.1.  </w:t>
      </w:r>
    </w:p>
    <w:p>
      <w:pPr>
        <w:pStyle w:val="P13"/>
      </w:pPr>
    </w:p>
    <w:p>
      <w:pPr>
        <w:pStyle w:val="P13"/>
      </w:pPr>
      <w:r>
        <w:t>Föreslagen detaljplan bedöms överensstämma med översiktsplanen.</w:t>
      </w:r>
      <w:bookmarkEnd w:id="9"/>
      <w:bookmarkStart w:id="10" w:name="_Toc119320190"/>
      <w:r>
        <w:br w:type="page"/>
      </w:r>
    </w:p>
    <w:p>
      <w:pPr>
        <w:spacing w:before="180" w:after="220" w:beforeAutospacing="0" w:afterAutospacing="0"/>
        <w:rPr>
          <w:rFonts w:asciiTheme="majorHAnsi" w:hAnsiTheme="majorHAnsi" w:cstheme="majorHAnsi" w:eastAsia="Arial"/>
          <w:b w:val="1"/>
          <w:bCs w:val="1"/>
          <w:color w:val="4478A4"/>
          <w:sz w:val="26"/>
          <w:szCs w:val="26"/>
        </w:rPr>
      </w:pPr>
      <w:bookmarkStart w:id="11" w:name="be_beskrivande01"/>
      <w:r>
        <w:rPr>
          <w:rFonts w:asciiTheme="majorHAnsi" w:hAnsiTheme="majorHAnsi" w:cstheme="majorHAnsi" w:eastAsia="Arial"/>
          <w:b w:val="1"/>
          <w:bCs w:val="1"/>
          <w:color w:val="4478A4"/>
          <w:sz w:val="26"/>
          <w:szCs w:val="26"/>
        </w:rPr>
        <w:t>Vad är en planbeskrivning?</w:t>
      </w:r>
    </w:p>
    <w:p>
      <w:pPr>
        <w:pStyle w:val="P13"/>
      </w:pPr>
      <w:r>
        <w:t xml:space="preserve">En planbeskrivning ska underlätta förståelsen för planförslagets innebörd och redovisa de syften och förutsättningar planen har. Planbeskrivningen ska också redovisa eventuella avsteg som gjorts från kommunens översiktsplan eller upprättat planprogram. I beskrivningen ska skälen till planens utformning och de bestämmelser som valts motiveras. </w:t>
      </w:r>
    </w:p>
    <w:p>
      <w:pPr>
        <w:pStyle w:val="P13"/>
      </w:pPr>
    </w:p>
    <w:p>
      <w:pPr>
        <w:pStyle w:val="P13"/>
        <w:rPr>
          <w:rFonts w:cs="Adobe Garamond Pro"/>
        </w:rPr>
      </w:pPr>
      <w:r>
        <w:t xml:space="preserve">Planbeskrivningen har ingen egen rättsverkan utan </w:t>
      </w:r>
      <w:r>
        <w:rPr>
          <w:rFonts w:cs="Adobe Garamond Pro"/>
        </w:rPr>
        <w:t>ska vara vägledande vid tolkning av detaljplanen.</w:t>
      </w:r>
    </w:p>
    <w:p>
      <w:pPr>
        <w:pStyle w:val="P13"/>
      </w:pPr>
    </w:p>
    <w:p>
      <w:pPr>
        <w:pStyle w:val="P13"/>
      </w:pPr>
      <w:r>
        <w:t>I planbeskrivningen används benämningen ”Planförslag”. Det innebär att planen beskriver förslag till möjlig utveckling. Efter att detaljplanen fått laga kraft gäller planförslaget.</w:t>
      </w:r>
    </w:p>
    <w:p>
      <w:pPr>
        <w:pStyle w:val="P13"/>
      </w:pPr>
    </w:p>
    <w:p>
      <w:pPr>
        <w:spacing w:before="180" w:after="220" w:beforeAutospacing="0" w:afterAutospacing="0"/>
        <w:rPr>
          <w:rFonts w:asciiTheme="majorHAnsi" w:hAnsiTheme="majorHAnsi" w:cstheme="majorHAnsi" w:eastAsia="Arial"/>
          <w:b w:val="1"/>
          <w:bCs w:val="1"/>
          <w:color w:val="4478A4"/>
          <w:sz w:val="26"/>
          <w:szCs w:val="26"/>
        </w:rPr>
      </w:pPr>
      <w:r>
        <w:rPr>
          <w:rFonts w:asciiTheme="majorHAnsi" w:hAnsiTheme="majorHAnsi" w:cstheme="majorHAnsi" w:eastAsia="Arial"/>
          <w:b w:val="1"/>
          <w:bCs w:val="1"/>
          <w:color w:val="4478A4"/>
          <w:sz w:val="26"/>
          <w:szCs w:val="26"/>
        </w:rPr>
        <w:t>Planförfarande och tidplan</w:t>
      </w:r>
      <w:bookmarkEnd w:id="10"/>
    </w:p>
    <w:p>
      <w:pPr>
        <w:pStyle w:val="P13"/>
      </w:pPr>
      <w:r>
        <w:t xml:space="preserve">När kommunen har fattat beslut om att ta fram ett förslag till detaljplan och startar en planprocess, väljer kommunen vilket förfarande förslaget ska handläggas med. </w:t>
      </w:r>
    </w:p>
    <w:p>
      <w:pPr>
        <w:pStyle w:val="P13"/>
      </w:pPr>
    </w:p>
    <w:p>
      <w:pPr>
        <w:pStyle w:val="P13"/>
      </w:pPr>
      <w:r>
        <w:t>Detaljplanen följer planprocessen för detaljplaner som påbörjas efter 1 januari 2015 enligt så kallat begränsat förfarande i enlighet med 5 kap 7§ plan- och bygglagen.</w:t>
      </w:r>
    </w:p>
    <w:p>
      <w:pPr>
        <w:pStyle w:val="P13"/>
        <w:rPr>
          <w:highlight w:val="yellow"/>
        </w:rPr>
      </w:pPr>
    </w:p>
    <w:p>
      <w:pPr>
        <w:pStyle w:val="P13"/>
      </w:pPr>
      <w:r>
        <w:t>Standardförfarandet kan användas om planförslaget</w:t>
      </w:r>
    </w:p>
    <w:p>
      <w:pPr>
        <w:pStyle w:val="P13"/>
        <w:numPr>
          <w:ilvl w:val="0"/>
          <w:numId w:val="1"/>
        </w:numPr>
      </w:pPr>
      <w:r>
        <w:t>Är förenligt med översiktsplanen och länsstyrelsens granskningsyttrande</w:t>
      </w:r>
    </w:p>
    <w:p>
      <w:pPr>
        <w:pStyle w:val="P13"/>
        <w:numPr>
          <w:ilvl w:val="0"/>
          <w:numId w:val="1"/>
        </w:numPr>
      </w:pPr>
      <w:r>
        <w:t>Inte är av betydande intresse för allmänheten eller i övrigt är av stor betydelse</w:t>
      </w:r>
    </w:p>
    <w:p>
      <w:pPr>
        <w:pStyle w:val="P13"/>
        <w:numPr>
          <w:ilvl w:val="0"/>
          <w:numId w:val="1"/>
        </w:numPr>
      </w:pPr>
      <w:r>
        <w:t>Inte antas medföra en betydande miljöpåverkan</w:t>
      </w:r>
    </w:p>
    <w:p>
      <w:pPr>
        <w:pStyle w:val="P13"/>
      </w:pPr>
    </w:p>
    <w:p>
      <w:pPr>
        <w:pStyle w:val="P13"/>
      </w:pPr>
      <w:r>
        <w:t>Om alla godkänner planförslaget i samrådet kan ett begränsat standardförfarande användas. Då behöver inte förslaget ställas ut för granskning utan kan antas direkt efter samrådet.</w:t>
      </w:r>
    </w:p>
    <w:p>
      <w:pPr>
        <w:pStyle w:val="P13"/>
      </w:pPr>
    </w:p>
    <w:p>
      <w:pPr>
        <w:pStyle w:val="P13"/>
      </w:pPr>
      <w:r>
        <w:t>Om något av kriterierna för standardförfarande inte uppfylls ska ett utökat förfarande användas.</w:t>
      </w:r>
    </w:p>
    <w:p>
      <w:pPr>
        <w:pStyle w:val="P13"/>
      </w:pPr>
    </w:p>
    <w:p>
      <w:pPr>
        <w:pStyle w:val="P13"/>
      </w:pPr>
      <w:r>
        <w:t>Plankartan är utformad enligt Boverkets föreskrifter om detaljplaner (2020:5) och allmänna råd om redovisning av reglering i detaljplan (2020:6).</w:t>
      </w:r>
    </w:p>
    <w:p>
      <w:pPr>
        <w:pStyle w:val="P13"/>
      </w:pPr>
      <w:bookmarkEnd w:id="11"/>
    </w:p>
    <w:p>
      <w:pPr>
        <w:pStyle w:val="P13"/>
      </w:pPr>
      <w:bookmarkStart w:id="12" w:name="gf_tidplan02"/>
      <w:r>
        <w:t>Planens preliminära tidplan:</w:t>
      </w:r>
    </w:p>
    <w:p>
      <w:pPr>
        <w:pStyle w:val="P13"/>
      </w:pPr>
      <w:bookmarkEnd w:id="12"/>
      <w:bookmarkStart w:id="13" w:name="gf_tidplan03"/>
    </w:p>
    <w:p>
      <w:pPr>
        <w:pStyle w:val="P13"/>
      </w:pPr>
      <w:r>
        <mc:AlternateContent>
          <mc:Choice Requires="wpg">
            <w:drawing>
              <wp:anchor xmlns:wp="http://schemas.openxmlformats.org/drawingml/2006/wordprocessingDrawing" distT="0" distB="0" distL="114300" distR="114300" simplePos="0" relativeHeight="2" behindDoc="0" locked="0" layoutInCell="1" allowOverlap="1">
                <wp:simplePos x="0" y="0"/>
                <wp:positionH relativeFrom="column">
                  <wp:posOffset>-765810</wp:posOffset>
                </wp:positionH>
                <wp:positionV relativeFrom="paragraph">
                  <wp:posOffset>133350</wp:posOffset>
                </wp:positionV>
                <wp:extent cx="6400800" cy="1051560"/>
                <wp:effectExtent l="0" t="0" r="0" b="0"/>
                <wp:wrapNone/>
                <wp:docPr id="3" name="Grupp 3"/>
                <wp:cNvGraphicFramePr/>
                <a:graphic xmlns:a="http://schemas.openxmlformats.org/drawingml/2006/main">
                  <a:graphicData uri="http://schemas.microsoft.com/office/word/2010/wordprocessingGroup">
                    <wpg:wgp>
                      <wpg:cNvGrpSpPr/>
                      <wpg:grpSpPr>
                        <a:xfrm>
                          <a:off x="0" y="0"/>
                          <a:ext cx="6400800" cy="1051560"/>
                          <a:chOff x="0" y="-23366"/>
                          <a:chExt cx="6400800" cy="1051962"/>
                        </a:xfrm>
                      </wpg:grpSpPr>
                      <wpg:grpSp>
                        <wpg:cNvPr id="21" name="Grupp 21"/>
                        <wpg:cNvGrpSpPr/>
                        <wpg:grpSpPr>
                          <a:xfrm>
                            <a:off x="0" y="-23366"/>
                            <a:ext cx="6400800" cy="667454"/>
                            <a:chOff x="-692150" y="154461"/>
                            <a:chExt cx="6401582" cy="670023"/>
                          </a:xfrm>
                        </wpg:grpSpPr>
                        <wps:wsp>
                          <wps:cNvPr id="22" name="Textruta 22"/>
                          <wps:cNvSpPr txBox="1">
                            <a:spLocks noChangeArrowheads="1"/>
                          </wps:cNvSpPr>
                          <wps:spPr bwMode="auto">
                            <a:xfrm>
                              <a:off x="218381" y="177918"/>
                              <a:ext cx="1257457" cy="581472"/>
                            </a:xfrm>
                            <a:prstGeom prst="rect"/>
                            <a:solidFill>
                              <a:srgbClr val="43789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SAMRÅD</w:t>
                                </w:r>
                              </w:p>
                              <w:p>
                                <w:pPr>
                                  <w:jc w:val="center"/>
                                  <w:rPr>
                                    <w:rFonts w:ascii="Myriad Pro" w:hAnsi="Myriad Pro"/>
                                    <w:color w:val="FFFFFF" w:themeColor="background1"/>
                                    <w:sz w:val="16"/>
                                    <w:szCs w:val="16"/>
                                  </w:rPr>
                                </w:pPr>
                                <w:r>
                                  <w:rPr>
                                    <w:rFonts w:ascii="Myriad Pro" w:hAnsi="Myriad Pro"/>
                                    <w:color w:val="FFFFFF" w:themeColor="background1"/>
                                    <w:sz w:val="16"/>
                                    <w:szCs w:val="16"/>
                                  </w:rPr>
                                  <w:t>KVARTAL 4</w:t>
                                </w:r>
                              </w:p>
                              <w:p>
                                <w:pPr>
                                  <w:jc w:val="center"/>
                                  <w:rPr>
                                    <w:rFonts w:ascii="Myriad Pro" w:hAnsi="Myriad Pro"/>
                                    <w:color w:val="FFFFFF" w:themeColor="background1"/>
                                    <w:sz w:val="16"/>
                                    <w:szCs w:val="16"/>
                                  </w:rPr>
                                </w:pPr>
                                <w:r>
                                  <w:rPr>
                                    <w:rFonts w:ascii="Myriad Pro" w:hAnsi="Myriad Pro"/>
                                    <w:color w:val="FFFFFF" w:themeColor="background1"/>
                                    <w:sz w:val="16"/>
                                    <w:szCs w:val="16"/>
                                  </w:rPr>
                                  <w:t>2023</w:t>
                                </w:r>
                              </w:p>
                            </w:txbxContent>
                          </wps:txbx>
                          <wps:bodyPr rot="0" vert="horz" wrap="square" lIns="91440" tIns="45720" rIns="91440" bIns="45720" anchor="ctr" anchorCtr="0">
                            <a:noAutofit/>
                          </wps:bodyPr>
                        </wps:wsp>
                        <wps:wsp>
                          <wps:cNvPr id="24" name="Textruta 24"/>
                          <wps:cNvSpPr txBox="1">
                            <a:spLocks noChangeArrowheads="1"/>
                          </wps:cNvSpPr>
                          <wps:spPr bwMode="auto">
                            <a:xfrm>
                              <a:off x="1813874" y="179853"/>
                              <a:ext cx="1260158" cy="574821"/>
                            </a:xfrm>
                            <a:prstGeom prst="rect"/>
                            <a:solidFill>
                              <a:srgbClr val="43789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GRANSKNING</w:t>
                                </w:r>
                              </w:p>
                              <w:p>
                                <w:pPr>
                                  <w:jc w:val="center"/>
                                  <w:rPr>
                                    <w:rFonts w:ascii="Myriad Pro" w:hAnsi="Myriad Pro"/>
                                    <w:color w:val="FFFFFF" w:themeColor="background1"/>
                                    <w:sz w:val="16"/>
                                    <w:szCs w:val="16"/>
                                  </w:rPr>
                                </w:pPr>
                                <w:r>
                                  <w:rPr>
                                    <w:rFonts w:ascii="Myriad Pro" w:hAnsi="Myriad Pro"/>
                                    <w:color w:val="FFFFFF" w:themeColor="background1"/>
                                    <w:sz w:val="16"/>
                                    <w:szCs w:val="16"/>
                                  </w:rPr>
                                  <w:t xml:space="preserve">KVARTAL 2 </w:t>
                                </w:r>
                              </w:p>
                              <w:p>
                                <w:pPr>
                                  <w:jc w:val="center"/>
                                  <w:rPr>
                                    <w:rFonts w:ascii="Myriad Pro" w:hAnsi="Myriad Pro"/>
                                    <w:color w:val="FFFFFF" w:themeColor="background1"/>
                                    <w:sz w:val="16"/>
                                    <w:szCs w:val="16"/>
                                  </w:rPr>
                                </w:pPr>
                                <w:r>
                                  <w:rPr>
                                    <w:rFonts w:ascii="Myriad Pro" w:hAnsi="Myriad Pro"/>
                                    <w:color w:val="FFFFFF" w:themeColor="background1"/>
                                    <w:sz w:val="16"/>
                                    <w:szCs w:val="16"/>
                                  </w:rPr>
                                  <w:t>2024</w:t>
                                </w:r>
                              </w:p>
                            </w:txbxContent>
                          </wps:txbx>
                          <wps:bodyPr rot="0" vert="horz" wrap="square" lIns="91440" tIns="45720" rIns="91440" bIns="45720" anchor="ctr" anchorCtr="0">
                            <a:noAutofit/>
                          </wps:bodyPr>
                        </wps:wsp>
                        <wps:wsp>
                          <wps:cNvPr id="26" name="Textruta 26"/>
                          <wps:cNvSpPr txBox="1">
                            <a:spLocks noChangeArrowheads="1"/>
                          </wps:cNvSpPr>
                          <wps:spPr bwMode="auto">
                            <a:xfrm>
                              <a:off x="-692150" y="179843"/>
                              <a:ext cx="915960" cy="579113"/>
                            </a:xfrm>
                            <a:prstGeom prst="rect"/>
                            <a:solidFill>
                              <a:srgbClr val="43789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PLAN-</w:t>
                                </w:r>
                              </w:p>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FÖRSLAG</w:t>
                                </w:r>
                              </w:p>
                            </w:txbxContent>
                          </wps:txbx>
                          <wps:bodyPr rot="0" vert="horz" wrap="square" lIns="91440" tIns="45720" rIns="91440" bIns="45720" anchor="ctr" anchorCtr="0">
                            <a:noAutofit/>
                          </wps:bodyPr>
                        </wps:wsp>
                        <wps:wsp>
                          <wps:cNvPr id="28" name="Rak 489"/>
                          <wps:cNvCnPr>
                            <a:stCxn id="0" idx="0"/>
                            <a:endCxn id="0" idx="0"/>
                          </wps:cNvCnPr>
                          <wps:spPr>
                            <a:xfrm>
                              <a:off x="223812" y="177993"/>
                              <a:ext cx="0" cy="596879"/>
                            </a:xfrm>
                            <a:prstGeom prst="line"/>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9" name="Textruta 29"/>
                          <wps:cNvSpPr txBox="1">
                            <a:spLocks noChangeArrowheads="1"/>
                          </wps:cNvSpPr>
                          <wps:spPr bwMode="auto">
                            <a:xfrm>
                              <a:off x="3413246" y="187156"/>
                              <a:ext cx="1265460" cy="573514"/>
                            </a:xfrm>
                            <a:prstGeom prst="rect"/>
                            <a:solidFill>
                              <a:srgbClr val="E68523"/>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ANTAGANDE</w:t>
                                </w:r>
                              </w:p>
                              <w:p>
                                <w:pPr>
                                  <w:jc w:val="center"/>
                                  <w:rPr>
                                    <w:rFonts w:ascii="Myriad Pro" w:hAnsi="Myriad Pro"/>
                                    <w:color w:val="FFFFFF" w:themeColor="background1"/>
                                    <w:sz w:val="16"/>
                                    <w:szCs w:val="16"/>
                                  </w:rPr>
                                </w:pPr>
                                <w:r>
                                  <w:rPr>
                                    <w:rFonts w:ascii="Myriad Pro" w:hAnsi="Myriad Pro"/>
                                    <w:color w:val="FFFFFF" w:themeColor="background1"/>
                                    <w:sz w:val="16"/>
                                    <w:szCs w:val="16"/>
                                  </w:rPr>
                                  <w:t>KVARTAL 2</w:t>
                                </w:r>
                              </w:p>
                              <w:p>
                                <w:pPr>
                                  <w:jc w:val="center"/>
                                  <w:rPr>
                                    <w:rFonts w:ascii="Myriad Pro" w:hAnsi="Myriad Pro"/>
                                    <w:color w:val="FFFFFF" w:themeColor="background1"/>
                                    <w:sz w:val="16"/>
                                    <w:szCs w:val="16"/>
                                  </w:rPr>
                                </w:pPr>
                                <w:r>
                                  <w:rPr>
                                    <w:rFonts w:ascii="Myriad Pro" w:hAnsi="Myriad Pro"/>
                                    <w:color w:val="FFFFFF" w:themeColor="background1"/>
                                    <w:sz w:val="16"/>
                                    <w:szCs w:val="16"/>
                                  </w:rPr>
                                  <w:t>2024</w:t>
                                </w:r>
                              </w:p>
                            </w:txbxContent>
                          </wps:txbx>
                          <wps:bodyPr rot="0" vert="horz" wrap="square" lIns="91440" tIns="45720" rIns="91440" bIns="45720" anchor="ctr" anchorCtr="0">
                            <a:noAutofit/>
                          </wps:bodyPr>
                        </wps:wsp>
                        <wps:wsp>
                          <wps:cNvPr id="30" name="Femhörning 492"/>
                          <wps:cNvSpPr/>
                          <wps:spPr>
                            <a:xfrm>
                              <a:off x="4678703" y="187150"/>
                              <a:ext cx="1030731" cy="573343"/>
                            </a:xfrm>
                            <a:prstGeom prst="homePlate"/>
                            <a:solidFill>
                              <a:srgbClr val="43789F"/>
                            </a:solidFill>
                            <a:ln>
                              <a:noFill/>
                            </a:ln>
                          </wps:spPr>
                          <wps:style>
                            <a:lnRef idx="2">
                              <a:schemeClr val="accent4">
                                <a:shade val="50000"/>
                              </a:schemeClr>
                            </a:lnRef>
                            <a:fillRef idx="1">
                              <a:schemeClr val="accent4"/>
                            </a:fillRef>
                            <a:effectRef idx="0">
                              <a:schemeClr val="accent4"/>
                            </a:effectRef>
                            <a:fontRef idx="minor">
                              <a:schemeClr val="lt1"/>
                            </a:fontRef>
                          </wps:style>
                          <wps:txbx>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 xml:space="preserve">LAGA </w:t>
                                </w:r>
                              </w:p>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KRAFT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Ellips 31"/>
                          <wps:cNvSpPr/>
                          <wps:spPr>
                            <a:xfrm>
                              <a:off x="1350896" y="177993"/>
                              <a:ext cx="572422" cy="574185"/>
                            </a:xfrm>
                            <a:prstGeom prst="ellipse"/>
                            <a:solidFill>
                              <a:srgbClr val="43789F"/>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pPr>
                                  <w:ind w:hanging="180" w:left="-180" w:right="-270"/>
                                  <w:jc w:val="center"/>
                                  <w:rPr>
                                    <w:rFonts w:ascii="Myriad Pro" w:hAnsi="Myriad Pro"/>
                                    <w:color w:val="002750" w:themeColor="accent1"/>
                                    <w:sz w:val="18"/>
                                    <w:szCs w:val="18"/>
                                  </w:rPr>
                                </w:pPr>
                                <w:r>
                                  <w:rPr>
                                    <w:rFonts w:ascii="Myriad Pro" w:hAnsi="Myriad Pro"/>
                                    <w:color w:val="002750" w:themeColor="accent1"/>
                                    <w:sz w:val="16"/>
                                    <w:szCs w:val="12"/>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85133313" name="Rak 494"/>
                          <wps:cNvCnPr>
                            <a:stCxn id="0" idx="0"/>
                            <a:endCxn id="0" idx="0"/>
                          </wps:cNvCnPr>
                          <wps:spPr>
                            <a:xfrm>
                              <a:off x="4674129" y="184772"/>
                              <a:ext cx="585" cy="575898"/>
                            </a:xfrm>
                            <a:prstGeom prst="line"/>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85133314" name="Textruta 785133314"/>
                          <wps:cNvSpPr txBox="1"/>
                          <wps:spPr>
                            <a:xfrm>
                              <a:off x="1253284" y="154499"/>
                              <a:ext cx="800630" cy="668401"/>
                            </a:xfrm>
                            <a:prstGeom prst="rect"/>
                            <a:no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3"/>
                                </w:pPr>
                                <w:r>
                                  <w:t>Bearbetning</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918506"/>
                              </a:avLst>
                            </a:prstTxWarp>
                            <a:noAutofit/>
                          </wps:bodyPr>
                        </wps:wsp>
                        <wps:wsp>
                          <wps:cNvPr id="785133315" name="Ellips 785133315"/>
                          <wps:cNvSpPr/>
                          <wps:spPr>
                            <a:xfrm>
                              <a:off x="2950393" y="179853"/>
                              <a:ext cx="572471" cy="573686"/>
                            </a:xfrm>
                            <a:prstGeom prst="ellipse"/>
                            <a:solidFill>
                              <a:srgbClr val="43789F"/>
                            </a:solidFill>
                            <a:ln>
                              <a:solidFill>
                                <a:schemeClr val="bg1"/>
                              </a:solidFill>
                            </a:ln>
                          </wps:spPr>
                          <wps:style>
                            <a:lnRef idx="2">
                              <a:schemeClr val="accent4">
                                <a:shade val="50000"/>
                              </a:schemeClr>
                            </a:lnRef>
                            <a:fillRef idx="1">
                              <a:schemeClr val="accent4"/>
                            </a:fillRef>
                            <a:effectRef idx="0">
                              <a:schemeClr val="accent4"/>
                            </a:effectRef>
                            <a:fontRef idx="minor">
                              <a:schemeClr val="lt1"/>
                            </a:fontRef>
                          </wps:style>
                          <wps:txbx>
                            <w:txbxContent>
                              <w:p>
                                <w:pPr>
                                  <w:ind w:hanging="180" w:left="-180" w:right="-270"/>
                                  <w:jc w:val="center"/>
                                  <w:rPr>
                                    <w:rFonts w:ascii="Myriad Pro" w:hAnsi="Myriad Pro"/>
                                    <w:color w:val="002750" w:themeColor="accent1"/>
                                    <w:sz w:val="18"/>
                                    <w:szCs w:val="18"/>
                                  </w:rPr>
                                </w:pPr>
                                <w:r>
                                  <w:rPr>
                                    <w:rFonts w:ascii="Myriad Pro" w:hAnsi="Myriad Pro"/>
                                    <w:color w:val="002750" w:themeColor="accent1"/>
                                    <w:sz w:val="16"/>
                                    <w:szCs w:val="12"/>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85133316" name="Textruta 785133316"/>
                          <wps:cNvSpPr txBox="1"/>
                          <wps:spPr>
                            <a:xfrm>
                              <a:off x="2852564" y="154461"/>
                              <a:ext cx="789128" cy="670023"/>
                            </a:xfrm>
                            <a:prstGeom prst="rect"/>
                            <a:no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3"/>
                                </w:pPr>
                                <w:r>
                                  <w:t>Bearbetning</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wpg:grpSp>
                      <wps:wsp>
                        <wps:cNvPr id="785133317" name="Textruta 785133317"/>
                        <wps:cNvSpPr txBox="1"/>
                        <wps:spPr>
                          <a:xfrm>
                            <a:off x="1088305" y="695617"/>
                            <a:ext cx="912495" cy="317734"/>
                          </a:xfrm>
                          <a:prstGeom prst="rect"/>
                          <a:no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Myriad Pro" w:hAnsi="Myriad Pro"/>
                                  <w:noProof w:val="1"/>
                                  <w:color w:val="002750" w:themeColor="accent1"/>
                                  <w:sz w:val="22"/>
                                  <w:szCs w:val="22"/>
                                </w:rPr>
                              </w:pPr>
                              <w:r>
                                <w:rPr>
                                  <w:rFonts w:ascii="Myriad Pro" w:hAnsi="Myriad Pro"/>
                                  <w:noProof w:val="1"/>
                                  <w:color w:val="002750" w:themeColor="accent1"/>
                                  <w:sz w:val="22"/>
                                  <w:szCs w:val="22"/>
                                </w:rPr>
                                <w:t>Synpunkter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85133318" name="Rak 499"/>
                        <wps:cNvCnPr>
                          <a:stCxn id="0" idx="0"/>
                          <a:endCxn id="0" idx="0"/>
                        </wps:cNvCnPr>
                        <wps:spPr>
                          <a:xfrm>
                            <a:off x="1537091" y="633909"/>
                            <a:ext cx="1270" cy="108000"/>
                          </a:xfrm>
                          <a:prstGeom prst="line"/>
                        </wps:spPr>
                        <wps:style>
                          <a:lnRef idx="1">
                            <a:schemeClr val="accent1"/>
                          </a:lnRef>
                          <a:fillRef idx="0">
                            <a:schemeClr val="accent1"/>
                          </a:fillRef>
                          <a:effectRef idx="0">
                            <a:schemeClr val="accent1"/>
                          </a:effectRef>
                          <a:fontRef idx="minor">
                            <a:schemeClr val="tx1"/>
                          </a:fontRef>
                        </wps:style>
                        <wps:bodyPr/>
                      </wps:wsp>
                      <wps:wsp>
                        <wps:cNvPr id="785133319" name="Textruta 785133319"/>
                        <wps:cNvSpPr txBox="1"/>
                        <wps:spPr>
                          <a:xfrm>
                            <a:off x="2681494" y="695617"/>
                            <a:ext cx="914400" cy="332980"/>
                          </a:xfrm>
                          <a:prstGeom prst="rect"/>
                          <a:no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center"/>
                                <w:rPr>
                                  <w:rFonts w:ascii="Myriad Pro" w:hAnsi="Myriad Pro"/>
                                  <w:noProof w:val="1"/>
                                  <w:color w:val="002750" w:themeColor="accent1"/>
                                  <w:sz w:val="22"/>
                                  <w:szCs w:val="22"/>
                                </w:rPr>
                              </w:pPr>
                              <w:r>
                                <w:rPr>
                                  <w:rFonts w:ascii="Myriad Pro" w:hAnsi="Myriad Pro"/>
                                  <w:noProof w:val="1"/>
                                  <w:color w:val="002750" w:themeColor="accent1"/>
                                  <w:sz w:val="22"/>
                                  <w:szCs w:val="22"/>
                                </w:rPr>
                                <w:t>Synpunkter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85133320" name="Rak 501"/>
                        <wps:cNvCnPr>
                          <a:stCxn id="0" idx="0"/>
                          <a:endCxn id="0" idx="0"/>
                        </wps:cNvCnPr>
                        <wps:spPr>
                          <a:xfrm>
                            <a:off x="3141497" y="633909"/>
                            <a:ext cx="0" cy="108000"/>
                          </a:xfrm>
                          <a:prstGeom prst="line"/>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xmlns:o="urn:schemas-microsoft-com:office:office" id="Grupp 3" style="position:absolute;width:504pt;height:82.8pt;z-index:2;mso-wrap-distance-left:9pt;mso-wrap-distance-top:0pt;mso-wrap-distance-right:9pt;mso-wrap-distance-bottom:0pt;margin-left:-60.3pt;margin-top:10.5pt;mso-position-horizontal:absolute;mso-position-horizontal-relative:text;mso-position-vertical:absolute;mso-position-vertical-relative:text" coordorigin="0,-23366" coordsize="6400800,1051961" o:allowincell="t">
                <v:group id="Grupp 21" style="position:absolute;top:-23366;width:6400800;height:667453" coordorigin="-692150,154460" coordsize="6401581,670022" o:allowincell="t">
                  <v:shape type="#_x0000_t202" id="Textruta 22" o:spid="_x0000_s1029" style="position:absolute;left:218380;top:177917;width:1257456;height:581471;v-text-anchor:middle" o:allowincell="t" fillcolor="#43789F" strokeweight="0.75pt" stroked="f">
                    <v:textbox inset="3mm,1mm,3mm,1mm">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SAMRÅD</w:t>
                          </w:r>
                        </w:p>
                        <w:p>
                          <w:pPr>
                            <w:jc w:val="center"/>
                            <w:rPr>
                              <w:rFonts w:ascii="Myriad Pro" w:hAnsi="Myriad Pro"/>
                              <w:color w:val="FFFFFF" w:themeColor="background1"/>
                              <w:sz w:val="16"/>
                              <w:szCs w:val="16"/>
                            </w:rPr>
                          </w:pPr>
                          <w:r>
                            <w:rPr>
                              <w:rFonts w:ascii="Myriad Pro" w:hAnsi="Myriad Pro"/>
                              <w:color w:val="FFFFFF" w:themeColor="background1"/>
                              <w:sz w:val="16"/>
                              <w:szCs w:val="16"/>
                            </w:rPr>
                            <w:t>KVARTAL 4</w:t>
                          </w:r>
                        </w:p>
                        <w:p>
                          <w:pPr>
                            <w:jc w:val="center"/>
                            <w:rPr>
                              <w:rFonts w:ascii="Myriad Pro" w:hAnsi="Myriad Pro"/>
                              <w:color w:val="FFFFFF" w:themeColor="background1"/>
                              <w:sz w:val="16"/>
                              <w:szCs w:val="16"/>
                            </w:rPr>
                          </w:pPr>
                          <w:r>
                            <w:rPr>
                              <w:rFonts w:ascii="Myriad Pro" w:hAnsi="Myriad Pro"/>
                              <w:color w:val="FFFFFF" w:themeColor="background1"/>
                              <w:sz w:val="16"/>
                              <w:szCs w:val="16"/>
                            </w:rPr>
                            <w:t>2023</w:t>
                          </w:r>
                        </w:p>
                      </w:txbxContent>
                    </v:textbox>
                  </v:shape>
                  <v:shape type="#_x0000_t202" id="Textruta 24" o:spid="_x0000_s1030" style="position:absolute;left:1813873;top:179852;width:1260157;height:574820;v-text-anchor:middle" o:allowincell="t" fillcolor="#43789F" strokeweight="0.75pt" stroked="f">
                    <v:textbox inset="3mm,1mm,3mm,1mm">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GRANSKNING</w:t>
                          </w:r>
                        </w:p>
                        <w:p>
                          <w:pPr>
                            <w:jc w:val="center"/>
                            <w:rPr>
                              <w:rFonts w:ascii="Myriad Pro" w:hAnsi="Myriad Pro"/>
                              <w:color w:val="FFFFFF" w:themeColor="background1"/>
                              <w:sz w:val="16"/>
                              <w:szCs w:val="16"/>
                            </w:rPr>
                          </w:pPr>
                          <w:r>
                            <w:rPr>
                              <w:rFonts w:ascii="Myriad Pro" w:hAnsi="Myriad Pro"/>
                              <w:color w:val="FFFFFF" w:themeColor="background1"/>
                              <w:sz w:val="16"/>
                              <w:szCs w:val="16"/>
                            </w:rPr>
                            <w:t xml:space="preserve">KVARTAL 2 </w:t>
                          </w:r>
                        </w:p>
                        <w:p>
                          <w:pPr>
                            <w:jc w:val="center"/>
                            <w:rPr>
                              <w:rFonts w:ascii="Myriad Pro" w:hAnsi="Myriad Pro"/>
                              <w:color w:val="FFFFFF" w:themeColor="background1"/>
                              <w:sz w:val="16"/>
                              <w:szCs w:val="16"/>
                            </w:rPr>
                          </w:pPr>
                          <w:r>
                            <w:rPr>
                              <w:rFonts w:ascii="Myriad Pro" w:hAnsi="Myriad Pro"/>
                              <w:color w:val="FFFFFF" w:themeColor="background1"/>
                              <w:sz w:val="16"/>
                              <w:szCs w:val="16"/>
                            </w:rPr>
                            <w:t>2024</w:t>
                          </w:r>
                        </w:p>
                      </w:txbxContent>
                    </v:textbox>
                  </v:shape>
                  <v:shape type="#_x0000_t202" id="Textruta 26" o:spid="_x0000_s1031" style="position:absolute;left:-692150;top:179842;width:915959;height:579112;v-text-anchor:middle" o:allowincell="t" fillcolor="#43789F" strokeweight="0.75pt" stroked="f">
                    <v:textbox inset="3mm,1mm,3mm,1mm">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PLAN-</w:t>
                          </w:r>
                        </w:p>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FÖRSLAG</w:t>
                          </w:r>
                        </w:p>
                      </w:txbxContent>
                    </v:textbox>
                  </v:shape>
                  <v:line id="Rak 489" o:spid="_x0000_s1032" style="position:absolute" strokecolor="#FFFFFF" strokeweight="1pt" stroked="t" o:allowincell="t" from="-60.3pt,10.5pt" to="443.7pt,93.3pt"/>
                  <v:shape type="#_x0000_t202" id="Textruta 29" o:spid="_x0000_s1033" style="position:absolute;left:3413245;top:187155;width:1265459;height:573513;v-text-anchor:middle" o:allowincell="t" fillcolor="#E68523" strokeweight="0.75pt" stroked="f">
                    <v:textbox inset="3mm,1mm,3mm,1mm">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ANTAGANDE</w:t>
                          </w:r>
                        </w:p>
                        <w:p>
                          <w:pPr>
                            <w:jc w:val="center"/>
                            <w:rPr>
                              <w:rFonts w:ascii="Myriad Pro" w:hAnsi="Myriad Pro"/>
                              <w:color w:val="FFFFFF" w:themeColor="background1"/>
                              <w:sz w:val="16"/>
                              <w:szCs w:val="16"/>
                            </w:rPr>
                          </w:pPr>
                          <w:r>
                            <w:rPr>
                              <w:rFonts w:ascii="Myriad Pro" w:hAnsi="Myriad Pro"/>
                              <w:color w:val="FFFFFF" w:themeColor="background1"/>
                              <w:sz w:val="16"/>
                              <w:szCs w:val="16"/>
                            </w:rPr>
                            <w:t>KVARTAL 2</w:t>
                          </w:r>
                        </w:p>
                        <w:p>
                          <w:pPr>
                            <w:jc w:val="center"/>
                            <w:rPr>
                              <w:rFonts w:ascii="Myriad Pro" w:hAnsi="Myriad Pro"/>
                              <w:color w:val="FFFFFF" w:themeColor="background1"/>
                              <w:sz w:val="16"/>
                              <w:szCs w:val="16"/>
                            </w:rPr>
                          </w:pPr>
                          <w:r>
                            <w:rPr>
                              <w:rFonts w:ascii="Myriad Pro" w:hAnsi="Myriad Pro"/>
                              <w:color w:val="FFFFFF" w:themeColor="background1"/>
                              <w:sz w:val="16"/>
                              <w:szCs w:val="16"/>
                            </w:rPr>
                            <w:t>2024</w:t>
                          </w:r>
                        </w:p>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shapetype>
                  <v:shape type="#_x0000_t15" id="Femhörning 492" o:spid="_x0000_s1034" style="position:absolute;left:4678702;top:187149;width:1030730;height:573342;v-text-anchor:middle" o:allowincell="t" fillcolor="#43789F" strokeweight="1.25pt" stroked="f">
                    <v:textbox inset="3mm,1mm,3mm,1mm">
                      <w:txbxContent>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 xml:space="preserve">LAGA </w:t>
                          </w:r>
                        </w:p>
                        <w:p>
                          <w:pPr>
                            <w:jc w:val="center"/>
                            <w:rPr>
                              <w:rFonts w:ascii="Myriad Pro" w:hAnsi="Myriad Pro"/>
                              <w:b w:val="1"/>
                              <w:color w:val="FFFFFF" w:themeColor="background1"/>
                              <w:sz w:val="22"/>
                              <w:szCs w:val="22"/>
                            </w:rPr>
                          </w:pPr>
                          <w:r>
                            <w:rPr>
                              <w:rFonts w:ascii="Myriad Pro" w:hAnsi="Myriad Pro"/>
                              <w:b w:val="1"/>
                              <w:color w:val="FFFFFF" w:themeColor="background1"/>
                              <w:sz w:val="22"/>
                              <w:szCs w:val="22"/>
                            </w:rPr>
                            <w:t>KRAFT</w:t>
                          </w:r>
                        </w:p>
                      </w:txbxContent>
                    </v:textbox>
                  </v:shape>
                  <v:oval id="Ellips 31" o:spid="_x0000_s1035" style="position:absolute;left:1350895;top:177992;width:572421;height:574184;v-text-anchor:middle" o:allowincell="t" fillcolor="#43789F" strokecolor="#FFFFFF" strokeweight="1.25pt" stroked="t">
                    <v:textbox inset="3mm,1mm,3mm,1mm">
                      <w:txbxContent>
                        <w:p>
                          <w:pPr>
                            <w:ind w:hanging="180" w:left="-180" w:right="-270"/>
                            <w:jc w:val="center"/>
                            <w:rPr>
                              <w:rFonts w:ascii="Myriad Pro" w:hAnsi="Myriad Pro"/>
                              <w:color w:val="002750" w:themeColor="accent1"/>
                              <w:sz w:val="18"/>
                              <w:szCs w:val="18"/>
                            </w:rPr>
                          </w:pPr>
                          <w:r>
                            <w:rPr>
                              <w:rFonts w:ascii="Myriad Pro" w:hAnsi="Myriad Pro"/>
                              <w:color w:val="002750" w:themeColor="accent1"/>
                              <w:sz w:val="16"/>
                              <w:szCs w:val="12"/>
                            </w:rPr>
                            <w:t xml:space="preserve"> </w:t>
                          </w:r>
                        </w:p>
                      </w:txbxContent>
                    </v:textbox>
                  </v:oval>
                  <v:line id="Rak 494" o:spid="_x0000_s1036" style="position:absolute" strokecolor="#FFFFFF" strokeweight="1pt" stroked="t" o:allowincell="t" from="-60.3pt,10.5pt" to="443.7pt,93.3pt"/>
                  <v:shape type="#_x0000_t202" id="Textruta 785133314" o:spid="_x0000_s1037" style="position:absolute;left:1253283;top:154498;width:800629;height:668400" o:allowincell="t" filled="f" stroked="f">
                    <v:textbox inset="3mm,1mm,3mm,1mm">
                      <w:txbxContent>
                        <w:p>
                          <w:pPr>
                            <w:pStyle w:val="P13"/>
                          </w:pPr>
                          <w:r>
                            <w:t>Bearbetning</w:t>
                          </w:r>
                        </w:p>
                      </w:txbxContent>
                    </v:textbox>
                  </v:shape>
                  <v:oval id="Ellips 785133315" o:spid="_x0000_s1038" style="position:absolute;left:2950392;top:179852;width:572470;height:573685;v-text-anchor:middle" o:allowincell="t" fillcolor="#43789F" strokecolor="#FFFFFF" strokeweight="1.25pt" stroked="t">
                    <v:textbox inset="3mm,1mm,3mm,1mm">
                      <w:txbxContent>
                        <w:p>
                          <w:pPr>
                            <w:ind w:hanging="180" w:left="-180" w:right="-270"/>
                            <w:jc w:val="center"/>
                            <w:rPr>
                              <w:rFonts w:ascii="Myriad Pro" w:hAnsi="Myriad Pro"/>
                              <w:color w:val="002750" w:themeColor="accent1"/>
                              <w:sz w:val="18"/>
                              <w:szCs w:val="18"/>
                            </w:rPr>
                          </w:pPr>
                          <w:r>
                            <w:rPr>
                              <w:rFonts w:ascii="Myriad Pro" w:hAnsi="Myriad Pro"/>
                              <w:color w:val="002750" w:themeColor="accent1"/>
                              <w:sz w:val="16"/>
                              <w:szCs w:val="12"/>
                            </w:rPr>
                            <w:t xml:space="preserve"> </w:t>
                          </w:r>
                        </w:p>
                      </w:txbxContent>
                    </v:textbox>
                  </v:oval>
                  <v:shape type="#_x0000_t202" id="Textruta 785133316" o:spid="_x0000_s1039" style="position:absolute;left:2852563;top:154460;width:789127;height:670022" o:allowincell="t" filled="f" stroked="f">
                    <v:textbox inset="3mm,1mm,3mm,1mm">
                      <w:txbxContent>
                        <w:p>
                          <w:pPr>
                            <w:pStyle w:val="P13"/>
                          </w:pPr>
                          <w:r>
                            <w:t>Bearbetning</w:t>
                          </w:r>
                        </w:p>
                      </w:txbxContent>
                    </v:textbox>
                  </v:shape>
                </v:group>
                <v:shape type="#_x0000_t202" id="Textruta 785133317" o:spid="_x0000_s1040" style="position:absolute;left:1088304;top:695616;width:912495;height:317733" o:allowincell="t" filled="f" stroked="f">
                  <v:textbox inset="3mm,1mm,3mm,1mm">
                    <w:txbxContent>
                      <w:p>
                        <w:pPr>
                          <w:jc w:val="center"/>
                          <w:rPr>
                            <w:rFonts w:ascii="Myriad Pro" w:hAnsi="Myriad Pro"/>
                            <w:noProof w:val="1"/>
                            <w:color w:val="002750" w:themeColor="accent1"/>
                            <w:sz w:val="22"/>
                            <w:szCs w:val="22"/>
                          </w:rPr>
                        </w:pPr>
                        <w:r>
                          <w:rPr>
                            <w:rFonts w:ascii="Myriad Pro" w:hAnsi="Myriad Pro"/>
                            <w:noProof w:val="1"/>
                            <w:color w:val="002750" w:themeColor="accent1"/>
                            <w:sz w:val="22"/>
                            <w:szCs w:val="22"/>
                          </w:rPr>
                          <w:t>Synpunkter</w:t>
                        </w:r>
                      </w:p>
                    </w:txbxContent>
                  </v:textbox>
                </v:shape>
                <v:line id="Rak 499" o:spid="_x0000_s1041" style="position:absolute" strokecolor="#002750" strokeweight="0.75pt" stroked="t" o:allowincell="t" from="-60.3pt,10.5pt" to="443.7pt,93.3pt"/>
                <v:shape type="#_x0000_t202" id="Textruta 785133319" o:spid="_x0000_s1042" style="position:absolute;left:2681493;top:695616;width:914400;height:332979" o:allowincell="t" filled="f" stroked="f">
                  <v:textbox inset="3mm,1mm,3mm,1mm">
                    <w:txbxContent>
                      <w:p>
                        <w:pPr>
                          <w:jc w:val="center"/>
                          <w:rPr>
                            <w:rFonts w:ascii="Myriad Pro" w:hAnsi="Myriad Pro"/>
                            <w:noProof w:val="1"/>
                            <w:color w:val="002750" w:themeColor="accent1"/>
                            <w:sz w:val="22"/>
                            <w:szCs w:val="22"/>
                          </w:rPr>
                        </w:pPr>
                        <w:r>
                          <w:rPr>
                            <w:rFonts w:ascii="Myriad Pro" w:hAnsi="Myriad Pro"/>
                            <w:noProof w:val="1"/>
                            <w:color w:val="002750" w:themeColor="accent1"/>
                            <w:sz w:val="22"/>
                            <w:szCs w:val="22"/>
                          </w:rPr>
                          <w:t>Synpunkter</w:t>
                        </w:r>
                      </w:p>
                    </w:txbxContent>
                  </v:textbox>
                </v:shape>
                <v:line id="Rak 501" o:spid="_x0000_s1043" style="position:absolute" strokecolor="#002750" strokeweight="0.75pt" stroked="t" o:allowincell="t" from="-60.3pt,10.5pt" to="443.7pt,93.3pt"/>
              </v:group>
            </w:pict>
          </mc:Fallback>
        </mc:AlternateContent>
      </w:r>
    </w:p>
    <w:p>
      <w:pPr>
        <w:pStyle w:val="P13"/>
      </w:pPr>
    </w:p>
    <w:p>
      <w:pPr>
        <w:pStyle w:val="P13"/>
      </w:pPr>
    </w:p>
    <w:p>
      <w:pPr>
        <w:pStyle w:val="P13"/>
      </w:pPr>
    </w:p>
    <w:p>
      <w:pPr>
        <w:pStyle w:val="P13"/>
      </w:pPr>
    </w:p>
    <w:p>
      <w:pPr>
        <w:pStyle w:val="P13"/>
      </w:pPr>
    </w:p>
    <w:p>
      <w:pPr>
        <w:pStyle w:val="P13"/>
      </w:pPr>
    </w:p>
    <w:p>
      <w:pPr>
        <w:pStyle w:val="P13"/>
      </w:pPr>
      <w:bookmarkEnd w:id="13"/>
      <w:r>
        <w:rPr>
          <w:rFonts w:asciiTheme="majorHAnsi" w:hAnsiTheme="majorHAnsi" w:cstheme="majorHAnsi"/>
          <w:b w:val="1"/>
          <w:bCs w:val="1"/>
          <w:color w:val="4478A4"/>
          <w:sz w:val="36"/>
          <w:szCs w:val="36"/>
        </w:rPr>
        <w:br w:type="page"/>
      </w:r>
    </w:p>
    <w:p>
      <w:pPr>
        <w:spacing w:before="180" w:after="220" w:beforeAutospacing="0" w:afterAutospacing="0"/>
        <w:rPr>
          <w:rFonts w:asciiTheme="majorHAnsi" w:hAnsiTheme="majorHAnsi" w:cstheme="majorHAnsi" w:eastAsia="Arial"/>
          <w:b w:val="1"/>
          <w:bCs w:val="1"/>
          <w:color w:val="4478A4"/>
          <w:sz w:val="36"/>
          <w:szCs w:val="36"/>
        </w:rPr>
      </w:pPr>
      <w:r>
        <w:rPr>
          <w:rFonts w:asciiTheme="majorHAnsi" w:hAnsiTheme="majorHAnsi" w:cstheme="majorHAnsi" w:eastAsia="Arial"/>
          <w:b w:val="1"/>
          <w:bCs w:val="1"/>
          <w:color w:val="4478A4"/>
          <w:sz w:val="36"/>
          <w:szCs w:val="36"/>
        </w:rPr>
        <w:t>Innehållsförteckning</w:t>
      </w:r>
    </w:p>
    <w:p>
      <w:pPr>
        <w:pStyle w:val="P17"/>
        <w:rPr>
          <w:rFonts w:asciiTheme="minorHAnsi" w:hAnsiTheme="minorHAnsi" w:cstheme="minorBidi" w:eastAsiaTheme="minorEastAsia"/>
          <w:b w:val="0"/>
          <w:bCs w:val="0"/>
          <w:sz w:val="22"/>
        </w:rPr>
      </w:pPr>
      <w:r>
        <w:rPr>
          <w:rFonts w:ascii="Arial" w:hAnsi="Arial" w:cs="Arial" w:eastAsia="Arial"/>
          <w:b w:val="0"/>
          <w:bCs w:val="0"/>
          <w:caps w:val="1"/>
          <w:color w:val="000000"/>
          <w:sz w:val="22"/>
          <w:u w:val="single"/>
        </w:rPr>
        <w:fldChar w:fldCharType="begin"/>
      </w:r>
      <w:r>
        <w:rPr>
          <w:rFonts w:ascii="Arial" w:hAnsi="Arial" w:cs="Arial" w:eastAsia="Arial"/>
          <w:b w:val="0"/>
          <w:bCs w:val="0"/>
          <w:caps w:val="1"/>
          <w:color w:val="000000"/>
          <w:sz w:val="22"/>
          <w:u w:val="single"/>
        </w:rPr>
        <w:instrText xml:space="preserve"> TOC \o "1-3" \h \z \u </w:instrText>
      </w:r>
      <w:r>
        <w:rPr>
          <w:rFonts w:ascii="Arial" w:hAnsi="Arial" w:cs="Arial" w:eastAsia="Arial"/>
          <w:b w:val="0"/>
          <w:bCs w:val="0"/>
          <w:caps w:val="1"/>
          <w:color w:val="000000"/>
          <w:sz w:val="22"/>
          <w:u w:val="single"/>
        </w:rPr>
        <w:fldChar w:fldCharType="separate"/>
      </w:r>
      <w:hyperlink w:anchor="_Toc165276722">
        <w:r>
          <w:rPr>
            <w:rStyle w:val="C2"/>
          </w:rPr>
          <w:t>1.</w:t>
        </w:r>
        <w:r>
          <w:rPr>
            <w:rFonts w:asciiTheme="minorHAnsi" w:hAnsiTheme="minorHAnsi" w:cstheme="minorBidi" w:eastAsiaTheme="minorEastAsia"/>
            <w:b w:val="0"/>
            <w:bCs w:val="0"/>
            <w:sz w:val="22"/>
          </w:rPr>
          <w:tab/>
        </w:r>
        <w:r>
          <w:rPr>
            <w:rStyle w:val="C2"/>
          </w:rPr>
          <w:t>Detaljplanens syfte</w:t>
        </w:r>
        <w:r>
          <w:tab/>
        </w:r>
        <w:r>
          <w:fldChar w:fldCharType="begin"/>
        </w:r>
        <w:r>
          <w:instrText xml:space="preserve"> PAGEREF _Toc165276722 \h </w:instrText>
        </w:r>
        <w:r>
          <w:fldChar w:fldCharType="separate"/>
        </w:r>
        <w:r>
          <w:t>9</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23">
        <w:r>
          <w:rPr>
            <w:rStyle w:val="C2"/>
            <w:caps w:val="1"/>
          </w:rPr>
          <w:t>1.1</w:t>
        </w:r>
        <w:r>
          <w:rPr>
            <w:rFonts w:asciiTheme="minorHAnsi" w:hAnsiTheme="minorHAnsi" w:cstheme="minorBidi" w:eastAsiaTheme="minorEastAsia"/>
            <w:bCs w:val="0"/>
            <w:sz w:val="22"/>
          </w:rPr>
          <w:tab/>
        </w:r>
        <w:r>
          <w:rPr>
            <w:rStyle w:val="C2"/>
          </w:rPr>
          <w:t>Syfte</w:t>
        </w:r>
        <w:r>
          <w:tab/>
        </w:r>
        <w:r>
          <w:fldChar w:fldCharType="begin"/>
        </w:r>
        <w:r>
          <w:instrText xml:space="preserve"> PAGEREF _Toc165276723 \h </w:instrText>
        </w:r>
        <w:r>
          <w:fldChar w:fldCharType="separate"/>
        </w:r>
        <w:r>
          <w:t>9</w:t>
        </w:r>
        <w:r>
          <w:fldChar w:fldCharType="end"/>
        </w:r>
      </w:hyperlink>
    </w:p>
    <w:p>
      <w:pPr>
        <w:pStyle w:val="P17"/>
        <w:rPr>
          <w:rFonts w:asciiTheme="minorHAnsi" w:hAnsiTheme="minorHAnsi" w:cstheme="minorBidi" w:eastAsiaTheme="minorEastAsia"/>
          <w:b w:val="0"/>
          <w:bCs w:val="0"/>
          <w:sz w:val="22"/>
        </w:rPr>
      </w:pPr>
      <w:hyperlink w:anchor="_Toc165276724">
        <w:r>
          <w:rPr>
            <w:rStyle w:val="C2"/>
          </w:rPr>
          <w:t>2.</w:t>
        </w:r>
        <w:r>
          <w:rPr>
            <w:rFonts w:asciiTheme="minorHAnsi" w:hAnsiTheme="minorHAnsi" w:cstheme="minorBidi" w:eastAsiaTheme="minorEastAsia"/>
            <w:b w:val="0"/>
            <w:bCs w:val="0"/>
            <w:sz w:val="22"/>
          </w:rPr>
          <w:tab/>
        </w:r>
        <w:r>
          <w:rPr>
            <w:rStyle w:val="C2"/>
          </w:rPr>
          <w:t>Planeringsförutsättningar</w:t>
        </w:r>
        <w:r>
          <w:tab/>
        </w:r>
        <w:r>
          <w:fldChar w:fldCharType="begin"/>
        </w:r>
        <w:r>
          <w:instrText xml:space="preserve"> PAGEREF _Toc165276724 \h </w:instrText>
        </w:r>
        <w:r>
          <w:fldChar w:fldCharType="separate"/>
        </w:r>
        <w:r>
          <w:t>10</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25">
        <w:r>
          <w:rPr>
            <w:rStyle w:val="C2"/>
            <w:caps w:val="1"/>
          </w:rPr>
          <w:t>2.1</w:t>
        </w:r>
        <w:r>
          <w:rPr>
            <w:rFonts w:asciiTheme="minorHAnsi" w:hAnsiTheme="minorHAnsi" w:cstheme="minorBidi" w:eastAsiaTheme="minorEastAsia"/>
            <w:bCs w:val="0"/>
            <w:sz w:val="22"/>
          </w:rPr>
          <w:tab/>
        </w:r>
        <w:r>
          <w:rPr>
            <w:rStyle w:val="C2"/>
          </w:rPr>
          <w:t>Kommunala planeringsförutsättningar</w:t>
        </w:r>
        <w:r>
          <w:tab/>
        </w:r>
        <w:r>
          <w:fldChar w:fldCharType="begin"/>
        </w:r>
        <w:r>
          <w:instrText xml:space="preserve"> PAGEREF _Toc165276725 \h </w:instrText>
        </w:r>
        <w:r>
          <w:fldChar w:fldCharType="separate"/>
        </w:r>
        <w:r>
          <w:t>10</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26">
        <w:r>
          <w:rPr>
            <w:rStyle w:val="C2"/>
            <w:noProof w:val="1"/>
          </w:rPr>
          <w:t>2.1.1</w:t>
        </w:r>
        <w:r>
          <w:rPr>
            <w:rFonts w:cstheme="minorBidi" w:eastAsiaTheme="minorEastAsia"/>
            <w:b w:val="0"/>
            <w:i w:val="0"/>
            <w:noProof w:val="1"/>
            <w:sz w:val="22"/>
          </w:rPr>
          <w:tab/>
        </w:r>
        <w:r>
          <w:rPr>
            <w:rStyle w:val="C2"/>
            <w:noProof w:val="1"/>
          </w:rPr>
          <w:t>Översiktsplan</w:t>
        </w:r>
        <w:r>
          <w:rPr>
            <w:noProof w:val="1"/>
          </w:rPr>
          <w:tab/>
        </w:r>
        <w:r>
          <w:rPr>
            <w:noProof w:val="1"/>
          </w:rPr>
          <w:fldChar w:fldCharType="begin"/>
        </w:r>
        <w:r>
          <w:rPr>
            <w:noProof w:val="1"/>
          </w:rPr>
          <w:instrText xml:space="preserve"> PAGEREF _Toc165276726 \h </w:instrText>
        </w:r>
        <w:r>
          <w:rPr>
            <w:noProof w:val="1"/>
          </w:rPr>
          <w:fldChar w:fldCharType="separate"/>
        </w:r>
        <w:r>
          <w:rPr>
            <w:noProof w:val="1"/>
          </w:rPr>
          <w:t>10</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27">
        <w:r>
          <w:rPr>
            <w:rStyle w:val="C2"/>
            <w:noProof w:val="1"/>
          </w:rPr>
          <w:t>2.1.2</w:t>
        </w:r>
        <w:r>
          <w:rPr>
            <w:rFonts w:cstheme="minorBidi" w:eastAsiaTheme="minorEastAsia"/>
            <w:b w:val="0"/>
            <w:i w:val="0"/>
            <w:noProof w:val="1"/>
            <w:sz w:val="22"/>
          </w:rPr>
          <w:tab/>
        </w:r>
        <w:r>
          <w:rPr>
            <w:rStyle w:val="C2"/>
            <w:noProof w:val="1"/>
          </w:rPr>
          <w:t>Gällande detaljplaner</w:t>
        </w:r>
        <w:r>
          <w:rPr>
            <w:noProof w:val="1"/>
          </w:rPr>
          <w:tab/>
        </w:r>
        <w:r>
          <w:rPr>
            <w:noProof w:val="1"/>
          </w:rPr>
          <w:fldChar w:fldCharType="begin"/>
        </w:r>
        <w:r>
          <w:rPr>
            <w:noProof w:val="1"/>
          </w:rPr>
          <w:instrText xml:space="preserve"> PAGEREF _Toc165276727 \h </w:instrText>
        </w:r>
        <w:r>
          <w:rPr>
            <w:noProof w:val="1"/>
          </w:rPr>
          <w:fldChar w:fldCharType="separate"/>
        </w:r>
        <w:r>
          <w:rPr>
            <w:noProof w:val="1"/>
          </w:rPr>
          <w:t>12</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28">
        <w:r>
          <w:rPr>
            <w:rStyle w:val="C2"/>
            <w:caps w:val="1"/>
            <w:noProof w:val="1"/>
          </w:rPr>
          <w:t>2.1.3</w:t>
        </w:r>
        <w:r>
          <w:rPr>
            <w:rFonts w:cstheme="minorBidi" w:eastAsiaTheme="minorEastAsia"/>
            <w:b w:val="0"/>
            <w:i w:val="0"/>
            <w:noProof w:val="1"/>
            <w:sz w:val="22"/>
          </w:rPr>
          <w:tab/>
        </w:r>
        <w:r>
          <w:rPr>
            <w:rStyle w:val="C2"/>
            <w:noProof w:val="1"/>
          </w:rPr>
          <w:t>Planbesked</w:t>
        </w:r>
        <w:r>
          <w:rPr>
            <w:noProof w:val="1"/>
          </w:rPr>
          <w:tab/>
        </w:r>
        <w:r>
          <w:rPr>
            <w:noProof w:val="1"/>
          </w:rPr>
          <w:fldChar w:fldCharType="begin"/>
        </w:r>
        <w:r>
          <w:rPr>
            <w:noProof w:val="1"/>
          </w:rPr>
          <w:instrText xml:space="preserve"> PAGEREF _Toc165276728 \h </w:instrText>
        </w:r>
        <w:r>
          <w:rPr>
            <w:noProof w:val="1"/>
          </w:rPr>
          <w:fldChar w:fldCharType="separate"/>
        </w:r>
        <w:r>
          <w:rPr>
            <w:noProof w:val="1"/>
          </w:rPr>
          <w:t>13</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29">
        <w:r>
          <w:rPr>
            <w:rStyle w:val="C2"/>
            <w:noProof w:val="1"/>
          </w:rPr>
          <w:t>2.1.4</w:t>
        </w:r>
        <w:r>
          <w:rPr>
            <w:rFonts w:cstheme="minorBidi" w:eastAsiaTheme="minorEastAsia"/>
            <w:b w:val="0"/>
            <w:i w:val="0"/>
            <w:noProof w:val="1"/>
            <w:sz w:val="22"/>
          </w:rPr>
          <w:tab/>
        </w:r>
        <w:r>
          <w:rPr>
            <w:rStyle w:val="C2"/>
            <w:noProof w:val="1"/>
          </w:rPr>
          <w:t>Planprogram</w:t>
        </w:r>
        <w:r>
          <w:rPr>
            <w:noProof w:val="1"/>
          </w:rPr>
          <w:tab/>
        </w:r>
        <w:r>
          <w:rPr>
            <w:noProof w:val="1"/>
          </w:rPr>
          <w:fldChar w:fldCharType="begin"/>
        </w:r>
        <w:r>
          <w:rPr>
            <w:noProof w:val="1"/>
          </w:rPr>
          <w:instrText xml:space="preserve"> PAGEREF _Toc165276729 \h </w:instrText>
        </w:r>
        <w:r>
          <w:rPr>
            <w:noProof w:val="1"/>
          </w:rPr>
          <w:fldChar w:fldCharType="separate"/>
        </w:r>
        <w:r>
          <w:rPr>
            <w:noProof w:val="1"/>
          </w:rPr>
          <w:t>13</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30">
        <w:r>
          <w:rPr>
            <w:rStyle w:val="C2"/>
          </w:rPr>
          <w:t>2.2</w:t>
        </w:r>
        <w:r>
          <w:rPr>
            <w:rFonts w:asciiTheme="minorHAnsi" w:hAnsiTheme="minorHAnsi" w:cstheme="minorBidi" w:eastAsiaTheme="minorEastAsia"/>
            <w:bCs w:val="0"/>
            <w:sz w:val="22"/>
          </w:rPr>
          <w:tab/>
        </w:r>
        <w:r>
          <w:rPr>
            <w:rStyle w:val="C2"/>
          </w:rPr>
          <w:t>Riksintressen</w:t>
        </w:r>
        <w:r>
          <w:tab/>
        </w:r>
        <w:r>
          <w:fldChar w:fldCharType="begin"/>
        </w:r>
        <w:r>
          <w:instrText xml:space="preserve"> PAGEREF _Toc165276730 \h </w:instrText>
        </w:r>
        <w:r>
          <w:fldChar w:fldCharType="separate"/>
        </w:r>
        <w:r>
          <w:t>13</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31">
        <w:r>
          <w:rPr>
            <w:rStyle w:val="C2"/>
            <w:noProof w:val="1"/>
          </w:rPr>
          <w:t>2.2.1</w:t>
        </w:r>
        <w:r>
          <w:rPr>
            <w:rFonts w:cstheme="minorBidi" w:eastAsiaTheme="minorEastAsia"/>
            <w:b w:val="0"/>
            <w:i w:val="0"/>
            <w:noProof w:val="1"/>
            <w:sz w:val="22"/>
          </w:rPr>
          <w:tab/>
        </w:r>
        <w:r>
          <w:rPr>
            <w:rStyle w:val="C2"/>
            <w:noProof w:val="1"/>
          </w:rPr>
          <w:t>Trafikkommunikation</w:t>
        </w:r>
        <w:r>
          <w:rPr>
            <w:noProof w:val="1"/>
          </w:rPr>
          <w:tab/>
        </w:r>
        <w:r>
          <w:rPr>
            <w:noProof w:val="1"/>
          </w:rPr>
          <w:fldChar w:fldCharType="begin"/>
        </w:r>
        <w:r>
          <w:rPr>
            <w:noProof w:val="1"/>
          </w:rPr>
          <w:instrText xml:space="preserve"> PAGEREF _Toc165276731 \h </w:instrText>
        </w:r>
        <w:r>
          <w:rPr>
            <w:noProof w:val="1"/>
          </w:rPr>
          <w:fldChar w:fldCharType="separate"/>
        </w:r>
        <w:r>
          <w:rPr>
            <w:noProof w:val="1"/>
          </w:rPr>
          <w:t>13</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32">
        <w:r>
          <w:rPr>
            <w:rStyle w:val="C2"/>
            <w:noProof w:val="1"/>
          </w:rPr>
          <w:t>2.2.2</w:t>
        </w:r>
        <w:r>
          <w:rPr>
            <w:rFonts w:cstheme="minorBidi" w:eastAsiaTheme="minorEastAsia"/>
            <w:b w:val="0"/>
            <w:i w:val="0"/>
            <w:noProof w:val="1"/>
            <w:sz w:val="22"/>
          </w:rPr>
          <w:tab/>
        </w:r>
        <w:r>
          <w:rPr>
            <w:rStyle w:val="C2"/>
            <w:noProof w:val="1"/>
          </w:rPr>
          <w:t>Totalförsvar</w:t>
        </w:r>
        <w:r>
          <w:rPr>
            <w:noProof w:val="1"/>
          </w:rPr>
          <w:tab/>
        </w:r>
        <w:r>
          <w:rPr>
            <w:noProof w:val="1"/>
          </w:rPr>
          <w:fldChar w:fldCharType="begin"/>
        </w:r>
        <w:r>
          <w:rPr>
            <w:noProof w:val="1"/>
          </w:rPr>
          <w:instrText xml:space="preserve"> PAGEREF _Toc165276732 \h </w:instrText>
        </w:r>
        <w:r>
          <w:rPr>
            <w:noProof w:val="1"/>
          </w:rPr>
          <w:fldChar w:fldCharType="separate"/>
        </w:r>
        <w:r>
          <w:rPr>
            <w:noProof w:val="1"/>
          </w:rPr>
          <w:t>14</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33">
        <w:r>
          <w:rPr>
            <w:rStyle w:val="C2"/>
            <w:caps w:val="1"/>
          </w:rPr>
          <w:t>2.3</w:t>
        </w:r>
        <w:r>
          <w:rPr>
            <w:rFonts w:asciiTheme="minorHAnsi" w:hAnsiTheme="minorHAnsi" w:cstheme="minorBidi" w:eastAsiaTheme="minorEastAsia"/>
            <w:bCs w:val="0"/>
            <w:sz w:val="22"/>
          </w:rPr>
          <w:tab/>
        </w:r>
        <w:r>
          <w:rPr>
            <w:rStyle w:val="C2"/>
          </w:rPr>
          <w:t>Miljökvalitetsnormer</w:t>
        </w:r>
        <w:r>
          <w:tab/>
        </w:r>
        <w:r>
          <w:fldChar w:fldCharType="begin"/>
        </w:r>
        <w:r>
          <w:instrText xml:space="preserve"> PAGEREF _Toc165276733 \h </w:instrText>
        </w:r>
        <w:r>
          <w:fldChar w:fldCharType="separate"/>
        </w:r>
        <w:r>
          <w:t>15</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34">
        <w:r>
          <w:rPr>
            <w:rStyle w:val="C2"/>
            <w:caps w:val="1"/>
            <w:noProof w:val="1"/>
          </w:rPr>
          <w:t>2.3.1</w:t>
        </w:r>
        <w:r>
          <w:rPr>
            <w:rFonts w:cstheme="minorBidi" w:eastAsiaTheme="minorEastAsia"/>
            <w:b w:val="0"/>
            <w:i w:val="0"/>
            <w:noProof w:val="1"/>
            <w:sz w:val="22"/>
          </w:rPr>
          <w:tab/>
        </w:r>
        <w:r>
          <w:rPr>
            <w:rStyle w:val="C2"/>
            <w:noProof w:val="1"/>
          </w:rPr>
          <w:t>Luft</w:t>
        </w:r>
        <w:r>
          <w:rPr>
            <w:noProof w:val="1"/>
          </w:rPr>
          <w:tab/>
        </w:r>
        <w:r>
          <w:rPr>
            <w:noProof w:val="1"/>
          </w:rPr>
          <w:fldChar w:fldCharType="begin"/>
        </w:r>
        <w:r>
          <w:rPr>
            <w:noProof w:val="1"/>
          </w:rPr>
          <w:instrText xml:space="preserve"> PAGEREF _Toc165276734 \h </w:instrText>
        </w:r>
        <w:r>
          <w:rPr>
            <w:noProof w:val="1"/>
          </w:rPr>
          <w:fldChar w:fldCharType="separate"/>
        </w:r>
        <w:r>
          <w:rPr>
            <w:noProof w:val="1"/>
          </w:rPr>
          <w:t>15</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35">
        <w:r>
          <w:rPr>
            <w:rStyle w:val="C2"/>
            <w:noProof w:val="1"/>
          </w:rPr>
          <w:t>2.3.2</w:t>
        </w:r>
        <w:r>
          <w:rPr>
            <w:rFonts w:cstheme="minorBidi" w:eastAsiaTheme="minorEastAsia"/>
            <w:b w:val="0"/>
            <w:i w:val="0"/>
            <w:noProof w:val="1"/>
            <w:sz w:val="22"/>
          </w:rPr>
          <w:tab/>
        </w:r>
        <w:r>
          <w:rPr>
            <w:rStyle w:val="C2"/>
            <w:noProof w:val="1"/>
          </w:rPr>
          <w:t>Vatten</w:t>
        </w:r>
        <w:r>
          <w:rPr>
            <w:noProof w:val="1"/>
          </w:rPr>
          <w:tab/>
        </w:r>
        <w:r>
          <w:rPr>
            <w:noProof w:val="1"/>
          </w:rPr>
          <w:fldChar w:fldCharType="begin"/>
        </w:r>
        <w:r>
          <w:rPr>
            <w:noProof w:val="1"/>
          </w:rPr>
          <w:instrText xml:space="preserve"> PAGEREF _Toc165276735 \h </w:instrText>
        </w:r>
        <w:r>
          <w:rPr>
            <w:noProof w:val="1"/>
          </w:rPr>
          <w:fldChar w:fldCharType="separate"/>
        </w:r>
        <w:r>
          <w:rPr>
            <w:noProof w:val="1"/>
          </w:rPr>
          <w:t>15</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36">
        <w:r>
          <w:rPr>
            <w:rStyle w:val="C2"/>
          </w:rPr>
          <w:t>2.4</w:t>
        </w:r>
        <w:r>
          <w:rPr>
            <w:rFonts w:asciiTheme="minorHAnsi" w:hAnsiTheme="minorHAnsi" w:cstheme="minorBidi" w:eastAsiaTheme="minorEastAsia"/>
            <w:bCs w:val="0"/>
            <w:sz w:val="22"/>
          </w:rPr>
          <w:tab/>
        </w:r>
        <w:r>
          <w:rPr>
            <w:rStyle w:val="C2"/>
          </w:rPr>
          <w:t>Fysisk miljö</w:t>
        </w:r>
        <w:r>
          <w:tab/>
        </w:r>
        <w:r>
          <w:fldChar w:fldCharType="begin"/>
        </w:r>
        <w:r>
          <w:instrText xml:space="preserve"> PAGEREF _Toc165276736 \h </w:instrText>
        </w:r>
        <w:r>
          <w:fldChar w:fldCharType="separate"/>
        </w:r>
        <w:r>
          <w:t>16</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37">
        <w:r>
          <w:rPr>
            <w:rStyle w:val="C2"/>
            <w:noProof w:val="1"/>
          </w:rPr>
          <w:t>2.4.1</w:t>
        </w:r>
        <w:r>
          <w:rPr>
            <w:rFonts w:cstheme="minorBidi" w:eastAsiaTheme="minorEastAsia"/>
            <w:b w:val="0"/>
            <w:i w:val="0"/>
            <w:noProof w:val="1"/>
            <w:sz w:val="22"/>
          </w:rPr>
          <w:tab/>
        </w:r>
        <w:r>
          <w:rPr>
            <w:rStyle w:val="C2"/>
            <w:noProof w:val="1"/>
          </w:rPr>
          <w:t>Bebyggelse och omgivning</w:t>
        </w:r>
        <w:r>
          <w:rPr>
            <w:noProof w:val="1"/>
          </w:rPr>
          <w:tab/>
        </w:r>
        <w:r>
          <w:rPr>
            <w:noProof w:val="1"/>
          </w:rPr>
          <w:fldChar w:fldCharType="begin"/>
        </w:r>
        <w:r>
          <w:rPr>
            <w:noProof w:val="1"/>
          </w:rPr>
          <w:instrText xml:space="preserve"> PAGEREF _Toc165276737 \h </w:instrText>
        </w:r>
        <w:r>
          <w:rPr>
            <w:noProof w:val="1"/>
          </w:rPr>
          <w:fldChar w:fldCharType="separate"/>
        </w:r>
        <w:r>
          <w:rPr>
            <w:noProof w:val="1"/>
          </w:rPr>
          <w:t>16</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38">
        <w:r>
          <w:rPr>
            <w:rStyle w:val="C2"/>
            <w:noProof w:val="1"/>
          </w:rPr>
          <w:t>2.4.2</w:t>
        </w:r>
        <w:r>
          <w:rPr>
            <w:rFonts w:cstheme="minorBidi" w:eastAsiaTheme="minorEastAsia"/>
            <w:b w:val="0"/>
            <w:i w:val="0"/>
            <w:noProof w:val="1"/>
            <w:sz w:val="22"/>
          </w:rPr>
          <w:tab/>
        </w:r>
        <w:r>
          <w:rPr>
            <w:rStyle w:val="C2"/>
            <w:noProof w:val="1"/>
          </w:rPr>
          <w:t>Service</w:t>
        </w:r>
        <w:r>
          <w:rPr>
            <w:noProof w:val="1"/>
          </w:rPr>
          <w:tab/>
        </w:r>
        <w:r>
          <w:rPr>
            <w:noProof w:val="1"/>
          </w:rPr>
          <w:fldChar w:fldCharType="begin"/>
        </w:r>
        <w:r>
          <w:rPr>
            <w:noProof w:val="1"/>
          </w:rPr>
          <w:instrText xml:space="preserve"> PAGEREF _Toc165276738 \h </w:instrText>
        </w:r>
        <w:r>
          <w:rPr>
            <w:noProof w:val="1"/>
          </w:rPr>
          <w:fldChar w:fldCharType="separate"/>
        </w:r>
        <w:r>
          <w:rPr>
            <w:noProof w:val="1"/>
          </w:rPr>
          <w:t>16</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39">
        <w:r>
          <w:rPr>
            <w:rStyle w:val="C2"/>
            <w:caps w:val="1"/>
          </w:rPr>
          <w:t>2.5</w:t>
        </w:r>
        <w:r>
          <w:rPr>
            <w:rFonts w:asciiTheme="minorHAnsi" w:hAnsiTheme="minorHAnsi" w:cstheme="minorBidi" w:eastAsiaTheme="minorEastAsia"/>
            <w:bCs w:val="0"/>
            <w:sz w:val="22"/>
          </w:rPr>
          <w:tab/>
        </w:r>
        <w:r>
          <w:rPr>
            <w:rStyle w:val="C2"/>
          </w:rPr>
          <w:t>Trafik</w:t>
        </w:r>
        <w:r>
          <w:tab/>
        </w:r>
        <w:r>
          <w:fldChar w:fldCharType="begin"/>
        </w:r>
        <w:r>
          <w:instrText xml:space="preserve"> PAGEREF _Toc165276739 \h </w:instrText>
        </w:r>
        <w:r>
          <w:fldChar w:fldCharType="separate"/>
        </w:r>
        <w:r>
          <w:t>17</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0">
        <w:r>
          <w:rPr>
            <w:rStyle w:val="C2"/>
            <w:noProof w:val="1"/>
          </w:rPr>
          <w:t>2.5.1</w:t>
        </w:r>
        <w:r>
          <w:rPr>
            <w:rFonts w:cstheme="minorBidi" w:eastAsiaTheme="minorEastAsia"/>
            <w:b w:val="0"/>
            <w:i w:val="0"/>
            <w:noProof w:val="1"/>
            <w:sz w:val="22"/>
          </w:rPr>
          <w:tab/>
        </w:r>
        <w:r>
          <w:rPr>
            <w:rStyle w:val="C2"/>
            <w:noProof w:val="1"/>
          </w:rPr>
          <w:t>Gång- och cykeltrafik</w:t>
        </w:r>
        <w:r>
          <w:rPr>
            <w:noProof w:val="1"/>
          </w:rPr>
          <w:tab/>
        </w:r>
        <w:r>
          <w:rPr>
            <w:noProof w:val="1"/>
          </w:rPr>
          <w:fldChar w:fldCharType="begin"/>
        </w:r>
        <w:r>
          <w:rPr>
            <w:noProof w:val="1"/>
          </w:rPr>
          <w:instrText xml:space="preserve"> PAGEREF _Toc165276740 \h </w:instrText>
        </w:r>
        <w:r>
          <w:rPr>
            <w:noProof w:val="1"/>
          </w:rPr>
          <w:fldChar w:fldCharType="separate"/>
        </w:r>
        <w:r>
          <w:rPr>
            <w:noProof w:val="1"/>
          </w:rPr>
          <w:t>17</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1">
        <w:r>
          <w:rPr>
            <w:rStyle w:val="C2"/>
            <w:noProof w:val="1"/>
          </w:rPr>
          <w:t>2.5.2</w:t>
        </w:r>
        <w:r>
          <w:rPr>
            <w:rFonts w:cstheme="minorBidi" w:eastAsiaTheme="minorEastAsia"/>
            <w:b w:val="0"/>
            <w:i w:val="0"/>
            <w:noProof w:val="1"/>
            <w:sz w:val="22"/>
          </w:rPr>
          <w:tab/>
        </w:r>
        <w:r>
          <w:rPr>
            <w:rStyle w:val="C2"/>
            <w:noProof w:val="1"/>
          </w:rPr>
          <w:t>Kollektivtrafik</w:t>
        </w:r>
        <w:r>
          <w:rPr>
            <w:noProof w:val="1"/>
          </w:rPr>
          <w:tab/>
        </w:r>
        <w:r>
          <w:rPr>
            <w:noProof w:val="1"/>
          </w:rPr>
          <w:fldChar w:fldCharType="begin"/>
        </w:r>
        <w:r>
          <w:rPr>
            <w:noProof w:val="1"/>
          </w:rPr>
          <w:instrText xml:space="preserve"> PAGEREF _Toc165276741 \h </w:instrText>
        </w:r>
        <w:r>
          <w:rPr>
            <w:noProof w:val="1"/>
          </w:rPr>
          <w:fldChar w:fldCharType="separate"/>
        </w:r>
        <w:r>
          <w:rPr>
            <w:noProof w:val="1"/>
          </w:rPr>
          <w:t>17</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2">
        <w:r>
          <w:rPr>
            <w:rStyle w:val="C2"/>
            <w:noProof w:val="1"/>
          </w:rPr>
          <w:t>2.5.3</w:t>
        </w:r>
        <w:r>
          <w:rPr>
            <w:rFonts w:cstheme="minorBidi" w:eastAsiaTheme="minorEastAsia"/>
            <w:b w:val="0"/>
            <w:i w:val="0"/>
            <w:noProof w:val="1"/>
            <w:sz w:val="22"/>
          </w:rPr>
          <w:tab/>
        </w:r>
        <w:r>
          <w:rPr>
            <w:rStyle w:val="C2"/>
            <w:noProof w:val="1"/>
          </w:rPr>
          <w:t>Motortrafik och transporter</w:t>
        </w:r>
        <w:r>
          <w:rPr>
            <w:noProof w:val="1"/>
          </w:rPr>
          <w:tab/>
        </w:r>
        <w:r>
          <w:rPr>
            <w:noProof w:val="1"/>
          </w:rPr>
          <w:fldChar w:fldCharType="begin"/>
        </w:r>
        <w:r>
          <w:rPr>
            <w:noProof w:val="1"/>
          </w:rPr>
          <w:instrText xml:space="preserve"> PAGEREF _Toc165276742 \h </w:instrText>
        </w:r>
        <w:r>
          <w:rPr>
            <w:noProof w:val="1"/>
          </w:rPr>
          <w:fldChar w:fldCharType="separate"/>
        </w:r>
        <w:r>
          <w:rPr>
            <w:noProof w:val="1"/>
          </w:rPr>
          <w:t>17</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43">
        <w:r>
          <w:rPr>
            <w:rStyle w:val="C2"/>
          </w:rPr>
          <w:t>2.6</w:t>
        </w:r>
        <w:r>
          <w:rPr>
            <w:rFonts w:asciiTheme="minorHAnsi" w:hAnsiTheme="minorHAnsi" w:cstheme="minorBidi" w:eastAsiaTheme="minorEastAsia"/>
            <w:bCs w:val="0"/>
            <w:sz w:val="22"/>
          </w:rPr>
          <w:tab/>
        </w:r>
        <w:r>
          <w:rPr>
            <w:rStyle w:val="C2"/>
          </w:rPr>
          <w:t>Sociala förutsättningar</w:t>
        </w:r>
        <w:r>
          <w:tab/>
        </w:r>
        <w:r>
          <w:fldChar w:fldCharType="begin"/>
        </w:r>
        <w:r>
          <w:instrText xml:space="preserve"> PAGEREF _Toc165276743 \h </w:instrText>
        </w:r>
        <w:r>
          <w:fldChar w:fldCharType="separate"/>
        </w:r>
        <w:r>
          <w:t>18</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4">
        <w:r>
          <w:rPr>
            <w:rStyle w:val="C2"/>
            <w:noProof w:val="1"/>
          </w:rPr>
          <w:t>2.6.1</w:t>
        </w:r>
        <w:r>
          <w:rPr>
            <w:rFonts w:cstheme="minorBidi" w:eastAsiaTheme="minorEastAsia"/>
            <w:b w:val="0"/>
            <w:i w:val="0"/>
            <w:noProof w:val="1"/>
            <w:sz w:val="22"/>
          </w:rPr>
          <w:tab/>
        </w:r>
        <w:r>
          <w:rPr>
            <w:rStyle w:val="C2"/>
            <w:noProof w:val="1"/>
          </w:rPr>
          <w:t>Samvaro</w:t>
        </w:r>
        <w:r>
          <w:rPr>
            <w:noProof w:val="1"/>
          </w:rPr>
          <w:tab/>
        </w:r>
        <w:r>
          <w:rPr>
            <w:noProof w:val="1"/>
          </w:rPr>
          <w:fldChar w:fldCharType="begin"/>
        </w:r>
        <w:r>
          <w:rPr>
            <w:noProof w:val="1"/>
          </w:rPr>
          <w:instrText xml:space="preserve"> PAGEREF _Toc165276744 \h </w:instrText>
        </w:r>
        <w:r>
          <w:rPr>
            <w:noProof w:val="1"/>
          </w:rPr>
          <w:fldChar w:fldCharType="separate"/>
        </w:r>
        <w:r>
          <w:rPr>
            <w:noProof w:val="1"/>
          </w:rPr>
          <w:t>18</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5">
        <w:r>
          <w:rPr>
            <w:rStyle w:val="C2"/>
            <w:noProof w:val="1"/>
          </w:rPr>
          <w:t>2.6.2</w:t>
        </w:r>
        <w:r>
          <w:rPr>
            <w:rFonts w:cstheme="minorBidi" w:eastAsiaTheme="minorEastAsia"/>
            <w:b w:val="0"/>
            <w:i w:val="0"/>
            <w:noProof w:val="1"/>
            <w:sz w:val="22"/>
          </w:rPr>
          <w:tab/>
        </w:r>
        <w:r>
          <w:rPr>
            <w:rStyle w:val="C2"/>
            <w:noProof w:val="1"/>
          </w:rPr>
          <w:t>Mobilitet</w:t>
        </w:r>
        <w:r>
          <w:rPr>
            <w:noProof w:val="1"/>
          </w:rPr>
          <w:tab/>
        </w:r>
        <w:r>
          <w:rPr>
            <w:noProof w:val="1"/>
          </w:rPr>
          <w:fldChar w:fldCharType="begin"/>
        </w:r>
        <w:r>
          <w:rPr>
            <w:noProof w:val="1"/>
          </w:rPr>
          <w:instrText xml:space="preserve"> PAGEREF _Toc165276745 \h </w:instrText>
        </w:r>
        <w:r>
          <w:rPr>
            <w:noProof w:val="1"/>
          </w:rPr>
          <w:fldChar w:fldCharType="separate"/>
        </w:r>
        <w:r>
          <w:rPr>
            <w:noProof w:val="1"/>
          </w:rPr>
          <w:t>18</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6">
        <w:r>
          <w:rPr>
            <w:rStyle w:val="C2"/>
            <w:noProof w:val="1"/>
          </w:rPr>
          <w:t>2.6.3</w:t>
        </w:r>
        <w:r>
          <w:rPr>
            <w:rFonts w:cstheme="minorBidi" w:eastAsiaTheme="minorEastAsia"/>
            <w:b w:val="0"/>
            <w:i w:val="0"/>
            <w:noProof w:val="1"/>
            <w:sz w:val="22"/>
          </w:rPr>
          <w:tab/>
        </w:r>
        <w:r>
          <w:rPr>
            <w:rStyle w:val="C2"/>
            <w:noProof w:val="1"/>
          </w:rPr>
          <w:t>Trygghet</w:t>
        </w:r>
        <w:r>
          <w:rPr>
            <w:noProof w:val="1"/>
          </w:rPr>
          <w:tab/>
        </w:r>
        <w:r>
          <w:rPr>
            <w:noProof w:val="1"/>
          </w:rPr>
          <w:fldChar w:fldCharType="begin"/>
        </w:r>
        <w:r>
          <w:rPr>
            <w:noProof w:val="1"/>
          </w:rPr>
          <w:instrText xml:space="preserve"> PAGEREF _Toc165276746 \h </w:instrText>
        </w:r>
        <w:r>
          <w:rPr>
            <w:noProof w:val="1"/>
          </w:rPr>
          <w:fldChar w:fldCharType="separate"/>
        </w:r>
        <w:r>
          <w:rPr>
            <w:noProof w:val="1"/>
          </w:rPr>
          <w:t>19</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47">
        <w:r>
          <w:rPr>
            <w:rStyle w:val="C2"/>
            <w:caps w:val="1"/>
          </w:rPr>
          <w:t>2.7</w:t>
        </w:r>
        <w:r>
          <w:rPr>
            <w:rFonts w:asciiTheme="minorHAnsi" w:hAnsiTheme="minorHAnsi" w:cstheme="minorBidi" w:eastAsiaTheme="minorEastAsia"/>
            <w:bCs w:val="0"/>
            <w:sz w:val="22"/>
          </w:rPr>
          <w:tab/>
        </w:r>
        <w:r>
          <w:rPr>
            <w:rStyle w:val="C2"/>
          </w:rPr>
          <w:t>Natur och miljö</w:t>
        </w:r>
        <w:r>
          <w:tab/>
        </w:r>
        <w:r>
          <w:fldChar w:fldCharType="begin"/>
        </w:r>
        <w:r>
          <w:instrText xml:space="preserve"> PAGEREF _Toc165276747 \h </w:instrText>
        </w:r>
        <w:r>
          <w:fldChar w:fldCharType="separate"/>
        </w:r>
        <w:r>
          <w:t>19</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8">
        <w:r>
          <w:rPr>
            <w:rStyle w:val="C2"/>
            <w:caps w:val="1"/>
            <w:noProof w:val="1"/>
          </w:rPr>
          <w:t>2.7.1</w:t>
        </w:r>
        <w:r>
          <w:rPr>
            <w:rFonts w:cstheme="minorBidi" w:eastAsiaTheme="minorEastAsia"/>
            <w:b w:val="0"/>
            <w:i w:val="0"/>
            <w:noProof w:val="1"/>
            <w:sz w:val="22"/>
          </w:rPr>
          <w:tab/>
        </w:r>
        <w:r>
          <w:rPr>
            <w:rStyle w:val="C2"/>
            <w:noProof w:val="1"/>
          </w:rPr>
          <w:t>Dagvatten</w:t>
        </w:r>
        <w:r>
          <w:rPr>
            <w:noProof w:val="1"/>
          </w:rPr>
          <w:tab/>
        </w:r>
        <w:r>
          <w:rPr>
            <w:noProof w:val="1"/>
          </w:rPr>
          <w:fldChar w:fldCharType="begin"/>
        </w:r>
        <w:r>
          <w:rPr>
            <w:noProof w:val="1"/>
          </w:rPr>
          <w:instrText xml:space="preserve"> PAGEREF _Toc165276748 \h </w:instrText>
        </w:r>
        <w:r>
          <w:rPr>
            <w:noProof w:val="1"/>
          </w:rPr>
          <w:fldChar w:fldCharType="separate"/>
        </w:r>
        <w:r>
          <w:rPr>
            <w:noProof w:val="1"/>
          </w:rPr>
          <w:t>19</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49">
        <w:r>
          <w:rPr>
            <w:rStyle w:val="C2"/>
            <w:noProof w:val="1"/>
          </w:rPr>
          <w:t>2.7.2</w:t>
        </w:r>
        <w:r>
          <w:rPr>
            <w:rFonts w:cstheme="minorBidi" w:eastAsiaTheme="minorEastAsia"/>
            <w:b w:val="0"/>
            <w:i w:val="0"/>
            <w:noProof w:val="1"/>
            <w:sz w:val="22"/>
          </w:rPr>
          <w:tab/>
        </w:r>
        <w:r>
          <w:rPr>
            <w:rStyle w:val="C2"/>
            <w:noProof w:val="1"/>
          </w:rPr>
          <w:t>Natur- och grönområden</w:t>
        </w:r>
        <w:r>
          <w:rPr>
            <w:noProof w:val="1"/>
          </w:rPr>
          <w:tab/>
        </w:r>
        <w:r>
          <w:rPr>
            <w:noProof w:val="1"/>
          </w:rPr>
          <w:fldChar w:fldCharType="begin"/>
        </w:r>
        <w:r>
          <w:rPr>
            <w:noProof w:val="1"/>
          </w:rPr>
          <w:instrText xml:space="preserve"> PAGEREF _Toc165276749 \h </w:instrText>
        </w:r>
        <w:r>
          <w:rPr>
            <w:noProof w:val="1"/>
          </w:rPr>
          <w:fldChar w:fldCharType="separate"/>
        </w:r>
        <w:r>
          <w:rPr>
            <w:noProof w:val="1"/>
          </w:rPr>
          <w:t>20</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50">
        <w:r>
          <w:rPr>
            <w:rStyle w:val="C2"/>
          </w:rPr>
          <w:t>2.8</w:t>
        </w:r>
        <w:r>
          <w:rPr>
            <w:rFonts w:asciiTheme="minorHAnsi" w:hAnsiTheme="minorHAnsi" w:cstheme="minorBidi" w:eastAsiaTheme="minorEastAsia"/>
            <w:bCs w:val="0"/>
            <w:sz w:val="22"/>
          </w:rPr>
          <w:tab/>
        </w:r>
        <w:r>
          <w:rPr>
            <w:rStyle w:val="C2"/>
          </w:rPr>
          <w:t>Geoteknik</w:t>
        </w:r>
        <w:r>
          <w:tab/>
        </w:r>
        <w:r>
          <w:fldChar w:fldCharType="begin"/>
        </w:r>
        <w:r>
          <w:instrText xml:space="preserve"> PAGEREF _Toc165276750 \h </w:instrText>
        </w:r>
        <w:r>
          <w:fldChar w:fldCharType="separate"/>
        </w:r>
        <w:r>
          <w:t>21</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51">
        <w:r>
          <w:rPr>
            <w:rStyle w:val="C2"/>
            <w:caps w:val="1"/>
          </w:rPr>
          <w:t>2.9</w:t>
        </w:r>
        <w:r>
          <w:rPr>
            <w:rFonts w:asciiTheme="minorHAnsi" w:hAnsiTheme="minorHAnsi" w:cstheme="minorBidi" w:eastAsiaTheme="minorEastAsia"/>
            <w:bCs w:val="0"/>
            <w:sz w:val="22"/>
          </w:rPr>
          <w:tab/>
        </w:r>
        <w:r>
          <w:rPr>
            <w:rStyle w:val="C2"/>
          </w:rPr>
          <w:t>Tekniska förutsättningar</w:t>
        </w:r>
        <w:r>
          <w:tab/>
        </w:r>
        <w:r>
          <w:fldChar w:fldCharType="begin"/>
        </w:r>
        <w:r>
          <w:instrText xml:space="preserve"> PAGEREF _Toc165276751 \h </w:instrText>
        </w:r>
        <w:r>
          <w:fldChar w:fldCharType="separate"/>
        </w:r>
        <w:r>
          <w:t>21</w:t>
        </w:r>
        <w:r>
          <w:fldChar w:fldCharType="end"/>
        </w:r>
      </w:hyperlink>
    </w:p>
    <w:p>
      <w:pPr>
        <w:pStyle w:val="P19"/>
        <w:tabs>
          <w:tab w:val="left" w:pos="970" w:leader="none"/>
          <w:tab w:val="right" w:pos="7360" w:leader="none"/>
        </w:tabs>
        <w:rPr>
          <w:rFonts w:asciiTheme="minorHAnsi" w:hAnsiTheme="minorHAnsi" w:cstheme="minorBidi" w:eastAsiaTheme="minorEastAsia"/>
          <w:bCs w:val="0"/>
          <w:sz w:val="22"/>
        </w:rPr>
      </w:pPr>
      <w:hyperlink w:anchor="_Toc165276752">
        <w:r>
          <w:rPr>
            <w:rStyle w:val="C2"/>
            <w:caps w:val="1"/>
          </w:rPr>
          <w:t>2.10</w:t>
        </w:r>
        <w:r>
          <w:rPr>
            <w:rFonts w:asciiTheme="minorHAnsi" w:hAnsiTheme="minorHAnsi" w:cstheme="minorBidi" w:eastAsiaTheme="minorEastAsia"/>
            <w:bCs w:val="0"/>
            <w:sz w:val="22"/>
          </w:rPr>
          <w:tab/>
        </w:r>
        <w:r>
          <w:rPr>
            <w:rStyle w:val="C2"/>
          </w:rPr>
          <w:t>Hälsa och säkerhet</w:t>
        </w:r>
        <w:r>
          <w:tab/>
        </w:r>
        <w:r>
          <w:fldChar w:fldCharType="begin"/>
        </w:r>
        <w:r>
          <w:instrText xml:space="preserve"> PAGEREF _Toc165276752 \h </w:instrText>
        </w:r>
        <w:r>
          <w:fldChar w:fldCharType="separate"/>
        </w:r>
        <w:r>
          <w:t>22</w:t>
        </w:r>
        <w:r>
          <w:fldChar w:fldCharType="end"/>
        </w:r>
      </w:hyperlink>
    </w:p>
    <w:p>
      <w:pPr>
        <w:pStyle w:val="P18"/>
        <w:tabs>
          <w:tab w:val="left" w:pos="1645" w:leader="none"/>
          <w:tab w:val="right" w:pos="7360" w:leader="none"/>
        </w:tabs>
        <w:rPr>
          <w:rFonts w:cstheme="minorBidi" w:eastAsiaTheme="minorEastAsia"/>
          <w:b w:val="0"/>
          <w:i w:val="0"/>
          <w:noProof w:val="1"/>
          <w:sz w:val="22"/>
        </w:rPr>
      </w:pPr>
      <w:hyperlink w:anchor="_Toc165276753">
        <w:r>
          <w:rPr>
            <w:rStyle w:val="C2"/>
            <w:caps w:val="1"/>
            <w:noProof w:val="1"/>
          </w:rPr>
          <w:t>2.10.1</w:t>
        </w:r>
        <w:r>
          <w:rPr>
            <w:rFonts w:cstheme="minorBidi" w:eastAsiaTheme="minorEastAsia"/>
            <w:b w:val="0"/>
            <w:i w:val="0"/>
            <w:noProof w:val="1"/>
            <w:sz w:val="22"/>
          </w:rPr>
          <w:tab/>
        </w:r>
        <w:r>
          <w:rPr>
            <w:rStyle w:val="C2"/>
            <w:noProof w:val="1"/>
          </w:rPr>
          <w:t>Risk för olyckor</w:t>
        </w:r>
        <w:r>
          <w:rPr>
            <w:noProof w:val="1"/>
          </w:rPr>
          <w:tab/>
        </w:r>
        <w:r>
          <w:rPr>
            <w:noProof w:val="1"/>
          </w:rPr>
          <w:fldChar w:fldCharType="begin"/>
        </w:r>
        <w:r>
          <w:rPr>
            <w:noProof w:val="1"/>
          </w:rPr>
          <w:instrText xml:space="preserve"> PAGEREF _Toc165276753 \h </w:instrText>
        </w:r>
        <w:r>
          <w:rPr>
            <w:noProof w:val="1"/>
          </w:rPr>
          <w:fldChar w:fldCharType="separate"/>
        </w:r>
        <w:r>
          <w:rPr>
            <w:noProof w:val="1"/>
          </w:rPr>
          <w:t>22</w:t>
        </w:r>
        <w:r>
          <w:rPr>
            <w:noProof w:val="1"/>
          </w:rPr>
          <w:fldChar w:fldCharType="end"/>
        </w:r>
      </w:hyperlink>
    </w:p>
    <w:p>
      <w:pPr>
        <w:pStyle w:val="P18"/>
        <w:tabs>
          <w:tab w:val="left" w:pos="1645" w:leader="none"/>
          <w:tab w:val="right" w:pos="7360" w:leader="none"/>
        </w:tabs>
        <w:rPr>
          <w:rFonts w:cstheme="minorBidi" w:eastAsiaTheme="minorEastAsia"/>
          <w:b w:val="0"/>
          <w:i w:val="0"/>
          <w:noProof w:val="1"/>
          <w:sz w:val="22"/>
        </w:rPr>
      </w:pPr>
      <w:hyperlink w:anchor="_Toc165276754">
        <w:r>
          <w:rPr>
            <w:rStyle w:val="C2"/>
            <w:caps w:val="1"/>
            <w:noProof w:val="1"/>
          </w:rPr>
          <w:t>2.10.2</w:t>
        </w:r>
        <w:r>
          <w:rPr>
            <w:rFonts w:cstheme="minorBidi" w:eastAsiaTheme="minorEastAsia"/>
            <w:b w:val="0"/>
            <w:i w:val="0"/>
            <w:noProof w:val="1"/>
            <w:sz w:val="22"/>
          </w:rPr>
          <w:tab/>
        </w:r>
        <w:r>
          <w:rPr>
            <w:rStyle w:val="C2"/>
            <w:noProof w:val="1"/>
          </w:rPr>
          <w:t>Risk för översvämning</w:t>
        </w:r>
        <w:r>
          <w:rPr>
            <w:noProof w:val="1"/>
          </w:rPr>
          <w:tab/>
        </w:r>
        <w:r>
          <w:rPr>
            <w:noProof w:val="1"/>
          </w:rPr>
          <w:fldChar w:fldCharType="begin"/>
        </w:r>
        <w:r>
          <w:rPr>
            <w:noProof w:val="1"/>
          </w:rPr>
          <w:instrText xml:space="preserve"> PAGEREF _Toc165276754 \h </w:instrText>
        </w:r>
        <w:r>
          <w:rPr>
            <w:noProof w:val="1"/>
          </w:rPr>
          <w:fldChar w:fldCharType="separate"/>
        </w:r>
        <w:r>
          <w:rPr>
            <w:noProof w:val="1"/>
          </w:rPr>
          <w:t>22</w:t>
        </w:r>
        <w:r>
          <w:rPr>
            <w:noProof w:val="1"/>
          </w:rPr>
          <w:fldChar w:fldCharType="end"/>
        </w:r>
      </w:hyperlink>
    </w:p>
    <w:p>
      <w:pPr>
        <w:pStyle w:val="P18"/>
        <w:tabs>
          <w:tab w:val="left" w:pos="1645" w:leader="none"/>
          <w:tab w:val="right" w:pos="7360" w:leader="none"/>
        </w:tabs>
        <w:rPr>
          <w:rFonts w:cstheme="minorBidi" w:eastAsiaTheme="minorEastAsia"/>
          <w:b w:val="0"/>
          <w:i w:val="0"/>
          <w:noProof w:val="1"/>
          <w:sz w:val="22"/>
        </w:rPr>
      </w:pPr>
      <w:hyperlink w:anchor="_Toc165276755">
        <w:r>
          <w:rPr>
            <w:rStyle w:val="C2"/>
            <w:rFonts w:cs="Arial"/>
            <w:noProof w:val="1"/>
          </w:rPr>
          <w:t>2.10.3</w:t>
        </w:r>
        <w:r>
          <w:rPr>
            <w:rFonts w:cstheme="minorBidi" w:eastAsiaTheme="minorEastAsia"/>
            <w:b w:val="0"/>
            <w:i w:val="0"/>
            <w:noProof w:val="1"/>
            <w:sz w:val="22"/>
          </w:rPr>
          <w:tab/>
        </w:r>
        <w:r>
          <w:rPr>
            <w:rStyle w:val="C2"/>
            <w:rFonts w:cs="Arial"/>
            <w:noProof w:val="1"/>
          </w:rPr>
          <w:t>Markmiljö</w:t>
        </w:r>
        <w:r>
          <w:rPr>
            <w:noProof w:val="1"/>
          </w:rPr>
          <w:tab/>
        </w:r>
        <w:r>
          <w:rPr>
            <w:noProof w:val="1"/>
          </w:rPr>
          <w:fldChar w:fldCharType="begin"/>
        </w:r>
        <w:r>
          <w:rPr>
            <w:noProof w:val="1"/>
          </w:rPr>
          <w:instrText xml:space="preserve"> PAGEREF _Toc165276755 \h </w:instrText>
        </w:r>
        <w:r>
          <w:rPr>
            <w:noProof w:val="1"/>
          </w:rPr>
          <w:fldChar w:fldCharType="separate"/>
        </w:r>
        <w:r>
          <w:rPr>
            <w:noProof w:val="1"/>
          </w:rPr>
          <w:t>23</w:t>
        </w:r>
        <w:r>
          <w:rPr>
            <w:noProof w:val="1"/>
          </w:rPr>
          <w:fldChar w:fldCharType="end"/>
        </w:r>
      </w:hyperlink>
    </w:p>
    <w:p>
      <w:pPr>
        <w:pStyle w:val="P18"/>
        <w:tabs>
          <w:tab w:val="left" w:pos="1645" w:leader="none"/>
          <w:tab w:val="right" w:pos="7360" w:leader="none"/>
        </w:tabs>
        <w:rPr>
          <w:rFonts w:cstheme="minorBidi" w:eastAsiaTheme="minorEastAsia"/>
          <w:b w:val="0"/>
          <w:i w:val="0"/>
          <w:noProof w:val="1"/>
          <w:sz w:val="22"/>
        </w:rPr>
      </w:pPr>
      <w:hyperlink w:anchor="_Toc165276756">
        <w:r>
          <w:rPr>
            <w:rStyle w:val="C2"/>
            <w:noProof w:val="1"/>
          </w:rPr>
          <w:t>2.10.4</w:t>
        </w:r>
        <w:r>
          <w:rPr>
            <w:rFonts w:cstheme="minorBidi" w:eastAsiaTheme="minorEastAsia"/>
            <w:b w:val="0"/>
            <w:i w:val="0"/>
            <w:noProof w:val="1"/>
            <w:sz w:val="22"/>
          </w:rPr>
          <w:tab/>
        </w:r>
        <w:r>
          <w:rPr>
            <w:rStyle w:val="C2"/>
            <w:noProof w:val="1"/>
          </w:rPr>
          <w:t>Radon</w:t>
        </w:r>
        <w:r>
          <w:rPr>
            <w:noProof w:val="1"/>
          </w:rPr>
          <w:tab/>
        </w:r>
        <w:r>
          <w:rPr>
            <w:noProof w:val="1"/>
          </w:rPr>
          <w:fldChar w:fldCharType="begin"/>
        </w:r>
        <w:r>
          <w:rPr>
            <w:noProof w:val="1"/>
          </w:rPr>
          <w:instrText xml:space="preserve"> PAGEREF _Toc165276756 \h </w:instrText>
        </w:r>
        <w:r>
          <w:rPr>
            <w:noProof w:val="1"/>
          </w:rPr>
          <w:fldChar w:fldCharType="separate"/>
        </w:r>
        <w:r>
          <w:rPr>
            <w:noProof w:val="1"/>
          </w:rPr>
          <w:t>24</w:t>
        </w:r>
        <w:r>
          <w:rPr>
            <w:noProof w:val="1"/>
          </w:rPr>
          <w:fldChar w:fldCharType="end"/>
        </w:r>
      </w:hyperlink>
    </w:p>
    <w:p>
      <w:pPr>
        <w:pStyle w:val="P17"/>
        <w:rPr>
          <w:rFonts w:asciiTheme="minorHAnsi" w:hAnsiTheme="minorHAnsi" w:cstheme="minorBidi" w:eastAsiaTheme="minorEastAsia"/>
          <w:b w:val="0"/>
          <w:bCs w:val="0"/>
          <w:sz w:val="22"/>
        </w:rPr>
      </w:pPr>
      <w:hyperlink w:anchor="_Toc165276757">
        <w:r>
          <w:rPr>
            <w:rStyle w:val="C2"/>
          </w:rPr>
          <w:t>3.</w:t>
        </w:r>
        <w:r>
          <w:rPr>
            <w:rFonts w:asciiTheme="minorHAnsi" w:hAnsiTheme="minorHAnsi" w:cstheme="minorBidi" w:eastAsiaTheme="minorEastAsia"/>
            <w:b w:val="0"/>
            <w:bCs w:val="0"/>
            <w:sz w:val="22"/>
          </w:rPr>
          <w:tab/>
        </w:r>
        <w:r>
          <w:rPr>
            <w:rStyle w:val="C2"/>
          </w:rPr>
          <w:t>Beskrivning av detaljplanen/ planförslaget</w:t>
        </w:r>
        <w:r>
          <w:tab/>
        </w:r>
        <w:r>
          <w:fldChar w:fldCharType="begin"/>
        </w:r>
        <w:r>
          <w:instrText xml:space="preserve"> PAGEREF _Toc165276757 \h </w:instrText>
        </w:r>
        <w:r>
          <w:fldChar w:fldCharType="separate"/>
        </w:r>
        <w:r>
          <w:t>24</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58">
        <w:r>
          <w:rPr>
            <w:rStyle w:val="C2"/>
          </w:rPr>
          <w:t>3.1</w:t>
        </w:r>
        <w:r>
          <w:rPr>
            <w:rFonts w:asciiTheme="minorHAnsi" w:hAnsiTheme="minorHAnsi" w:cstheme="minorBidi" w:eastAsiaTheme="minorEastAsia"/>
            <w:bCs w:val="0"/>
            <w:sz w:val="22"/>
          </w:rPr>
          <w:tab/>
        </w:r>
        <w:r>
          <w:rPr>
            <w:rStyle w:val="C2"/>
          </w:rPr>
          <w:t>Bakgrund</w:t>
        </w:r>
        <w:r>
          <w:tab/>
        </w:r>
        <w:r>
          <w:fldChar w:fldCharType="begin"/>
        </w:r>
        <w:r>
          <w:instrText xml:space="preserve"> PAGEREF _Toc165276758 \h </w:instrText>
        </w:r>
        <w:r>
          <w:fldChar w:fldCharType="separate"/>
        </w:r>
        <w:r>
          <w:t>24</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59">
        <w:r>
          <w:rPr>
            <w:rStyle w:val="C2"/>
            <w:caps w:val="1"/>
          </w:rPr>
          <w:t>3.2</w:t>
        </w:r>
        <w:r>
          <w:rPr>
            <w:rFonts w:asciiTheme="minorHAnsi" w:hAnsiTheme="minorHAnsi" w:cstheme="minorBidi" w:eastAsiaTheme="minorEastAsia"/>
            <w:bCs w:val="0"/>
            <w:sz w:val="22"/>
          </w:rPr>
          <w:tab/>
        </w:r>
        <w:r>
          <w:rPr>
            <w:rStyle w:val="C2"/>
          </w:rPr>
          <w:t>Hela detaljplanen</w:t>
        </w:r>
        <w:r>
          <w:tab/>
        </w:r>
        <w:r>
          <w:fldChar w:fldCharType="begin"/>
        </w:r>
        <w:r>
          <w:instrText xml:space="preserve"> PAGEREF _Toc165276759 \h </w:instrText>
        </w:r>
        <w:r>
          <w:fldChar w:fldCharType="separate"/>
        </w:r>
        <w:r>
          <w:t>25</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60">
        <w:r>
          <w:rPr>
            <w:rStyle w:val="C2"/>
            <w:noProof w:val="1"/>
          </w:rPr>
          <w:t>3.2.1</w:t>
        </w:r>
        <w:r>
          <w:rPr>
            <w:rFonts w:cstheme="minorBidi" w:eastAsiaTheme="minorEastAsia"/>
            <w:b w:val="0"/>
            <w:i w:val="0"/>
            <w:noProof w:val="1"/>
            <w:sz w:val="22"/>
          </w:rPr>
          <w:tab/>
        </w:r>
        <w:r>
          <w:rPr>
            <w:rStyle w:val="C2"/>
            <w:noProof w:val="1"/>
          </w:rPr>
          <w:t>Planområdet</w:t>
        </w:r>
        <w:r>
          <w:rPr>
            <w:noProof w:val="1"/>
          </w:rPr>
          <w:tab/>
        </w:r>
        <w:r>
          <w:rPr>
            <w:noProof w:val="1"/>
          </w:rPr>
          <w:fldChar w:fldCharType="begin"/>
        </w:r>
        <w:r>
          <w:rPr>
            <w:noProof w:val="1"/>
          </w:rPr>
          <w:instrText xml:space="preserve"> PAGEREF _Toc165276760 \h </w:instrText>
        </w:r>
        <w:r>
          <w:rPr>
            <w:noProof w:val="1"/>
          </w:rPr>
          <w:fldChar w:fldCharType="separate"/>
        </w:r>
        <w:r>
          <w:rPr>
            <w:noProof w:val="1"/>
          </w:rPr>
          <w:t>26</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61">
        <w:r>
          <w:rPr>
            <w:rStyle w:val="C2"/>
            <w:noProof w:val="1"/>
          </w:rPr>
          <w:t>3.2.2</w:t>
        </w:r>
        <w:r>
          <w:rPr>
            <w:rFonts w:cstheme="minorBidi" w:eastAsiaTheme="minorEastAsia"/>
            <w:b w:val="0"/>
            <w:i w:val="0"/>
            <w:noProof w:val="1"/>
            <w:sz w:val="22"/>
          </w:rPr>
          <w:tab/>
        </w:r>
        <w:r>
          <w:rPr>
            <w:rStyle w:val="C2"/>
            <w:noProof w:val="1"/>
          </w:rPr>
          <w:t>Ny bebyggelse</w:t>
        </w:r>
        <w:r>
          <w:rPr>
            <w:noProof w:val="1"/>
          </w:rPr>
          <w:tab/>
        </w:r>
        <w:r>
          <w:rPr>
            <w:noProof w:val="1"/>
          </w:rPr>
          <w:fldChar w:fldCharType="begin"/>
        </w:r>
        <w:r>
          <w:rPr>
            <w:noProof w:val="1"/>
          </w:rPr>
          <w:instrText xml:space="preserve"> PAGEREF _Toc165276761 \h </w:instrText>
        </w:r>
        <w:r>
          <w:rPr>
            <w:noProof w:val="1"/>
          </w:rPr>
          <w:fldChar w:fldCharType="separate"/>
        </w:r>
        <w:r>
          <w:rPr>
            <w:noProof w:val="1"/>
          </w:rPr>
          <w:t>27</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62">
        <w:r>
          <w:rPr>
            <w:rStyle w:val="C2"/>
            <w:noProof w:val="1"/>
          </w:rPr>
          <w:t>3.2.3</w:t>
        </w:r>
        <w:r>
          <w:rPr>
            <w:rFonts w:cstheme="minorBidi" w:eastAsiaTheme="minorEastAsia"/>
            <w:b w:val="0"/>
            <w:i w:val="0"/>
            <w:noProof w:val="1"/>
            <w:sz w:val="22"/>
          </w:rPr>
          <w:tab/>
        </w:r>
        <w:r>
          <w:rPr>
            <w:rStyle w:val="C2"/>
            <w:noProof w:val="1"/>
          </w:rPr>
          <w:t>Trafik och angöring</w:t>
        </w:r>
        <w:r>
          <w:rPr>
            <w:noProof w:val="1"/>
          </w:rPr>
          <w:tab/>
        </w:r>
        <w:r>
          <w:rPr>
            <w:noProof w:val="1"/>
          </w:rPr>
          <w:fldChar w:fldCharType="begin"/>
        </w:r>
        <w:r>
          <w:rPr>
            <w:noProof w:val="1"/>
          </w:rPr>
          <w:instrText xml:space="preserve"> PAGEREF _Toc165276762 \h </w:instrText>
        </w:r>
        <w:r>
          <w:rPr>
            <w:noProof w:val="1"/>
          </w:rPr>
          <w:fldChar w:fldCharType="separate"/>
        </w:r>
        <w:r>
          <w:rPr>
            <w:noProof w:val="1"/>
          </w:rPr>
          <w:t>28</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63">
        <w:r>
          <w:rPr>
            <w:rStyle w:val="C2"/>
          </w:rPr>
          <w:t>3.3</w:t>
        </w:r>
        <w:r>
          <w:rPr>
            <w:rFonts w:asciiTheme="minorHAnsi" w:hAnsiTheme="minorHAnsi" w:cstheme="minorBidi" w:eastAsiaTheme="minorEastAsia"/>
            <w:bCs w:val="0"/>
            <w:sz w:val="22"/>
          </w:rPr>
          <w:tab/>
        </w:r>
        <w:r>
          <w:rPr>
            <w:rStyle w:val="C2"/>
          </w:rPr>
          <w:t>Genomförandetid</w:t>
        </w:r>
        <w:r>
          <w:tab/>
        </w:r>
        <w:r>
          <w:fldChar w:fldCharType="begin"/>
        </w:r>
        <w:r>
          <w:instrText xml:space="preserve"> PAGEREF _Toc165276763 \h </w:instrText>
        </w:r>
        <w:r>
          <w:fldChar w:fldCharType="separate"/>
        </w:r>
        <w:r>
          <w:t>28</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64">
        <w:r>
          <w:rPr>
            <w:rStyle w:val="C2"/>
            <w:caps w:val="1"/>
          </w:rPr>
          <w:t>3.4</w:t>
        </w:r>
        <w:r>
          <w:rPr>
            <w:rFonts w:asciiTheme="minorHAnsi" w:hAnsiTheme="minorHAnsi" w:cstheme="minorBidi" w:eastAsiaTheme="minorEastAsia"/>
            <w:bCs w:val="0"/>
            <w:sz w:val="22"/>
          </w:rPr>
          <w:tab/>
        </w:r>
        <w:r>
          <w:rPr>
            <w:rStyle w:val="C2"/>
          </w:rPr>
          <w:t>Allmän plats</w:t>
        </w:r>
        <w:r>
          <w:tab/>
        </w:r>
        <w:r>
          <w:fldChar w:fldCharType="begin"/>
        </w:r>
        <w:r>
          <w:instrText xml:space="preserve"> PAGEREF _Toc165276764 \h </w:instrText>
        </w:r>
        <w:r>
          <w:fldChar w:fldCharType="separate"/>
        </w:r>
        <w:r>
          <w:t>28</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65">
        <w:r>
          <w:rPr>
            <w:rStyle w:val="C2"/>
            <w:caps w:val="1"/>
          </w:rPr>
          <w:t>3.5</w:t>
        </w:r>
        <w:r>
          <w:rPr>
            <w:rFonts w:asciiTheme="minorHAnsi" w:hAnsiTheme="minorHAnsi" w:cstheme="minorBidi" w:eastAsiaTheme="minorEastAsia"/>
            <w:bCs w:val="0"/>
            <w:sz w:val="22"/>
          </w:rPr>
          <w:tab/>
        </w:r>
        <w:r>
          <w:rPr>
            <w:rStyle w:val="C2"/>
          </w:rPr>
          <w:t>Kvartersmark</w:t>
        </w:r>
        <w:r>
          <w:tab/>
        </w:r>
        <w:r>
          <w:fldChar w:fldCharType="begin"/>
        </w:r>
        <w:r>
          <w:instrText xml:space="preserve"> PAGEREF _Toc165276765 \h </w:instrText>
        </w:r>
        <w:r>
          <w:fldChar w:fldCharType="separate"/>
        </w:r>
        <w:r>
          <w:t>28</w:t>
        </w:r>
        <w:r>
          <w:fldChar w:fldCharType="end"/>
        </w:r>
      </w:hyperlink>
    </w:p>
    <w:p>
      <w:pPr>
        <w:pStyle w:val="P17"/>
        <w:rPr>
          <w:rFonts w:asciiTheme="minorHAnsi" w:hAnsiTheme="minorHAnsi" w:cstheme="minorBidi" w:eastAsiaTheme="minorEastAsia"/>
          <w:b w:val="0"/>
          <w:bCs w:val="0"/>
          <w:sz w:val="22"/>
        </w:rPr>
      </w:pPr>
      <w:hyperlink w:anchor="_Toc165276766">
        <w:r>
          <w:rPr>
            <w:rStyle w:val="C2"/>
            <w:caps w:val="1"/>
          </w:rPr>
          <w:t>4.</w:t>
        </w:r>
        <w:r>
          <w:rPr>
            <w:rFonts w:asciiTheme="minorHAnsi" w:hAnsiTheme="minorHAnsi" w:cstheme="minorBidi" w:eastAsiaTheme="minorEastAsia"/>
            <w:b w:val="0"/>
            <w:bCs w:val="0"/>
            <w:sz w:val="22"/>
          </w:rPr>
          <w:tab/>
        </w:r>
        <w:r>
          <w:rPr>
            <w:rStyle w:val="C2"/>
          </w:rPr>
          <w:t>Motiv till detaljplanens regleringar</w:t>
        </w:r>
        <w:r>
          <w:tab/>
        </w:r>
        <w:r>
          <w:fldChar w:fldCharType="begin"/>
        </w:r>
        <w:r>
          <w:instrText xml:space="preserve"> PAGEREF _Toc165276766 \h </w:instrText>
        </w:r>
        <w:r>
          <w:fldChar w:fldCharType="separate"/>
        </w:r>
        <w:r>
          <w:t>29</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67">
        <w:r>
          <w:rPr>
            <w:rStyle w:val="C2"/>
            <w:caps w:val="1"/>
          </w:rPr>
          <w:t>4.1</w:t>
        </w:r>
        <w:r>
          <w:rPr>
            <w:rFonts w:asciiTheme="minorHAnsi" w:hAnsiTheme="minorHAnsi" w:cstheme="minorBidi" w:eastAsiaTheme="minorEastAsia"/>
            <w:bCs w:val="0"/>
            <w:sz w:val="22"/>
          </w:rPr>
          <w:tab/>
        </w:r>
        <w:r>
          <w:rPr>
            <w:rStyle w:val="C2"/>
          </w:rPr>
          <w:t>Motiv till regleringar</w:t>
        </w:r>
        <w:r>
          <w:tab/>
        </w:r>
        <w:r>
          <w:fldChar w:fldCharType="begin"/>
        </w:r>
        <w:r>
          <w:instrText xml:space="preserve"> PAGEREF _Toc165276767 \h </w:instrText>
        </w:r>
        <w:r>
          <w:fldChar w:fldCharType="separate"/>
        </w:r>
        <w:r>
          <w:t>29</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68">
        <w:r>
          <w:rPr>
            <w:rStyle w:val="C2"/>
            <w:noProof w:val="1"/>
          </w:rPr>
          <w:t>4.1.1</w:t>
        </w:r>
        <w:r>
          <w:rPr>
            <w:rFonts w:cstheme="minorBidi" w:eastAsiaTheme="minorEastAsia"/>
            <w:b w:val="0"/>
            <w:i w:val="0"/>
            <w:noProof w:val="1"/>
            <w:sz w:val="22"/>
          </w:rPr>
          <w:tab/>
        </w:r>
        <w:r>
          <w:rPr>
            <w:rStyle w:val="C2"/>
            <w:noProof w:val="1"/>
          </w:rPr>
          <w:t>ANVÄNDNING AV ALLMÄN PLATS</w:t>
        </w:r>
        <w:r>
          <w:rPr>
            <w:noProof w:val="1"/>
          </w:rPr>
          <w:tab/>
        </w:r>
        <w:r>
          <w:rPr>
            <w:noProof w:val="1"/>
          </w:rPr>
          <w:fldChar w:fldCharType="begin"/>
        </w:r>
        <w:r>
          <w:rPr>
            <w:noProof w:val="1"/>
          </w:rPr>
          <w:instrText xml:space="preserve"> PAGEREF _Toc165276768 \h </w:instrText>
        </w:r>
        <w:r>
          <w:rPr>
            <w:noProof w:val="1"/>
          </w:rPr>
          <w:fldChar w:fldCharType="separate"/>
        </w:r>
        <w:r>
          <w:rPr>
            <w:noProof w:val="1"/>
          </w:rPr>
          <w:t>29</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69">
        <w:r>
          <w:rPr>
            <w:rStyle w:val="C2"/>
            <w:noProof w:val="1"/>
          </w:rPr>
          <w:t>4.1.2</w:t>
        </w:r>
        <w:r>
          <w:rPr>
            <w:rFonts w:cstheme="minorBidi" w:eastAsiaTheme="minorEastAsia"/>
            <w:b w:val="0"/>
            <w:i w:val="0"/>
            <w:noProof w:val="1"/>
            <w:sz w:val="22"/>
          </w:rPr>
          <w:tab/>
        </w:r>
        <w:r>
          <w:rPr>
            <w:rStyle w:val="C2"/>
            <w:noProof w:val="1"/>
          </w:rPr>
          <w:t>ANVÄNDNING AV KVARTERSMARK</w:t>
        </w:r>
        <w:r>
          <w:rPr>
            <w:noProof w:val="1"/>
          </w:rPr>
          <w:tab/>
        </w:r>
        <w:r>
          <w:rPr>
            <w:noProof w:val="1"/>
          </w:rPr>
          <w:fldChar w:fldCharType="begin"/>
        </w:r>
        <w:r>
          <w:rPr>
            <w:noProof w:val="1"/>
          </w:rPr>
          <w:instrText xml:space="preserve"> PAGEREF _Toc165276769 \h </w:instrText>
        </w:r>
        <w:r>
          <w:rPr>
            <w:noProof w:val="1"/>
          </w:rPr>
          <w:fldChar w:fldCharType="separate"/>
        </w:r>
        <w:r>
          <w:rPr>
            <w:noProof w:val="1"/>
          </w:rPr>
          <w:t>29</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70">
        <w:r>
          <w:rPr>
            <w:rStyle w:val="C2"/>
            <w:noProof w:val="1"/>
          </w:rPr>
          <w:t>4.1.3</w:t>
        </w:r>
        <w:r>
          <w:rPr>
            <w:rFonts w:cstheme="minorBidi" w:eastAsiaTheme="minorEastAsia"/>
            <w:b w:val="0"/>
            <w:i w:val="0"/>
            <w:noProof w:val="1"/>
            <w:sz w:val="22"/>
          </w:rPr>
          <w:tab/>
        </w:r>
        <w:r>
          <w:rPr>
            <w:rStyle w:val="C2"/>
            <w:noProof w:val="1"/>
          </w:rPr>
          <w:t>EGENSKAPSBESTÄMMELSER FÖR ALLMÄN PLATS</w:t>
        </w:r>
        <w:r>
          <w:rPr>
            <w:noProof w:val="1"/>
          </w:rPr>
          <w:tab/>
        </w:r>
        <w:r>
          <w:rPr>
            <w:noProof w:val="1"/>
          </w:rPr>
          <w:fldChar w:fldCharType="begin"/>
        </w:r>
        <w:r>
          <w:rPr>
            <w:noProof w:val="1"/>
          </w:rPr>
          <w:instrText xml:space="preserve"> PAGEREF _Toc165276770 \h </w:instrText>
        </w:r>
        <w:r>
          <w:rPr>
            <w:noProof w:val="1"/>
          </w:rPr>
          <w:fldChar w:fldCharType="separate"/>
        </w:r>
        <w:r>
          <w:rPr>
            <w:noProof w:val="1"/>
          </w:rPr>
          <w:t>30</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71">
        <w:r>
          <w:rPr>
            <w:rStyle w:val="C2"/>
            <w:noProof w:val="1"/>
          </w:rPr>
          <w:t>4.1.4</w:t>
        </w:r>
        <w:r>
          <w:rPr>
            <w:rFonts w:cstheme="minorBidi" w:eastAsiaTheme="minorEastAsia"/>
            <w:b w:val="0"/>
            <w:i w:val="0"/>
            <w:noProof w:val="1"/>
            <w:sz w:val="22"/>
          </w:rPr>
          <w:tab/>
        </w:r>
        <w:r>
          <w:rPr>
            <w:rStyle w:val="C2"/>
            <w:noProof w:val="1"/>
          </w:rPr>
          <w:t>EGENSKAPSBESTÄMMELSER FÖR KVARTERSMARK</w:t>
        </w:r>
        <w:r>
          <w:rPr>
            <w:noProof w:val="1"/>
          </w:rPr>
          <w:tab/>
        </w:r>
        <w:r>
          <w:rPr>
            <w:noProof w:val="1"/>
          </w:rPr>
          <w:fldChar w:fldCharType="begin"/>
        </w:r>
        <w:r>
          <w:rPr>
            <w:noProof w:val="1"/>
          </w:rPr>
          <w:instrText xml:space="preserve"> PAGEREF _Toc165276771 \h </w:instrText>
        </w:r>
        <w:r>
          <w:rPr>
            <w:noProof w:val="1"/>
          </w:rPr>
          <w:fldChar w:fldCharType="separate"/>
        </w:r>
        <w:r>
          <w:rPr>
            <w:noProof w:val="1"/>
          </w:rPr>
          <w:t>30</w:t>
        </w:r>
        <w:r>
          <w:rPr>
            <w:noProof w:val="1"/>
          </w:rPr>
          <w:fldChar w:fldCharType="end"/>
        </w:r>
      </w:hyperlink>
    </w:p>
    <w:p>
      <w:pPr>
        <w:pStyle w:val="P17"/>
        <w:rPr>
          <w:rFonts w:asciiTheme="minorHAnsi" w:hAnsiTheme="minorHAnsi" w:cstheme="minorBidi" w:eastAsiaTheme="minorEastAsia"/>
          <w:b w:val="0"/>
          <w:bCs w:val="0"/>
          <w:sz w:val="22"/>
        </w:rPr>
      </w:pPr>
      <w:hyperlink w:anchor="_Toc165276772">
        <w:r>
          <w:rPr>
            <w:rStyle w:val="C2"/>
          </w:rPr>
          <w:t>5.</w:t>
        </w:r>
        <w:r>
          <w:rPr>
            <w:rFonts w:asciiTheme="minorHAnsi" w:hAnsiTheme="minorHAnsi" w:cstheme="minorBidi" w:eastAsiaTheme="minorEastAsia"/>
            <w:b w:val="0"/>
            <w:bCs w:val="0"/>
            <w:sz w:val="22"/>
          </w:rPr>
          <w:tab/>
        </w:r>
        <w:r>
          <w:rPr>
            <w:rStyle w:val="C2"/>
          </w:rPr>
          <w:t>Genomförandefrågor</w:t>
        </w:r>
        <w:r>
          <w:tab/>
        </w:r>
        <w:r>
          <w:fldChar w:fldCharType="begin"/>
        </w:r>
        <w:r>
          <w:instrText xml:space="preserve"> PAGEREF _Toc165276772 \h </w:instrText>
        </w:r>
        <w:r>
          <w:fldChar w:fldCharType="separate"/>
        </w:r>
        <w:r>
          <w:t>31</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73">
        <w:r>
          <w:rPr>
            <w:rStyle w:val="C2"/>
          </w:rPr>
          <w:t>5.1</w:t>
        </w:r>
        <w:r>
          <w:rPr>
            <w:rFonts w:asciiTheme="minorHAnsi" w:hAnsiTheme="minorHAnsi" w:cstheme="minorBidi" w:eastAsiaTheme="minorEastAsia"/>
            <w:bCs w:val="0"/>
            <w:sz w:val="22"/>
          </w:rPr>
          <w:tab/>
        </w:r>
        <w:r>
          <w:rPr>
            <w:rStyle w:val="C2"/>
          </w:rPr>
          <w:t>Fastighetsrättsliga frågor</w:t>
        </w:r>
        <w:r>
          <w:tab/>
        </w:r>
        <w:r>
          <w:fldChar w:fldCharType="begin"/>
        </w:r>
        <w:r>
          <w:instrText xml:space="preserve"> PAGEREF _Toc165276773 \h </w:instrText>
        </w:r>
        <w:r>
          <w:fldChar w:fldCharType="separate"/>
        </w:r>
        <w:r>
          <w:t>31</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74">
        <w:r>
          <w:rPr>
            <w:rStyle w:val="C2"/>
            <w:noProof w:val="1"/>
          </w:rPr>
          <w:t>5.1.1</w:t>
        </w:r>
        <w:r>
          <w:rPr>
            <w:rFonts w:cstheme="minorBidi" w:eastAsiaTheme="minorEastAsia"/>
            <w:b w:val="0"/>
            <w:i w:val="0"/>
            <w:noProof w:val="1"/>
            <w:sz w:val="22"/>
          </w:rPr>
          <w:tab/>
        </w:r>
        <w:r>
          <w:rPr>
            <w:rStyle w:val="C2"/>
            <w:noProof w:val="1"/>
          </w:rPr>
          <w:t>Fastighetsindelningsbestämmelser</w:t>
        </w:r>
        <w:r>
          <w:rPr>
            <w:noProof w:val="1"/>
          </w:rPr>
          <w:tab/>
        </w:r>
        <w:r>
          <w:rPr>
            <w:noProof w:val="1"/>
          </w:rPr>
          <w:fldChar w:fldCharType="begin"/>
        </w:r>
        <w:r>
          <w:rPr>
            <w:noProof w:val="1"/>
          </w:rPr>
          <w:instrText xml:space="preserve"> PAGEREF _Toc165276774 \h </w:instrText>
        </w:r>
        <w:r>
          <w:rPr>
            <w:noProof w:val="1"/>
          </w:rPr>
          <w:fldChar w:fldCharType="separate"/>
        </w:r>
        <w:r>
          <w:rPr>
            <w:noProof w:val="1"/>
          </w:rPr>
          <w:t>33</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75">
        <w:r>
          <w:rPr>
            <w:rStyle w:val="C2"/>
            <w:noProof w:val="1"/>
          </w:rPr>
          <w:t>5.1.2</w:t>
        </w:r>
        <w:r>
          <w:rPr>
            <w:rFonts w:cstheme="minorBidi" w:eastAsiaTheme="minorEastAsia"/>
            <w:b w:val="0"/>
            <w:i w:val="0"/>
            <w:noProof w:val="1"/>
            <w:sz w:val="22"/>
          </w:rPr>
          <w:tab/>
        </w:r>
        <w:r>
          <w:rPr>
            <w:rStyle w:val="C2"/>
            <w:noProof w:val="1"/>
          </w:rPr>
          <w:t>Gemensamhetsanläggning</w:t>
        </w:r>
        <w:r>
          <w:rPr>
            <w:noProof w:val="1"/>
          </w:rPr>
          <w:tab/>
        </w:r>
        <w:r>
          <w:rPr>
            <w:noProof w:val="1"/>
          </w:rPr>
          <w:fldChar w:fldCharType="begin"/>
        </w:r>
        <w:r>
          <w:rPr>
            <w:noProof w:val="1"/>
          </w:rPr>
          <w:instrText xml:space="preserve"> PAGEREF _Toc165276775 \h </w:instrText>
        </w:r>
        <w:r>
          <w:rPr>
            <w:noProof w:val="1"/>
          </w:rPr>
          <w:fldChar w:fldCharType="separate"/>
        </w:r>
        <w:r>
          <w:rPr>
            <w:noProof w:val="1"/>
          </w:rPr>
          <w:t>33</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76">
        <w:r>
          <w:rPr>
            <w:rStyle w:val="C2"/>
            <w:noProof w:val="1"/>
          </w:rPr>
          <w:t>5.1.3</w:t>
        </w:r>
        <w:r>
          <w:rPr>
            <w:rFonts w:cstheme="minorBidi" w:eastAsiaTheme="minorEastAsia"/>
            <w:b w:val="0"/>
            <w:i w:val="0"/>
            <w:noProof w:val="1"/>
            <w:sz w:val="22"/>
          </w:rPr>
          <w:tab/>
        </w:r>
        <w:r>
          <w:rPr>
            <w:rStyle w:val="C2"/>
            <w:noProof w:val="1"/>
          </w:rPr>
          <w:t>Rättigheter</w:t>
        </w:r>
        <w:r>
          <w:rPr>
            <w:noProof w:val="1"/>
          </w:rPr>
          <w:tab/>
        </w:r>
        <w:r>
          <w:rPr>
            <w:noProof w:val="1"/>
          </w:rPr>
          <w:fldChar w:fldCharType="begin"/>
        </w:r>
        <w:r>
          <w:rPr>
            <w:noProof w:val="1"/>
          </w:rPr>
          <w:instrText xml:space="preserve"> PAGEREF _Toc165276776 \h </w:instrText>
        </w:r>
        <w:r>
          <w:rPr>
            <w:noProof w:val="1"/>
          </w:rPr>
          <w:fldChar w:fldCharType="separate"/>
        </w:r>
        <w:r>
          <w:rPr>
            <w:noProof w:val="1"/>
          </w:rPr>
          <w:t>34</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77">
        <w:r>
          <w:rPr>
            <w:rStyle w:val="C2"/>
          </w:rPr>
          <w:t>5.2</w:t>
        </w:r>
        <w:r>
          <w:rPr>
            <w:rFonts w:asciiTheme="minorHAnsi" w:hAnsiTheme="minorHAnsi" w:cstheme="minorBidi" w:eastAsiaTheme="minorEastAsia"/>
            <w:bCs w:val="0"/>
            <w:sz w:val="22"/>
          </w:rPr>
          <w:tab/>
        </w:r>
        <w:r>
          <w:rPr>
            <w:rStyle w:val="C2"/>
          </w:rPr>
          <w:t>Mark- och utrymmesförvärv</w:t>
        </w:r>
        <w:r>
          <w:tab/>
        </w:r>
        <w:r>
          <w:fldChar w:fldCharType="begin"/>
        </w:r>
        <w:r>
          <w:instrText xml:space="preserve"> PAGEREF _Toc165276777 \h </w:instrText>
        </w:r>
        <w:r>
          <w:fldChar w:fldCharType="separate"/>
        </w:r>
        <w:r>
          <w:t>34</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78">
        <w:r>
          <w:rPr>
            <w:rStyle w:val="C2"/>
          </w:rPr>
          <w:t>5.3</w:t>
        </w:r>
        <w:r>
          <w:rPr>
            <w:rFonts w:asciiTheme="minorHAnsi" w:hAnsiTheme="minorHAnsi" w:cstheme="minorBidi" w:eastAsiaTheme="minorEastAsia"/>
            <w:bCs w:val="0"/>
            <w:sz w:val="22"/>
          </w:rPr>
          <w:tab/>
        </w:r>
        <w:r>
          <w:rPr>
            <w:rStyle w:val="C2"/>
          </w:rPr>
          <w:t>Ekonomiska frågor</w:t>
        </w:r>
        <w:r>
          <w:tab/>
        </w:r>
        <w:r>
          <w:fldChar w:fldCharType="begin"/>
        </w:r>
        <w:r>
          <w:instrText xml:space="preserve"> PAGEREF _Toc165276778 \h </w:instrText>
        </w:r>
        <w:r>
          <w:fldChar w:fldCharType="separate"/>
        </w:r>
        <w:r>
          <w:t>34</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79">
        <w:r>
          <w:rPr>
            <w:rStyle w:val="C2"/>
            <w:noProof w:val="1"/>
          </w:rPr>
          <w:t>5.3.1</w:t>
        </w:r>
        <w:r>
          <w:rPr>
            <w:rFonts w:cstheme="minorBidi" w:eastAsiaTheme="minorEastAsia"/>
            <w:b w:val="0"/>
            <w:i w:val="0"/>
            <w:noProof w:val="1"/>
            <w:sz w:val="22"/>
          </w:rPr>
          <w:tab/>
        </w:r>
        <w:r>
          <w:rPr>
            <w:rStyle w:val="C2"/>
            <w:noProof w:val="1"/>
          </w:rPr>
          <w:t>Planekonomisk bedömning</w:t>
        </w:r>
        <w:r>
          <w:rPr>
            <w:noProof w:val="1"/>
          </w:rPr>
          <w:tab/>
        </w:r>
        <w:r>
          <w:rPr>
            <w:noProof w:val="1"/>
          </w:rPr>
          <w:fldChar w:fldCharType="begin"/>
        </w:r>
        <w:r>
          <w:rPr>
            <w:noProof w:val="1"/>
          </w:rPr>
          <w:instrText xml:space="preserve"> PAGEREF _Toc165276779 \h </w:instrText>
        </w:r>
        <w:r>
          <w:rPr>
            <w:noProof w:val="1"/>
          </w:rPr>
          <w:fldChar w:fldCharType="separate"/>
        </w:r>
        <w:r>
          <w:rPr>
            <w:noProof w:val="1"/>
          </w:rPr>
          <w:t>34</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0">
        <w:r>
          <w:rPr>
            <w:rStyle w:val="C2"/>
            <w:noProof w:val="1"/>
          </w:rPr>
          <w:t>5.3.2</w:t>
        </w:r>
        <w:r>
          <w:rPr>
            <w:rFonts w:cstheme="minorBidi" w:eastAsiaTheme="minorEastAsia"/>
            <w:b w:val="0"/>
            <w:i w:val="0"/>
            <w:noProof w:val="1"/>
            <w:sz w:val="22"/>
          </w:rPr>
          <w:tab/>
        </w:r>
        <w:r>
          <w:rPr>
            <w:rStyle w:val="C2"/>
            <w:noProof w:val="1"/>
          </w:rPr>
          <w:t>Ekonomiska konsekvenser för kommunen</w:t>
        </w:r>
        <w:r>
          <w:rPr>
            <w:noProof w:val="1"/>
          </w:rPr>
          <w:tab/>
        </w:r>
        <w:r>
          <w:rPr>
            <w:noProof w:val="1"/>
          </w:rPr>
          <w:fldChar w:fldCharType="begin"/>
        </w:r>
        <w:r>
          <w:rPr>
            <w:noProof w:val="1"/>
          </w:rPr>
          <w:instrText xml:space="preserve"> PAGEREF _Toc165276780 \h </w:instrText>
        </w:r>
        <w:r>
          <w:rPr>
            <w:noProof w:val="1"/>
          </w:rPr>
          <w:fldChar w:fldCharType="separate"/>
        </w:r>
        <w:r>
          <w:rPr>
            <w:noProof w:val="1"/>
          </w:rPr>
          <w:t>34</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1">
        <w:r>
          <w:rPr>
            <w:rStyle w:val="C2"/>
            <w:noProof w:val="1"/>
          </w:rPr>
          <w:t>5.3.3</w:t>
        </w:r>
        <w:r>
          <w:rPr>
            <w:rFonts w:cstheme="minorBidi" w:eastAsiaTheme="minorEastAsia"/>
            <w:b w:val="0"/>
            <w:i w:val="0"/>
            <w:noProof w:val="1"/>
            <w:sz w:val="22"/>
          </w:rPr>
          <w:tab/>
        </w:r>
        <w:r>
          <w:rPr>
            <w:rStyle w:val="C2"/>
            <w:noProof w:val="1"/>
          </w:rPr>
          <w:t>Ekonomiska konsekvenser för enskilda fastighetsägare</w:t>
        </w:r>
        <w:r>
          <w:rPr>
            <w:noProof w:val="1"/>
          </w:rPr>
          <w:tab/>
        </w:r>
        <w:r>
          <w:rPr>
            <w:noProof w:val="1"/>
          </w:rPr>
          <w:fldChar w:fldCharType="begin"/>
        </w:r>
        <w:r>
          <w:rPr>
            <w:noProof w:val="1"/>
          </w:rPr>
          <w:instrText xml:space="preserve"> PAGEREF _Toc165276781 \h </w:instrText>
        </w:r>
        <w:r>
          <w:rPr>
            <w:noProof w:val="1"/>
          </w:rPr>
          <w:fldChar w:fldCharType="separate"/>
        </w:r>
        <w:r>
          <w:rPr>
            <w:noProof w:val="1"/>
          </w:rPr>
          <w:t>34</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2">
        <w:r>
          <w:rPr>
            <w:rStyle w:val="C2"/>
            <w:noProof w:val="1"/>
          </w:rPr>
          <w:t>5.3.4</w:t>
        </w:r>
        <w:r>
          <w:rPr>
            <w:rFonts w:cstheme="minorBidi" w:eastAsiaTheme="minorEastAsia"/>
            <w:b w:val="0"/>
            <w:i w:val="0"/>
            <w:noProof w:val="1"/>
            <w:sz w:val="22"/>
          </w:rPr>
          <w:tab/>
        </w:r>
        <w:r>
          <w:rPr>
            <w:rStyle w:val="C2"/>
            <w:noProof w:val="1"/>
          </w:rPr>
          <w:t>Ekonomiska konsekvenser för rättighetshavare</w:t>
        </w:r>
        <w:r>
          <w:rPr>
            <w:noProof w:val="1"/>
          </w:rPr>
          <w:tab/>
        </w:r>
        <w:r>
          <w:rPr>
            <w:noProof w:val="1"/>
          </w:rPr>
          <w:fldChar w:fldCharType="begin"/>
        </w:r>
        <w:r>
          <w:rPr>
            <w:noProof w:val="1"/>
          </w:rPr>
          <w:instrText xml:space="preserve"> PAGEREF _Toc165276782 \h </w:instrText>
        </w:r>
        <w:r>
          <w:rPr>
            <w:noProof w:val="1"/>
          </w:rPr>
          <w:fldChar w:fldCharType="separate"/>
        </w:r>
        <w:r>
          <w:rPr>
            <w:noProof w:val="1"/>
          </w:rPr>
          <w:t>35</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3">
        <w:r>
          <w:rPr>
            <w:rStyle w:val="C2"/>
            <w:noProof w:val="1"/>
          </w:rPr>
          <w:t>5.3.5</w:t>
        </w:r>
        <w:r>
          <w:rPr>
            <w:rFonts w:cstheme="minorBidi" w:eastAsiaTheme="minorEastAsia"/>
            <w:b w:val="0"/>
            <w:i w:val="0"/>
            <w:noProof w:val="1"/>
            <w:sz w:val="22"/>
          </w:rPr>
          <w:tab/>
        </w:r>
        <w:r>
          <w:rPr>
            <w:rStyle w:val="C2"/>
            <w:noProof w:val="1"/>
          </w:rPr>
          <w:t>Planavgift</w:t>
        </w:r>
        <w:r>
          <w:rPr>
            <w:noProof w:val="1"/>
          </w:rPr>
          <w:tab/>
        </w:r>
        <w:r>
          <w:rPr>
            <w:noProof w:val="1"/>
          </w:rPr>
          <w:fldChar w:fldCharType="begin"/>
        </w:r>
        <w:r>
          <w:rPr>
            <w:noProof w:val="1"/>
          </w:rPr>
          <w:instrText xml:space="preserve"> PAGEREF _Toc165276783 \h </w:instrText>
        </w:r>
        <w:r>
          <w:rPr>
            <w:noProof w:val="1"/>
          </w:rPr>
          <w:fldChar w:fldCharType="separate"/>
        </w:r>
        <w:r>
          <w:rPr>
            <w:noProof w:val="1"/>
          </w:rPr>
          <w:t>35</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84">
        <w:r>
          <w:rPr>
            <w:rStyle w:val="C2"/>
          </w:rPr>
          <w:t>5.4</w:t>
        </w:r>
        <w:r>
          <w:rPr>
            <w:rFonts w:asciiTheme="minorHAnsi" w:hAnsiTheme="minorHAnsi" w:cstheme="minorBidi" w:eastAsiaTheme="minorEastAsia"/>
            <w:bCs w:val="0"/>
            <w:sz w:val="22"/>
          </w:rPr>
          <w:tab/>
        </w:r>
        <w:r>
          <w:rPr>
            <w:rStyle w:val="C2"/>
          </w:rPr>
          <w:t>Organisatoriska frågor</w:t>
        </w:r>
        <w:r>
          <w:tab/>
        </w:r>
        <w:r>
          <w:fldChar w:fldCharType="begin"/>
        </w:r>
        <w:r>
          <w:instrText xml:space="preserve"> PAGEREF _Toc165276784 \h </w:instrText>
        </w:r>
        <w:r>
          <w:fldChar w:fldCharType="separate"/>
        </w:r>
        <w:r>
          <w:t>35</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5">
        <w:r>
          <w:rPr>
            <w:rStyle w:val="C2"/>
            <w:noProof w:val="1"/>
          </w:rPr>
          <w:t>5.4.1</w:t>
        </w:r>
        <w:r>
          <w:rPr>
            <w:rFonts w:cstheme="minorBidi" w:eastAsiaTheme="minorEastAsia"/>
            <w:b w:val="0"/>
            <w:i w:val="0"/>
            <w:noProof w:val="1"/>
            <w:sz w:val="22"/>
          </w:rPr>
          <w:tab/>
        </w:r>
        <w:r>
          <w:rPr>
            <w:rStyle w:val="C2"/>
            <w:noProof w:val="1"/>
          </w:rPr>
          <w:t>Exploateringsavtal</w:t>
        </w:r>
        <w:r>
          <w:rPr>
            <w:noProof w:val="1"/>
          </w:rPr>
          <w:tab/>
        </w:r>
        <w:r>
          <w:rPr>
            <w:noProof w:val="1"/>
          </w:rPr>
          <w:fldChar w:fldCharType="begin"/>
        </w:r>
        <w:r>
          <w:rPr>
            <w:noProof w:val="1"/>
          </w:rPr>
          <w:instrText xml:space="preserve"> PAGEREF _Toc165276785 \h </w:instrText>
        </w:r>
        <w:r>
          <w:rPr>
            <w:noProof w:val="1"/>
          </w:rPr>
          <w:fldChar w:fldCharType="separate"/>
        </w:r>
        <w:r>
          <w:rPr>
            <w:noProof w:val="1"/>
          </w:rPr>
          <w:t>35</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86">
        <w:r>
          <w:rPr>
            <w:rStyle w:val="C2"/>
          </w:rPr>
          <w:t>5.5</w:t>
        </w:r>
        <w:r>
          <w:rPr>
            <w:rFonts w:asciiTheme="minorHAnsi" w:hAnsiTheme="minorHAnsi" w:cstheme="minorBidi" w:eastAsiaTheme="minorEastAsia"/>
            <w:bCs w:val="0"/>
            <w:sz w:val="22"/>
          </w:rPr>
          <w:tab/>
        </w:r>
        <w:r>
          <w:rPr>
            <w:rStyle w:val="C2"/>
          </w:rPr>
          <w:t>Tekniska frågor</w:t>
        </w:r>
        <w:r>
          <w:tab/>
        </w:r>
        <w:r>
          <w:fldChar w:fldCharType="begin"/>
        </w:r>
        <w:r>
          <w:instrText xml:space="preserve"> PAGEREF _Toc165276786 \h </w:instrText>
        </w:r>
        <w:r>
          <w:fldChar w:fldCharType="separate"/>
        </w:r>
        <w:r>
          <w:t>35</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7">
        <w:r>
          <w:rPr>
            <w:rStyle w:val="C2"/>
            <w:noProof w:val="1"/>
          </w:rPr>
          <w:t>5.5.1</w:t>
        </w:r>
        <w:r>
          <w:rPr>
            <w:rFonts w:cstheme="minorBidi" w:eastAsiaTheme="minorEastAsia"/>
            <w:b w:val="0"/>
            <w:i w:val="0"/>
            <w:noProof w:val="1"/>
            <w:sz w:val="22"/>
          </w:rPr>
          <w:tab/>
        </w:r>
        <w:r>
          <w:rPr>
            <w:rStyle w:val="C2"/>
            <w:noProof w:val="1"/>
          </w:rPr>
          <w:t>Tekniska åtgärder</w:t>
        </w:r>
        <w:r>
          <w:rPr>
            <w:noProof w:val="1"/>
          </w:rPr>
          <w:tab/>
        </w:r>
        <w:r>
          <w:rPr>
            <w:noProof w:val="1"/>
          </w:rPr>
          <w:fldChar w:fldCharType="begin"/>
        </w:r>
        <w:r>
          <w:rPr>
            <w:noProof w:val="1"/>
          </w:rPr>
          <w:instrText xml:space="preserve"> PAGEREF _Toc165276787 \h </w:instrText>
        </w:r>
        <w:r>
          <w:rPr>
            <w:noProof w:val="1"/>
          </w:rPr>
          <w:fldChar w:fldCharType="separate"/>
        </w:r>
        <w:r>
          <w:rPr>
            <w:noProof w:val="1"/>
          </w:rPr>
          <w:t>35</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88">
        <w:r>
          <w:rPr>
            <w:rStyle w:val="C2"/>
            <w:noProof w:val="1"/>
          </w:rPr>
          <w:t>5.5.2</w:t>
        </w:r>
        <w:r>
          <w:rPr>
            <w:rFonts w:cstheme="minorBidi" w:eastAsiaTheme="minorEastAsia"/>
            <w:b w:val="0"/>
            <w:i w:val="0"/>
            <w:noProof w:val="1"/>
            <w:sz w:val="22"/>
          </w:rPr>
          <w:tab/>
        </w:r>
        <w:r>
          <w:rPr>
            <w:rStyle w:val="C2"/>
            <w:noProof w:val="1"/>
          </w:rPr>
          <w:t xml:space="preserve">Utbyggnad av </w:t>
        </w:r>
        <w:r>
          <w:rPr>
            <w:rStyle w:val="C2"/>
            <w:noProof w:val="1"/>
            <w:lang w:bidi="sv-SE"/>
          </w:rPr>
          <w:t>vatten och avlopp</w:t>
        </w:r>
        <w:r>
          <w:rPr>
            <w:noProof w:val="1"/>
          </w:rPr>
          <w:tab/>
        </w:r>
        <w:r>
          <w:rPr>
            <w:noProof w:val="1"/>
          </w:rPr>
          <w:fldChar w:fldCharType="begin"/>
        </w:r>
        <w:r>
          <w:rPr>
            <w:noProof w:val="1"/>
          </w:rPr>
          <w:instrText xml:space="preserve"> PAGEREF _Toc165276788 \h </w:instrText>
        </w:r>
        <w:r>
          <w:rPr>
            <w:noProof w:val="1"/>
          </w:rPr>
          <w:fldChar w:fldCharType="separate"/>
        </w:r>
        <w:r>
          <w:rPr>
            <w:noProof w:val="1"/>
          </w:rPr>
          <w:t>36</w:t>
        </w:r>
        <w:r>
          <w:rPr>
            <w:noProof w:val="1"/>
          </w:rPr>
          <w:fldChar w:fldCharType="end"/>
        </w:r>
      </w:hyperlink>
    </w:p>
    <w:p>
      <w:pPr>
        <w:pStyle w:val="P17"/>
        <w:rPr>
          <w:rFonts w:asciiTheme="minorHAnsi" w:hAnsiTheme="minorHAnsi" w:cstheme="minorBidi" w:eastAsiaTheme="minorEastAsia"/>
          <w:b w:val="0"/>
          <w:bCs w:val="0"/>
          <w:sz w:val="22"/>
        </w:rPr>
      </w:pPr>
      <w:hyperlink w:anchor="_Toc165276789">
        <w:r>
          <w:rPr>
            <w:rStyle w:val="C2"/>
          </w:rPr>
          <w:t>6.</w:t>
        </w:r>
        <w:r>
          <w:rPr>
            <w:rFonts w:asciiTheme="minorHAnsi" w:hAnsiTheme="minorHAnsi" w:cstheme="minorBidi" w:eastAsiaTheme="minorEastAsia"/>
            <w:b w:val="0"/>
            <w:bCs w:val="0"/>
            <w:sz w:val="22"/>
          </w:rPr>
          <w:tab/>
        </w:r>
        <w:r>
          <w:rPr>
            <w:rStyle w:val="C2"/>
          </w:rPr>
          <w:t>Konsekvenser</w:t>
        </w:r>
        <w:r>
          <w:tab/>
        </w:r>
        <w:r>
          <w:fldChar w:fldCharType="begin"/>
        </w:r>
        <w:r>
          <w:instrText xml:space="preserve"> PAGEREF _Toc165276789 \h </w:instrText>
        </w:r>
        <w:r>
          <w:fldChar w:fldCharType="separate"/>
        </w:r>
        <w:r>
          <w:t>36</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90">
        <w:r>
          <w:rPr>
            <w:rStyle w:val="C2"/>
            <w:caps w:val="1"/>
          </w:rPr>
          <w:t>6.1</w:t>
        </w:r>
        <w:r>
          <w:rPr>
            <w:rFonts w:asciiTheme="minorHAnsi" w:hAnsiTheme="minorHAnsi" w:cstheme="minorBidi" w:eastAsiaTheme="minorEastAsia"/>
            <w:bCs w:val="0"/>
            <w:sz w:val="22"/>
          </w:rPr>
          <w:tab/>
        </w:r>
        <w:r>
          <w:rPr>
            <w:rStyle w:val="C2"/>
          </w:rPr>
          <w:t>Fastigheter och rättigheter</w:t>
        </w:r>
        <w:r>
          <w:tab/>
        </w:r>
        <w:r>
          <w:fldChar w:fldCharType="begin"/>
        </w:r>
        <w:r>
          <w:instrText xml:space="preserve"> PAGEREF _Toc165276790 \h </w:instrText>
        </w:r>
        <w:r>
          <w:fldChar w:fldCharType="separate"/>
        </w:r>
        <w:r>
          <w:t>36</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91">
        <w:r>
          <w:rPr>
            <w:rStyle w:val="C2"/>
            <w:caps w:val="1"/>
          </w:rPr>
          <w:t>6.2</w:t>
        </w:r>
        <w:r>
          <w:rPr>
            <w:rFonts w:asciiTheme="minorHAnsi" w:hAnsiTheme="minorHAnsi" w:cstheme="minorBidi" w:eastAsiaTheme="minorEastAsia"/>
            <w:bCs w:val="0"/>
            <w:sz w:val="22"/>
          </w:rPr>
          <w:tab/>
        </w:r>
        <w:r>
          <w:rPr>
            <w:rStyle w:val="C2"/>
          </w:rPr>
          <w:t>Riksintresse</w:t>
        </w:r>
        <w:r>
          <w:tab/>
        </w:r>
        <w:r>
          <w:fldChar w:fldCharType="begin"/>
        </w:r>
        <w:r>
          <w:instrText xml:space="preserve"> PAGEREF _Toc165276791 \h </w:instrText>
        </w:r>
        <w:r>
          <w:fldChar w:fldCharType="separate"/>
        </w:r>
        <w:r>
          <w:t>36</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92">
        <w:r>
          <w:rPr>
            <w:rStyle w:val="C2"/>
            <w:caps w:val="1"/>
            <w:noProof w:val="1"/>
          </w:rPr>
          <w:t>6.2.1</w:t>
        </w:r>
        <w:r>
          <w:rPr>
            <w:rFonts w:cstheme="minorBidi" w:eastAsiaTheme="minorEastAsia"/>
            <w:b w:val="0"/>
            <w:i w:val="0"/>
            <w:noProof w:val="1"/>
            <w:sz w:val="22"/>
          </w:rPr>
          <w:tab/>
        </w:r>
        <w:r>
          <w:rPr>
            <w:rStyle w:val="C2"/>
            <w:noProof w:val="1"/>
          </w:rPr>
          <w:t>Trafikkommunikation</w:t>
        </w:r>
        <w:r>
          <w:rPr>
            <w:noProof w:val="1"/>
          </w:rPr>
          <w:tab/>
        </w:r>
        <w:r>
          <w:rPr>
            <w:noProof w:val="1"/>
          </w:rPr>
          <w:fldChar w:fldCharType="begin"/>
        </w:r>
        <w:r>
          <w:rPr>
            <w:noProof w:val="1"/>
          </w:rPr>
          <w:instrText xml:space="preserve"> PAGEREF _Toc165276792 \h </w:instrText>
        </w:r>
        <w:r>
          <w:rPr>
            <w:noProof w:val="1"/>
          </w:rPr>
          <w:fldChar w:fldCharType="separate"/>
        </w:r>
        <w:r>
          <w:rPr>
            <w:noProof w:val="1"/>
          </w:rPr>
          <w:t>36</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93">
        <w:r>
          <w:rPr>
            <w:rStyle w:val="C2"/>
            <w:caps w:val="1"/>
            <w:noProof w:val="1"/>
          </w:rPr>
          <w:t>6.2.2</w:t>
        </w:r>
        <w:r>
          <w:rPr>
            <w:rFonts w:cstheme="minorBidi" w:eastAsiaTheme="minorEastAsia"/>
            <w:b w:val="0"/>
            <w:i w:val="0"/>
            <w:noProof w:val="1"/>
            <w:sz w:val="22"/>
          </w:rPr>
          <w:tab/>
        </w:r>
        <w:r>
          <w:rPr>
            <w:rStyle w:val="C2"/>
            <w:noProof w:val="1"/>
          </w:rPr>
          <w:t>Totalförsvar</w:t>
        </w:r>
        <w:r>
          <w:rPr>
            <w:noProof w:val="1"/>
          </w:rPr>
          <w:tab/>
        </w:r>
        <w:r>
          <w:rPr>
            <w:noProof w:val="1"/>
          </w:rPr>
          <w:fldChar w:fldCharType="begin"/>
        </w:r>
        <w:r>
          <w:rPr>
            <w:noProof w:val="1"/>
          </w:rPr>
          <w:instrText xml:space="preserve"> PAGEREF _Toc165276793 \h </w:instrText>
        </w:r>
        <w:r>
          <w:rPr>
            <w:noProof w:val="1"/>
          </w:rPr>
          <w:fldChar w:fldCharType="separate"/>
        </w:r>
        <w:r>
          <w:rPr>
            <w:noProof w:val="1"/>
          </w:rPr>
          <w:t>36</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94">
        <w:r>
          <w:rPr>
            <w:rStyle w:val="C2"/>
            <w:caps w:val="1"/>
          </w:rPr>
          <w:t>6.3</w:t>
        </w:r>
        <w:r>
          <w:rPr>
            <w:rFonts w:asciiTheme="minorHAnsi" w:hAnsiTheme="minorHAnsi" w:cstheme="minorBidi" w:eastAsiaTheme="minorEastAsia"/>
            <w:bCs w:val="0"/>
            <w:sz w:val="22"/>
          </w:rPr>
          <w:tab/>
        </w:r>
        <w:r>
          <w:rPr>
            <w:rStyle w:val="C2"/>
          </w:rPr>
          <w:t>Miljökvalitetsnormer</w:t>
        </w:r>
        <w:r>
          <w:tab/>
        </w:r>
        <w:r>
          <w:fldChar w:fldCharType="begin"/>
        </w:r>
        <w:r>
          <w:instrText xml:space="preserve"> PAGEREF _Toc165276794 \h </w:instrText>
        </w:r>
        <w:r>
          <w:fldChar w:fldCharType="separate"/>
        </w:r>
        <w:r>
          <w:t>36</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95">
        <w:r>
          <w:rPr>
            <w:rStyle w:val="C2"/>
            <w:caps w:val="1"/>
            <w:noProof w:val="1"/>
          </w:rPr>
          <w:t>6.3.1</w:t>
        </w:r>
        <w:r>
          <w:rPr>
            <w:rFonts w:cstheme="minorBidi" w:eastAsiaTheme="minorEastAsia"/>
            <w:b w:val="0"/>
            <w:i w:val="0"/>
            <w:noProof w:val="1"/>
            <w:sz w:val="22"/>
          </w:rPr>
          <w:tab/>
        </w:r>
        <w:r>
          <w:rPr>
            <w:rStyle w:val="C2"/>
            <w:noProof w:val="1"/>
          </w:rPr>
          <w:t>Luft</w:t>
        </w:r>
        <w:r>
          <w:rPr>
            <w:noProof w:val="1"/>
          </w:rPr>
          <w:tab/>
        </w:r>
        <w:r>
          <w:rPr>
            <w:noProof w:val="1"/>
          </w:rPr>
          <w:fldChar w:fldCharType="begin"/>
        </w:r>
        <w:r>
          <w:rPr>
            <w:noProof w:val="1"/>
          </w:rPr>
          <w:instrText xml:space="preserve"> PAGEREF _Toc165276795 \h </w:instrText>
        </w:r>
        <w:r>
          <w:rPr>
            <w:noProof w:val="1"/>
          </w:rPr>
          <w:fldChar w:fldCharType="separate"/>
        </w:r>
        <w:r>
          <w:rPr>
            <w:noProof w:val="1"/>
          </w:rPr>
          <w:t>36</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96">
        <w:r>
          <w:rPr>
            <w:rStyle w:val="C2"/>
            <w:caps w:val="1"/>
            <w:noProof w:val="1"/>
          </w:rPr>
          <w:t>6.3.2</w:t>
        </w:r>
        <w:r>
          <w:rPr>
            <w:rFonts w:cstheme="minorBidi" w:eastAsiaTheme="minorEastAsia"/>
            <w:b w:val="0"/>
            <w:i w:val="0"/>
            <w:noProof w:val="1"/>
            <w:sz w:val="22"/>
          </w:rPr>
          <w:tab/>
        </w:r>
        <w:r>
          <w:rPr>
            <w:rStyle w:val="C2"/>
            <w:noProof w:val="1"/>
          </w:rPr>
          <w:t>Vatten</w:t>
        </w:r>
        <w:r>
          <w:rPr>
            <w:noProof w:val="1"/>
          </w:rPr>
          <w:tab/>
        </w:r>
        <w:r>
          <w:rPr>
            <w:noProof w:val="1"/>
          </w:rPr>
          <w:fldChar w:fldCharType="begin"/>
        </w:r>
        <w:r>
          <w:rPr>
            <w:noProof w:val="1"/>
          </w:rPr>
          <w:instrText xml:space="preserve"> PAGEREF _Toc165276796 \h </w:instrText>
        </w:r>
        <w:r>
          <w:rPr>
            <w:noProof w:val="1"/>
          </w:rPr>
          <w:fldChar w:fldCharType="separate"/>
        </w:r>
        <w:r>
          <w:rPr>
            <w:noProof w:val="1"/>
          </w:rPr>
          <w:t>36</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797">
        <w:r>
          <w:rPr>
            <w:rStyle w:val="C2"/>
          </w:rPr>
          <w:t>6.4</w:t>
        </w:r>
        <w:r>
          <w:rPr>
            <w:rFonts w:asciiTheme="minorHAnsi" w:hAnsiTheme="minorHAnsi" w:cstheme="minorBidi" w:eastAsiaTheme="minorEastAsia"/>
            <w:bCs w:val="0"/>
            <w:sz w:val="22"/>
          </w:rPr>
          <w:tab/>
        </w:r>
        <w:r>
          <w:rPr>
            <w:rStyle w:val="C2"/>
          </w:rPr>
          <w:t>Fysisk miljö</w:t>
        </w:r>
        <w:r>
          <w:tab/>
        </w:r>
        <w:r>
          <w:fldChar w:fldCharType="begin"/>
        </w:r>
        <w:r>
          <w:instrText xml:space="preserve"> PAGEREF _Toc165276797 \h </w:instrText>
        </w:r>
        <w:r>
          <w:fldChar w:fldCharType="separate"/>
        </w:r>
        <w:r>
          <w:t>37</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98">
        <w:r>
          <w:rPr>
            <w:rStyle w:val="C2"/>
            <w:noProof w:val="1"/>
          </w:rPr>
          <w:t>6.4.1</w:t>
        </w:r>
        <w:r>
          <w:rPr>
            <w:rFonts w:cstheme="minorBidi" w:eastAsiaTheme="minorEastAsia"/>
            <w:b w:val="0"/>
            <w:i w:val="0"/>
            <w:noProof w:val="1"/>
            <w:sz w:val="22"/>
          </w:rPr>
          <w:tab/>
        </w:r>
        <w:r>
          <w:rPr>
            <w:rStyle w:val="C2"/>
            <w:noProof w:val="1"/>
          </w:rPr>
          <w:t>Bebyggelse och omgivning</w:t>
        </w:r>
        <w:r>
          <w:rPr>
            <w:noProof w:val="1"/>
          </w:rPr>
          <w:tab/>
        </w:r>
        <w:r>
          <w:rPr>
            <w:noProof w:val="1"/>
          </w:rPr>
          <w:fldChar w:fldCharType="begin"/>
        </w:r>
        <w:r>
          <w:rPr>
            <w:noProof w:val="1"/>
          </w:rPr>
          <w:instrText xml:space="preserve"> PAGEREF _Toc165276798 \h </w:instrText>
        </w:r>
        <w:r>
          <w:rPr>
            <w:noProof w:val="1"/>
          </w:rPr>
          <w:fldChar w:fldCharType="separate"/>
        </w:r>
        <w:r>
          <w:rPr>
            <w:noProof w:val="1"/>
          </w:rPr>
          <w:t>37</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799">
        <w:r>
          <w:rPr>
            <w:rStyle w:val="C2"/>
            <w:noProof w:val="1"/>
          </w:rPr>
          <w:t>6.4.2</w:t>
        </w:r>
        <w:r>
          <w:rPr>
            <w:rFonts w:cstheme="minorBidi" w:eastAsiaTheme="minorEastAsia"/>
            <w:b w:val="0"/>
            <w:i w:val="0"/>
            <w:noProof w:val="1"/>
            <w:sz w:val="22"/>
          </w:rPr>
          <w:tab/>
        </w:r>
        <w:r>
          <w:rPr>
            <w:rStyle w:val="C2"/>
            <w:noProof w:val="1"/>
          </w:rPr>
          <w:t>Service</w:t>
        </w:r>
        <w:r>
          <w:rPr>
            <w:noProof w:val="1"/>
          </w:rPr>
          <w:tab/>
        </w:r>
        <w:r>
          <w:rPr>
            <w:noProof w:val="1"/>
          </w:rPr>
          <w:fldChar w:fldCharType="begin"/>
        </w:r>
        <w:r>
          <w:rPr>
            <w:noProof w:val="1"/>
          </w:rPr>
          <w:instrText xml:space="preserve"> PAGEREF _Toc165276799 \h </w:instrText>
        </w:r>
        <w:r>
          <w:rPr>
            <w:noProof w:val="1"/>
          </w:rPr>
          <w:fldChar w:fldCharType="separate"/>
        </w:r>
        <w:r>
          <w:rPr>
            <w:noProof w:val="1"/>
          </w:rPr>
          <w:t>37</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00">
        <w:r>
          <w:rPr>
            <w:rStyle w:val="C2"/>
            <w:caps w:val="1"/>
          </w:rPr>
          <w:t>6.5</w:t>
        </w:r>
        <w:r>
          <w:rPr>
            <w:rFonts w:asciiTheme="minorHAnsi" w:hAnsiTheme="minorHAnsi" w:cstheme="minorBidi" w:eastAsiaTheme="minorEastAsia"/>
            <w:bCs w:val="0"/>
            <w:sz w:val="22"/>
          </w:rPr>
          <w:tab/>
        </w:r>
        <w:r>
          <w:rPr>
            <w:rStyle w:val="C2"/>
          </w:rPr>
          <w:t>Trafik</w:t>
        </w:r>
        <w:r>
          <w:tab/>
        </w:r>
        <w:r>
          <w:fldChar w:fldCharType="begin"/>
        </w:r>
        <w:r>
          <w:instrText xml:space="preserve"> PAGEREF _Toc165276800 \h </w:instrText>
        </w:r>
        <w:r>
          <w:fldChar w:fldCharType="separate"/>
        </w:r>
        <w:r>
          <w:t>37</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1">
        <w:r>
          <w:rPr>
            <w:rStyle w:val="C2"/>
            <w:noProof w:val="1"/>
          </w:rPr>
          <w:t>6.5.1</w:t>
        </w:r>
        <w:r>
          <w:rPr>
            <w:rFonts w:cstheme="minorBidi" w:eastAsiaTheme="minorEastAsia"/>
            <w:b w:val="0"/>
            <w:i w:val="0"/>
            <w:noProof w:val="1"/>
            <w:sz w:val="22"/>
          </w:rPr>
          <w:tab/>
        </w:r>
        <w:r>
          <w:rPr>
            <w:rStyle w:val="C2"/>
            <w:noProof w:val="1"/>
          </w:rPr>
          <w:t>Gång- och cykeltrafik</w:t>
        </w:r>
        <w:r>
          <w:rPr>
            <w:noProof w:val="1"/>
          </w:rPr>
          <w:tab/>
        </w:r>
        <w:r>
          <w:rPr>
            <w:noProof w:val="1"/>
          </w:rPr>
          <w:fldChar w:fldCharType="begin"/>
        </w:r>
        <w:r>
          <w:rPr>
            <w:noProof w:val="1"/>
          </w:rPr>
          <w:instrText xml:space="preserve"> PAGEREF _Toc165276801 \h </w:instrText>
        </w:r>
        <w:r>
          <w:rPr>
            <w:noProof w:val="1"/>
          </w:rPr>
          <w:fldChar w:fldCharType="separate"/>
        </w:r>
        <w:r>
          <w:rPr>
            <w:noProof w:val="1"/>
          </w:rPr>
          <w:t>37</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2">
        <w:r>
          <w:rPr>
            <w:rStyle w:val="C2"/>
            <w:noProof w:val="1"/>
          </w:rPr>
          <w:t>6.5.2</w:t>
        </w:r>
        <w:r>
          <w:rPr>
            <w:rFonts w:cstheme="minorBidi" w:eastAsiaTheme="minorEastAsia"/>
            <w:b w:val="0"/>
            <w:i w:val="0"/>
            <w:noProof w:val="1"/>
            <w:sz w:val="22"/>
          </w:rPr>
          <w:tab/>
        </w:r>
        <w:r>
          <w:rPr>
            <w:rStyle w:val="C2"/>
            <w:noProof w:val="1"/>
          </w:rPr>
          <w:t>Kollektivtrafik</w:t>
        </w:r>
        <w:r>
          <w:rPr>
            <w:noProof w:val="1"/>
          </w:rPr>
          <w:tab/>
        </w:r>
        <w:r>
          <w:rPr>
            <w:noProof w:val="1"/>
          </w:rPr>
          <w:fldChar w:fldCharType="begin"/>
        </w:r>
        <w:r>
          <w:rPr>
            <w:noProof w:val="1"/>
          </w:rPr>
          <w:instrText xml:space="preserve"> PAGEREF _Toc165276802 \h </w:instrText>
        </w:r>
        <w:r>
          <w:rPr>
            <w:noProof w:val="1"/>
          </w:rPr>
          <w:fldChar w:fldCharType="separate"/>
        </w:r>
        <w:r>
          <w:rPr>
            <w:noProof w:val="1"/>
          </w:rPr>
          <w:t>38</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3">
        <w:r>
          <w:rPr>
            <w:rStyle w:val="C2"/>
            <w:noProof w:val="1"/>
          </w:rPr>
          <w:t>6.5.3</w:t>
        </w:r>
        <w:r>
          <w:rPr>
            <w:rFonts w:cstheme="minorBidi" w:eastAsiaTheme="minorEastAsia"/>
            <w:b w:val="0"/>
            <w:i w:val="0"/>
            <w:noProof w:val="1"/>
            <w:sz w:val="22"/>
          </w:rPr>
          <w:tab/>
        </w:r>
        <w:r>
          <w:rPr>
            <w:rStyle w:val="C2"/>
            <w:noProof w:val="1"/>
          </w:rPr>
          <w:t>Motortrafik</w:t>
        </w:r>
        <w:r>
          <w:rPr>
            <w:noProof w:val="1"/>
          </w:rPr>
          <w:tab/>
        </w:r>
        <w:r>
          <w:rPr>
            <w:noProof w:val="1"/>
          </w:rPr>
          <w:fldChar w:fldCharType="begin"/>
        </w:r>
        <w:r>
          <w:rPr>
            <w:noProof w:val="1"/>
          </w:rPr>
          <w:instrText xml:space="preserve"> PAGEREF _Toc165276803 \h </w:instrText>
        </w:r>
        <w:r>
          <w:rPr>
            <w:noProof w:val="1"/>
          </w:rPr>
          <w:fldChar w:fldCharType="separate"/>
        </w:r>
        <w:r>
          <w:rPr>
            <w:noProof w:val="1"/>
          </w:rPr>
          <w:t>38</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4">
        <w:r>
          <w:rPr>
            <w:rStyle w:val="C2"/>
            <w:noProof w:val="1"/>
          </w:rPr>
          <w:t>6.5.4</w:t>
        </w:r>
        <w:r>
          <w:rPr>
            <w:rFonts w:cstheme="minorBidi" w:eastAsiaTheme="minorEastAsia"/>
            <w:b w:val="0"/>
            <w:i w:val="0"/>
            <w:noProof w:val="1"/>
            <w:sz w:val="22"/>
          </w:rPr>
          <w:tab/>
        </w:r>
        <w:r>
          <w:rPr>
            <w:rStyle w:val="C2"/>
            <w:noProof w:val="1"/>
          </w:rPr>
          <w:t>Transporter</w:t>
        </w:r>
        <w:r>
          <w:rPr>
            <w:noProof w:val="1"/>
          </w:rPr>
          <w:tab/>
        </w:r>
        <w:r>
          <w:rPr>
            <w:noProof w:val="1"/>
          </w:rPr>
          <w:fldChar w:fldCharType="begin"/>
        </w:r>
        <w:r>
          <w:rPr>
            <w:noProof w:val="1"/>
          </w:rPr>
          <w:instrText xml:space="preserve"> PAGEREF _Toc165276804 \h </w:instrText>
        </w:r>
        <w:r>
          <w:rPr>
            <w:noProof w:val="1"/>
          </w:rPr>
          <w:fldChar w:fldCharType="separate"/>
        </w:r>
        <w:r>
          <w:rPr>
            <w:noProof w:val="1"/>
          </w:rPr>
          <w:t>39</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05">
        <w:r>
          <w:rPr>
            <w:rStyle w:val="C2"/>
            <w:caps w:val="1"/>
          </w:rPr>
          <w:t>6.6</w:t>
        </w:r>
        <w:r>
          <w:rPr>
            <w:rFonts w:asciiTheme="minorHAnsi" w:hAnsiTheme="minorHAnsi" w:cstheme="minorBidi" w:eastAsiaTheme="minorEastAsia"/>
            <w:bCs w:val="0"/>
            <w:sz w:val="22"/>
          </w:rPr>
          <w:tab/>
        </w:r>
        <w:r>
          <w:rPr>
            <w:rStyle w:val="C2"/>
          </w:rPr>
          <w:t>Sociala konsekvenser</w:t>
        </w:r>
        <w:r>
          <w:tab/>
        </w:r>
        <w:r>
          <w:fldChar w:fldCharType="begin"/>
        </w:r>
        <w:r>
          <w:instrText xml:space="preserve"> PAGEREF _Toc165276805 \h </w:instrText>
        </w:r>
        <w:r>
          <w:fldChar w:fldCharType="separate"/>
        </w:r>
        <w:r>
          <w:t>39</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6">
        <w:r>
          <w:rPr>
            <w:rStyle w:val="C2"/>
            <w:noProof w:val="1"/>
          </w:rPr>
          <w:t>6.6.1</w:t>
        </w:r>
        <w:r>
          <w:rPr>
            <w:rFonts w:cstheme="minorBidi" w:eastAsiaTheme="minorEastAsia"/>
            <w:b w:val="0"/>
            <w:i w:val="0"/>
            <w:noProof w:val="1"/>
            <w:sz w:val="22"/>
          </w:rPr>
          <w:tab/>
        </w:r>
        <w:r>
          <w:rPr>
            <w:rStyle w:val="C2"/>
            <w:noProof w:val="1"/>
          </w:rPr>
          <w:t>Samvaro</w:t>
        </w:r>
        <w:r>
          <w:rPr>
            <w:noProof w:val="1"/>
          </w:rPr>
          <w:tab/>
        </w:r>
        <w:r>
          <w:rPr>
            <w:noProof w:val="1"/>
          </w:rPr>
          <w:fldChar w:fldCharType="begin"/>
        </w:r>
        <w:r>
          <w:rPr>
            <w:noProof w:val="1"/>
          </w:rPr>
          <w:instrText xml:space="preserve"> PAGEREF _Toc165276806 \h </w:instrText>
        </w:r>
        <w:r>
          <w:rPr>
            <w:noProof w:val="1"/>
          </w:rPr>
          <w:fldChar w:fldCharType="separate"/>
        </w:r>
        <w:r>
          <w:rPr>
            <w:noProof w:val="1"/>
          </w:rPr>
          <w:t>39</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7">
        <w:r>
          <w:rPr>
            <w:rStyle w:val="C2"/>
            <w:noProof w:val="1"/>
          </w:rPr>
          <w:t>6.6.2</w:t>
        </w:r>
        <w:r>
          <w:rPr>
            <w:rFonts w:cstheme="minorBidi" w:eastAsiaTheme="minorEastAsia"/>
            <w:b w:val="0"/>
            <w:i w:val="0"/>
            <w:noProof w:val="1"/>
            <w:sz w:val="22"/>
          </w:rPr>
          <w:tab/>
        </w:r>
        <w:r>
          <w:rPr>
            <w:rStyle w:val="C2"/>
            <w:noProof w:val="1"/>
          </w:rPr>
          <w:t>Mobilitet</w:t>
        </w:r>
        <w:r>
          <w:rPr>
            <w:noProof w:val="1"/>
          </w:rPr>
          <w:tab/>
        </w:r>
        <w:r>
          <w:rPr>
            <w:noProof w:val="1"/>
          </w:rPr>
          <w:fldChar w:fldCharType="begin"/>
        </w:r>
        <w:r>
          <w:rPr>
            <w:noProof w:val="1"/>
          </w:rPr>
          <w:instrText xml:space="preserve"> PAGEREF _Toc165276807 \h </w:instrText>
        </w:r>
        <w:r>
          <w:rPr>
            <w:noProof w:val="1"/>
          </w:rPr>
          <w:fldChar w:fldCharType="separate"/>
        </w:r>
        <w:r>
          <w:rPr>
            <w:noProof w:val="1"/>
          </w:rPr>
          <w:t>39</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08">
        <w:r>
          <w:rPr>
            <w:rStyle w:val="C2"/>
            <w:noProof w:val="1"/>
          </w:rPr>
          <w:t>6.6.3</w:t>
        </w:r>
        <w:r>
          <w:rPr>
            <w:rFonts w:cstheme="minorBidi" w:eastAsiaTheme="minorEastAsia"/>
            <w:b w:val="0"/>
            <w:i w:val="0"/>
            <w:noProof w:val="1"/>
            <w:sz w:val="22"/>
          </w:rPr>
          <w:tab/>
        </w:r>
        <w:r>
          <w:rPr>
            <w:rStyle w:val="C2"/>
            <w:noProof w:val="1"/>
          </w:rPr>
          <w:t>Trygghet</w:t>
        </w:r>
        <w:r>
          <w:rPr>
            <w:noProof w:val="1"/>
          </w:rPr>
          <w:tab/>
        </w:r>
        <w:r>
          <w:rPr>
            <w:noProof w:val="1"/>
          </w:rPr>
          <w:fldChar w:fldCharType="begin"/>
        </w:r>
        <w:r>
          <w:rPr>
            <w:noProof w:val="1"/>
          </w:rPr>
          <w:instrText xml:space="preserve"> PAGEREF _Toc165276808 \h </w:instrText>
        </w:r>
        <w:r>
          <w:rPr>
            <w:noProof w:val="1"/>
          </w:rPr>
          <w:fldChar w:fldCharType="separate"/>
        </w:r>
        <w:r>
          <w:rPr>
            <w:noProof w:val="1"/>
          </w:rPr>
          <w:t>39</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09">
        <w:r>
          <w:rPr>
            <w:rStyle w:val="C2"/>
            <w:caps w:val="1"/>
          </w:rPr>
          <w:t>6.7</w:t>
        </w:r>
        <w:r>
          <w:rPr>
            <w:rFonts w:asciiTheme="minorHAnsi" w:hAnsiTheme="minorHAnsi" w:cstheme="minorBidi" w:eastAsiaTheme="minorEastAsia"/>
            <w:bCs w:val="0"/>
            <w:sz w:val="22"/>
          </w:rPr>
          <w:tab/>
        </w:r>
        <w:r>
          <w:rPr>
            <w:rStyle w:val="C2"/>
          </w:rPr>
          <w:t>Natur och miljö</w:t>
        </w:r>
        <w:r>
          <w:tab/>
        </w:r>
        <w:r>
          <w:fldChar w:fldCharType="begin"/>
        </w:r>
        <w:r>
          <w:instrText xml:space="preserve"> PAGEREF _Toc165276809 \h </w:instrText>
        </w:r>
        <w:r>
          <w:fldChar w:fldCharType="separate"/>
        </w:r>
        <w:r>
          <w:t>40</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0">
        <w:r>
          <w:rPr>
            <w:rStyle w:val="C2"/>
            <w:noProof w:val="1"/>
          </w:rPr>
          <w:t>6.7.1</w:t>
        </w:r>
        <w:r>
          <w:rPr>
            <w:rFonts w:cstheme="minorBidi" w:eastAsiaTheme="minorEastAsia"/>
            <w:b w:val="0"/>
            <w:i w:val="0"/>
            <w:noProof w:val="1"/>
            <w:sz w:val="22"/>
          </w:rPr>
          <w:tab/>
        </w:r>
        <w:r>
          <w:rPr>
            <w:rStyle w:val="C2"/>
            <w:noProof w:val="1"/>
          </w:rPr>
          <w:t>Strategisk miljöbedömning</w:t>
        </w:r>
        <w:r>
          <w:rPr>
            <w:noProof w:val="1"/>
          </w:rPr>
          <w:tab/>
        </w:r>
        <w:r>
          <w:rPr>
            <w:noProof w:val="1"/>
          </w:rPr>
          <w:fldChar w:fldCharType="begin"/>
        </w:r>
        <w:r>
          <w:rPr>
            <w:noProof w:val="1"/>
          </w:rPr>
          <w:instrText xml:space="preserve"> PAGEREF _Toc165276810 \h </w:instrText>
        </w:r>
        <w:r>
          <w:rPr>
            <w:noProof w:val="1"/>
          </w:rPr>
          <w:fldChar w:fldCharType="separate"/>
        </w:r>
        <w:r>
          <w:rPr>
            <w:noProof w:val="1"/>
          </w:rPr>
          <w:t>40</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1">
        <w:r>
          <w:rPr>
            <w:rStyle w:val="C2"/>
            <w:caps w:val="1"/>
            <w:noProof w:val="1"/>
          </w:rPr>
          <w:t>6.7.2</w:t>
        </w:r>
        <w:r>
          <w:rPr>
            <w:rFonts w:cstheme="minorBidi" w:eastAsiaTheme="minorEastAsia"/>
            <w:b w:val="0"/>
            <w:i w:val="0"/>
            <w:noProof w:val="1"/>
            <w:sz w:val="22"/>
          </w:rPr>
          <w:tab/>
        </w:r>
        <w:r>
          <w:rPr>
            <w:rStyle w:val="C2"/>
            <w:noProof w:val="1"/>
          </w:rPr>
          <w:t>Ställningstagande om betydande miljöpåverkan enligt 4 kap. 33 b § plan- och bygglagen (2010:900)</w:t>
        </w:r>
        <w:r>
          <w:rPr>
            <w:noProof w:val="1"/>
          </w:rPr>
          <w:tab/>
        </w:r>
        <w:r>
          <w:rPr>
            <w:noProof w:val="1"/>
          </w:rPr>
          <w:fldChar w:fldCharType="begin"/>
        </w:r>
        <w:r>
          <w:rPr>
            <w:noProof w:val="1"/>
          </w:rPr>
          <w:instrText xml:space="preserve"> PAGEREF _Toc165276811 \h </w:instrText>
        </w:r>
        <w:r>
          <w:rPr>
            <w:noProof w:val="1"/>
          </w:rPr>
          <w:fldChar w:fldCharType="separate"/>
        </w:r>
        <w:r>
          <w:rPr>
            <w:noProof w:val="1"/>
          </w:rPr>
          <w:t>40</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2">
        <w:r>
          <w:rPr>
            <w:rStyle w:val="C2"/>
            <w:noProof w:val="1"/>
          </w:rPr>
          <w:t>6.7.3</w:t>
        </w:r>
        <w:r>
          <w:rPr>
            <w:rFonts w:cstheme="minorBidi" w:eastAsiaTheme="minorEastAsia"/>
            <w:b w:val="0"/>
            <w:i w:val="0"/>
            <w:noProof w:val="1"/>
            <w:sz w:val="22"/>
          </w:rPr>
          <w:tab/>
        </w:r>
        <w:r>
          <w:rPr>
            <w:rStyle w:val="C2"/>
            <w:noProof w:val="1"/>
          </w:rPr>
          <w:t>Dagvatten</w:t>
        </w:r>
        <w:r>
          <w:rPr>
            <w:noProof w:val="1"/>
          </w:rPr>
          <w:tab/>
        </w:r>
        <w:r>
          <w:rPr>
            <w:noProof w:val="1"/>
          </w:rPr>
          <w:fldChar w:fldCharType="begin"/>
        </w:r>
        <w:r>
          <w:rPr>
            <w:noProof w:val="1"/>
          </w:rPr>
          <w:instrText xml:space="preserve"> PAGEREF _Toc165276812 \h </w:instrText>
        </w:r>
        <w:r>
          <w:rPr>
            <w:noProof w:val="1"/>
          </w:rPr>
          <w:fldChar w:fldCharType="separate"/>
        </w:r>
        <w:r>
          <w:rPr>
            <w:noProof w:val="1"/>
          </w:rPr>
          <w:t>41</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3">
        <w:r>
          <w:rPr>
            <w:rStyle w:val="C2"/>
            <w:noProof w:val="1"/>
          </w:rPr>
          <w:t>6.7.4</w:t>
        </w:r>
        <w:r>
          <w:rPr>
            <w:rFonts w:cstheme="minorBidi" w:eastAsiaTheme="minorEastAsia"/>
            <w:b w:val="0"/>
            <w:i w:val="0"/>
            <w:noProof w:val="1"/>
            <w:sz w:val="22"/>
          </w:rPr>
          <w:tab/>
        </w:r>
        <w:r>
          <w:rPr>
            <w:rStyle w:val="C2"/>
            <w:noProof w:val="1"/>
          </w:rPr>
          <w:t>Natur- och grönområden</w:t>
        </w:r>
        <w:r>
          <w:rPr>
            <w:noProof w:val="1"/>
          </w:rPr>
          <w:tab/>
        </w:r>
        <w:r>
          <w:rPr>
            <w:noProof w:val="1"/>
          </w:rPr>
          <w:fldChar w:fldCharType="begin"/>
        </w:r>
        <w:r>
          <w:rPr>
            <w:noProof w:val="1"/>
          </w:rPr>
          <w:instrText xml:space="preserve"> PAGEREF _Toc165276813 \h </w:instrText>
        </w:r>
        <w:r>
          <w:rPr>
            <w:noProof w:val="1"/>
          </w:rPr>
          <w:fldChar w:fldCharType="separate"/>
        </w:r>
        <w:r>
          <w:rPr>
            <w:noProof w:val="1"/>
          </w:rPr>
          <w:t>43</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4">
        <w:r>
          <w:rPr>
            <w:rStyle w:val="C2"/>
            <w:caps w:val="1"/>
            <w:noProof w:val="1"/>
          </w:rPr>
          <w:t>6.7.5</w:t>
        </w:r>
        <w:r>
          <w:rPr>
            <w:rFonts w:cstheme="minorBidi" w:eastAsiaTheme="minorEastAsia"/>
            <w:b w:val="0"/>
            <w:i w:val="0"/>
            <w:noProof w:val="1"/>
            <w:sz w:val="22"/>
          </w:rPr>
          <w:tab/>
        </w:r>
        <w:r>
          <w:rPr>
            <w:rStyle w:val="C2"/>
            <w:noProof w:val="1"/>
          </w:rPr>
          <w:t>Landskapsbild</w:t>
        </w:r>
        <w:r>
          <w:rPr>
            <w:noProof w:val="1"/>
          </w:rPr>
          <w:tab/>
        </w:r>
        <w:r>
          <w:rPr>
            <w:noProof w:val="1"/>
          </w:rPr>
          <w:fldChar w:fldCharType="begin"/>
        </w:r>
        <w:r>
          <w:rPr>
            <w:noProof w:val="1"/>
          </w:rPr>
          <w:instrText xml:space="preserve"> PAGEREF _Toc165276814 \h </w:instrText>
        </w:r>
        <w:r>
          <w:rPr>
            <w:noProof w:val="1"/>
          </w:rPr>
          <w:fldChar w:fldCharType="separate"/>
        </w:r>
        <w:r>
          <w:rPr>
            <w:noProof w:val="1"/>
          </w:rPr>
          <w:t>43</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15">
        <w:r>
          <w:rPr>
            <w:rStyle w:val="C2"/>
          </w:rPr>
          <w:t>6.8</w:t>
        </w:r>
        <w:r>
          <w:rPr>
            <w:rFonts w:asciiTheme="minorHAnsi" w:hAnsiTheme="minorHAnsi" w:cstheme="minorBidi" w:eastAsiaTheme="minorEastAsia"/>
            <w:bCs w:val="0"/>
            <w:sz w:val="22"/>
          </w:rPr>
          <w:tab/>
        </w:r>
        <w:r>
          <w:rPr>
            <w:rStyle w:val="C2"/>
          </w:rPr>
          <w:t>Geoteknik</w:t>
        </w:r>
        <w:r>
          <w:tab/>
        </w:r>
        <w:r>
          <w:fldChar w:fldCharType="begin"/>
        </w:r>
        <w:r>
          <w:instrText xml:space="preserve"> PAGEREF _Toc165276815 \h </w:instrText>
        </w:r>
        <w:r>
          <w:fldChar w:fldCharType="separate"/>
        </w:r>
        <w:r>
          <w:t>43</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16">
        <w:r>
          <w:rPr>
            <w:rStyle w:val="C2"/>
          </w:rPr>
          <w:t>6.9</w:t>
        </w:r>
        <w:r>
          <w:rPr>
            <w:rFonts w:asciiTheme="minorHAnsi" w:hAnsiTheme="minorHAnsi" w:cstheme="minorBidi" w:eastAsiaTheme="minorEastAsia"/>
            <w:bCs w:val="0"/>
            <w:sz w:val="22"/>
          </w:rPr>
          <w:tab/>
        </w:r>
        <w:r>
          <w:rPr>
            <w:rStyle w:val="C2"/>
          </w:rPr>
          <w:t>Hälsa och säkerhet</w:t>
        </w:r>
        <w:r>
          <w:tab/>
        </w:r>
        <w:r>
          <w:fldChar w:fldCharType="begin"/>
        </w:r>
        <w:r>
          <w:instrText xml:space="preserve"> PAGEREF _Toc165276816 \h </w:instrText>
        </w:r>
        <w:r>
          <w:fldChar w:fldCharType="separate"/>
        </w:r>
        <w:r>
          <w:t>43</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7">
        <w:r>
          <w:rPr>
            <w:rStyle w:val="C2"/>
            <w:caps w:val="1"/>
            <w:noProof w:val="1"/>
          </w:rPr>
          <w:t>6.9.1</w:t>
        </w:r>
        <w:r>
          <w:rPr>
            <w:rFonts w:cstheme="minorBidi" w:eastAsiaTheme="minorEastAsia"/>
            <w:b w:val="0"/>
            <w:i w:val="0"/>
            <w:noProof w:val="1"/>
            <w:sz w:val="22"/>
          </w:rPr>
          <w:tab/>
        </w:r>
        <w:r>
          <w:rPr>
            <w:rStyle w:val="C2"/>
            <w:noProof w:val="1"/>
          </w:rPr>
          <w:t>Översvämning</w:t>
        </w:r>
        <w:r>
          <w:rPr>
            <w:noProof w:val="1"/>
          </w:rPr>
          <w:tab/>
        </w:r>
        <w:r>
          <w:rPr>
            <w:noProof w:val="1"/>
          </w:rPr>
          <w:fldChar w:fldCharType="begin"/>
        </w:r>
        <w:r>
          <w:rPr>
            <w:noProof w:val="1"/>
          </w:rPr>
          <w:instrText xml:space="preserve"> PAGEREF _Toc165276817 \h </w:instrText>
        </w:r>
        <w:r>
          <w:rPr>
            <w:noProof w:val="1"/>
          </w:rPr>
          <w:fldChar w:fldCharType="separate"/>
        </w:r>
        <w:r>
          <w:rPr>
            <w:noProof w:val="1"/>
          </w:rPr>
          <w:t>43</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18">
        <w:r>
          <w:rPr>
            <w:rStyle w:val="C2"/>
            <w:noProof w:val="1"/>
          </w:rPr>
          <w:t>6.9.2</w:t>
        </w:r>
        <w:r>
          <w:rPr>
            <w:rFonts w:cstheme="minorBidi" w:eastAsiaTheme="minorEastAsia"/>
            <w:b w:val="0"/>
            <w:i w:val="0"/>
            <w:noProof w:val="1"/>
            <w:sz w:val="22"/>
          </w:rPr>
          <w:tab/>
        </w:r>
        <w:r>
          <w:rPr>
            <w:rStyle w:val="C2"/>
            <w:noProof w:val="1"/>
          </w:rPr>
          <w:t>Markmiljö</w:t>
        </w:r>
        <w:r>
          <w:rPr>
            <w:noProof w:val="1"/>
          </w:rPr>
          <w:tab/>
        </w:r>
        <w:r>
          <w:rPr>
            <w:noProof w:val="1"/>
          </w:rPr>
          <w:fldChar w:fldCharType="begin"/>
        </w:r>
        <w:r>
          <w:rPr>
            <w:noProof w:val="1"/>
          </w:rPr>
          <w:instrText xml:space="preserve"> PAGEREF _Toc165276818 \h </w:instrText>
        </w:r>
        <w:r>
          <w:rPr>
            <w:noProof w:val="1"/>
          </w:rPr>
          <w:fldChar w:fldCharType="separate"/>
        </w:r>
        <w:r>
          <w:rPr>
            <w:noProof w:val="1"/>
          </w:rPr>
          <w:t>44</w:t>
        </w:r>
        <w:r>
          <w:rPr>
            <w:noProof w:val="1"/>
          </w:rPr>
          <w:fldChar w:fldCharType="end"/>
        </w:r>
      </w:hyperlink>
    </w:p>
    <w:p>
      <w:pPr>
        <w:pStyle w:val="P17"/>
        <w:rPr>
          <w:rFonts w:asciiTheme="minorHAnsi" w:hAnsiTheme="minorHAnsi" w:cstheme="minorBidi" w:eastAsiaTheme="minorEastAsia"/>
          <w:b w:val="0"/>
          <w:bCs w:val="0"/>
          <w:sz w:val="22"/>
        </w:rPr>
      </w:pPr>
      <w:hyperlink w:anchor="_Toc165276819">
        <w:r>
          <w:rPr>
            <w:rStyle w:val="C2"/>
          </w:rPr>
          <w:t>7.</w:t>
        </w:r>
        <w:r>
          <w:rPr>
            <w:rFonts w:asciiTheme="minorHAnsi" w:hAnsiTheme="minorHAnsi" w:cstheme="minorBidi" w:eastAsiaTheme="minorEastAsia"/>
            <w:b w:val="0"/>
            <w:bCs w:val="0"/>
            <w:sz w:val="22"/>
          </w:rPr>
          <w:tab/>
        </w:r>
        <w:r>
          <w:rPr>
            <w:rStyle w:val="C2"/>
          </w:rPr>
          <w:t>Planeringsunderlag</w:t>
        </w:r>
        <w:r>
          <w:tab/>
        </w:r>
        <w:r>
          <w:fldChar w:fldCharType="begin"/>
        </w:r>
        <w:r>
          <w:instrText xml:space="preserve"> PAGEREF _Toc165276819 \h </w:instrText>
        </w:r>
        <w:r>
          <w:fldChar w:fldCharType="separate"/>
        </w:r>
        <w:r>
          <w:t>44</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20">
        <w:r>
          <w:rPr>
            <w:rStyle w:val="C2"/>
            <w:caps w:val="1"/>
          </w:rPr>
          <w:t>7.1</w:t>
        </w:r>
        <w:r>
          <w:rPr>
            <w:rFonts w:asciiTheme="minorHAnsi" w:hAnsiTheme="minorHAnsi" w:cstheme="minorBidi" w:eastAsiaTheme="minorEastAsia"/>
            <w:bCs w:val="0"/>
            <w:sz w:val="22"/>
          </w:rPr>
          <w:tab/>
        </w:r>
        <w:r>
          <w:rPr>
            <w:rStyle w:val="C2"/>
          </w:rPr>
          <w:t>Beslutsprotokoll</w:t>
        </w:r>
        <w:r>
          <w:tab/>
        </w:r>
        <w:r>
          <w:fldChar w:fldCharType="begin"/>
        </w:r>
        <w:r>
          <w:instrText xml:space="preserve"> PAGEREF _Toc165276820 \h </w:instrText>
        </w:r>
        <w:r>
          <w:fldChar w:fldCharType="separate"/>
        </w:r>
        <w:r>
          <w:t>45</w:t>
        </w:r>
        <w: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21">
        <w:r>
          <w:rPr>
            <w:rStyle w:val="C2"/>
            <w:caps w:val="1"/>
          </w:rPr>
          <w:t>7.2</w:t>
        </w:r>
        <w:r>
          <w:rPr>
            <w:rFonts w:asciiTheme="minorHAnsi" w:hAnsiTheme="minorHAnsi" w:cstheme="minorBidi" w:eastAsiaTheme="minorEastAsia"/>
            <w:bCs w:val="0"/>
            <w:sz w:val="22"/>
          </w:rPr>
          <w:tab/>
        </w:r>
        <w:r>
          <w:rPr>
            <w:rStyle w:val="C2"/>
          </w:rPr>
          <w:t>Kommunala</w:t>
        </w:r>
        <w:r>
          <w:tab/>
        </w:r>
        <w:r>
          <w:fldChar w:fldCharType="begin"/>
        </w:r>
        <w:r>
          <w:instrText xml:space="preserve"> PAGEREF _Toc165276821 \h </w:instrText>
        </w:r>
        <w:r>
          <w:fldChar w:fldCharType="separate"/>
        </w:r>
        <w:r>
          <w:t>45</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22">
        <w:r>
          <w:rPr>
            <w:rStyle w:val="C2"/>
            <w:noProof w:val="1"/>
          </w:rPr>
          <w:t>7.2.1</w:t>
        </w:r>
        <w:r>
          <w:rPr>
            <w:rFonts w:cstheme="minorBidi" w:eastAsiaTheme="minorEastAsia"/>
            <w:b w:val="0"/>
            <w:i w:val="0"/>
            <w:noProof w:val="1"/>
            <w:sz w:val="22"/>
          </w:rPr>
          <w:tab/>
        </w:r>
        <w:r>
          <w:rPr>
            <w:rStyle w:val="C2"/>
            <w:noProof w:val="1"/>
          </w:rPr>
          <w:t>Detaljplan</w:t>
        </w:r>
        <w:r>
          <w:rPr>
            <w:noProof w:val="1"/>
          </w:rPr>
          <w:tab/>
        </w:r>
        <w:r>
          <w:rPr>
            <w:noProof w:val="1"/>
          </w:rPr>
          <w:fldChar w:fldCharType="begin"/>
        </w:r>
        <w:r>
          <w:rPr>
            <w:noProof w:val="1"/>
          </w:rPr>
          <w:instrText xml:space="preserve"> PAGEREF _Toc165276822 \h </w:instrText>
        </w:r>
        <w:r>
          <w:rPr>
            <w:noProof w:val="1"/>
          </w:rPr>
          <w:fldChar w:fldCharType="separate"/>
        </w:r>
        <w:r>
          <w:rPr>
            <w:noProof w:val="1"/>
          </w:rPr>
          <w:t>45</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23">
        <w:r>
          <w:rPr>
            <w:rStyle w:val="C2"/>
            <w:noProof w:val="1"/>
          </w:rPr>
          <w:t>7.2.2</w:t>
        </w:r>
        <w:r>
          <w:rPr>
            <w:rFonts w:cstheme="minorBidi" w:eastAsiaTheme="minorEastAsia"/>
            <w:b w:val="0"/>
            <w:i w:val="0"/>
            <w:noProof w:val="1"/>
            <w:sz w:val="22"/>
          </w:rPr>
          <w:tab/>
        </w:r>
        <w:r>
          <w:rPr>
            <w:rStyle w:val="C2"/>
            <w:noProof w:val="1"/>
          </w:rPr>
          <w:t>Planbesked</w:t>
        </w:r>
        <w:r>
          <w:rPr>
            <w:noProof w:val="1"/>
          </w:rPr>
          <w:tab/>
        </w:r>
        <w:r>
          <w:rPr>
            <w:noProof w:val="1"/>
          </w:rPr>
          <w:fldChar w:fldCharType="begin"/>
        </w:r>
        <w:r>
          <w:rPr>
            <w:noProof w:val="1"/>
          </w:rPr>
          <w:instrText xml:space="preserve"> PAGEREF _Toc165276823 \h </w:instrText>
        </w:r>
        <w:r>
          <w:rPr>
            <w:noProof w:val="1"/>
          </w:rPr>
          <w:fldChar w:fldCharType="separate"/>
        </w:r>
        <w:r>
          <w:rPr>
            <w:noProof w:val="1"/>
          </w:rPr>
          <w:t>45</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24">
        <w:r>
          <w:rPr>
            <w:rStyle w:val="C2"/>
            <w:noProof w:val="1"/>
          </w:rPr>
          <w:t>7.2.3</w:t>
        </w:r>
        <w:r>
          <w:rPr>
            <w:rFonts w:cstheme="minorBidi" w:eastAsiaTheme="minorEastAsia"/>
            <w:b w:val="0"/>
            <w:i w:val="0"/>
            <w:noProof w:val="1"/>
            <w:sz w:val="22"/>
          </w:rPr>
          <w:tab/>
        </w:r>
        <w:r>
          <w:rPr>
            <w:rStyle w:val="C2"/>
            <w:noProof w:val="1"/>
          </w:rPr>
          <w:t>Grundkarta</w:t>
        </w:r>
        <w:r>
          <w:rPr>
            <w:noProof w:val="1"/>
          </w:rPr>
          <w:tab/>
        </w:r>
        <w:r>
          <w:rPr>
            <w:noProof w:val="1"/>
          </w:rPr>
          <w:fldChar w:fldCharType="begin"/>
        </w:r>
        <w:r>
          <w:rPr>
            <w:noProof w:val="1"/>
          </w:rPr>
          <w:instrText xml:space="preserve"> PAGEREF _Toc165276824 \h </w:instrText>
        </w:r>
        <w:r>
          <w:rPr>
            <w:noProof w:val="1"/>
          </w:rPr>
          <w:fldChar w:fldCharType="separate"/>
        </w:r>
        <w:r>
          <w:rPr>
            <w:noProof w:val="1"/>
          </w:rPr>
          <w:t>45</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25">
        <w:r>
          <w:rPr>
            <w:rStyle w:val="C2"/>
            <w:noProof w:val="1"/>
          </w:rPr>
          <w:t>7.2.4</w:t>
        </w:r>
        <w:r>
          <w:rPr>
            <w:rFonts w:cstheme="minorBidi" w:eastAsiaTheme="minorEastAsia"/>
            <w:b w:val="0"/>
            <w:i w:val="0"/>
            <w:noProof w:val="1"/>
            <w:sz w:val="22"/>
          </w:rPr>
          <w:tab/>
        </w:r>
        <w:r>
          <w:rPr>
            <w:rStyle w:val="C2"/>
            <w:noProof w:val="1"/>
          </w:rPr>
          <w:t>Översiktsplan</w:t>
        </w:r>
        <w:r>
          <w:rPr>
            <w:noProof w:val="1"/>
          </w:rPr>
          <w:tab/>
        </w:r>
        <w:r>
          <w:rPr>
            <w:noProof w:val="1"/>
          </w:rPr>
          <w:fldChar w:fldCharType="begin"/>
        </w:r>
        <w:r>
          <w:rPr>
            <w:noProof w:val="1"/>
          </w:rPr>
          <w:instrText xml:space="preserve"> PAGEREF _Toc165276825 \h </w:instrText>
        </w:r>
        <w:r>
          <w:rPr>
            <w:noProof w:val="1"/>
          </w:rPr>
          <w:fldChar w:fldCharType="separate"/>
        </w:r>
        <w:r>
          <w:rPr>
            <w:noProof w:val="1"/>
          </w:rPr>
          <w:t>46</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26">
        <w:r>
          <w:rPr>
            <w:rStyle w:val="C2"/>
            <w:noProof w:val="1"/>
          </w:rPr>
          <w:t>7.2.5</w:t>
        </w:r>
        <w:r>
          <w:rPr>
            <w:rFonts w:cstheme="minorBidi" w:eastAsiaTheme="minorEastAsia"/>
            <w:b w:val="0"/>
            <w:i w:val="0"/>
            <w:noProof w:val="1"/>
            <w:sz w:val="22"/>
          </w:rPr>
          <w:tab/>
        </w:r>
        <w:r>
          <w:rPr>
            <w:rStyle w:val="C2"/>
            <w:noProof w:val="1"/>
          </w:rPr>
          <w:t>Övrigt kommunalt planeringsunderlag</w:t>
        </w:r>
        <w:r>
          <w:rPr>
            <w:noProof w:val="1"/>
          </w:rPr>
          <w:tab/>
        </w:r>
        <w:r>
          <w:rPr>
            <w:noProof w:val="1"/>
          </w:rPr>
          <w:fldChar w:fldCharType="begin"/>
        </w:r>
        <w:r>
          <w:rPr>
            <w:noProof w:val="1"/>
          </w:rPr>
          <w:instrText xml:space="preserve"> PAGEREF _Toc165276826 \h </w:instrText>
        </w:r>
        <w:r>
          <w:rPr>
            <w:noProof w:val="1"/>
          </w:rPr>
          <w:fldChar w:fldCharType="separate"/>
        </w:r>
        <w:r>
          <w:rPr>
            <w:noProof w:val="1"/>
          </w:rPr>
          <w:t>46</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27">
        <w:r>
          <w:rPr>
            <w:rStyle w:val="C2"/>
            <w:caps w:val="1"/>
          </w:rPr>
          <w:t>7.3</w:t>
        </w:r>
        <w:r>
          <w:rPr>
            <w:rFonts w:asciiTheme="minorHAnsi" w:hAnsiTheme="minorHAnsi" w:cstheme="minorBidi" w:eastAsiaTheme="minorEastAsia"/>
            <w:bCs w:val="0"/>
            <w:sz w:val="22"/>
          </w:rPr>
          <w:tab/>
        </w:r>
        <w:r>
          <w:rPr>
            <w:rStyle w:val="C2"/>
          </w:rPr>
          <w:t>Utredningar</w:t>
        </w:r>
        <w:r>
          <w:tab/>
        </w:r>
        <w:r>
          <w:fldChar w:fldCharType="begin"/>
        </w:r>
        <w:r>
          <w:instrText xml:space="preserve"> PAGEREF _Toc165276827 \h </w:instrText>
        </w:r>
        <w:r>
          <w:fldChar w:fldCharType="separate"/>
        </w:r>
        <w:r>
          <w:t>46</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28">
        <w:r>
          <w:rPr>
            <w:rStyle w:val="C2"/>
            <w:caps w:val="1"/>
            <w:noProof w:val="1"/>
          </w:rPr>
          <w:t>7.3.1</w:t>
        </w:r>
        <w:r>
          <w:rPr>
            <w:rFonts w:cstheme="minorBidi" w:eastAsiaTheme="minorEastAsia"/>
            <w:b w:val="0"/>
            <w:i w:val="0"/>
            <w:noProof w:val="1"/>
            <w:sz w:val="22"/>
          </w:rPr>
          <w:tab/>
        </w:r>
        <w:r>
          <w:rPr>
            <w:rStyle w:val="C2"/>
            <w:noProof w:val="1"/>
          </w:rPr>
          <w:t>Markmiljöutredning</w:t>
        </w:r>
        <w:r>
          <w:rPr>
            <w:noProof w:val="1"/>
          </w:rPr>
          <w:tab/>
        </w:r>
        <w:r>
          <w:rPr>
            <w:noProof w:val="1"/>
          </w:rPr>
          <w:fldChar w:fldCharType="begin"/>
        </w:r>
        <w:r>
          <w:rPr>
            <w:noProof w:val="1"/>
          </w:rPr>
          <w:instrText xml:space="preserve"> PAGEREF _Toc165276828 \h </w:instrText>
        </w:r>
        <w:r>
          <w:rPr>
            <w:noProof w:val="1"/>
          </w:rPr>
          <w:fldChar w:fldCharType="separate"/>
        </w:r>
        <w:r>
          <w:rPr>
            <w:noProof w:val="1"/>
          </w:rPr>
          <w:t>46</w:t>
        </w:r>
        <w:r>
          <w:rPr>
            <w:noProof w:val="1"/>
          </w:rPr>
          <w:fldChar w:fldCharType="end"/>
        </w:r>
      </w:hyperlink>
    </w:p>
    <w:p>
      <w:pPr>
        <w:pStyle w:val="P19"/>
        <w:tabs>
          <w:tab w:val="left" w:pos="964" w:leader="none"/>
          <w:tab w:val="right" w:pos="7360" w:leader="none"/>
        </w:tabs>
        <w:rPr>
          <w:rFonts w:asciiTheme="minorHAnsi" w:hAnsiTheme="minorHAnsi" w:cstheme="minorBidi" w:eastAsiaTheme="minorEastAsia"/>
          <w:bCs w:val="0"/>
          <w:sz w:val="22"/>
        </w:rPr>
      </w:pPr>
      <w:hyperlink w:anchor="_Toc165276829">
        <w:r>
          <w:rPr>
            <w:rStyle w:val="C2"/>
          </w:rPr>
          <w:t>7.4</w:t>
        </w:r>
        <w:r>
          <w:rPr>
            <w:rFonts w:asciiTheme="minorHAnsi" w:hAnsiTheme="minorHAnsi" w:cstheme="minorBidi" w:eastAsiaTheme="minorEastAsia"/>
            <w:bCs w:val="0"/>
            <w:sz w:val="22"/>
          </w:rPr>
          <w:tab/>
        </w:r>
        <w:r>
          <w:rPr>
            <w:rStyle w:val="C2"/>
          </w:rPr>
          <w:t>Annat underlag</w:t>
        </w:r>
        <w:r>
          <w:tab/>
        </w:r>
        <w:r>
          <w:fldChar w:fldCharType="begin"/>
        </w:r>
        <w:r>
          <w:instrText xml:space="preserve"> PAGEREF _Toc165276829 \h </w:instrText>
        </w:r>
        <w:r>
          <w:fldChar w:fldCharType="separate"/>
        </w:r>
        <w:r>
          <w:t>47</w:t>
        </w:r>
        <w: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30">
        <w:r>
          <w:rPr>
            <w:rStyle w:val="C2"/>
            <w:noProof w:val="1"/>
          </w:rPr>
          <w:t>7.4.1</w:t>
        </w:r>
        <w:r>
          <w:rPr>
            <w:rFonts w:cstheme="minorBidi" w:eastAsiaTheme="minorEastAsia"/>
            <w:b w:val="0"/>
            <w:i w:val="0"/>
            <w:noProof w:val="1"/>
            <w:sz w:val="22"/>
          </w:rPr>
          <w:tab/>
        </w:r>
        <w:r>
          <w:rPr>
            <w:rStyle w:val="C2"/>
            <w:noProof w:val="1"/>
          </w:rPr>
          <w:t>Statliga myndigheter</w:t>
        </w:r>
        <w:r>
          <w:rPr>
            <w:noProof w:val="1"/>
          </w:rPr>
          <w:tab/>
        </w:r>
        <w:r>
          <w:rPr>
            <w:noProof w:val="1"/>
          </w:rPr>
          <w:fldChar w:fldCharType="begin"/>
        </w:r>
        <w:r>
          <w:rPr>
            <w:noProof w:val="1"/>
          </w:rPr>
          <w:instrText xml:space="preserve"> PAGEREF _Toc165276830 \h </w:instrText>
        </w:r>
        <w:r>
          <w:rPr>
            <w:noProof w:val="1"/>
          </w:rPr>
          <w:fldChar w:fldCharType="separate"/>
        </w:r>
        <w:r>
          <w:rPr>
            <w:noProof w:val="1"/>
          </w:rPr>
          <w:t>47</w:t>
        </w:r>
        <w:r>
          <w:rPr>
            <w:noProof w:val="1"/>
          </w:rPr>
          <w:fldChar w:fldCharType="end"/>
        </w:r>
      </w:hyperlink>
    </w:p>
    <w:p>
      <w:pPr>
        <w:pStyle w:val="P18"/>
        <w:tabs>
          <w:tab w:val="left" w:pos="1554" w:leader="none"/>
          <w:tab w:val="right" w:pos="7360" w:leader="none"/>
        </w:tabs>
        <w:rPr>
          <w:rFonts w:cstheme="minorBidi" w:eastAsiaTheme="minorEastAsia"/>
          <w:b w:val="0"/>
          <w:i w:val="0"/>
          <w:noProof w:val="1"/>
          <w:sz w:val="22"/>
        </w:rPr>
      </w:pPr>
      <w:hyperlink w:anchor="_Toc165276831">
        <w:r>
          <w:rPr>
            <w:rStyle w:val="C2"/>
            <w:noProof w:val="1"/>
          </w:rPr>
          <w:t>7.4.2</w:t>
        </w:r>
        <w:r>
          <w:rPr>
            <w:rFonts w:cstheme="minorBidi" w:eastAsiaTheme="minorEastAsia"/>
            <w:b w:val="0"/>
            <w:i w:val="0"/>
            <w:noProof w:val="1"/>
            <w:sz w:val="22"/>
          </w:rPr>
          <w:tab/>
        </w:r>
        <w:r>
          <w:rPr>
            <w:rStyle w:val="C2"/>
            <w:noProof w:val="1"/>
          </w:rPr>
          <w:t>Privata aktörer</w:t>
        </w:r>
        <w:r>
          <w:rPr>
            <w:noProof w:val="1"/>
          </w:rPr>
          <w:tab/>
        </w:r>
        <w:r>
          <w:rPr>
            <w:noProof w:val="1"/>
          </w:rPr>
          <w:fldChar w:fldCharType="begin"/>
        </w:r>
        <w:r>
          <w:rPr>
            <w:noProof w:val="1"/>
          </w:rPr>
          <w:instrText xml:space="preserve"> PAGEREF _Toc165276831 \h </w:instrText>
        </w:r>
        <w:r>
          <w:rPr>
            <w:noProof w:val="1"/>
          </w:rPr>
          <w:fldChar w:fldCharType="separate"/>
        </w:r>
        <w:r>
          <w:rPr>
            <w:noProof w:val="1"/>
          </w:rPr>
          <w:t>47</w:t>
        </w:r>
        <w:r>
          <w:rPr>
            <w:noProof w:val="1"/>
          </w:rPr>
          <w:fldChar w:fldCharType="end"/>
        </w:r>
      </w:hyperlink>
    </w:p>
    <w:p>
      <w:pPr>
        <w:spacing w:lineRule="auto" w:line="259" w:after="257" w:beforeAutospacing="0" w:afterAutospacing="0"/>
        <w:ind w:firstLine="0" w:left="425"/>
        <w:rPr>
          <w:rFonts w:ascii="Arial" w:hAnsi="Arial" w:cs="Arial" w:eastAsia="Arial"/>
          <w:b w:val="1"/>
          <w:bCs w:val="1"/>
          <w:caps w:val="1"/>
          <w:noProof w:val="1"/>
          <w:color w:val="000000"/>
          <w:sz w:val="22"/>
          <w:szCs w:val="22"/>
          <w:u w:val="single"/>
        </w:rPr>
      </w:pPr>
      <w:r>
        <w:rPr>
          <w:rFonts w:ascii="Arial" w:hAnsi="Arial" w:cs="Arial" w:eastAsia="Arial"/>
          <w:b w:val="1"/>
          <w:bCs w:val="1"/>
          <w:caps w:val="1"/>
          <w:noProof w:val="1"/>
          <w:color w:val="000000"/>
          <w:sz w:val="22"/>
          <w:szCs w:val="22"/>
          <w:u w:val="single"/>
        </w:rPr>
        <w:fldChar w:fldCharType="end"/>
      </w:r>
    </w:p>
    <w:p>
      <w:pPr>
        <w:ind w:firstLine="0" w:left="0"/>
        <w:rPr>
          <w:rFonts w:asciiTheme="majorHAnsi" w:hAnsiTheme="majorHAnsi" w:cstheme="majorHAnsi"/>
          <w:b w:val="1"/>
          <w:bCs w:val="1"/>
          <w:color w:val="4478A4"/>
          <w:sz w:val="26"/>
          <w:szCs w:val="26"/>
        </w:rPr>
      </w:pPr>
      <w:r>
        <w:rPr>
          <w:rFonts w:asciiTheme="majorHAnsi" w:hAnsiTheme="majorHAnsi" w:cstheme="majorHAnsi"/>
          <w:b w:val="1"/>
          <w:bCs w:val="1"/>
          <w:color w:val="4478A4"/>
          <w:sz w:val="26"/>
          <w:szCs w:val="26"/>
        </w:rPr>
        <w:br w:type="page"/>
      </w:r>
    </w:p>
    <w:p>
      <w:pPr>
        <w:ind w:firstLine="0" w:left="0"/>
        <w:rPr>
          <w:rFonts w:asciiTheme="majorHAnsi" w:hAnsiTheme="majorHAnsi" w:cstheme="majorHAnsi"/>
          <w:b w:val="1"/>
          <w:bCs w:val="1"/>
          <w:color w:val="4478A4"/>
          <w:sz w:val="26"/>
          <w:szCs w:val="26"/>
        </w:rPr>
      </w:pPr>
      <w:r>
        <w:rPr>
          <w:rFonts w:asciiTheme="majorHAnsi" w:hAnsiTheme="majorHAnsi" w:cstheme="majorHAnsi"/>
          <w:b w:val="1"/>
          <w:bCs w:val="1"/>
          <w:color w:val="4478A4"/>
          <w:sz w:val="26"/>
          <w:szCs w:val="26"/>
        </w:rPr>
        <w:t>Planhandlingar:</w:t>
      </w:r>
    </w:p>
    <w:p>
      <w:pPr>
        <w:pStyle w:val="P13"/>
        <w:numPr>
          <w:ilvl w:val="0"/>
          <w:numId w:val="9"/>
        </w:numPr>
      </w:pPr>
      <w:r>
        <w:t>Plankarta med planbestämmelser</w:t>
      </w:r>
    </w:p>
    <w:p>
      <w:pPr>
        <w:pStyle w:val="P13"/>
        <w:numPr>
          <w:ilvl w:val="0"/>
          <w:numId w:val="9"/>
        </w:numPr>
      </w:pPr>
      <w:r>
        <w:t>Planbeskrivning</w:t>
      </w:r>
    </w:p>
    <w:p>
      <w:pPr>
        <w:pStyle w:val="P13"/>
        <w:numPr>
          <w:ilvl w:val="0"/>
          <w:numId w:val="9"/>
        </w:numPr>
      </w:pPr>
      <w:r>
        <w:t>Undersökning om betydande miljöpåverkan</w:t>
      </w:r>
    </w:p>
    <w:p>
      <w:pPr>
        <w:pStyle w:val="P13"/>
        <w:numPr>
          <w:ilvl w:val="0"/>
          <w:numId w:val="9"/>
        </w:numPr>
      </w:pPr>
      <w:r>
        <w:t>Grundkarta</w:t>
      </w:r>
    </w:p>
    <w:p>
      <w:pPr>
        <w:pStyle w:val="P13"/>
        <w:numPr>
          <w:ilvl w:val="0"/>
          <w:numId w:val="9"/>
        </w:numPr>
      </w:pPr>
      <w:r>
        <w:t>Fastighetsförteckning</w:t>
      </w:r>
    </w:p>
    <w:p>
      <w:pPr>
        <w:pStyle w:val="P13"/>
        <w:numPr>
          <w:ilvl w:val="0"/>
          <w:numId w:val="9"/>
        </w:numPr>
      </w:pPr>
      <w:r>
        <w:t>Samrådsredogörelse</w:t>
      </w:r>
    </w:p>
    <w:p>
      <w:pPr>
        <w:pStyle w:val="P13"/>
        <w:numPr>
          <w:ilvl w:val="0"/>
          <w:numId w:val="9"/>
        </w:numPr>
      </w:pPr>
      <w:r>
        <w:t>Granskngsutlåtande</w:t>
      </w:r>
    </w:p>
    <w:p>
      <w:pPr>
        <w:rPr>
          <w:rFonts w:eastAsia="Arial"/>
          <w:noProof w:val="1"/>
        </w:rPr>
      </w:pPr>
    </w:p>
    <w:p>
      <w:pPr>
        <w:rPr>
          <w:rFonts w:asciiTheme="majorHAnsi" w:hAnsiTheme="majorHAnsi" w:cstheme="majorHAnsi"/>
          <w:b w:val="1"/>
          <w:bCs w:val="1"/>
          <w:color w:val="4478A4"/>
          <w:sz w:val="26"/>
          <w:szCs w:val="26"/>
        </w:rPr>
      </w:pPr>
      <w:r>
        <w:rPr>
          <w:rFonts w:asciiTheme="majorHAnsi" w:hAnsiTheme="majorHAnsi" w:cstheme="majorHAnsi"/>
          <w:b w:val="1"/>
          <w:bCs w:val="1"/>
          <w:color w:val="4478A4"/>
          <w:sz w:val="26"/>
          <w:szCs w:val="26"/>
        </w:rPr>
        <w:t>Planeringsunderlag:</w:t>
      </w:r>
    </w:p>
    <w:p>
      <w:pPr>
        <w:pStyle w:val="P13"/>
        <w:numPr>
          <w:ilvl w:val="0"/>
          <w:numId w:val="9"/>
        </w:numPr>
      </w:pPr>
      <w:r>
        <w:t>Illustrationsplan</w:t>
      </w:r>
    </w:p>
    <w:p>
      <w:pPr>
        <w:pStyle w:val="P13"/>
        <w:numPr>
          <w:ilvl w:val="0"/>
          <w:numId w:val="9"/>
        </w:numPr>
      </w:pPr>
      <w:r>
        <w:t xml:space="preserve">Översiktlig miljöteknisk markundersökning  (2023-08-30)</w:t>
      </w:r>
    </w:p>
    <w:p>
      <w:pPr>
        <w:spacing w:lineRule="auto" w:line="259" w:after="257" w:beforeAutospacing="0" w:afterAutospacing="0"/>
        <w:ind w:firstLine="0" w:left="425"/>
        <w:rPr>
          <w:rFonts w:ascii="Arial" w:hAnsi="Arial" w:cs="Arial" w:eastAsia="Arial"/>
          <w:noProof w:val="1"/>
          <w:color w:val="000000"/>
          <w:szCs w:val="22"/>
        </w:rPr>
      </w:pPr>
    </w:p>
    <w:p>
      <w:pPr>
        <w:spacing w:lineRule="auto" w:line="259" w:after="257" w:beforeAutospacing="0" w:afterAutospacing="0"/>
        <w:ind w:firstLine="0" w:left="0"/>
        <w:rPr>
          <w:rFonts w:ascii="Arial" w:hAnsi="Arial" w:cs="Arial" w:eastAsia="Arial"/>
          <w:noProof w:val="1"/>
          <w:color w:val="000000"/>
          <w:szCs w:val="22"/>
        </w:rPr>
      </w:pPr>
    </w:p>
    <w:p>
      <w:pPr>
        <w:pStyle w:val="P13"/>
      </w:pPr>
      <w:r>
        <w:rPr>
          <w:rFonts w:asciiTheme="majorHAnsi" w:hAnsiTheme="majorHAnsi" w:cstheme="majorHAnsi" w:eastAsia="Times New Roman"/>
          <w:b w:val="1"/>
          <w:bCs w:val="1"/>
          <w:noProof w:val="0"/>
          <w:color w:val="4478A4"/>
          <w:sz w:val="26"/>
          <w:szCs w:val="26"/>
        </w:rPr>
        <w:t>Medverkande</w:t>
      </w:r>
      <w:r>
        <w:rPr>
          <w:rFonts w:ascii="Arial" w:hAnsi="Arial"/>
          <w:b w:val="1"/>
          <w:bCs w:val="1"/>
          <w:color w:val="000000"/>
          <w:szCs w:val="22"/>
        </w:rPr>
        <w:br w:type="textWrapping"/>
      </w:r>
      <w:r>
        <w:t>Detaljplanen har upprättats av Tengbom i samarbete med Samhällsbyggnadskontoret.</w:t>
      </w:r>
    </w:p>
    <w:p>
      <w:pPr>
        <w:pStyle w:val="P13"/>
      </w:pPr>
    </w:p>
    <w:p>
      <w:pPr>
        <w:pStyle w:val="P13"/>
      </w:pPr>
      <w:r>
        <w:t>Hanna Maleus Larsson</w:t>
      </w:r>
    </w:p>
    <w:p>
      <w:pPr>
        <w:pStyle w:val="P13"/>
      </w:pPr>
      <w:r>
        <w:t xml:space="preserve">Planhandläggare, Kalmar kommun </w:t>
      </w:r>
    </w:p>
    <w:p>
      <w:pPr>
        <w:spacing w:lineRule="auto" w:line="259" w:after="257" w:beforeAutospacing="0" w:afterAutospacing="0"/>
        <w:ind w:firstLine="0" w:left="425"/>
        <w:rPr>
          <w:rFonts w:ascii="Arial" w:hAnsi="Arial" w:cs="Arial" w:eastAsia="Arial"/>
          <w:noProof w:val="1"/>
          <w:color w:val="000000"/>
          <w:szCs w:val="22"/>
        </w:rPr>
      </w:pPr>
    </w:p>
    <w:p>
      <w:pPr>
        <w:ind w:firstLine="0" w:left="0"/>
        <w:rPr>
          <w:rFonts w:asciiTheme="majorHAnsi" w:hAnsiTheme="majorHAnsi" w:cs="Arial" w:eastAsia="Arial"/>
          <w:b w:val="1"/>
          <w:bCs w:val="1"/>
          <w:noProof w:val="1"/>
          <w:color w:val="4478A4"/>
          <w:sz w:val="36"/>
          <w:szCs w:val="32"/>
          <w:kern w:val="28"/>
        </w:rPr>
      </w:pPr>
      <w:bookmarkStart w:id="14" w:name="_Toc119320191"/>
      <w:bookmarkStart w:id="15" w:name="_Toc89445972"/>
      <w:bookmarkStart w:id="16" w:name="_Toc108182875"/>
      <w:r>
        <w:br w:type="page"/>
      </w:r>
    </w:p>
    <w:p>
      <w:pPr>
        <w:pStyle w:val="P1"/>
      </w:pPr>
      <w:bookmarkStart w:id="17" w:name="_Toc165276722"/>
      <w:bookmarkStart w:id="18" w:name="sy_syfte02"/>
      <w:r>
        <w:t>Detaljplanens syfte</w:t>
      </w:r>
      <w:bookmarkEnd w:id="14"/>
      <w:bookmarkEnd w:id="17"/>
    </w:p>
    <w:p>
      <w:pPr>
        <w:pStyle w:val="P13"/>
      </w:pPr>
      <w:bookmarkEnd w:id="15"/>
      <w:bookmarkEnd w:id="16"/>
      <w:r>
        <w:t>I planbeskrivningen ska kommunen redovisa detaljplanens syfte. Detaljplanens syfte ska kortfattat uttrycka vad detaljplanen ska möjliggöra, samt vilka värden på platsen eller i omgivningen som detaljplanen ska förhålla sig till.</w:t>
      </w:r>
    </w:p>
    <w:p>
      <w:pPr>
        <w:pStyle w:val="P2"/>
        <w:rPr>
          <w:caps w:val="1"/>
        </w:rPr>
      </w:pPr>
      <w:bookmarkStart w:id="19" w:name="_Toc89445973"/>
      <w:bookmarkStart w:id="20" w:name="_Toc165276723"/>
      <w:bookmarkStart w:id="21" w:name="_Toc119320192"/>
      <w:bookmarkStart w:id="22" w:name="_Toc108182876"/>
      <w:r>
        <w:t>Syfte</w:t>
      </w:r>
      <w:bookmarkEnd w:id="19"/>
      <w:bookmarkEnd w:id="20"/>
      <w:bookmarkEnd w:id="21"/>
      <w:bookmarkEnd w:id="22"/>
    </w:p>
    <w:p>
      <w:pPr>
        <w:pStyle w:val="P13"/>
      </w:pPr>
      <w:bookmarkStart w:id="23" w:name="_Hlk132270748"/>
      <w:r>
        <w:t>Syftet med detaljplanen är att förstärka och utveckla handelsområdet Hansa Citys sydvästra del, som också utgör en naturlig infart till handelsområdet från staden. Detta åstadkoms med en mer flexibel användning av fastigheten genom att tillåta etablering av såväl verksamheter som handel, kontor, service, centrumverksamhet och veterinärsanläggning för sällskapsdjur.</w:t>
      </w:r>
      <w:r>
        <w:rPr>
          <w:i w:val="1"/>
          <w:iCs w:val="0"/>
        </w:rPr>
        <w:t xml:space="preserve"> </w:t>
      </w:r>
      <w:r>
        <w:t>Syftet är också att möjliggöra en byggrättsvolym som bättre kan anpassas till efterfrågad etablering och till de i området redan rådande byggnadshöjderna och -volymerna.</w:t>
      </w:r>
    </w:p>
    <w:p>
      <w:pPr>
        <w:ind w:firstLine="0" w:left="0"/>
        <w:rPr>
          <w:rFonts w:asciiTheme="minorHAnsi" w:hAnsiTheme="minorHAnsi" w:cs="Arial" w:eastAsia="Arial"/>
          <w:iCs w:val="1"/>
          <w:noProof w:val="1"/>
          <w:sz w:val="20"/>
        </w:rPr>
      </w:pPr>
      <w:r>
        <w:br w:type="page"/>
      </w:r>
    </w:p>
    <w:p>
      <w:pPr>
        <w:pStyle w:val="P1"/>
      </w:pPr>
      <w:bookmarkEnd w:id="18"/>
      <w:bookmarkEnd w:id="23"/>
      <w:bookmarkStart w:id="24" w:name="_Toc89445991"/>
      <w:bookmarkStart w:id="25" w:name="_Toc108182896"/>
      <w:bookmarkStart w:id="26" w:name="_Toc165276724"/>
      <w:bookmarkStart w:id="27" w:name="_Toc119320212"/>
      <w:bookmarkStart w:id="28" w:name="pf_annat01"/>
      <w:r>
        <w:t>Planeringsförutsättningar</w:t>
      </w:r>
      <w:bookmarkEnd w:id="24"/>
      <w:bookmarkEnd w:id="25"/>
      <w:bookmarkEnd w:id="26"/>
      <w:bookmarkEnd w:id="27"/>
    </w:p>
    <w:p>
      <w:pPr>
        <w:pStyle w:val="P13"/>
      </w:pPr>
      <w:r>
        <w:t>Planbeskrivningen ska innehålla en redovisning av planeringsförutsättningarna, det vill säga de förutsättningar på platsen och i omgivningarna som har haft betydelse för planens utformning och omfattning. Kommunen ska beskriva vilka värden och karaktärsdrag som kan ha betydelse för planen, men också vilka risker och utmaningar som behöver hanteras i planarbetet. Redovisningen ska också innehålla en sammanfattning av innehållet i de planeringsunderlag som använts och vilka slutsatser som varit relevanta för detaljplanens utformning och omfattning.</w:t>
      </w:r>
      <w:bookmarkEnd w:id="28"/>
    </w:p>
    <w:p>
      <w:pPr>
        <w:pStyle w:val="P2"/>
        <w:rPr>
          <w:caps w:val="1"/>
        </w:rPr>
      </w:pPr>
      <w:bookmarkStart w:id="29" w:name="_Toc89445992"/>
      <w:bookmarkStart w:id="30" w:name="_Toc119320213"/>
      <w:bookmarkStart w:id="31" w:name="_Toc108182897"/>
      <w:bookmarkStart w:id="32" w:name="_Toc165276725"/>
      <w:bookmarkStart w:id="33" w:name="pf_kommunala02"/>
      <w:r>
        <w:t>Kommunala</w:t>
      </w:r>
      <w:bookmarkEnd w:id="29"/>
      <w:bookmarkEnd w:id="30"/>
      <w:bookmarkEnd w:id="31"/>
      <w:r>
        <w:t xml:space="preserve"> planeringsförutsättningar</w:t>
      </w:r>
      <w:bookmarkEnd w:id="32"/>
    </w:p>
    <w:p>
      <w:pPr>
        <w:pStyle w:val="P3"/>
        <w:numPr>
          <w:ilvl w:val="2"/>
          <w:numId w:val="10"/>
        </w:numPr>
      </w:pPr>
      <w:bookmarkEnd w:id="33"/>
      <w:bookmarkStart w:id="34" w:name="_Toc89445999"/>
      <w:bookmarkStart w:id="35" w:name="_Toc165276726"/>
      <w:bookmarkStart w:id="36" w:name="_Toc108182904"/>
      <w:bookmarkStart w:id="37" w:name="_Toc119320220"/>
      <w:bookmarkStart w:id="38" w:name="_Toc108182899"/>
      <w:bookmarkStart w:id="39" w:name="_Toc119320215"/>
      <w:bookmarkStart w:id="40" w:name="pf_översiktsplan03"/>
      <w:bookmarkStart w:id="41" w:name="_Toc89445993"/>
      <w:bookmarkStart w:id="42" w:name="_Toc108182898"/>
      <w:bookmarkStart w:id="43" w:name="_Toc119320214"/>
      <w:r>
        <w:t>Översiktsplan</w:t>
      </w:r>
      <w:bookmarkEnd w:id="34"/>
      <w:bookmarkEnd w:id="35"/>
      <w:bookmarkEnd w:id="36"/>
      <w:bookmarkEnd w:id="37"/>
    </w:p>
    <w:p>
      <w:pPr>
        <w:pStyle w:val="P13"/>
      </w:pPr>
      <w:r>
        <w:t xml:space="preserve">I gällande översiktsplan för Kalmar kommun från 2013 ingår planområdet och handelsområdet Hansa City i </w:t>
      </w:r>
      <w:r>
        <w:rPr>
          <w:i w:val="1"/>
          <w:iCs w:val="0"/>
        </w:rPr>
        <w:t>Västra staden</w:t>
      </w:r>
      <w:r>
        <w:t xml:space="preserve"> och planområdet är markerat som regionalt intresseområde, gränsande till handelsområde direkt åt nordost och flankerat av utbredningsområde för järnväg till väster samt rekreationsstråk till söder. I översiktsplanen uttrycks en ambition om att Hansa City ska utvecklas till en sammanhängande stadsmiljö med Flygstaden. </w:t>
      </w:r>
    </w:p>
    <w:p>
      <w:pPr>
        <w:pStyle w:val="P13"/>
      </w:pPr>
    </w:p>
    <w:p>
      <w:pPr>
        <w:pStyle w:val="P13"/>
      </w:pPr>
      <w:r>
        <w:t>Föreslagen detaljplan bedöms överensstämma med gällande översiktsplan.</w:t>
      </w:r>
    </w:p>
    <w:p>
      <w:pPr>
        <w:pStyle w:val="P13"/>
      </w:pPr>
    </w:p>
    <w:p>
      <w:pPr>
        <w:pStyle w:val="P13"/>
      </w:pPr>
      <w:r>
        <w:drawing>
          <wp:inline xmlns:wp="http://schemas.openxmlformats.org/drawingml/2006/wordprocessingDrawing" distT="0" distB="0" distL="0" distR="0">
            <wp:extent cx="4679950" cy="4012565"/>
            <wp:effectExtent l="0" t="0" r="6350" b="6985"/>
            <wp:docPr id="11" name="Bildobjekt 11" descr="P2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P229#yIS1"/>
                    <pic:cNvPicPr>
                      <a:picLocks noChangeAspect="1" noChangeArrowheads="1"/>
                    </pic:cNvPicPr>
                  </pic:nvPicPr>
                  <pic:blipFill dpi="0">
                    <a:blip xmlns:r="http://schemas.openxmlformats.org/officeDocument/2006/relationships" r:embed="Relimage5"/>
                    <a:srcRect/>
                    <a:stretch>
                      <a:fillRect/>
                    </a:stretch>
                  </pic:blipFill>
                  <pic:spPr bwMode="auto">
                    <a:xfrm>
                      <a:off x="0" y="0"/>
                      <a:ext cx="4680000" cy="4012791"/>
                    </a:xfrm>
                    <a:prstGeom prst="rect"/>
                    <a:noFill/>
                    <a:ln>
                      <a:noFill/>
                    </a:ln>
                  </pic:spPr>
                </pic:pic>
              </a:graphicData>
            </a:graphic>
          </wp:inline>
        </w:drawing>
      </w:r>
    </w:p>
    <w:p>
      <w:pPr>
        <w:pStyle w:val="P15"/>
      </w:pPr>
      <w:r>
        <w:t>Utsnitt från gällande översiktsplan som visar planområdets läge.</w:t>
      </w:r>
    </w:p>
    <w:p>
      <w:pPr>
        <w:pStyle w:val="P13"/>
      </w:pPr>
    </w:p>
    <w:p>
      <w:pPr>
        <w:pStyle w:val="P13"/>
      </w:pPr>
      <w:r>
        <w:t>Kalmar kommun har arbetat fram en ny översiktsplan som antogs av kommunfullmäktige den 19 juni. Översiktsplanen har överklagats tills förvaltningsrätten.</w:t>
      </w:r>
    </w:p>
    <w:p>
      <w:pPr>
        <w:pStyle w:val="P13"/>
      </w:pPr>
    </w:p>
    <w:p>
      <w:pPr>
        <w:pStyle w:val="P13"/>
      </w:pPr>
      <w:r>
        <w:t xml:space="preserve">I den nya översiktsplanen är planområdet beläget inom Norra kuststaden, i ett verksamhetsområde gränsande med natur och rekreation till söder och översiktsplanen kan, efter antagande, antas medge liknande förutsättningar för planområdet. </w:t>
      </w:r>
    </w:p>
    <w:p>
      <w:pPr>
        <w:pStyle w:val="P13"/>
      </w:pPr>
      <w:r>
        <w:drawing>
          <wp:inline xmlns:wp="http://schemas.openxmlformats.org/drawingml/2006/wordprocessingDrawing" distT="0" distB="0" distL="0" distR="0">
            <wp:extent cx="4679950" cy="4584700"/>
            <wp:effectExtent l="0" t="0" r="6350" b="6350"/>
            <wp:docPr id="452291907" name="Bildobjekt 452291907" descr="P2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91907" name="Bildobjekt 452291907" descr="P235#yIS1"/>
                    <pic:cNvPicPr/>
                  </pic:nvPicPr>
                  <pic:blipFill dpi="0">
                    <a:blip xmlns:r="http://schemas.openxmlformats.org/officeDocument/2006/relationships" r:embed="Relimage6" cstate="print"/>
                    <a:srcRect/>
                    <a:stretch>
                      <a:fillRect/>
                    </a:stretch>
                  </pic:blipFill>
                  <pic:spPr>
                    <a:xfrm>
                      <a:off x="0" y="0"/>
                      <a:ext cx="4679950" cy="4584700"/>
                    </a:xfrm>
                    <a:prstGeom prst="rect"/>
                  </pic:spPr>
                </pic:pic>
              </a:graphicData>
            </a:graphic>
          </wp:inline>
        </w:drawing>
      </w:r>
    </w:p>
    <w:p>
      <w:pPr>
        <w:pStyle w:val="P15"/>
      </w:pPr>
      <w:r>
        <w:t>Utsnitt från ny översiktsplan som visar planområdets läge inom Kalmar stad.</w:t>
      </w:r>
    </w:p>
    <w:p>
      <w:pPr>
        <w:pStyle w:val="P13"/>
      </w:pPr>
    </w:p>
    <w:p>
      <w:pPr>
        <w:pStyle w:val="P3"/>
      </w:pPr>
      <w:bookmarkEnd w:id="38"/>
      <w:bookmarkEnd w:id="39"/>
      <w:bookmarkEnd w:id="40"/>
      <w:bookmarkStart w:id="44" w:name="_Toc165276727"/>
      <w:bookmarkStart w:id="45" w:name="pf_detaljplan02"/>
      <w:r>
        <w:t>Gällande detaljplan</w:t>
      </w:r>
      <w:bookmarkEnd w:id="41"/>
      <w:bookmarkEnd w:id="42"/>
      <w:bookmarkEnd w:id="43"/>
      <w:r>
        <w:t>er</w:t>
      </w:r>
      <w:bookmarkEnd w:id="44"/>
      <w:r>
        <w:t xml:space="preserve"> </w:t>
      </w:r>
      <w:bookmarkStart w:id="46" w:name="pf_detaljplan01"/>
    </w:p>
    <w:p>
      <w:pPr>
        <w:pStyle w:val="P15"/>
      </w:pPr>
      <w:r>
        <w:drawing>
          <wp:inline xmlns:wp="http://schemas.openxmlformats.org/drawingml/2006/wordprocessingDrawing" distT="0" distB="0" distL="0" distR="0">
            <wp:extent cx="4600575" cy="4010025"/>
            <wp:effectExtent l="0" t="0" r="9525" b="9525"/>
            <wp:docPr id="12" name="Bildobjekt 12" descr="P2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P239#yIS1"/>
                    <pic:cNvPicPr>
                      <a:picLocks noChangeAspect="1" noChangeArrowheads="1"/>
                    </pic:cNvPicPr>
                  </pic:nvPicPr>
                  <pic:blipFill dpi="0">
                    <a:blip xmlns:r="http://schemas.openxmlformats.org/officeDocument/2006/relationships" r:embed="Relimage7"/>
                    <a:srcRect l="1629"/>
                    <a:stretch>
                      <a:fillRect/>
                    </a:stretch>
                  </pic:blipFill>
                  <pic:spPr bwMode="auto">
                    <a:xfrm>
                      <a:off x="0" y="0"/>
                      <a:ext cx="4600575" cy="4010025"/>
                    </a:xfrm>
                    <a:prstGeom prst="rect"/>
                    <a:noFill/>
                    <a:ln>
                      <a:noFill/>
                    </a:ln>
                  </pic:spPr>
                </pic:pic>
              </a:graphicData>
            </a:graphic>
          </wp:inline>
        </w:drawing>
      </w:r>
      <w:r>
        <w:t>Utsnitt från Kalmar kommuns karttjänst som visar en planmosaik av de gällande detaljplaner som omger planområdet.</w:t>
      </w:r>
    </w:p>
    <w:p>
      <w:pPr>
        <w:pStyle w:val="P13"/>
        <w:rPr>
          <w:highlight w:val="cyan"/>
        </w:rPr>
      </w:pPr>
    </w:p>
    <w:p>
      <w:pPr>
        <w:pStyle w:val="P13"/>
      </w:pPr>
      <w:bookmarkStart w:id="47" w:name="_Hlk137207976"/>
      <w:r>
        <w:t>Gällande detaljplaner inom planområdet är:</w:t>
      </w:r>
    </w:p>
    <w:p>
      <w:pPr>
        <w:pStyle w:val="P13"/>
        <w:tabs>
          <w:tab w:val="left" w:pos="1701" w:leader="none"/>
        </w:tabs>
        <w:ind w:hanging="1695" w:left="1695"/>
      </w:pPr>
      <w:r>
        <w:t>0880K-P03/03</w:t>
        <w:tab/>
        <w:tab/>
        <w:t>Detaljplan för del av BILEN 3 och del av HAGBYGÄRDE 2:2, laga kraft 2003-06-16</w:t>
      </w:r>
    </w:p>
    <w:p>
      <w:pPr>
        <w:pStyle w:val="P13"/>
        <w:tabs>
          <w:tab w:val="left" w:pos="1701" w:leader="none"/>
        </w:tabs>
        <w:ind w:hanging="1695" w:left="1695"/>
      </w:pPr>
      <w:r>
        <w:t>0880K-P11/05</w:t>
        <w:tab/>
        <w:t>Detaljplan för del av kvarteret Bilen 3, Söder om City Gross, Hansa City, laga kraft 2011-01-12</w:t>
      </w:r>
    </w:p>
    <w:p>
      <w:pPr>
        <w:pStyle w:val="P13"/>
        <w:tabs>
          <w:tab w:val="left" w:pos="1701" w:leader="none"/>
        </w:tabs>
        <w:ind w:hanging="1695" w:left="1695"/>
      </w:pPr>
      <w:r>
        <w:t>0880K-P07/17</w:t>
        <w:tab/>
        <w:t>Detaljplan för del av kvarteret Bilen, Handelsområdet vid IKEA, laga kraft 2007-05-07</w:t>
      </w:r>
    </w:p>
    <w:p>
      <w:pPr>
        <w:pStyle w:val="P13"/>
        <w:tabs>
          <w:tab w:val="left" w:pos="1701" w:leader="none"/>
        </w:tabs>
        <w:ind w:hanging="1695" w:left="1695"/>
      </w:pPr>
    </w:p>
    <w:p>
      <w:pPr>
        <w:pStyle w:val="P13"/>
        <w:tabs>
          <w:tab w:val="left" w:pos="1701" w:leader="none"/>
        </w:tabs>
        <w:ind w:hanging="1695" w:left="1695"/>
      </w:pPr>
    </w:p>
    <w:p>
      <w:pPr>
        <w:pStyle w:val="P13"/>
        <w:tabs>
          <w:tab w:val="left" w:pos="1701" w:leader="none"/>
        </w:tabs>
      </w:pPr>
      <w:r>
        <w:t>Angränsande detaljplaner är:</w:t>
      </w:r>
    </w:p>
    <w:p>
      <w:pPr>
        <w:pStyle w:val="P13"/>
        <w:tabs>
          <w:tab w:val="left" w:pos="1701" w:leader="none"/>
        </w:tabs>
        <w:ind w:hanging="1695" w:left="1695"/>
      </w:pPr>
      <w:r>
        <w:t>0880K-I:347</w:t>
        <w:tab/>
        <w:t>Förslag till ny och ändrad stadsplan för område vid KV. BILEN i Kalmar kommun, laga kraft 1976-03-25</w:t>
      </w:r>
    </w:p>
    <w:p>
      <w:pPr>
        <w:pStyle w:val="P13"/>
        <w:tabs>
          <w:tab w:val="left" w:pos="1701" w:leader="none"/>
        </w:tabs>
        <w:ind w:hanging="1695" w:left="1695"/>
      </w:pPr>
      <w:r>
        <w:t>0880K-I:421</w:t>
        <w:tab/>
        <w:t>Förslag till ändrad stadsplan för område mellan Skälby trafikplats och Trångsundsvägen, laga kraft 1986-11-20</w:t>
      </w:r>
    </w:p>
    <w:p>
      <w:pPr>
        <w:pStyle w:val="P13"/>
        <w:tabs>
          <w:tab w:val="left" w:pos="1701" w:leader="none"/>
        </w:tabs>
      </w:pPr>
      <w:bookmarkEnd w:id="47"/>
    </w:p>
    <w:p>
      <w:pPr>
        <w:pStyle w:val="P13"/>
        <w:tabs>
          <w:tab w:val="left" w:pos="1701" w:leader="none"/>
        </w:tabs>
      </w:pPr>
      <w:r>
        <w:t>Fastigheten Alhagen 1 omfattas i dagsläget av detaljplan 0880K-P03/03 som för den bebyggbara marken endast tillåter industriverksamhet med en högsta nockhöjd om 5,5 respektive 7,5 meter med en placering om minst 8 meter från tomtgräns, utan förbehåll avseende fastighetens exploateringsgrad.</w:t>
      </w:r>
    </w:p>
    <w:p>
      <w:pPr>
        <w:pStyle w:val="P13"/>
        <w:tabs>
          <w:tab w:val="left" w:pos="1701" w:leader="none"/>
        </w:tabs>
      </w:pPr>
    </w:p>
    <w:p>
      <w:pPr>
        <w:pStyle w:val="P13"/>
        <w:tabs>
          <w:tab w:val="left" w:pos="1701" w:leader="none"/>
        </w:tabs>
      </w:pPr>
      <w:r>
        <w:t xml:space="preserve">Fastigheten Bilen 3 som är inom planområdet omfattas av detaljplan 0880K-P11/05 som tillåter Handel som användning med en parkeringsnorm. Planen begränsar exploatering med prickmark inom hela planområdet. </w:t>
      </w:r>
    </w:p>
    <w:p>
      <w:pPr>
        <w:pStyle w:val="P13"/>
        <w:rPr>
          <w:highlight w:val="cyan"/>
        </w:rPr>
      </w:pPr>
    </w:p>
    <w:p>
      <w:pPr>
        <w:pStyle w:val="P13"/>
      </w:pPr>
      <w:bookmarkStart w:id="48" w:name="_Toc89445994"/>
      <w:r>
        <w:t xml:space="preserve">Detaljplan 0880K-P07/17 som omfattar övrig intilliggande bebyggelse tillåter handel med en högsta byggnadshöjd om 9 meter och högsta totalhöjd om 14 meter. Förutom att planen reglerar var byggnader får placeras finns ingen angivelse om exploateringsgrad. </w:t>
      </w:r>
    </w:p>
    <w:p>
      <w:pPr>
        <w:pStyle w:val="P13"/>
      </w:pPr>
      <w:bookmarkEnd w:id="45"/>
    </w:p>
    <w:p>
      <w:pPr>
        <w:pStyle w:val="P3"/>
        <w:rPr>
          <w:caps w:val="1"/>
        </w:rPr>
      </w:pPr>
      <w:bookmarkEnd w:id="46"/>
      <w:bookmarkEnd w:id="48"/>
      <w:bookmarkStart w:id="49" w:name="_Toc89445997"/>
      <w:bookmarkStart w:id="50" w:name="_Toc108182902"/>
      <w:bookmarkStart w:id="51" w:name="_Toc165276728"/>
      <w:bookmarkStart w:id="52" w:name="_Toc119320218"/>
      <w:bookmarkStart w:id="53" w:name="pf_planbesked02"/>
      <w:r>
        <w:t>Planbesked</w:t>
      </w:r>
      <w:bookmarkEnd w:id="49"/>
      <w:bookmarkEnd w:id="50"/>
      <w:bookmarkEnd w:id="51"/>
      <w:bookmarkEnd w:id="52"/>
    </w:p>
    <w:p>
      <w:pPr>
        <w:pStyle w:val="P13"/>
      </w:pPr>
      <w:bookmarkStart w:id="54" w:name="pf_planbesked01"/>
      <w:r>
        <w:t xml:space="preserve">Alhagen 1 beviljades planbesked av kommunstyrelsens planutskott den 15 december 2020, där tjänsteyttrandet hade ärendebeteckning </w:t>
      </w:r>
      <w:bookmarkStart w:id="55" w:name="_Hlk137208066"/>
      <w:r>
        <w:t>KS 2020/0855</w:t>
      </w:r>
      <w:bookmarkEnd w:id="55"/>
      <w:r>
        <w:t xml:space="preserve">. </w:t>
      </w:r>
    </w:p>
    <w:p>
      <w:pPr>
        <w:pStyle w:val="P13"/>
      </w:pPr>
    </w:p>
    <w:p>
      <w:pPr>
        <w:pStyle w:val="P13"/>
        <w:rPr>
          <w:i w:val="1"/>
          <w:iCs w:val="0"/>
        </w:rPr>
      </w:pPr>
      <w:r>
        <w:t xml:space="preserve">I </w:t>
      </w:r>
      <w:bookmarkStart w:id="56" w:name="_Hlk137208078"/>
      <w:r>
        <w:t>yttrandet till planbeskedet, ärendebeteckning SBK 2020-4824</w:t>
      </w:r>
      <w:bookmarkEnd w:id="56"/>
      <w:r>
        <w:t>, ansåg man det lämpligt att påbörja ett detaljplanarbete för ändrad markanvändning från industri till handel, kontor och upplevelser, med en skiss på en samlad bruttoarea om 10 500 m</w:t>
      </w:r>
      <w:r>
        <w:rPr>
          <w:vertAlign w:val="superscript"/>
        </w:rPr>
        <w:t>2</w:t>
      </w:r>
      <w:r>
        <w:t xml:space="preserve"> som grund. </w:t>
      </w:r>
      <w:bookmarkStart w:id="57" w:name="_Hlk132278491"/>
      <w:r>
        <w:t xml:space="preserve"> </w:t>
      </w:r>
    </w:p>
    <w:p>
      <w:pPr>
        <w:pStyle w:val="P3"/>
      </w:pPr>
      <w:bookmarkEnd w:id="53"/>
      <w:bookmarkStart w:id="58" w:name="_Toc165276729"/>
      <w:bookmarkStart w:id="59" w:name="pf_planprogram01"/>
      <w:r>
        <w:t>Planprogram</w:t>
      </w:r>
      <w:bookmarkEnd w:id="58"/>
    </w:p>
    <w:p>
      <w:pPr>
        <w:pStyle w:val="P13"/>
      </w:pPr>
      <w:r>
        <w:t>I samband med att Hansa City planerades upprättades ett planprogram för handelsområdet 2006. Det aktuella planområdet ingår endast översiktligt i detta dokument, med riktlinjer avseende gestaltningen:</w:t>
      </w:r>
    </w:p>
    <w:p>
      <w:pPr>
        <w:pStyle w:val="P13"/>
      </w:pPr>
    </w:p>
    <w:p>
      <w:pPr>
        <w:pStyle w:val="P13"/>
        <w:numPr>
          <w:ilvl w:val="0"/>
          <w:numId w:val="9"/>
        </w:numPr>
      </w:pPr>
      <w:r>
        <w:t>området ska ges en sammanhållen karaktär genom att byggnadskropparna placeras utmed omgivande trafikleder,</w:t>
      </w:r>
    </w:p>
    <w:p>
      <w:pPr>
        <w:pStyle w:val="P13"/>
        <w:numPr>
          <w:ilvl w:val="0"/>
          <w:numId w:val="9"/>
        </w:numPr>
      </w:pPr>
      <w:r>
        <w:t>”baksidor” med inlastzoner döljs genom smala grönstråk,</w:t>
      </w:r>
    </w:p>
    <w:p>
      <w:pPr>
        <w:pStyle w:val="P13"/>
        <w:numPr>
          <w:ilvl w:val="0"/>
          <w:numId w:val="9"/>
        </w:numPr>
      </w:pPr>
      <w:r>
        <w:t>utformning av belysningen så att denna även bidrar till att skapa visuell upplevelse och sammanhållen helhetskaraktär,</w:t>
      </w:r>
    </w:p>
    <w:p>
      <w:pPr>
        <w:pStyle w:val="P13"/>
        <w:numPr>
          <w:ilvl w:val="0"/>
          <w:numId w:val="9"/>
        </w:numPr>
      </w:pPr>
      <w:r>
        <w:t>gemensamt skyltprogram.</w:t>
      </w:r>
    </w:p>
    <w:p>
      <w:pPr>
        <w:pStyle w:val="P13"/>
        <w:rPr>
          <w:i w:val="1"/>
          <w:iCs w:val="0"/>
        </w:rPr>
      </w:pPr>
      <w:bookmarkEnd w:id="59"/>
    </w:p>
    <w:p>
      <w:pPr>
        <w:pStyle w:val="P2"/>
      </w:pPr>
      <w:bookmarkEnd w:id="54"/>
      <w:bookmarkEnd w:id="57"/>
      <w:bookmarkStart w:id="60" w:name="_Toc89446002"/>
      <w:bookmarkStart w:id="61" w:name="_Toc108182907"/>
      <w:bookmarkStart w:id="62" w:name="_Toc165276730"/>
      <w:bookmarkStart w:id="63" w:name="_Toc119320223"/>
      <w:bookmarkStart w:id="64" w:name="pf_riksintressen02"/>
      <w:r>
        <w:t>Riksintressen</w:t>
      </w:r>
      <w:bookmarkEnd w:id="60"/>
      <w:bookmarkEnd w:id="61"/>
      <w:bookmarkEnd w:id="62"/>
      <w:bookmarkEnd w:id="63"/>
    </w:p>
    <w:p>
      <w:pPr>
        <w:pStyle w:val="P3"/>
      </w:pPr>
      <w:bookmarkEnd w:id="64"/>
      <w:bookmarkStart w:id="65" w:name="_Toc89446013"/>
      <w:bookmarkStart w:id="66" w:name="_Toc165276731"/>
      <w:bookmarkStart w:id="67" w:name="_Toc108182918"/>
      <w:bookmarkStart w:id="68" w:name="_Toc119320232"/>
      <w:bookmarkStart w:id="69" w:name="pf_trafikkommunikation02"/>
      <w:r>
        <w:t>Trafikkommunikation</w:t>
      </w:r>
      <w:bookmarkEnd w:id="65"/>
      <w:bookmarkEnd w:id="66"/>
      <w:bookmarkEnd w:id="67"/>
      <w:bookmarkEnd w:id="68"/>
    </w:p>
    <w:p>
      <w:pPr>
        <w:pStyle w:val="P13"/>
      </w:pPr>
      <w:bookmarkStart w:id="70" w:name="pf_trafikkommunikation01"/>
      <w:r>
        <w:t>Planområdet är beläget inom det inre influenssområdet med hänsyn till flyghinder för Kalmar Öland Airport, som är av riksintresse för anläggningar för trafikkommunikation. Enligt Trafikverkets rapport ”Riksintresseprecisering Kalmar flygplats” från 2014-02-25 innebär det en höjdbegränsning för byggnader inom planområdet med en högsta totalhöjd om +50,3 meter över havet.</w:t>
      </w:r>
    </w:p>
    <w:p>
      <w:pPr>
        <w:pStyle w:val="P13"/>
      </w:pPr>
    </w:p>
    <w:p>
      <w:pPr>
        <w:pStyle w:val="P13"/>
      </w:pPr>
      <w:r>
        <w:drawing>
          <wp:inline xmlns:wp="http://schemas.openxmlformats.org/drawingml/2006/wordprocessingDrawing" distT="0" distB="0" distL="0" distR="0">
            <wp:extent cx="3666490" cy="3415665"/>
            <wp:effectExtent l="0" t="0" r="0" b="0"/>
            <wp:docPr id="2095139599" name="Bildobjekt 2095139599" descr="P2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39599" name="Bildobjekt 2095139599" descr="P273#yIS1"/>
                    <pic:cNvPicPr/>
                  </pic:nvPicPr>
                  <pic:blipFill dpi="0">
                    <a:blip xmlns:r="http://schemas.openxmlformats.org/officeDocument/2006/relationships" r:embed="Relimage8"/>
                    <a:srcRect b="2420"/>
                    <a:stretch>
                      <a:fillRect/>
                    </a:stretch>
                  </pic:blipFill>
                  <pic:spPr bwMode="auto">
                    <a:xfrm>
                      <a:off x="0" y="0"/>
                      <a:ext cx="3683692" cy="3431669"/>
                    </a:xfrm>
                    <a:prstGeom prst="rect"/>
                    <a:ln>
                      <a:noFill/>
                    </a:ln>
                  </pic:spPr>
                </pic:pic>
              </a:graphicData>
            </a:graphic>
          </wp:inline>
        </w:drawing>
      </w:r>
    </w:p>
    <w:p>
      <w:pPr>
        <w:pStyle w:val="P15"/>
      </w:pPr>
      <w:r>
        <w:t>Bildutsnitt från Trafikverkets rapport ”Riksintresseprecisering Kalmar flygplats”</w:t>
      </w:r>
    </w:p>
    <w:p>
      <w:pPr>
        <w:pStyle w:val="P3"/>
      </w:pPr>
      <w:bookmarkEnd w:id="69"/>
      <w:bookmarkEnd w:id="70"/>
      <w:bookmarkStart w:id="71" w:name="_Toc89446016"/>
      <w:bookmarkStart w:id="72" w:name="_Toc165276732"/>
      <w:bookmarkStart w:id="73" w:name="_Toc108182921"/>
      <w:bookmarkStart w:id="74" w:name="_Toc119320235"/>
      <w:bookmarkStart w:id="75" w:name="pf_totalförsvar02"/>
      <w:r>
        <w:t>Totalförsvar</w:t>
      </w:r>
      <w:bookmarkEnd w:id="71"/>
      <w:bookmarkEnd w:id="72"/>
      <w:bookmarkEnd w:id="73"/>
      <w:bookmarkEnd w:id="74"/>
    </w:p>
    <w:p>
      <w:pPr>
        <w:pStyle w:val="P13"/>
      </w:pPr>
      <w:bookmarkStart w:id="76" w:name="pf_totalförsvar01"/>
      <w:r>
        <w:t>Kalmar Öland Airport är även ett riksintresse för totalförsvaret och planområdet är beläget inom dess påverkansområde för civil flygplats. Höga objekt inom påverkansområdet ska remitteras till Försvarsmakten. Höga objekt är objekt som är högre än 45 meter inom sammanhållen bebyggelse och 20 meter utanför sammanhållen bebyggelse.</w:t>
      </w:r>
    </w:p>
    <w:p>
      <w:pPr>
        <w:pStyle w:val="P13"/>
      </w:pPr>
    </w:p>
    <w:p>
      <w:pPr>
        <w:pStyle w:val="P13"/>
      </w:pPr>
      <w:bookmarkEnd w:id="76"/>
      <w:bookmarkStart w:id="77" w:name="pf_natura200001"/>
      <w:r>
        <w:rPr>
          <w:rFonts w:ascii="Arial" w:hAnsi="Arial"/>
          <w:color w:val="000000"/>
          <w:szCs w:val="22"/>
        </w:rPr>
        <w:drawing>
          <wp:inline xmlns:wp="http://schemas.openxmlformats.org/drawingml/2006/wordprocessingDrawing" distT="0" distB="0" distL="0" distR="0">
            <wp:extent cx="3684905" cy="3333750"/>
            <wp:effectExtent l="0" t="0" r="0" b="0"/>
            <wp:docPr id="72780142" name="Bildobjekt 72780142" descr="P2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0142" name="Bildobjekt 72780142" descr="P278#yIS1"/>
                    <pic:cNvPicPr/>
                  </pic:nvPicPr>
                  <pic:blipFill dpi="0">
                    <a:blip xmlns:r="http://schemas.openxmlformats.org/officeDocument/2006/relationships" r:embed="Relimage9"/>
                    <a:srcRect t="2859" b="6120"/>
                    <a:stretch>
                      <a:fillRect/>
                    </a:stretch>
                  </pic:blipFill>
                  <pic:spPr bwMode="auto">
                    <a:xfrm>
                      <a:off x="0" y="0"/>
                      <a:ext cx="3685540" cy="3334101"/>
                    </a:xfrm>
                    <a:prstGeom prst="rect"/>
                    <a:ln>
                      <a:noFill/>
                    </a:ln>
                  </pic:spPr>
                </pic:pic>
              </a:graphicData>
            </a:graphic>
          </wp:inline>
        </w:drawing>
      </w:r>
    </w:p>
    <w:p>
      <w:pPr>
        <w:pStyle w:val="P15"/>
        <w:rPr>
          <w:rFonts w:ascii="Arial" w:hAnsi="Arial"/>
          <w:color w:val="000000"/>
          <w:szCs w:val="22"/>
        </w:rPr>
      </w:pPr>
      <w:r>
        <w:t>Bildutsnitt från Försvarsmaktens riksintressekatalog ”Riksintressen för totalförsvarets militära del I, Kalmar län 2023”</w:t>
      </w:r>
    </w:p>
    <w:p>
      <w:pPr>
        <w:pStyle w:val="P2"/>
        <w:rPr>
          <w:caps w:val="1"/>
        </w:rPr>
      </w:pPr>
      <w:bookmarkEnd w:id="75"/>
      <w:bookmarkEnd w:id="77"/>
      <w:bookmarkStart w:id="78" w:name="_Toc89446030"/>
      <w:bookmarkStart w:id="79" w:name="_Toc165276733"/>
      <w:bookmarkStart w:id="80" w:name="_Toc108182935"/>
      <w:bookmarkStart w:id="81" w:name="_Toc119320246"/>
      <w:bookmarkStart w:id="82" w:name="pf_miljökvalitetsnormer02"/>
      <w:r>
        <w:t>Miljökvalitetsnormer</w:t>
      </w:r>
      <w:bookmarkEnd w:id="78"/>
      <w:bookmarkEnd w:id="79"/>
      <w:bookmarkEnd w:id="80"/>
      <w:bookmarkEnd w:id="81"/>
      <w:bookmarkStart w:id="83" w:name="pf_miljökvalitetsnormer01"/>
    </w:p>
    <w:p>
      <w:pPr>
        <w:pStyle w:val="P13"/>
      </w:pPr>
      <w:r>
        <w:t xml:space="preserve">Regeringen har fastställt riktlinjer för utomhusluft, omgivningsbuller (ej aktuellt i Kalmar) och vatten, dessa normer är huvudsakligen baserade på krav i EU-direktiv och syftar till att skydda människors hälsa och miljön. </w:t>
      </w:r>
    </w:p>
    <w:p>
      <w:pPr>
        <w:pStyle w:val="P3"/>
        <w:rPr>
          <w:caps w:val="1"/>
        </w:rPr>
      </w:pPr>
      <w:bookmarkEnd w:id="82"/>
      <w:bookmarkEnd w:id="83"/>
      <w:bookmarkStart w:id="84" w:name="_Toc89446031"/>
      <w:bookmarkStart w:id="85" w:name="_Toc165276734"/>
      <w:bookmarkStart w:id="86" w:name="_Toc108182936"/>
      <w:bookmarkStart w:id="87" w:name="_Toc119320247"/>
      <w:bookmarkStart w:id="88" w:name="pf_luft02"/>
      <w:r>
        <w:t>Luft</w:t>
      </w:r>
      <w:bookmarkEnd w:id="84"/>
      <w:bookmarkEnd w:id="85"/>
      <w:bookmarkEnd w:id="86"/>
      <w:bookmarkEnd w:id="87"/>
      <w:bookmarkStart w:id="89" w:name="pf_luft01"/>
    </w:p>
    <w:p>
      <w:pPr>
        <w:pStyle w:val="P13"/>
      </w:pPr>
      <w:r>
        <w:t xml:space="preserve">Miljökvalitetsnormer (MKN) för luft omfattar kvävedioxid, svaveldioxid, kolmonoxid, bly, bensen, partiklar (PM10 och PM2,5), arsenik, kadmium, nickel, bensen(a)pyren och ozon. I Kalmar mäts partikelhalter och kvävedioxid sedan år 2020. Mätningarna samordnas av Kalmar läns luftvårdsförbund enligt en gemensam kontrollstrategi för Kalmar läns kommuner. Mätningarna från år 2020- 2022 visar att miljökvalitetsnormerna (gränsvärdena) inte överskrids för något utsläpp. </w:t>
      </w:r>
    </w:p>
    <w:p>
      <w:pPr>
        <w:pStyle w:val="P13"/>
      </w:pPr>
    </w:p>
    <w:p>
      <w:pPr>
        <w:pStyle w:val="P13"/>
        <w:rPr>
          <w:strike w:val="1"/>
        </w:rPr>
      </w:pPr>
      <w:r>
        <w:rPr>
          <w:rStyle w:val="C46"/>
        </w:rPr>
        <w:t>Mätning av partikel- och kvävedioxidhalter kommer fortgå även under 2023 och 2024. Under 2023 kommer 9 av 12 kommuner i Kalmar län att mäta halterna av kvävedioxid och flyktiga organiska kolväten (VOC)."</w:t>
      </w:r>
    </w:p>
    <w:p>
      <w:pPr>
        <w:pStyle w:val="P13"/>
      </w:pPr>
      <w:bookmarkEnd w:id="88"/>
    </w:p>
    <w:p>
      <w:pPr>
        <w:pStyle w:val="P3"/>
      </w:pPr>
      <w:bookmarkEnd w:id="89"/>
      <w:bookmarkStart w:id="90" w:name="_Toc89446032"/>
      <w:bookmarkStart w:id="91" w:name="_Toc165276735"/>
      <w:bookmarkStart w:id="92" w:name="_Toc108182937"/>
      <w:bookmarkStart w:id="93" w:name="_Toc119320248"/>
      <w:bookmarkStart w:id="94" w:name="pf_vatten02"/>
      <w:r>
        <w:t>Vatten</w:t>
      </w:r>
      <w:bookmarkEnd w:id="90"/>
      <w:bookmarkEnd w:id="91"/>
      <w:bookmarkEnd w:id="92"/>
      <w:bookmarkEnd w:id="93"/>
      <w:bookmarkStart w:id="95" w:name="pf_vatten01"/>
    </w:p>
    <w:p>
      <w:pPr>
        <w:pStyle w:val="P13"/>
      </w:pPr>
      <w:r>
        <w:t>Miljökvalitetsnormerna för vatten ställer krav på att vattenförekomster ska uppnå en viss kvalitet vid en viss tidpunkt. En vattenförekomst är en specifik vattensamling i naturen av en viss geografisk storlek, till exempel en sjö eller en vik. Grundkravet var tidigare att alla vattenförekomster skulle ha uppnått så kallad god status 2015. Det tidigare målet har bedömts tekniskt omöjligt att uppnå, därför har varje specifik vattenförekomst undantagsbeslut som innehåller senare tidpunkter för när god status ska uppnås.</w:t>
      </w:r>
    </w:p>
    <w:p>
      <w:pPr>
        <w:pStyle w:val="P13"/>
      </w:pPr>
    </w:p>
    <w:p>
      <w:pPr>
        <w:pStyle w:val="P13"/>
      </w:pPr>
      <w:r>
        <w:t xml:space="preserve">Planområdet ligger inom Kalmar Vattens verksamhetsområde för dagvatten och omfattas därför av Kalmar Vattens dagvattennät. Enligt rubrik 2.7.1. ingår planområdet i Hagbygärdedämmets avrinningsområde, där dagvattnet renas innan det når recepienten Törnebybäcken som i sin tur mynnar i kustvattenförekomsten Västra sjön. </w:t>
      </w:r>
    </w:p>
    <w:p>
      <w:pPr>
        <w:pStyle w:val="P13"/>
      </w:pPr>
    </w:p>
    <w:p>
      <w:pPr>
        <w:pStyle w:val="P13"/>
        <w:rPr>
          <w:i w:val="1"/>
          <w:iCs w:val="0"/>
        </w:rPr>
      </w:pPr>
      <w:bookmarkEnd w:id="95"/>
      <w:bookmarkStart w:id="96" w:name="_Toc89446051"/>
      <w:bookmarkStart w:id="97" w:name="_Toc108182956"/>
      <w:bookmarkStart w:id="98" w:name="_Toc119320268"/>
      <w:bookmarkStart w:id="99" w:name="_Toc89446047"/>
      <w:bookmarkStart w:id="100" w:name="_Toc108182952"/>
      <w:bookmarkStart w:id="101" w:name="_Toc119320264"/>
      <w:bookmarkStart w:id="102" w:name="_Toc89446035"/>
      <w:bookmarkStart w:id="103" w:name="_Toc108182940"/>
      <w:bookmarkStart w:id="104" w:name="_Toc119320251"/>
      <w:r>
        <w:rPr>
          <w:i w:val="1"/>
          <w:iCs w:val="0"/>
        </w:rPr>
        <w:t>Törnebybäcken</w:t>
      </w:r>
    </w:p>
    <w:p>
      <w:pPr>
        <w:pStyle w:val="P13"/>
      </w:pPr>
      <w:r>
        <w:t>Törnebybäcken har otillfredsställande ekologisk status och uppnår ej god kemisk status. Vattenförekomsten ska uppnå God ekologisk status 2033 och God kemisk ytvattenstatus. Mindre stränga krav finns för bromerad difenyleter och kvicksilver. Törnebybäcken har otillfredsställande ekologisk status utifrån bedömning av fisk. Morfologiska förändringar, övergödning och förekomsten av miljögifter pekas ut som miljöproblem. Urban markanvändning (dagvatten), jordbruk och enskilda avlopp bedöms ha betydande påverkan när det gäller övergödningen. Törnebybäcken Uppnår ej god kemisk status. Halterna av kvicksilver, PBDE, nickel bens(a)pyren och PFAS överskrider gränsvärdena för ytvatten. Inom avrinningsområdet finns flygplats och flera brandövningsområden som har betydande påverkan genom utsläpp av bens(a)pyren och PFOS. En nedlagd deponi bedöms ha betydande påverkan genom utlakning av kadmium och bens(a)pyren, Förekomsten av kvicksilver och bromerade difenyletrar kommer ifrån främst ifrån långväga atmosfärisk deposition. Halterna för kvicksilver och bromerade difenyletrar överstigs i alla Sveriges ytvatten.</w:t>
      </w:r>
    </w:p>
    <w:p>
      <w:pPr>
        <w:pStyle w:val="P13"/>
      </w:pPr>
    </w:p>
    <w:p>
      <w:pPr>
        <w:pStyle w:val="P13"/>
        <w:rPr>
          <w:i w:val="1"/>
          <w:iCs w:val="0"/>
        </w:rPr>
      </w:pPr>
      <w:r>
        <w:rPr>
          <w:i w:val="1"/>
          <w:iCs w:val="0"/>
        </w:rPr>
        <w:t>Västra sjön</w:t>
      </w:r>
    </w:p>
    <w:p>
      <w:pPr>
        <w:pStyle w:val="P13"/>
      </w:pPr>
      <w:r>
        <w:t>För Västra sjön har kvalitetskraven God ekologisk status 2039 och God kemisk ytvattenstatus fastställts. Mindre stränga krav finns för bromerad difenyleter och kvicksilver. Västra sjön har otillfredställande ekologisk status på grund av övergödning. Urban markanvändning (dagvatten), jordbruk och enskilda avlopp bedöms ha betydande påverkan när det gäller fosfor och kväve. Förbättrad dagvattenhantering i planeringen anges som en av åtgärderna som behöver genomföras för att uppnå miljökvalitetsnormen. Västra sjön uppnår ej god kemisk status. Halterna av bromerad difenyleter och kvicksilver överstiger miljökvalitetsnormen. Dessa överskrids i alla Sveriges ytvatten och beror på långväga luftburen spridning och atmosfärisk deposition.</w:t>
      </w:r>
    </w:p>
    <w:p>
      <w:pPr>
        <w:pStyle w:val="P13"/>
      </w:pPr>
    </w:p>
    <w:p>
      <w:pPr>
        <w:pStyle w:val="P13"/>
        <w:rPr>
          <w:i w:val="1"/>
          <w:iCs w:val="0"/>
        </w:rPr>
      </w:pPr>
      <w:r>
        <w:rPr>
          <w:i w:val="1"/>
          <w:iCs w:val="0"/>
        </w:rPr>
        <w:t>Kalmarkustens sandstensformation</w:t>
      </w:r>
    </w:p>
    <w:p>
      <w:pPr>
        <w:pStyle w:val="P13"/>
      </w:pPr>
      <w:r>
        <w:t>Planområdet ligger ovanför grundvattenförekomsten Kalmarkustens sandstensformation. Kalmarkustens sandstensformation har otillfredsställande kemisk status och otillfredsställande kvantitativ status. Statusen beror på saltvatteninträngning i Blekinge län med höga halter av klorid som resultat. Kvalitetskraven är god kemisk grundvattenstatus och god kvantitativ status.</w:t>
      </w:r>
      <w:bookmarkEnd w:id="94"/>
      <w:bookmarkEnd w:id="96"/>
      <w:bookmarkEnd w:id="97"/>
      <w:bookmarkEnd w:id="98"/>
      <w:r>
        <w:t xml:space="preserve"> </w:t>
      </w:r>
      <w:bookmarkStart w:id="105" w:name="pf_fysiskmiljö01"/>
    </w:p>
    <w:p>
      <w:pPr>
        <w:pStyle w:val="P2"/>
      </w:pPr>
      <w:bookmarkStart w:id="106" w:name="_Toc165276736"/>
      <w:r>
        <w:t>Fysisk miljö</w:t>
      </w:r>
      <w:bookmarkEnd w:id="106"/>
    </w:p>
    <w:p>
      <w:pPr>
        <w:pStyle w:val="P3"/>
      </w:pPr>
      <w:bookmarkStart w:id="107" w:name="_Toc165276737"/>
      <w:bookmarkStart w:id="108" w:name="pf_bebyggelseochomgivning01"/>
      <w:r>
        <w:t>Bebyggelse och omgivning</w:t>
      </w:r>
      <w:bookmarkEnd w:id="107"/>
    </w:p>
    <w:p>
      <w:pPr>
        <w:pStyle w:val="P13"/>
      </w:pPr>
      <w:r>
        <w:t>Inom planområdet finns idag en industribyggnad som ursprungligen nyttjades som postterminal men som idag används som lager maskinuthyrning. Byggnaden är orienterad i en norr-sydlig riktning och är placerad i fastighetens sydvästra hörn. Lagervolymen har lastkajer med skärmtak över på ömse långsidor och på södra kortsidan finns en vidbyggd, något lägre kontorsdel i ett plan.</w:t>
      </w:r>
    </w:p>
    <w:p>
      <w:pPr>
        <w:pStyle w:val="P13"/>
      </w:pPr>
      <w:r>
        <w:br w:type="textWrapping"/>
        <w:t>Fastigheten är helt omgärdad med ett cirka två meter högt stängsel krönt med taggtråd och med stolpar i metall</w:t>
      </w:r>
    </w:p>
    <w:p>
      <w:pPr>
        <w:pStyle w:val="P13"/>
      </w:pPr>
    </w:p>
    <w:p>
      <w:pPr>
        <w:pStyle w:val="P13"/>
      </w:pPr>
      <w:r>
        <w:t>Utanför planområdet domineras omkringliggande bebyggelse helt av handelsområdets stora hallbyggnader med plåtfasad i norr och öster. Deras respektive tomter är generellt inte inhägnade.</w:t>
      </w:r>
    </w:p>
    <w:p>
      <w:pPr>
        <w:pStyle w:val="P13"/>
      </w:pPr>
    </w:p>
    <w:p>
      <w:pPr>
        <w:pStyle w:val="P13"/>
      </w:pPr>
      <w:r>
        <w:t>Söder planområdet och Ölandsleden finns ett par mindre ekonomibyggnader med rödmålade träfasader och tak av korrugerad svart plåt. De står på en fastighet som är omgärdat av ett lägre stängsel med trästolpar.</w:t>
      </w:r>
    </w:p>
    <w:p>
      <w:pPr>
        <w:pStyle w:val="P3"/>
      </w:pPr>
      <w:bookmarkEnd w:id="108"/>
      <w:bookmarkStart w:id="109" w:name="_Toc165276738"/>
      <w:bookmarkStart w:id="110" w:name="pf_service01"/>
      <w:r>
        <w:t>Service</w:t>
      </w:r>
      <w:bookmarkEnd w:id="109"/>
    </w:p>
    <w:p>
      <w:pPr>
        <w:pStyle w:val="P13"/>
      </w:pPr>
      <w:r>
        <w:t>Planområdet ligger inom handelsområdet Hansa City och har såldes flertalet större och mindre affärer inom sällanköpshandeln samt en större dagligvarubutik inom omedelbart avstånd. Restauranger finns både inom handelsområdet och vid den intilliggande rastplatsen väster om E22, som även rymmer drivmedelsstation och elbilsladdare.</w:t>
      </w:r>
    </w:p>
    <w:p>
      <w:pPr>
        <w:pStyle w:val="P13"/>
      </w:pPr>
    </w:p>
    <w:p>
      <w:pPr>
        <w:pStyle w:val="P13"/>
      </w:pPr>
      <w:r>
        <w:t>Söder om planområdet finns en brukshundsklubb som nås från Trångsundsvägen.</w:t>
      </w:r>
    </w:p>
    <w:p>
      <w:pPr>
        <w:pStyle w:val="P13"/>
      </w:pPr>
    </w:p>
    <w:p>
      <w:pPr>
        <w:pStyle w:val="P13"/>
      </w:pPr>
      <w:r>
        <w:t>Då planområdet är beläget inom ett område som är en tydlig målpunkt för bilburna besökare och närmsta bostadsområde är beläget på andra sidan om E22, cirka 800 meter österut, är utbudet av annan samhällsservice som vård, skola, omsorg, rekreation och lek begränsat.</w:t>
      </w:r>
      <w:bookmarkEnd w:id="110"/>
    </w:p>
    <w:p>
      <w:pPr>
        <w:pStyle w:val="P2"/>
        <w:rPr>
          <w:caps w:val="1"/>
        </w:rPr>
      </w:pPr>
      <w:bookmarkEnd w:id="99"/>
      <w:bookmarkEnd w:id="100"/>
      <w:bookmarkEnd w:id="101"/>
      <w:bookmarkEnd w:id="105"/>
      <w:bookmarkStart w:id="111" w:name="_Toc89446055"/>
      <w:bookmarkStart w:id="112" w:name="_Toc108182960"/>
      <w:bookmarkStart w:id="113" w:name="_Toc165276739"/>
      <w:bookmarkStart w:id="114" w:name="_Toc119320272"/>
      <w:bookmarkStart w:id="115" w:name="pf_trafik02"/>
      <w:r>
        <w:t>Trafik</w:t>
      </w:r>
      <w:bookmarkEnd w:id="111"/>
      <w:bookmarkEnd w:id="112"/>
      <w:bookmarkEnd w:id="113"/>
      <w:bookmarkEnd w:id="114"/>
      <w:r>
        <w:t xml:space="preserve"> </w:t>
      </w:r>
    </w:p>
    <w:p>
      <w:pPr>
        <w:pStyle w:val="P15"/>
        <w:rPr>
          <w:rFonts w:ascii="Arial" w:hAnsi="Arial"/>
          <w:color w:val="000000"/>
          <w:szCs w:val="22"/>
        </w:rPr>
      </w:pPr>
      <w:bookmarkEnd w:id="115"/>
      <w:bookmarkStart w:id="116" w:name="pf_trafik01"/>
      <w:r>
        <w:drawing>
          <wp:inline xmlns:wp="http://schemas.openxmlformats.org/drawingml/2006/wordprocessingDrawing" distT="0" distB="0" distL="0" distR="0">
            <wp:extent cx="4676775" cy="4010025"/>
            <wp:effectExtent l="0" t="0" r="9525" b="9525"/>
            <wp:docPr id="13" name="Bildobjekt 13" descr="P3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P313#yIS1"/>
                    <pic:cNvPicPr>
                      <a:picLocks noChangeAspect="1" noChangeArrowheads="1"/>
                    </pic:cNvPicPr>
                  </pic:nvPicPr>
                  <pic:blipFill dpi="0">
                    <a:blip xmlns:r="http://schemas.openxmlformats.org/officeDocument/2006/relationships" r:embed="Relimage10"/>
                    <a:srcRect/>
                    <a:stretch>
                      <a:fillRect/>
                    </a:stretch>
                  </pic:blipFill>
                  <pic:spPr bwMode="auto">
                    <a:xfrm>
                      <a:off x="0" y="0"/>
                      <a:ext cx="4676775" cy="4010025"/>
                    </a:xfrm>
                    <a:prstGeom prst="rect"/>
                    <a:noFill/>
                    <a:ln>
                      <a:noFill/>
                    </a:ln>
                  </pic:spPr>
                </pic:pic>
              </a:graphicData>
            </a:graphic>
          </wp:inline>
        </w:drawing>
      </w:r>
      <w:r>
        <w:t>Planområde, gatunamn och in- och utfarter överlagrade på Kalmar kommuns Informationskarta.</w:t>
      </w:r>
    </w:p>
    <w:p>
      <w:pPr>
        <w:pStyle w:val="P13"/>
      </w:pPr>
    </w:p>
    <w:p>
      <w:pPr>
        <w:pStyle w:val="P3"/>
      </w:pPr>
      <w:bookmarkStart w:id="117" w:name="_Toc165276740"/>
      <w:bookmarkStart w:id="118" w:name="pf_gångochcykeltrafik01"/>
      <w:r>
        <w:t>Gång- och cykeltrafik</w:t>
      </w:r>
      <w:bookmarkEnd w:id="117"/>
    </w:p>
    <w:p>
      <w:pPr>
        <w:pStyle w:val="P13"/>
      </w:pPr>
      <w:r>
        <w:t>Gång- och cykelvägnätet är väl utbyggt i anslutning till planområdet. I nord-sydlig riktning löper det en huvudcykelväg</w:t>
      </w:r>
      <w:r>
        <w:rPr>
          <w:color w:val="FF0000"/>
        </w:rPr>
        <w:t xml:space="preserve"> </w:t>
      </w:r>
      <w:r>
        <w:t>parallellt med Trångsundsvägen, med direkt förbindelse med planområdet, till Gastens idrottsplats och vid Trafikplats Berga över E22 i norr,</w:t>
      </w:r>
      <w:r>
        <w:rPr>
          <w:color w:val="FF0000"/>
        </w:rPr>
        <w:t xml:space="preserve"> </w:t>
      </w:r>
      <w:r>
        <w:t>till Erik Dahlbergs väg i söder som sedan fortsätter in till Kvarnholmen och till flygplatsen och vidare till Smedby i väst. I östlig följer en GC-väg Ölandsleden via GC-bro över E22 till Skälby gård. GC-vägarna förgrenar sig via övergångsställen vid rondeller in i handelsområdet och planområdet nås även från nordöst via handelsplatsens parkeringar och sedan över en GC-bro över E22 som når Djurängen och vidare.</w:t>
      </w:r>
    </w:p>
    <w:p>
      <w:pPr>
        <w:pStyle w:val="P3"/>
      </w:pPr>
      <w:bookmarkEnd w:id="118"/>
      <w:bookmarkStart w:id="119" w:name="_Toc165276741"/>
      <w:bookmarkStart w:id="120" w:name="pf_kollektivtrafik01"/>
      <w:r>
        <w:t>Kollektivtrafik</w:t>
      </w:r>
      <w:bookmarkEnd w:id="119"/>
    </w:p>
    <w:p>
      <w:pPr>
        <w:pStyle w:val="P13"/>
      </w:pPr>
      <w:r>
        <w:t>I anslutning till planområdet finns två busshållplatser, Hansa City som ligger cirka 250 meter åt nordost (fågelvägen) från planområdets gräns och som trafikeras av linje 106 (Kalmar C-Färjestaden) och 405 (Kalmar C-Norrliden), samt Fölehagsvägen cirka 450 meter söder om planområdesgränsen och som trafikeras av linje 106, 402 (Kalmar-Kalmar Öland Airport-Smedby) samt 405.</w:t>
      </w:r>
    </w:p>
    <w:p>
      <w:pPr>
        <w:pStyle w:val="P3"/>
      </w:pPr>
      <w:bookmarkEnd w:id="120"/>
      <w:bookmarkStart w:id="121" w:name="_Toc165276742"/>
      <w:bookmarkStart w:id="122" w:name="pf_motortrafik01"/>
      <w:r>
        <w:t>Motortrafik och transporter</w:t>
      </w:r>
      <w:bookmarkEnd w:id="121"/>
    </w:p>
    <w:p>
      <w:pPr>
        <w:pStyle w:val="P13"/>
      </w:pPr>
      <w:r>
        <w:t xml:space="preserve">Bilburna besökare kommer till handelsområdet Hansa området och planområdet via infarter från Trångsundsvägen i norr och söder, samt via Ölandsleden i öster. Norr om Bilen 3 löper en räddningsväg parallellt med områdesgränsen, invid grannbyggnadens söderfasad, som är skyltad med C2 Förbud mot trafik med fordon. </w:t>
      </w:r>
    </w:p>
    <w:p>
      <w:pPr>
        <w:pStyle w:val="P13"/>
      </w:pPr>
    </w:p>
    <w:p>
      <w:pPr>
        <w:pStyle w:val="P13"/>
      </w:pPr>
      <w:r>
        <w:t xml:space="preserve">Verksamheterna i norr angör med transporter och personaltrafik från Trångsundsvägen som har enkelritade in- och utfarter. Norr om Alhagen 3 finns en in- och utfart som nyttjas främst av Baushaus transporter. </w:t>
      </w:r>
    </w:p>
    <w:p>
      <w:pPr>
        <w:pStyle w:val="P13"/>
      </w:pPr>
    </w:p>
    <w:p>
      <w:pPr>
        <w:pStyle w:val="P13"/>
      </w:pPr>
      <w:r>
        <w:t xml:space="preserve">Inom planområdet södra del finns idag en in- och utfart mot Ölandsleden som brukas för fastighetens behov. Den står idag inte i förbindelse med besöksparkeringarna inom handelsområdet. Mot Trångsundsvägen finns också en äldre in- och utfart som inte längre är i bruk för tidigare Poståkeriets personalparkering. Öster om planområdet ansluter även intilliggande affärers in- och utfarter för personalparkering och varumottag. </w:t>
      </w:r>
    </w:p>
    <w:p>
      <w:pPr>
        <w:pStyle w:val="P13"/>
      </w:pPr>
    </w:p>
    <w:p>
      <w:pPr>
        <w:pStyle w:val="P2"/>
      </w:pPr>
      <w:bookmarkEnd w:id="116"/>
      <w:bookmarkEnd w:id="122"/>
      <w:bookmarkStart w:id="123" w:name="_Toc89446052"/>
      <w:bookmarkStart w:id="124" w:name="_Toc108182957"/>
      <w:bookmarkStart w:id="125" w:name="_Toc119320269"/>
      <w:bookmarkStart w:id="126" w:name="_Toc165276743"/>
      <w:bookmarkStart w:id="127" w:name="_Toc89446038"/>
      <w:bookmarkStart w:id="128" w:name="_Toc108182943"/>
      <w:bookmarkStart w:id="129" w:name="_Toc119320254"/>
      <w:bookmarkStart w:id="130" w:name="pf_sociala02"/>
      <w:r>
        <w:t>Sociala</w:t>
      </w:r>
      <w:bookmarkEnd w:id="123"/>
      <w:bookmarkEnd w:id="124"/>
      <w:bookmarkEnd w:id="125"/>
      <w:r>
        <w:t xml:space="preserve"> förutsättningar</w:t>
      </w:r>
      <w:bookmarkEnd w:id="126"/>
      <w:bookmarkStart w:id="131" w:name="pf_sociala01"/>
    </w:p>
    <w:p>
      <w:pPr>
        <w:pStyle w:val="P3"/>
      </w:pPr>
      <w:bookmarkStart w:id="132" w:name="_Toc165276744"/>
      <w:r>
        <w:rPr>
          <w:rStyle w:val="C27"/>
        </w:rPr>
        <w:t>Samvaro</w:t>
      </w:r>
      <w:bookmarkEnd w:id="132"/>
      <w:r>
        <w:rPr>
          <w:rStyle w:val="C27"/>
        </w:rPr>
        <w:t> </w:t>
      </w:r>
      <w:r>
        <w:rPr>
          <w:rStyle w:val="C43"/>
        </w:rPr>
        <w:t> </w:t>
      </w:r>
    </w:p>
    <w:p>
      <w:pPr>
        <w:pStyle w:val="P13"/>
      </w:pPr>
      <w:r>
        <w:t xml:space="preserve">Planområdet och dess närområde mellan E22 och järnvägen innehåller idag inga bostäder utan personer inom området är antingen på genomresa, är anställda eller besökare till de verksamheter som verkar inom området. </w:t>
      </w:r>
    </w:p>
    <w:p>
      <w:pPr>
        <w:pStyle w:val="P13"/>
      </w:pPr>
    </w:p>
    <w:p>
      <w:pPr>
        <w:pStyle w:val="P13"/>
      </w:pPr>
      <w:r>
        <w:t>Som del av handelsområdet är möjligheterna till samvaro inom eller i närheten av planområdet i dagsläget begränsade.</w:t>
      </w:r>
    </w:p>
    <w:p>
      <w:pPr>
        <w:pStyle w:val="P13"/>
      </w:pPr>
    </w:p>
    <w:p>
      <w:pPr>
        <w:pStyle w:val="P13"/>
      </w:pPr>
      <w:r>
        <w:t xml:space="preserve">Huvuddelen av samvaron inom handelsområdet kan idag antas ske inom ramen för restaurangbesök, antingen vid någon av de fristående restauranger som finns inom området eller vid någon restaurang tillhörande någon av de större handelsverksamheterna. Det finns inga direkta mötesplatser för dem som inte önskar eller har möjligheten att spendera pengar. </w:t>
      </w:r>
    </w:p>
    <w:p>
      <w:pPr>
        <w:pStyle w:val="P13"/>
      </w:pPr>
    </w:p>
    <w:p>
      <w:pPr>
        <w:pStyle w:val="P13"/>
      </w:pPr>
      <w:r>
        <w:t>I mitten av handelsområdet har Bauhaus ställt upp utelekredskap som gungor och rutschkanor i förevisningssyfte och även om det teoretiskt är möjligt att använda dessa som lekplats inbjuder inte makadamunderlaget till lek utan är snarare direkt olämpligt.</w:t>
      </w:r>
    </w:p>
    <w:p>
      <w:pPr>
        <w:pStyle w:val="P3"/>
      </w:pPr>
      <w:bookmarkStart w:id="133" w:name="_Toc165276745"/>
      <w:r>
        <w:rPr>
          <w:rStyle w:val="C27"/>
        </w:rPr>
        <w:t>Mobilitet</w:t>
      </w:r>
      <w:bookmarkEnd w:id="133"/>
      <w:r>
        <w:rPr>
          <w:rStyle w:val="C27"/>
        </w:rPr>
        <w:t> </w:t>
      </w:r>
      <w:r>
        <w:rPr>
          <w:rStyle w:val="C43"/>
        </w:rPr>
        <w:t> </w:t>
      </w:r>
    </w:p>
    <w:p>
      <w:pPr>
        <w:pStyle w:val="P13"/>
      </w:pPr>
      <w:r>
        <w:t xml:space="preserve">Det finns goda möjligheter att ta sig till området såväl via gång- och cykelvägnätet såsom med kollektivtrafik. Dock innebär områdets lokalisering i stadens utkant, separerat från huvuddelen av tätortens boende genom fysiskt avstånd samt av E22, och verksamheternas art, att det främst attraherar en bilburen publik. Den fysiska miljön är optimerad för att det ska vara enkelt att hitta en parkeringsplats för att sedan besöka handelslokalen. </w:t>
      </w:r>
    </w:p>
    <w:p>
      <w:pPr>
        <w:pStyle w:val="P13"/>
      </w:pPr>
    </w:p>
    <w:p>
      <w:pPr>
        <w:pStyle w:val="P13"/>
      </w:pPr>
      <w:r>
        <w:t>Närmsta busshållplatsen, Hansa City, nås med buss 405 som trafikerar Kalmar C-Hansa City-Norrliden-Kalmar C och omvänt. Vardagar går dessa linjer i huvudsak var 10:e minut i vardera riktningen, med reducerad sommartrafik. På helger går de i 20-minuterstrafik, undantaget lördagsför- och eftermiddagar då de går var 10 minut. Dessutom trafikeras hållplatsen av linje 106 Kalmar C-Färjestaden med halvtimmestrafik på vardagar och timmestrafik på helger.</w:t>
      </w:r>
    </w:p>
    <w:p>
      <w:pPr>
        <w:pStyle w:val="P13"/>
      </w:pPr>
    </w:p>
    <w:p>
      <w:pPr>
        <w:pStyle w:val="P13"/>
      </w:pPr>
      <w:r>
        <w:t>Busshållplatsen är belägen i mitten av handelsområdet, har vind- och väderskydd och cykelställ åt båda riktningarna samt är tillgänglighetsanpassade med vit kantlinje och ledstråk. Väntytan är väl separerad från gång- och cykelvägen som löper bakom respektive hållplats.</w:t>
      </w:r>
    </w:p>
    <w:p>
      <w:pPr>
        <w:pStyle w:val="P13"/>
      </w:pPr>
    </w:p>
    <w:p>
      <w:pPr>
        <w:pStyle w:val="P13"/>
      </w:pPr>
      <w:r>
        <w:t>På grund av verksamheternas natur och områdets avstånd till bostadsområden och skolor förväntas barn inte röra sig ensamma inom området i någon större utsträckning.</w:t>
      </w:r>
    </w:p>
    <w:p>
      <w:pPr>
        <w:pStyle w:val="P3"/>
        <w:rPr>
          <w:rStyle w:val="C43"/>
        </w:rPr>
      </w:pPr>
      <w:bookmarkStart w:id="134" w:name="_Toc165276746"/>
      <w:r>
        <w:rPr>
          <w:rStyle w:val="C27"/>
        </w:rPr>
        <w:t>Trygghet</w:t>
      </w:r>
      <w:bookmarkEnd w:id="134"/>
      <w:r>
        <w:rPr>
          <w:rStyle w:val="C27"/>
        </w:rPr>
        <w:t> </w:t>
      </w:r>
      <w:r>
        <w:rPr>
          <w:rStyle w:val="C43"/>
        </w:rPr>
        <w:t> </w:t>
      </w:r>
    </w:p>
    <w:p>
      <w:pPr>
        <w:pStyle w:val="P13"/>
      </w:pPr>
      <w:r>
        <w:t>Som ett i princip renodlat handelsområde besöks området i huvudsak under sällanvaruhandelns öppettider mellan klockan 10 och 19 eller 20, medan dagligvaruhandeln och restauranger attraherar besökare under sina öppettider som kan sträcka sig från klockan 07 till 22. Utanför dessa timmar kan även viss varutransport till verksamheterna ske, men i stort är området då stängt och tomt.</w:t>
      </w:r>
    </w:p>
    <w:p>
      <w:pPr>
        <w:pStyle w:val="P13"/>
      </w:pPr>
    </w:p>
    <w:p>
      <w:pPr>
        <w:pStyle w:val="P13"/>
      </w:pPr>
      <w:r>
        <w:t xml:space="preserve">Området har tydliga baksidor med varumottag som vänder sig utåt från området med inaktiva fasader som i huvudsak är utförda utan fönster. Dessa otrygghetsfaktorer bedöms till viss del kompenseras av de vältrafikerade vägar som omgärdar området. </w:t>
      </w:r>
    </w:p>
    <w:p>
      <w:pPr>
        <w:pStyle w:val="P13"/>
      </w:pPr>
    </w:p>
    <w:p>
      <w:pPr>
        <w:pStyle w:val="P13"/>
      </w:pPr>
      <w:bookmarkEnd w:id="127"/>
      <w:bookmarkEnd w:id="128"/>
      <w:bookmarkEnd w:id="129"/>
      <w:bookmarkEnd w:id="131"/>
      <w:r>
        <w:t>Gång och cykelvägar är separerade från bilvägarna med gräsytor med välmarkerade övergångsställen vid rondellerna, som bidrar till att sänka bilisternas hastighet. Gång- och cykelpassager över in- och utfarter för inlastning är uppmarkerade för att få en bättre utformning ur ett trafiksäkerhetsperspektiv. De anvisade övergångsställena är också belägna på relativt stort avstånd från varandra och, beroende på start- och målpunkt, inte alltid på genaste vägen varför cyklister och fotgängare kan tänkas använda och korsa vägar och vägområden som inte är avsedda för detta.</w:t>
      </w:r>
    </w:p>
    <w:p>
      <w:pPr>
        <w:pStyle w:val="P2"/>
        <w:rPr>
          <w:caps w:val="1"/>
        </w:rPr>
      </w:pPr>
      <w:bookmarkEnd w:id="130"/>
      <w:bookmarkStart w:id="135" w:name="_Toc165276747"/>
      <w:r>
        <w:t>Natur och miljö</w:t>
      </w:r>
      <w:bookmarkEnd w:id="102"/>
      <w:bookmarkEnd w:id="103"/>
      <w:bookmarkEnd w:id="104"/>
      <w:bookmarkEnd w:id="135"/>
      <w:bookmarkStart w:id="136" w:name="pf_strandskydd01"/>
    </w:p>
    <w:p>
      <w:pPr>
        <w:pStyle w:val="P3"/>
        <w:rPr>
          <w:caps w:val="1"/>
        </w:rPr>
      </w:pPr>
      <w:bookmarkStart w:id="137" w:name="_Toc89446037"/>
      <w:bookmarkStart w:id="138" w:name="_Toc165276748"/>
      <w:bookmarkStart w:id="139" w:name="_Toc108182942"/>
      <w:bookmarkStart w:id="140" w:name="_Toc119320253"/>
      <w:bookmarkStart w:id="141" w:name="pf_dagvatten02"/>
      <w:r>
        <w:t>Dagvatten</w:t>
      </w:r>
      <w:bookmarkEnd w:id="137"/>
      <w:bookmarkEnd w:id="138"/>
      <w:bookmarkEnd w:id="139"/>
      <w:bookmarkEnd w:id="140"/>
    </w:p>
    <w:p>
      <w:pPr>
        <w:pStyle w:val="P13"/>
      </w:pPr>
      <w:r>
        <w:t>Kalmar kommuns VA-policy (</w:t>
      </w:r>
      <w:bookmarkStart w:id="142" w:name="_Hlk137212425"/>
      <w:r>
        <w:t xml:space="preserve">Vatten och avlopp – tematiskt tillägg till översiktsplanen, antagen av kommunfullmäktige 2016-01-25) </w:t>
      </w:r>
      <w:bookmarkEnd w:id="142"/>
      <w:r>
        <w:t>fastslår att dagvatten ska ses som en resurs i samhällsplaneringen och att det ska tas om hand om på ett lämpligt sätt ur såväl estetiska, biologiska samt säkerhetsmässiga perspektiv.</w:t>
      </w:r>
    </w:p>
    <w:p>
      <w:pPr>
        <w:pStyle w:val="P13"/>
      </w:pPr>
    </w:p>
    <w:p>
      <w:pPr>
        <w:pStyle w:val="P13"/>
      </w:pPr>
      <w:r>
        <w:t>Fastigheten är belägen inom Kalmar Vattens verksamhetsområde för dagvatten och fastigheten är därmed ansluten till deras dagvattennät. Dagvatten som faller inom fastigheten har därför olika sätt som det kan tas omhand på. Antingen via infiltration lokalt inom fastigheten (eller intilliggande naturmark utanför fastigheten) eller genom att det leds vidare genom det kommunala dagvattennätet. Om en större andel av dagvattnet tas omhand inom fastigheten minskas således belastningen på det kommunala nätet.</w:t>
      </w:r>
    </w:p>
    <w:p>
      <w:pPr>
        <w:pStyle w:val="P13"/>
      </w:pPr>
    </w:p>
    <w:p>
      <w:pPr>
        <w:pStyle w:val="P13"/>
      </w:pPr>
      <w:r>
        <w:t>I samband med att 0880K-P07/17 ”Detaljplan för kvarteret Bilen, Handelsområdet vid IKEA” (laga kraft 2007-07-07) togs fram genomfördes det enligt tillhörande planbeskrivning omfattande dagvattenutredningar som resulterade i åtgärder med syfte att förhindra marköversvämningar och avlasta dagvattensystemet vid Oxhagen. Utjämningsmagasin anlades i handelsområdets sydöstra del för att jämna ut flödet som avvattnas till Hagbygärdediket som i sin tur mynnar i Västra sjön vid kusten till söder via recipienten Törnebybäcken. Norr om aktuellt planområde anlades också en pumpstation för att pumpa dagvatten från norra delen av handelsområdet till tidigare nämnda utjämningsmagasin.</w:t>
      </w:r>
    </w:p>
    <w:p>
      <w:pPr>
        <w:pStyle w:val="P13"/>
      </w:pPr>
    </w:p>
    <w:p>
      <w:pPr>
        <w:pStyle w:val="P13"/>
      </w:pPr>
      <w:r>
        <w:t xml:space="preserve">Sedan 2012 renas vattnet i Hagbygärdediket genom att det leds via det anlagda Hagbygärdedämmet alldeles öster om Kalmar Dämme. Enligt </w:t>
      </w:r>
      <w:bookmarkStart w:id="143" w:name="_Hlk137215114"/>
      <w:r>
        <w:t>”PM Dagvatten Bergkristallen” som togs fram i samband med detaljplan 2020-6076 ”Detaljplan för Bergkristallen 2, Topasen 1, del av Oxhagen 2:1 m. fl.” (laga kraft 2021-05-05)</w:t>
      </w:r>
      <w:bookmarkEnd w:id="143"/>
      <w:r>
        <w:t xml:space="preserve"> måste vatten från Hagbygärdediket pumpas till dämmet på grund av höjdskillnader, varför kapacitetsbrist gör att endast 70% av årsavrinningen kan tas om hand, medan övrigt bräddas och leds direkt till Törnebybäcken. Ytterligare utjämningsmagasin planeras men det konstateras att ytterligare fördröjning av dagvattnet inom dämmets avrinningsområde på 651 hektar ger ett jämnare flöde till pumpstationen vilket resulterar i att en större andel av årsavrinningen kan tas om hand.</w:t>
      </w:r>
    </w:p>
    <w:p>
      <w:pPr>
        <w:pStyle w:val="P13"/>
      </w:pPr>
    </w:p>
    <w:p>
      <w:pPr>
        <w:pStyle w:val="P13"/>
      </w:pPr>
      <w:r>
        <w:t>Om mängden hårdgjord yta inte ökar mer än marginellt och tillåten användning inom planområdet är snarlik antas belastningen på dagvattennätet vara på mariginalen oförändrad och därmed inte drabba nätets kapacitet. Idag uppgår hårdgjorda ytor inom planområdet till 11 290 kvm (uppmätt på flygfoto) av planområdets totala 15 600 kvm, eller drygt 72%. Utgångspunkten vid genomförandet bör vara att andelen hårdgjorda ytor inte ökar för mycket jämfört med idag.</w:t>
      </w:r>
    </w:p>
    <w:p>
      <w:pPr>
        <w:pStyle w:val="P13"/>
      </w:pPr>
    </w:p>
    <w:p>
      <w:pPr>
        <w:pStyle w:val="P13"/>
      </w:pPr>
      <w:r>
        <w:drawing>
          <wp:inline xmlns:wp="http://schemas.openxmlformats.org/drawingml/2006/wordprocessingDrawing" distT="0" distB="0" distL="0" distR="0">
            <wp:extent cx="4679950" cy="4015105"/>
            <wp:effectExtent l="0" t="0" r="6350" b="4445"/>
            <wp:docPr id="1754796594" name="Bildobjekt 1754796594" descr="P3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96594" name="Bildobjekt 1754796594" descr="P361#yIS1"/>
                    <pic:cNvPicPr/>
                  </pic:nvPicPr>
                  <pic:blipFill dpi="0">
                    <a:blip xmlns:r="http://schemas.openxmlformats.org/officeDocument/2006/relationships" r:embed="Relimage11"/>
                    <a:srcRect/>
                    <a:stretch>
                      <a:fillRect/>
                    </a:stretch>
                  </pic:blipFill>
                  <pic:spPr>
                    <a:xfrm>
                      <a:off x="0" y="0"/>
                      <a:ext cx="4679950" cy="4015105"/>
                    </a:xfrm>
                    <a:prstGeom prst="rect"/>
                  </pic:spPr>
                </pic:pic>
              </a:graphicData>
            </a:graphic>
          </wp:inline>
        </w:drawing>
      </w:r>
    </w:p>
    <w:p>
      <w:pPr>
        <w:pStyle w:val="P15"/>
      </w:pPr>
      <w:r>
        <w:t>Karta från ”PM Dagvatten Bergkristallen” med pålagd text. Turkos linje är avrinningsområdet. Blå linje öppna diken, blå yta dammar. Brun ellips visar var ytterligare utjämningsmagasin planeras. Gröna linjer med pilar är dagvattenkulvertar med flödesriktning. Skraffering och röd markering hör till detaljplanen för Bergkristallen m.fl.</w:t>
      </w:r>
    </w:p>
    <w:p>
      <w:pPr>
        <w:pStyle w:val="P13"/>
      </w:pPr>
    </w:p>
    <w:p>
      <w:pPr>
        <w:pStyle w:val="P13"/>
      </w:pPr>
      <w:r>
        <w:t xml:space="preserve">Enligt Kalmar kommuns policydokument </w:t>
      </w:r>
      <w:bookmarkStart w:id="144" w:name="_Hlk137215165"/>
      <w:r>
        <w:t>”Riktlinjer för oljeavskiljare i Kalmar kommun”</w:t>
      </w:r>
      <w:bookmarkEnd w:id="144"/>
      <w:r>
        <w:t xml:space="preserve"> ska nyanlagda, hårdgjorda parkeringsytor utanför vattenskyddsområde förses med oljeavskiljare om de rymmer fler än 50 personbilar.</w:t>
      </w:r>
    </w:p>
    <w:p>
      <w:pPr>
        <w:pStyle w:val="P13"/>
      </w:pPr>
    </w:p>
    <w:p>
      <w:pPr>
        <w:pStyle w:val="P13"/>
      </w:pPr>
      <w:r>
        <w:t>Parkeringsplatser som exempelvis utförs gräsarmerade så att dagvattnet kan infiltreras på en biologiskt aktiv yta kan antas borträknas från det gränsvärde om 50 personbilar som anges i oljeavskiljningsriktlinjerna.</w:t>
      </w:r>
    </w:p>
    <w:p>
      <w:pPr>
        <w:pStyle w:val="P3"/>
      </w:pPr>
      <w:bookmarkEnd w:id="141"/>
      <w:bookmarkStart w:id="145" w:name="_Toc165276749"/>
      <w:bookmarkStart w:id="146" w:name="pf_naturochgrönområden01"/>
      <w:r>
        <w:t>Natur- och grönområden</w:t>
      </w:r>
      <w:bookmarkEnd w:id="145"/>
      <w:r>
        <w:t xml:space="preserve"> </w:t>
      </w:r>
    </w:p>
    <w:p>
      <w:pPr>
        <w:pStyle w:val="P13"/>
      </w:pPr>
      <w:r>
        <w:t xml:space="preserve">Längs planområdets norra gräns sträcker sig idag en rad planterade träd som en skärm mot grannbyggnadens söderfasad. Mellan trädplanteringen, som skulle kunna beskrivas som en allé, och fasaden löper en räddningsväg i öst-västlig riktning. Trädalléer omfattas normalt av biotopskydd men i Naturvårdsverkets informationsbilaga </w:t>
      </w:r>
      <w:bookmarkStart w:id="147" w:name="_Hlk137215192"/>
      <w:r>
        <w:rPr>
          <w:i w:val="1"/>
          <w:iCs w:val="0"/>
        </w:rPr>
        <w:t xml:space="preserve">”Beskrivning och vägledning för biotopen Allé i bilaga 1 till förordningen (1998:1252) om områdesskydd enligt miljöbalken m.m.” </w:t>
      </w:r>
      <w:bookmarkEnd w:id="147"/>
      <w:r>
        <w:t>framgår det att en sådan allé, för att åtnjuta biotopskydd, till övervägande del ska utgöras av vuxna träd och att ”vuxna träd” avser träd som mäter minst 20 cm i diameter i brösthöjd eller har uppnått en ålder om 30 år.</w:t>
      </w:r>
    </w:p>
    <w:p>
      <w:pPr>
        <w:pStyle w:val="P13"/>
      </w:pPr>
    </w:p>
    <w:p>
      <w:pPr>
        <w:pStyle w:val="P13"/>
      </w:pPr>
      <w:r>
        <w:t>Information om när träden planterades saknas men de ser förhållandevis späda ut, med en diameter under 20 cm i brösthöjd, samtidigt som detaljplanen som möjliggjorde byggnaden som de flankerar vann laga kraft 2007-05-07, varför bedömningen är att de inte omfattas av biotopskydd.</w:t>
      </w:r>
    </w:p>
    <w:p>
      <w:pPr>
        <w:pStyle w:val="P13"/>
      </w:pPr>
    </w:p>
    <w:p>
      <w:pPr>
        <w:pStyle w:val="P13"/>
      </w:pPr>
      <w:r>
        <w:drawing>
          <wp:inline xmlns:wp="http://schemas.openxmlformats.org/drawingml/2006/wordprocessingDrawing" distT="0" distB="0" distL="0" distR="0">
            <wp:extent cx="2305050" cy="2049145"/>
            <wp:effectExtent l="0" t="0" r="0" b="8255"/>
            <wp:docPr id="653503610" name="Bildobjekt 653503610" descr="P3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03610" name="Bildobjekt 653503610" descr="P372#yIS1"/>
                    <pic:cNvPicPr/>
                  </pic:nvPicPr>
                  <pic:blipFill dpi="0">
                    <a:blip xmlns:r="http://schemas.openxmlformats.org/officeDocument/2006/relationships" r:embed="Relimage12" cstate="print"/>
                    <a:srcRect l="8464" r="10363"/>
                    <a:stretch>
                      <a:fillRect/>
                    </a:stretch>
                  </pic:blipFill>
                  <pic:spPr bwMode="auto">
                    <a:xfrm>
                      <a:off x="0" y="0"/>
                      <a:ext cx="2341474" cy="2081804"/>
                    </a:xfrm>
                    <a:prstGeom prst="rect"/>
                    <a:ln>
                      <a:noFill/>
                    </a:ln>
                  </pic:spPr>
                </pic:pic>
              </a:graphicData>
            </a:graphic>
          </wp:inline>
        </w:drawing>
      </w:r>
      <w:r>
        <w:drawing>
          <wp:inline xmlns:wp="http://schemas.openxmlformats.org/drawingml/2006/wordprocessingDrawing" distT="0" distB="0" distL="0" distR="0">
            <wp:extent cx="2371725" cy="2063115"/>
            <wp:effectExtent l="0" t="0" r="0" b="0"/>
            <wp:docPr id="2133913983" name="Bildobjekt 2133913983" descr="P372#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13983" name="Bildobjekt 2133913983" descr="P372#yIS2"/>
                    <pic:cNvPicPr/>
                  </pic:nvPicPr>
                  <pic:blipFill dpi="0">
                    <a:blip xmlns:r="http://schemas.openxmlformats.org/officeDocument/2006/relationships" r:embed="Relimage13" cstate="print"/>
                    <a:srcRect l="6920" t="1" b="8059"/>
                    <a:stretch>
                      <a:fillRect/>
                    </a:stretch>
                  </pic:blipFill>
                  <pic:spPr bwMode="auto">
                    <a:xfrm>
                      <a:off x="0" y="0"/>
                      <a:ext cx="2371725" cy="2063302"/>
                    </a:xfrm>
                    <a:prstGeom prst="rect"/>
                    <a:ln>
                      <a:noFill/>
                    </a:ln>
                  </pic:spPr>
                </pic:pic>
              </a:graphicData>
            </a:graphic>
          </wp:inline>
        </w:drawing>
      </w:r>
    </w:p>
    <w:p>
      <w:pPr>
        <w:pStyle w:val="P15"/>
      </w:pPr>
      <w:r>
        <w:t>Skärmklipp från Google Streetview visandes raden med planterade träd. Skärmklipp till vänster är fotograferat i juni 2022, till höger september 2009. Notera planteringsstöden i högra bilden vilket antyder att träden är relativt nyplanterade.</w:t>
      </w:r>
    </w:p>
    <w:p>
      <w:pPr>
        <w:pStyle w:val="P13"/>
      </w:pPr>
    </w:p>
    <w:p>
      <w:pPr>
        <w:pStyle w:val="P13"/>
      </w:pPr>
      <w:r>
        <w:t xml:space="preserve">Söder om planområdet finns Skälbystråket som i </w:t>
      </w:r>
      <w:bookmarkStart w:id="148" w:name="_Hlk137215209"/>
      <w:r>
        <w:t>Kalmar kommuns grönstrukturplan från 2010</w:t>
      </w:r>
      <w:bookmarkEnd w:id="148"/>
      <w:r>
        <w:t xml:space="preserve"> pekas ut som den tydligaste tvärförbindelsen från Svinö vid kusten till Tjuvbackarna i väster. Det föreslås utvecklas med trafiksäker korsning över Trångsundsvägen, dock ett par hundra meter söder om planområdet. </w:t>
      </w:r>
    </w:p>
    <w:p>
      <w:pPr>
        <w:pStyle w:val="P13"/>
      </w:pPr>
    </w:p>
    <w:p>
      <w:pPr>
        <w:pStyle w:val="P13"/>
      </w:pPr>
      <w:r>
        <w:t>Inom Skälbystråket finns brukshundsklubb och koloniområde som är angivet som ett rekreationsstråk i översiktsplan för Kalmar kommun från 2013.</w:t>
      </w:r>
    </w:p>
    <w:p>
      <w:pPr>
        <w:pStyle w:val="P13"/>
      </w:pPr>
      <w:r>
        <w:br w:type="textWrapping"/>
        <w:t>Väster om planområdet, mellan fastigheten och järnvägen, finns åkermark där det förefaller odlas vall för ensilage.</w:t>
      </w:r>
    </w:p>
    <w:p>
      <w:pPr>
        <w:pStyle w:val="P13"/>
      </w:pPr>
      <w:bookmarkEnd w:id="136"/>
      <w:bookmarkEnd w:id="146"/>
      <w:bookmarkStart w:id="149" w:name="pf_dagvatten01"/>
    </w:p>
    <w:p>
      <w:pPr>
        <w:pStyle w:val="P2"/>
      </w:pPr>
      <w:bookmarkEnd w:id="149"/>
      <w:bookmarkStart w:id="150" w:name="_Toc89446045"/>
      <w:bookmarkStart w:id="151" w:name="_Toc108182950"/>
      <w:bookmarkStart w:id="152" w:name="_Toc119320262"/>
      <w:bookmarkStart w:id="153" w:name="_Toc165276750"/>
      <w:bookmarkStart w:id="154" w:name="pf_geotekniskaförhållanden02"/>
      <w:r>
        <w:t>Geotekni</w:t>
      </w:r>
      <w:bookmarkEnd w:id="150"/>
      <w:bookmarkEnd w:id="151"/>
      <w:bookmarkEnd w:id="152"/>
      <w:r>
        <w:t>k</w:t>
      </w:r>
      <w:bookmarkEnd w:id="153"/>
    </w:p>
    <w:p>
      <w:pPr>
        <w:pStyle w:val="P13"/>
      </w:pPr>
      <w:bookmarkStart w:id="155" w:name="pf_geotekniskaförhållanden01"/>
      <w:r>
        <w:t xml:space="preserve">Enligt </w:t>
      </w:r>
      <w:bookmarkStart w:id="156" w:name="_Hlk137215233"/>
      <w:r>
        <w:t xml:space="preserve">SGUs jordartskarta </w:t>
      </w:r>
      <w:bookmarkEnd w:id="156"/>
      <w:r>
        <w:t>består planområdet samt intilliggande fastigheter av sandig morän, postglacial silt och postglacial finlera. Vidare bedöms området med sandig morän ha medelhög genomsläpplighet medan övriga jordarter ha låg. Det skattade jorddjupet till berg anges till 10-20 meter.</w:t>
      </w:r>
    </w:p>
    <w:p>
      <w:pPr>
        <w:pStyle w:val="P13"/>
      </w:pPr>
    </w:p>
    <w:p>
      <w:pPr>
        <w:pStyle w:val="P13"/>
      </w:pPr>
      <w:r>
        <w:t>I yttrandet till planbeskedet menades det finnas goda möjligheter för grundläggning eftersom området i sin sydvästra del redan idag är bebyggt men att ny bebyggelse bör föregås av en detaljerad geoteknisk undersökning, varför sådan bör utföras till tekniskt samråd.</w:t>
      </w:r>
    </w:p>
    <w:p>
      <w:pPr>
        <w:pStyle w:val="P13"/>
      </w:pPr>
      <w:bookmarkEnd w:id="154"/>
      <w:bookmarkEnd w:id="155"/>
      <w:bookmarkStart w:id="157" w:name="pf_hydrologiskaförhållanden01"/>
    </w:p>
    <w:p>
      <w:pPr>
        <w:pStyle w:val="P2"/>
        <w:rPr>
          <w:caps w:val="1"/>
        </w:rPr>
      </w:pPr>
      <w:bookmarkEnd w:id="157"/>
      <w:bookmarkStart w:id="158" w:name="_Toc89446053"/>
      <w:bookmarkStart w:id="159" w:name="_Toc108182958"/>
      <w:bookmarkStart w:id="160" w:name="_Toc119320270"/>
      <w:bookmarkStart w:id="161" w:name="_Toc165276751"/>
      <w:bookmarkStart w:id="162" w:name="pf_teknik02"/>
      <w:r>
        <w:t>Teknisk</w:t>
      </w:r>
      <w:bookmarkEnd w:id="158"/>
      <w:bookmarkEnd w:id="159"/>
      <w:bookmarkEnd w:id="160"/>
      <w:r>
        <w:t>a förutsättningar</w:t>
      </w:r>
      <w:bookmarkEnd w:id="161"/>
    </w:p>
    <w:p>
      <w:pPr>
        <w:pStyle w:val="P13"/>
      </w:pPr>
      <w:bookmarkStart w:id="163" w:name="_Toc89445974"/>
      <w:bookmarkStart w:id="164" w:name="_Toc108182877"/>
      <w:bookmarkStart w:id="165" w:name="_Toc119320193"/>
      <w:r>
        <w:t xml:space="preserve">Planområdet ingår i det kommunala verksamhetsområdet för dricks-, spill- och dagvatten. Kommunala VA-, och fjärrvärmeledningar löper i ett stråk på fastighetens norra del. I nuvarande plan finns inget u-område varför det i planbeskedet uppmanas att i ny detaljplan skydda ledningarna med ledningsrätt. </w:t>
      </w:r>
    </w:p>
    <w:p>
      <w:pPr>
        <w:pStyle w:val="P13"/>
      </w:pPr>
      <w:r>
        <w:t xml:space="preserve"> </w:t>
      </w:r>
    </w:p>
    <w:p>
      <w:pPr>
        <w:pStyle w:val="P2"/>
        <w:rPr>
          <w:caps w:val="1"/>
        </w:rPr>
      </w:pPr>
      <w:bookmarkEnd w:id="162"/>
      <w:bookmarkStart w:id="166" w:name="pf_hälsaochsäkerhet02"/>
      <w:bookmarkStart w:id="167" w:name="_Toc165276752"/>
      <w:r>
        <w:t>Hälsa och säkerhet</w:t>
      </w:r>
      <w:bookmarkEnd w:id="166"/>
      <w:bookmarkEnd w:id="167"/>
      <w:bookmarkStart w:id="168" w:name="pf_omgivningsbuller01"/>
    </w:p>
    <w:p>
      <w:pPr>
        <w:pStyle w:val="P3"/>
        <w:rPr>
          <w:caps w:val="1"/>
        </w:rPr>
      </w:pPr>
      <w:bookmarkEnd w:id="168"/>
      <w:bookmarkStart w:id="169" w:name="_Toc89446040"/>
      <w:bookmarkStart w:id="170" w:name="_Toc165276753"/>
      <w:bookmarkStart w:id="171" w:name="_Toc108182945"/>
      <w:bookmarkStart w:id="172" w:name="_Toc119320256"/>
      <w:bookmarkStart w:id="173" w:name="pf_riskförolyckor02"/>
      <w:r>
        <w:t>Risk för olyckor</w:t>
      </w:r>
      <w:bookmarkEnd w:id="169"/>
      <w:bookmarkEnd w:id="170"/>
      <w:bookmarkEnd w:id="171"/>
      <w:bookmarkEnd w:id="172"/>
      <w:r>
        <w:t xml:space="preserve"> </w:t>
      </w:r>
    </w:p>
    <w:p>
      <w:pPr>
        <w:pStyle w:val="P13"/>
      </w:pPr>
      <w:bookmarkStart w:id="174" w:name="pf_riskförolyckor01"/>
      <w:r>
        <w:t xml:space="preserve">I planbeskrivning till detaljplan för kvarteret Bilen (0880K-P07/17) anges det att den riskutredning som genomfördes i syfte att samlat behandla riskerna för kv. Bilen avseende farligt gods-transporter på Stångådalsbanan (järnväg väster om planområdet) visade på att risknivån var låg. Även riskutredningen för kv. Gasten, vid trafikplatsen norrut ansåg att risken från järnvägen är låg. </w:t>
      </w:r>
    </w:p>
    <w:p>
      <w:pPr>
        <w:pStyle w:val="P13"/>
      </w:pPr>
    </w:p>
    <w:p>
      <w:pPr>
        <w:pStyle w:val="P13"/>
      </w:pPr>
      <w:r>
        <w:t xml:space="preserve">Byggnaderna i handelsområdet och kv. Gasten ligger närmare järnvägen än vad som är möjligt inom det aktuella planområdet. Mellan järnvägen och planormådet ligger jordbruksmark samt Trångsundsvägen. Risk för jänrnvägen och farligt gods anses vara låg. </w:t>
      </w:r>
    </w:p>
    <w:p>
      <w:pPr>
        <w:pStyle w:val="P13"/>
      </w:pPr>
    </w:p>
    <w:p>
      <w:pPr>
        <w:pStyle w:val="P13"/>
      </w:pPr>
      <w:r>
        <w:t xml:space="preserve">Gång- och cykelvägar korsar in- och utfarter för verksamheternas varumottag vilket kan utgöra en risk vid bristande uppmärksamhet. Markeringar har förstärkts för att öka trafiksäkerheten vid korsningar. I planbeskedet står det även att </w:t>
      </w:r>
      <w:r>
        <w:rPr>
          <w:i w:val="1"/>
        </w:rPr>
        <w:t>”Norra sidan av Trångsundsvägen saknar gc-väg, varför fastigheten angörs av oskyddade trafikanter från gc-väg längs Trång-sundsvägen.”</w:t>
      </w:r>
      <w:r>
        <w:t xml:space="preserve"> Det antas vara norra sidan av Ölandsleden som avses och bristen på GC-väg åt nordost innebär att cyklister som kommer söderifrån längs Trångsundsvägen idag saknar lagliga möjligheter att ta sig in på handelsplatsen utan att ta stora omvägar runt antingen den östra eller norra grannbyggnaden vilket riskerar att uppmuntra till farliga överfarter och brytande mot infartsförbud.</w:t>
      </w:r>
    </w:p>
    <w:p>
      <w:pPr>
        <w:pStyle w:val="P3"/>
        <w:rPr>
          <w:caps w:val="1"/>
        </w:rPr>
      </w:pPr>
      <w:bookmarkEnd w:id="173"/>
      <w:bookmarkEnd w:id="174"/>
      <w:bookmarkStart w:id="175" w:name="_Toc89446041"/>
      <w:bookmarkStart w:id="176" w:name="_Toc165276754"/>
      <w:bookmarkStart w:id="177" w:name="_Toc108182946"/>
      <w:bookmarkStart w:id="178" w:name="_Toc119320257"/>
      <w:bookmarkStart w:id="179" w:name="pf_riskföröversvämning02"/>
      <w:r>
        <w:t>Risk för översvämning</w:t>
      </w:r>
      <w:bookmarkEnd w:id="175"/>
      <w:bookmarkEnd w:id="176"/>
      <w:bookmarkEnd w:id="177"/>
      <w:bookmarkEnd w:id="178"/>
      <w:r>
        <w:t xml:space="preserve"> </w:t>
      </w:r>
    </w:p>
    <w:p>
      <w:pPr>
        <w:pStyle w:val="P13"/>
      </w:pPr>
      <w:bookmarkStart w:id="180" w:name="pf_riskföröversvämning01"/>
      <w:r>
        <w:t xml:space="preserve">Planområdet ligger, enligt </w:t>
      </w:r>
      <w:bookmarkStart w:id="181" w:name="_Hlk137215364"/>
      <w:r>
        <w:t>grundkartan</w:t>
      </w:r>
      <w:bookmarkEnd w:id="181"/>
      <w:r>
        <w:t>, 5-6 meter över havsnivån, varför det bedöms vara liten risk för översvämning med hänsyn till framtida havsnivåhöjning.</w:t>
      </w:r>
    </w:p>
    <w:p>
      <w:pPr>
        <w:pStyle w:val="P13"/>
      </w:pPr>
    </w:p>
    <w:p>
      <w:pPr>
        <w:pStyle w:val="P13"/>
      </w:pPr>
      <w:r>
        <w:t>Den stora andelen hårdgjorda ytor inom plan- och handelsområdet gör dock att området riskerar översvämning vid skyfall. Utöver översvämningsrisken bedöms den stora andelen hårdgjorda ytor och de stora byggnadsvolymerna även bidra till periodvis förekommande hårda vindbyar och värmeböljor.</w:t>
      </w:r>
    </w:p>
    <w:p>
      <w:pPr>
        <w:pStyle w:val="P13"/>
      </w:pPr>
    </w:p>
    <w:p>
      <w:pPr>
        <w:pStyle w:val="P13"/>
      </w:pPr>
      <w:r>
        <w:drawing>
          <wp:inline xmlns:wp="http://schemas.openxmlformats.org/drawingml/2006/wordprocessingDrawing" distT="0" distB="0" distL="0" distR="0">
            <wp:extent cx="4676775" cy="4010025"/>
            <wp:effectExtent l="0" t="0" r="9525" b="9525"/>
            <wp:docPr id="8" name="Bildobjekt 8" descr="P3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P398#yIS1"/>
                    <pic:cNvPicPr>
                      <a:picLocks noChangeAspect="1" noChangeArrowheads="1"/>
                    </pic:cNvPicPr>
                  </pic:nvPicPr>
                  <pic:blipFill dpi="0">
                    <a:blip xmlns:r="http://schemas.openxmlformats.org/officeDocument/2006/relationships" r:embed="Relimage14"/>
                    <a:srcRect/>
                    <a:stretch>
                      <a:fillRect/>
                    </a:stretch>
                  </pic:blipFill>
                  <pic:spPr bwMode="auto">
                    <a:xfrm>
                      <a:off x="0" y="0"/>
                      <a:ext cx="4676775" cy="4010025"/>
                    </a:xfrm>
                    <a:prstGeom prst="rect"/>
                    <a:noFill/>
                    <a:ln>
                      <a:noFill/>
                    </a:ln>
                  </pic:spPr>
                </pic:pic>
              </a:graphicData>
            </a:graphic>
          </wp:inline>
        </w:drawing>
      </w:r>
    </w:p>
    <w:p>
      <w:pPr>
        <w:pStyle w:val="P15"/>
      </w:pPr>
      <w:r>
        <w:t xml:space="preserve">Utsnitt från den kommunala skyfallskarteringen för 100-årsregn. </w:t>
      </w:r>
    </w:p>
    <w:p>
      <w:pPr>
        <w:pStyle w:val="P13"/>
      </w:pPr>
    </w:p>
    <w:p>
      <w:pPr>
        <w:pStyle w:val="P13"/>
      </w:pPr>
      <w:r>
        <w:t>Enligt kommunens skyfallskarteringar ansamlas vattenmängder i huvudsak i planområdets utkant eller utanför detta. I planområdets inre delar finns framförallt två lågpunkter där vattenmassor riskerar att ansamlas, ett alldeles i norra delen av planområdet och ett precis öster om befintlig byggnad. Den norra ansamlingen kommer att behöva hanteras eller avledas för att inte riskera att skada nya byggnader inom planområdet eller befintliga byggnader utom det samma. Ansamlingen invid befintlig byggnad beror på att byggnaden är utförd med en nedsänkt lastkaj som utgör en konstgjord lågpunkt och vid genomförandet förväntas denna lågpunkt att utgå varför vattenmassorna istället kommer att fördelas ut över närliggande markytor.</w:t>
      </w:r>
    </w:p>
    <w:p>
      <w:pPr>
        <w:pStyle w:val="P13"/>
      </w:pPr>
    </w:p>
    <w:p>
      <w:pPr>
        <w:pStyle w:val="P13"/>
      </w:pPr>
      <w:r>
        <w:t>Vattenmassorna kan hanteras exempelvis genom ökad möjlighet för vattnet att infiltrera inom befintligt planområde, genom att avrinning sker till intilliggande grönytor eller att olika former av fördröjningsdammar eller -magasin utförs inom planområdet för senare infiltration eller bortledning genom dagvattennätet.</w:t>
      </w:r>
    </w:p>
    <w:p>
      <w:pPr>
        <w:pStyle w:val="P13"/>
      </w:pPr>
    </w:p>
    <w:p>
      <w:pPr>
        <w:pStyle w:val="P13"/>
      </w:pPr>
      <w:r>
        <w:t>Grönytan omedelbart söder om planområdet, norr om Ölandsleden, är något mer låglänt än planområdet och är utdikat längs med gränsen mot vägnätet och kan därför utgöra en värdefull yta för dagvattnets möjlighet att infiltrera vid skyfall.</w:t>
      </w:r>
    </w:p>
    <w:p>
      <w:pPr>
        <w:pStyle w:val="P13"/>
      </w:pPr>
    </w:p>
    <w:p>
      <w:pPr>
        <w:pStyle w:val="P3"/>
        <w:rPr>
          <w:rStyle w:val="C13"/>
        </w:rPr>
      </w:pPr>
      <w:bookmarkEnd w:id="179"/>
      <w:bookmarkEnd w:id="180"/>
      <w:bookmarkStart w:id="182" w:name="_Toc165276755"/>
      <w:bookmarkStart w:id="183" w:name="pf_förorenadmark02"/>
      <w:bookmarkStart w:id="184" w:name="pf_förorenadmark01"/>
      <w:r>
        <w:rPr>
          <w:rStyle w:val="C13"/>
        </w:rPr>
        <w:t>Markmiljö</w:t>
      </w:r>
      <w:bookmarkEnd w:id="182"/>
    </w:p>
    <w:p>
      <w:pPr>
        <w:pStyle w:val="P13"/>
        <w:rPr>
          <w:rStyle w:val="C13"/>
        </w:rPr>
      </w:pPr>
      <w:r>
        <w:rPr>
          <w:rStyle w:val="C13"/>
        </w:rPr>
        <w:t>Enligt Länstyrelsens EBH-karta, som visar misstänkta eller konstaterade förorenade område, finns ingen konstaterad eller misstänkt förorening inom planområdet. EBH-databasen anger huruvida en verksamhet som kan ha gett upphov till föroreningar finns eller har funnits på fastigheten.</w:t>
      </w:r>
    </w:p>
    <w:p>
      <w:pPr>
        <w:pStyle w:val="P13"/>
        <w:rPr>
          <w:rStyle w:val="C13"/>
        </w:rPr>
      </w:pPr>
    </w:p>
    <w:p>
      <w:pPr>
        <w:pStyle w:val="P13"/>
        <w:rPr>
          <w:rStyle w:val="C13"/>
        </w:rPr>
      </w:pPr>
      <w:r>
        <w:rPr>
          <w:rStyle w:val="C13"/>
        </w:rPr>
        <w:t xml:space="preserve">Enligt planbeskrivningen till för planområdet nu gällande detaljplan 0880K-P03/03 fanns innan Poståkeriets lokaler (befintlig byggnad) uppfördes en fotbollsplan och tillhörande parkeringsplatser inom planområdet. Angränsande fotbollsplanen, som nyttjades av kommunen och Volvo, fanns en idrottshall som tillhörde Volvofabriken. Volvoverken i Kalmar invigdes 1974 och enligt Lantmäteriets historiska ortofoton i karttjänsten </w:t>
      </w:r>
      <w:r>
        <w:rPr>
          <w:rStyle w:val="C13"/>
          <w:i w:val="1"/>
          <w:iCs w:val="1"/>
        </w:rPr>
        <w:t>Min karta</w:t>
      </w:r>
      <w:r>
        <w:rPr>
          <w:rStyle w:val="C13"/>
        </w:rPr>
        <w:t xml:space="preserve"> nyttjades marken innan dess som odlingsmark.</w:t>
      </w:r>
    </w:p>
    <w:p>
      <w:pPr>
        <w:pStyle w:val="P13"/>
        <w:rPr>
          <w:rStyle w:val="C13"/>
        </w:rPr>
      </w:pPr>
    </w:p>
    <w:p>
      <w:pPr>
        <w:pStyle w:val="P13"/>
        <w:rPr>
          <w:rStyle w:val="C13"/>
        </w:rPr>
      </w:pPr>
      <w:r>
        <w:rPr>
          <w:rStyle w:val="C13"/>
        </w:rPr>
        <w:t>Laboratorieanalysen av jordprover som tagits under planarbetet (se avsnitt 6.9.2.) visar att inga prover överskrider riktvärdena för mindre känslig markanvändning, MKM.</w:t>
      </w:r>
    </w:p>
    <w:p>
      <w:pPr>
        <w:pStyle w:val="P3"/>
      </w:pPr>
      <w:bookmarkEnd w:id="183"/>
      <w:bookmarkStart w:id="185" w:name="_Toc165276756"/>
      <w:bookmarkStart w:id="186" w:name="pf_radon01"/>
      <w:r>
        <w:t>Radon</w:t>
      </w:r>
      <w:bookmarkEnd w:id="185"/>
    </w:p>
    <w:p>
      <w:pPr>
        <w:pStyle w:val="P13"/>
      </w:pPr>
      <w:r>
        <w:rPr>
          <w:rStyle w:val="C13"/>
        </w:rPr>
        <w:t>Enligt Kalmar kommuns Öppna geodata-portal ligger planområdet inom ”normalriskområde: 10-50 kBq/m</w:t>
      </w:r>
      <w:r>
        <w:rPr>
          <w:rStyle w:val="C13"/>
          <w:vertAlign w:val="superscript"/>
        </w:rPr>
        <w:t xml:space="preserve">3 </w:t>
      </w:r>
      <w:r>
        <w:rPr>
          <w:rStyle w:val="C13"/>
        </w:rPr>
        <w:t>jordluft”</w:t>
      </w:r>
    </w:p>
    <w:p>
      <w:pPr>
        <w:pStyle w:val="P13"/>
      </w:pPr>
      <w:bookmarkEnd w:id="186"/>
    </w:p>
    <w:p>
      <w:pPr>
        <w:pStyle w:val="P1"/>
      </w:pPr>
      <w:bookmarkEnd w:id="184"/>
      <w:bookmarkStart w:id="187" w:name="_Toc165276757"/>
      <w:bookmarkStart w:id="188" w:name="be_allmänt01"/>
      <w:r>
        <w:t>Beskrivning av detaljplanen</w:t>
      </w:r>
      <w:bookmarkEnd w:id="163"/>
      <w:bookmarkEnd w:id="164"/>
      <w:r>
        <w:t>/ planförslag</w:t>
      </w:r>
      <w:bookmarkEnd w:id="165"/>
      <w:r>
        <w:t>et</w:t>
      </w:r>
      <w:bookmarkEnd w:id="187"/>
    </w:p>
    <w:p>
      <w:pPr>
        <w:pStyle w:val="P13"/>
        <w:rPr>
          <w:lang w:bidi="en-US" w:eastAsia="en-US"/>
        </w:rPr>
      </w:pPr>
      <w:r>
        <w:t>För att skapa bättre förståelse för detaljplanen ska planbeskrivningen innehålla en redovisning av detaljplanens huvuddrag, samt de överväganden som legat till grund för detaljplanens utformning. Även prövningar enligt annan lagstiftning som genomförts under detaljplaneprocessen ska redovisas.</w:t>
      </w:r>
    </w:p>
    <w:p>
      <w:pPr>
        <w:pStyle w:val="P2"/>
      </w:pPr>
      <w:bookmarkEnd w:id="188"/>
      <w:bookmarkStart w:id="189" w:name="_Toc165276758"/>
      <w:bookmarkStart w:id="190" w:name="be_bakgrund01"/>
      <w:r>
        <w:t>Bakgrund</w:t>
      </w:r>
      <w:bookmarkEnd w:id="189"/>
    </w:p>
    <w:p>
      <w:pPr>
        <w:pStyle w:val="P13"/>
      </w:pPr>
      <w:r>
        <w:t>Planförslaget syftar till att genomföra en markanvändningsförändring på fastigheten från industri till en blandning av handel, kontor, service och centrumbebyggelse. Enligt illustrationsplanen finns det skisser på byggnader/lokaler med en total byggnadsarea på cirka 5180 kvadratmeter inom fastigheten Alhagen 1.</w:t>
      </w:r>
    </w:p>
    <w:p>
      <w:pPr>
        <w:pStyle w:val="P13"/>
      </w:pPr>
    </w:p>
    <w:p>
      <w:pPr>
        <w:pStyle w:val="P13"/>
      </w:pPr>
      <w:r>
        <w:t>I den norra delen av Alhagen 1 beskrivs en byggnad i ett plan som avsedd för volymhandel. I den södra delen planeras en byggnad i två våningar med sammansatta byggnadskroppar, vilken är avsedd för samhällsservice med en inriktning på veterinärklinik för husdjur.</w:t>
      </w:r>
    </w:p>
    <w:p>
      <w:pPr>
        <w:pStyle w:val="P13"/>
      </w:pPr>
    </w:p>
    <w:p>
      <w:pPr>
        <w:pStyle w:val="P13"/>
      </w:pPr>
      <w:r>
        <w:t>Enligt den översiktsplan som fastställdes 2013 och den nya översiktsplanen som antog av Kommunfullmäktige under sommaren 2023 men som är överklagad ingår fastigheten i Västra staden och är belägen i handelscentrumet Hansa City. Målet är att skapa en sammanhängande stadsmiljö tillsammans med Flygstaden och kulturlandskapet.</w:t>
      </w:r>
    </w:p>
    <w:p>
      <w:pPr>
        <w:pStyle w:val="P13"/>
      </w:pPr>
    </w:p>
    <w:p>
      <w:pPr>
        <w:pStyle w:val="P13"/>
      </w:pPr>
      <w:r>
        <w:t>Nuvarande lokaler på fastigheten Alhagen 1 är specialbyggda för Poståkeriet men har de senaste åren hyrts ut till företaget Hyreslandslaget, som hyr ut entreprenadmaskiner och verktyg.</w:t>
      </w:r>
    </w:p>
    <w:p>
      <w:pPr>
        <w:pStyle w:val="P13"/>
      </w:pPr>
    </w:p>
    <w:p>
      <w:pPr>
        <w:pStyle w:val="P13"/>
      </w:pPr>
      <w:r>
        <w:t>Placeringen av fastigheten intill Ölandsleden och Trångsundsvägen, samt dess hörntomtsplacering, innebär krav på trafiksäkerhet vid angöring och logistik samt krav på god gestaltning, för att skapa en visuell entré och en logisk avslutning av handelsområdet.</w:t>
      </w:r>
    </w:p>
    <w:p>
      <w:pPr>
        <w:pStyle w:val="P13"/>
      </w:pPr>
    </w:p>
    <w:p>
      <w:pPr>
        <w:pStyle w:val="P13"/>
        <w:rPr>
          <w:highlight w:val="yellow"/>
        </w:rPr>
      </w:pPr>
      <w:r>
        <w:t>Tidigare har ett positivt planbesked utfärdats och beslut om att påbörja detaljplanearbete togs i Kommunstyrelsens planutskott den 27 november 2020. Sedan dess har arbetet fortsatt och den 10 mars 2023 tog kommunstyrelsens planutskott beslut om ett föravtal inför exploatering av fastigheten Alhagen 1.</w:t>
      </w:r>
      <w:r>
        <w:rPr>
          <w:highlight w:val="yellow"/>
        </w:rPr>
        <w:t xml:space="preserve"> </w:t>
      </w:r>
    </w:p>
    <w:p>
      <w:pPr>
        <w:pStyle w:val="P2"/>
        <w:rPr>
          <w:caps w:val="1"/>
        </w:rPr>
      </w:pPr>
      <w:bookmarkEnd w:id="190"/>
      <w:bookmarkStart w:id="191" w:name="_Toc89445975"/>
      <w:bookmarkStart w:id="192" w:name="_Toc108182878"/>
      <w:bookmarkStart w:id="193" w:name="_Toc165276759"/>
      <w:bookmarkStart w:id="194" w:name="_Toc119320194"/>
      <w:bookmarkStart w:id="195" w:name="be_heladetaljplan02"/>
      <w:r>
        <w:t>Hela detaljplanen</w:t>
      </w:r>
      <w:bookmarkEnd w:id="191"/>
      <w:bookmarkEnd w:id="192"/>
      <w:bookmarkEnd w:id="193"/>
      <w:bookmarkEnd w:id="194"/>
      <w:bookmarkStart w:id="196" w:name="_Toc89445976"/>
    </w:p>
    <w:p>
      <w:pPr>
        <w:pStyle w:val="P13"/>
      </w:pPr>
      <w:bookmarkStart w:id="197" w:name="be_heladetaljplan01"/>
      <w:r>
        <w:t>Inom området Kv. Alhagen och Kv. Bilen finns ett antal detaljplaner som sträcker sig från Guldfågeln Arena i norr till IKEA i söder. Det gemensamma för området är dess storskaliga struktur och gradvisa förändring av verksamheter, vilket återspeglas i konverteringen av detaljplanerna från rena kontors-, lager- och industriverksamheter till handel och centrumfunktioner.</w:t>
      </w:r>
    </w:p>
    <w:p>
      <w:pPr>
        <w:pStyle w:val="P13"/>
      </w:pPr>
    </w:p>
    <w:p>
      <w:pPr>
        <w:pStyle w:val="P13"/>
      </w:pPr>
      <w:r>
        <w:t xml:space="preserve">Trots att fastigheterna klart kan identifieras inom samma utvecklingsområde, tillåts de stora handelsvolymerna en utbredning och byggnadshöjd som skiljer sig avsevärt från den betydligt lägre höjden som idag medges för Alhagen 1 och del av Bilen 3. </w:t>
      </w:r>
    </w:p>
    <w:p>
      <w:pPr>
        <w:pStyle w:val="P13"/>
      </w:pPr>
    </w:p>
    <w:p>
      <w:pPr>
        <w:pStyle w:val="P13"/>
      </w:pPr>
      <w:r>
        <w:t xml:space="preserve">Genom att skapa en ny plan för Alhagen 1, del av Alhagen 3 och Bilen 3 kan en mer enhetlig behandling av volymer och verksamheter skapas, vilket är i linje med det mål som eftersträvas enligt översiktsplanen. För att säkerställa tillfart till norra delen av Alhagen 1 planläggs markreservat för gemensamhetsanläggning på del av Alhagen 3. </w:t>
      </w:r>
    </w:p>
    <w:p>
      <w:pPr>
        <w:pStyle w:val="P13"/>
      </w:pPr>
    </w:p>
    <w:p>
      <w:pPr>
        <w:pStyle w:val="P13"/>
        <w:rPr>
          <w:szCs w:val="20"/>
        </w:rPr>
      </w:pPr>
      <w:r>
        <w:rPr>
          <w:szCs w:val="20"/>
        </w:rPr>
        <w:drawing>
          <wp:inline xmlns:wp="http://schemas.openxmlformats.org/drawingml/2006/wordprocessingDrawing" distT="0" distB="0" distL="0" distR="0">
            <wp:extent cx="4675505" cy="5477510"/>
            <wp:effectExtent l="0" t="0" r="0" b="8890"/>
            <wp:docPr id="14" name="Bildobjekt 14" descr="P4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descr="P437#yIS1"/>
                    <pic:cNvPicPr>
                      <a:picLocks noChangeAspect="1" noChangeArrowheads="1"/>
                    </pic:cNvPicPr>
                  </pic:nvPicPr>
                  <pic:blipFill dpi="0">
                    <a:blip xmlns:r="http://schemas.openxmlformats.org/officeDocument/2006/relationships" r:embed="Relimage15"/>
                    <a:srcRect/>
                    <a:stretch>
                      <a:fillRect/>
                    </a:stretch>
                  </pic:blipFill>
                  <pic:spPr bwMode="auto">
                    <a:xfrm>
                      <a:off x="0" y="0"/>
                      <a:ext cx="4675505" cy="5477510"/>
                    </a:xfrm>
                    <a:prstGeom prst="rect"/>
                    <a:noFill/>
                    <a:ln>
                      <a:noFill/>
                    </a:ln>
                  </pic:spPr>
                </pic:pic>
              </a:graphicData>
            </a:graphic>
          </wp:inline>
        </w:drawing>
      </w:r>
    </w:p>
    <w:p>
      <w:pPr>
        <w:pStyle w:val="P15"/>
      </w:pPr>
      <w:r>
        <w:t>Illustrationsplanen som visar möjlig utveckling av planförslaget.</w:t>
      </w:r>
    </w:p>
    <w:p>
      <w:pPr>
        <w:pStyle w:val="P13"/>
      </w:pPr>
    </w:p>
    <w:p>
      <w:pPr>
        <w:pStyle w:val="P3"/>
      </w:pPr>
      <w:bookmarkEnd w:id="195"/>
      <w:bookmarkStart w:id="198" w:name="_Toc165276760"/>
      <w:r>
        <w:t>P</w:t>
      </w:r>
      <w:bookmarkStart w:id="199" w:name="be_planområdet01"/>
      <w:r>
        <w:t>lanområdet</w:t>
      </w:r>
      <w:bookmarkEnd w:id="198"/>
    </w:p>
    <w:p>
      <w:pPr>
        <w:pStyle w:val="P13"/>
      </w:pPr>
      <w:r>
        <w:t>Fastigheten Alhagen 1, som förvärvades av PoE Fastigheter år 2022, är belägen i handelsområdet Hansa City sydvästra del. Planområdet omges av grönområden som ägs av kommunen i väster och söder som i sin tur till Trångsundsvägen i väst och Ölandsleden i söder. Bortom Trångsundsvägen finns i väst ett öppet odlingslandskap och söder om Ölandsleden når man rekreations- och grönområdet Skälby. Två större, befintliga volymhandelsbyggnader (Stadium/Lager 157 och Jula/City Gross) och kundparkeringsytor ligger i anslutning till planområdets norra och östra delar.</w:t>
      </w:r>
    </w:p>
    <w:p>
      <w:pPr>
        <w:pStyle w:val="P13"/>
      </w:pPr>
    </w:p>
    <w:p>
      <w:pPr>
        <w:pStyle w:val="P13"/>
      </w:pPr>
      <w:r>
        <w:t>Den totala fastighetsarean för Alhagen 1 är 14 992 kvm och på tomten finns en befintlig byggnad på 1180 kvm som uppfördes för tidigare Poståkeriets räkning. Enligt planförslaget kommer den befintliga byggnaden att rivas för att möjliggöra en mer effektiv bebyggelse som bättre anpassas till områdets topologi och verksamhetsinriktning.</w:t>
      </w:r>
    </w:p>
    <w:p>
      <w:pPr>
        <w:pStyle w:val="P13"/>
      </w:pPr>
    </w:p>
    <w:p>
      <w:pPr>
        <w:pStyle w:val="P13"/>
      </w:pPr>
      <w:r>
        <w:t xml:space="preserve">Fastighetsägaren för Alhagen 1 har undersökt möjligheterna att bygga om och utöka den befintliga byggnaden. Dessa undersökningar visade dock att det skulle innebära funktionella svårigheter och stora rivnings- och återuppbyggnadsinsatser som motverkar hållbarhetstanken. Det bedömdes vara mer framkomligt att uppnå samtida miljö-, klimat- och hållbarhetskrav genom uppförande av nya byggnader som är utformade att möta dessa krav från början. </w:t>
      </w:r>
    </w:p>
    <w:p>
      <w:pPr>
        <w:pStyle w:val="P13"/>
      </w:pPr>
    </w:p>
    <w:p>
      <w:pPr>
        <w:pStyle w:val="P13"/>
      </w:pPr>
      <w:r>
        <w:t xml:space="preserve">Utöver Alhagen 1 ingår även ett skifte av fastigheten Bilen 3 i planområdet. Detta skifte ligger som ett L, vridet 90 grader medurs, runt Alhagen 1 norra gräns och nordvästra hörn och omfattar 610 kvm av Bilen 3. </w:t>
      </w:r>
    </w:p>
    <w:p>
      <w:pPr>
        <w:pStyle w:val="P13"/>
      </w:pPr>
    </w:p>
    <w:p>
      <w:pPr>
        <w:pStyle w:val="P13"/>
      </w:pPr>
      <w:r>
        <w:t xml:space="preserve">För att säkerställa möjlig infart i norra delen till fastigheterna Bilen 3 och Alhagen 1 är del av Alhagen 3 inkluderad i planområdet och planläggs med markreservat för gemensamhetsanläggning. Alhagen 3 planläggs även med befintliga användningar och bestämmelser. Planbestämmelse om störningsskydd tas bort eftersom planförslaget enbart hanterar vägbanan och störningsskyddet gäller främst vid bebyggelsen där lossning och tomgångsskörning främst sker. Även planbestämmelse om mark och vetegation där planen anger planering av träd tas bort i planförslaget eftersom bestämmelsen baseras på en illustrationsbild som inte går att hitta idagsläget. </w:t>
      </w:r>
    </w:p>
    <w:p>
      <w:pPr>
        <w:pStyle w:val="P13"/>
      </w:pPr>
    </w:p>
    <w:p>
      <w:pPr>
        <w:pStyle w:val="P13"/>
      </w:pPr>
      <w:r>
        <w:t>Totalt omfattar planområdet 18 242 kvm.</w:t>
      </w:r>
    </w:p>
    <w:p>
      <w:pPr>
        <w:pStyle w:val="P13"/>
      </w:pPr>
    </w:p>
    <w:p>
      <w:pPr>
        <w:pStyle w:val="P13"/>
      </w:pPr>
      <w:r>
        <w:drawing>
          <wp:inline xmlns:wp="http://schemas.openxmlformats.org/drawingml/2006/wordprocessingDrawing" distT="0" distB="0" distL="0" distR="0">
            <wp:extent cx="4676775" cy="4010025"/>
            <wp:effectExtent l="0" t="0" r="9525" b="9525"/>
            <wp:docPr id="9" name="Bildobjekt 9" descr="P4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P453#yIS1"/>
                    <pic:cNvPicPr>
                      <a:picLocks noChangeAspect="1" noChangeArrowheads="1"/>
                    </pic:cNvPicPr>
                  </pic:nvPicPr>
                  <pic:blipFill dpi="0">
                    <a:blip xmlns:r="http://schemas.openxmlformats.org/officeDocument/2006/relationships" r:embed="Relimage16"/>
                    <a:srcRect/>
                    <a:stretch>
                      <a:fillRect/>
                    </a:stretch>
                  </pic:blipFill>
                  <pic:spPr bwMode="auto">
                    <a:xfrm>
                      <a:off x="0" y="0"/>
                      <a:ext cx="4676775" cy="4010025"/>
                    </a:xfrm>
                    <a:prstGeom prst="rect"/>
                    <a:noFill/>
                    <a:ln>
                      <a:noFill/>
                    </a:ln>
                  </pic:spPr>
                </pic:pic>
              </a:graphicData>
            </a:graphic>
          </wp:inline>
        </w:drawing>
      </w:r>
    </w:p>
    <w:p>
      <w:pPr>
        <w:pStyle w:val="P15"/>
      </w:pPr>
      <w:r>
        <w:t>Flygfoto med fastighetsindelning i och omkring planområdet. Utöver Alhagen 1 ingår det skifte av Bilen 3 som gränsar till både Alhagen 1 och Alhagen 3 i planområdet.</w:t>
      </w:r>
    </w:p>
    <w:p>
      <w:pPr>
        <w:pStyle w:val="P13"/>
      </w:pPr>
    </w:p>
    <w:p>
      <w:pPr>
        <w:pStyle w:val="P13"/>
      </w:pPr>
      <w:r>
        <w:t>Med ett nytt planförslag kan fastigheten utnyttjas på ett effektivt sätt med bibehållen logistik och trafiklösningar. Dessutom kan synergimöjligheter utnyttjas i samband med anslutningen till det befintliga handelsområdet.</w:t>
      </w:r>
    </w:p>
    <w:p>
      <w:pPr>
        <w:pStyle w:val="P3"/>
      </w:pPr>
      <w:bookmarkEnd w:id="199"/>
      <w:bookmarkStart w:id="200" w:name="_Toc165276761"/>
      <w:bookmarkStart w:id="201" w:name="be_nybebyggelse01"/>
      <w:r>
        <w:t>Ny bebyggelse</w:t>
      </w:r>
      <w:bookmarkEnd w:id="200"/>
    </w:p>
    <w:p>
      <w:pPr>
        <w:pStyle w:val="P13"/>
      </w:pPr>
      <w:r>
        <w:t>Det nya projektet innebär uppförandet av två separata byggnadsblock inom fastigheten Alhagen 1 med olika funktioner och inriktningar. Den norra delen av fastigheten närmast handelsområdet är tänkt att rymma en byggnad för volymhandel, med en utformning som påminner om och smälter in med de befintliga grannbyggnaderna. Detta ger en naturlig kundangöring och parkeringsmöjligheter direkt i anslutning till de etablerade områdena. Varumottag och inlastning kommer att ske i det nordvästra hörnet av fastigheten, där liknande logistik redan är etablerad.</w:t>
      </w:r>
    </w:p>
    <w:p>
      <w:pPr>
        <w:pStyle w:val="P13"/>
      </w:pPr>
    </w:p>
    <w:p>
      <w:pPr>
        <w:pStyle w:val="P13"/>
      </w:pPr>
      <w:r>
        <w:t>På den södra delen av fastigheten planeras det för uppförandet av en byggnad bestående av olika byggnadskroppar som planeras att användas av en veterinärmottagning. Denna byggnad kommer att gestaltas på ett organiskt sätt som harmoniserar med verksamhetens etablerade profil, och passar väl in med de befintliga byggnaderna i sydöstra delen av området. Dessutom ligger byggnaden nära naturområdet söderut, vilket också kommer att speglas i utformningen.</w:t>
      </w:r>
    </w:p>
    <w:p>
      <w:pPr>
        <w:pStyle w:val="P13"/>
      </w:pPr>
    </w:p>
    <w:p>
      <w:pPr>
        <w:pStyle w:val="P13"/>
      </w:pPr>
      <w:r>
        <w:t>Övriga delar av fastigheten består dels av kundparkering och parkering för anställda enligt kommunens parkeringstal, samt naturmark och viss vegetation längs Trångsundsvägen. Sammantaget ger projektet en väl avvägd planering med hänsyn till både funktion och estetik.</w:t>
      </w:r>
    </w:p>
    <w:p>
      <w:pPr>
        <w:pStyle w:val="P3"/>
      </w:pPr>
      <w:bookmarkEnd w:id="201"/>
      <w:bookmarkStart w:id="202" w:name="_Toc165276762"/>
      <w:bookmarkStart w:id="203" w:name="be_trafikochangöring01"/>
      <w:r>
        <w:t>Trafik och angöring</w:t>
      </w:r>
      <w:bookmarkEnd w:id="202"/>
    </w:p>
    <w:p>
      <w:pPr>
        <w:pStyle w:val="P13"/>
        <w:rPr>
          <w:szCs w:val="20"/>
        </w:rPr>
      </w:pPr>
      <w:r>
        <w:rPr>
          <w:szCs w:val="20"/>
        </w:rPr>
        <w:t xml:space="preserve">På Alhagen 1 finns idag en huvudinfart från Ölandsleden som planeras att bevaras för in- och utfart. Handels- och veterinärparkeringen står i förbindelse med varandra med gemensam in- och utfart söderut mot Ölandsleden. </w:t>
      </w:r>
    </w:p>
    <w:p>
      <w:pPr>
        <w:pStyle w:val="P13"/>
        <w:rPr>
          <w:szCs w:val="20"/>
        </w:rPr>
      </w:pPr>
    </w:p>
    <w:p>
      <w:pPr>
        <w:pStyle w:val="P13"/>
      </w:pPr>
      <w:r>
        <w:t xml:space="preserve">Parkering för såväl bilar som cyklar ska uppfylla det p-tal som anges för respektive verksamhetstyp i kommunens </w:t>
      </w:r>
      <w:r>
        <w:rPr>
          <w:szCs w:val="20"/>
        </w:rPr>
        <w:t>riktlinjer för parkering i Kalmar kommun (antagen av kommunfullmäktige 2016-06-20).</w:t>
      </w:r>
    </w:p>
    <w:p>
      <w:pPr>
        <w:pStyle w:val="P13"/>
        <w:rPr>
          <w:szCs w:val="20"/>
        </w:rPr>
      </w:pPr>
    </w:p>
    <w:p>
      <w:pPr>
        <w:pStyle w:val="P13"/>
        <w:rPr>
          <w:szCs w:val="20"/>
        </w:rPr>
      </w:pPr>
      <w:r>
        <w:rPr>
          <w:szCs w:val="20"/>
        </w:rPr>
        <w:t xml:space="preserve">I nordvästra hörnet av planområdet finns en befintlig, enkelriktad infart till norra bebyggelsen. Infarten används främst för inlast till verksamheterna i byggnaderna. Den befintliga infarten och körbanan planläggs med en markreservation för gemensamhetsanläggning för att möjliggöra infart för varutransporter, sophantering och liknande till den norra handelsbyggnaden inom Alhagen 1 och Bilen 3. Utfart sker via grannfastighetens utfart, belägen drygt 150 meter norrut inom Alhagen 1. </w:t>
      </w:r>
    </w:p>
    <w:p>
      <w:pPr>
        <w:pStyle w:val="P13"/>
        <w:rPr>
          <w:szCs w:val="20"/>
        </w:rPr>
      </w:pPr>
    </w:p>
    <w:p>
      <w:pPr>
        <w:pStyle w:val="P13"/>
        <w:rPr>
          <w:szCs w:val="20"/>
        </w:rPr>
      </w:pPr>
      <w:r>
        <w:rPr>
          <w:szCs w:val="20"/>
        </w:rPr>
        <w:t>En befintlig huvudcykelväg</w:t>
      </w:r>
      <w:r>
        <w:rPr>
          <w:color w:val="FF0000"/>
          <w:szCs w:val="20"/>
        </w:rPr>
        <w:t xml:space="preserve"> </w:t>
      </w:r>
      <w:r>
        <w:rPr>
          <w:szCs w:val="20"/>
        </w:rPr>
        <w:t>längs Trångsundsvägen löper parallellt med fastigheten och kommer att bevaras i sin nuvarande form. Från denna GC-väg finns det möjlighet för nya anslutningar för kommunikation att skapas till fastigheten och vidare in till handelsområdet, se bilaga illustrationsplan. Idag saknas dock finansiering eller konkreta planer för annat än dagens befintliga anslutningar, utan det är just en framtida möjlighet.</w:t>
      </w:r>
    </w:p>
    <w:p>
      <w:pPr>
        <w:pStyle w:val="P13"/>
        <w:rPr>
          <w:szCs w:val="20"/>
        </w:rPr>
      </w:pPr>
      <w:bookmarkEnd w:id="203"/>
    </w:p>
    <w:p>
      <w:pPr>
        <w:pStyle w:val="P2"/>
      </w:pPr>
      <w:bookmarkEnd w:id="197"/>
      <w:bookmarkStart w:id="204" w:name="_Toc108182879"/>
      <w:bookmarkStart w:id="205" w:name="_Toc165276763"/>
      <w:bookmarkStart w:id="206" w:name="_Toc119320195"/>
      <w:bookmarkStart w:id="207" w:name="be_genomförandetid02"/>
      <w:r>
        <w:t>Genomförandetid</w:t>
      </w:r>
      <w:bookmarkEnd w:id="196"/>
      <w:bookmarkEnd w:id="204"/>
      <w:bookmarkEnd w:id="205"/>
      <w:bookmarkEnd w:id="206"/>
    </w:p>
    <w:p>
      <w:pPr>
        <w:pStyle w:val="P13"/>
      </w:pPr>
      <w:bookmarkStart w:id="208" w:name="be_genomförandetid01"/>
      <w:bookmarkStart w:id="209" w:name="_Toc89445977"/>
      <w:r>
        <w:t>Genomförandetiden är 60 månader (vilket motsvarar 5 år) från den dag planen fått laga kraft. Fastighetsägarna har under planens genomförandetid en garanterad byggrätt i enlighet med planen. Om planen ersätts med en ny, ändras eller upphävs under genomförandetiden kan fastighetsägarna ha rätt till ersättning av kommunen.</w:t>
      </w:r>
      <w:bookmarkEnd w:id="207"/>
    </w:p>
    <w:p>
      <w:pPr>
        <w:pStyle w:val="P2"/>
        <w:rPr>
          <w:caps w:val="1"/>
        </w:rPr>
      </w:pPr>
      <w:bookmarkEnd w:id="208"/>
      <w:bookmarkStart w:id="210" w:name="_Toc108182880"/>
      <w:bookmarkStart w:id="211" w:name="_Toc165276764"/>
      <w:bookmarkStart w:id="212" w:name="_Toc119320196"/>
      <w:bookmarkStart w:id="213" w:name="be_allmänplats01"/>
      <w:r>
        <w:t>Allmän plats</w:t>
      </w:r>
      <w:bookmarkEnd w:id="209"/>
      <w:bookmarkEnd w:id="210"/>
      <w:bookmarkEnd w:id="211"/>
      <w:bookmarkEnd w:id="212"/>
    </w:p>
    <w:p>
      <w:pPr>
        <w:pStyle w:val="P13"/>
      </w:pPr>
      <w:bookmarkStart w:id="214" w:name="be_huvudmannaskap01"/>
      <w:r>
        <w:t>Den begränsade del av planområdet som omfattar allmän plats består idag av naturmark eller av en igenvuxen infart inom kvartersmark. Allmän plats inom planområdet utgörs vid antagande uteslutande av naturmark som sås med gräs lika intilliggande naturmarksytor utanför planområdet.</w:t>
      </w:r>
    </w:p>
    <w:p>
      <w:pPr>
        <w:pStyle w:val="P2"/>
        <w:rPr>
          <w:caps w:val="1"/>
        </w:rPr>
      </w:pPr>
      <w:bookmarkEnd w:id="213"/>
      <w:bookmarkEnd w:id="214"/>
      <w:bookmarkStart w:id="215" w:name="_Toc89445979"/>
      <w:bookmarkStart w:id="216" w:name="_Toc108182882"/>
      <w:bookmarkStart w:id="217" w:name="_Toc165276765"/>
      <w:bookmarkStart w:id="218" w:name="_Toc119320198"/>
      <w:bookmarkStart w:id="219" w:name="be_kvartersmark01"/>
      <w:r>
        <w:t>Kvartersmark</w:t>
      </w:r>
      <w:bookmarkEnd w:id="215"/>
      <w:bookmarkEnd w:id="216"/>
      <w:bookmarkEnd w:id="217"/>
      <w:bookmarkEnd w:id="218"/>
    </w:p>
    <w:p>
      <w:pPr>
        <w:pStyle w:val="P13"/>
      </w:pPr>
      <w:bookmarkStart w:id="220" w:name="_Toc89445985"/>
      <w:bookmarkStart w:id="221" w:name="_Toc108182888"/>
      <w:bookmarkStart w:id="222" w:name="_Toc119320204"/>
      <w:r>
        <w:t>Förslaget är att använda kvartersmarken enligt de ändamål som specificeras i plankartan, med en möjlig utformning som presenteras i illustrationsplanen.</w:t>
      </w:r>
    </w:p>
    <w:p>
      <w:pPr>
        <w:pStyle w:val="P13"/>
      </w:pPr>
    </w:p>
    <w:p>
      <w:pPr>
        <w:pStyle w:val="P13"/>
      </w:pPr>
      <w:r>
        <w:t xml:space="preserve">Inom kvartersmarken planeras det för cykel- och bilparkering för både besökare och anställda. Cykelparkeringar kan utformas väderskyddade under skärmtak eller likande för högre mobilitetspoäng och även kundvagnsparkering i den norra delen av fastigheten utförs väderskyddade med fristående skärmtak inom parkeringsområdet. Handelsbyggnaden i norr, som förväntas ha en stor godsmängd, kommer att ha en separat lastningsområde för varor, avfall och liknande som nås via befintlig infart för varutransporter till grannfastigheten. </w:t>
      </w:r>
    </w:p>
    <w:p>
      <w:pPr>
        <w:pStyle w:val="P13"/>
      </w:pPr>
    </w:p>
    <w:p>
      <w:pPr>
        <w:pStyle w:val="P13"/>
      </w:pPr>
      <w:r>
        <w:t xml:space="preserve">För att avgränsa området från angränsande fastigheter föreslås planteringar eller lägre fysiska barriärer, men ingen stängsling. Belysningsarmaturer kommer att installeras på kvartersmarken i anslutning till gator, gång- och cykelstråk, parkering, varumottag och byggnader enligt behov. </w:t>
      </w:r>
    </w:p>
    <w:p>
      <w:pPr>
        <w:pStyle w:val="P13"/>
      </w:pPr>
    </w:p>
    <w:p>
      <w:pPr>
        <w:pStyle w:val="P13"/>
        <w:rPr>
          <w:rFonts w:asciiTheme="majorHAnsi" w:hAnsiTheme="majorHAnsi"/>
          <w:b w:val="1"/>
          <w:bCs w:val="1"/>
          <w:color w:val="4478A4"/>
          <w:sz w:val="36"/>
          <w:szCs w:val="32"/>
          <w:kern w:val="28"/>
        </w:rPr>
      </w:pPr>
      <w:r>
        <w:t>Körbar mark och gång- och cykelstråk kommer att anläggas med hårdgjorda material, men med maximal genomsläpplighet och med gräsytor mellan nödvändiga kommunikationsvägar för ytterligare permeabilitet. Parkeringsplatser föreslås sektioneras och ramas in genom plantering av mindre träd för dagvattenfördröjning och förbättrat mikroklimat.</w:t>
      </w:r>
    </w:p>
    <w:p>
      <w:pPr>
        <w:pStyle w:val="P1"/>
        <w:rPr>
          <w:caps w:val="1"/>
        </w:rPr>
      </w:pPr>
      <w:bookmarkEnd w:id="219"/>
      <w:bookmarkStart w:id="223" w:name="_Toc165276766"/>
      <w:bookmarkStart w:id="224" w:name="mo_motivtillreglering01"/>
      <w:r>
        <w:t>Motiv till detaljplanens regleringar</w:t>
      </w:r>
      <w:bookmarkEnd w:id="220"/>
      <w:bookmarkEnd w:id="221"/>
      <w:bookmarkEnd w:id="222"/>
      <w:bookmarkEnd w:id="223"/>
    </w:p>
    <w:p>
      <w:pPr>
        <w:pStyle w:val="P13"/>
      </w:pPr>
      <w:r>
        <w:t>I planbeskrivningen ska kommunen motivera varje bestämmelse som finns i plankartan. Planbestämmelserna ska vara tydligt motiverade utifrån planens syfte och funktion, samt Plan- och bygglag (2010:900) 2 kap.</w:t>
      </w:r>
    </w:p>
    <w:p>
      <w:pPr>
        <w:pStyle w:val="P13"/>
      </w:pPr>
    </w:p>
    <w:p>
      <w:pPr>
        <w:pStyle w:val="P2"/>
        <w:rPr>
          <w:caps w:val="1"/>
        </w:rPr>
      </w:pPr>
      <w:bookmarkStart w:id="225" w:name="_Toc89445986"/>
      <w:bookmarkStart w:id="226" w:name="_Toc108182889"/>
      <w:bookmarkStart w:id="227" w:name="_Toc165276767"/>
      <w:bookmarkStart w:id="228" w:name="_Toc119320205"/>
      <w:r>
        <w:t>Motiv till regleringar</w:t>
      </w:r>
      <w:bookmarkEnd w:id="225"/>
      <w:bookmarkEnd w:id="226"/>
      <w:bookmarkEnd w:id="227"/>
      <w:bookmarkEnd w:id="228"/>
    </w:p>
    <w:p>
      <w:pPr>
        <w:pStyle w:val="P3"/>
      </w:pPr>
      <w:bookmarkStart w:id="229" w:name="_Toc89445987"/>
      <w:bookmarkStart w:id="230" w:name="_Toc119320206"/>
      <w:bookmarkStart w:id="231" w:name="_Toc165276768"/>
      <w:bookmarkStart w:id="232" w:name="_Toc108182890"/>
      <w:r>
        <w:t>ANVÄNDNING AV ALLMÄN PLATS</w:t>
      </w:r>
      <w:bookmarkEnd w:id="229"/>
      <w:bookmarkEnd w:id="230"/>
      <w:bookmarkEnd w:id="231"/>
      <w:bookmarkEnd w:id="232"/>
    </w:p>
    <w:tbl>
      <w:tblPr>
        <w:tblStyle w:val="T2"/>
        <w:tblW w:w="0" w:type="auto"/>
        <w:tblInd w:w="279"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rPr>
          <w:trHeight w:hRule="atLeast" w:val="1944"/>
        </w:trPr>
        <w:tc>
          <w:tcPr>
            <w:tcW w:w="1134" w:type="dxa"/>
          </w:tcPr>
          <w:p>
            <w:pPr>
              <w:pStyle w:val="P13"/>
            </w:pPr>
            <w:bookmarkStart w:id="233" w:name="_Toc89445988" w:colFirst="0" w:colLast="2"/>
            <w:bookmarkStart w:id="234" w:name="_Toc119320207" w:colFirst="0" w:colLast="2"/>
            <w:bookmarkStart w:id="235" w:name="_Toc108182891" w:colFirst="0" w:colLast="2"/>
            <w:r>
              <w:drawing>
                <wp:inline xmlns:wp="http://schemas.openxmlformats.org/drawingml/2006/wordprocessingDrawing" distT="0" distB="0" distL="0" distR="0">
                  <wp:extent cx="582930" cy="298450"/>
                  <wp:effectExtent l="0" t="0" r="7620" b="6350"/>
                  <wp:docPr id="780302845" name="Bildobjekt 780302845" descr="P489C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302845" name="Bildobjekt 780302845" descr="P489C1T2#yIS1"/>
                          <pic:cNvPicPr/>
                        </pic:nvPicPr>
                        <pic:blipFill dpi="0">
                          <a:blip xmlns:r="http://schemas.openxmlformats.org/officeDocument/2006/relationships" r:embed="Relimage17" cstate="print"/>
                          <a:srcRect/>
                          <a:stretch>
                            <a:fillRect/>
                          </a:stretch>
                        </pic:blipFill>
                        <pic:spPr>
                          <a:xfrm>
                            <a:off x="0" y="0"/>
                            <a:ext cx="582930" cy="298450"/>
                          </a:xfrm>
                          <a:prstGeom prst="rect"/>
                        </pic:spPr>
                      </pic:pic>
                    </a:graphicData>
                  </a:graphic>
                </wp:inline>
              </w:drawing>
            </w:r>
          </w:p>
        </w:tc>
        <w:tc>
          <w:tcPr>
            <w:tcW w:w="406" w:type="dxa"/>
          </w:tcPr>
          <w:p>
            <w:pPr>
              <w:pStyle w:val="P13"/>
            </w:pPr>
          </w:p>
        </w:tc>
        <w:tc>
          <w:tcPr>
            <w:tcW w:w="5541" w:type="dxa"/>
          </w:tcPr>
          <w:p>
            <w:pPr>
              <w:pStyle w:val="P13"/>
              <w:rPr>
                <w:i w:val="1"/>
                <w:iCs w:val="0"/>
              </w:rPr>
            </w:pPr>
            <w:r>
              <w:rPr>
                <w:i w:val="1"/>
                <w:iCs w:val="0"/>
              </w:rPr>
              <w:t>Naturområde</w:t>
            </w:r>
          </w:p>
          <w:p>
            <w:pPr>
              <w:pStyle w:val="P13"/>
              <w:rPr>
                <w:highlight w:val="yellow"/>
              </w:rPr>
            </w:pPr>
            <w:r>
              <w:t>I planområdets nordvästra hörn, intill infarten mot Trångsundsvägen, utförs en remsa naturmark vid tidigare, numera obrukad infart och en kort sträcka längre norrut för att förhindra att annan in- eller utfart än den befintliga tillskapas. Viss marginal mot befintlig infart lämnas för att tillåta att denna vid behov kan breddas eller utvecklas på annat sätt.</w:t>
            </w:r>
          </w:p>
        </w:tc>
      </w:tr>
    </w:tbl>
    <w:p>
      <w:pPr>
        <w:pStyle w:val="P3"/>
      </w:pPr>
      <w:bookmarkStart w:id="236" w:name="_Toc165276769"/>
      <w:r>
        <w:t>ANVÄNDNING AV KVARTERSMARK</w:t>
      </w:r>
      <w:bookmarkEnd w:id="233"/>
      <w:bookmarkEnd w:id="234"/>
      <w:bookmarkEnd w:id="235"/>
      <w:bookmarkEnd w:id="236"/>
    </w:p>
    <w:tbl>
      <w:tblPr>
        <w:tblStyle w:val="T2"/>
        <w:tblW w:w="0" w:type="auto"/>
        <w:tblInd w:w="279"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rPr>
          <w:trHeight w:hRule="atLeast" w:val="1944"/>
        </w:trPr>
        <w:tc>
          <w:tcPr>
            <w:tcW w:w="1134" w:type="dxa"/>
          </w:tcPr>
          <w:p>
            <w:pPr>
              <w:pStyle w:val="P13"/>
            </w:pPr>
            <w:r>
              <w:drawing>
                <wp:inline xmlns:wp="http://schemas.openxmlformats.org/drawingml/2006/wordprocessingDrawing" distT="0" distB="0" distL="0" distR="0">
                  <wp:extent cx="582930" cy="295275"/>
                  <wp:effectExtent l="0" t="0" r="7620" b="9525"/>
                  <wp:docPr id="1882232911" name="Bildobjekt 1882232911" descr="P495C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32911" name="Bildobjekt 1882232911" descr="P495C1T3#yIS1"/>
                          <pic:cNvPicPr/>
                        </pic:nvPicPr>
                        <pic:blipFill dpi="0">
                          <a:blip xmlns:r="http://schemas.openxmlformats.org/officeDocument/2006/relationships" r:embed="Relimage18" cstate="print"/>
                          <a:srcRect/>
                          <a:stretch>
                            <a:fillRect/>
                          </a:stretch>
                        </pic:blipFill>
                        <pic:spPr>
                          <a:xfrm>
                            <a:off x="0" y="0"/>
                            <a:ext cx="582930" cy="295275"/>
                          </a:xfrm>
                          <a:prstGeom prst="rect"/>
                        </pic:spPr>
                      </pic:pic>
                    </a:graphicData>
                  </a:graphic>
                </wp:inline>
              </w:drawing>
            </w:r>
          </w:p>
        </w:tc>
        <w:tc>
          <w:tcPr>
            <w:tcW w:w="406" w:type="dxa"/>
          </w:tcPr>
          <w:p>
            <w:pPr>
              <w:pStyle w:val="P13"/>
            </w:pPr>
          </w:p>
        </w:tc>
        <w:tc>
          <w:tcPr>
            <w:tcW w:w="5541" w:type="dxa"/>
          </w:tcPr>
          <w:p>
            <w:pPr>
              <w:pStyle w:val="P13"/>
              <w:rPr>
                <w:i w:val="1"/>
                <w:iCs w:val="0"/>
              </w:rPr>
            </w:pPr>
            <w:r>
              <w:rPr>
                <w:i w:val="1"/>
                <w:iCs w:val="0"/>
              </w:rPr>
              <w:t>Centrum</w:t>
            </w:r>
          </w:p>
          <w:p>
            <w:pPr>
              <w:pStyle w:val="P13"/>
            </w:pPr>
            <w:r>
              <w:t>Fastighetens läge invid en huvudinfart till handelsområdet innebär att en mängd olika verksamheter av olika storlekar kan vara aktuella för fastigheten. Centrum möjliggör att mindre verksamheter med olika användningar simultant kan rymmas inom samma fastighet och därmed förstärka och utveckla handelsområdets sydvästra del i enlighet med planens syfte.</w:t>
            </w:r>
          </w:p>
          <w:p>
            <w:pPr>
              <w:pStyle w:val="P13"/>
              <w:rPr>
                <w:highlight w:val="yellow"/>
              </w:rPr>
            </w:pPr>
          </w:p>
        </w:tc>
      </w:tr>
      <w:tr>
        <w:trPr>
          <w:trHeight w:hRule="atLeast" w:val="1459"/>
        </w:trPr>
        <w:tc>
          <w:tcPr>
            <w:tcW w:w="1134" w:type="dxa"/>
          </w:tcPr>
          <w:p>
            <w:pPr>
              <w:pStyle w:val="P13"/>
            </w:pPr>
            <w:r>
              <w:drawing>
                <wp:inline xmlns:wp="http://schemas.openxmlformats.org/drawingml/2006/wordprocessingDrawing" distT="0" distB="0" distL="0" distR="0">
                  <wp:extent cx="581025" cy="295275"/>
                  <wp:effectExtent l="0" t="0" r="9525" b="9525"/>
                  <wp:docPr id="16" name="Bildobjekt 16" descr="P501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P501C4T3#yIS1"/>
                          <pic:cNvPicPr>
                            <a:picLocks noChangeAspect="1" noChangeArrowheads="1"/>
                          </pic:cNvPicPr>
                        </pic:nvPicPr>
                        <pic:blipFill dpi="0">
                          <a:blip xmlns:r="http://schemas.openxmlformats.org/officeDocument/2006/relationships" r:embed="Relimage19" cstate="print"/>
                          <a:srcRect/>
                          <a:stretch>
                            <a:fillRect/>
                          </a:stretch>
                        </pic:blipFill>
                        <pic:spPr bwMode="auto">
                          <a:xfrm>
                            <a:off x="0" y="0"/>
                            <a:ext cx="581025" cy="295275"/>
                          </a:xfrm>
                          <a:prstGeom prst="rect"/>
                          <a:noFill/>
                          <a:ln>
                            <a:noFill/>
                          </a:ln>
                        </pic:spPr>
                      </pic:pic>
                    </a:graphicData>
                  </a:graphic>
                </wp:inline>
              </w:drawing>
            </w:r>
          </w:p>
        </w:tc>
        <w:tc>
          <w:tcPr>
            <w:tcW w:w="406" w:type="dxa"/>
          </w:tcPr>
          <w:p>
            <w:pPr>
              <w:pStyle w:val="P13"/>
            </w:pPr>
          </w:p>
        </w:tc>
        <w:tc>
          <w:tcPr>
            <w:tcW w:w="5541" w:type="dxa"/>
          </w:tcPr>
          <w:p>
            <w:pPr>
              <w:pStyle w:val="P13"/>
              <w:rPr>
                <w:i w:val="1"/>
                <w:iCs w:val="0"/>
              </w:rPr>
            </w:pPr>
            <w:r>
              <w:rPr>
                <w:i w:val="1"/>
                <w:iCs w:val="0"/>
              </w:rPr>
              <w:t>Handel</w:t>
            </w:r>
          </w:p>
          <w:p>
            <w:pPr>
              <w:pStyle w:val="P13"/>
            </w:pPr>
            <w:r>
              <w:t xml:space="preserve">På Alhagen 3 för att efterlikna det som är planlagt idag. </w:t>
            </w:r>
          </w:p>
          <w:p>
            <w:pPr>
              <w:pStyle w:val="P13"/>
            </w:pPr>
            <w:r>
              <w:t>Alhagen 1 norra del bedöms i huvudsak nyttjas till detaljhandel varför bestämmelsen är aktuell där utöver de blandade handelsverksamheter som ingår i C. Bestämmelsen H stärker handeln i Hansa Citys sydvästra del i enlighet med planens syfte.</w:t>
            </w:r>
          </w:p>
          <w:p>
            <w:pPr>
              <w:pStyle w:val="P13"/>
            </w:pPr>
          </w:p>
        </w:tc>
      </w:tr>
      <w:tr>
        <w:trPr>
          <w:trHeight w:hRule="atLeast" w:val="673"/>
        </w:trPr>
        <w:tc>
          <w:tcPr>
            <w:tcW w:w="1134" w:type="dxa"/>
          </w:tcPr>
          <w:p>
            <w:pPr>
              <w:pStyle w:val="P13"/>
            </w:pPr>
            <w:r>
              <w:drawing>
                <wp:anchor xmlns:wp="http://schemas.openxmlformats.org/drawingml/2006/wordprocessingDrawing" distT="0" distB="0" distL="114300" distR="114300" simplePos="0" relativeHeight="251658241" behindDoc="1" locked="0" layoutInCell="1" allowOverlap="1">
                  <wp:simplePos x="0" y="0"/>
                  <wp:positionH relativeFrom="column">
                    <wp:posOffset>9525</wp:posOffset>
                  </wp:positionH>
                  <wp:positionV relativeFrom="paragraph">
                    <wp:posOffset>635</wp:posOffset>
                  </wp:positionV>
                  <wp:extent cx="591185" cy="297815"/>
                  <wp:effectExtent l="0" t="0" r="0" b="6985"/>
                  <wp:wrapTight wrapText="bothSides">
                    <wp:wrapPolygon edited="0">
                      <wp:start x="0" y="0"/>
                      <wp:lineTo x="0" y="20725"/>
                      <wp:lineTo x="20881" y="20725"/>
                      <wp:lineTo x="20881" y="0"/>
                      <wp:lineTo x="0" y="0"/>
                    </wp:wrapPolygon>
                  </wp:wrapTight>
                  <wp:docPr id="17" name="Bildobjekt 17" descr="P508C7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P508C7T3#y1"/>
                          <pic:cNvPicPr>
                            <a:picLocks noChangeAspect="1" noChangeArrowheads="1"/>
                          </pic:cNvPicPr>
                        </pic:nvPicPr>
                        <pic:blipFill dpi="0">
                          <a:blip xmlns:r="http://schemas.openxmlformats.org/officeDocument/2006/relationships" r:embed="Relimage20" cstate="print"/>
                          <a:srcRect/>
                          <a:stretch>
                            <a:fillRect/>
                          </a:stretch>
                        </pic:blipFill>
                        <pic:spPr bwMode="auto">
                          <a:xfrm>
                            <a:off x="0" y="0"/>
                            <a:ext cx="591185" cy="297815"/>
                          </a:xfrm>
                          <a:prstGeom prst="rect"/>
                          <a:noFill/>
                          <a:ln>
                            <a:noFill/>
                          </a:ln>
                        </pic:spPr>
                      </pic:pic>
                    </a:graphicData>
                  </a:graphic>
                </wp:anchor>
              </w:drawing>
            </w:r>
          </w:p>
        </w:tc>
        <w:tc>
          <w:tcPr>
            <w:tcW w:w="406" w:type="dxa"/>
          </w:tcPr>
          <w:p>
            <w:pPr>
              <w:pStyle w:val="P13"/>
            </w:pPr>
          </w:p>
        </w:tc>
        <w:tc>
          <w:tcPr>
            <w:tcW w:w="5541" w:type="dxa"/>
          </w:tcPr>
          <w:p>
            <w:pPr>
              <w:pStyle w:val="P13"/>
              <w:rPr>
                <w:i w:val="1"/>
                <w:iCs w:val="0"/>
              </w:rPr>
            </w:pPr>
            <w:r>
              <w:rPr>
                <w:i w:val="1"/>
                <w:iCs w:val="0"/>
              </w:rPr>
              <w:t>Pumpstation</w:t>
            </w:r>
          </w:p>
          <w:p>
            <w:pPr>
              <w:pStyle w:val="P13"/>
            </w:pPr>
            <w:r>
              <w:t xml:space="preserve">Säkerställer yta för den befintliga pumpstationen.  </w:t>
            </w:r>
          </w:p>
          <w:p>
            <w:pPr>
              <w:pStyle w:val="P13"/>
              <w:rPr>
                <w:i w:val="1"/>
                <w:iCs w:val="0"/>
              </w:rPr>
            </w:pPr>
          </w:p>
        </w:tc>
      </w:tr>
      <w:tr>
        <w:trPr>
          <w:trHeight w:hRule="atLeast" w:val="1459"/>
        </w:trPr>
        <w:tc>
          <w:tcPr>
            <w:tcW w:w="1134" w:type="dxa"/>
          </w:tcPr>
          <w:p>
            <w:pPr>
              <w:pStyle w:val="P13"/>
            </w:pPr>
            <w:r>
              <w:drawing>
                <wp:inline xmlns:wp="http://schemas.openxmlformats.org/drawingml/2006/wordprocessingDrawing" distT="0" distB="0" distL="0" distR="0">
                  <wp:extent cx="582930" cy="295275"/>
                  <wp:effectExtent l="0" t="0" r="7620" b="9525"/>
                  <wp:docPr id="1322318697" name="Bildobjekt 1322318697" descr="P514C1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18697" name="Bildobjekt 1322318697" descr="P514C10T3#yIS1"/>
                          <pic:cNvPicPr/>
                        </pic:nvPicPr>
                        <pic:blipFill dpi="0">
                          <a:blip xmlns:r="http://schemas.openxmlformats.org/officeDocument/2006/relationships" r:embed="Relimage21" cstate="print"/>
                          <a:srcRect/>
                          <a:stretch>
                            <a:fillRect/>
                          </a:stretch>
                        </pic:blipFill>
                        <pic:spPr>
                          <a:xfrm>
                            <a:off x="0" y="0"/>
                            <a:ext cx="582930" cy="295275"/>
                          </a:xfrm>
                          <a:prstGeom prst="rect"/>
                        </pic:spPr>
                      </pic:pic>
                    </a:graphicData>
                  </a:graphic>
                </wp:inline>
              </w:drawing>
            </w:r>
          </w:p>
        </w:tc>
        <w:tc>
          <w:tcPr>
            <w:tcW w:w="406" w:type="dxa"/>
          </w:tcPr>
          <w:p>
            <w:pPr>
              <w:pStyle w:val="P13"/>
            </w:pPr>
          </w:p>
        </w:tc>
        <w:tc>
          <w:tcPr>
            <w:tcW w:w="5541" w:type="dxa"/>
          </w:tcPr>
          <w:p>
            <w:pPr>
              <w:pStyle w:val="P13"/>
              <w:rPr>
                <w:i w:val="1"/>
                <w:iCs w:val="0"/>
              </w:rPr>
            </w:pPr>
            <w:r>
              <w:rPr>
                <w:i w:val="1"/>
                <w:iCs w:val="0"/>
              </w:rPr>
              <w:t>Kontor</w:t>
            </w:r>
          </w:p>
          <w:p>
            <w:pPr>
              <w:pStyle w:val="P13"/>
            </w:pPr>
            <w:r>
              <w:t>För att möjliggöra en diversifierad användning vid infarten till handelsområdet ges bokstaven K som möjliggör kontor utöver av den komplementära art som ingår i C. Det utvecklar sydvästra delen av handelsområdet i enlighet med planens syfte.</w:t>
            </w:r>
          </w:p>
          <w:p>
            <w:pPr>
              <w:pStyle w:val="P13"/>
            </w:pPr>
          </w:p>
        </w:tc>
      </w:tr>
      <w:tr>
        <w:tc>
          <w:tcPr>
            <w:tcW w:w="1134" w:type="dxa"/>
          </w:tcPr>
          <w:p>
            <w:pPr>
              <w:pStyle w:val="P13"/>
            </w:pPr>
            <w:r>
              <w:drawing>
                <wp:anchor xmlns:wp="http://schemas.openxmlformats.org/drawingml/2006/wordprocessingDrawing" distT="0" distB="0" distL="114300" distR="114300" simplePos="0" relativeHeight="251658242" behindDoc="1" locked="0" layoutInCell="1" allowOverlap="1">
                  <wp:simplePos x="0" y="0"/>
                  <wp:positionH relativeFrom="column">
                    <wp:posOffset>13335</wp:posOffset>
                  </wp:positionH>
                  <wp:positionV relativeFrom="paragraph">
                    <wp:posOffset>29845</wp:posOffset>
                  </wp:positionV>
                  <wp:extent cx="556260" cy="283210"/>
                  <wp:effectExtent l="0" t="0" r="0" b="2540"/>
                  <wp:wrapTight wrapText="bothSides">
                    <wp:wrapPolygon edited="0">
                      <wp:start x="0" y="0"/>
                      <wp:lineTo x="0" y="20341"/>
                      <wp:lineTo x="20712" y="20341"/>
                      <wp:lineTo x="20712" y="0"/>
                      <wp:lineTo x="0" y="0"/>
                    </wp:wrapPolygon>
                  </wp:wrapTight>
                  <wp:docPr id="18" name="Bildobjekt 18" descr="P520C13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P520C13T3#y1"/>
                          <pic:cNvPicPr>
                            <a:picLocks noChangeAspect="1" noChangeArrowheads="1"/>
                          </pic:cNvPicPr>
                        </pic:nvPicPr>
                        <pic:blipFill dpi="0">
                          <a:blip xmlns:r="http://schemas.openxmlformats.org/officeDocument/2006/relationships" r:embed="Relimage22" cstate="print"/>
                          <a:srcRect/>
                          <a:stretch>
                            <a:fillRect/>
                          </a:stretch>
                        </pic:blipFill>
                        <pic:spPr bwMode="auto">
                          <a:xfrm>
                            <a:off x="0" y="0"/>
                            <a:ext cx="556260" cy="283210"/>
                          </a:xfrm>
                          <a:prstGeom prst="rect"/>
                          <a:noFill/>
                          <a:ln>
                            <a:noFill/>
                          </a:ln>
                        </pic:spPr>
                      </pic:pic>
                    </a:graphicData>
                  </a:graphic>
                </wp:anchor>
              </w:drawing>
            </w:r>
          </w:p>
        </w:tc>
        <w:tc>
          <w:tcPr>
            <w:tcW w:w="406" w:type="dxa"/>
          </w:tcPr>
          <w:p>
            <w:pPr>
              <w:pStyle w:val="P13"/>
            </w:pPr>
          </w:p>
        </w:tc>
        <w:tc>
          <w:tcPr>
            <w:tcW w:w="5541" w:type="dxa"/>
          </w:tcPr>
          <w:p>
            <w:pPr>
              <w:pStyle w:val="P13"/>
              <w:rPr>
                <w:i w:val="1"/>
                <w:iCs w:val="0"/>
              </w:rPr>
            </w:pPr>
            <w:r>
              <w:rPr>
                <w:i w:val="1"/>
                <w:iCs w:val="0"/>
              </w:rPr>
              <w:t>Djursjukhus</w:t>
            </w:r>
          </w:p>
          <w:p>
            <w:pPr>
              <w:pStyle w:val="P13"/>
            </w:pPr>
            <w:r>
              <w:t>Som första byggnad att nås vid infart till planområdet föreslås en veterinäranläggning eller djursjukhus för sällskapsdjur, i enlighet med planens syfte.</w:t>
            </w:r>
          </w:p>
          <w:p>
            <w:pPr>
              <w:pStyle w:val="P13"/>
            </w:pPr>
          </w:p>
        </w:tc>
      </w:tr>
      <w:tr>
        <w:tc>
          <w:tcPr>
            <w:tcW w:w="1134" w:type="dxa"/>
          </w:tcPr>
          <w:p>
            <w:pPr>
              <w:pStyle w:val="P13"/>
            </w:pPr>
            <w:r>
              <w:drawing>
                <wp:inline xmlns:wp="http://schemas.openxmlformats.org/drawingml/2006/wordprocessingDrawing" distT="0" distB="0" distL="0" distR="0">
                  <wp:extent cx="582930" cy="295275"/>
                  <wp:effectExtent l="0" t="0" r="7620" b="9525"/>
                  <wp:docPr id="1536133640" name="Bildobjekt 1536133640" descr="P526C16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33640" name="Bildobjekt 1536133640" descr="P526C16T3#yIS1"/>
                          <pic:cNvPicPr/>
                        </pic:nvPicPr>
                        <pic:blipFill dpi="0">
                          <a:blip xmlns:r="http://schemas.openxmlformats.org/officeDocument/2006/relationships" r:embed="Relimage23" cstate="print"/>
                          <a:srcRect/>
                          <a:stretch>
                            <a:fillRect/>
                          </a:stretch>
                        </pic:blipFill>
                        <pic:spPr>
                          <a:xfrm>
                            <a:off x="0" y="0"/>
                            <a:ext cx="582930" cy="295275"/>
                          </a:xfrm>
                          <a:prstGeom prst="rect"/>
                        </pic:spPr>
                      </pic:pic>
                    </a:graphicData>
                  </a:graphic>
                </wp:inline>
              </w:drawing>
            </w:r>
          </w:p>
        </w:tc>
        <w:tc>
          <w:tcPr>
            <w:tcW w:w="406" w:type="dxa"/>
          </w:tcPr>
          <w:p>
            <w:pPr>
              <w:pStyle w:val="P13"/>
            </w:pPr>
          </w:p>
        </w:tc>
        <w:tc>
          <w:tcPr>
            <w:tcW w:w="5541" w:type="dxa"/>
          </w:tcPr>
          <w:p>
            <w:pPr>
              <w:pStyle w:val="P13"/>
              <w:rPr>
                <w:i w:val="1"/>
                <w:iCs w:val="0"/>
              </w:rPr>
            </w:pPr>
            <w:r>
              <w:rPr>
                <w:i w:val="1"/>
                <w:iCs w:val="0"/>
              </w:rPr>
              <w:t>Besöksanläggningar</w:t>
            </w:r>
          </w:p>
          <w:p>
            <w:pPr>
              <w:pStyle w:val="P13"/>
            </w:pPr>
            <w:r>
              <w:t>Besöksanläggningar tillåts för planområdets norra byggrätt för att möjliggöra exempelvis verksamheter inom idrott och rekreation som inte är förknippade med större publiksiffror, så som trampolinhall, lekland eller liknande.</w:t>
            </w:r>
          </w:p>
          <w:p>
            <w:pPr>
              <w:pStyle w:val="P13"/>
            </w:pPr>
          </w:p>
        </w:tc>
      </w:tr>
      <w:tr>
        <w:tc>
          <w:tcPr>
            <w:tcW w:w="1134" w:type="dxa"/>
          </w:tcPr>
          <w:p>
            <w:pPr>
              <w:pStyle w:val="P13"/>
            </w:pPr>
            <w:r>
              <w:drawing>
                <wp:inline xmlns:wp="http://schemas.openxmlformats.org/drawingml/2006/wordprocessingDrawing" distT="0" distB="0" distL="0" distR="0">
                  <wp:extent cx="582930" cy="297180"/>
                  <wp:effectExtent l="0" t="0" r="7620" b="7620"/>
                  <wp:docPr id="785133312" name="Bildobjekt 785133312" descr="P532C1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33312" name="Bildobjekt 785133312" descr="P532C19T3#yIS1"/>
                          <pic:cNvPicPr/>
                        </pic:nvPicPr>
                        <pic:blipFill dpi="0">
                          <a:blip xmlns:r="http://schemas.openxmlformats.org/officeDocument/2006/relationships" r:embed="Relimage24" cstate="print"/>
                          <a:srcRect/>
                          <a:stretch>
                            <a:fillRect/>
                          </a:stretch>
                        </pic:blipFill>
                        <pic:spPr>
                          <a:xfrm>
                            <a:off x="0" y="0"/>
                            <a:ext cx="582930" cy="297180"/>
                          </a:xfrm>
                          <a:prstGeom prst="rect"/>
                        </pic:spPr>
                      </pic:pic>
                    </a:graphicData>
                  </a:graphic>
                </wp:inline>
              </w:drawing>
            </w:r>
          </w:p>
        </w:tc>
        <w:tc>
          <w:tcPr>
            <w:tcW w:w="406" w:type="dxa"/>
          </w:tcPr>
          <w:p>
            <w:pPr>
              <w:pStyle w:val="P13"/>
            </w:pPr>
          </w:p>
        </w:tc>
        <w:tc>
          <w:tcPr>
            <w:tcW w:w="5541" w:type="dxa"/>
          </w:tcPr>
          <w:p>
            <w:pPr>
              <w:pStyle w:val="P13"/>
              <w:rPr>
                <w:i w:val="1"/>
                <w:iCs w:val="0"/>
              </w:rPr>
            </w:pPr>
            <w:r>
              <w:rPr>
                <w:i w:val="1"/>
                <w:iCs w:val="0"/>
              </w:rPr>
              <w:t>Verksamheter</w:t>
            </w:r>
          </w:p>
          <w:p>
            <w:pPr>
              <w:pStyle w:val="P13"/>
            </w:pPr>
            <w:r>
              <w:t>Söder om planområdet finns Hagbygärde industriområde och för att möjliggöra vissa synergieffekter föreslås verksamheter med begränsad omgivningspåverkan kunna rymmas inom fastigheten.</w:t>
            </w:r>
          </w:p>
          <w:p>
            <w:pPr>
              <w:pStyle w:val="P13"/>
            </w:pPr>
          </w:p>
        </w:tc>
      </w:tr>
    </w:tbl>
    <w:p>
      <w:pPr>
        <w:pStyle w:val="P13"/>
        <w:rPr>
          <w:highlight w:val="yellow"/>
        </w:rPr>
      </w:pPr>
      <w:bookmarkStart w:id="237" w:name="_Toc89445989"/>
    </w:p>
    <w:p>
      <w:pPr>
        <w:pStyle w:val="P3"/>
      </w:pPr>
      <w:bookmarkStart w:id="238" w:name="_Toc108182893"/>
      <w:bookmarkStart w:id="239" w:name="_Toc165276770"/>
      <w:bookmarkStart w:id="240" w:name="_Toc119320209"/>
      <w:r>
        <w:t>EGENSKAPSBESTÄMMELSER FÖR ALLMÄN PLATS</w:t>
      </w:r>
      <w:bookmarkEnd w:id="237"/>
      <w:bookmarkEnd w:id="238"/>
      <w:bookmarkEnd w:id="239"/>
      <w:bookmarkEnd w:id="240"/>
    </w:p>
    <w:p>
      <w:pPr>
        <w:pStyle w:val="P13"/>
      </w:pPr>
      <w:r>
        <w:t>Inga särskilda egenskapsbestämmelser för allmän platsmark.</w:t>
      </w:r>
    </w:p>
    <w:p>
      <w:pPr>
        <w:pStyle w:val="P3"/>
      </w:pPr>
      <w:bookmarkStart w:id="241" w:name="_Toc89445990"/>
      <w:bookmarkStart w:id="242" w:name="_Toc108182894"/>
      <w:bookmarkStart w:id="243" w:name="_Toc165276771"/>
      <w:bookmarkStart w:id="244" w:name="_Toc119320210"/>
      <w:r>
        <w:t>EGENSKAPSBESTÄMMELSER FÖR KVARTERSMARK</w:t>
      </w:r>
      <w:bookmarkEnd w:id="241"/>
      <w:bookmarkEnd w:id="242"/>
      <w:bookmarkEnd w:id="243"/>
      <w:bookmarkEnd w:id="244"/>
    </w:p>
    <w:tbl>
      <w:tblPr>
        <w:tblStyle w:val="T2"/>
        <w:tblW w:w="7518" w:type="dxa"/>
        <w:tblInd w:w="279"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c>
          <w:tcPr>
            <w:tcW w:w="1134" w:type="dxa"/>
          </w:tcPr>
          <w:p>
            <w:pPr>
              <w:pStyle w:val="P13"/>
            </w:pPr>
            <w:r>
              <w:drawing>
                <wp:inline xmlns:wp="http://schemas.openxmlformats.org/drawingml/2006/wordprocessingDrawing" distT="0" distB="0" distL="0" distR="0">
                  <wp:extent cx="582930" cy="238760"/>
                  <wp:effectExtent l="0" t="0" r="7620" b="8890"/>
                  <wp:docPr id="2" name="Bildobjekt 2" descr="P542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P542C1T4#yIS1"/>
                          <pic:cNvPicPr/>
                        </pic:nvPicPr>
                        <pic:blipFill dpi="0">
                          <a:blip xmlns:r="http://schemas.openxmlformats.org/officeDocument/2006/relationships" r:embed="Relimage25"/>
                          <a:srcRect/>
                          <a:stretch>
                            <a:fillRect/>
                          </a:stretch>
                        </pic:blipFill>
                        <pic:spPr>
                          <a:xfrm>
                            <a:off x="0" y="0"/>
                            <a:ext cx="582930" cy="238760"/>
                          </a:xfrm>
                          <a:prstGeom prst="rect"/>
                        </pic:spPr>
                      </pic:pic>
                    </a:graphicData>
                  </a:graphic>
                </wp:inline>
              </w:drawing>
            </w:r>
          </w:p>
        </w:tc>
        <w:tc>
          <w:tcPr>
            <w:tcW w:w="406" w:type="dxa"/>
          </w:tcPr>
          <w:p>
            <w:pPr>
              <w:pStyle w:val="P13"/>
            </w:pPr>
          </w:p>
        </w:tc>
        <w:tc>
          <w:tcPr>
            <w:tcW w:w="5978" w:type="dxa"/>
          </w:tcPr>
          <w:p>
            <w:pPr>
              <w:pStyle w:val="P13"/>
              <w:rPr>
                <w:i w:val="1"/>
                <w:iCs w:val="0"/>
              </w:rPr>
            </w:pPr>
            <w:r>
              <w:rPr>
                <w:i w:val="1"/>
                <w:iCs w:val="0"/>
              </w:rPr>
              <w:t>Marken får inte förses med byggnad.</w:t>
            </w:r>
          </w:p>
          <w:p>
            <w:pPr>
              <w:pStyle w:val="P13"/>
            </w:pPr>
            <w:r>
              <w:t>Längs planområdets östra gräns skapas ett fyra meter brett område som inte får förses med byggnad för att undvika att framtida byggnader placeras för nära befintlig bebyggelse. Längs planområdets södra och västra gräns görs området 10 meter brett för att säkerställa att volymerna uppförs indragna från omkringliggande vägar, lika befintliga byggnader i närområdet.</w:t>
            </w:r>
          </w:p>
          <w:p>
            <w:pPr>
              <w:pStyle w:val="P13"/>
              <w:rPr>
                <w:i w:val="1"/>
                <w:iCs w:val="0"/>
              </w:rPr>
            </w:pPr>
          </w:p>
        </w:tc>
      </w:tr>
      <w:tr>
        <w:tc>
          <w:tcPr>
            <w:tcW w:w="1134" w:type="dxa"/>
          </w:tcPr>
          <w:p>
            <w:pPr>
              <w:pStyle w:val="P13"/>
            </w:pPr>
            <w:r>
              <w:drawing>
                <wp:inline xmlns:wp="http://schemas.openxmlformats.org/drawingml/2006/wordprocessingDrawing" distT="0" distB="0" distL="0" distR="0">
                  <wp:extent cx="582930" cy="290195"/>
                  <wp:effectExtent l="0" t="0" r="7620" b="0"/>
                  <wp:docPr id="1497515421" name="Bildobjekt 1497515421" descr="P548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15421" name="Bildobjekt 1497515421" descr="P548C4T4#yIS1"/>
                          <pic:cNvPicPr/>
                        </pic:nvPicPr>
                        <pic:blipFill dpi="0">
                          <a:blip xmlns:r="http://schemas.openxmlformats.org/officeDocument/2006/relationships" r:embed="Relimage26" cstate="print"/>
                          <a:srcRect/>
                          <a:stretch>
                            <a:fillRect/>
                          </a:stretch>
                        </pic:blipFill>
                        <pic:spPr>
                          <a:xfrm>
                            <a:off x="0" y="0"/>
                            <a:ext cx="582930" cy="290195"/>
                          </a:xfrm>
                          <a:prstGeom prst="rect"/>
                        </pic:spPr>
                      </pic:pic>
                    </a:graphicData>
                  </a:graphic>
                </wp:inline>
              </w:drawing>
            </w:r>
          </w:p>
        </w:tc>
        <w:tc>
          <w:tcPr>
            <w:tcW w:w="406" w:type="dxa"/>
          </w:tcPr>
          <w:p>
            <w:pPr>
              <w:pStyle w:val="P13"/>
            </w:pPr>
          </w:p>
        </w:tc>
        <w:tc>
          <w:tcPr>
            <w:tcW w:w="5978" w:type="dxa"/>
          </w:tcPr>
          <w:p>
            <w:pPr>
              <w:pStyle w:val="P13"/>
              <w:rPr>
                <w:i w:val="1"/>
                <w:iCs w:val="0"/>
              </w:rPr>
            </w:pPr>
            <w:r>
              <w:rPr>
                <w:i w:val="1"/>
                <w:iCs w:val="0"/>
              </w:rPr>
              <w:t>Högsta nockhöjd är 21 meter över angivet nollplan</w:t>
            </w:r>
          </w:p>
          <w:p>
            <w:pPr>
              <w:pStyle w:val="P13"/>
            </w:pPr>
            <w:r>
              <w:t>En nockhöjd om 21 meter ovan nollplanet RH 2000 möjliggör verksamheter med höga krav på takhöjd som trampolinparker, höglager eller verksamheter med måttliga krav på takhöjd i flera plan som handel eller djursjukhus.</w:t>
            </w:r>
          </w:p>
          <w:p>
            <w:pPr>
              <w:pStyle w:val="P13"/>
              <w:rPr>
                <w:i w:val="1"/>
                <w:iCs w:val="0"/>
              </w:rPr>
            </w:pPr>
          </w:p>
        </w:tc>
      </w:tr>
      <w:tr>
        <w:tc>
          <w:tcPr>
            <w:tcW w:w="1134" w:type="dxa"/>
          </w:tcPr>
          <w:p>
            <w:pPr>
              <w:pStyle w:val="P13"/>
            </w:pPr>
            <w:r>
              <w:drawing>
                <wp:inline xmlns:wp="http://schemas.openxmlformats.org/drawingml/2006/wordprocessingDrawing" distT="0" distB="0" distL="0" distR="0">
                  <wp:extent cx="582930" cy="288925"/>
                  <wp:effectExtent l="0" t="0" r="7620" b="0"/>
                  <wp:docPr id="381050924" name="Bildobjekt 381050924" descr="P554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050924" name="Bildobjekt 381050924" descr="P554C7T4#yIS1"/>
                          <pic:cNvPicPr/>
                        </pic:nvPicPr>
                        <pic:blipFill dpi="0">
                          <a:blip xmlns:r="http://schemas.openxmlformats.org/officeDocument/2006/relationships" r:embed="Relimage27" cstate="print"/>
                          <a:srcRect/>
                          <a:stretch>
                            <a:fillRect/>
                          </a:stretch>
                        </pic:blipFill>
                        <pic:spPr>
                          <a:xfrm>
                            <a:off x="0" y="0"/>
                            <a:ext cx="582930" cy="288925"/>
                          </a:xfrm>
                          <a:prstGeom prst="rect"/>
                        </pic:spPr>
                      </pic:pic>
                    </a:graphicData>
                  </a:graphic>
                </wp:inline>
              </w:drawing>
            </w:r>
          </w:p>
        </w:tc>
        <w:tc>
          <w:tcPr>
            <w:tcW w:w="406" w:type="dxa"/>
          </w:tcPr>
          <w:p>
            <w:pPr>
              <w:pStyle w:val="P13"/>
            </w:pPr>
          </w:p>
        </w:tc>
        <w:tc>
          <w:tcPr>
            <w:tcW w:w="5978" w:type="dxa"/>
          </w:tcPr>
          <w:p>
            <w:pPr>
              <w:pStyle w:val="P13"/>
              <w:rPr>
                <w:i w:val="1"/>
                <w:iCs w:val="0"/>
              </w:rPr>
            </w:pPr>
            <w:r>
              <w:rPr>
                <w:i w:val="1"/>
                <w:iCs w:val="0"/>
              </w:rPr>
              <w:t>Markreservat för allmännyttiga underjordiska ledningar.</w:t>
            </w:r>
          </w:p>
          <w:p>
            <w:pPr>
              <w:pStyle w:val="P13"/>
            </w:pPr>
            <w:r>
              <w:t>Två väst-östliga markreservat skapas för att säkra ledningsrätter för ledningar som idag är oskyddade och möjliggöra framtida etableringar. Ett reservat föreslås i norra delen av planområdet och ett i planområdets mitt.</w:t>
            </w:r>
          </w:p>
          <w:p>
            <w:pPr>
              <w:pStyle w:val="P13"/>
              <w:rPr>
                <w:i w:val="1"/>
                <w:iCs w:val="0"/>
              </w:rPr>
            </w:pPr>
          </w:p>
        </w:tc>
      </w:tr>
      <w:tr>
        <w:tc>
          <w:tcPr>
            <w:tcW w:w="1134" w:type="dxa"/>
          </w:tcPr>
          <w:p>
            <w:pPr>
              <w:pStyle w:val="P13"/>
            </w:pPr>
            <w:r>
              <w:drawing>
                <wp:inline xmlns:wp="http://schemas.openxmlformats.org/drawingml/2006/wordprocessingDrawing" distT="0" distB="0" distL="0" distR="0">
                  <wp:extent cx="582930" cy="305435"/>
                  <wp:effectExtent l="0" t="0" r="7620" b="0"/>
                  <wp:docPr id="832550153" name="Bildobjekt 832550153" descr="P560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50153" name="Bildobjekt 832550153" descr="P560C10T4#yIS1"/>
                          <pic:cNvPicPr/>
                        </pic:nvPicPr>
                        <pic:blipFill dpi="0">
                          <a:blip xmlns:r="http://schemas.openxmlformats.org/officeDocument/2006/relationships" r:embed="Relimage28" cstate="print"/>
                          <a:srcRect/>
                          <a:stretch>
                            <a:fillRect/>
                          </a:stretch>
                        </pic:blipFill>
                        <pic:spPr>
                          <a:xfrm>
                            <a:off x="0" y="0"/>
                            <a:ext cx="582930" cy="305435"/>
                          </a:xfrm>
                          <a:prstGeom prst="rect"/>
                        </pic:spPr>
                      </pic:pic>
                    </a:graphicData>
                  </a:graphic>
                </wp:inline>
              </w:drawing>
            </w:r>
          </w:p>
        </w:tc>
        <w:tc>
          <w:tcPr>
            <w:tcW w:w="406" w:type="dxa"/>
          </w:tcPr>
          <w:p>
            <w:pPr>
              <w:pStyle w:val="P13"/>
            </w:pPr>
          </w:p>
        </w:tc>
        <w:tc>
          <w:tcPr>
            <w:tcW w:w="5978" w:type="dxa"/>
          </w:tcPr>
          <w:p>
            <w:pPr>
              <w:pStyle w:val="P13"/>
              <w:rPr>
                <w:i w:val="1"/>
                <w:iCs w:val="0"/>
              </w:rPr>
            </w:pPr>
            <w:r>
              <w:rPr>
                <w:i w:val="1"/>
                <w:iCs w:val="0"/>
              </w:rPr>
              <w:t>Minst 20% av markytan inom användningsområdet ska utformas genomsläpplig för infiltration av dagvatten och får inte hårdgöras med annat än gräsarmerad betong eller annan genomsläpplig markbeläggning.</w:t>
            </w:r>
          </w:p>
          <w:p>
            <w:pPr>
              <w:pStyle w:val="P13"/>
            </w:pPr>
            <w:r>
              <w:t>Förbättrar förutsättningarna för dagvattnet att infiltreras inom planområdet. Parkeringsplatser som utförs gräsarmerade eller på annat sätt infiltrerande kan borträknas från kravet om oljeavskiljare för avgående dagvatten enligt kommunens policy för oljeavskiljare.</w:t>
            </w:r>
          </w:p>
          <w:p>
            <w:pPr>
              <w:pStyle w:val="P13"/>
              <w:rPr>
                <w:i w:val="1"/>
                <w:iCs w:val="0"/>
              </w:rPr>
            </w:pPr>
          </w:p>
        </w:tc>
      </w:tr>
      <w:tr>
        <w:tc>
          <w:tcPr>
            <w:tcW w:w="1134" w:type="dxa"/>
          </w:tcPr>
          <w:p>
            <w:pPr>
              <w:pStyle w:val="P13"/>
            </w:pPr>
            <w:r>
              <w:drawing>
                <wp:inline xmlns:wp="http://schemas.openxmlformats.org/drawingml/2006/wordprocessingDrawing" distT="0" distB="0" distL="0" distR="0">
                  <wp:extent cx="582930" cy="295275"/>
                  <wp:effectExtent l="0" t="0" r="7620" b="9525"/>
                  <wp:docPr id="284004095" name="Bildobjekt 284004095" descr="P566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04095" name="Bildobjekt 284004095" descr="P566C13T4#yIS1"/>
                          <pic:cNvPicPr/>
                        </pic:nvPicPr>
                        <pic:blipFill dpi="0">
                          <a:blip xmlns:r="http://schemas.openxmlformats.org/officeDocument/2006/relationships" r:embed="Relimage29" cstate="print"/>
                          <a:srcRect/>
                          <a:stretch>
                            <a:fillRect/>
                          </a:stretch>
                        </pic:blipFill>
                        <pic:spPr>
                          <a:xfrm>
                            <a:off x="0" y="0"/>
                            <a:ext cx="582930" cy="295275"/>
                          </a:xfrm>
                          <a:prstGeom prst="rect"/>
                        </pic:spPr>
                      </pic:pic>
                    </a:graphicData>
                  </a:graphic>
                </wp:inline>
              </w:drawing>
            </w:r>
          </w:p>
        </w:tc>
        <w:tc>
          <w:tcPr>
            <w:tcW w:w="406" w:type="dxa"/>
          </w:tcPr>
          <w:p>
            <w:pPr>
              <w:pStyle w:val="P13"/>
            </w:pPr>
          </w:p>
        </w:tc>
        <w:tc>
          <w:tcPr>
            <w:tcW w:w="5978" w:type="dxa"/>
          </w:tcPr>
          <w:p>
            <w:pPr>
              <w:pStyle w:val="P13"/>
              <w:rPr>
                <w:i w:val="1"/>
                <w:iCs w:val="0"/>
              </w:rPr>
            </w:pPr>
            <w:r>
              <w:rPr>
                <w:i w:val="1"/>
                <w:iCs w:val="0"/>
              </w:rPr>
              <w:t>Största byggnadsarea är 50 % av fastighetsarean inom användningsområdet.</w:t>
            </w:r>
          </w:p>
          <w:p>
            <w:pPr>
              <w:pStyle w:val="P13"/>
            </w:pPr>
            <w:r>
              <w:t>Begränsar byggnation till lämplig exploateringsgrad med hänsyn till planens syfte.</w:t>
            </w:r>
          </w:p>
          <w:p>
            <w:pPr>
              <w:pStyle w:val="P13"/>
            </w:pPr>
          </w:p>
        </w:tc>
      </w:tr>
      <w:tr>
        <w:tc>
          <w:tcPr>
            <w:tcW w:w="1134" w:type="dxa"/>
          </w:tcPr>
          <w:p>
            <w:pPr>
              <w:pStyle w:val="P13"/>
            </w:pPr>
            <w:r>
              <w:rPr>
                <w:i w:val="1"/>
                <w:iCs w:val="0"/>
              </w:rPr>
              <w:drawing>
                <wp:anchor xmlns:wp="http://schemas.openxmlformats.org/drawingml/2006/wordprocessingDrawing" distT="0" distB="0" distL="114300" distR="114300" simplePos="0" relativeHeight="251658243" behindDoc="1" locked="0" layoutInCell="1" allowOverlap="1">
                  <wp:simplePos x="0" y="0"/>
                  <wp:positionH relativeFrom="column">
                    <wp:posOffset>22860</wp:posOffset>
                  </wp:positionH>
                  <wp:positionV relativeFrom="paragraph">
                    <wp:posOffset>19050</wp:posOffset>
                  </wp:positionV>
                  <wp:extent cx="580390" cy="294005"/>
                  <wp:effectExtent l="0" t="0" r="0" b="0"/>
                  <wp:wrapTight wrapText="bothSides">
                    <wp:wrapPolygon edited="0">
                      <wp:start x="0" y="0"/>
                      <wp:lineTo x="0" y="19594"/>
                      <wp:lineTo x="20560" y="19594"/>
                      <wp:lineTo x="20560" y="0"/>
                      <wp:lineTo x="0" y="0"/>
                    </wp:wrapPolygon>
                  </wp:wrapTight>
                  <wp:docPr id="19" name="Bildobjekt 19" descr="P572C16T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P572C16T4#y1"/>
                          <pic:cNvPicPr>
                            <a:picLocks noChangeAspect="1" noChangeArrowheads="1"/>
                          </pic:cNvPicPr>
                        </pic:nvPicPr>
                        <pic:blipFill dpi="0">
                          <a:blip xmlns:r="http://schemas.openxmlformats.org/officeDocument/2006/relationships" r:embed="Relimage30" cstate="print"/>
                          <a:srcRect/>
                          <a:stretch>
                            <a:fillRect/>
                          </a:stretch>
                        </pic:blipFill>
                        <pic:spPr bwMode="auto">
                          <a:xfrm>
                            <a:off x="0" y="0"/>
                            <a:ext cx="580390" cy="294005"/>
                          </a:xfrm>
                          <a:prstGeom prst="rect"/>
                          <a:noFill/>
                          <a:ln>
                            <a:noFill/>
                          </a:ln>
                        </pic:spPr>
                      </pic:pic>
                    </a:graphicData>
                  </a:graphic>
                </wp:anchor>
              </w:drawing>
            </w:r>
            <w:r>
              <w:t xml:space="preserve">     </w:t>
            </w:r>
          </w:p>
        </w:tc>
        <w:tc>
          <w:tcPr>
            <w:tcW w:w="406" w:type="dxa"/>
          </w:tcPr>
          <w:p>
            <w:pPr>
              <w:pStyle w:val="P13"/>
            </w:pPr>
          </w:p>
        </w:tc>
        <w:tc>
          <w:tcPr>
            <w:tcW w:w="5978" w:type="dxa"/>
          </w:tcPr>
          <w:p>
            <w:pPr>
              <w:pStyle w:val="P13"/>
              <w:rPr>
                <w:i w:val="1"/>
                <w:iCs w:val="0"/>
              </w:rPr>
            </w:pPr>
            <w:r>
              <w:rPr>
                <w:i w:val="1"/>
                <w:iCs w:val="0"/>
              </w:rPr>
              <w:t xml:space="preserve">Markreservat för gemensamhetsanläggning </w:t>
            </w:r>
          </w:p>
          <w:p>
            <w:pPr>
              <w:pStyle w:val="P13"/>
            </w:pPr>
            <w:r>
              <w:t xml:space="preserve">För att säkerställa möjligheten till in- och utfarter till Alhagen 1 och Bilen 3. </w:t>
            </w:r>
          </w:p>
          <w:p>
            <w:pPr>
              <w:pStyle w:val="P13"/>
            </w:pPr>
          </w:p>
        </w:tc>
      </w:tr>
    </w:tbl>
    <w:p>
      <w:pPr>
        <w:pStyle w:val="P13"/>
      </w:pPr>
      <w:bookmarkEnd w:id="224"/>
    </w:p>
    <w:p>
      <w:pPr>
        <w:pStyle w:val="P1"/>
      </w:pPr>
      <w:bookmarkStart w:id="245" w:name="_Toc119320354"/>
      <w:bookmarkStart w:id="246" w:name="_Toc165276772"/>
      <w:bookmarkStart w:id="247" w:name="gf_förklarande01"/>
      <w:r>
        <w:t>Genomförandefrågor</w:t>
      </w:r>
      <w:bookmarkEnd w:id="245"/>
      <w:bookmarkEnd w:id="246"/>
    </w:p>
    <w:p>
      <w:pPr>
        <w:pStyle w:val="P13"/>
      </w:pPr>
      <w:r>
        <w:t>I planbeskrivningen ska kommunen redovisa de organisatoriska, tekniska, ekonomiska och fastighetsrättsliga åtgärder som behövs för att planen ska kunna genomföras på ett samordnat och ändamålsenligt sätt. Det ska förutom en beskrivning av hur genomförandet ska gå till även framgå vilka konsekvenser som detaljplanens genomförande medför för de berörda fastighetsägarna och andra som berörs av planen.</w:t>
      </w:r>
    </w:p>
    <w:p>
      <w:pPr>
        <w:pStyle w:val="P2"/>
      </w:pPr>
      <w:bookmarkEnd w:id="247"/>
      <w:bookmarkStart w:id="248" w:name="_Toc89446144"/>
      <w:bookmarkStart w:id="249" w:name="_Toc108183052"/>
      <w:bookmarkStart w:id="250" w:name="_Toc165276773"/>
      <w:bookmarkStart w:id="251" w:name="_Toc119320360"/>
      <w:bookmarkStart w:id="252" w:name="gf_fastighetsrättsligafrågor02"/>
      <w:r>
        <w:t>Fastighetsrättsliga frågor</w:t>
      </w:r>
      <w:bookmarkEnd w:id="248"/>
      <w:bookmarkEnd w:id="249"/>
      <w:bookmarkEnd w:id="250"/>
      <w:bookmarkEnd w:id="251"/>
    </w:p>
    <w:p>
      <w:pPr>
        <w:pStyle w:val="P13"/>
      </w:pPr>
      <w:bookmarkStart w:id="253" w:name="gf_fastighetsrättsligafrågor01"/>
      <w:r>
        <w:t>De fastighetsrättsliga ändringarna beskrivs per fastighet och rättighet. Förändringarna framgår av tabell och karta nedan.</w:t>
      </w:r>
    </w:p>
    <w:p>
      <w:pPr>
        <w:pStyle w:val="P13"/>
      </w:pPr>
    </w:p>
    <w:p>
      <w:pPr>
        <w:pStyle w:val="P13"/>
      </w:pPr>
    </w:p>
    <w:tbl>
      <w:tblPr>
        <w:tblStyle w:val="T2"/>
        <w:tblW w:w="7371" w:type="dxa"/>
        <w:tblInd w:w="108" w:type="dxa"/>
        <w:tblLook w:val="04A0"/>
      </w:tblPr>
      <w:tblGrid/>
      <w:tr>
        <w:tc>
          <w:tcPr>
            <w:tcW w:w="2127" w:type="dxa"/>
            <w:shd w:val="clear" w:color="auto" w:fill="808080" w:themeFill="background2"/>
          </w:tcPr>
          <w:p>
            <w:pPr>
              <w:pStyle w:val="P13"/>
              <w:spacing w:after="60" w:beforeAutospacing="0" w:afterAutospacing="0"/>
              <w:ind w:left="34"/>
              <w:jc w:val="center"/>
              <w:rPr>
                <w:rFonts w:ascii="Garamond" w:hAnsi="Garamond"/>
                <w:b w:val="1"/>
              </w:rPr>
            </w:pPr>
            <w:bookmarkStart w:id="254" w:name="_Toc340134843" w:colFirst="0" w:colLast="1"/>
            <w:bookmarkStart w:id="255" w:name="_Toc341698647" w:colFirst="0" w:colLast="1"/>
            <w:r>
              <w:rPr>
                <w:rFonts w:ascii="Garamond" w:hAnsi="Garamond"/>
                <w:b w:val="1"/>
              </w:rPr>
              <w:t>Fastighet</w:t>
            </w:r>
          </w:p>
        </w:tc>
        <w:tc>
          <w:tcPr>
            <w:tcW w:w="5244" w:type="dxa"/>
            <w:shd w:val="clear" w:color="auto" w:fill="808080" w:themeFill="background2"/>
          </w:tcPr>
          <w:p>
            <w:pPr>
              <w:pStyle w:val="P13"/>
              <w:ind w:left="34"/>
              <w:jc w:val="center"/>
              <w:rPr>
                <w:rFonts w:ascii="Garamond" w:hAnsi="Garamond"/>
                <w:b w:val="1"/>
              </w:rPr>
            </w:pPr>
            <w:r>
              <w:rPr>
                <w:rFonts w:ascii="Garamond" w:hAnsi="Garamond"/>
                <w:b w:val="1"/>
              </w:rPr>
              <w:t>Fastighetsrättsliga konsekvenser</w:t>
            </w:r>
          </w:p>
        </w:tc>
      </w:tr>
      <w:tr>
        <w:tc>
          <w:tcPr>
            <w:tcW w:w="2127" w:type="dxa"/>
          </w:tcPr>
          <w:p>
            <w:pPr>
              <w:pStyle w:val="P13"/>
              <w:spacing w:before="60" w:beforeAutospacing="0" w:afterAutospacing="0"/>
              <w:ind w:left="34"/>
              <w:rPr>
                <w:rFonts w:ascii="Garamond" w:hAnsi="Garamond"/>
              </w:rPr>
            </w:pPr>
            <w:r>
              <w:rPr>
                <w:rFonts w:ascii="Garamond" w:hAnsi="Garamond"/>
              </w:rPr>
              <w:t>Bilen 3</w:t>
            </w:r>
          </w:p>
        </w:tc>
        <w:tc>
          <w:tcPr>
            <w:tcW w:w="5244" w:type="dxa"/>
          </w:tcPr>
          <w:p>
            <w:pPr>
              <w:pStyle w:val="P13"/>
              <w:spacing w:before="60" w:beforeAutospacing="0" w:afterAutospacing="0"/>
              <w:rPr>
                <w:rFonts w:ascii="Garamond" w:hAnsi="Garamond"/>
                <w:sz w:val="22"/>
                <w:szCs w:val="22"/>
              </w:rPr>
            </w:pPr>
            <w:r>
              <w:rPr>
                <w:rFonts w:ascii="Garamond" w:hAnsi="Garamond"/>
                <w:sz w:val="22"/>
                <w:szCs w:val="22"/>
              </w:rPr>
              <w:t>Från Bilen 3 ska område 4 överföras till Alhagen 1.</w:t>
            </w:r>
          </w:p>
          <w:p>
            <w:pPr>
              <w:pStyle w:val="P13"/>
              <w:spacing w:after="60" w:beforeAutospacing="0" w:afterAutospacing="0"/>
              <w:rPr>
                <w:rFonts w:ascii="Garamond" w:hAnsi="Garamond"/>
                <w:sz w:val="22"/>
                <w:szCs w:val="22"/>
              </w:rPr>
            </w:pPr>
            <w:r>
              <w:rPr>
                <w:rFonts w:ascii="Garamond" w:hAnsi="Garamond"/>
                <w:sz w:val="22"/>
                <w:szCs w:val="22"/>
              </w:rPr>
              <w:t>Till Bilen 3 ska område 6 överföras från Alhagen 1.</w:t>
            </w:r>
          </w:p>
        </w:tc>
      </w:tr>
      <w:tr>
        <w:tc>
          <w:tcPr>
            <w:tcW w:w="2127" w:type="dxa"/>
          </w:tcPr>
          <w:p>
            <w:pPr>
              <w:pStyle w:val="P13"/>
              <w:spacing w:before="60" w:beforeAutospacing="0" w:afterAutospacing="0"/>
              <w:ind w:left="34"/>
              <w:rPr>
                <w:rFonts w:ascii="Garamond" w:hAnsi="Garamond"/>
              </w:rPr>
            </w:pPr>
            <w:r>
              <w:rPr>
                <w:rFonts w:ascii="Garamond" w:hAnsi="Garamond"/>
              </w:rPr>
              <w:t>Alhagen 3</w:t>
            </w:r>
          </w:p>
        </w:tc>
        <w:tc>
          <w:tcPr>
            <w:tcW w:w="5244" w:type="dxa"/>
          </w:tcPr>
          <w:p>
            <w:pPr>
              <w:pStyle w:val="P13"/>
              <w:spacing w:before="60" w:after="60" w:beforeAutospacing="0" w:afterAutospacing="0"/>
              <w:rPr>
                <w:rFonts w:ascii="Garamond" w:hAnsi="Garamond"/>
                <w:sz w:val="22"/>
                <w:szCs w:val="22"/>
              </w:rPr>
            </w:pPr>
            <w:r>
              <w:rPr>
                <w:rFonts w:ascii="Garamond" w:hAnsi="Garamond"/>
                <w:sz w:val="22"/>
                <w:szCs w:val="22"/>
              </w:rPr>
              <w:t>På g-område inom figur 1 ska gemensamhetsanläggning för in- och utfartsväg bildas.</w:t>
            </w:r>
          </w:p>
        </w:tc>
      </w:tr>
      <w:tr>
        <w:tc>
          <w:tcPr>
            <w:tcW w:w="2127" w:type="dxa"/>
          </w:tcPr>
          <w:p>
            <w:pPr>
              <w:pStyle w:val="P13"/>
              <w:spacing w:before="60" w:beforeAutospacing="0" w:afterAutospacing="0"/>
              <w:ind w:left="34"/>
              <w:rPr>
                <w:rFonts w:ascii="Garamond" w:hAnsi="Garamond"/>
              </w:rPr>
            </w:pPr>
            <w:r>
              <w:rPr>
                <w:rFonts w:ascii="Garamond" w:hAnsi="Garamond"/>
              </w:rPr>
              <w:t>Alhagen 1</w:t>
            </w:r>
          </w:p>
        </w:tc>
        <w:tc>
          <w:tcPr>
            <w:tcW w:w="5244" w:type="dxa"/>
          </w:tcPr>
          <w:p>
            <w:pPr>
              <w:pStyle w:val="P13"/>
              <w:spacing w:before="60" w:beforeAutospacing="0" w:afterAutospacing="0"/>
              <w:rPr>
                <w:rFonts w:ascii="Garamond" w:hAnsi="Garamond"/>
                <w:sz w:val="22"/>
                <w:szCs w:val="22"/>
              </w:rPr>
            </w:pPr>
            <w:r>
              <w:rPr>
                <w:rFonts w:ascii="Garamond" w:hAnsi="Garamond"/>
                <w:sz w:val="22"/>
                <w:szCs w:val="22"/>
              </w:rPr>
              <w:t>Till Alhagen 1 ska område 4 överföras från Bilen 3.</w:t>
            </w:r>
          </w:p>
          <w:p>
            <w:pPr>
              <w:pStyle w:val="P13"/>
              <w:rPr>
                <w:rFonts w:ascii="Garamond" w:hAnsi="Garamond"/>
                <w:sz w:val="22"/>
                <w:szCs w:val="22"/>
              </w:rPr>
            </w:pPr>
            <w:r>
              <w:rPr>
                <w:rFonts w:ascii="Garamond" w:hAnsi="Garamond"/>
                <w:sz w:val="22"/>
                <w:szCs w:val="22"/>
              </w:rPr>
              <w:t>Från Alhagen 1 ska område 6 överföras till Bilen 3.</w:t>
            </w:r>
          </w:p>
          <w:p>
            <w:pPr>
              <w:pStyle w:val="P13"/>
              <w:rPr>
                <w:rFonts w:ascii="Garamond" w:hAnsi="Garamond"/>
                <w:sz w:val="22"/>
                <w:szCs w:val="22"/>
              </w:rPr>
            </w:pPr>
            <w:r>
              <w:rPr>
                <w:rFonts w:ascii="Garamond" w:hAnsi="Garamond"/>
                <w:sz w:val="22"/>
                <w:szCs w:val="22"/>
              </w:rPr>
              <w:t>Från Alhagen 1 kan område 4, 7, 8 och 9 avstyckas till flera fastigheter.</w:t>
            </w:r>
          </w:p>
          <w:p>
            <w:pPr>
              <w:pStyle w:val="P13"/>
              <w:spacing w:after="60" w:beforeAutospacing="0" w:afterAutospacing="0"/>
              <w:rPr>
                <w:rFonts w:ascii="Garamond" w:hAnsi="Garamond"/>
                <w:sz w:val="22"/>
                <w:szCs w:val="22"/>
              </w:rPr>
            </w:pPr>
            <w:r>
              <w:rPr>
                <w:rFonts w:ascii="Garamond" w:hAnsi="Garamond"/>
                <w:sz w:val="22"/>
                <w:szCs w:val="22"/>
              </w:rPr>
              <w:t>Nya ledningsrätter ska bildas för u-områden inom Alhagen 1 eller dess blivande styckningslotter.</w:t>
            </w:r>
          </w:p>
          <w:p>
            <w:pPr>
              <w:pStyle w:val="P13"/>
              <w:spacing w:after="60" w:beforeAutospacing="0" w:afterAutospacing="0"/>
              <w:rPr>
                <w:sz w:val="22"/>
                <w:szCs w:val="22"/>
              </w:rPr>
            </w:pPr>
            <w:r>
              <w:rPr>
                <w:rFonts w:ascii="Garamond" w:hAnsi="Garamond"/>
                <w:sz w:val="22"/>
                <w:szCs w:val="22"/>
              </w:rPr>
              <w:t>På g-område inom figur 9 ska gemensamhetsanläggning för in- och utfartsväg bildas.</w:t>
            </w:r>
          </w:p>
        </w:tc>
      </w:tr>
    </w:tbl>
    <w:p>
      <w:pPr>
        <w:pStyle w:val="P13"/>
      </w:pPr>
      <w:bookmarkEnd w:id="254"/>
      <w:bookmarkEnd w:id="255"/>
    </w:p>
    <w:p>
      <w:pPr>
        <w:pStyle w:val="P13"/>
      </w:pPr>
    </w:p>
    <w:p>
      <w:pPr>
        <w:pStyle w:val="P13"/>
      </w:pPr>
      <w:r>
        <w:drawing>
          <wp:inline xmlns:wp="http://schemas.openxmlformats.org/drawingml/2006/wordprocessingDrawing" distT="0" distB="0" distL="0" distR="0">
            <wp:extent cx="4679950" cy="6619875"/>
            <wp:effectExtent l="0" t="0" r="6350" b="9525"/>
            <wp:docPr id="1" name="Bildobjekt 1" descr="P60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P609#yIS1"/>
                    <pic:cNvPicPr/>
                  </pic:nvPicPr>
                  <pic:blipFill dpi="0">
                    <a:blip xmlns:r="http://schemas.openxmlformats.org/officeDocument/2006/relationships" r:embed="Relimage31"/>
                    <a:srcRect/>
                    <a:stretch>
                      <a:fillRect/>
                    </a:stretch>
                  </pic:blipFill>
                  <pic:spPr>
                    <a:xfrm>
                      <a:off x="0" y="0"/>
                      <a:ext cx="4679950" cy="6619875"/>
                    </a:xfrm>
                    <a:prstGeom prst="rect"/>
                  </pic:spPr>
                </pic:pic>
              </a:graphicData>
            </a:graphic>
          </wp:inline>
        </w:drawing>
      </w:r>
    </w:p>
    <w:p>
      <w:pPr>
        <w:pStyle w:val="P13"/>
        <w:rPr>
          <w:color w:val="FF0000"/>
        </w:rPr>
      </w:pPr>
      <w:r>
        <w:drawing>
          <wp:inline xmlns:wp="http://schemas.openxmlformats.org/drawingml/2006/wordprocessingDrawing" distT="0" distB="0" distL="0" distR="0">
            <wp:extent cx="4679950" cy="1447165"/>
            <wp:effectExtent l="0" t="0" r="6350" b="635"/>
            <wp:docPr id="4" name="Bildobjekt 4" descr="P6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P610#yIS1"/>
                    <pic:cNvPicPr/>
                  </pic:nvPicPr>
                  <pic:blipFill dpi="0">
                    <a:blip xmlns:r="http://schemas.openxmlformats.org/officeDocument/2006/relationships" r:embed="Relimage32"/>
                    <a:srcRect/>
                    <a:stretch>
                      <a:fillRect/>
                    </a:stretch>
                  </pic:blipFill>
                  <pic:spPr>
                    <a:xfrm>
                      <a:off x="0" y="0"/>
                      <a:ext cx="4679950" cy="1447165"/>
                    </a:xfrm>
                    <a:prstGeom prst="rect"/>
                  </pic:spPr>
                </pic:pic>
              </a:graphicData>
            </a:graphic>
          </wp:inline>
        </w:drawing>
      </w:r>
      <w:r>
        <w:rPr>
          <w:color w:val="FF0000"/>
        </w:rPr>
        <w:t xml:space="preserve"> </w:t>
      </w:r>
    </w:p>
    <w:p>
      <w:pPr>
        <w:pStyle w:val="P13"/>
      </w:pPr>
    </w:p>
    <w:p>
      <w:pPr>
        <w:pStyle w:val="P13"/>
      </w:pPr>
      <w:r>
        <w:t>Fastighetsregleringarna genomförs i första hand med överenskommelse om fastighetsreglering mellan fastighetsägarna som grund. Detsamma gäller inrättande av gemensamhetsanläggningar. Ansökan om lantmäteriförrättning görs hos Lantmäterimyndigheten i Kalmar kommun.</w:t>
      </w:r>
    </w:p>
    <w:p>
      <w:pPr>
        <w:pStyle w:val="P13"/>
      </w:pPr>
      <w:bookmarkEnd w:id="252"/>
    </w:p>
    <w:p>
      <w:pPr>
        <w:pStyle w:val="P3"/>
      </w:pPr>
      <w:bookmarkEnd w:id="253"/>
      <w:bookmarkStart w:id="256" w:name="_Toc89446145"/>
      <w:bookmarkStart w:id="257" w:name="_Toc165276774"/>
      <w:bookmarkStart w:id="258" w:name="_Toc108183053"/>
      <w:bookmarkStart w:id="259" w:name="_Toc119320361"/>
      <w:bookmarkStart w:id="260" w:name="gf_fastighetsindelningsbestämmelser02"/>
      <w:r>
        <w:t>Fastighetsindelningsbestämmelser</w:t>
      </w:r>
      <w:bookmarkEnd w:id="256"/>
      <w:bookmarkEnd w:id="257"/>
      <w:bookmarkEnd w:id="258"/>
      <w:bookmarkEnd w:id="259"/>
    </w:p>
    <w:p>
      <w:pPr>
        <w:pStyle w:val="P13"/>
      </w:pPr>
      <w:r>
        <w:t>Kommunen bedömer att det inte krävs fastighetsindelningsbestämmelser för att kunna genomföra detaljplanen. Om behov uppstår, kan fastighetsindelningsbestämmelser införas senare genom ändring av detaljplan.</w:t>
      </w:r>
      <w:bookmarkEnd w:id="260"/>
      <w:bookmarkStart w:id="261" w:name="gf_förändradfastighetsindelning01"/>
    </w:p>
    <w:p>
      <w:pPr>
        <w:pStyle w:val="P13"/>
      </w:pPr>
    </w:p>
    <w:p>
      <w:pPr>
        <w:pStyle w:val="P3"/>
      </w:pPr>
      <w:bookmarkStart w:id="262" w:name="_Toc165276775"/>
      <w:bookmarkStart w:id="263" w:name="gf_gemensamhetsanläggningmedmera01"/>
      <w:r>
        <w:t>Gemensamhetsanläggning</w:t>
      </w:r>
      <w:bookmarkEnd w:id="262"/>
    </w:p>
    <w:p>
      <w:pPr>
        <w:pStyle w:val="P13"/>
      </w:pPr>
      <w:r>
        <w:t>Nya gemensamhetsanläggningar för in- och utfarter behöver bildas för att säkerställa tillgång till handelsområdet i Alhagen 1 och Bilen 3. En gemensamhetsanläggning ska förläggas norrut över Alhagen 3 då varutransporter måste använda denna väg. De passager som kommer att krävas över nuvarande Bilen 3 kommer att hanteras genom att berörd mark överlåts till Alhagen 1. Detaljer för marköverlåtelserna kommer att specificeras i ett exploateringsavtal enligt rubrik 5.4.1.</w:t>
      </w:r>
    </w:p>
    <w:p>
      <w:pPr>
        <w:pStyle w:val="P13"/>
      </w:pPr>
    </w:p>
    <w:p>
      <w:pPr>
        <w:pStyle w:val="P13"/>
      </w:pPr>
      <w:r>
        <w:t xml:space="preserve">Den andra gemensamhetsanläggningen är för att säkerställa in- och utfart för personal och kunder mellan den blivande norra fastigheten och Ölandsleden. </w:t>
      </w:r>
    </w:p>
    <w:p>
      <w:pPr>
        <w:pStyle w:val="P13"/>
      </w:pPr>
    </w:p>
    <w:p>
      <w:pPr>
        <w:pStyle w:val="P13"/>
      </w:pPr>
      <w:r>
        <w:drawing>
          <wp:anchor xmlns:wp="http://schemas.openxmlformats.org/drawingml/2006/wordprocessingDrawing" distT="0" distB="0" distL="114300" distR="114300" simplePos="0" relativeHeight="251658244" behindDoc="1" locked="0" layoutInCell="1" allowOverlap="1">
            <wp:simplePos x="0" y="0"/>
            <wp:positionH relativeFrom="margin">
              <wp:posOffset>2563495</wp:posOffset>
            </wp:positionH>
            <wp:positionV relativeFrom="paragraph">
              <wp:posOffset>1704975</wp:posOffset>
            </wp:positionV>
            <wp:extent cx="2056765" cy="2375535"/>
            <wp:effectExtent l="0" t="0" r="635" b="5715"/>
            <wp:wrapTight wrapText="bothSides">
              <wp:wrapPolygon edited="0">
                <wp:start x="0" y="0"/>
                <wp:lineTo x="0" y="21479"/>
                <wp:lineTo x="21407" y="21479"/>
                <wp:lineTo x="21407" y="0"/>
                <wp:lineTo x="0" y="0"/>
              </wp:wrapPolygon>
            </wp:wrapTight>
            <wp:docPr id="7" name="Bildobjekt 7" descr="P62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P622#y1"/>
                    <pic:cNvPicPr>
                      <a:picLocks noChangeAspect="1" noChangeArrowheads="1"/>
                    </pic:cNvPicPr>
                  </pic:nvPicPr>
                  <pic:blipFill dpi="0">
                    <a:blip xmlns:r="http://schemas.openxmlformats.org/officeDocument/2006/relationships" r:embed="Relimage33" cstate="print"/>
                    <a:srcRect l="45250" t="49572" r="14536" b="16764"/>
                    <a:stretch>
                      <a:fillRect/>
                    </a:stretch>
                  </pic:blipFill>
                  <pic:spPr bwMode="auto">
                    <a:xfrm>
                      <a:off x="0" y="0"/>
                      <a:ext cx="2056765" cy="2375535"/>
                    </a:xfrm>
                    <a:prstGeom prst="rect"/>
                    <a:noFill/>
                    <a:ln>
                      <a:noFill/>
                    </a:ln>
                  </pic:spPr>
                </pic:pic>
              </a:graphicData>
            </a:graphic>
          </wp:anchor>
        </w:drawing>
      </w:r>
      <w:r>
        <w:drawing>
          <wp:inline xmlns:wp="http://schemas.openxmlformats.org/drawingml/2006/wordprocessingDrawing" distT="0" distB="0" distL="0" distR="0">
            <wp:extent cx="2358390" cy="4107815"/>
            <wp:effectExtent l="0" t="0" r="3810" b="6985"/>
            <wp:docPr id="5" name="Bildobjekt 5" descr="P6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P622#yIS1"/>
                    <pic:cNvPicPr>
                      <a:picLocks noChangeAspect="1" noChangeArrowheads="1"/>
                    </pic:cNvPicPr>
                  </pic:nvPicPr>
                  <pic:blipFill dpi="0">
                    <a:blip xmlns:r="http://schemas.openxmlformats.org/officeDocument/2006/relationships" r:embed="Relimage34" cstate="print"/>
                    <a:srcRect l="5934" t="967" r="49855" b="43224"/>
                    <a:stretch>
                      <a:fillRect/>
                    </a:stretch>
                  </pic:blipFill>
                  <pic:spPr bwMode="auto">
                    <a:xfrm>
                      <a:off x="0" y="0"/>
                      <a:ext cx="2358390" cy="4107815"/>
                    </a:xfrm>
                    <a:prstGeom prst="rect"/>
                    <a:noFill/>
                    <a:ln>
                      <a:noFill/>
                    </a:ln>
                  </pic:spPr>
                </pic:pic>
              </a:graphicData>
            </a:graphic>
          </wp:inline>
        </w:drawing>
      </w:r>
    </w:p>
    <w:p>
      <w:pPr>
        <w:pStyle w:val="P15"/>
      </w:pPr>
      <w:r>
        <w:t>Illustration över vilka områden som behöver säkras via gemensamhetsanläggning. Fastigheten Alhagen markerat med Grönt, Bilen 3 är markerad med blått och Alhagen 3 med orange.</w:t>
      </w:r>
    </w:p>
    <w:p>
      <w:pPr>
        <w:pStyle w:val="P3"/>
      </w:pPr>
      <w:bookmarkEnd w:id="261"/>
      <w:bookmarkEnd w:id="263"/>
      <w:bookmarkStart w:id="264" w:name="_Toc89446147"/>
      <w:bookmarkStart w:id="265" w:name="_Toc165276776"/>
      <w:bookmarkStart w:id="266" w:name="_Toc108183055"/>
      <w:bookmarkStart w:id="267" w:name="_Toc119320363"/>
      <w:bookmarkStart w:id="268" w:name="gf_rättigheter02"/>
      <w:r>
        <w:t>Rättigheter</w:t>
      </w:r>
      <w:bookmarkEnd w:id="264"/>
      <w:bookmarkEnd w:id="265"/>
      <w:bookmarkEnd w:id="266"/>
      <w:bookmarkEnd w:id="267"/>
      <w:bookmarkStart w:id="269" w:name="gf_rättigheter01"/>
    </w:p>
    <w:p>
      <w:pPr>
        <w:pStyle w:val="P13"/>
      </w:pPr>
      <w:r>
        <w:t xml:space="preserve">U-områden skapas för att säkerställa utrymme för allmänna underjordiska ledningar. Inom områdena får varken byggnation ske eller plantering av sådant vars rötter kan komma att skada ledningarna. U-område har lagts in på plankartan, inom u-området kan ledningsrätt eller servitut bildas. Ledningsägarna ansvarar för att ansöka om ledningsrätt/servitut. </w:t>
      </w:r>
    </w:p>
    <w:p>
      <w:pPr>
        <w:pStyle w:val="P13"/>
        <w:rPr>
          <w:highlight w:val="cyan"/>
        </w:rPr>
      </w:pPr>
      <w:bookmarkEnd w:id="268"/>
    </w:p>
    <w:p>
      <w:pPr>
        <w:pStyle w:val="P2"/>
      </w:pPr>
      <w:bookmarkStart w:id="270" w:name="_Toc89446139"/>
      <w:bookmarkStart w:id="271" w:name="_Toc165276777"/>
      <w:bookmarkStart w:id="272" w:name="_Toc108183047"/>
      <w:bookmarkStart w:id="273" w:name="_Toc119320355"/>
      <w:bookmarkStart w:id="274" w:name="gf_markochutrymmesförvärv02"/>
      <w:r>
        <w:t>Mark- och utrymmesförvärv</w:t>
      </w:r>
      <w:bookmarkEnd w:id="270"/>
      <w:bookmarkEnd w:id="271"/>
      <w:bookmarkEnd w:id="272"/>
      <w:bookmarkEnd w:id="273"/>
    </w:p>
    <w:p>
      <w:pPr>
        <w:pStyle w:val="P13"/>
      </w:pPr>
      <w:bookmarkStart w:id="275" w:name="gf_markochutrymmesförvärv01"/>
      <w:r>
        <w:t>Kommunen avser att överföra del av kommunalt ägda Bilen 3 om cirka 547 kvm till den privat ägda Alhagen 1 genom fastighetsreglering. Samtidigt övergår cirka 45 kvm av Alhagen 1 till Bilen 3 och planläggs som natur.</w:t>
      </w:r>
    </w:p>
    <w:p>
      <w:pPr>
        <w:pStyle w:val="P13"/>
      </w:pPr>
    </w:p>
    <w:p>
      <w:pPr>
        <w:pStyle w:val="P13"/>
      </w:pPr>
      <w:r>
        <w:t>Kalmar Vatten förlägger ledningar i det norra U-området, som i sin helhet kommer att vara beläget inom fastigheten Alhagen 1 efter reglering, parallellt och intill den norra planområdesgränsen.</w:t>
      </w:r>
      <w:bookmarkEnd w:id="275"/>
    </w:p>
    <w:p>
      <w:pPr>
        <w:pStyle w:val="P13"/>
      </w:pPr>
    </w:p>
    <w:p>
      <w:pPr>
        <w:pStyle w:val="P13"/>
      </w:pPr>
      <w:r>
        <w:t xml:space="preserve">Kalmar Energi förlägger ledningar i U-området som ligger mitten av Alhagen 1. </w:t>
      </w:r>
    </w:p>
    <w:p>
      <w:pPr>
        <w:pStyle w:val="P2"/>
      </w:pPr>
      <w:bookmarkEnd w:id="269"/>
      <w:bookmarkEnd w:id="274"/>
      <w:bookmarkStart w:id="276" w:name="_Toc89446152"/>
      <w:bookmarkStart w:id="277" w:name="gf_ekonomiskafrågor02"/>
      <w:bookmarkStart w:id="278" w:name="_Toc165276778"/>
      <w:bookmarkStart w:id="279" w:name="_Toc108183060"/>
      <w:bookmarkStart w:id="280" w:name="_Toc119320368"/>
      <w:r>
        <w:t>Ekonomiska frågor</w:t>
      </w:r>
      <w:bookmarkEnd w:id="276"/>
      <w:bookmarkEnd w:id="277"/>
      <w:bookmarkEnd w:id="278"/>
      <w:bookmarkEnd w:id="279"/>
      <w:bookmarkEnd w:id="280"/>
      <w:bookmarkStart w:id="281" w:name="gf_ekonomiskafrågor01"/>
    </w:p>
    <w:p>
      <w:pPr>
        <w:pStyle w:val="P3"/>
      </w:pPr>
      <w:bookmarkEnd w:id="281"/>
      <w:bookmarkStart w:id="282" w:name="_Toc89446153"/>
      <w:bookmarkStart w:id="283" w:name="_Toc165276779"/>
      <w:bookmarkStart w:id="284" w:name="_Toc108183061"/>
      <w:bookmarkStart w:id="285" w:name="_Toc119320369"/>
      <w:bookmarkStart w:id="286" w:name="gf_planekonomiskbedömning02"/>
      <w:r>
        <w:t>Planekonomisk bedömning</w:t>
      </w:r>
      <w:bookmarkEnd w:id="282"/>
      <w:bookmarkEnd w:id="283"/>
      <w:bookmarkEnd w:id="284"/>
      <w:bookmarkEnd w:id="285"/>
      <w:bookmarkStart w:id="287" w:name="gf_planekonomiskbedömning01"/>
    </w:p>
    <w:p>
      <w:pPr>
        <w:pStyle w:val="P13"/>
      </w:pPr>
      <w:r>
        <w:t>Kommunen avser att teckna exploateringsavtal med ägaren till Alhagen 1. Avtalet tas upp för beslut i samband med att detaljplanen antas.</w:t>
      </w:r>
      <w:r>
        <w:rPr>
          <w:highlight w:val="yellow"/>
        </w:rPr>
        <w:t xml:space="preserve"> </w:t>
      </w:r>
    </w:p>
    <w:p>
      <w:pPr>
        <w:pStyle w:val="P13"/>
      </w:pPr>
      <w:bookmarkEnd w:id="286"/>
    </w:p>
    <w:p>
      <w:pPr>
        <w:pStyle w:val="P3"/>
      </w:pPr>
      <w:bookmarkStart w:id="288" w:name="_Toc165276780"/>
      <w:bookmarkStart w:id="289" w:name="gf_planekonomiskbedömning03"/>
      <w:r>
        <w:t>Ekonomiska konsekvenser för kommunen</w:t>
      </w:r>
      <w:bookmarkEnd w:id="288"/>
    </w:p>
    <w:p>
      <w:pPr>
        <w:pStyle w:val="P13"/>
      </w:pPr>
      <w:r>
        <w:t>Detaljplanens genomförande väntas ej medföra några ekonomiska kostnader för kommunen. Del av fastigheten Alhagen 1 som överlåts till kommunen enligt punkt 5.2, gör detta utan ersättning och blir naturmark.</w:t>
      </w:r>
    </w:p>
    <w:p>
      <w:pPr>
        <w:pStyle w:val="P13"/>
      </w:pPr>
    </w:p>
    <w:p>
      <w:pPr>
        <w:pStyle w:val="P13"/>
      </w:pPr>
      <w:r>
        <w:t xml:space="preserve">Kommunens försäljning av del av Bilen 3 enligt punkt 5.2 genererar intäkter till kommunen. Dessa överlåtelser specificeras i kommande exploaterinngsavtal. </w:t>
      </w:r>
      <w:bookmarkEnd w:id="289"/>
    </w:p>
    <w:p>
      <w:pPr>
        <w:pStyle w:val="P3"/>
      </w:pPr>
      <w:bookmarkStart w:id="290" w:name="_Toc165276781"/>
      <w:bookmarkStart w:id="291" w:name="ko_fastigheterochrättigheter03"/>
      <w:r>
        <w:t>Ekonomiska konsekvenser för enskilda fastighetsägare</w:t>
      </w:r>
      <w:bookmarkEnd w:id="290"/>
      <w:r>
        <w:t xml:space="preserve"> </w:t>
      </w:r>
    </w:p>
    <w:p>
      <w:pPr>
        <w:pStyle w:val="P13"/>
      </w:pPr>
      <w:r>
        <w:t>Fastighetsägaren för Alhagen 1 väntas få kostnader för:</w:t>
      </w:r>
    </w:p>
    <w:p>
      <w:pPr>
        <w:pStyle w:val="P13"/>
      </w:pPr>
    </w:p>
    <w:p>
      <w:pPr>
        <w:pStyle w:val="P13"/>
        <w:numPr>
          <w:ilvl w:val="0"/>
          <w:numId w:val="9"/>
        </w:numPr>
      </w:pPr>
      <w:r>
        <w:t>Detaljplan och tillhörande utredningar</w:t>
      </w:r>
    </w:p>
    <w:p>
      <w:pPr>
        <w:pStyle w:val="P13"/>
        <w:numPr>
          <w:ilvl w:val="0"/>
          <w:numId w:val="9"/>
        </w:numPr>
      </w:pPr>
      <w:r>
        <w:t>Ersättning för marköverföring</w:t>
      </w:r>
    </w:p>
    <w:p>
      <w:pPr>
        <w:pStyle w:val="P13"/>
        <w:numPr>
          <w:ilvl w:val="0"/>
          <w:numId w:val="9"/>
        </w:numPr>
      </w:pPr>
      <w:r>
        <w:t>Lantmäteriförrättning vid fastighetsreglering vid marköverföring samt bildande av ledningsrätt</w:t>
      </w:r>
    </w:p>
    <w:p>
      <w:pPr>
        <w:pStyle w:val="P13"/>
        <w:numPr>
          <w:ilvl w:val="0"/>
          <w:numId w:val="9"/>
        </w:numPr>
      </w:pPr>
      <w:r>
        <w:t>Kostnader för flytt av vatten- och avloppsledningar samt fjärrvärmeledning</w:t>
      </w:r>
    </w:p>
    <w:p>
      <w:pPr>
        <w:pStyle w:val="P13"/>
        <w:numPr>
          <w:ilvl w:val="0"/>
          <w:numId w:val="9"/>
        </w:numPr>
      </w:pPr>
      <w:r>
        <w:t>Eventuella utökade anslutningsavgifter</w:t>
      </w:r>
    </w:p>
    <w:p>
      <w:pPr>
        <w:pStyle w:val="P13"/>
        <w:numPr>
          <w:ilvl w:val="0"/>
          <w:numId w:val="9"/>
        </w:numPr>
      </w:pPr>
      <w:r>
        <w:t>Rivnings- och saneringskostnader</w:t>
      </w:r>
    </w:p>
    <w:p>
      <w:pPr>
        <w:pStyle w:val="P13"/>
        <w:numPr>
          <w:ilvl w:val="0"/>
          <w:numId w:val="9"/>
        </w:numPr>
      </w:pPr>
      <w:r>
        <w:t>Uppförande av gemensamhetsanläggning</w:t>
      </w:r>
    </w:p>
    <w:p>
      <w:pPr>
        <w:pStyle w:val="P13"/>
      </w:pPr>
    </w:p>
    <w:p>
      <w:pPr>
        <w:pStyle w:val="P13"/>
      </w:pPr>
      <w:r>
        <w:t>Fastighetsägaren för Alhagen 1 väntas få intäkter för:</w:t>
      </w:r>
    </w:p>
    <w:p>
      <w:pPr>
        <w:pStyle w:val="P13"/>
      </w:pPr>
    </w:p>
    <w:p>
      <w:pPr>
        <w:pStyle w:val="P13"/>
        <w:numPr>
          <w:ilvl w:val="0"/>
          <w:numId w:val="9"/>
        </w:numPr>
      </w:pPr>
      <w:r>
        <w:t>Ökade hyresintäkter i och med utökad byggrätt som möjliggör fler uthyrbara kvadratmeter</w:t>
      </w:r>
    </w:p>
    <w:p>
      <w:pPr>
        <w:pStyle w:val="P13"/>
        <w:numPr>
          <w:ilvl w:val="0"/>
          <w:numId w:val="9"/>
        </w:numPr>
      </w:pPr>
      <w:r>
        <w:t>Ökade hyresintäkter i och med att planen tillåter verksamheter med högre hyresnivåer</w:t>
      </w:r>
    </w:p>
    <w:p>
      <w:pPr>
        <w:pStyle w:val="P13"/>
        <w:numPr>
          <w:ilvl w:val="0"/>
          <w:numId w:val="9"/>
        </w:numPr>
      </w:pPr>
      <w:r>
        <w:t>Högre fastighetsvärde avseende möjlighet till högre avkastning på fastigheten enligt ovanstående två punkter</w:t>
      </w:r>
    </w:p>
    <w:p>
      <w:pPr>
        <w:pStyle w:val="P13"/>
        <w:numPr>
          <w:ilvl w:val="0"/>
          <w:numId w:val="9"/>
        </w:numPr>
      </w:pPr>
      <w:r>
        <w:t>Högre fastighetsvärde i och med större yta genom markförvärv av Bilen 3</w:t>
      </w:r>
    </w:p>
    <w:p>
      <w:pPr>
        <w:pStyle w:val="P13"/>
      </w:pPr>
    </w:p>
    <w:p>
      <w:pPr>
        <w:pStyle w:val="P13"/>
      </w:pPr>
      <w:r>
        <w:t xml:space="preserve">Fastighetsägaren för Alhagen 3 kan få eventuella kostnader vid uppförande av gemensamhetsanläggning. </w:t>
      </w:r>
    </w:p>
    <w:p>
      <w:pPr>
        <w:pStyle w:val="P13"/>
      </w:pPr>
    </w:p>
    <w:p>
      <w:pPr>
        <w:pStyle w:val="P13"/>
      </w:pPr>
      <w:r>
        <w:t>Kommunen väntas få intäkter vid en eventuell försäljning av del av Bilen 3</w:t>
      </w:r>
    </w:p>
    <w:p>
      <w:pPr>
        <w:pStyle w:val="P3"/>
      </w:pPr>
      <w:bookmarkEnd w:id="291"/>
      <w:bookmarkStart w:id="292" w:name="_Toc165276782"/>
      <w:bookmarkStart w:id="293" w:name="gf_planekonomiskbedömning05"/>
      <w:r>
        <w:t>Ekonomiska konsekvenser för rättighetshavare</w:t>
      </w:r>
      <w:bookmarkEnd w:id="292"/>
    </w:p>
    <w:p>
      <w:pPr>
        <w:pStyle w:val="P13"/>
      </w:pPr>
      <w:r>
        <w:t>Rättighetshavare förväntas inte få ekonomiska konsekvenser eftersom de kostnader som uppstår för flytt av ledningar inom planområdet ska bäras av den enskilde fastighetsägaren för Alhagen 1.</w:t>
      </w:r>
      <w:bookmarkEnd w:id="293"/>
    </w:p>
    <w:p>
      <w:pPr>
        <w:pStyle w:val="P3"/>
      </w:pPr>
      <w:bookmarkEnd w:id="287"/>
      <w:bookmarkStart w:id="294" w:name="_Toc89446154"/>
      <w:bookmarkStart w:id="295" w:name="_Toc165276783"/>
      <w:bookmarkStart w:id="296" w:name="_Toc108183062"/>
      <w:bookmarkStart w:id="297" w:name="_Toc119320370"/>
      <w:bookmarkStart w:id="298" w:name="gf_planavgift01"/>
      <w:r>
        <w:t>Planavgift</w:t>
      </w:r>
      <w:bookmarkEnd w:id="294"/>
      <w:bookmarkEnd w:id="295"/>
      <w:bookmarkEnd w:id="296"/>
      <w:bookmarkEnd w:id="297"/>
    </w:p>
    <w:p>
      <w:pPr>
        <w:pStyle w:val="P13"/>
      </w:pPr>
      <w:bookmarkStart w:id="299" w:name="_Toc89446155"/>
      <w:bookmarkStart w:id="300" w:name="_Toc108183063"/>
      <w:bookmarkStart w:id="301" w:name="_Toc119320371"/>
      <w:r>
        <w:t>Planavgift ska inte utgå vid bygglov, eftersom plankostnaden regleras i ett särskilt avtal.</w:t>
      </w:r>
    </w:p>
    <w:p>
      <w:pPr>
        <w:pStyle w:val="P2"/>
      </w:pPr>
      <w:bookmarkEnd w:id="298"/>
      <w:bookmarkEnd w:id="299"/>
      <w:bookmarkEnd w:id="300"/>
      <w:bookmarkEnd w:id="301"/>
      <w:bookmarkStart w:id="302" w:name="_Toc89446161"/>
      <w:bookmarkStart w:id="303" w:name="_Toc165276784"/>
      <w:bookmarkStart w:id="304" w:name="_Toc108183069"/>
      <w:bookmarkStart w:id="305" w:name="_Toc119320377"/>
      <w:bookmarkStart w:id="306" w:name="gf_organisatoriskafrågor02"/>
      <w:r>
        <w:t>Organisatoriska frågor</w:t>
      </w:r>
      <w:bookmarkEnd w:id="302"/>
      <w:bookmarkEnd w:id="303"/>
      <w:bookmarkEnd w:id="304"/>
      <w:bookmarkEnd w:id="305"/>
    </w:p>
    <w:p>
      <w:pPr>
        <w:pStyle w:val="P3"/>
      </w:pPr>
      <w:bookmarkEnd w:id="306"/>
      <w:bookmarkStart w:id="307" w:name="_Toc89446162"/>
      <w:bookmarkStart w:id="308" w:name="_Toc165276785"/>
      <w:bookmarkStart w:id="309" w:name="_Toc108183070"/>
      <w:bookmarkStart w:id="310" w:name="_Toc119320378"/>
      <w:bookmarkStart w:id="311" w:name="gf_exploateringsavtal02"/>
      <w:r>
        <w:t>Exploateringsavtal</w:t>
      </w:r>
      <w:bookmarkEnd w:id="307"/>
      <w:bookmarkEnd w:id="308"/>
      <w:bookmarkEnd w:id="309"/>
      <w:bookmarkEnd w:id="310"/>
    </w:p>
    <w:p>
      <w:pPr>
        <w:pStyle w:val="P13"/>
      </w:pPr>
      <w:bookmarkStart w:id="312" w:name="gf_exploateringsavtal01"/>
      <w:r>
        <w:t xml:space="preserve">Ett exploateringsavtal är ett avtal mellan en kommun och en exploatör/privat fastighetsägare om genomförandet av en detaljplan på mark som inte ägs av kommunen. </w:t>
      </w:r>
    </w:p>
    <w:p>
      <w:pPr>
        <w:pStyle w:val="P13"/>
      </w:pPr>
    </w:p>
    <w:p>
      <w:pPr>
        <w:pStyle w:val="P13"/>
      </w:pPr>
      <w:r>
        <w:t>Kommunen avser att teckna exploateringsavtal med exploatören/ägaren till fastigheten Alhagen 1. Avtalet ska reglera genomförandet av detaljplanen, såsom vilka fastighetsbildningsåtgärder som ska göras, ansvar och kostnader för ledningsflyttar, reglering av åtgärder på allmän platsmark med mera.</w:t>
      </w:r>
    </w:p>
    <w:p>
      <w:pPr>
        <w:pStyle w:val="P13"/>
      </w:pPr>
    </w:p>
    <w:p>
      <w:pPr>
        <w:pStyle w:val="P13"/>
        <w:rPr>
          <w:lang w:val="en-US"/>
        </w:rPr>
      </w:pPr>
      <w:r>
        <w:t xml:space="preserve">Kommunen avser att överföra del av Bilen 3 som planläggs som kvartersmark till fastigshetsägare till Alhagen 1. Exploatören har rätt att bilda gemensamhetsanläggning med Alhagen 3 enligt detaljplanen. Se mer under kapitlet 5.1 fastighetsrättsliga frågor. </w:t>
      </w:r>
    </w:p>
    <w:p>
      <w:pPr>
        <w:pStyle w:val="P13"/>
      </w:pPr>
    </w:p>
    <w:p>
      <w:pPr>
        <w:pStyle w:val="P13"/>
      </w:pPr>
      <w:r>
        <w:t xml:space="preserve">Kommunen bekostar inte några åtgärder i och med exploateringsavtalet och detaljplanen. Exploatören står för kostnader för åtgärder som är till nytta för eller krävs för att genomföra detaljplanen. Detta innefattar bland annat: </w:t>
      </w:r>
    </w:p>
    <w:p>
      <w:pPr>
        <w:pStyle w:val="P13"/>
      </w:pPr>
    </w:p>
    <w:p>
      <w:pPr>
        <w:pStyle w:val="P13"/>
        <w:numPr>
          <w:ilvl w:val="0"/>
          <w:numId w:val="9"/>
        </w:numPr>
        <w:rPr>
          <w:lang w:val="en-US"/>
        </w:rPr>
      </w:pPr>
      <w:r>
        <w:t xml:space="preserve">Flytt av allmänna ledningar </w:t>
      </w:r>
    </w:p>
    <w:p>
      <w:pPr>
        <w:pStyle w:val="P13"/>
        <w:numPr>
          <w:ilvl w:val="0"/>
          <w:numId w:val="9"/>
        </w:numPr>
        <w:rPr>
          <w:lang w:val="en-US"/>
        </w:rPr>
      </w:pPr>
      <w:r>
        <w:t>Marköverföringar och lantmäteriförrättning</w:t>
      </w:r>
    </w:p>
    <w:p>
      <w:pPr>
        <w:pStyle w:val="P13"/>
        <w:numPr>
          <w:ilvl w:val="0"/>
          <w:numId w:val="9"/>
        </w:numPr>
        <w:rPr>
          <w:lang w:val="en-US"/>
        </w:rPr>
      </w:pPr>
      <w:r>
        <w:t xml:space="preserve">Fastighetsbildning </w:t>
      </w:r>
    </w:p>
    <w:p>
      <w:pPr>
        <w:pStyle w:val="P13"/>
      </w:pPr>
    </w:p>
    <w:p>
      <w:pPr>
        <w:pStyle w:val="P13"/>
        <w:rPr>
          <w:lang w:val="en-US"/>
        </w:rPr>
      </w:pPr>
      <w:r>
        <w:t>Exploateringsavtal tecknas i enlighet med kommunens riktlinjer för exploateringsavtal.</w:t>
      </w:r>
      <w:bookmarkEnd w:id="311"/>
      <w:r>
        <w:t xml:space="preserve"> </w:t>
      </w:r>
    </w:p>
    <w:p>
      <w:pPr>
        <w:pStyle w:val="P2"/>
      </w:pPr>
      <w:bookmarkEnd w:id="312"/>
      <w:bookmarkStart w:id="313" w:name="_Toc89446148"/>
      <w:bookmarkStart w:id="314" w:name="_Toc165276786"/>
      <w:bookmarkStart w:id="315" w:name="_Toc108183056"/>
      <w:bookmarkStart w:id="316" w:name="_Toc119320364"/>
      <w:bookmarkStart w:id="317" w:name="gf_tekniskafrågor02"/>
      <w:r>
        <w:t>Tekniska frågor</w:t>
      </w:r>
      <w:bookmarkEnd w:id="313"/>
      <w:bookmarkEnd w:id="314"/>
      <w:bookmarkEnd w:id="315"/>
      <w:bookmarkEnd w:id="316"/>
    </w:p>
    <w:p>
      <w:pPr>
        <w:pStyle w:val="P3"/>
      </w:pPr>
      <w:bookmarkEnd w:id="317"/>
      <w:bookmarkStart w:id="318" w:name="_Toc89446149"/>
      <w:bookmarkStart w:id="319" w:name="_Toc165276787"/>
      <w:bookmarkStart w:id="320" w:name="_Toc108183057"/>
      <w:bookmarkStart w:id="321" w:name="_Toc119320365"/>
      <w:bookmarkStart w:id="322" w:name="gf_tekniskaåtgärder02"/>
      <w:r>
        <w:t>Tekniska åtgärder</w:t>
      </w:r>
      <w:bookmarkEnd w:id="318"/>
      <w:bookmarkEnd w:id="319"/>
      <w:bookmarkEnd w:id="320"/>
      <w:bookmarkEnd w:id="321"/>
    </w:p>
    <w:p>
      <w:pPr>
        <w:pStyle w:val="P13"/>
      </w:pPr>
      <w:bookmarkStart w:id="323" w:name="gf_tekniskaåtgärder01"/>
      <w:r>
        <w:t>Detaljprojektering av el, tele, bredband och fjärrvärme genomförs av ansvarigt bolag tillsammans med exploatören. Flytt av ledningar inom kvartersmark bekostas av exploatören.</w:t>
      </w:r>
    </w:p>
    <w:p>
      <w:pPr>
        <w:pStyle w:val="P13"/>
      </w:pPr>
    </w:p>
    <w:p>
      <w:pPr>
        <w:pStyle w:val="P13"/>
      </w:pPr>
      <w:r>
        <w:t>Allmänna ledningar inom kvartersmark planläggs med underjordiska ledningar.</w:t>
      </w:r>
    </w:p>
    <w:p>
      <w:pPr>
        <w:pStyle w:val="P13"/>
      </w:pPr>
    </w:p>
    <w:p>
      <w:pPr>
        <w:pStyle w:val="P13"/>
        <w:rPr>
          <w:sz w:val="18"/>
          <w:szCs w:val="22"/>
        </w:rPr>
      </w:pPr>
      <w:r>
        <w:t xml:space="preserve">Behovet av brandpostnät kommer att utredas i samband med genomförandet enligt gällande rutin och policy för brandposter. </w:t>
      </w:r>
    </w:p>
    <w:p>
      <w:pPr>
        <w:pStyle w:val="P3"/>
      </w:pPr>
      <w:bookmarkEnd w:id="322"/>
      <w:bookmarkEnd w:id="323"/>
      <w:bookmarkStart w:id="324" w:name="_Toc89446151"/>
      <w:bookmarkStart w:id="325" w:name="_Toc108183059"/>
      <w:bookmarkStart w:id="326" w:name="_Toc119320367"/>
      <w:bookmarkStart w:id="327" w:name="_Toc165276788"/>
      <w:bookmarkStart w:id="328" w:name="gf_utbyggnadvattenochavlopp01"/>
      <w:r>
        <w:t xml:space="preserve">Utbyggnad av </w:t>
      </w:r>
      <w:bookmarkEnd w:id="324"/>
      <w:bookmarkEnd w:id="325"/>
      <w:bookmarkEnd w:id="326"/>
      <w:r>
        <w:rPr>
          <w:lang w:bidi="sv-SE"/>
        </w:rPr>
        <w:t>vatten och avlopp</w:t>
      </w:r>
      <w:bookmarkEnd w:id="327"/>
    </w:p>
    <w:p>
      <w:pPr>
        <w:pStyle w:val="P13"/>
        <w:rPr>
          <w:highlight w:val="cyan"/>
        </w:rPr>
      </w:pPr>
      <w:bookmarkStart w:id="329" w:name="gf_upplysningar01"/>
      <w:r>
        <w:t xml:space="preserve">Det kommunala vatten- och avloppsnätet är utbyggt i anslutning till planområdet. </w:t>
      </w:r>
    </w:p>
    <w:p>
      <w:pPr>
        <w:pStyle w:val="P13"/>
        <w:rPr>
          <w:highlight w:val="cyan"/>
        </w:rPr>
      </w:pPr>
      <w:bookmarkEnd w:id="328"/>
      <w:bookmarkEnd w:id="329"/>
    </w:p>
    <w:p>
      <w:pPr>
        <w:pStyle w:val="P1"/>
      </w:pPr>
      <w:bookmarkStart w:id="330" w:name="_Toc165276789"/>
      <w:bookmarkStart w:id="331" w:name="ko_annat01"/>
      <w:bookmarkStart w:id="332" w:name="_Toc89446057"/>
      <w:bookmarkStart w:id="333" w:name="_Toc108182962"/>
      <w:bookmarkStart w:id="334" w:name="_Toc119320274"/>
      <w:r>
        <w:t>Konsekvenser</w:t>
      </w:r>
      <w:bookmarkEnd w:id="330"/>
    </w:p>
    <w:p>
      <w:pPr>
        <w:pStyle w:val="P13"/>
      </w:pPr>
      <w:r>
        <w:t xml:space="preserve">I planbeskrivningen ska kommunen redovisa detaljplanens konsekvenser. </w:t>
      </w:r>
    </w:p>
    <w:p>
      <w:pPr>
        <w:pStyle w:val="P13"/>
        <w:rPr>
          <w:highlight w:val="cyan"/>
        </w:rPr>
      </w:pPr>
      <w:bookmarkEnd w:id="331"/>
      <w:bookmarkStart w:id="335" w:name="ko_mellankommunalafrågor01"/>
      <w:bookmarkStart w:id="336" w:name="_Toc89446080"/>
      <w:bookmarkStart w:id="337" w:name="_Toc108182988"/>
      <w:bookmarkStart w:id="338" w:name="_Toc119320300"/>
    </w:p>
    <w:p>
      <w:pPr>
        <w:pStyle w:val="P2"/>
        <w:rPr>
          <w:caps w:val="1"/>
        </w:rPr>
      </w:pPr>
      <w:bookmarkStart w:id="339" w:name="_Toc165276790"/>
      <w:bookmarkStart w:id="340" w:name="ko_fastigheterochrättigheter02"/>
      <w:r>
        <w:t>Fastigheter och rättigheter</w:t>
      </w:r>
      <w:bookmarkEnd w:id="339"/>
      <w:r>
        <w:t xml:space="preserve"> </w:t>
      </w:r>
      <w:bookmarkStart w:id="341" w:name="ko_fastigheterochrättigheter01"/>
    </w:p>
    <w:p>
      <w:pPr>
        <w:pStyle w:val="P13"/>
      </w:pPr>
      <w:r>
        <w:t xml:space="preserve">Se avsnitt 5.1. för Lantmäteriets frågor. </w:t>
      </w:r>
      <w:bookmarkEnd w:id="340"/>
      <w:bookmarkEnd w:id="341"/>
    </w:p>
    <w:p>
      <w:pPr>
        <w:pStyle w:val="P2"/>
        <w:rPr>
          <w:caps w:val="1"/>
        </w:rPr>
      </w:pPr>
      <w:bookmarkEnd w:id="335"/>
      <w:bookmarkStart w:id="342" w:name="_Toc89446105"/>
      <w:bookmarkStart w:id="343" w:name="_Toc165276791"/>
      <w:bookmarkStart w:id="344" w:name="_Toc108183013"/>
      <w:bookmarkStart w:id="345" w:name="_Toc119320325"/>
      <w:bookmarkStart w:id="346" w:name="ko_riksintresse02"/>
      <w:r>
        <w:t>Riksintresse</w:t>
      </w:r>
      <w:bookmarkEnd w:id="342"/>
      <w:bookmarkEnd w:id="343"/>
      <w:bookmarkEnd w:id="344"/>
      <w:bookmarkEnd w:id="345"/>
    </w:p>
    <w:p>
      <w:pPr>
        <w:pStyle w:val="P3"/>
        <w:rPr>
          <w:caps w:val="1"/>
        </w:rPr>
      </w:pPr>
      <w:bookmarkEnd w:id="346"/>
      <w:bookmarkStart w:id="347" w:name="_Toc89446116"/>
      <w:bookmarkStart w:id="348" w:name="_Toc165276792"/>
      <w:bookmarkStart w:id="349" w:name="_Toc108183024"/>
      <w:bookmarkStart w:id="350" w:name="_Toc119320334"/>
      <w:bookmarkStart w:id="351" w:name="ko_trafikkommunikation02"/>
      <w:r>
        <w:t>Trafikkommunikation</w:t>
      </w:r>
      <w:bookmarkEnd w:id="347"/>
      <w:bookmarkEnd w:id="348"/>
      <w:bookmarkEnd w:id="349"/>
      <w:bookmarkEnd w:id="350"/>
    </w:p>
    <w:p>
      <w:pPr>
        <w:pStyle w:val="P13"/>
      </w:pPr>
      <w:bookmarkStart w:id="352" w:name="ko_trafikkommunikation01"/>
      <w:r>
        <w:t>Planförslaget medger en högsta nockhöjd om +21,0 meter över nollplanet i RH 2000, vilket är väl under vad Trafikverket tillåter inom flygplatsens inre influenssområde med hänsyn till flyghinder om +50,3 meter över havet. Några konsekvenser för riksintresset för trafikkommunikation föreligger därmed inte.</w:t>
      </w:r>
    </w:p>
    <w:p>
      <w:pPr>
        <w:pStyle w:val="P3"/>
        <w:rPr>
          <w:caps w:val="1"/>
        </w:rPr>
      </w:pPr>
      <w:bookmarkEnd w:id="351"/>
      <w:bookmarkEnd w:id="352"/>
      <w:bookmarkStart w:id="353" w:name="_Toc89446119"/>
      <w:bookmarkStart w:id="354" w:name="_Toc165276793"/>
      <w:bookmarkStart w:id="355" w:name="_Toc108183027"/>
      <w:bookmarkStart w:id="356" w:name="_Toc119320337"/>
      <w:bookmarkStart w:id="357" w:name="ko_totalförsvar02"/>
      <w:r>
        <w:t>Totalförsvar</w:t>
      </w:r>
      <w:bookmarkEnd w:id="353"/>
      <w:bookmarkEnd w:id="354"/>
      <w:bookmarkEnd w:id="355"/>
      <w:bookmarkEnd w:id="356"/>
    </w:p>
    <w:p>
      <w:pPr>
        <w:pStyle w:val="P13"/>
      </w:pPr>
      <w:bookmarkStart w:id="358" w:name="ko_totalförsvar01"/>
      <w:r>
        <w:t>Planförslaget ligger inom påverkansområde civil flygplats och inom sammanhållen bebyggelse, för vilken Försvarsmakten tillåter en högsta höjd på byggnad om 45 meter. Byggnader inom planförslaget blir som högst cirka 16 meter (över mark), varför det inte föreligger några konsekvenser för riksintresset för totalförsvaret.</w:t>
      </w:r>
    </w:p>
    <w:p>
      <w:pPr>
        <w:pStyle w:val="P13"/>
        <w:rPr>
          <w:highlight w:val="cyan"/>
        </w:rPr>
      </w:pPr>
      <w:bookmarkEnd w:id="357"/>
      <w:bookmarkEnd w:id="358"/>
      <w:bookmarkStart w:id="359" w:name="ko_ekologisktsärskiltkänsligaområden01"/>
    </w:p>
    <w:p>
      <w:pPr>
        <w:pStyle w:val="P2"/>
        <w:rPr>
          <w:caps w:val="1"/>
        </w:rPr>
      </w:pPr>
      <w:bookmarkStart w:id="360" w:name="_Toc89446091"/>
      <w:bookmarkStart w:id="361" w:name="_Toc165276794"/>
      <w:bookmarkStart w:id="362" w:name="_Toc108182999"/>
      <w:bookmarkStart w:id="363" w:name="_Toc119320311"/>
      <w:bookmarkStart w:id="364" w:name="ko_miljökvalitetsnormer02"/>
      <w:r>
        <w:t>Miljökvalitetsnormer</w:t>
      </w:r>
      <w:bookmarkEnd w:id="360"/>
      <w:bookmarkEnd w:id="361"/>
      <w:bookmarkEnd w:id="362"/>
      <w:bookmarkEnd w:id="363"/>
    </w:p>
    <w:p>
      <w:pPr>
        <w:pStyle w:val="P3"/>
        <w:rPr>
          <w:caps w:val="1"/>
        </w:rPr>
      </w:pPr>
      <w:bookmarkEnd w:id="364"/>
      <w:bookmarkStart w:id="365" w:name="_Toc89446092"/>
      <w:bookmarkStart w:id="366" w:name="_Toc165276795"/>
      <w:bookmarkStart w:id="367" w:name="_Toc108183000"/>
      <w:bookmarkStart w:id="368" w:name="_Toc119320312"/>
      <w:bookmarkStart w:id="369" w:name="ko_luft02"/>
      <w:r>
        <w:t>Luft</w:t>
      </w:r>
      <w:bookmarkEnd w:id="365"/>
      <w:bookmarkEnd w:id="366"/>
      <w:bookmarkEnd w:id="367"/>
      <w:bookmarkEnd w:id="368"/>
    </w:p>
    <w:p>
      <w:pPr>
        <w:pStyle w:val="P13"/>
      </w:pPr>
      <w:bookmarkStart w:id="370" w:name="ko_luft01"/>
      <w:r>
        <w:t>Planförslaget innebär förvisso att mängden trafik inom planområdet borde öka jämfört med idag men då främst avseende lättare personbilstrafik. Sådan kan antas ha högre krav på avgasrening än de lastbilar som trafikerade fastigheten under Poståkeriets verksamhet eller de anläggningsmaskiner för uthyrning som idag ryms inom området. Oavsett är den relativa trafikmängden som kan komma att trafikera planområdet begränsad kontra de volymer som redan idag trafikerar omkringliggande fastigheter inom handelsområdet, varför någon betydande ökning av luftföroreningar inte är att vänta.</w:t>
      </w:r>
    </w:p>
    <w:p>
      <w:pPr>
        <w:pStyle w:val="P3"/>
        <w:rPr>
          <w:caps w:val="1"/>
        </w:rPr>
      </w:pPr>
      <w:bookmarkEnd w:id="369"/>
      <w:bookmarkEnd w:id="370"/>
      <w:bookmarkStart w:id="371" w:name="_Toc89446093"/>
      <w:bookmarkStart w:id="372" w:name="_Toc165276796"/>
      <w:bookmarkStart w:id="373" w:name="_Toc108183001"/>
      <w:bookmarkStart w:id="374" w:name="_Toc119320313"/>
      <w:bookmarkStart w:id="375" w:name="ko_vatten02"/>
      <w:r>
        <w:t>Vatten</w:t>
      </w:r>
      <w:bookmarkEnd w:id="371"/>
      <w:bookmarkEnd w:id="372"/>
      <w:bookmarkEnd w:id="373"/>
      <w:bookmarkEnd w:id="374"/>
    </w:p>
    <w:p>
      <w:pPr>
        <w:pStyle w:val="P13"/>
      </w:pPr>
      <w:r>
        <w:t xml:space="preserve">Planområdet ligger inom Törnebybäckens och Västra sjöns avrinningsområden samt ovan grundvattentäkten Kalmarkustens sandstensformation, som alla idag har problem med den status de ska uppnå enligt miljökvalitetsnormerna. </w:t>
      </w:r>
    </w:p>
    <w:p>
      <w:pPr>
        <w:pStyle w:val="P13"/>
      </w:pPr>
    </w:p>
    <w:p>
      <w:pPr>
        <w:pStyle w:val="P13"/>
      </w:pPr>
      <w:r>
        <w:t xml:space="preserve">För att inte riskera att försämra den kemiska eller ekologiska statusen för recipienterna är det viktigt att säkerställa att eventuella föroreningar inte förs vidare från planområdet till vattenförekomsterna med dagvattnet. Dagvatten bör i första hand tas om hand lokalt inom planområdet genom infiltration, varför det är av stor vikt att markytan i så stor utsträckning utförs permeabel. </w:t>
      </w:r>
    </w:p>
    <w:p>
      <w:pPr>
        <w:pStyle w:val="P13"/>
      </w:pPr>
    </w:p>
    <w:p>
      <w:pPr>
        <w:pStyle w:val="P13"/>
      </w:pPr>
      <w:r>
        <w:t xml:space="preserve">Hagbygärdedämmet, som renar vattnet som förs vidare via dagvattennätet från planområdet, har en begränsad kapacitet avseende större vattenflöden eftersom vattnet behöver pumpas till dämmet. I den mån dagvatten förs vidare från planområdet bör detta därför fördröjas för att utgående vattenflöde ska vara lågt och jämnt för att inte riskera att vattnet bräddas förbi dämmet och orenat nå recipienterna nedströms. </w:t>
      </w:r>
    </w:p>
    <w:p>
      <w:pPr>
        <w:pStyle w:val="P13"/>
      </w:pPr>
    </w:p>
    <w:p>
      <w:pPr>
        <w:pStyle w:val="P13"/>
      </w:pPr>
      <w:r>
        <w:t>Detaljplanens genomförande bedöms inte påverka miljökvalitetsnormerna för vattenförekomsterna i negativ riktning eftersom planområdet idag redan är exploaterat och hårdgjort i motsvarande omfattning.</w:t>
      </w:r>
    </w:p>
    <w:p>
      <w:pPr>
        <w:pStyle w:val="P2"/>
      </w:pPr>
      <w:bookmarkEnd w:id="336"/>
      <w:bookmarkEnd w:id="337"/>
      <w:bookmarkEnd w:id="338"/>
      <w:bookmarkEnd w:id="359"/>
      <w:bookmarkEnd w:id="375"/>
      <w:bookmarkStart w:id="376" w:name="_Toc165276797"/>
      <w:bookmarkStart w:id="377" w:name="ko_fysiskmiljö01"/>
      <w:bookmarkStart w:id="378" w:name="_Toc89446081"/>
      <w:bookmarkStart w:id="379" w:name="_Toc108182989"/>
      <w:bookmarkStart w:id="380" w:name="_Toc119320301"/>
      <w:r>
        <w:t>Fysisk miljö</w:t>
      </w:r>
      <w:bookmarkEnd w:id="376"/>
    </w:p>
    <w:p>
      <w:pPr>
        <w:pStyle w:val="P3"/>
      </w:pPr>
      <w:bookmarkEnd w:id="377"/>
      <w:bookmarkStart w:id="381" w:name="_Toc165276798"/>
      <w:bookmarkStart w:id="382" w:name="ko_fysiskmiljö02"/>
      <w:r>
        <w:t>Bebyggelse och omgivning</w:t>
      </w:r>
      <w:bookmarkEnd w:id="381"/>
    </w:p>
    <w:p>
      <w:pPr>
        <w:pStyle w:val="P13"/>
      </w:pPr>
      <w:r>
        <w:t>Förutom att befintlig byggnad inom planområdet behöver rivas i samband med att planen genomförs förväntas inga konsekvenser för den lokala bebyggelsen.</w:t>
      </w:r>
    </w:p>
    <w:p>
      <w:pPr>
        <w:pStyle w:val="P3"/>
      </w:pPr>
      <w:bookmarkEnd w:id="382"/>
      <w:bookmarkStart w:id="383" w:name="_Toc165276799"/>
      <w:bookmarkStart w:id="384" w:name="pf_service02"/>
      <w:r>
        <w:t>Service</w:t>
      </w:r>
      <w:bookmarkEnd w:id="383"/>
    </w:p>
    <w:p>
      <w:pPr>
        <w:pStyle w:val="P13"/>
      </w:pPr>
      <w:r>
        <w:t>Idag rymmer planförslaget en uthyrningsverksamhet för anläggnings- och entreprenadmaskiner. I och med planförslagets genomförande kommer denna verksamhet att avvecklas och ersättas med en veterinärklinik och handel eller annan verksamhet som är förenlig med planförslaget. Utbudet av service bör sammantaget därmed öka.</w:t>
      </w:r>
    </w:p>
    <w:p>
      <w:pPr>
        <w:pStyle w:val="P2"/>
        <w:rPr>
          <w:caps w:val="1"/>
        </w:rPr>
      </w:pPr>
      <w:bookmarkEnd w:id="384"/>
      <w:bookmarkStart w:id="385" w:name="_Toc89446133"/>
      <w:bookmarkStart w:id="386" w:name="_Toc108183041"/>
      <w:bookmarkStart w:id="387" w:name="_Toc165276800"/>
      <w:bookmarkStart w:id="388" w:name="_Toc119320348"/>
      <w:bookmarkStart w:id="389" w:name="ko_trafik02"/>
      <w:r>
        <w:t>Trafik</w:t>
      </w:r>
      <w:bookmarkEnd w:id="385"/>
      <w:bookmarkEnd w:id="386"/>
      <w:bookmarkEnd w:id="387"/>
      <w:bookmarkEnd w:id="388"/>
    </w:p>
    <w:p>
      <w:pPr>
        <w:pStyle w:val="P3"/>
      </w:pPr>
      <w:bookmarkEnd w:id="389"/>
      <w:bookmarkStart w:id="390" w:name="_Toc165276801"/>
      <w:bookmarkStart w:id="391" w:name="ko_gångochcykeltrafik01"/>
      <w:bookmarkStart w:id="392" w:name="_Toc89446136"/>
      <w:bookmarkStart w:id="393" w:name="_Toc108183044"/>
      <w:r>
        <w:t>Gång- och cykeltrafik</w:t>
      </w:r>
      <w:bookmarkEnd w:id="390"/>
    </w:p>
    <w:p>
      <w:pPr>
        <w:pStyle w:val="P13"/>
      </w:pPr>
      <w:r>
        <w:t>Gång- och cykeltrafik avses att utvecklas och förbättras i och med planförslagets genomförande. Den främsta förbättrande åtgärden består i att nuvarande stängsling runt fastigheten Alhagen 1 avlägsnas i samband med att mer utåtriktade verksamheter utan stöldbegärlig materiel som förvaras utomhus på fastigheten etableras. Detta innebär att det kommer finnas möjlighet för gång- och cykeltrafikanter att röra sig tvärs över planområdet istället för att behöva kringgå det som idag.</w:t>
      </w:r>
    </w:p>
    <w:p>
      <w:pPr>
        <w:pStyle w:val="P13"/>
      </w:pPr>
    </w:p>
    <w:p>
      <w:pPr>
        <w:pStyle w:val="P13"/>
      </w:pPr>
      <w:r>
        <w:t>Huvudsaklig kommunikation förväntas att fortsätta ske i nord-sydlig riktning längs befintlig huvudcykelväg parallell med Trångsundsvägen, där befintlig anslutning mellan cykelvägen och planområdet utgör den främsta entrén för fotgängare och cyklister till planområdet. I planområdets norra del planeras en förbindelse in i planområdet och vidare mot det större handelsområdet. En framtida, tredje tvärförbindelse i planområdets mitt är möjlig men i dagsläget ofinansierad.</w:t>
      </w:r>
    </w:p>
    <w:p>
      <w:pPr>
        <w:pStyle w:val="P13"/>
      </w:pPr>
    </w:p>
    <w:p>
      <w:pPr>
        <w:pStyle w:val="P13"/>
      </w:pPr>
      <w:r>
        <w:drawing>
          <wp:inline xmlns:wp="http://schemas.openxmlformats.org/drawingml/2006/wordprocessingDrawing" distT="0" distB="0" distL="0" distR="0">
            <wp:extent cx="4675505" cy="5477510"/>
            <wp:effectExtent l="0" t="0" r="0" b="8890"/>
            <wp:docPr id="20" name="Bildobjekt 20" descr="P7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P724#yIS1"/>
                    <pic:cNvPicPr>
                      <a:picLocks noChangeAspect="1" noChangeArrowheads="1"/>
                    </pic:cNvPicPr>
                  </pic:nvPicPr>
                  <pic:blipFill dpi="0">
                    <a:blip xmlns:r="http://schemas.openxmlformats.org/officeDocument/2006/relationships" r:embed="Relimage35"/>
                    <a:srcRect/>
                    <a:stretch>
                      <a:fillRect/>
                    </a:stretch>
                  </pic:blipFill>
                  <pic:spPr bwMode="auto">
                    <a:xfrm>
                      <a:off x="0" y="0"/>
                      <a:ext cx="4675505" cy="5477510"/>
                    </a:xfrm>
                    <a:prstGeom prst="rect"/>
                    <a:noFill/>
                    <a:ln>
                      <a:noFill/>
                    </a:ln>
                  </pic:spPr>
                </pic:pic>
              </a:graphicData>
            </a:graphic>
          </wp:inline>
        </w:drawing>
      </w:r>
    </w:p>
    <w:p>
      <w:pPr>
        <w:pStyle w:val="P15"/>
      </w:pPr>
      <w:r>
        <w:t xml:space="preserve">Utsnitt från illustration över huvudsaklig kommunikation över gång- och cykelvägar i nord-sydlig riktning samt förgreningar in i planområdet och vidare. Streckad pil anger möjlig kommunikation in i planområdet som det saknas kommunal finansiering för. </w:t>
      </w:r>
    </w:p>
    <w:p>
      <w:pPr>
        <w:pStyle w:val="P3"/>
      </w:pPr>
      <w:bookmarkEnd w:id="391"/>
      <w:bookmarkStart w:id="394" w:name="_Toc165276802"/>
      <w:bookmarkStart w:id="395" w:name="ko_kollektivtrafik01"/>
      <w:r>
        <w:t>Kollektivtrafik</w:t>
      </w:r>
      <w:bookmarkEnd w:id="394"/>
    </w:p>
    <w:p>
      <w:pPr>
        <w:pStyle w:val="P13"/>
      </w:pPr>
      <w:r>
        <w:t>Planförslaget bedöms öka antalet resenärer med kollektivtrafiken till området i och med den ändring i exploatering och verksamhetstyper som det innebär. Kontra antalet besökare som redan idag reser till handelsområdet bör genomfört planförslag dock endast innebära en marginell ökning av antalet resenärer.</w:t>
      </w:r>
    </w:p>
    <w:p>
      <w:pPr>
        <w:pStyle w:val="P3"/>
      </w:pPr>
      <w:bookmarkEnd w:id="395"/>
      <w:bookmarkStart w:id="396" w:name="_Toc165276803"/>
      <w:bookmarkStart w:id="397" w:name="ko_motortrafik01"/>
      <w:r>
        <w:t>Motortrafik</w:t>
      </w:r>
      <w:bookmarkEnd w:id="396"/>
    </w:p>
    <w:p>
      <w:pPr>
        <w:pStyle w:val="P13"/>
      </w:pPr>
      <w:r>
        <w:t xml:space="preserve">Motortrafiken inom planområdet kommer att öka i och med genomfört planförslag, framförallt avseende persontransporter med personbil. Besökare djur- och handelsområdet kommer att använda befintlig in- och utfart mot Ölandsleden. Antalet trafikanter kommer öka marginelt och bedöms inte påverka omgivande vägar. </w:t>
      </w:r>
    </w:p>
    <w:p>
      <w:pPr>
        <w:pStyle w:val="P3"/>
      </w:pPr>
      <w:bookmarkEnd w:id="397"/>
      <w:bookmarkStart w:id="398" w:name="_Toc165276804"/>
      <w:bookmarkStart w:id="399" w:name="pf_transporter01"/>
      <w:r>
        <w:t>Transporter</w:t>
      </w:r>
      <w:bookmarkEnd w:id="398"/>
    </w:p>
    <w:p>
      <w:pPr>
        <w:pStyle w:val="P13"/>
      </w:pPr>
      <w:r>
        <w:t>Behovet av transporter till och från fastighterna bör öka i och med att planförslaget genomförs. Djurkliniken bedöms endast generera små tillkommande transporter medan behovet av transporter till den norra delen av planområdet helt beror på vilken typ av verksamhet som etableras där. Relativt befintlig transportmängd förväntas ökningen oavsett vara måttlig.</w:t>
      </w:r>
    </w:p>
    <w:p>
      <w:pPr>
        <w:pStyle w:val="P2"/>
        <w:rPr>
          <w:caps w:val="1"/>
        </w:rPr>
      </w:pPr>
      <w:bookmarkEnd w:id="392"/>
      <w:bookmarkEnd w:id="393"/>
      <w:bookmarkEnd w:id="399"/>
      <w:bookmarkStart w:id="400" w:name="_Toc89446102"/>
      <w:bookmarkStart w:id="401" w:name="_Toc108183010"/>
      <w:bookmarkStart w:id="402" w:name="_Toc119320322"/>
      <w:bookmarkStart w:id="403" w:name="ko_sociala02"/>
      <w:bookmarkStart w:id="404" w:name="_Toc165276805"/>
      <w:r>
        <w:t>Sociala</w:t>
      </w:r>
      <w:bookmarkEnd w:id="400"/>
      <w:bookmarkEnd w:id="401"/>
      <w:bookmarkEnd w:id="402"/>
      <w:r>
        <w:t xml:space="preserve"> konsekvenser</w:t>
      </w:r>
      <w:bookmarkEnd w:id="403"/>
      <w:bookmarkEnd w:id="404"/>
      <w:bookmarkStart w:id="405" w:name="ko_sociala01"/>
    </w:p>
    <w:p>
      <w:pPr>
        <w:pStyle w:val="P3"/>
      </w:pPr>
      <w:bookmarkEnd w:id="405"/>
      <w:bookmarkStart w:id="406" w:name="_Toc165276806"/>
      <w:bookmarkStart w:id="407" w:name="ko_sociala03"/>
      <w:bookmarkStart w:id="408" w:name="ko_jämlikhet01"/>
      <w:r>
        <w:t>Samvaro</w:t>
      </w:r>
      <w:bookmarkEnd w:id="406"/>
    </w:p>
    <w:p>
      <w:pPr>
        <w:pStyle w:val="P13"/>
      </w:pPr>
      <w:r>
        <w:t>Med planförslaget införs möjligheten att etablera centrumverksamheter och besöksanläggningar vilket skapar förutsättningar för en verksamhetsmix som bättre främjar samvaro inom närområdet än idag. Genom att tillåta besöksanläggningar möjliggörs tillförande av nya målpunkter för fritidsaktiviteter och rekreation i närområdet som idag saknas, exempelvis en trampolinpark eller lekland.</w:t>
      </w:r>
    </w:p>
    <w:p>
      <w:pPr>
        <w:pStyle w:val="P13"/>
      </w:pPr>
    </w:p>
    <w:p>
      <w:pPr>
        <w:pStyle w:val="P13"/>
      </w:pPr>
      <w:r>
        <w:t>Utomhusmiljön utförs med mer växtlighet än vad som är vedertaget inom handelsområdet för att göra den mer inbjudande för spontana sociala interaktioner. Någon ren rekreations- eller samvaroyta som exempelvis en lekplats föreslås dock inte.</w:t>
      </w:r>
    </w:p>
    <w:p>
      <w:pPr>
        <w:pStyle w:val="P3"/>
      </w:pPr>
      <w:bookmarkStart w:id="409" w:name="_Toc165276807"/>
      <w:r>
        <w:t>Mobilitet</w:t>
      </w:r>
      <w:bookmarkEnd w:id="409"/>
    </w:p>
    <w:p>
      <w:pPr>
        <w:pStyle w:val="P13"/>
      </w:pPr>
      <w:r>
        <w:t>Planförslaget påverkar inte närområdets förutsättningar för mobilitet i någon större utsträckning än att möjliggöra en mer direkt rörelse för cyklister och fotgängare från sydväst mot nordost över fastigheten.</w:t>
      </w:r>
    </w:p>
    <w:p>
      <w:pPr>
        <w:pStyle w:val="P13"/>
      </w:pPr>
    </w:p>
    <w:p>
      <w:pPr>
        <w:pStyle w:val="P13"/>
      </w:pPr>
      <w:r>
        <w:t xml:space="preserve">Lokalt inom planområdet bör olika initiativ för att underlätta bilfria kommunikationer tas i genomförandet.  Dessa initiativ kan bland annat vara att erbjuda väderskyddade cykelparkeringar i närheten av entréer, möjligheter för elcykelladdning och logiska kommunikationer inom fastigheten för fotgängare och cyklister.</w:t>
      </w:r>
    </w:p>
    <w:p>
      <w:pPr>
        <w:pStyle w:val="P13"/>
      </w:pPr>
    </w:p>
    <w:p>
      <w:pPr>
        <w:pStyle w:val="P3"/>
      </w:pPr>
      <w:bookmarkStart w:id="410" w:name="_Toc165276808"/>
      <w:r>
        <w:t>Trygghet</w:t>
      </w:r>
      <w:bookmarkEnd w:id="410"/>
      <w:r>
        <w:t xml:space="preserve">  </w:t>
      </w:r>
    </w:p>
    <w:p>
      <w:pPr>
        <w:pStyle w:val="P13"/>
      </w:pPr>
      <w:r>
        <w:t xml:space="preserve">Planförslaget förväntas påverka upplevd och faktisk trygghet i närområdet starkt i positiv bemärkelse. Idag är planområdet beläget på en tydlig baksida i hörnet av handelsområdet eftersom omkringliggande handelsbyggnader är vända in mot parkeringsplatserna i handelsområdets centrum. Tillägget av en djurklinik, som dessutom förväntas vara bemannad dygnet runt, tillsammans med ökade möjligheter att röra sig igenom området med borttagande av befintligt stängsel, kommer att öka rörligheten och uppsikten över området markant. Det kommer även bidra med ökad trygghet för de som färdas längs gång- och cykelvägarna längs med Trångsundsvägen. </w:t>
      </w:r>
    </w:p>
    <w:p>
      <w:pPr>
        <w:pStyle w:val="P13"/>
      </w:pPr>
    </w:p>
    <w:p>
      <w:pPr>
        <w:pStyle w:val="P13"/>
      </w:pPr>
      <w:r>
        <w:t xml:space="preserve">Ett problem avseende trygghet som finns redan idag och där särskild hänsyn bör tas vid genomförandet är gång- och cykelsituationen vid infarten till varumottaget till grannfastighet och planerad handelsbyggnad. Idag har huvudcykelvägen bredvid Trångsundsvägen markerats i sin överfart vid infarten till grannfastighetens varumottag (röd ellips i bild nedan). Markeringar har förstärkts för att öka trafiksäkerheten men kan fortfarande utgöra en risk vid bristande uppmärksamhet. Idag används också räddningsvägen söder om grannbyggnaden som GC-väg vilket den inte är avsedd för, varför önskemål har funnits om att etablera en GC-väg parallellt med denna på planerat u-område. </w:t>
      </w:r>
    </w:p>
    <w:p>
      <w:pPr>
        <w:pStyle w:val="P13"/>
      </w:pPr>
      <w:r>
        <w:t>Denna tvärförbindelse kommer oundvikligen att korsa infarten till varumottag för planerad handelsbyggnad (blå ellips i bilden) varför även denna korsning bör utformas med särskild hänsyn.</w:t>
      </w:r>
    </w:p>
    <w:p>
      <w:pPr>
        <w:pStyle w:val="P13"/>
      </w:pPr>
    </w:p>
    <w:p>
      <w:pPr>
        <w:pStyle w:val="P13"/>
      </w:pPr>
      <w:r>
        <w:drawing>
          <wp:inline xmlns:wp="http://schemas.openxmlformats.org/drawingml/2006/wordprocessingDrawing" distT="0" distB="0" distL="0" distR="0">
            <wp:extent cx="4675505" cy="4011295"/>
            <wp:effectExtent l="0" t="0" r="0" b="8255"/>
            <wp:docPr id="23" name="Bildobjekt 23"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P748#yIS1"/>
                    <pic:cNvPicPr>
                      <a:picLocks noChangeAspect="1" noChangeArrowheads="1"/>
                    </pic:cNvPicPr>
                  </pic:nvPicPr>
                  <pic:blipFill dpi="0">
                    <a:blip xmlns:r="http://schemas.openxmlformats.org/officeDocument/2006/relationships" r:embed="Relimage36"/>
                    <a:srcRect/>
                    <a:stretch>
                      <a:fillRect/>
                    </a:stretch>
                  </pic:blipFill>
                  <pic:spPr bwMode="auto">
                    <a:xfrm>
                      <a:off x="0" y="0"/>
                      <a:ext cx="4675505" cy="4011295"/>
                    </a:xfrm>
                    <a:prstGeom prst="rect"/>
                    <a:noFill/>
                    <a:ln>
                      <a:noFill/>
                    </a:ln>
                  </pic:spPr>
                </pic:pic>
              </a:graphicData>
            </a:graphic>
          </wp:inline>
        </w:drawing>
      </w:r>
    </w:p>
    <w:p>
      <w:pPr>
        <w:pStyle w:val="P15"/>
      </w:pPr>
      <w:r>
        <w:t>Korsningar GC-väg och infarter för lastbilar som kräver särskild hänsyn vid utformning. Röd är befintlig medan blå är tillkommande.</w:t>
      </w:r>
    </w:p>
    <w:p>
      <w:pPr>
        <w:pStyle w:val="P13"/>
      </w:pPr>
    </w:p>
    <w:p>
      <w:pPr>
        <w:pStyle w:val="P13"/>
      </w:pPr>
      <w:r>
        <w:t>Utöver ökad trygghet på platsen ökar även tryggheten för djurägare i regionen i den mån att en för ändamålet byggd djurklinik ökar tillgängligheten till kvalificerad vård av husdjur för invånare i hela regionen.</w:t>
      </w:r>
    </w:p>
    <w:p>
      <w:pPr>
        <w:pStyle w:val="P2"/>
        <w:rPr>
          <w:caps w:val="1"/>
        </w:rPr>
      </w:pPr>
      <w:bookmarkEnd w:id="407"/>
      <w:bookmarkEnd w:id="408"/>
      <w:bookmarkStart w:id="411" w:name="_Toc165276809"/>
      <w:bookmarkStart w:id="412" w:name="ko_natur02"/>
      <w:r>
        <w:t>Natur</w:t>
      </w:r>
      <w:bookmarkEnd w:id="378"/>
      <w:bookmarkEnd w:id="379"/>
      <w:bookmarkEnd w:id="380"/>
      <w:r>
        <w:t xml:space="preserve"> och miljö</w:t>
      </w:r>
      <w:bookmarkEnd w:id="411"/>
    </w:p>
    <w:p>
      <w:pPr>
        <w:pStyle w:val="P3"/>
      </w:pPr>
      <w:bookmarkEnd w:id="412"/>
      <w:bookmarkStart w:id="413" w:name="_Toc89446087"/>
      <w:bookmarkStart w:id="414" w:name="_Toc108182995"/>
      <w:bookmarkStart w:id="415" w:name="_Toc165276810"/>
      <w:bookmarkStart w:id="416" w:name="_Toc119320307"/>
      <w:bookmarkStart w:id="417" w:name="ko_strategiskmiljöbedömning01"/>
      <w:bookmarkStart w:id="418" w:name="ko_miljökonsekvensbeskrivning01"/>
      <w:bookmarkStart w:id="419" w:name="_Toc89446082"/>
      <w:bookmarkStart w:id="420" w:name="_Toc108182990"/>
      <w:bookmarkStart w:id="421" w:name="_Toc119320302"/>
      <w:r>
        <w:t>Strategisk miljöbedömning</w:t>
      </w:r>
      <w:bookmarkEnd w:id="413"/>
      <w:bookmarkEnd w:id="414"/>
      <w:bookmarkEnd w:id="415"/>
      <w:bookmarkEnd w:id="416"/>
      <w:bookmarkStart w:id="422" w:name="ko_miljöbedömning01"/>
    </w:p>
    <w:p>
      <w:pPr>
        <w:pStyle w:val="P13"/>
      </w:pPr>
      <w:r>
        <w:t>När en plan upprättas eller ändras ska kommunen enligt Miljöbalken 6 kap 5 § genom en undersökning bedöma om planens genomförande kan antas medföra en betydande miljöpåverkan. Om planens genomförande kan antas medföra en betydande miljöpåverkan, ska en strategisk miljöbedömning göras enligt Miljöbalken 6 kap 3 § och 9 §. En miljökonsekvensbeskrivning skall då upprättas i enlighet med Miljöbalken 6 kap 11 §.</w:t>
      </w:r>
    </w:p>
    <w:p>
      <w:pPr>
        <w:pStyle w:val="P13"/>
      </w:pPr>
      <w:bookmarkEnd w:id="417"/>
      <w:bookmarkEnd w:id="418"/>
    </w:p>
    <w:p>
      <w:pPr>
        <w:pStyle w:val="P3"/>
        <w:rPr>
          <w:caps w:val="1"/>
        </w:rPr>
      </w:pPr>
      <w:bookmarkEnd w:id="422"/>
      <w:bookmarkStart w:id="423" w:name="_Toc89446088"/>
      <w:bookmarkStart w:id="424" w:name="_Toc108182996"/>
      <w:bookmarkStart w:id="425" w:name="_Toc165276811"/>
      <w:bookmarkStart w:id="426" w:name="_Toc119320308"/>
      <w:bookmarkStart w:id="427" w:name="ko_ställningstagande4kap33b_pbl02"/>
      <w:r>
        <w:t>Ställningstagande om betydande miljöpåverkan enligt 4 kap. 33 b § plan- och bygglagen (2010:900)</w:t>
      </w:r>
      <w:bookmarkEnd w:id="423"/>
      <w:bookmarkEnd w:id="424"/>
      <w:bookmarkEnd w:id="425"/>
      <w:bookmarkEnd w:id="426"/>
    </w:p>
    <w:p>
      <w:pPr>
        <w:pStyle w:val="P13"/>
        <w:rPr>
          <w:sz w:val="24"/>
        </w:rPr>
      </w:pPr>
      <w:bookmarkStart w:id="428" w:name="ko_ställningstagande4kap33b_pbl01"/>
      <w:r>
        <w:t>Kommunen har gjort en undersökning och i den bedömt att genomförandet av detaljplanen inte kan antas medföra betydande miljöpåverkan. En strategisk miljöbedömning krävs därför inte. Relevanta miljöaspekter behandlas i planbeskrivningen.</w:t>
      </w:r>
      <w:bookmarkEnd w:id="427"/>
      <w:bookmarkEnd w:id="428"/>
      <w:bookmarkStart w:id="429" w:name="ko_strandskydd01"/>
    </w:p>
    <w:p>
      <w:pPr>
        <w:pStyle w:val="P3"/>
      </w:pPr>
      <w:bookmarkEnd w:id="429"/>
      <w:bookmarkStart w:id="430" w:name="_Toc89446090"/>
      <w:bookmarkStart w:id="431" w:name="_Toc108182998"/>
      <w:bookmarkStart w:id="432" w:name="_Toc165276812"/>
      <w:bookmarkStart w:id="433" w:name="_Toc119320310"/>
      <w:bookmarkStart w:id="434" w:name="ko_dagvatten02"/>
      <w:r>
        <w:t>Dagvatten</w:t>
      </w:r>
      <w:bookmarkEnd w:id="430"/>
      <w:bookmarkEnd w:id="431"/>
      <w:bookmarkEnd w:id="432"/>
      <w:bookmarkEnd w:id="433"/>
      <w:bookmarkStart w:id="435" w:name="ko_dagvatten01"/>
    </w:p>
    <w:p>
      <w:pPr>
        <w:pStyle w:val="P13"/>
      </w:pPr>
      <w:r>
        <w:t>Planområdet är beläget inom verksamhetsområde för dagvattennätet, och fastigheterna är därmed anslutna till dagvattennätet via servispunkter. Efter samverkan med Kalmar Vatten under planarbetet har det framkommit att de inte anser att det föreligger någon kapacitetsproblematik avseende dagvattenhanteringen vid detaljplanens genomförande. Detta eftersom planområdet redan idag till största del är hårdgjort, varför andelen hårdgjord yta, och förenklat därmed även belastningen på dagvattennätet, endast förväntas öka marginellt jämfört med idag när planförslaget genomförs. Om det under genomförandet vidtas förebyggande åtgärder, så som dagenvattendammar, fördröjningsmagasin, översvämningsytor eller att tak helt eller delvis utförs gröna, torde det rent av vara möjligt att minska belastningen på dagvattennätet jämfört med idag.</w:t>
      </w:r>
    </w:p>
    <w:p>
      <w:pPr>
        <w:pStyle w:val="P13"/>
      </w:pPr>
    </w:p>
    <w:p>
      <w:pPr>
        <w:pStyle w:val="P13"/>
      </w:pPr>
      <w:r>
        <w:t xml:space="preserve">Så som planförslaget är illustrerat i bifogad illustrationsplan skulle det innebära att den hårdgjorda ytan inom planområdet ökar från cirka 11300 kvm till cirka 11900 kvm, eller från 72% till 76%. I dessa siffror har parkeringsplatser om 1600 kvm illustrerats/räknats som gräsarmerade och därmed ej hårdgjorda. </w:t>
      </w:r>
    </w:p>
    <w:p>
      <w:pPr>
        <w:pStyle w:val="P13"/>
      </w:pPr>
    </w:p>
    <w:p>
      <w:pPr>
        <w:pStyle w:val="P13"/>
      </w:pPr>
      <w:r>
        <w:t>Inom fastigheten Alhagen 1, som har en area om 14992 kvm, är idag cirka 11000 kvm, eller knappt 74% av fastighetsarean, hårdgjord. Om planförslaget genomförs enligt illustrationsplanen förväntas andel hårdgjord yta inom Alhagen öka till knappt 77%, eller 11500 kvm. Detta är exklusive 1600 kvm gräsarmerad parkering enligt föregående stycke. Om all illustrerad parkering utförs hårdgjord innebär detta att cirka 13100 kvm eller drygt 87% av fastighetsarean skulle bli hårdgjord.</w:t>
      </w:r>
    </w:p>
    <w:p>
      <w:pPr>
        <w:pStyle w:val="P13"/>
      </w:pPr>
    </w:p>
    <w:p>
      <w:pPr>
        <w:pStyle w:val="P13"/>
      </w:pPr>
      <w:r>
        <w:t>Användningsgränsen som delar planområdet i två delar fastigheten Alhagen 1 i två nästan exakt jämnstora ytor på knappt 7500 kvm vardera. Illustrerad hårdgjord yta (exklusive gräsarmerade parkeringsplatser) uppgår i söder till 5740 kvm (knappt 77 procent) och i norr till 5690 kvm (knappt 76 procent). Den söda delen av planområdet omfattar 68 parkeringsplatser som är illustrerade som gräsarmerade om totalt 850 kvm, eller drygt 11%, medan motsvarande siffror för den norra delen av planområdet är 60 p-platser, 750 kvm eller ganska exakt 10%.</w:t>
      </w:r>
    </w:p>
    <w:p>
      <w:pPr>
        <w:pStyle w:val="P13"/>
      </w:pPr>
    </w:p>
    <w:p>
      <w:pPr>
        <w:pStyle w:val="P13"/>
      </w:pPr>
      <w:r>
        <w:t>För att säkerställa att tillräckliga markytor genomförs genomsläppliga för dagvattenhanteringen införs planbestämmelse n</w:t>
      </w:r>
      <w:r>
        <w:rPr>
          <w:vertAlign w:val="subscript"/>
        </w:rPr>
        <w:t>1</w:t>
      </w:r>
      <w:r>
        <w:t xml:space="preserve">, som reglerar en minsta andel av fastighetsarea som utförs genomsläpplig. </w:t>
        <w:br w:type="textWrapping"/>
        <w:t>Exempelsiffror ovan visar att det är möjligt klara kravet på genomsläppliga markytor enligt planbestämmelsen även om fastigheten skulle styckas av till två separata fastigheter.</w:t>
      </w:r>
    </w:p>
    <w:p>
      <w:pPr>
        <w:pStyle w:val="P13"/>
      </w:pPr>
    </w:p>
    <w:p>
      <w:pPr>
        <w:pStyle w:val="P13"/>
      </w:pPr>
      <w:r>
        <w:t>Efter dialog med sakkunnig i vattenmiljöfrågor på kommunen konstaterades att parkeringsplatser som utförs gräsarmerade, och därmed biologiskt aktiva, kan bortses ifrån när det kommer till kravet om oljeavskiljare vid fler än 50 parkeringsplatser enligt kommunens policy för oljeavskiljare. Eventuella oljespill kan då anses kvarstanna inom planområdet och förs inte vidare med dagvattennätet.</w:t>
      </w:r>
    </w:p>
    <w:p>
      <w:pPr>
        <w:pStyle w:val="P13"/>
      </w:pPr>
    </w:p>
    <w:p>
      <w:pPr>
        <w:pStyle w:val="P13"/>
      </w:pPr>
      <w:r>
        <w:t>De flesta uppvuxna träd som finns i trädridån i västra delen av planområdet planeras att bevaras och nya träd planteras bland parkeringsplatserna. Trots att trädraden med mindre träd parallellt med den norra planområdesgränsen avgår kan därför nettot av trädens biomassa förväntas vara jämförbart med dagens läge.</w:t>
      </w:r>
    </w:p>
    <w:p>
      <w:pPr>
        <w:pStyle w:val="P13"/>
      </w:pPr>
      <w:r>
        <w:drawing>
          <wp:inline xmlns:wp="http://schemas.openxmlformats.org/drawingml/2006/wordprocessingDrawing" distT="0" distB="0" distL="0" distR="0">
            <wp:extent cx="4675505" cy="6607810"/>
            <wp:effectExtent l="0" t="0" r="0" b="2540"/>
            <wp:docPr id="27" name="Bildobjekt 27" descr="P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27" descr="P772#yIS1"/>
                    <pic:cNvPicPr>
                      <a:picLocks noChangeAspect="1" noChangeArrowheads="1"/>
                    </pic:cNvPicPr>
                  </pic:nvPicPr>
                  <pic:blipFill dpi="0">
                    <a:blip xmlns:r="http://schemas.openxmlformats.org/officeDocument/2006/relationships" r:embed="Relimage37" cstate="print"/>
                    <a:srcRect/>
                    <a:stretch>
                      <a:fillRect/>
                    </a:stretch>
                  </pic:blipFill>
                  <pic:spPr bwMode="auto">
                    <a:xfrm>
                      <a:off x="0" y="0"/>
                      <a:ext cx="4675505" cy="6607810"/>
                    </a:xfrm>
                    <a:prstGeom prst="rect"/>
                    <a:noFill/>
                    <a:ln>
                      <a:noFill/>
                    </a:ln>
                  </pic:spPr>
                </pic:pic>
              </a:graphicData>
            </a:graphic>
          </wp:inline>
        </w:drawing>
      </w:r>
    </w:p>
    <w:p>
      <w:pPr>
        <w:pStyle w:val="P15"/>
      </w:pPr>
      <w:bookmarkEnd w:id="435"/>
      <w:r>
        <w:t>Avvattningsplan som visar hur vatten avleds mot gräsarmerade parkeringsplatser och grönytor i planområdets utkant. I planområdets västra sida finns utrymmen för möjliga översvämningsytor.</w:t>
      </w:r>
    </w:p>
    <w:p>
      <w:pPr>
        <w:pStyle w:val="P13"/>
      </w:pPr>
    </w:p>
    <w:p>
      <w:pPr>
        <w:pStyle w:val="P13"/>
      </w:pPr>
      <w:r>
        <w:t>Dagvattnet bör i största möjliga mån omhändertas lokalt, inom fastigheten och planområdet. De topografiska förutsättningarna i och intill planområdet är dock sådana att intilliggande naturmark söder och väster om planområdesgränsen kan användas för att ta hand om överskjutande dagvatten. De ligger naturligt mer låglänt än planområdet och med en medveten höjdsättning under genomförandet, utförd i linje med bilagd Avvattningsplan, kan ytavrinningen till dessa områden bidra till en hållbar dagvattenhantering. Gräsytorna är väl avdikade mot Trångsundsvägen och Ölandsleden, varför eventuellt tillskjutande ytdagvatten inte riskerar att översvämma vägnätet.</w:t>
      </w:r>
      <w:bookmarkEnd w:id="434"/>
    </w:p>
    <w:p>
      <w:pPr>
        <w:pStyle w:val="P3"/>
      </w:pPr>
      <w:bookmarkStart w:id="436" w:name="_Toc165276813"/>
      <w:bookmarkStart w:id="437" w:name="ko_grönområde02"/>
      <w:r>
        <w:t>Natur- och grönområde</w:t>
      </w:r>
      <w:bookmarkEnd w:id="419"/>
      <w:bookmarkEnd w:id="420"/>
      <w:bookmarkEnd w:id="421"/>
      <w:r>
        <w:t>n</w:t>
      </w:r>
      <w:bookmarkEnd w:id="436"/>
      <w:r>
        <w:t xml:space="preserve"> </w:t>
      </w:r>
    </w:p>
    <w:p>
      <w:pPr>
        <w:pStyle w:val="P13"/>
      </w:pPr>
      <w:bookmarkStart w:id="438" w:name="ko_grönområde01"/>
      <w:r>
        <w:t>Träden som är planterade parallellt med räddningsvägen i norra delen av planområdet måste tas bort i och med att området planläggs som u-område och ledningar förläggs dit. Då trädplanteringen inte bedöms åtnjuta biotopskydd enligt redogörelse för befintliga naturvärden anses detta endast utgöra begränsad påverkan på befintliga naturvärden.</w:t>
      </w:r>
    </w:p>
    <w:p>
      <w:pPr>
        <w:pStyle w:val="P13"/>
      </w:pPr>
    </w:p>
    <w:p>
      <w:pPr>
        <w:pStyle w:val="P13"/>
      </w:pPr>
      <w:r>
        <w:t>Planförslaget förväntas inte påverka några befintliga natur- eller grönområden under genomförandet annat än att den synliga landskapsbilden från naturområdet söder om planområdet förändras något i och med den ökade exploateringen.</w:t>
      </w:r>
    </w:p>
    <w:p>
      <w:pPr>
        <w:pStyle w:val="P3"/>
        <w:rPr>
          <w:caps w:val="1"/>
        </w:rPr>
      </w:pPr>
      <w:bookmarkEnd w:id="437"/>
      <w:bookmarkEnd w:id="438"/>
      <w:bookmarkStart w:id="439" w:name="_Toc89446083"/>
      <w:bookmarkStart w:id="440" w:name="_Toc108182991"/>
      <w:bookmarkStart w:id="441" w:name="_Toc165276814"/>
      <w:bookmarkStart w:id="442" w:name="_Toc119320303"/>
      <w:bookmarkStart w:id="443" w:name="ko_landskapsbild02"/>
      <w:r>
        <w:t>Landskapsbild</w:t>
      </w:r>
      <w:bookmarkEnd w:id="439"/>
      <w:bookmarkEnd w:id="440"/>
      <w:bookmarkEnd w:id="441"/>
      <w:bookmarkEnd w:id="442"/>
      <w:r>
        <w:t xml:space="preserve"> </w:t>
      </w:r>
    </w:p>
    <w:p>
      <w:pPr>
        <w:pStyle w:val="P13"/>
      </w:pPr>
      <w:bookmarkStart w:id="444" w:name="ko_landskapsbild01"/>
      <w:r>
        <w:t>Även om den ökade exploateringen inom planområdet oundvikligen leder till en påverkad landskapsbild är planförslaget utformat för att minimera denna påverkan. Den större handelsvolymen skyls delvis av befintlig trädplantering i väster och det är tänkbart att denna plantering kan utökas. I södra delen av planområdet saknas denna skylande trädridå men där förväntas istället själva byggnadsvolymen vara mer uppbruten och mer traditionellt utformad som lador med sadeltak.</w:t>
      </w:r>
    </w:p>
    <w:p>
      <w:pPr>
        <w:pStyle w:val="P13"/>
      </w:pPr>
      <w:bookmarkEnd w:id="443"/>
      <w:bookmarkEnd w:id="444"/>
      <w:bookmarkStart w:id="445" w:name="ko_vatten01"/>
    </w:p>
    <w:p>
      <w:pPr>
        <w:pStyle w:val="P2"/>
      </w:pPr>
      <w:bookmarkEnd w:id="445"/>
      <w:bookmarkStart w:id="446" w:name="_Toc165276815"/>
      <w:bookmarkStart w:id="447" w:name="ko_geoteknik01"/>
      <w:bookmarkStart w:id="448" w:name="_Toc89446095"/>
      <w:bookmarkStart w:id="449" w:name="_Toc108183003"/>
      <w:bookmarkStart w:id="450" w:name="_Toc119320315"/>
      <w:r>
        <w:t>Geoteknik</w:t>
      </w:r>
      <w:bookmarkEnd w:id="446"/>
    </w:p>
    <w:p>
      <w:pPr>
        <w:pStyle w:val="P13"/>
      </w:pPr>
      <w:r>
        <w:t>Planförslagets högre exploatering i så väl höjd som utbredning kommer ställa högre krav på markens bärighet än idag. Exploateringen är dock jämförbar med den för närliggande fastigheter varför de lokala förutsättningarna bör vara gynnsamma. En geoteknisk undersökning bör dock utföras under genomförandet för att säkerställa bärigheten för nya byggnader.</w:t>
      </w:r>
    </w:p>
    <w:p>
      <w:pPr>
        <w:pStyle w:val="P13"/>
      </w:pPr>
      <w:bookmarkEnd w:id="447"/>
    </w:p>
    <w:p>
      <w:pPr>
        <w:pStyle w:val="P2"/>
      </w:pPr>
      <w:bookmarkStart w:id="451" w:name="_Toc165276816"/>
      <w:bookmarkStart w:id="452" w:name="ko_hälsaochsäkerhet02"/>
      <w:r>
        <w:t>Hälsa och säkerhet</w:t>
      </w:r>
      <w:bookmarkEnd w:id="448"/>
      <w:bookmarkEnd w:id="449"/>
      <w:bookmarkEnd w:id="450"/>
      <w:bookmarkEnd w:id="451"/>
    </w:p>
    <w:p>
      <w:pPr>
        <w:pStyle w:val="P3"/>
        <w:rPr>
          <w:caps w:val="1"/>
        </w:rPr>
      </w:pPr>
      <w:bookmarkEnd w:id="452"/>
      <w:bookmarkStart w:id="453" w:name="_Toc89446097"/>
      <w:bookmarkStart w:id="454" w:name="_Toc108183005"/>
      <w:bookmarkStart w:id="455" w:name="_Toc165276817"/>
      <w:bookmarkStart w:id="456" w:name="_Toc119320317"/>
      <w:r>
        <w:t>Ö</w:t>
      </w:r>
      <w:bookmarkStart w:id="457" w:name="ko_översvämning02"/>
      <w:r>
        <w:t>versvämning</w:t>
      </w:r>
      <w:bookmarkEnd w:id="453"/>
      <w:bookmarkEnd w:id="454"/>
      <w:bookmarkEnd w:id="455"/>
      <w:bookmarkEnd w:id="456"/>
    </w:p>
    <w:p>
      <w:pPr>
        <w:pStyle w:val="P13"/>
      </w:pPr>
      <w:bookmarkStart w:id="458" w:name="ko_översvämning01"/>
      <w:r>
        <w:t xml:space="preserve">För generella konsekvenser avseende dagvattenhantering, se rubrik 6.7.3. Enligt tidigare fört resonemang bör planförslaget inte innebära någon större skillnad mot idag för marken att omhänderta vare sig normala mängder dagvatten eller från mer lågfrekventa skyfall. </w:t>
      </w:r>
    </w:p>
    <w:p>
      <w:pPr>
        <w:pStyle w:val="P13"/>
      </w:pPr>
    </w:p>
    <w:p>
      <w:pPr>
        <w:pStyle w:val="P13"/>
      </w:pPr>
      <w:r>
        <w:t xml:space="preserve">För att förbättra förutsättningarna för marken att ta emot och infiltrera eller fördröja vattenmängder vid skyfall av större omfattning kan en möjlig lösning vara att anlägga översvämningsytor inom fastigheten mellan föreslagen handelsbyggnad och Trångsundsvägen. Områdena utgör enligt kommunens skyfallskartering redan idag lågpunkter där vatten naturligt ansamlas i mindre mängder, ett förhållande som kan förstärkas genom medveten höjdsättning under genomförandet. </w:t>
      </w:r>
    </w:p>
    <w:p>
      <w:pPr>
        <w:pStyle w:val="P13"/>
      </w:pPr>
    </w:p>
    <w:p>
      <w:pPr>
        <w:pStyle w:val="P13"/>
      </w:pPr>
      <w:r>
        <w:t>På samma vis är det möjligt att använda intilliggande naturmark i söder och väster, utanför planområdet, som översvämningsytor genom att via höjdsättning tillse att dagvatten som inte kan infiltreras inom planområdet avleds till dessa ytor.</w:t>
      </w:r>
    </w:p>
    <w:p>
      <w:pPr>
        <w:pStyle w:val="P13"/>
      </w:pPr>
    </w:p>
    <w:p>
      <w:pPr>
        <w:pStyle w:val="P13"/>
      </w:pPr>
      <w:r>
        <w:drawing>
          <wp:inline xmlns:wp="http://schemas.openxmlformats.org/drawingml/2006/wordprocessingDrawing" distT="0" distB="0" distL="0" distR="0">
            <wp:extent cx="4676775" cy="4010025"/>
            <wp:effectExtent l="0" t="0" r="9525" b="9525"/>
            <wp:docPr id="25" name="Bildobjekt 25" descr="P7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objekt 25" descr="P794#yIS1"/>
                    <pic:cNvPicPr>
                      <a:picLocks noChangeAspect="1" noChangeArrowheads="1"/>
                    </pic:cNvPicPr>
                  </pic:nvPicPr>
                  <pic:blipFill dpi="0">
                    <a:blip xmlns:r="http://schemas.openxmlformats.org/officeDocument/2006/relationships" r:embed="Relimage38" cstate="print"/>
                    <a:srcRect/>
                    <a:stretch>
                      <a:fillRect/>
                    </a:stretch>
                  </pic:blipFill>
                  <pic:spPr bwMode="auto">
                    <a:xfrm>
                      <a:off x="0" y="0"/>
                      <a:ext cx="4676775" cy="4010025"/>
                    </a:xfrm>
                    <a:prstGeom prst="rect"/>
                    <a:noFill/>
                    <a:ln>
                      <a:noFill/>
                    </a:ln>
                  </pic:spPr>
                </pic:pic>
              </a:graphicData>
            </a:graphic>
          </wp:inline>
        </w:drawing>
      </w:r>
    </w:p>
    <w:p>
      <w:pPr>
        <w:pStyle w:val="P15"/>
      </w:pPr>
      <w:bookmarkEnd w:id="458"/>
      <w:bookmarkStart w:id="459" w:name="ko_ras01"/>
      <w:r>
        <w:t>Utsnitt från skyfallskartering med illustrationsplanens planerade byggnader överlagrade tillsammans med röda ellipser för var översvämningsytor kan anordnas inom planområdet samt orange ellipser för befintlig naturmark utanför planområdet som kan användas som översvämningsytor om ytavrinning säkerställs under genomförandet.</w:t>
      </w:r>
    </w:p>
    <w:p>
      <w:pPr>
        <w:pStyle w:val="P13"/>
      </w:pPr>
    </w:p>
    <w:p>
      <w:pPr>
        <w:pStyle w:val="P13"/>
      </w:pPr>
      <w:r>
        <w:t>Den höga andelen hårdgjorda ytor och den omfattande exploateringen ställer höga krav på ett medvetet arbete att minimera risker för översvämningar och andra konsekvenser från dagvatten under genomförandeskedet.</w:t>
      </w:r>
      <w:bookmarkEnd w:id="457"/>
    </w:p>
    <w:p>
      <w:pPr>
        <w:pStyle w:val="P3"/>
      </w:pPr>
      <w:bookmarkStart w:id="460" w:name="_Toc165276818"/>
      <w:bookmarkStart w:id="461" w:name="ko_markmiljö01"/>
      <w:r>
        <w:t>Markmiljö</w:t>
      </w:r>
      <w:bookmarkEnd w:id="460"/>
    </w:p>
    <w:p>
      <w:pPr>
        <w:pStyle w:val="P13"/>
      </w:pPr>
      <w:r>
        <w:t>Eftersom planområdet historiskt inte förefaller ha huserat verksamheter som kan antas generera föroreningar kan risken att påverka förorenad mark vid exploatering av fastigheten anses vara låg.</w:t>
      </w:r>
    </w:p>
    <w:p>
      <w:pPr>
        <w:pStyle w:val="P13"/>
      </w:pPr>
    </w:p>
    <w:p>
      <w:pPr>
        <w:pStyle w:val="P13"/>
      </w:pPr>
      <w:r>
        <w:t>Inom ramen för den översiktliga miljötekniska markundersökning som tagits fram under planarbetet togs tio markprover från planområdet för vidare analys. Enligt resultattabellen från laboratorieanalysen av dessa överskrider inga provpunkter de av Naturvårdsverket uppsatta gränsvärden som finns för mindre känslig markanvändning (MKM).</w:t>
      </w:r>
    </w:p>
    <w:p>
      <w:pPr>
        <w:pStyle w:val="P13"/>
      </w:pPr>
    </w:p>
    <w:p>
      <w:pPr>
        <w:pStyle w:val="P13"/>
      </w:pPr>
      <w:r>
        <w:t xml:space="preserve">Alla massor som schaktas bort från ett område räknas som ett avfall (Naturvårdsverket, 2010). OM schaktmassorna överstiger jämförvärdena för ”mindre än ringa risk”, MRR, ska en anmälan om återanvänning av avfall inlämnas och godkännas av tillsynsmyndigheten. I samband med anmälan kan kompletterande provtagning bli aktuell. </w:t>
      </w:r>
      <w:bookmarkEnd w:id="461"/>
    </w:p>
    <w:p>
      <w:pPr>
        <w:pStyle w:val="P13"/>
      </w:pPr>
    </w:p>
    <w:p>
      <w:pPr>
        <w:pStyle w:val="P1"/>
      </w:pPr>
      <w:bookmarkEnd w:id="459"/>
      <w:bookmarkStart w:id="462" w:name="_Toc165276819"/>
      <w:bookmarkStart w:id="463" w:name="pu_annat02"/>
      <w:r>
        <w:t>Planeringsunderlag</w:t>
      </w:r>
      <w:bookmarkEnd w:id="332"/>
      <w:bookmarkEnd w:id="333"/>
      <w:bookmarkEnd w:id="334"/>
      <w:bookmarkEnd w:id="462"/>
    </w:p>
    <w:p>
      <w:pPr>
        <w:pStyle w:val="P13"/>
      </w:pPr>
      <w:r>
        <w:t>I planbeskrivningen ska kommunen redovisa en sammanställning av de planeringsunderlag som legat till grund för detaljplanens omfattning och utformning. De flesta planeringsunderlag finns sparade i kommunens diariesystem, EDP Vision (se diarienummer under respektive underlag). I enstaka fall finns några handlingar i Lantmäterimyndighetens arkiv (se aktnummer under respektive underlag).</w:t>
      </w:r>
    </w:p>
    <w:p>
      <w:pPr>
        <w:pStyle w:val="P13"/>
      </w:pPr>
      <w:bookmarkEnd w:id="463"/>
    </w:p>
    <w:p>
      <w:pPr>
        <w:pStyle w:val="P2"/>
        <w:rPr>
          <w:caps w:val="1"/>
        </w:rPr>
      </w:pPr>
      <w:bookmarkStart w:id="464" w:name="_Toc165276820"/>
      <w:bookmarkStart w:id="465" w:name="be_ärendeinformation02"/>
      <w:bookmarkStart w:id="466" w:name="_Toc89446058"/>
      <w:bookmarkStart w:id="467" w:name="_Toc108182963"/>
      <w:bookmarkStart w:id="468" w:name="_Toc119320275"/>
      <w:r>
        <w:t>Beslutsprotokoll</w:t>
      </w:r>
      <w:bookmarkEnd w:id="464"/>
    </w:p>
    <w:p>
      <w:pPr>
        <w:pStyle w:val="P13"/>
        <w:spacing w:after="240" w:beforeAutospacing="0" w:afterAutospacing="0"/>
      </w:pPr>
      <w:r>
        <w:t>Beslut om samråd av SBN 2023-10-26 §188</w:t>
      </w:r>
    </w:p>
    <w:p>
      <w:pPr>
        <w:pStyle w:val="P13"/>
      </w:pPr>
      <w:r>
        <w:t>Beslut om granskning av SBN genom delegation 2024-03-15</w:t>
      </w:r>
    </w:p>
    <w:p>
      <w:pPr>
        <w:pStyle w:val="P13"/>
      </w:pPr>
    </w:p>
    <w:p>
      <w:pPr>
        <w:pStyle w:val="P13"/>
      </w:pPr>
      <w:r>
        <w:t>Antagen av samhällsbyggnadsnämnden 2024-05-23 §78</w:t>
      </w:r>
    </w:p>
    <w:p>
      <w:pPr>
        <w:pStyle w:val="P13"/>
      </w:pPr>
    </w:p>
    <w:p>
      <w:pPr>
        <w:pStyle w:val="P2"/>
        <w:rPr>
          <w:caps w:val="1"/>
        </w:rPr>
      </w:pPr>
      <w:bookmarkEnd w:id="465"/>
      <w:bookmarkStart w:id="469" w:name="_Toc165276821"/>
      <w:bookmarkStart w:id="470" w:name="pu_kommunala02"/>
      <w:r>
        <w:t>Kommunala</w:t>
      </w:r>
      <w:bookmarkEnd w:id="466"/>
      <w:bookmarkEnd w:id="467"/>
      <w:bookmarkEnd w:id="468"/>
      <w:bookmarkEnd w:id="469"/>
    </w:p>
    <w:p>
      <w:pPr>
        <w:pStyle w:val="P3"/>
      </w:pPr>
      <w:bookmarkEnd w:id="470"/>
      <w:bookmarkStart w:id="471" w:name="_Toc89446059"/>
      <w:bookmarkStart w:id="472" w:name="_Toc108182964"/>
      <w:bookmarkStart w:id="473" w:name="_Toc165276822"/>
      <w:bookmarkStart w:id="474" w:name="_Toc119320276"/>
      <w:bookmarkStart w:id="475" w:name="pu_detaljplan02"/>
      <w:r>
        <w:t>Detaljplan</w:t>
      </w:r>
      <w:bookmarkEnd w:id="471"/>
      <w:bookmarkEnd w:id="472"/>
      <w:bookmarkEnd w:id="473"/>
      <w:bookmarkEnd w:id="474"/>
    </w:p>
    <w:p>
      <w:pPr>
        <w:pStyle w:val="P13"/>
      </w:pPr>
      <w:bookmarkStart w:id="476" w:name="pu_detaljplan01"/>
      <w:r>
        <w:t xml:space="preserve">Detaljplaner som ersätts delvis: </w:t>
      </w:r>
    </w:p>
    <w:p>
      <w:pPr>
        <w:pStyle w:val="P13"/>
      </w:pPr>
      <w:r>
        <w:rPr>
          <w:i w:val="1"/>
          <w:iCs w:val="0"/>
        </w:rPr>
        <w:t>Detaljplan för del av Bilen 3 och del av Hagbygärde 2:2</w:t>
      </w:r>
      <w:r>
        <w:t>. Laga kraft 2003-06-16, 0880K-P03/03</w:t>
      </w:r>
    </w:p>
    <w:p>
      <w:pPr>
        <w:pStyle w:val="P13"/>
      </w:pPr>
    </w:p>
    <w:p>
      <w:pPr>
        <w:pStyle w:val="P13"/>
      </w:pPr>
      <w:r>
        <w:rPr>
          <w:i w:val="1"/>
          <w:iCs w:val="0"/>
        </w:rPr>
        <w:t>Detaljplan för del av kvarteret Bilen, Handelsområdet vid IKEA</w:t>
      </w:r>
      <w:r>
        <w:t>. Laga kraft 2007-05-07, 0880K-P07/17</w:t>
      </w:r>
    </w:p>
    <w:p>
      <w:pPr>
        <w:pStyle w:val="P13"/>
      </w:pPr>
    </w:p>
    <w:p>
      <w:pPr>
        <w:pStyle w:val="P13"/>
      </w:pPr>
      <w:r>
        <w:t>Detaljplaner som ersätts i sin helhet:</w:t>
      </w:r>
    </w:p>
    <w:p>
      <w:pPr>
        <w:pStyle w:val="P13"/>
      </w:pPr>
      <w:r>
        <w:rPr>
          <w:i w:val="1"/>
          <w:iCs w:val="0"/>
        </w:rPr>
        <w:t>Detaljplan för del av kvarteret Bilen 3, Söder om City Gross, Hansa City</w:t>
      </w:r>
      <w:r>
        <w:t>. Laga kraft 2011-01-12, 0880K-P11/05</w:t>
      </w:r>
    </w:p>
    <w:p>
      <w:pPr>
        <w:pStyle w:val="P13"/>
      </w:pPr>
    </w:p>
    <w:p>
      <w:pPr>
        <w:pStyle w:val="P13"/>
      </w:pPr>
      <w:r>
        <w:t xml:space="preserve">Detaljplaner i närområdet: </w:t>
      </w:r>
    </w:p>
    <w:p>
      <w:pPr>
        <w:pStyle w:val="P13"/>
      </w:pPr>
      <w:r>
        <w:rPr>
          <w:i w:val="1"/>
          <w:iCs w:val="0"/>
        </w:rPr>
        <w:t>Förslag till ny och ändrad stadsplan för område vid KV. BILEN i Kalmar kommun</w:t>
      </w:r>
      <w:r>
        <w:t>. Laga kraft 1976-03-25, 0880K-I:347;</w:t>
      </w:r>
    </w:p>
    <w:p>
      <w:pPr>
        <w:pStyle w:val="P13"/>
      </w:pPr>
    </w:p>
    <w:p>
      <w:pPr>
        <w:pStyle w:val="P13"/>
      </w:pPr>
      <w:r>
        <w:rPr>
          <w:i w:val="1"/>
          <w:iCs w:val="0"/>
        </w:rPr>
        <w:t>Förslag till ändrad stadsplan för område mellan Skälby trafikplats och Trångsundsvägen</w:t>
      </w:r>
      <w:r>
        <w:t>. Laga kraft 1986-11-20, 0880K-I:421;</w:t>
      </w:r>
    </w:p>
    <w:p>
      <w:pPr>
        <w:pStyle w:val="P3"/>
      </w:pPr>
      <w:bookmarkEnd w:id="475"/>
      <w:bookmarkEnd w:id="476"/>
      <w:bookmarkStart w:id="477" w:name="_Toc89446060"/>
      <w:bookmarkStart w:id="478" w:name="_Toc108182965"/>
      <w:bookmarkStart w:id="479" w:name="_Toc119320277"/>
      <w:bookmarkStart w:id="480" w:name="_Toc165276823"/>
      <w:bookmarkStart w:id="481" w:name="pu_planprogram02"/>
      <w:r>
        <w:t>Plan</w:t>
      </w:r>
      <w:bookmarkEnd w:id="477"/>
      <w:bookmarkEnd w:id="478"/>
      <w:bookmarkEnd w:id="479"/>
      <w:r>
        <w:t>besked</w:t>
      </w:r>
      <w:bookmarkEnd w:id="480"/>
    </w:p>
    <w:p>
      <w:pPr>
        <w:pStyle w:val="P13"/>
      </w:pPr>
      <w:bookmarkStart w:id="482" w:name="pu_planprogram01"/>
      <w:r>
        <w:rPr>
          <w:i w:val="1"/>
          <w:iCs w:val="0"/>
        </w:rPr>
        <w:t>Alhagen 1, Hansa city i Kalmar, Kalmar kommun - Yttrande till planbesked</w:t>
      </w:r>
      <w:r>
        <w:t xml:space="preserve">.  2020-11-25, SBK 2020-4824 </w:t>
      </w:r>
    </w:p>
    <w:p>
      <w:pPr>
        <w:pStyle w:val="P13"/>
      </w:pPr>
      <w:hyperlink xmlns:r="http://schemas.openxmlformats.org/officeDocument/2006/relationships" r:id="R2">
        <w:r>
          <w:rPr>
            <w:rStyle w:val="C2"/>
          </w:rPr>
          <w:t>https://kalmar.se/download/18.2a2efe8c1764128b4d85e0/1607607320864/03-planbesked-alhagen-hagbygarde.PDF</w:t>
        </w:r>
      </w:hyperlink>
    </w:p>
    <w:p>
      <w:pPr>
        <w:pStyle w:val="P13"/>
      </w:pPr>
    </w:p>
    <w:p>
      <w:pPr>
        <w:pStyle w:val="P13"/>
      </w:pPr>
      <w:r>
        <w:rPr>
          <w:i w:val="1"/>
          <w:iCs w:val="0"/>
        </w:rPr>
        <w:t>Planbesked för fastigheten Alhagen 1, Hagbygärde</w:t>
      </w:r>
      <w:r>
        <w:t>. Tjänsteskrivelse 2020-11-27, beviljades 2020-12-15, KS 2020/0855.</w:t>
      </w:r>
    </w:p>
    <w:p>
      <w:pPr>
        <w:pStyle w:val="P13"/>
      </w:pPr>
      <w:hyperlink xmlns:r="http://schemas.openxmlformats.org/officeDocument/2006/relationships" r:id="R3">
        <w:r>
          <w:rPr>
            <w:rStyle w:val="C2"/>
          </w:rPr>
          <w:t>https://kalmar.se/download/18.2a2efe8c1764128b4d85e0/1607607320864/03-planbesked-alhagen-hagbygarde.PDF</w:t>
        </w:r>
      </w:hyperlink>
    </w:p>
    <w:p>
      <w:pPr>
        <w:pStyle w:val="P3"/>
      </w:pPr>
      <w:bookmarkEnd w:id="481"/>
      <w:bookmarkEnd w:id="482"/>
      <w:bookmarkStart w:id="483" w:name="_Toc89446061"/>
      <w:bookmarkStart w:id="484" w:name="_Toc108182966"/>
      <w:bookmarkStart w:id="485" w:name="_Toc165276824"/>
      <w:bookmarkStart w:id="486" w:name="_Toc119320278"/>
      <w:bookmarkStart w:id="487" w:name="pu_grundkarta02"/>
      <w:r>
        <w:t>Grundkarta</w:t>
      </w:r>
      <w:bookmarkEnd w:id="483"/>
      <w:bookmarkEnd w:id="484"/>
      <w:bookmarkEnd w:id="485"/>
      <w:bookmarkEnd w:id="486"/>
    </w:p>
    <w:p>
      <w:pPr>
        <w:pStyle w:val="P13"/>
      </w:pPr>
      <w:bookmarkStart w:id="488" w:name="pu_grundkarta01"/>
      <w:r>
        <w:rPr>
          <w:i w:val="1"/>
          <w:iCs w:val="0"/>
        </w:rPr>
        <w:t>Grundkarta över Alhagen 1 Kalmar kommun</w:t>
      </w:r>
      <w:r>
        <w:t>, 2023-09-29 dnr: 2023-1083</w:t>
      </w:r>
    </w:p>
    <w:p>
      <w:pPr>
        <w:pStyle w:val="P3"/>
      </w:pPr>
      <w:bookmarkEnd w:id="487"/>
      <w:bookmarkEnd w:id="488"/>
      <w:bookmarkStart w:id="489" w:name="_Toc89446062"/>
      <w:bookmarkStart w:id="490" w:name="_Toc108182967"/>
      <w:bookmarkStart w:id="491" w:name="_Toc165276825"/>
      <w:bookmarkStart w:id="492" w:name="_Toc119320279"/>
      <w:bookmarkStart w:id="493" w:name="pu_översiktsplan02"/>
      <w:r>
        <w:t>Översiktsplan</w:t>
      </w:r>
      <w:bookmarkEnd w:id="489"/>
      <w:bookmarkEnd w:id="490"/>
      <w:bookmarkEnd w:id="491"/>
      <w:bookmarkEnd w:id="492"/>
    </w:p>
    <w:p>
      <w:pPr>
        <w:pStyle w:val="P13"/>
      </w:pPr>
      <w:bookmarkStart w:id="494" w:name="pu_översiktsplan01"/>
      <w:r>
        <w:rPr>
          <w:i w:val="1"/>
          <w:iCs w:val="0"/>
        </w:rPr>
        <w:t>Översiktsplan för Kalmar kommun</w:t>
      </w:r>
      <w:r>
        <w:t xml:space="preserve">, antagen 2013-06-17, KS 2012/0567 s. 134-139. </w:t>
      </w:r>
      <w:hyperlink xmlns:r="http://schemas.openxmlformats.org/officeDocument/2006/relationships" r:id="R4">
        <w:r>
          <w:rPr>
            <w:rStyle w:val="C2"/>
          </w:rPr>
          <w:t>https://kalmar.se/download/18.5830fa4e15bf250a09e8a0/1494847175077/hela_op.pdf</w:t>
        </w:r>
      </w:hyperlink>
    </w:p>
    <w:p>
      <w:pPr>
        <w:pStyle w:val="P13"/>
      </w:pPr>
    </w:p>
    <w:p>
      <w:pPr>
        <w:pStyle w:val="P13"/>
      </w:pPr>
      <w:r>
        <w:rPr>
          <w:i w:val="1"/>
          <w:iCs w:val="0"/>
        </w:rPr>
        <w:t xml:space="preserve">Ny översiktsplan för Kalmar kommun - Granskningsförslag II 2023. </w:t>
      </w:r>
      <w:r>
        <w:t xml:space="preserve">Granskning avslutad 2023-05-10. </w:t>
      </w:r>
      <w:hyperlink xmlns:r="http://schemas.openxmlformats.org/officeDocument/2006/relationships" r:id="R5">
        <w:r>
          <w:rPr>
            <w:rStyle w:val="C2"/>
          </w:rPr>
          <w:t>https://experience.arcgis.com/experience/4224d95ff082463fb4d124a73ee0d730/</w:t>
        </w:r>
      </w:hyperlink>
    </w:p>
    <w:p>
      <w:pPr>
        <w:pStyle w:val="P3"/>
      </w:pPr>
      <w:bookmarkStart w:id="495" w:name="_Toc165276826"/>
      <w:r>
        <w:t>Övrigt kommunalt planeringsunderlag</w:t>
      </w:r>
      <w:bookmarkEnd w:id="495"/>
    </w:p>
    <w:p>
      <w:pPr>
        <w:pStyle w:val="P13"/>
      </w:pPr>
      <w:r>
        <w:t xml:space="preserve">Kalmar kommun. </w:t>
      </w:r>
      <w:r>
        <w:rPr>
          <w:i w:val="1"/>
          <w:iCs w:val="0"/>
        </w:rPr>
        <w:t>Öppna geodata</w:t>
      </w:r>
      <w:r>
        <w:t xml:space="preserve">. </w:t>
      </w:r>
      <w:hyperlink xmlns:r="http://schemas.openxmlformats.org/officeDocument/2006/relationships" r:id="R6">
        <w:r>
          <w:rPr>
            <w:rStyle w:val="C2"/>
          </w:rPr>
          <w:t>https://data-kalmar.opendata.arcgis.com/</w:t>
        </w:r>
      </w:hyperlink>
    </w:p>
    <w:p>
      <w:pPr>
        <w:pStyle w:val="P13"/>
      </w:pPr>
    </w:p>
    <w:p>
      <w:pPr>
        <w:pStyle w:val="P13"/>
      </w:pPr>
      <w:r>
        <w:t xml:space="preserve">Kalmar kommun. </w:t>
      </w:r>
      <w:r>
        <w:rPr>
          <w:i w:val="1"/>
          <w:iCs w:val="0"/>
        </w:rPr>
        <w:t>Vatten och avlopp – tematiskt tillägg till översiktsplanen</w:t>
      </w:r>
      <w:r>
        <w:t xml:space="preserve"> (”VA-policy”), antagen av kommunfullmäktige 2016-01-25. </w:t>
      </w:r>
      <w:hyperlink xmlns:r="http://schemas.openxmlformats.org/officeDocument/2006/relationships" r:id="R7">
        <w:r>
          <w:rPr>
            <w:rStyle w:val="C2"/>
          </w:rPr>
          <w:t>https://kalmar.se/download/18.d5aedbd15ebc6e00cf185f/1507707420909/04_vatten_avloppsplan_tematiskttill%C3%A4gg.pdf</w:t>
        </w:r>
      </w:hyperlink>
    </w:p>
    <w:p>
      <w:pPr>
        <w:pStyle w:val="P13"/>
      </w:pPr>
    </w:p>
    <w:p>
      <w:pPr>
        <w:pStyle w:val="P13"/>
      </w:pPr>
      <w:r>
        <w:t xml:space="preserve">Kalmar kommun. </w:t>
      </w:r>
      <w:r>
        <w:rPr>
          <w:i w:val="1"/>
          <w:iCs w:val="0"/>
        </w:rPr>
        <w:t>Riktlinjer för oljeavskiljare i Kalmar kommun</w:t>
      </w:r>
      <w:r>
        <w:t xml:space="preserve">. Antagen 2015-11-18. </w:t>
      </w:r>
      <w:hyperlink xmlns:r="http://schemas.openxmlformats.org/officeDocument/2006/relationships" r:id="R8">
        <w:r>
          <w:rPr>
            <w:rStyle w:val="C2"/>
          </w:rPr>
          <w:t>https://naringsliv.kalmar.se/download/18.4696bc851672f4a08e8266/1542809188047/riktlinjer-oljeavskiljare-antagna-20151118.pdf</w:t>
        </w:r>
      </w:hyperlink>
    </w:p>
    <w:p>
      <w:pPr>
        <w:pStyle w:val="P13"/>
      </w:pPr>
    </w:p>
    <w:p>
      <w:pPr>
        <w:pStyle w:val="P13"/>
      </w:pPr>
      <w:r>
        <w:t xml:space="preserve">Kalmar kommun. </w:t>
      </w:r>
      <w:r>
        <w:rPr>
          <w:i w:val="1"/>
          <w:iCs w:val="0"/>
        </w:rPr>
        <w:t xml:space="preserve">100-års regn </w:t>
      </w:r>
      <w:r>
        <w:t>(skyfallskartering, arbetsmaterial). 2023</w:t>
      </w:r>
    </w:p>
    <w:p>
      <w:pPr>
        <w:pStyle w:val="P13"/>
      </w:pPr>
    </w:p>
    <w:p>
      <w:pPr>
        <w:pStyle w:val="P13"/>
      </w:pPr>
      <w:r>
        <w:t xml:space="preserve">Kalmar kommun. </w:t>
      </w:r>
      <w:r>
        <w:rPr>
          <w:i w:val="1"/>
          <w:iCs w:val="0"/>
        </w:rPr>
        <w:t>Planprogram kv. Bilen</w:t>
      </w:r>
      <w:r>
        <w:t xml:space="preserve"> (Hansa City). 2006</w:t>
      </w:r>
    </w:p>
    <w:p>
      <w:pPr>
        <w:pStyle w:val="P13"/>
      </w:pPr>
    </w:p>
    <w:p>
      <w:pPr>
        <w:pStyle w:val="P13"/>
      </w:pPr>
      <w:r>
        <w:t xml:space="preserve">Kalmar kommun. </w:t>
      </w:r>
      <w:r>
        <w:rPr>
          <w:i w:val="1"/>
          <w:iCs w:val="0"/>
        </w:rPr>
        <w:t>Informationskarta</w:t>
      </w:r>
      <w:r>
        <w:t xml:space="preserve">. </w:t>
      </w:r>
      <w:hyperlink xmlns:r="http://schemas.openxmlformats.org/officeDocument/2006/relationships" r:id="R9">
        <w:r>
          <w:rPr>
            <w:rStyle w:val="C2"/>
          </w:rPr>
          <w:t>https://kalmar.maps.arcgis.com/apps/MapSeries/index.html?appid=15d114ffe9404997abc53cbde560e7a7&amp;entry=1/</w:t>
        </w:r>
      </w:hyperlink>
    </w:p>
    <w:p>
      <w:pPr>
        <w:pStyle w:val="P13"/>
      </w:pPr>
    </w:p>
    <w:p>
      <w:pPr>
        <w:pStyle w:val="P13"/>
      </w:pPr>
      <w:r>
        <w:t xml:space="preserve">Kalmar kommun. </w:t>
      </w:r>
      <w:r>
        <w:rPr>
          <w:i w:val="1"/>
          <w:iCs w:val="0"/>
        </w:rPr>
        <w:t>Grönstrukturplan för Kalmar stad 2010</w:t>
      </w:r>
      <w:r>
        <w:t xml:space="preserve">. Antagen av kommunfullmäktige 2010-11-29 § 155. </w:t>
      </w:r>
      <w:hyperlink xmlns:r="http://schemas.openxmlformats.org/officeDocument/2006/relationships" r:id="RA">
        <w:r>
          <w:rPr>
            <w:rStyle w:val="C2"/>
          </w:rPr>
          <w:t>https://kalmar.se/download/18.3d99d73715c38c8a9e14b09/1496846551475/gronstrukturplan.pdf</w:t>
        </w:r>
      </w:hyperlink>
    </w:p>
    <w:p>
      <w:pPr>
        <w:pStyle w:val="P13"/>
      </w:pPr>
    </w:p>
    <w:p>
      <w:pPr>
        <w:pStyle w:val="P13"/>
      </w:pPr>
      <w:r>
        <w:t xml:space="preserve">Kalmar kommun. </w:t>
      </w:r>
      <w:r>
        <w:rPr>
          <w:i w:val="1"/>
          <w:iCs w:val="0"/>
        </w:rPr>
        <w:t>Föravtal inför exploatering av fastigheten Alhagen 1</w:t>
      </w:r>
      <w:r>
        <w:t xml:space="preserve">. 2023-03-10. KS 2023/0088. </w:t>
      </w:r>
      <w:hyperlink xmlns:r="http://schemas.openxmlformats.org/officeDocument/2006/relationships" r:id="RB">
        <w:r>
          <w:rPr>
            <w:rStyle w:val="C2"/>
          </w:rPr>
          <w:t>https://kalmar.se/download/18.25106bc51865287bf192d00/1678716372000/04-foravtal-infor-exploatering-fastigheten-alhagen.pdf</w:t>
        </w:r>
      </w:hyperlink>
    </w:p>
    <w:p>
      <w:pPr>
        <w:pStyle w:val="P13"/>
      </w:pPr>
    </w:p>
    <w:p>
      <w:pPr>
        <w:pStyle w:val="P13"/>
      </w:pPr>
      <w:r>
        <w:t xml:space="preserve">Kalmar Vatten. </w:t>
      </w:r>
      <w:r>
        <w:rPr>
          <w:i w:val="1"/>
          <w:iCs w:val="0"/>
        </w:rPr>
        <w:t>PM Dagvatten Bergskristallen</w:t>
      </w:r>
      <w:r>
        <w:t xml:space="preserve">. Bilaga till detaljplan 2018-0336 ”Detaljplan för Bergkristallen 2, Topasen 1, del av Oxhagen 2:1 m. fl.”, laga kraft 2021-05-04. </w:t>
      </w:r>
      <w:hyperlink xmlns:r="http://schemas.openxmlformats.org/officeDocument/2006/relationships" r:id="RC">
        <w:r>
          <w:rPr>
            <w:rStyle w:val="C2"/>
          </w:rPr>
          <w:t>https://kalmar.se/download/18.421382e9176639bfe305b1/1608622766512/tillagg-dagvattenutredning-antagande-del-av-bergkristallen-2-och-oxhagen-2-1.pdf</w:t>
        </w:r>
      </w:hyperlink>
    </w:p>
    <w:p>
      <w:pPr>
        <w:pStyle w:val="P2"/>
        <w:rPr>
          <w:caps w:val="1"/>
        </w:rPr>
      </w:pPr>
      <w:bookmarkEnd w:id="493"/>
      <w:bookmarkEnd w:id="494"/>
      <w:bookmarkStart w:id="496" w:name="_Toc89446066"/>
      <w:bookmarkStart w:id="497" w:name="_Toc108182971"/>
      <w:bookmarkStart w:id="498" w:name="_Toc165276827"/>
      <w:bookmarkStart w:id="499" w:name="_Toc119320283"/>
      <w:bookmarkStart w:id="500" w:name="pu_utredningar02"/>
      <w:r>
        <w:t>Utredningar</w:t>
      </w:r>
      <w:bookmarkEnd w:id="496"/>
      <w:bookmarkEnd w:id="497"/>
      <w:bookmarkEnd w:id="498"/>
      <w:bookmarkEnd w:id="499"/>
    </w:p>
    <w:p>
      <w:pPr>
        <w:pStyle w:val="P3"/>
        <w:rPr>
          <w:caps w:val="1"/>
        </w:rPr>
      </w:pPr>
      <w:bookmarkEnd w:id="500"/>
      <w:bookmarkStart w:id="501" w:name="_Toc165276828"/>
      <w:bookmarkStart w:id="502" w:name="pu_dagvattenutredning02"/>
      <w:r>
        <w:t>Markmiljöutredning</w:t>
      </w:r>
      <w:bookmarkEnd w:id="501"/>
    </w:p>
    <w:p>
      <w:pPr>
        <w:pStyle w:val="P13"/>
      </w:pPr>
      <w:bookmarkEnd w:id="502"/>
      <w:bookmarkStart w:id="503" w:name="pu_kulturmiljöutredning01"/>
      <w:r>
        <w:t xml:space="preserve">WSP. </w:t>
      </w:r>
      <w:r>
        <w:rPr>
          <w:i w:val="1"/>
          <w:iCs w:val="0"/>
        </w:rPr>
        <w:t>Översiktlig miljöteknisk markundersökning Alhagen 1 m fl., Kalmar kommun</w:t>
      </w:r>
      <w:r>
        <w:t xml:space="preserve"> 2023-08-30</w:t>
      </w:r>
    </w:p>
    <w:p>
      <w:pPr>
        <w:pStyle w:val="P2"/>
      </w:pPr>
      <w:bookmarkEnd w:id="503"/>
      <w:bookmarkStart w:id="504" w:name="_Toc108182986"/>
      <w:bookmarkStart w:id="505" w:name="_Toc119320298"/>
      <w:bookmarkStart w:id="506" w:name="_Toc165276829"/>
      <w:bookmarkStart w:id="507" w:name="pu_annat01"/>
      <w:r>
        <w:t>Annat</w:t>
      </w:r>
      <w:bookmarkEnd w:id="504"/>
      <w:bookmarkEnd w:id="505"/>
      <w:r>
        <w:t xml:space="preserve"> underlag</w:t>
      </w:r>
      <w:bookmarkEnd w:id="506"/>
    </w:p>
    <w:p>
      <w:pPr>
        <w:pStyle w:val="P3"/>
      </w:pPr>
      <w:bookmarkStart w:id="508" w:name="_Toc165276830"/>
      <w:r>
        <w:t>Statliga myndigheter</w:t>
      </w:r>
      <w:bookmarkEnd w:id="508"/>
    </w:p>
    <w:p>
      <w:pPr>
        <w:pStyle w:val="P13"/>
      </w:pPr>
      <w:r>
        <w:t xml:space="preserve">Försvarsmakten. </w:t>
      </w:r>
      <w:r>
        <w:rPr>
          <w:i w:val="1"/>
          <w:iCs w:val="0"/>
        </w:rPr>
        <w:t>Riksintressen för totalförsvarets militära del I Kalmar län 2023, påverkansområde riksintresse Kalmar Öland Airport</w:t>
      </w:r>
      <w:r>
        <w:t xml:space="preserve">. FM2022-23088:1 Bilaga 10, s. 55-57. </w:t>
      </w:r>
      <w:hyperlink xmlns:r="http://schemas.openxmlformats.org/officeDocument/2006/relationships" r:id="RD">
        <w:r>
          <w:rPr>
            <w:rStyle w:val="C2"/>
          </w:rPr>
          <w:t>https://www.forsvarsmakten.se/siteassets/4-om-myndigheten/samhallsplanering/riksintressen/bilaga-10-kalmar-lan.pdf</w:t>
        </w:r>
      </w:hyperlink>
    </w:p>
    <w:p>
      <w:pPr>
        <w:pStyle w:val="P13"/>
      </w:pPr>
    </w:p>
    <w:p>
      <w:pPr>
        <w:pStyle w:val="P13"/>
        <w:rPr>
          <w:color w:val="0000FF"/>
          <w:u w:val="single"/>
        </w:rPr>
      </w:pPr>
      <w:r>
        <w:t xml:space="preserve">Lantmäteriet. </w:t>
      </w:r>
      <w:r>
        <w:rPr>
          <w:i w:val="1"/>
          <w:iCs w:val="0"/>
        </w:rPr>
        <w:t>Min karta</w:t>
      </w:r>
      <w:r>
        <w:t xml:space="preserve">. </w:t>
      </w:r>
      <w:hyperlink xmlns:r="http://schemas.openxmlformats.org/officeDocument/2006/relationships" r:id="RE">
        <w:r>
          <w:rPr>
            <w:rStyle w:val="C2"/>
          </w:rPr>
          <w:t>https://minkarta.lantmateriet.se/</w:t>
        </w:r>
      </w:hyperlink>
    </w:p>
    <w:p>
      <w:pPr>
        <w:pStyle w:val="P13"/>
      </w:pPr>
    </w:p>
    <w:p>
      <w:pPr>
        <w:pStyle w:val="P13"/>
      </w:pPr>
      <w:r>
        <w:t xml:space="preserve">Länsstyrelsen. </w:t>
      </w:r>
      <w:r>
        <w:rPr>
          <w:i w:val="1"/>
          <w:iCs w:val="0"/>
        </w:rPr>
        <w:t>EBH-kartan</w:t>
      </w:r>
      <w:r>
        <w:t xml:space="preserve">. </w:t>
      </w:r>
      <w:hyperlink xmlns:r="http://schemas.openxmlformats.org/officeDocument/2006/relationships" r:id="RF">
        <w:r>
          <w:rPr>
            <w:rStyle w:val="C2"/>
          </w:rPr>
          <w:t>https://ext-geoportal.lansstyrelsen.se/standard/?appid=ed0d3fde3cc9479f9688c2b2969fd38c</w:t>
        </w:r>
      </w:hyperlink>
    </w:p>
    <w:p>
      <w:pPr>
        <w:pStyle w:val="P13"/>
      </w:pPr>
    </w:p>
    <w:p>
      <w:pPr>
        <w:pStyle w:val="P13"/>
      </w:pPr>
      <w:r>
        <w:t xml:space="preserve">Länsstyrelsen, VISS. </w:t>
      </w:r>
      <w:r>
        <w:rPr>
          <w:i w:val="1"/>
          <w:iCs w:val="0"/>
        </w:rPr>
        <w:t>Törnebybäcken</w:t>
      </w:r>
      <w:r>
        <w:t xml:space="preserve">. </w:t>
      </w:r>
      <w:hyperlink xmlns:r="http://schemas.openxmlformats.org/officeDocument/2006/relationships" r:id="R10">
        <w:r>
          <w:rPr>
            <w:rStyle w:val="C2"/>
          </w:rPr>
          <w:t>https://viss.lansstyrelsen.se/Waters.aspx?waterMSCD=WA28961080</w:t>
        </w:r>
      </w:hyperlink>
    </w:p>
    <w:p>
      <w:pPr>
        <w:pStyle w:val="P13"/>
        <w:rPr>
          <w:i w:val="1"/>
          <w:iCs w:val="0"/>
        </w:rPr>
      </w:pPr>
    </w:p>
    <w:p>
      <w:pPr>
        <w:pStyle w:val="P13"/>
      </w:pPr>
      <w:r>
        <w:t xml:space="preserve">Länsstyrelsen, VISS. </w:t>
      </w:r>
      <w:r>
        <w:rPr>
          <w:i w:val="1"/>
          <w:iCs w:val="0"/>
        </w:rPr>
        <w:t>Västra sjön</w:t>
      </w:r>
      <w:r>
        <w:t xml:space="preserve">. </w:t>
      </w:r>
      <w:hyperlink xmlns:r="http://schemas.openxmlformats.org/officeDocument/2006/relationships" r:id="R11">
        <w:r>
          <w:rPr>
            <w:rStyle w:val="C2"/>
          </w:rPr>
          <w:t>https://viss.lansstyrelsen.se/Waters.aspx?waterMSCD=WA27917257</w:t>
        </w:r>
      </w:hyperlink>
    </w:p>
    <w:p>
      <w:pPr>
        <w:pStyle w:val="P13"/>
      </w:pPr>
    </w:p>
    <w:p>
      <w:pPr>
        <w:pStyle w:val="P13"/>
      </w:pPr>
      <w:r>
        <w:t xml:space="preserve">Länsstyrelsen, VISS. </w:t>
      </w:r>
      <w:r>
        <w:rPr>
          <w:i w:val="1"/>
          <w:iCs w:val="0"/>
        </w:rPr>
        <w:t>Kalmarkustens sandstensformation</w:t>
      </w:r>
      <w:r>
        <w:t xml:space="preserve">. </w:t>
      </w:r>
      <w:hyperlink xmlns:r="http://schemas.openxmlformats.org/officeDocument/2006/relationships" r:id="R12">
        <w:r>
          <w:rPr>
            <w:rStyle w:val="C2"/>
          </w:rPr>
          <w:t>https://viss.lansstyrelsen.se/Waters.aspx?waterMSCD=WA22382365</w:t>
        </w:r>
      </w:hyperlink>
    </w:p>
    <w:p>
      <w:pPr>
        <w:pStyle w:val="P13"/>
      </w:pPr>
    </w:p>
    <w:p>
      <w:pPr>
        <w:pStyle w:val="P13"/>
      </w:pPr>
      <w:r>
        <w:t xml:space="preserve">Naturvårdsverket. </w:t>
      </w:r>
      <w:r>
        <w:rPr>
          <w:i w:val="1"/>
          <w:iCs w:val="0"/>
        </w:rPr>
        <w:t xml:space="preserve">Allé - Beskrivning och vägledning för biotopen Allé i bilaga 1 till förordningen (1998:1252) om områdesskydd enligt miljöbalken m.m. </w:t>
      </w:r>
      <w:r>
        <w:t xml:space="preserve">2014-04-15. </w:t>
      </w:r>
      <w:hyperlink xmlns:r="http://schemas.openxmlformats.org/officeDocument/2006/relationships" r:id="R13">
        <w:r>
          <w:rPr>
            <w:rStyle w:val="C2"/>
          </w:rPr>
          <w:t>https://www.naturvardsverket.se/globalassets/vagledning/skyddad-natur/biotopskyddsomraden/01-alle-2014-04-15.pdf</w:t>
        </w:r>
      </w:hyperlink>
    </w:p>
    <w:p>
      <w:pPr>
        <w:pStyle w:val="P13"/>
      </w:pPr>
    </w:p>
    <w:p>
      <w:pPr>
        <w:pStyle w:val="P13"/>
      </w:pPr>
      <w:r>
        <w:t xml:space="preserve">Naturvårdsverket. </w:t>
      </w:r>
      <w:r>
        <w:rPr>
          <w:i w:val="1"/>
          <w:iCs w:val="0"/>
        </w:rPr>
        <w:t xml:space="preserve">Åtevinning av avfall i anläggningsarbeten, Handbok 2010:1 Utgåva 1. </w:t>
      </w:r>
      <w:r>
        <w:t xml:space="preserve">2010-01-15. </w:t>
      </w:r>
    </w:p>
    <w:p>
      <w:pPr>
        <w:pStyle w:val="P13"/>
      </w:pPr>
      <w:hyperlink xmlns:r="http://schemas.openxmlformats.org/officeDocument/2006/relationships" r:id="R14">
        <w:r>
          <w:rPr>
            <w:rStyle w:val="C2"/>
          </w:rPr>
          <w:t>Naturvårdsverkets handbok för återvinning av avfall i anläggningsarbeten, ISBN 978-91-620-0164-3 (naturvardsverket.se)</w:t>
        </w:r>
      </w:hyperlink>
    </w:p>
    <w:p>
      <w:pPr>
        <w:pStyle w:val="P13"/>
      </w:pPr>
    </w:p>
    <w:p>
      <w:pPr>
        <w:pStyle w:val="P13"/>
      </w:pPr>
    </w:p>
    <w:p>
      <w:pPr>
        <w:pStyle w:val="P13"/>
      </w:pPr>
      <w:r>
        <w:t xml:space="preserve">Sveriges geologiska undersökning (SGU). </w:t>
      </w:r>
      <w:r>
        <w:rPr>
          <w:i w:val="1"/>
          <w:iCs w:val="0"/>
        </w:rPr>
        <w:t>Kartvisaren Jordarter 1:25 000-1:100 000</w:t>
      </w:r>
      <w:r>
        <w:t xml:space="preserve">. </w:t>
      </w:r>
      <w:hyperlink xmlns:r="http://schemas.openxmlformats.org/officeDocument/2006/relationships" r:id="R15">
        <w:r>
          <w:rPr>
            <w:rStyle w:val="C2"/>
          </w:rPr>
          <w:t>https://www.sgu.se/produkter-och-tjanster/kartor/kartvisaren/jordkartvisare/jordarter-125-000-1100-000/</w:t>
        </w:r>
      </w:hyperlink>
    </w:p>
    <w:p>
      <w:pPr>
        <w:pStyle w:val="P13"/>
      </w:pPr>
    </w:p>
    <w:p>
      <w:pPr>
        <w:pStyle w:val="P13"/>
      </w:pPr>
      <w:r>
        <w:t xml:space="preserve">Trafikverket. </w:t>
      </w:r>
      <w:r>
        <w:rPr>
          <w:i w:val="1"/>
          <w:iCs w:val="0"/>
        </w:rPr>
        <w:t>Rapport Riksintresseprecisering Kalmar flygplats, influensområde riksintresse Kalmar Öland Airport</w:t>
      </w:r>
      <w:r>
        <w:t xml:space="preserve">. 2014:043, s. 25-26. 2014-02-2. </w:t>
      </w:r>
      <w:hyperlink xmlns:r="http://schemas.openxmlformats.org/officeDocument/2006/relationships" r:id="R16">
        <w:r>
          <w:rPr>
            <w:rStyle w:val="C2"/>
          </w:rPr>
          <w:t>https://bransch.trafikverket.se/contentassets/62ac3c64c709466ca5abd7949160df0f/luftfart/riksintresset_kalmar_flygplats_precisering_riksintresse.pdf</w:t>
        </w:r>
      </w:hyperlink>
    </w:p>
    <w:p>
      <w:pPr>
        <w:pStyle w:val="P3"/>
      </w:pPr>
      <w:bookmarkStart w:id="509" w:name="_Toc165276831"/>
      <w:r>
        <w:t>Privata aktörer</w:t>
      </w:r>
      <w:bookmarkEnd w:id="509"/>
    </w:p>
    <w:p>
      <w:pPr>
        <w:pStyle w:val="P13"/>
        <w:rPr>
          <w:color w:val="0000FF"/>
          <w:u w:val="single"/>
        </w:rPr>
      </w:pPr>
      <w:r>
        <w:t xml:space="preserve">Hansa City, Om oss, hämtad 2023-04-18, </w:t>
      </w:r>
      <w:hyperlink xmlns:r="http://schemas.openxmlformats.org/officeDocument/2006/relationships" r:id="R17">
        <w:r>
          <w:rPr>
            <w:rStyle w:val="C2"/>
          </w:rPr>
          <w:t>https://hansacity.se/om-hansa-city</w:t>
        </w:r>
      </w:hyperlink>
      <w:bookmarkEnd w:id="507"/>
    </w:p>
    <w:sectPr>
      <w:footnotePr/>
      <w:endnotePr/>
      <w:type w:val="continuous"/>
      <w:pgSz w:w="11906" w:h="16838" w:code="0"/>
      <w:pgMar w:left="2268" w:right="2268" w:top="1418" w:bottom="1134" w:header="720" w:footer="720"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
  <w:tbl>
    <w:tblPr>
      <w:tblW w:w="11083" w:type="dxa"/>
      <w:tblInd w:w="-612" w:type="dxa"/>
      <w:tblLayout w:type="fixed"/>
      <w:tblLook w:val="01E0"/>
    </w:tblPr>
    <w:tblGrid/>
    <w:tr>
      <w:tc>
        <w:tcPr>
          <w:tcW w:w="5940"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122" w:right="-57"/>
            <w:rPr>
              <w:rFonts w:ascii="Arial" w:hAnsi="Arial" w:cs="Arial"/>
              <w:sz w:val="16"/>
              <w:szCs w:val="16"/>
              <w:lang w:val="de-DE"/>
            </w:rPr>
          </w:pPr>
        </w:p>
      </w:tc>
      <w:tc>
        <w:tcPr>
          <w:tcW w:w="5143" w:type="dxa"/>
          <w:vMerge w:val="restart"/>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0"/>
            <w:rPr>
              <w:rFonts w:ascii="Arial" w:hAnsi="Arial" w:cs="Arial"/>
              <w:sz w:val="16"/>
              <w:szCs w:val="16"/>
              <w:lang w:val="de-DE"/>
            </w:rPr>
          </w:pPr>
          <w:bookmarkStart w:id="0" w:name="bmLogotyp"/>
          <w:bookmarkEnd w:id="0"/>
        </w:p>
      </w:tc>
    </w:tr>
    <w:tr>
      <w:tc>
        <w:tcPr>
          <w:tcW w:w="5940"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122" w:right="-57"/>
            <w:rPr>
              <w:rFonts w:ascii="Arial" w:hAnsi="Arial" w:cs="Arial"/>
              <w:sz w:val="16"/>
              <w:szCs w:val="16"/>
            </w:rPr>
          </w:pPr>
        </w:p>
      </w:tc>
      <w:tc>
        <w:tcPr>
          <w:tcW w:w="5143" w:type="dxa"/>
          <w:vMerge w:val="continue"/>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0"/>
            <w:rPr>
              <w:rFonts w:ascii="Arial" w:hAnsi="Arial" w:cs="Arial"/>
              <w:sz w:val="16"/>
              <w:szCs w:val="16"/>
            </w:rPr>
          </w:pPr>
        </w:p>
      </w:tc>
    </w:tr>
    <w:tr>
      <w:tc>
        <w:tcPr>
          <w:tcW w:w="5940"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240" w:right="-57"/>
            <w:jc w:val="right"/>
            <w:rPr>
              <w:rFonts w:ascii="Arial" w:hAnsi="Arial" w:cs="Arial"/>
              <w:sz w:val="16"/>
              <w:szCs w:val="16"/>
            </w:rPr>
          </w:pPr>
          <w:bookmarkStart w:id="1" w:name="bmEnhet"/>
          <w:bookmarkEnd w:id="1"/>
        </w:p>
      </w:tc>
      <w:tc>
        <w:tcPr>
          <w:tcW w:w="5143" w:type="dxa"/>
          <w:vMerge w:val="continue"/>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0"/>
            <w:rPr>
              <w:rFonts w:ascii="Arial" w:hAnsi="Arial" w:cs="Arial"/>
              <w:sz w:val="16"/>
              <w:szCs w:val="16"/>
            </w:rPr>
          </w:pPr>
        </w:p>
      </w:tc>
    </w:tr>
    <w:tr>
      <w:tc>
        <w:tcPr>
          <w:tcW w:w="5940"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288" w:right="-57"/>
            <w:jc w:val="right"/>
            <w:rPr>
              <w:rFonts w:ascii="Arial" w:hAnsi="Arial" w:cs="Arial"/>
              <w:sz w:val="16"/>
              <w:szCs w:val="16"/>
            </w:rPr>
          </w:pPr>
        </w:p>
      </w:tc>
      <w:tc>
        <w:tcPr>
          <w:tcW w:w="5143" w:type="dxa"/>
          <w:vMerge w:val="continue"/>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0"/>
            <w:rPr>
              <w:rFonts w:ascii="Arial" w:hAnsi="Arial" w:cs="Arial"/>
              <w:sz w:val="16"/>
              <w:szCs w:val="16"/>
            </w:rPr>
          </w:pPr>
        </w:p>
      </w:tc>
    </w:tr>
    <w:tr>
      <w:tc>
        <w:tcPr>
          <w:tcW w:w="5940"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122" w:right="-57"/>
            <w:jc w:val="right"/>
            <w:rPr>
              <w:rFonts w:ascii="Arial" w:hAnsi="Arial" w:cs="Arial"/>
              <w:sz w:val="16"/>
              <w:szCs w:val="16"/>
            </w:rPr>
          </w:pPr>
        </w:p>
      </w:tc>
      <w:tc>
        <w:tcPr>
          <w:tcW w:w="5143" w:type="dxa"/>
          <w:vMerge w:val="continue"/>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0"/>
            <w:rPr>
              <w:rFonts w:ascii="Arial" w:hAnsi="Arial" w:cs="Arial"/>
              <w:sz w:val="16"/>
              <w:szCs w:val="16"/>
            </w:rPr>
          </w:pPr>
        </w:p>
      </w:tc>
    </w:tr>
  </w:tbl>
  <w:p>
    <w:pPr>
      <w:pStyle w:val="P11"/>
      <w:ind w:firstLine="0" w:left="0"/>
    </w:pPr>
  </w:p>
  <w:tbl>
    <w:tblPr>
      <w:tblW w:w="11083" w:type="dxa"/>
      <w:tblInd w:w="-612" w:type="dxa"/>
      <w:tblLayout w:type="fixed"/>
      <w:tblLook w:val="01E0"/>
    </w:tblPr>
    <w:tblGrid/>
    <w:tr>
      <w:tc>
        <w:tcPr>
          <w:tcW w:w="11083"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240" w:right="-57"/>
            <w:jc w:val="right"/>
            <w:rPr>
              <w:rFonts w:ascii="Arial" w:hAnsi="Arial" w:cs="Arial"/>
              <w:sz w:val="16"/>
              <w:szCs w:val="16"/>
            </w:rPr>
          </w:pPr>
          <w:r>
            <w:rPr>
              <w:rFonts w:ascii="Arial" w:hAnsi="Arial" w:cs="Arial"/>
              <w:b w:val="1"/>
              <w:sz w:val="16"/>
              <w:szCs w:val="16"/>
            </w:rPr>
            <w:t xml:space="preserve">Planeringsenheten </w:t>
          </w:r>
          <w:r>
            <w:rPr>
              <w:sz w:val="16"/>
              <w:szCs w:val="16"/>
            </w:rPr>
            <w:t>│</w:t>
          </w:r>
          <w:r>
            <w:rPr>
              <w:rFonts w:ascii="Arial" w:hAnsi="Arial" w:cs="Arial"/>
              <w:sz w:val="16"/>
              <w:szCs w:val="16"/>
            </w:rPr>
            <w:t xml:space="preserve"> Samhällsbyggnadskontoret   </w:t>
          </w:r>
        </w:p>
      </w:tc>
    </w:tr>
    <w:tr>
      <w:tc>
        <w:tcPr>
          <w:tcW w:w="11083"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288" w:right="-57"/>
            <w:jc w:val="right"/>
            <w:rPr>
              <w:rFonts w:ascii="Arial" w:hAnsi="Arial" w:cs="Arial"/>
              <w:sz w:val="16"/>
              <w:szCs w:val="16"/>
            </w:rPr>
          </w:pPr>
          <w:r>
            <w:rPr>
              <w:rFonts w:ascii="Arial" w:hAnsi="Arial" w:cs="Arial"/>
              <w:sz w:val="16"/>
              <w:szCs w:val="16"/>
            </w:rPr>
            <w:t xml:space="preserve">Adress </w:t>
          </w:r>
          <w:bookmarkStart w:id="2" w:name="bmPostadress"/>
          <w:bookmarkEnd w:id="2"/>
          <w:r>
            <w:rPr>
              <w:rFonts w:ascii="Arial" w:hAnsi="Arial" w:cs="Arial"/>
              <w:sz w:val="16"/>
              <w:szCs w:val="16"/>
            </w:rPr>
            <w:t xml:space="preserve">Box 611, 391 26 Kalmar </w:t>
          </w:r>
          <w:bookmarkStart w:id="3" w:name="bmBesöksadress"/>
          <w:bookmarkEnd w:id="3"/>
          <w:r>
            <w:rPr>
              <w:sz w:val="16"/>
              <w:szCs w:val="16"/>
            </w:rPr>
            <w:t>│</w:t>
          </w:r>
          <w:r>
            <w:rPr>
              <w:rFonts w:ascii="Arial" w:hAnsi="Arial" w:cs="Arial"/>
              <w:sz w:val="16"/>
              <w:szCs w:val="16"/>
            </w:rPr>
            <w:t xml:space="preserve"> Besök Storgatan 35 A</w:t>
          </w:r>
        </w:p>
      </w:tc>
    </w:tr>
    <w:tr>
      <w:tc>
        <w:tcPr>
          <w:tcW w:w="11083" w:type="dxa"/>
          <w:shd w:val="clear" w:color="auto" w:fill="auto"/>
        </w:tcPr>
        <w:p>
          <w:pPr>
            <w:tabs>
              <w:tab w:val="left" w:pos="1304" w:leader="none"/>
              <w:tab w:val="left" w:pos="2608" w:leader="none"/>
              <w:tab w:val="left" w:pos="3912" w:leader="none"/>
              <w:tab w:val="left" w:pos="5216" w:leader="none"/>
              <w:tab w:val="left" w:pos="6521" w:leader="none"/>
              <w:tab w:val="left" w:pos="7825" w:leader="none"/>
              <w:tab w:val="left" w:pos="9129" w:leader="none"/>
            </w:tabs>
            <w:ind w:firstLine="0" w:left="-122" w:right="-57"/>
            <w:jc w:val="right"/>
            <w:rPr>
              <w:rFonts w:ascii="Arial" w:hAnsi="Arial" w:cs="Arial"/>
              <w:sz w:val="16"/>
              <w:szCs w:val="16"/>
            </w:rPr>
          </w:pP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493395</wp:posOffset>
                </wp:positionH>
                <wp:positionV relativeFrom="page">
                  <wp:posOffset>-394970</wp:posOffset>
                </wp:positionV>
                <wp:extent cx="2017395" cy="596900"/>
                <wp:effectExtent l="0" t="0" r="1905" b="0"/>
                <wp:wrapNone/>
                <wp:docPr id="1367998867" name="Bildobjekt 1367998867"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10;&#10;Automatiskt genererad beskrivning"/>
                        <pic:cNvPicPr/>
                      </pic:nvPicPr>
                      <pic:blipFill dpi="0">
                        <a:blip xmlns:r="http://schemas.openxmlformats.org/officeDocument/2006/relationships" r:embed="Relimage1"/>
                        <a:srcRect/>
                        <a:stretch>
                          <a:fillRect/>
                        </a:stretch>
                      </pic:blipFill>
                      <pic:spPr>
                        <a:xfrm>
                          <a:off x="0" y="0"/>
                          <a:ext cx="2017395" cy="596900"/>
                        </a:xfrm>
                        <a:prstGeom prst="rect"/>
                      </pic:spPr>
                    </pic:pic>
                  </a:graphicData>
                </a:graphic>
              </wp:anchor>
            </w:drawing>
          </w:r>
          <w:r>
            <w:rPr>
              <w:rFonts w:ascii="Arial" w:hAnsi="Arial" w:cs="Arial"/>
              <w:sz w:val="16"/>
              <w:szCs w:val="16"/>
            </w:rPr>
            <w:t xml:space="preserve">Tel 010-352 00 00 vx </w:t>
          </w:r>
          <w:bookmarkStart w:id="4" w:name="bmFax"/>
          <w:bookmarkEnd w:id="4"/>
          <w:r>
            <w:rPr>
              <w:rFonts w:ascii="Arial" w:hAnsi="Arial" w:cs="Arial"/>
              <w:sz w:val="16"/>
              <w:szCs w:val="16"/>
            </w:rPr>
            <w:t>│</w:t>
          </w:r>
          <w:bookmarkStart w:id="5" w:name="bmEpost"/>
          <w:bookmarkEnd w:id="5"/>
          <w:r>
            <w:rPr>
              <w:rFonts w:ascii="Arial" w:hAnsi="Arial" w:cs="Arial"/>
              <w:sz w:val="16"/>
              <w:szCs w:val="16"/>
            </w:rPr>
            <w:t xml:space="preserve">sam.byggnadskontoret@kalmar.se </w:t>
          </w:r>
        </w:p>
      </w:tc>
    </w:tr>
  </w:tbl>
  <w:p>
    <w:pPr>
      <w:pStyle w:val="P11"/>
      <w:ind w:firstLine="0" w:left="0"/>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tabs>
        <w:tab w:val="left" w:pos="3828" w:leader="none"/>
      </w:tabs>
      <w:ind w:hanging="1474"/>
    </w:pPr>
    <w:r>
      <w:tab/>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9035" w:type="dxa"/>
      <w:tblLayout w:type="fixed"/>
      <w:tblCellMar>
        <w:left w:w="28" w:type="dxa"/>
        <w:right w:w="28" w:type="dxa"/>
      </w:tblCellMar>
      <w:tblLook w:val="0000"/>
    </w:tblPr>
    <w:tblGrid/>
    <w:tr>
      <w:trPr>
        <w:cantSplit/>
        <w:trHeight w:hRule="atLeast" w:val="181"/>
      </w:trPr>
      <w:tc>
        <w:tcPr>
          <w:tcW w:w="4281" w:type="dxa"/>
        </w:tcPr>
        <w:p>
          <w:pPr>
            <w:rPr>
              <w:rFonts w:ascii="Arial" w:hAnsi="Arial" w:cs="Arial"/>
              <w:sz w:val="16"/>
            </w:rPr>
          </w:pPr>
        </w:p>
      </w:tc>
      <w:tc>
        <w:tcPr>
          <w:tcW w:w="3685" w:type="dxa"/>
        </w:tcPr>
        <w:p>
          <w:pPr>
            <w:rPr>
              <w:rFonts w:ascii="Arial" w:hAnsi="Arial" w:cs="Arial"/>
              <w:sz w:val="16"/>
            </w:rPr>
          </w:pPr>
        </w:p>
      </w:tc>
      <w:tc>
        <w:tcPr>
          <w:tcW w:w="1069" w:type="dxa"/>
        </w:tcPr>
        <w:p>
          <w:pPr>
            <w:rPr>
              <w:rStyle w:val="C3"/>
              <w:rFonts w:ascii="Arial" w:hAnsi="Arial" w:cs="Arial"/>
              <w:sz w:val="16"/>
              <w:szCs w:val="16"/>
            </w:rPr>
          </w:pPr>
        </w:p>
      </w:tc>
    </w:tr>
    <w:tr>
      <w:trPr>
        <w:cantSplit/>
        <w:trHeight w:hRule="atLeast" w:val="272"/>
      </w:trPr>
      <w:tc>
        <w:tcPr>
          <w:tcW w:w="4281" w:type="dxa"/>
        </w:tcPr>
        <w:p>
          <w:pPr>
            <w:rPr>
              <w:rFonts w:ascii="Arial" w:hAnsi="Arial" w:cs="Arial"/>
              <w:sz w:val="16"/>
            </w:rPr>
          </w:pPr>
        </w:p>
      </w:tc>
      <w:tc>
        <w:tcPr>
          <w:tcW w:w="3685" w:type="dxa"/>
        </w:tcPr>
        <w:p>
          <w:pPr>
            <w:tabs>
              <w:tab w:val="right" w:pos="3630" w:leader="none"/>
            </w:tabs>
            <w:ind w:firstLine="0" w:left="0"/>
            <w:rPr>
              <w:rFonts w:ascii="Arial" w:hAnsi="Arial" w:cs="Arial"/>
              <w:sz w:val="16"/>
            </w:rPr>
          </w:pPr>
          <w:r>
            <w:rPr>
              <w:rFonts w:ascii="Garamond" w:hAnsi="Garamond"/>
            </w:rPr>
            <w:tab/>
            <w:tab/>
          </w:r>
        </w:p>
      </w:tc>
      <w:tc>
        <w:tcPr>
          <w:tcW w:w="1069" w:type="dxa"/>
        </w:tcPr>
        <w:p>
          <w:pPr>
            <w:jc w:val="right"/>
            <w:rPr>
              <w:rStyle w:val="C3"/>
              <w:rFonts w:ascii="Arial" w:hAnsi="Arial" w:cs="Arial"/>
              <w:sz w:val="16"/>
              <w:szCs w:val="16"/>
            </w:rPr>
          </w:pPr>
          <w:r>
            <w:rPr>
              <w:rStyle w:val="C3"/>
              <w:rFonts w:ascii="Garamond" w:hAnsi="Garamond" w:cs="Arial"/>
            </w:rPr>
            <w:fldChar w:fldCharType="begin"/>
          </w:r>
          <w:r>
            <w:rPr>
              <w:rStyle w:val="C3"/>
              <w:rFonts w:ascii="Garamond" w:hAnsi="Garamond" w:cs="Arial"/>
            </w:rPr>
            <w:instrText xml:space="preserve"> PAGE </w:instrText>
          </w:r>
          <w:r>
            <w:rPr>
              <w:rStyle w:val="C3"/>
              <w:rFonts w:ascii="Garamond" w:hAnsi="Garamond" w:cs="Arial"/>
            </w:rPr>
            <w:fldChar w:fldCharType="separate"/>
          </w:r>
          <w:r>
            <w:rPr>
              <w:rStyle w:val="C3"/>
              <w:rFonts w:ascii="Garamond" w:hAnsi="Garamond" w:cs="Arial"/>
            </w:rPr>
            <w:t>#</w:t>
          </w:r>
          <w:r>
            <w:rPr>
              <w:rStyle w:val="C3"/>
              <w:rFonts w:ascii="Garamond" w:hAnsi="Garamond" w:cs="Arial"/>
            </w:rPr>
            <w:fldChar w:fldCharType="end"/>
          </w:r>
          <w:r>
            <w:rPr>
              <w:rStyle w:val="C3"/>
              <w:rFonts w:ascii="Garamond" w:hAnsi="Garamond" w:cs="Arial"/>
            </w:rPr>
            <w:t>(</w:t>
          </w:r>
          <w:r>
            <w:rPr>
              <w:rStyle w:val="C3"/>
              <w:rFonts w:ascii="Garamond" w:hAnsi="Garamond" w:cs="Arial"/>
            </w:rPr>
            <w:fldChar w:fldCharType="begin"/>
          </w:r>
          <w:r>
            <w:rPr>
              <w:rStyle w:val="C3"/>
              <w:rFonts w:ascii="Garamond" w:hAnsi="Garamond" w:cs="Arial"/>
            </w:rPr>
            <w:instrText xml:space="preserve"> NUMPAGES </w:instrText>
          </w:r>
          <w:r>
            <w:rPr>
              <w:rStyle w:val="C3"/>
              <w:rFonts w:ascii="Garamond" w:hAnsi="Garamond" w:cs="Arial"/>
            </w:rPr>
            <w:fldChar w:fldCharType="separate"/>
          </w:r>
          <w:r>
            <w:rPr>
              <w:rStyle w:val="C3"/>
              <w:rFonts w:ascii="Garamond" w:hAnsi="Garamond" w:cs="Arial"/>
            </w:rPr>
            <w:t>#</w:t>
          </w:r>
          <w:r>
            <w:rPr>
              <w:rStyle w:val="C3"/>
              <w:rFonts w:ascii="Garamond" w:hAnsi="Garamond" w:cs="Arial"/>
            </w:rPr>
            <w:fldChar w:fldCharType="end"/>
          </w:r>
          <w:r>
            <w:rPr>
              <w:rStyle w:val="C3"/>
              <w:rFonts w:ascii="Garamond" w:hAnsi="Garamond" w:cs="Arial"/>
            </w:rPr>
            <w:t>)</w:t>
          </w:r>
        </w:p>
      </w:tc>
    </w:tr>
    <w:tr>
      <w:trPr>
        <w:cantSplit/>
        <w:trHeight w:hRule="atLeast" w:val="272"/>
      </w:trPr>
      <w:tc>
        <w:tcPr>
          <w:tcW w:w="4281" w:type="dxa"/>
        </w:tcPr>
        <w:p>
          <w:pPr>
            <w:ind w:firstLine="0" w:left="0"/>
            <w:rPr>
              <w:rFonts w:ascii="Arial" w:hAnsi="Arial" w:cs="Arial"/>
              <w:sz w:val="16"/>
            </w:rPr>
          </w:pPr>
        </w:p>
      </w:tc>
      <w:tc>
        <w:tcPr>
          <w:tcW w:w="3685" w:type="dxa"/>
        </w:tcPr>
        <w:p>
          <w:pPr>
            <w:jc w:val="right"/>
            <w:rPr>
              <w:rFonts w:ascii="Arial" w:hAnsi="Arial" w:cs="Arial"/>
              <w:sz w:val="16"/>
            </w:rPr>
          </w:pPr>
        </w:p>
      </w:tc>
      <w:tc>
        <w:tcPr>
          <w:tcW w:w="1069" w:type="dxa"/>
        </w:tcPr>
        <w:p>
          <w:pPr>
            <w:rPr>
              <w:rStyle w:val="C3"/>
              <w:rFonts w:ascii="Arial" w:hAnsi="Arial" w:cs="Arial"/>
              <w:sz w:val="16"/>
              <w:szCs w:val="16"/>
            </w:rPr>
          </w:pPr>
        </w:p>
      </w:tc>
    </w:tr>
  </w:tbl>
  <w:p>
    <w:pPr>
      <w:tabs>
        <w:tab w:val="right" w:pos="10080" w:leader="none"/>
      </w:tabs>
      <w:ind w:firstLine="0" w:left="0"/>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ind w:firstLine="0" w:left="0"/>
    </w:pPr>
  </w:p>
  <w:p>
    <w:pPr>
      <w:pStyle w:val="P10"/>
      <w:ind w:firstLine="0" w:left="0"/>
    </w:pPr>
  </w:p>
</w:hdr>
</file>

<file path=word/numbering.xml><?xml version="1.0" encoding="utf-8"?>
<w:numbering xmlns:w="http://schemas.openxmlformats.org/wordprocessingml/2006/main">
  <w:abstractNum w:abstractNumId="0">
    <w:nsid w:val="FFFFFF7C"/>
    <w:multiLevelType w:val="hybridMultilevel"/>
    <w:lvl w:ilvl="0">
      <w:start w:val="1"/>
      <w:numFmt w:val="decimal"/>
      <w:pStyle w:val="P98"/>
      <w:suff w:val="tab"/>
      <w:lvlText w:val="%1."/>
      <w:lvlJc w:val="left"/>
      <w:pPr>
        <w:ind w:hanging="360" w:left="1492"/>
        <w:tabs>
          <w:tab w:val="num" w:pos="1492" w:leader="none"/>
        </w:tabs>
      </w:pPr>
      <w:rPr/>
    </w:lvl>
    <w:lvl w:ilvl="1" w:tplc="385D7839">
      <w:start w:val="1"/>
      <w:numFmt w:val="decimal"/>
      <w:suff w:val="tab"/>
      <w:lvlText w:val="%1."/>
      <w:lvlJc w:val="left"/>
      <w:pPr/>
      <w:rPr/>
    </w:lvl>
    <w:lvl w:ilvl="2" w:tplc="558DE085">
      <w:start w:val="1"/>
      <w:numFmt w:val="decimal"/>
      <w:suff w:val="tab"/>
      <w:lvlText w:val="%1."/>
      <w:lvlJc w:val="left"/>
      <w:pPr/>
      <w:rPr/>
    </w:lvl>
    <w:lvl w:ilvl="3" w:tplc="014A8187">
      <w:start w:val="1"/>
      <w:numFmt w:val="decimal"/>
      <w:suff w:val="tab"/>
      <w:lvlText w:val="%1."/>
      <w:lvlJc w:val="left"/>
      <w:pPr/>
      <w:rPr/>
    </w:lvl>
    <w:lvl w:ilvl="4" w:tplc="0F024B27">
      <w:start w:val="1"/>
      <w:numFmt w:val="decimal"/>
      <w:suff w:val="tab"/>
      <w:lvlText w:val="%1."/>
      <w:lvlJc w:val="left"/>
      <w:pPr/>
      <w:rPr/>
    </w:lvl>
    <w:lvl w:ilvl="5" w:tplc="644DA7FB">
      <w:start w:val="1"/>
      <w:numFmt w:val="decimal"/>
      <w:suff w:val="tab"/>
      <w:lvlText w:val="%1."/>
      <w:lvlJc w:val="left"/>
      <w:pPr/>
      <w:rPr/>
    </w:lvl>
    <w:lvl w:ilvl="6" w:tplc="3C6E0FA3">
      <w:start w:val="1"/>
      <w:numFmt w:val="decimal"/>
      <w:suff w:val="tab"/>
      <w:lvlText w:val="%1."/>
      <w:lvlJc w:val="left"/>
      <w:pPr/>
      <w:rPr/>
    </w:lvl>
    <w:lvl w:ilvl="7" w:tplc="1E31D259">
      <w:start w:val="1"/>
      <w:numFmt w:val="decimal"/>
      <w:suff w:val="tab"/>
      <w:lvlText w:val="%1."/>
      <w:lvlJc w:val="left"/>
      <w:pPr/>
      <w:rPr/>
    </w:lvl>
    <w:lvl w:ilvl="8" w:tplc="5A2C902E">
      <w:start w:val="1"/>
      <w:numFmt w:val="decimal"/>
      <w:suff w:val="tab"/>
      <w:lvlText w:val="%1."/>
      <w:lvlJc w:val="left"/>
      <w:pPr/>
      <w:rPr/>
    </w:lvl>
  </w:abstractNum>
  <w:abstractNum w:abstractNumId="1">
    <w:nsid w:val="FFFFFF7D"/>
    <w:multiLevelType w:val="hybridMultilevel"/>
    <w:lvl w:ilvl="0">
      <w:start w:val="1"/>
      <w:numFmt w:val="decimal"/>
      <w:pStyle w:val="P97"/>
      <w:suff w:val="tab"/>
      <w:lvlText w:val="%1."/>
      <w:lvlJc w:val="left"/>
      <w:pPr>
        <w:ind w:hanging="360" w:left="1209"/>
        <w:tabs>
          <w:tab w:val="num" w:pos="1209" w:leader="none"/>
        </w:tabs>
      </w:pPr>
      <w:rPr/>
    </w:lvl>
    <w:lvl w:ilvl="1" w:tplc="279EA0F0">
      <w:start w:val="1"/>
      <w:numFmt w:val="decimal"/>
      <w:suff w:val="tab"/>
      <w:lvlText w:val="%1."/>
      <w:lvlJc w:val="left"/>
      <w:pPr/>
      <w:rPr/>
    </w:lvl>
    <w:lvl w:ilvl="2" w:tplc="2FC85428">
      <w:start w:val="1"/>
      <w:numFmt w:val="decimal"/>
      <w:suff w:val="tab"/>
      <w:lvlText w:val="%1."/>
      <w:lvlJc w:val="left"/>
      <w:pPr/>
      <w:rPr/>
    </w:lvl>
    <w:lvl w:ilvl="3" w:tplc="1413A047">
      <w:start w:val="1"/>
      <w:numFmt w:val="decimal"/>
      <w:suff w:val="tab"/>
      <w:lvlText w:val="%1."/>
      <w:lvlJc w:val="left"/>
      <w:pPr/>
      <w:rPr/>
    </w:lvl>
    <w:lvl w:ilvl="4" w:tplc="1B2525E8">
      <w:start w:val="1"/>
      <w:numFmt w:val="decimal"/>
      <w:suff w:val="tab"/>
      <w:lvlText w:val="%1."/>
      <w:lvlJc w:val="left"/>
      <w:pPr/>
      <w:rPr/>
    </w:lvl>
    <w:lvl w:ilvl="5" w:tplc="0EFAB798">
      <w:start w:val="1"/>
      <w:numFmt w:val="decimal"/>
      <w:suff w:val="tab"/>
      <w:lvlText w:val="%1."/>
      <w:lvlJc w:val="left"/>
      <w:pPr/>
      <w:rPr/>
    </w:lvl>
    <w:lvl w:ilvl="6" w:tplc="13E2E162">
      <w:start w:val="1"/>
      <w:numFmt w:val="decimal"/>
      <w:suff w:val="tab"/>
      <w:lvlText w:val="%1."/>
      <w:lvlJc w:val="left"/>
      <w:pPr/>
      <w:rPr/>
    </w:lvl>
    <w:lvl w:ilvl="7" w:tplc="34DEAF3D">
      <w:start w:val="1"/>
      <w:numFmt w:val="decimal"/>
      <w:suff w:val="tab"/>
      <w:lvlText w:val="%1."/>
      <w:lvlJc w:val="left"/>
      <w:pPr/>
      <w:rPr/>
    </w:lvl>
    <w:lvl w:ilvl="8" w:tplc="508E8337">
      <w:start w:val="1"/>
      <w:numFmt w:val="decimal"/>
      <w:suff w:val="tab"/>
      <w:lvlText w:val="%1."/>
      <w:lvlJc w:val="left"/>
      <w:pPr/>
      <w:rPr/>
    </w:lvl>
  </w:abstractNum>
  <w:abstractNum w:abstractNumId="2">
    <w:nsid w:val="FFFFFF7E"/>
    <w:multiLevelType w:val="hybridMultilevel"/>
    <w:lvl w:ilvl="0">
      <w:start w:val="1"/>
      <w:numFmt w:val="decimal"/>
      <w:pStyle w:val="P96"/>
      <w:suff w:val="tab"/>
      <w:lvlText w:val="%1."/>
      <w:lvlJc w:val="left"/>
      <w:pPr>
        <w:ind w:hanging="360" w:left="926"/>
        <w:tabs>
          <w:tab w:val="num" w:pos="926" w:leader="none"/>
        </w:tabs>
      </w:pPr>
      <w:rPr/>
    </w:lvl>
    <w:lvl w:ilvl="1" w:tplc="1A84EFA0">
      <w:start w:val="1"/>
      <w:numFmt w:val="decimal"/>
      <w:suff w:val="tab"/>
      <w:lvlText w:val="%1."/>
      <w:lvlJc w:val="left"/>
      <w:pPr/>
      <w:rPr/>
    </w:lvl>
    <w:lvl w:ilvl="2" w:tplc="43983574">
      <w:start w:val="1"/>
      <w:numFmt w:val="decimal"/>
      <w:suff w:val="tab"/>
      <w:lvlText w:val="%1."/>
      <w:lvlJc w:val="left"/>
      <w:pPr/>
      <w:rPr/>
    </w:lvl>
    <w:lvl w:ilvl="3" w:tplc="53AC1E53">
      <w:start w:val="1"/>
      <w:numFmt w:val="decimal"/>
      <w:suff w:val="tab"/>
      <w:lvlText w:val="%1."/>
      <w:lvlJc w:val="left"/>
      <w:pPr/>
      <w:rPr/>
    </w:lvl>
    <w:lvl w:ilvl="4" w:tplc="086BFA68">
      <w:start w:val="1"/>
      <w:numFmt w:val="decimal"/>
      <w:suff w:val="tab"/>
      <w:lvlText w:val="%1."/>
      <w:lvlJc w:val="left"/>
      <w:pPr/>
      <w:rPr/>
    </w:lvl>
    <w:lvl w:ilvl="5" w:tplc="03E96C6F">
      <w:start w:val="1"/>
      <w:numFmt w:val="decimal"/>
      <w:suff w:val="tab"/>
      <w:lvlText w:val="%1."/>
      <w:lvlJc w:val="left"/>
      <w:pPr/>
      <w:rPr/>
    </w:lvl>
    <w:lvl w:ilvl="6" w:tplc="1DCE816C">
      <w:start w:val="1"/>
      <w:numFmt w:val="decimal"/>
      <w:suff w:val="tab"/>
      <w:lvlText w:val="%1."/>
      <w:lvlJc w:val="left"/>
      <w:pPr/>
      <w:rPr/>
    </w:lvl>
    <w:lvl w:ilvl="7" w:tplc="2F8B76E1">
      <w:start w:val="1"/>
      <w:numFmt w:val="decimal"/>
      <w:suff w:val="tab"/>
      <w:lvlText w:val="%1."/>
      <w:lvlJc w:val="left"/>
      <w:pPr/>
      <w:rPr/>
    </w:lvl>
    <w:lvl w:ilvl="8" w:tplc="1B3F5180">
      <w:start w:val="1"/>
      <w:numFmt w:val="decimal"/>
      <w:suff w:val="tab"/>
      <w:lvlText w:val="%1."/>
      <w:lvlJc w:val="left"/>
      <w:pPr/>
      <w:rPr/>
    </w:lvl>
  </w:abstractNum>
  <w:abstractNum w:abstractNumId="3">
    <w:nsid w:val="FFFFFF7F"/>
    <w:multiLevelType w:val="hybridMultilevel"/>
    <w:lvl w:ilvl="0">
      <w:start w:val="1"/>
      <w:numFmt w:val="decimal"/>
      <w:pStyle w:val="P95"/>
      <w:suff w:val="tab"/>
      <w:lvlText w:val="%1."/>
      <w:lvlJc w:val="left"/>
      <w:pPr>
        <w:ind w:hanging="360" w:left="643"/>
        <w:tabs>
          <w:tab w:val="num" w:pos="643" w:leader="none"/>
        </w:tabs>
      </w:pPr>
      <w:rPr/>
    </w:lvl>
    <w:lvl w:ilvl="1" w:tplc="45A5E570">
      <w:start w:val="1"/>
      <w:numFmt w:val="decimal"/>
      <w:suff w:val="tab"/>
      <w:lvlText w:val="%1."/>
      <w:lvlJc w:val="left"/>
      <w:pPr/>
      <w:rPr/>
    </w:lvl>
    <w:lvl w:ilvl="2" w:tplc="0EBEE44B">
      <w:start w:val="1"/>
      <w:numFmt w:val="decimal"/>
      <w:suff w:val="tab"/>
      <w:lvlText w:val="%1."/>
      <w:lvlJc w:val="left"/>
      <w:pPr/>
      <w:rPr/>
    </w:lvl>
    <w:lvl w:ilvl="3" w:tplc="6B7EE9BD">
      <w:start w:val="1"/>
      <w:numFmt w:val="decimal"/>
      <w:suff w:val="tab"/>
      <w:lvlText w:val="%1."/>
      <w:lvlJc w:val="left"/>
      <w:pPr/>
      <w:rPr/>
    </w:lvl>
    <w:lvl w:ilvl="4" w:tplc="3B74BF93">
      <w:start w:val="1"/>
      <w:numFmt w:val="decimal"/>
      <w:suff w:val="tab"/>
      <w:lvlText w:val="%1."/>
      <w:lvlJc w:val="left"/>
      <w:pPr/>
      <w:rPr/>
    </w:lvl>
    <w:lvl w:ilvl="5" w:tplc="63B836E2">
      <w:start w:val="1"/>
      <w:numFmt w:val="decimal"/>
      <w:suff w:val="tab"/>
      <w:lvlText w:val="%1."/>
      <w:lvlJc w:val="left"/>
      <w:pPr/>
      <w:rPr/>
    </w:lvl>
    <w:lvl w:ilvl="6" w:tplc="44252213">
      <w:start w:val="1"/>
      <w:numFmt w:val="decimal"/>
      <w:suff w:val="tab"/>
      <w:lvlText w:val="%1."/>
      <w:lvlJc w:val="left"/>
      <w:pPr/>
      <w:rPr/>
    </w:lvl>
    <w:lvl w:ilvl="7" w:tplc="1809C4BA">
      <w:start w:val="1"/>
      <w:numFmt w:val="decimal"/>
      <w:suff w:val="tab"/>
      <w:lvlText w:val="%1."/>
      <w:lvlJc w:val="left"/>
      <w:pPr/>
      <w:rPr/>
    </w:lvl>
    <w:lvl w:ilvl="8" w:tplc="32DC3AFD">
      <w:start w:val="1"/>
      <w:numFmt w:val="decimal"/>
      <w:suff w:val="tab"/>
      <w:lvlText w:val="%1."/>
      <w:lvlJc w:val="left"/>
      <w:pPr/>
      <w:rPr/>
    </w:lvl>
  </w:abstractNum>
  <w:abstractNum w:abstractNumId="4">
    <w:nsid w:val="FFFFFF80"/>
    <w:multiLevelType w:val="hybridMultilevel"/>
    <w:lvl w:ilvl="0">
      <w:start w:val="1"/>
      <w:numFmt w:val="bullet"/>
      <w:pStyle w:val="P102"/>
      <w:suff w:val="tab"/>
      <w:lvlText w:val=""/>
      <w:lvlJc w:val="left"/>
      <w:pPr>
        <w:ind w:hanging="360" w:left="1492"/>
        <w:tabs>
          <w:tab w:val="num" w:pos="1492" w:leader="none"/>
        </w:tabs>
      </w:pPr>
      <w:rPr>
        <w:rFonts w:ascii="Symbol" w:hAnsi="Symbol" w:hint="default"/>
      </w:rPr>
    </w:lvl>
    <w:lvl w:ilvl="1" w:tplc="53266588">
      <w:start w:val="1"/>
      <w:numFmt w:val="decimal"/>
      <w:suff w:val="tab"/>
      <w:lvlText w:val="%1."/>
      <w:lvlJc w:val="left"/>
      <w:pPr/>
      <w:rPr/>
    </w:lvl>
    <w:lvl w:ilvl="2" w:tplc="781867F5">
      <w:start w:val="1"/>
      <w:numFmt w:val="decimal"/>
      <w:suff w:val="tab"/>
      <w:lvlText w:val="%1."/>
      <w:lvlJc w:val="left"/>
      <w:pPr/>
      <w:rPr/>
    </w:lvl>
    <w:lvl w:ilvl="3" w:tplc="3E097680">
      <w:start w:val="1"/>
      <w:numFmt w:val="decimal"/>
      <w:suff w:val="tab"/>
      <w:lvlText w:val="%1."/>
      <w:lvlJc w:val="left"/>
      <w:pPr/>
      <w:rPr/>
    </w:lvl>
    <w:lvl w:ilvl="4" w:tplc="39EF5BA5">
      <w:start w:val="1"/>
      <w:numFmt w:val="decimal"/>
      <w:suff w:val="tab"/>
      <w:lvlText w:val="%1."/>
      <w:lvlJc w:val="left"/>
      <w:pPr/>
      <w:rPr/>
    </w:lvl>
    <w:lvl w:ilvl="5" w:tplc="69114B78">
      <w:start w:val="1"/>
      <w:numFmt w:val="decimal"/>
      <w:suff w:val="tab"/>
      <w:lvlText w:val="%1."/>
      <w:lvlJc w:val="left"/>
      <w:pPr/>
      <w:rPr/>
    </w:lvl>
    <w:lvl w:ilvl="6" w:tplc="508D6917">
      <w:start w:val="1"/>
      <w:numFmt w:val="decimal"/>
      <w:suff w:val="tab"/>
      <w:lvlText w:val="%1."/>
      <w:lvlJc w:val="left"/>
      <w:pPr/>
      <w:rPr/>
    </w:lvl>
    <w:lvl w:ilvl="7" w:tplc="424A5923">
      <w:start w:val="1"/>
      <w:numFmt w:val="decimal"/>
      <w:suff w:val="tab"/>
      <w:lvlText w:val="%1."/>
      <w:lvlJc w:val="left"/>
      <w:pPr/>
      <w:rPr/>
    </w:lvl>
    <w:lvl w:ilvl="8" w:tplc="64FB69FA">
      <w:start w:val="1"/>
      <w:numFmt w:val="decimal"/>
      <w:suff w:val="tab"/>
      <w:lvlText w:val="%1."/>
      <w:lvlJc w:val="left"/>
      <w:pPr/>
      <w:rPr/>
    </w:lvl>
  </w:abstractNum>
  <w:abstractNum w:abstractNumId="5">
    <w:nsid w:val="FFFFFF81"/>
    <w:multiLevelType w:val="hybridMultilevel"/>
    <w:lvl w:ilvl="0">
      <w:start w:val="1"/>
      <w:numFmt w:val="bullet"/>
      <w:pStyle w:val="P101"/>
      <w:suff w:val="tab"/>
      <w:lvlText w:val=""/>
      <w:lvlJc w:val="left"/>
      <w:pPr>
        <w:ind w:hanging="360" w:left="1209"/>
        <w:tabs>
          <w:tab w:val="num" w:pos="1209" w:leader="none"/>
        </w:tabs>
      </w:pPr>
      <w:rPr>
        <w:rFonts w:ascii="Symbol" w:hAnsi="Symbol" w:hint="default"/>
      </w:rPr>
    </w:lvl>
    <w:lvl w:ilvl="1" w:tplc="19CCCD92">
      <w:start w:val="1"/>
      <w:numFmt w:val="decimal"/>
      <w:suff w:val="tab"/>
      <w:lvlText w:val="%1."/>
      <w:lvlJc w:val="left"/>
      <w:pPr/>
      <w:rPr/>
    </w:lvl>
    <w:lvl w:ilvl="2" w:tplc="2482C9C5">
      <w:start w:val="1"/>
      <w:numFmt w:val="decimal"/>
      <w:suff w:val="tab"/>
      <w:lvlText w:val="%1."/>
      <w:lvlJc w:val="left"/>
      <w:pPr/>
      <w:rPr/>
    </w:lvl>
    <w:lvl w:ilvl="3" w:tplc="7E3B7835">
      <w:start w:val="1"/>
      <w:numFmt w:val="decimal"/>
      <w:suff w:val="tab"/>
      <w:lvlText w:val="%1."/>
      <w:lvlJc w:val="left"/>
      <w:pPr/>
      <w:rPr/>
    </w:lvl>
    <w:lvl w:ilvl="4" w:tplc="5B9078A4">
      <w:start w:val="1"/>
      <w:numFmt w:val="decimal"/>
      <w:suff w:val="tab"/>
      <w:lvlText w:val="%1."/>
      <w:lvlJc w:val="left"/>
      <w:pPr/>
      <w:rPr/>
    </w:lvl>
    <w:lvl w:ilvl="5" w:tplc="3DE503FC">
      <w:start w:val="1"/>
      <w:numFmt w:val="decimal"/>
      <w:suff w:val="tab"/>
      <w:lvlText w:val="%1."/>
      <w:lvlJc w:val="left"/>
      <w:pPr/>
      <w:rPr/>
    </w:lvl>
    <w:lvl w:ilvl="6" w:tplc="33902A6F">
      <w:start w:val="1"/>
      <w:numFmt w:val="decimal"/>
      <w:suff w:val="tab"/>
      <w:lvlText w:val="%1."/>
      <w:lvlJc w:val="left"/>
      <w:pPr/>
      <w:rPr/>
    </w:lvl>
    <w:lvl w:ilvl="7" w:tplc="27042267">
      <w:start w:val="1"/>
      <w:numFmt w:val="decimal"/>
      <w:suff w:val="tab"/>
      <w:lvlText w:val="%1."/>
      <w:lvlJc w:val="left"/>
      <w:pPr/>
      <w:rPr/>
    </w:lvl>
    <w:lvl w:ilvl="8" w:tplc="64C77CF1">
      <w:start w:val="1"/>
      <w:numFmt w:val="decimal"/>
      <w:suff w:val="tab"/>
      <w:lvlText w:val="%1."/>
      <w:lvlJc w:val="left"/>
      <w:pPr/>
      <w:rPr/>
    </w:lvl>
  </w:abstractNum>
  <w:abstractNum w:abstractNumId="6">
    <w:nsid w:val="FFFFFF82"/>
    <w:multiLevelType w:val="hybridMultilevel"/>
    <w:lvl w:ilvl="0">
      <w:start w:val="1"/>
      <w:numFmt w:val="bullet"/>
      <w:pStyle w:val="P100"/>
      <w:suff w:val="tab"/>
      <w:lvlText w:val=""/>
      <w:lvlJc w:val="left"/>
      <w:pPr>
        <w:ind w:hanging="360" w:left="926"/>
        <w:tabs>
          <w:tab w:val="num" w:pos="926" w:leader="none"/>
        </w:tabs>
      </w:pPr>
      <w:rPr>
        <w:rFonts w:ascii="Symbol" w:hAnsi="Symbol" w:hint="default"/>
      </w:rPr>
    </w:lvl>
    <w:lvl w:ilvl="1" w:tplc="66A4941E">
      <w:start w:val="1"/>
      <w:numFmt w:val="decimal"/>
      <w:suff w:val="tab"/>
      <w:lvlText w:val="%1."/>
      <w:lvlJc w:val="left"/>
      <w:pPr/>
      <w:rPr/>
    </w:lvl>
    <w:lvl w:ilvl="2" w:tplc="2FF17ED1">
      <w:start w:val="1"/>
      <w:numFmt w:val="decimal"/>
      <w:suff w:val="tab"/>
      <w:lvlText w:val="%1."/>
      <w:lvlJc w:val="left"/>
      <w:pPr/>
      <w:rPr/>
    </w:lvl>
    <w:lvl w:ilvl="3" w:tplc="51A47516">
      <w:start w:val="1"/>
      <w:numFmt w:val="decimal"/>
      <w:suff w:val="tab"/>
      <w:lvlText w:val="%1."/>
      <w:lvlJc w:val="left"/>
      <w:pPr/>
      <w:rPr/>
    </w:lvl>
    <w:lvl w:ilvl="4" w:tplc="637C001A">
      <w:start w:val="1"/>
      <w:numFmt w:val="decimal"/>
      <w:suff w:val="tab"/>
      <w:lvlText w:val="%1."/>
      <w:lvlJc w:val="left"/>
      <w:pPr/>
      <w:rPr/>
    </w:lvl>
    <w:lvl w:ilvl="5" w:tplc="5F76D445">
      <w:start w:val="1"/>
      <w:numFmt w:val="decimal"/>
      <w:suff w:val="tab"/>
      <w:lvlText w:val="%1."/>
      <w:lvlJc w:val="left"/>
      <w:pPr/>
      <w:rPr/>
    </w:lvl>
    <w:lvl w:ilvl="6" w:tplc="490E577A">
      <w:start w:val="1"/>
      <w:numFmt w:val="decimal"/>
      <w:suff w:val="tab"/>
      <w:lvlText w:val="%1."/>
      <w:lvlJc w:val="left"/>
      <w:pPr/>
      <w:rPr/>
    </w:lvl>
    <w:lvl w:ilvl="7" w:tplc="1120DD75">
      <w:start w:val="1"/>
      <w:numFmt w:val="decimal"/>
      <w:suff w:val="tab"/>
      <w:lvlText w:val="%1."/>
      <w:lvlJc w:val="left"/>
      <w:pPr/>
      <w:rPr/>
    </w:lvl>
    <w:lvl w:ilvl="8" w:tplc="588BECE7">
      <w:start w:val="1"/>
      <w:numFmt w:val="decimal"/>
      <w:suff w:val="tab"/>
      <w:lvlText w:val="%1."/>
      <w:lvlJc w:val="left"/>
      <w:pPr/>
      <w:rPr/>
    </w:lvl>
  </w:abstractNum>
  <w:abstractNum w:abstractNumId="7">
    <w:nsid w:val="FFFFFF83"/>
    <w:multiLevelType w:val="hybridMultilevel"/>
    <w:lvl w:ilvl="0">
      <w:start w:val="1"/>
      <w:numFmt w:val="bullet"/>
      <w:pStyle w:val="P99"/>
      <w:suff w:val="tab"/>
      <w:lvlText w:val=""/>
      <w:lvlJc w:val="left"/>
      <w:pPr>
        <w:ind w:hanging="360" w:left="643"/>
        <w:tabs>
          <w:tab w:val="num" w:pos="643" w:leader="none"/>
        </w:tabs>
      </w:pPr>
      <w:rPr>
        <w:rFonts w:ascii="Symbol" w:hAnsi="Symbol" w:hint="default"/>
      </w:rPr>
    </w:lvl>
    <w:lvl w:ilvl="1" w:tplc="291F8F89">
      <w:start w:val="1"/>
      <w:numFmt w:val="decimal"/>
      <w:suff w:val="tab"/>
      <w:lvlText w:val="%1."/>
      <w:lvlJc w:val="left"/>
      <w:pPr/>
      <w:rPr/>
    </w:lvl>
    <w:lvl w:ilvl="2" w:tplc="6C29E15C">
      <w:start w:val="1"/>
      <w:numFmt w:val="decimal"/>
      <w:suff w:val="tab"/>
      <w:lvlText w:val="%1."/>
      <w:lvlJc w:val="left"/>
      <w:pPr/>
      <w:rPr/>
    </w:lvl>
    <w:lvl w:ilvl="3" w:tplc="4C101D44">
      <w:start w:val="1"/>
      <w:numFmt w:val="decimal"/>
      <w:suff w:val="tab"/>
      <w:lvlText w:val="%1."/>
      <w:lvlJc w:val="left"/>
      <w:pPr/>
      <w:rPr/>
    </w:lvl>
    <w:lvl w:ilvl="4" w:tplc="4FEE7E33">
      <w:start w:val="1"/>
      <w:numFmt w:val="decimal"/>
      <w:suff w:val="tab"/>
      <w:lvlText w:val="%1."/>
      <w:lvlJc w:val="left"/>
      <w:pPr/>
      <w:rPr/>
    </w:lvl>
    <w:lvl w:ilvl="5" w:tplc="031B622D">
      <w:start w:val="1"/>
      <w:numFmt w:val="decimal"/>
      <w:suff w:val="tab"/>
      <w:lvlText w:val="%1."/>
      <w:lvlJc w:val="left"/>
      <w:pPr/>
      <w:rPr/>
    </w:lvl>
    <w:lvl w:ilvl="6" w:tplc="5C1E7C99">
      <w:start w:val="1"/>
      <w:numFmt w:val="decimal"/>
      <w:suff w:val="tab"/>
      <w:lvlText w:val="%1."/>
      <w:lvlJc w:val="left"/>
      <w:pPr/>
      <w:rPr/>
    </w:lvl>
    <w:lvl w:ilvl="7" w:tplc="5F5B850A">
      <w:start w:val="1"/>
      <w:numFmt w:val="decimal"/>
      <w:suff w:val="tab"/>
      <w:lvlText w:val="%1."/>
      <w:lvlJc w:val="left"/>
      <w:pPr/>
      <w:rPr/>
    </w:lvl>
    <w:lvl w:ilvl="8" w:tplc="61B849B3">
      <w:start w:val="1"/>
      <w:numFmt w:val="decimal"/>
      <w:suff w:val="tab"/>
      <w:lvlText w:val="%1."/>
      <w:lvlJc w:val="left"/>
      <w:pPr/>
      <w:rPr/>
    </w:lvl>
  </w:abstractNum>
  <w:abstractNum w:abstractNumId="8">
    <w:nsid w:val="FFFFFF88"/>
    <w:multiLevelType w:val="multilevel"/>
    <w:lvl w:ilvl="0">
      <w:start w:val="1"/>
      <w:numFmt w:val="decimal"/>
      <w:pStyle w:val="P44"/>
      <w:suff w:val="tab"/>
      <w:lvlText w:val="%1."/>
      <w:lvlJc w:val="left"/>
      <w:pPr>
        <w:ind w:hanging="360" w:left="360"/>
        <w:tabs>
          <w:tab w:val="num" w:pos="360"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9">
    <w:nsid w:val="FFFFFF89"/>
    <w:multiLevelType w:val="multilevel"/>
    <w:lvl w:ilvl="0">
      <w:start w:val="1"/>
      <w:numFmt w:val="bullet"/>
      <w:pStyle w:val="P43"/>
      <w:suff w:val="tab"/>
      <w:lvlText w:val=""/>
      <w:lvlJc w:val="left"/>
      <w:pPr>
        <w:ind w:hanging="360" w:left="360"/>
        <w:tabs>
          <w:tab w:val="num" w:pos="360"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10">
    <w:nsid w:val="01C8772F"/>
    <w:multiLevelType w:val="multilevel"/>
    <w:lvl w:ilvl="0">
      <w:start w:val="1"/>
      <w:numFmt w:val="decimal"/>
      <w:pStyle w:val="P1"/>
      <w:suff w:val="tab"/>
      <w:lvlText w:val="%1."/>
      <w:lvlJc w:val="left"/>
      <w:pPr>
        <w:ind w:hanging="360" w:left="720"/>
      </w:pPr>
      <w:rPr>
        <w:rFonts w:hint="default"/>
      </w:rPr>
    </w:lvl>
    <w:lvl w:ilvl="1">
      <w:start w:val="1"/>
      <w:numFmt w:val="decimal"/>
      <w:pStyle w:val="P2"/>
      <w:isLgl w:val="1"/>
      <w:suff w:val="tab"/>
      <w:lvlText w:val="%1.%2"/>
      <w:lvlJc w:val="left"/>
      <w:pPr>
        <w:ind w:hanging="720" w:left="1080"/>
      </w:pPr>
      <w:rPr>
        <w:rFonts w:hint="default"/>
      </w:rPr>
    </w:lvl>
    <w:lvl w:ilvl="2">
      <w:start w:val="1"/>
      <w:numFmt w:val="decimal"/>
      <w:pStyle w:val="P3"/>
      <w:isLgl w:val="1"/>
      <w:suff w:val="tab"/>
      <w:lvlText w:val="%1.%2.%3"/>
      <w:lvlJc w:val="left"/>
      <w:pPr>
        <w:ind w:hanging="720" w:left="1004"/>
      </w:pPr>
      <w:rPr>
        <w:rFonts w:hint="default"/>
      </w:rPr>
    </w:lvl>
    <w:lvl w:ilvl="3">
      <w:start w:val="1"/>
      <w:numFmt w:val="decimal"/>
      <w:isLgl w:val="1"/>
      <w:suff w:val="tab"/>
      <w:lvlText w:val="%1.%2.%3.%4"/>
      <w:lvlJc w:val="left"/>
      <w:pPr>
        <w:ind w:hanging="1080" w:left="1440"/>
      </w:pPr>
      <w:rPr>
        <w:rFonts w:hint="default"/>
      </w:rPr>
    </w:lvl>
    <w:lvl w:ilvl="4">
      <w:start w:val="1"/>
      <w:numFmt w:val="decimal"/>
      <w:isLgl w:val="1"/>
      <w:suff w:val="tab"/>
      <w:lvlText w:val="%1.%2.%3.%4.%5"/>
      <w:lvlJc w:val="left"/>
      <w:pPr>
        <w:ind w:hanging="1440" w:left="1800"/>
      </w:pPr>
      <w:rPr>
        <w:rFonts w:hint="default"/>
      </w:rPr>
    </w:lvl>
    <w:lvl w:ilvl="5">
      <w:start w:val="1"/>
      <w:numFmt w:val="decimal"/>
      <w:isLgl w:val="1"/>
      <w:suff w:val="tab"/>
      <w:lvlText w:val="%1.%2.%3.%4.%5.%6"/>
      <w:lvlJc w:val="left"/>
      <w:pPr>
        <w:ind w:hanging="1440" w:left="1800"/>
      </w:pPr>
      <w:rPr>
        <w:rFonts w:hint="default"/>
      </w:rPr>
    </w:lvl>
    <w:lvl w:ilvl="6">
      <w:start w:val="1"/>
      <w:numFmt w:val="decimal"/>
      <w:isLgl w:val="1"/>
      <w:suff w:val="tab"/>
      <w:lvlText w:val="%1.%2.%3.%4.%5.%6.%7"/>
      <w:lvlJc w:val="left"/>
      <w:pPr>
        <w:ind w:hanging="1800" w:left="2160"/>
      </w:pPr>
      <w:rPr>
        <w:rFonts w:hint="default"/>
      </w:rPr>
    </w:lvl>
    <w:lvl w:ilvl="7">
      <w:start w:val="1"/>
      <w:numFmt w:val="decimal"/>
      <w:isLgl w:val="1"/>
      <w:suff w:val="tab"/>
      <w:lvlText w:val="%1.%2.%3.%4.%5.%6.%7.%8"/>
      <w:lvlJc w:val="left"/>
      <w:pPr>
        <w:ind w:hanging="1800" w:left="2160"/>
      </w:pPr>
      <w:rPr>
        <w:rFonts w:hint="default"/>
      </w:rPr>
    </w:lvl>
    <w:lvl w:ilvl="8">
      <w:start w:val="1"/>
      <w:numFmt w:val="decimal"/>
      <w:isLgl w:val="1"/>
      <w:suff w:val="tab"/>
      <w:lvlText w:val="%1.%2.%3.%4.%5.%6.%7.%8.%9"/>
      <w:lvlJc w:val="left"/>
      <w:pPr>
        <w:ind w:hanging="2160" w:left="2520"/>
      </w:pPr>
      <w:rPr>
        <w:rFonts w:hint="default"/>
      </w:rPr>
    </w:lvl>
  </w:abstractNum>
  <w:abstractNum w:abstractNumId="11">
    <w:nsid w:val="233843EA"/>
    <w:multiLevelType w:val="hybridMultilevel"/>
    <w:lvl w:ilvl="0" w:tplc="F26A8966">
      <w:start w:val="0"/>
      <w:numFmt w:val="bullet"/>
      <w:pStyle w:val="P32"/>
      <w:suff w:val="tab"/>
      <w:lvlText w:val="-"/>
      <w:lvlJc w:val="left"/>
      <w:pPr>
        <w:ind w:hanging="360" w:left="785"/>
      </w:pPr>
      <w:rPr>
        <w:rFonts w:ascii="Arial" w:hAnsi="Arial" w:cs="Arial" w:eastAsia="Arial" w:hint="default"/>
      </w:rPr>
    </w:lvl>
    <w:lvl w:ilvl="1" w:tplc="041D0003">
      <w:start w:val="1"/>
      <w:numFmt w:val="bullet"/>
      <w:suff w:val="tab"/>
      <w:lvlText w:val="o"/>
      <w:lvlJc w:val="left"/>
      <w:pPr>
        <w:ind w:hanging="360" w:left="1505"/>
      </w:pPr>
      <w:rPr>
        <w:rFonts w:ascii="Courier New" w:hAnsi="Courier New" w:cs="Courier New" w:hint="default"/>
      </w:rPr>
    </w:lvl>
    <w:lvl w:ilvl="2" w:tplc="041D0005">
      <w:start w:val="1"/>
      <w:numFmt w:val="bullet"/>
      <w:suff w:val="tab"/>
      <w:lvlText w:val=""/>
      <w:lvlJc w:val="left"/>
      <w:pPr>
        <w:ind w:hanging="360" w:left="2225"/>
      </w:pPr>
      <w:rPr>
        <w:rFonts w:ascii="Wingdings" w:hAnsi="Wingdings" w:hint="default"/>
      </w:rPr>
    </w:lvl>
    <w:lvl w:ilvl="3" w:tplc="041D0001">
      <w:start w:val="1"/>
      <w:numFmt w:val="bullet"/>
      <w:suff w:val="tab"/>
      <w:lvlText w:val=""/>
      <w:lvlJc w:val="left"/>
      <w:pPr>
        <w:ind w:hanging="360" w:left="2945"/>
      </w:pPr>
      <w:rPr>
        <w:rFonts w:ascii="Symbol" w:hAnsi="Symbol" w:hint="default"/>
      </w:rPr>
    </w:lvl>
    <w:lvl w:ilvl="4" w:tplc="041D0003">
      <w:start w:val="1"/>
      <w:numFmt w:val="bullet"/>
      <w:suff w:val="tab"/>
      <w:lvlText w:val="o"/>
      <w:lvlJc w:val="left"/>
      <w:pPr>
        <w:ind w:hanging="360" w:left="3665"/>
      </w:pPr>
      <w:rPr>
        <w:rFonts w:ascii="Courier New" w:hAnsi="Courier New" w:cs="Courier New" w:hint="default"/>
      </w:rPr>
    </w:lvl>
    <w:lvl w:ilvl="5" w:tplc="041D0005">
      <w:start w:val="1"/>
      <w:numFmt w:val="bullet"/>
      <w:suff w:val="tab"/>
      <w:lvlText w:val=""/>
      <w:lvlJc w:val="left"/>
      <w:pPr>
        <w:ind w:hanging="360" w:left="4385"/>
      </w:pPr>
      <w:rPr>
        <w:rFonts w:ascii="Wingdings" w:hAnsi="Wingdings" w:hint="default"/>
      </w:rPr>
    </w:lvl>
    <w:lvl w:ilvl="6" w:tplc="041D0001">
      <w:start w:val="1"/>
      <w:numFmt w:val="bullet"/>
      <w:suff w:val="tab"/>
      <w:lvlText w:val=""/>
      <w:lvlJc w:val="left"/>
      <w:pPr>
        <w:ind w:hanging="360" w:left="5105"/>
      </w:pPr>
      <w:rPr>
        <w:rFonts w:ascii="Symbol" w:hAnsi="Symbol" w:hint="default"/>
      </w:rPr>
    </w:lvl>
    <w:lvl w:ilvl="7" w:tplc="041D0003">
      <w:start w:val="1"/>
      <w:numFmt w:val="bullet"/>
      <w:suff w:val="tab"/>
      <w:lvlText w:val="o"/>
      <w:lvlJc w:val="left"/>
      <w:pPr>
        <w:ind w:hanging="360" w:left="5825"/>
      </w:pPr>
      <w:rPr>
        <w:rFonts w:ascii="Courier New" w:hAnsi="Courier New" w:cs="Courier New" w:hint="default"/>
      </w:rPr>
    </w:lvl>
    <w:lvl w:ilvl="8" w:tplc="041D0005">
      <w:start w:val="1"/>
      <w:numFmt w:val="bullet"/>
      <w:suff w:val="tab"/>
      <w:lvlText w:val=""/>
      <w:lvlJc w:val="left"/>
      <w:pPr>
        <w:ind w:hanging="360" w:left="6545"/>
      </w:pPr>
      <w:rPr>
        <w:rFonts w:ascii="Wingdings" w:hAnsi="Wingdings" w:hint="default"/>
      </w:rPr>
    </w:lvl>
  </w:abstractNum>
  <w:abstractNum w:abstractNumId="12">
    <w:nsid w:val="2D777721"/>
    <w:multiLevelType w:val="hybridMultilevel"/>
    <w:lvl w:ilvl="0" w:tplc="D6620734">
      <w:start w:val="1"/>
      <w:numFmt w:val="decimal"/>
      <w:pStyle w:val="P7"/>
      <w:suff w:val="tab"/>
      <w:lvlText w:val="%1."/>
      <w:lvlJc w:val="left"/>
      <w:pPr>
        <w:ind w:hanging="360" w:left="720"/>
      </w:pPr>
      <w:rPr>
        <w:rFonts w:ascii="Arial" w:hAnsi="Arial" w:hint="default"/>
        <w:color w:val="4478A4"/>
        <w:sz w:val="2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3">
    <w:nsid w:val="39B938E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4">
    <w:nsid w:val="4F5701D8"/>
    <w:multiLevelType w:val="hybridMultilevel"/>
    <w:lvl w:ilvl="0" w:tplc="8AE2657C">
      <w:start w:val="0"/>
      <w:numFmt w:val="bullet"/>
      <w:suff w:val="tab"/>
      <w:lvlText w:val="-"/>
      <w:lvlJc w:val="left"/>
      <w:pPr>
        <w:ind w:hanging="360" w:left="720"/>
      </w:pPr>
      <w:rPr>
        <w:rFonts w:ascii="Arial" w:hAnsi="Arial" w:cs="Arial"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688C0495"/>
    <w:multiLevelType w:val="multilevel"/>
    <w:tmpl w:val="0409001D"/>
    <w:styleLink w:val="N1"/>
    <w:lvl w:ilvl="0">
      <w:start w:val="4"/>
      <w:numFmt w:val="decimal"/>
      <w:suff w:val="tab"/>
      <w:lvlText w:val="%1"/>
      <w:lvlJc w:val="left"/>
      <w:pPr>
        <w:ind w:hanging="612" w:left="612"/>
      </w:pPr>
      <w:rPr>
        <w:rFonts w:hint="default"/>
      </w:rPr>
    </w:lvl>
    <w:lvl w:ilvl="1">
      <w:start w:val="3"/>
      <w:numFmt w:val="decimal"/>
      <w:suff w:val="tab"/>
      <w:lvlText w:val="%1.%2"/>
      <w:lvlJc w:val="left"/>
      <w:pPr>
        <w:ind w:hanging="720" w:left="1080"/>
      </w:pPr>
      <w:rPr>
        <w:rFonts w:hint="default"/>
      </w:rPr>
    </w:lvl>
    <w:lvl w:ilvl="2">
      <w:start w:val="4"/>
      <w:numFmt w:val="decimal"/>
      <w:suff w:val="tab"/>
      <w:lvlText w:val="%1.%2.%3"/>
      <w:lvlJc w:val="left"/>
      <w:pPr>
        <w:ind w:hanging="720" w:left="1440"/>
      </w:pPr>
      <w:rPr>
        <w:rFonts w:hint="default"/>
      </w:rPr>
    </w:lvl>
    <w:lvl w:ilvl="3">
      <w:start w:val="1"/>
      <w:numFmt w:val="decimal"/>
      <w:suff w:val="tab"/>
      <w:lvlText w:val="%1.%2.%3.%4"/>
      <w:lvlJc w:val="left"/>
      <w:pPr>
        <w:ind w:hanging="1080" w:left="2160"/>
      </w:pPr>
      <w:rPr>
        <w:rFonts w:hint="default"/>
      </w:rPr>
    </w:lvl>
    <w:lvl w:ilvl="4">
      <w:start w:val="1"/>
      <w:numFmt w:val="decimal"/>
      <w:suff w:val="tab"/>
      <w:lvlText w:val="%1.%2.%3.%4.%5"/>
      <w:lvlJc w:val="left"/>
      <w:pPr>
        <w:ind w:hanging="1440" w:left="2880"/>
      </w:pPr>
      <w:rPr>
        <w:rFonts w:hint="default"/>
      </w:rPr>
    </w:lvl>
    <w:lvl w:ilvl="5">
      <w:start w:val="1"/>
      <w:numFmt w:val="decimal"/>
      <w:suff w:val="tab"/>
      <w:lvlText w:val="%1.%2.%3.%4.%5.%6"/>
      <w:lvlJc w:val="left"/>
      <w:pPr>
        <w:ind w:hanging="1440" w:left="3240"/>
      </w:pPr>
      <w:rPr>
        <w:rFonts w:hint="default"/>
      </w:rPr>
    </w:lvl>
    <w:lvl w:ilvl="6">
      <w:start w:val="1"/>
      <w:numFmt w:val="decimal"/>
      <w:suff w:val="tab"/>
      <w:lvlText w:val="%1.%2.%3.%4.%5.%6.%7"/>
      <w:lvlJc w:val="left"/>
      <w:pPr>
        <w:ind w:hanging="1800" w:left="3960"/>
      </w:pPr>
      <w:rPr>
        <w:rFonts w:hint="default"/>
      </w:rPr>
    </w:lvl>
    <w:lvl w:ilvl="7">
      <w:start w:val="1"/>
      <w:numFmt w:val="decimal"/>
      <w:suff w:val="tab"/>
      <w:lvlText w:val="%1.%2.%3.%4.%5.%6.%7.%8"/>
      <w:lvlJc w:val="left"/>
      <w:pPr>
        <w:ind w:hanging="1800" w:left="4320"/>
      </w:pPr>
      <w:rPr>
        <w:rFonts w:hint="default"/>
      </w:rPr>
    </w:lvl>
    <w:lvl w:ilvl="8">
      <w:start w:val="1"/>
      <w:numFmt w:val="decimal"/>
      <w:suff w:val="tab"/>
      <w:lvlText w:val="%1.%2.%3.%4.%5.%6.%7.%8.%9"/>
      <w:lvlJc w:val="left"/>
      <w:pPr>
        <w:ind w:hanging="2160" w:left="5040"/>
      </w:pPr>
      <w:rPr>
        <w:rFonts w:hint="default"/>
      </w:rPr>
    </w:lvl>
  </w:abstractNum>
  <w:abstractNum w:abstractNumId="16">
    <w:nsid w:val="740D7607"/>
    <w:multiLevelType w:val="hybridMultilevel"/>
    <w:lvl w:ilvl="0" w:tplc="9AC4DB7A">
      <w:start w:val="1"/>
      <w:numFmt w:val="bullet"/>
      <w:pStyle w:val="P38"/>
      <w:suff w:val="tab"/>
      <w:lvlText w:val=""/>
      <w:lvlJc w:val="left"/>
      <w:pPr>
        <w:ind w:hanging="360" w:left="833"/>
      </w:pPr>
      <w:rPr>
        <w:rFonts w:ascii="Symbol" w:hAnsi="Symbol" w:hint="default"/>
        <w:color w:val="4478A4"/>
        <w:sz w:val="20"/>
        <w:u w:val="none" w:color="4478A4"/>
      </w:rPr>
    </w:lvl>
    <w:lvl w:ilvl="1" w:tplc="041D0003">
      <w:start w:val="1"/>
      <w:numFmt w:val="bullet"/>
      <w:suff w:val="tab"/>
      <w:lvlText w:val="o"/>
      <w:lvlJc w:val="left"/>
      <w:pPr>
        <w:ind w:hanging="360" w:left="1553"/>
      </w:pPr>
      <w:rPr>
        <w:rFonts w:ascii="Courier New" w:hAnsi="Courier New" w:cs="Courier New" w:hint="default"/>
      </w:rPr>
    </w:lvl>
    <w:lvl w:ilvl="2" w:tplc="041D0005">
      <w:start w:val="1"/>
      <w:numFmt w:val="bullet"/>
      <w:suff w:val="tab"/>
      <w:lvlText w:val=""/>
      <w:lvlJc w:val="left"/>
      <w:pPr>
        <w:ind w:hanging="360" w:left="2273"/>
      </w:pPr>
      <w:rPr>
        <w:rFonts w:ascii="Wingdings" w:hAnsi="Wingdings" w:hint="default"/>
      </w:rPr>
    </w:lvl>
    <w:lvl w:ilvl="3" w:tplc="041D0001">
      <w:start w:val="1"/>
      <w:numFmt w:val="bullet"/>
      <w:suff w:val="tab"/>
      <w:lvlText w:val=""/>
      <w:lvlJc w:val="left"/>
      <w:pPr>
        <w:ind w:hanging="360" w:left="2993"/>
      </w:pPr>
      <w:rPr>
        <w:rFonts w:ascii="Symbol" w:hAnsi="Symbol" w:hint="default"/>
      </w:rPr>
    </w:lvl>
    <w:lvl w:ilvl="4" w:tplc="041D0003">
      <w:start w:val="1"/>
      <w:numFmt w:val="bullet"/>
      <w:suff w:val="tab"/>
      <w:lvlText w:val="o"/>
      <w:lvlJc w:val="left"/>
      <w:pPr>
        <w:ind w:hanging="360" w:left="3713"/>
      </w:pPr>
      <w:rPr>
        <w:rFonts w:ascii="Courier New" w:hAnsi="Courier New" w:cs="Courier New" w:hint="default"/>
      </w:rPr>
    </w:lvl>
    <w:lvl w:ilvl="5" w:tplc="041D0005">
      <w:start w:val="1"/>
      <w:numFmt w:val="bullet"/>
      <w:suff w:val="tab"/>
      <w:lvlText w:val=""/>
      <w:lvlJc w:val="left"/>
      <w:pPr>
        <w:ind w:hanging="360" w:left="4433"/>
      </w:pPr>
      <w:rPr>
        <w:rFonts w:ascii="Wingdings" w:hAnsi="Wingdings" w:hint="default"/>
      </w:rPr>
    </w:lvl>
    <w:lvl w:ilvl="6" w:tplc="041D0001">
      <w:start w:val="1"/>
      <w:numFmt w:val="bullet"/>
      <w:suff w:val="tab"/>
      <w:lvlText w:val=""/>
      <w:lvlJc w:val="left"/>
      <w:pPr>
        <w:ind w:hanging="360" w:left="5153"/>
      </w:pPr>
      <w:rPr>
        <w:rFonts w:ascii="Symbol" w:hAnsi="Symbol" w:hint="default"/>
      </w:rPr>
    </w:lvl>
    <w:lvl w:ilvl="7" w:tplc="041D0003">
      <w:start w:val="1"/>
      <w:numFmt w:val="bullet"/>
      <w:suff w:val="tab"/>
      <w:lvlText w:val="o"/>
      <w:lvlJc w:val="left"/>
      <w:pPr>
        <w:ind w:hanging="360" w:left="5873"/>
      </w:pPr>
      <w:rPr>
        <w:rFonts w:ascii="Courier New" w:hAnsi="Courier New" w:cs="Courier New" w:hint="default"/>
      </w:rPr>
    </w:lvl>
    <w:lvl w:ilvl="8" w:tplc="041D0005">
      <w:start w:val="1"/>
      <w:numFmt w:val="bullet"/>
      <w:suff w:val="tab"/>
      <w:lvlText w:val=""/>
      <w:lvlJc w:val="left"/>
      <w:pPr>
        <w:ind w:hanging="360" w:left="6593"/>
      </w:pPr>
      <w:rPr>
        <w:rFonts w:ascii="Wingdings" w:hAnsi="Wingdings" w:hint="default"/>
      </w:rPr>
    </w:lvl>
  </w:abstractNum>
  <w:num w:numId="1">
    <w:abstractNumId w:val="13"/>
  </w:num>
  <w:num w:numId="2">
    <w:abstractNumId w:val="15"/>
  </w:num>
  <w:num w:numId="3">
    <w:abstractNumId w:val="9"/>
  </w:num>
  <w:num w:numId="4">
    <w:abstractNumId w:val="16"/>
  </w:num>
  <w:num w:numId="5">
    <w:abstractNumId w:val="8"/>
  </w:num>
  <w:num w:numId="6">
    <w:abstractNumId w:val="12"/>
  </w:num>
  <w:num w:numId="7">
    <w:abstractNumId w:val="10"/>
  </w:num>
  <w:num w:numId="8">
    <w:abstractNumId w:val="11"/>
  </w:num>
  <w:num w:numId="9">
    <w:abstractNumId w:val="1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
  </w:num>
  <w:num w:numId="13">
    <w:abstractNumId w:val="1"/>
  </w:num>
  <w:num w:numId="14">
    <w:abstractNumId w:val="0"/>
  </w:num>
  <w:num w:numId="15">
    <w:abstractNumId w:val="7"/>
  </w:num>
  <w:num w:numId="16">
    <w:abstractNumId w:val="6"/>
  </w:num>
  <w:num w:numId="17">
    <w:abstractNumId w:val="5"/>
  </w:num>
  <w:num w:numId="18">
    <w:abstractNumId w:val="4"/>
  </w:num>
</w:numbering>
</file>

<file path=word/settings.xml><?xml version="1.0" encoding="utf-8"?>
<w:settings xmlns:w="http://schemas.openxmlformats.org/wordprocessingml/2006/main">
  <w:displayBackgroundShape w:val="0"/>
  <w:defaultTabStop w:val="1304"/>
  <w:autoHyphenation w:val="1"/>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ind w:hanging="2608" w:left="2608"/>
    </w:pPr>
    <w:rPr>
      <w:sz w:val="24"/>
      <w:szCs w:val="24"/>
    </w:rPr>
  </w:style>
  <w:style w:type="paragraph" w:styleId="P1">
    <w:name w:val="Heading 1"/>
    <w:basedOn w:val="P0"/>
    <w:next w:val="P13"/>
    <w:link w:val="C19"/>
    <w:qFormat/>
    <w:pPr>
      <w:keepNext w:val="1"/>
      <w:numPr>
        <w:numId w:val="7"/>
      </w:numPr>
      <w:spacing w:before="180" w:after="220" w:beforeAutospacing="0" w:afterAutospacing="0"/>
      <w:outlineLvl w:val="0"/>
    </w:pPr>
    <w:rPr>
      <w:rFonts w:asciiTheme="majorHAnsi" w:hAnsiTheme="majorHAnsi" w:cs="Arial" w:eastAsia="Arial"/>
      <w:b w:val="1"/>
      <w:bCs w:val="1"/>
      <w:noProof w:val="1"/>
      <w:color w:val="4478A4"/>
      <w:sz w:val="36"/>
      <w:szCs w:val="32"/>
      <w:kern w:val="28"/>
    </w:rPr>
  </w:style>
  <w:style w:type="paragraph" w:styleId="P2">
    <w:name w:val="Heading 2"/>
    <w:basedOn w:val="P0"/>
    <w:next w:val="P13"/>
    <w:link w:val="C4"/>
    <w:qFormat/>
    <w:pPr>
      <w:keepNext w:val="1"/>
      <w:numPr>
        <w:ilvl w:val="1"/>
        <w:numId w:val="7"/>
      </w:numPr>
      <w:spacing w:before="200" w:after="260" w:beforeAutospacing="0" w:afterAutospacing="0"/>
      <w:outlineLvl w:val="1"/>
    </w:pPr>
    <w:rPr>
      <w:rFonts w:asciiTheme="majorHAnsi" w:hAnsiTheme="majorHAnsi" w:eastAsia="Arial"/>
      <w:b w:val="1"/>
      <w:noProof w:val="1"/>
      <w:color w:val="4478A4"/>
      <w:sz w:val="26"/>
      <w:szCs w:val="28"/>
    </w:rPr>
  </w:style>
  <w:style w:type="paragraph" w:styleId="P3">
    <w:name w:val="Heading 3"/>
    <w:basedOn w:val="P0"/>
    <w:next w:val="P13"/>
    <w:link w:val="C7"/>
    <w:qFormat/>
    <w:pPr>
      <w:keepNext w:val="1"/>
      <w:numPr>
        <w:ilvl w:val="2"/>
        <w:numId w:val="7"/>
      </w:numPr>
      <w:spacing w:before="260" w:after="320" w:beforeAutospacing="0" w:afterAutospacing="0"/>
      <w:outlineLvl w:val="2"/>
    </w:pPr>
    <w:rPr>
      <w:rFonts w:asciiTheme="majorHAnsi" w:hAnsiTheme="majorHAnsi" w:eastAsia="Arial"/>
      <w:b w:val="1"/>
      <w:iCs w:val="1"/>
      <w:noProof w:val="1"/>
      <w:color w:val="4478A4"/>
      <w:sz w:val="20"/>
      <w:szCs w:val="32"/>
    </w:rPr>
  </w:style>
  <w:style w:type="paragraph" w:styleId="P4">
    <w:name w:val="Heading 4"/>
    <w:basedOn w:val="P0"/>
    <w:next w:val="P0"/>
    <w:link w:val="C6"/>
    <w:qFormat/>
    <w:pPr>
      <w:keepNext w:val="1"/>
      <w:keepLines w:val="1"/>
      <w:spacing w:before="360" w:after="420" w:beforeAutospacing="0" w:afterAutospacing="0"/>
      <w:outlineLvl w:val="3"/>
    </w:pPr>
    <w:rPr>
      <w:rFonts w:cstheme="majorBidi" w:eastAsiaTheme="majorEastAsia"/>
      <w:b w:val="1"/>
      <w:bCs w:val="1"/>
      <w:iCs w:val="1"/>
      <w:sz w:val="20"/>
    </w:rPr>
  </w:style>
  <w:style w:type="paragraph" w:styleId="P5">
    <w:name w:val="Heading 5"/>
    <w:basedOn w:val="P0"/>
    <w:next w:val="P0"/>
    <w:link w:val="C14"/>
    <w:semiHidden/>
    <w:qFormat/>
    <w:pPr>
      <w:keepNext w:val="1"/>
      <w:keepLines w:val="1"/>
      <w:spacing w:before="200" w:beforeAutospacing="0" w:afterAutospacing="0"/>
      <w:outlineLvl w:val="4"/>
    </w:pPr>
    <w:rPr>
      <w:rFonts w:asciiTheme="majorHAnsi" w:hAnsiTheme="majorHAnsi" w:cstheme="majorBidi" w:eastAsiaTheme="majorEastAsia"/>
      <w:color w:val="001328" w:themeColor="accent1" w:themeShade="7F"/>
    </w:rPr>
  </w:style>
  <w:style w:type="paragraph" w:styleId="P6">
    <w:name w:val="Heading 6"/>
    <w:next w:val="P0"/>
    <w:link w:val="C17"/>
    <w:semiHidden/>
    <w:qFormat/>
    <w:pPr>
      <w:keepNext w:val="1"/>
      <w:keepLines w:val="1"/>
      <w:spacing w:lineRule="auto" w:line="259" w:beforeAutospacing="0" w:afterAutospacing="0"/>
      <w:ind w:hanging="1152" w:left="1152"/>
      <w:outlineLvl w:val="5"/>
    </w:pPr>
    <w:rPr>
      <w:rFonts w:ascii="Arial" w:hAnsi="Arial" w:cs="Arial" w:eastAsia="Arial"/>
      <w:color w:val="000000"/>
      <w:sz w:val="28"/>
    </w:rPr>
  </w:style>
  <w:style w:type="paragraph" w:styleId="P7">
    <w:name w:val="Heading 7"/>
    <w:aliases w:val="Nummerlista"/>
    <w:basedOn w:val="P44"/>
    <w:next w:val="P45"/>
    <w:link w:val="C18"/>
    <w:qFormat/>
    <w:pPr>
      <w:keepNext w:val="1"/>
      <w:keepLines w:val="1"/>
      <w:numPr>
        <w:numId w:val="6"/>
      </w:numPr>
      <w:spacing w:lineRule="auto" w:line="259" w:after="3" w:beforeAutospacing="0" w:afterAutospacing="0"/>
      <w:outlineLvl w:val="6"/>
    </w:pPr>
    <w:rPr>
      <w:rFonts w:ascii="Arial" w:hAnsi="Arial" w:cs="Arial" w:eastAsia="Arial"/>
      <w:color w:val="000000"/>
      <w:szCs w:val="22"/>
    </w:rPr>
  </w:style>
  <w:style w:type="paragraph" w:styleId="P8">
    <w:name w:val="Heading 8"/>
    <w:basedOn w:val="P0"/>
    <w:next w:val="P0"/>
    <w:link w:val="C20"/>
    <w:semiHidden/>
    <w:qFormat/>
    <w:pPr>
      <w:keepNext w:val="1"/>
      <w:keepLines w:val="1"/>
      <w:spacing w:before="40" w:beforeAutospacing="0" w:afterAutospacing="0"/>
      <w:outlineLvl w:val="7"/>
    </w:pPr>
    <w:rPr>
      <w:rFonts w:ascii="Calibri Light" w:hAnsi="Calibri Light"/>
      <w:color w:val="272727"/>
      <w:sz w:val="21"/>
      <w:szCs w:val="21"/>
    </w:rPr>
  </w:style>
  <w:style w:type="paragraph" w:styleId="P9">
    <w:name w:val="Heading 9"/>
    <w:basedOn w:val="P0"/>
    <w:next w:val="P0"/>
    <w:link w:val="C21"/>
    <w:semiHidden/>
    <w:qFormat/>
    <w:pPr>
      <w:keepNext w:val="1"/>
      <w:keepLines w:val="1"/>
      <w:spacing w:before="40" w:beforeAutospacing="0" w:afterAutospacing="0"/>
      <w:outlineLvl w:val="8"/>
    </w:pPr>
    <w:rPr>
      <w:rFonts w:ascii="Calibri Light" w:hAnsi="Calibri Light"/>
      <w:i w:val="1"/>
      <w:iCs w:val="1"/>
      <w:color w:val="272727"/>
      <w:sz w:val="21"/>
      <w:szCs w:val="21"/>
    </w:rPr>
  </w:style>
  <w:style w:type="paragraph" w:styleId="P10">
    <w:name w:val="Header"/>
    <w:basedOn w:val="P0"/>
    <w:link w:val="C24"/>
    <w:pPr>
      <w:tabs>
        <w:tab w:val="center" w:pos="4536" w:leader="none"/>
        <w:tab w:val="right" w:pos="9072" w:leader="none"/>
      </w:tabs>
      <w:ind w:left="1474" w:right="-1134"/>
    </w:pPr>
    <w:rPr/>
  </w:style>
  <w:style w:type="paragraph" w:styleId="P11">
    <w:name w:val="Footer"/>
    <w:basedOn w:val="P0"/>
    <w:link w:val="C9"/>
    <w:pPr>
      <w:tabs>
        <w:tab w:val="center" w:pos="4536" w:leader="none"/>
        <w:tab w:val="right" w:pos="9072" w:leader="none"/>
      </w:tabs>
    </w:pPr>
    <w:rPr/>
  </w:style>
  <w:style w:type="paragraph" w:styleId="P12">
    <w:name w:val="Balloon Text"/>
    <w:basedOn w:val="P0"/>
    <w:semiHidden/>
    <w:pPr/>
    <w:rPr>
      <w:rFonts w:ascii="Tahoma" w:hAnsi="Tahoma" w:cs="Tahoma"/>
      <w:sz w:val="16"/>
      <w:szCs w:val="16"/>
    </w:rPr>
  </w:style>
  <w:style w:type="paragraph" w:styleId="P13">
    <w:name w:val="Body Text"/>
    <w:basedOn w:val="P0"/>
    <w:link w:val="C13"/>
    <w:qFormat/>
    <w:pPr>
      <w:suppressAutoHyphens w:val="1"/>
      <w:ind w:firstLine="0" w:left="0"/>
    </w:pPr>
    <w:rPr>
      <w:rFonts w:asciiTheme="minorHAnsi" w:hAnsiTheme="minorHAnsi" w:cs="Arial" w:eastAsia="Arial"/>
      <w:iCs w:val="1"/>
      <w:noProof w:val="1"/>
      <w:sz w:val="20"/>
    </w:rPr>
  </w:style>
  <w:style w:type="paragraph" w:styleId="P14">
    <w:name w:val="Caption"/>
    <w:basedOn w:val="P0"/>
    <w:next w:val="P0"/>
    <w:pPr/>
    <w:rPr>
      <w:b w:val="1"/>
      <w:bCs w:val="1"/>
      <w:sz w:val="20"/>
      <w:szCs w:val="20"/>
    </w:rPr>
  </w:style>
  <w:style w:type="paragraph" w:styleId="P15">
    <w:name w:val="Bildtext"/>
    <w:basedOn w:val="P13"/>
    <w:next w:val="P13"/>
    <w:qFormat/>
    <w:pPr/>
    <w:rPr>
      <w:sz w:val="15"/>
    </w:rPr>
  </w:style>
  <w:style w:type="paragraph" w:styleId="P16">
    <w:name w:val="TOC Heading"/>
    <w:basedOn w:val="P1"/>
    <w:next w:val="P0"/>
    <w:pPr>
      <w:keepLines w:val="1"/>
      <w:spacing w:lineRule="auto" w:line="276" w:before="480" w:after="0" w:beforeAutospacing="0" w:afterAutospacing="0"/>
      <w:outlineLvl w:val="9"/>
    </w:pPr>
    <w:rPr>
      <w:rFonts w:cstheme="majorBidi" w:eastAsiaTheme="majorEastAsia"/>
      <w:color w:val="001D3C" w:themeColor="accent1" w:themeShade="BF"/>
      <w:sz w:val="28"/>
      <w:szCs w:val="28"/>
    </w:rPr>
  </w:style>
  <w:style w:type="paragraph" w:styleId="P17">
    <w:name w:val="TOC 1"/>
    <w:aliases w:val="Innehållsförteckning rubrik 1"/>
    <w:basedOn w:val="P0"/>
    <w:next w:val="P0"/>
    <w:qFormat/>
    <w:pPr>
      <w:tabs>
        <w:tab w:val="left" w:pos="370" w:leader="none"/>
        <w:tab w:val="right" w:pos="7360" w:leader="none"/>
      </w:tabs>
      <w:spacing w:before="200" w:beforeAutospacing="0" w:afterAutospacing="0"/>
      <w:ind w:firstLine="0" w:left="0"/>
    </w:pPr>
    <w:rPr>
      <w:rFonts w:asciiTheme="majorHAnsi" w:hAnsiTheme="majorHAnsi" w:cstheme="minorHAnsi"/>
      <w:b w:val="1"/>
      <w:bCs w:val="1"/>
      <w:noProof w:val="1"/>
      <w:sz w:val="20"/>
      <w:szCs w:val="22"/>
    </w:rPr>
  </w:style>
  <w:style w:type="paragraph" w:styleId="P18">
    <w:name w:val="TOC 3"/>
    <w:basedOn w:val="P0"/>
    <w:next w:val="P0"/>
    <w:link w:val="C41"/>
    <w:pPr>
      <w:ind w:firstLine="0" w:left="964"/>
      <w:contextualSpacing w:val="1"/>
    </w:pPr>
    <w:rPr>
      <w:rFonts w:asciiTheme="minorHAnsi" w:hAnsiTheme="minorHAnsi" w:cstheme="minorHAnsi"/>
      <w:b w:val="1"/>
      <w:i w:val="1"/>
      <w:sz w:val="18"/>
      <w:szCs w:val="22"/>
    </w:rPr>
  </w:style>
  <w:style w:type="paragraph" w:styleId="P19">
    <w:name w:val="TOC 2"/>
    <w:aliases w:val="Innehållsförteckning rubrik 2"/>
    <w:basedOn w:val="P0"/>
    <w:next w:val="P0"/>
    <w:qFormat/>
    <w:pPr>
      <w:spacing w:before="120" w:after="40" w:beforeAutospacing="0" w:afterAutospacing="0"/>
      <w:ind w:firstLine="0" w:left="397"/>
    </w:pPr>
    <w:rPr>
      <w:rFonts w:asciiTheme="majorHAnsi" w:hAnsiTheme="majorHAnsi" w:cstheme="minorHAnsi"/>
      <w:bCs w:val="1"/>
      <w:noProof w:val="1"/>
      <w:sz w:val="20"/>
      <w:szCs w:val="22"/>
    </w:rPr>
  </w:style>
  <w:style w:type="paragraph" w:styleId="P20">
    <w:name w:val="Default"/>
    <w:pPr/>
    <w:rPr>
      <w:rFonts w:ascii="Garamond" w:hAnsi="Garamond" w:cs="Garamond"/>
      <w:color w:val="000000"/>
      <w:sz w:val="24"/>
      <w:szCs w:val="24"/>
    </w:rPr>
  </w:style>
  <w:style w:type="paragraph" w:styleId="P21">
    <w:name w:val="Formatmall1"/>
    <w:basedOn w:val="P3"/>
    <w:link w:val="C8"/>
    <w:pPr/>
    <w:rPr/>
  </w:style>
  <w:style w:type="paragraph" w:styleId="P22">
    <w:name w:val="TOC 4"/>
    <w:basedOn w:val="P0"/>
    <w:next w:val="P0"/>
    <w:pPr>
      <w:ind w:firstLine="0" w:left="0"/>
    </w:pPr>
    <w:rPr>
      <w:rFonts w:asciiTheme="minorHAnsi" w:hAnsiTheme="minorHAnsi" w:cstheme="minorHAnsi"/>
      <w:sz w:val="22"/>
      <w:szCs w:val="22"/>
    </w:rPr>
  </w:style>
  <w:style w:type="paragraph" w:styleId="P23">
    <w:name w:val="TOC 5"/>
    <w:basedOn w:val="P0"/>
    <w:next w:val="P0"/>
    <w:pPr>
      <w:ind w:firstLine="0" w:left="0"/>
    </w:pPr>
    <w:rPr>
      <w:rFonts w:asciiTheme="minorHAnsi" w:hAnsiTheme="minorHAnsi" w:cstheme="minorHAnsi"/>
      <w:sz w:val="22"/>
      <w:szCs w:val="22"/>
    </w:rPr>
  </w:style>
  <w:style w:type="paragraph" w:styleId="P24">
    <w:name w:val="TOC 6"/>
    <w:basedOn w:val="P0"/>
    <w:next w:val="P0"/>
    <w:pPr>
      <w:ind w:firstLine="0" w:left="0"/>
    </w:pPr>
    <w:rPr>
      <w:rFonts w:asciiTheme="minorHAnsi" w:hAnsiTheme="minorHAnsi" w:cstheme="minorHAnsi"/>
      <w:sz w:val="22"/>
      <w:szCs w:val="22"/>
    </w:rPr>
  </w:style>
  <w:style w:type="paragraph" w:styleId="P25">
    <w:name w:val="TOC 7"/>
    <w:basedOn w:val="P0"/>
    <w:next w:val="P0"/>
    <w:pPr>
      <w:ind w:firstLine="0" w:left="0"/>
    </w:pPr>
    <w:rPr>
      <w:rFonts w:asciiTheme="minorHAnsi" w:hAnsiTheme="minorHAnsi" w:cstheme="minorHAnsi"/>
      <w:sz w:val="22"/>
      <w:szCs w:val="22"/>
    </w:rPr>
  </w:style>
  <w:style w:type="paragraph" w:styleId="P26">
    <w:name w:val="TOC 8"/>
    <w:basedOn w:val="P0"/>
    <w:next w:val="P0"/>
    <w:pPr>
      <w:ind w:firstLine="0" w:left="0"/>
    </w:pPr>
    <w:rPr>
      <w:rFonts w:asciiTheme="minorHAnsi" w:hAnsiTheme="minorHAnsi" w:cstheme="minorHAnsi"/>
      <w:sz w:val="22"/>
      <w:szCs w:val="22"/>
    </w:rPr>
  </w:style>
  <w:style w:type="paragraph" w:styleId="P27">
    <w:name w:val="TOC 9"/>
    <w:basedOn w:val="P0"/>
    <w:next w:val="P0"/>
    <w:pPr>
      <w:ind w:firstLine="0" w:left="0"/>
    </w:pPr>
    <w:rPr>
      <w:rFonts w:asciiTheme="minorHAnsi" w:hAnsiTheme="minorHAnsi" w:cstheme="minorHAnsi"/>
      <w:sz w:val="22"/>
      <w:szCs w:val="22"/>
    </w:rPr>
  </w:style>
  <w:style w:type="paragraph" w:styleId="P28">
    <w:name w:val="annotation text"/>
    <w:basedOn w:val="P0"/>
    <w:link w:val="C11"/>
    <w:pPr/>
    <w:rPr>
      <w:sz w:val="20"/>
      <w:szCs w:val="20"/>
    </w:rPr>
  </w:style>
  <w:style w:type="paragraph" w:styleId="P29">
    <w:name w:val="annotation subject"/>
    <w:basedOn w:val="P28"/>
    <w:next w:val="P28"/>
    <w:link w:val="C12"/>
    <w:pPr/>
    <w:rPr>
      <w:b w:val="1"/>
      <w:bCs w:val="1"/>
    </w:rPr>
  </w:style>
  <w:style w:type="paragraph" w:styleId="P30">
    <w:name w:val="Plain Text"/>
    <w:basedOn w:val="P0"/>
    <w:link w:val="C15"/>
    <w:pPr>
      <w:ind w:firstLine="0" w:left="0"/>
    </w:pPr>
    <w:rPr>
      <w:rFonts w:ascii="Calibri" w:hAnsi="Calibri" w:cs="Calibri" w:eastAsiaTheme="minorHAnsi"/>
      <w:sz w:val="22"/>
      <w:szCs w:val="22"/>
      <w:lang w:eastAsia="en-US"/>
    </w:rPr>
  </w:style>
  <w:style w:type="paragraph" w:styleId="P31">
    <w:name w:val="Handbok 11 Hängande indrag till listor"/>
    <w:basedOn w:val="P0"/>
    <w:link w:val="C16"/>
    <w:pPr>
      <w:spacing w:after="40" w:beforeAutospacing="0" w:afterAutospacing="0"/>
      <w:ind w:hanging="340" w:left="340"/>
      <w:jc w:val="both"/>
    </w:pPr>
    <w:rPr>
      <w:sz w:val="20"/>
      <w:szCs w:val="20"/>
    </w:rPr>
  </w:style>
  <w:style w:type="paragraph" w:styleId="P32">
    <w:name w:val="List Paragraph"/>
    <w:aliases w:val="Ingress"/>
    <w:basedOn w:val="P0"/>
    <w:qFormat/>
    <w:pPr>
      <w:numPr>
        <w:numId w:val="8"/>
      </w:numPr>
      <w:spacing w:lineRule="auto" w:line="259" w:after="257" w:beforeAutospacing="0" w:afterAutospacing="0"/>
      <w:contextualSpacing w:val="1"/>
    </w:pPr>
    <w:rPr>
      <w:rFonts w:asciiTheme="minorHAnsi" w:hAnsiTheme="minorHAnsi"/>
      <w:color w:val="000000" w:themeColor="text1"/>
      <w:sz w:val="26"/>
    </w:rPr>
  </w:style>
  <w:style w:type="paragraph" w:styleId="P33">
    <w:name w:val="Rubrik 81"/>
    <w:basedOn w:val="P0"/>
    <w:next w:val="P0"/>
    <w:semiHidden/>
    <w:qFormat/>
    <w:pPr>
      <w:keepNext w:val="1"/>
      <w:keepLines w:val="1"/>
      <w:spacing w:lineRule="auto" w:line="259" w:before="40" w:beforeAutospacing="0" w:afterAutospacing="0"/>
      <w:ind w:hanging="360" w:left="5760"/>
      <w:outlineLvl w:val="7"/>
    </w:pPr>
    <w:rPr>
      <w:rFonts w:ascii="Calibri Light" w:hAnsi="Calibri Light"/>
      <w:color w:val="272727"/>
      <w:sz w:val="21"/>
      <w:szCs w:val="21"/>
    </w:rPr>
  </w:style>
  <w:style w:type="paragraph" w:styleId="P34">
    <w:name w:val="Rubrik 91"/>
    <w:basedOn w:val="P0"/>
    <w:next w:val="P0"/>
    <w:semiHidden/>
    <w:qFormat/>
    <w:pPr>
      <w:keepNext w:val="1"/>
      <w:keepLines w:val="1"/>
      <w:spacing w:lineRule="auto" w:line="259" w:before="40" w:beforeAutospacing="0" w:afterAutospacing="0"/>
      <w:ind w:hanging="360" w:left="6480"/>
      <w:outlineLvl w:val="8"/>
    </w:pPr>
    <w:rPr>
      <w:rFonts w:ascii="Calibri Light" w:hAnsi="Calibri Light"/>
      <w:i w:val="1"/>
      <w:iCs w:val="1"/>
      <w:color w:val="272727"/>
      <w:sz w:val="21"/>
      <w:szCs w:val="21"/>
    </w:rPr>
  </w:style>
  <w:style w:type="paragraph" w:styleId="P35">
    <w:name w:val="Fotnotstext1"/>
    <w:next w:val="P41"/>
    <w:link w:val="C22"/>
    <w:semiHidden/>
    <w:pPr/>
    <w:rPr/>
  </w:style>
  <w:style w:type="paragraph" w:styleId="P36">
    <w:name w:val="Slutnotstext1"/>
    <w:next w:val="P42"/>
    <w:link w:val="C23"/>
    <w:semiHidden/>
    <w:pPr/>
    <w:rPr/>
  </w:style>
  <w:style w:type="paragraph" w:styleId="P37">
    <w:name w:val="Tabellrubrik"/>
    <w:basedOn w:val="P13"/>
    <w:next w:val="P13"/>
    <w:qFormat/>
    <w:pPr>
      <w:keepLines w:val="1"/>
      <w:spacing w:lineRule="auto" w:line="259" w:before="360" w:after="367" w:beforeAutospacing="0" w:afterAutospacing="0"/>
      <w:ind w:hanging="431" w:left="431"/>
    </w:pPr>
    <w:rPr>
      <w:rFonts w:ascii="Arial" w:hAnsi="Arial"/>
      <w:b w:val="1"/>
      <w:bCs w:val="1"/>
      <w:color w:val="F2F2F2" w:themeColor="background1" w:themeShade="F2"/>
      <w:sz w:val="18"/>
      <w:szCs w:val="22"/>
    </w:rPr>
  </w:style>
  <w:style w:type="paragraph" w:styleId="P38">
    <w:name w:val="Punktlista 1"/>
    <w:basedOn w:val="P43"/>
    <w:qFormat/>
    <w:pPr>
      <w:keepLines w:val="1"/>
      <w:numPr>
        <w:numId w:val="4"/>
      </w:numPr>
      <w:spacing w:lineRule="auto" w:line="259" w:after="51" w:beforeAutospacing="0" w:afterAutospacing="0"/>
    </w:pPr>
    <w:rPr>
      <w:rFonts w:ascii="Arial" w:hAnsi="Arial" w:cs="Arial"/>
      <w:color w:val="000000"/>
      <w:sz w:val="20"/>
      <w:szCs w:val="20"/>
    </w:rPr>
  </w:style>
  <w:style w:type="paragraph" w:styleId="P39">
    <w:name w:val="Undergrupp"/>
    <w:basedOn w:val="P3"/>
    <w:qFormat/>
    <w:pPr>
      <w:keepNext w:val="0"/>
      <w:spacing w:lineRule="auto" w:line="259" w:beforeAutospacing="0" w:afterAutospacing="0"/>
      <w:ind w:hanging="380" w:left="720"/>
    </w:pPr>
    <w:rPr>
      <w:rFonts w:cs="Arial"/>
      <w:b w:val="0"/>
      <w:iCs w:val="0"/>
      <w:caps w:val="1"/>
      <w:color w:val="000000"/>
      <w:szCs w:val="22"/>
    </w:rPr>
  </w:style>
  <w:style w:type="paragraph" w:styleId="P40">
    <w:name w:val="Övrig text"/>
    <w:basedOn w:val="P0"/>
    <w:link w:val="C30"/>
    <w:qFormat/>
    <w:pPr>
      <w:framePr w:wrap="around" w:vAnchor="text" w:hAnchor="page" w:x="8401" w:y="-642"/>
      <w:ind w:firstLine="0" w:left="425"/>
    </w:pPr>
    <w:rPr>
      <w:rFonts w:ascii="Arial" w:hAnsi="Arial" w:cs="Arial" w:eastAsia="Arial"/>
      <w:color w:val="000000"/>
      <w:sz w:val="20"/>
      <w:szCs w:val="22"/>
    </w:rPr>
  </w:style>
  <w:style w:type="paragraph" w:styleId="P41">
    <w:name w:val="Footnote Text"/>
    <w:basedOn w:val="P0"/>
    <w:link w:val="C38"/>
    <w:semiHidden/>
    <w:pPr/>
    <w:rPr>
      <w:sz w:val="20"/>
      <w:szCs w:val="20"/>
    </w:rPr>
  </w:style>
  <w:style w:type="paragraph" w:styleId="P42">
    <w:name w:val="Endnote Text"/>
    <w:basedOn w:val="P0"/>
    <w:link w:val="C39"/>
    <w:semiHidden/>
    <w:pPr/>
    <w:rPr>
      <w:sz w:val="20"/>
      <w:szCs w:val="20"/>
    </w:rPr>
  </w:style>
  <w:style w:type="paragraph" w:styleId="P43">
    <w:name w:val="List Bullet"/>
    <w:basedOn w:val="P0"/>
    <w:pPr>
      <w:numPr>
        <w:numId w:val="3"/>
      </w:numPr>
      <w:contextualSpacing w:val="1"/>
    </w:pPr>
    <w:rPr/>
  </w:style>
  <w:style w:type="paragraph" w:styleId="P44">
    <w:name w:val="List Number"/>
    <w:basedOn w:val="P0"/>
    <w:semiHidden/>
    <w:pPr>
      <w:numPr>
        <w:numId w:val="5"/>
      </w:numPr>
      <w:contextualSpacing w:val="1"/>
    </w:pPr>
    <w:rPr/>
  </w:style>
  <w:style w:type="paragraph" w:styleId="P45">
    <w:name w:val="List"/>
    <w:basedOn w:val="P0"/>
    <w:pPr>
      <w:ind w:hanging="283" w:left="283"/>
      <w:contextualSpacing w:val="1"/>
    </w:pPr>
    <w:rPr/>
  </w:style>
  <w:style w:type="paragraph" w:styleId="P46">
    <w:name w:val="Innehållsförteckning rubrik 3"/>
    <w:basedOn w:val="P3"/>
    <w:link w:val="C42"/>
    <w:qFormat/>
    <w:pPr>
      <w:tabs>
        <w:tab w:val="left" w:pos="666" w:leader="none"/>
        <w:tab w:val="right" w:pos="7360" w:leader="none"/>
      </w:tabs>
    </w:pPr>
    <w:rPr>
      <w:i w:val="1"/>
      <w:sz w:val="18"/>
    </w:rPr>
  </w:style>
  <w:style w:type="paragraph" w:styleId="P47">
    <w:name w:val="paragraph"/>
    <w:basedOn w:val="P0"/>
    <w:pPr>
      <w:spacing w:before="100" w:after="100" w:beforeAutospacing="1" w:afterAutospacing="1"/>
      <w:ind w:firstLine="0" w:left="0"/>
    </w:pPr>
    <w:rPr/>
  </w:style>
  <w:style w:type="paragraph" w:styleId="P48">
    <w:name w:val="Envelope Address"/>
    <w:basedOn w:val="P0"/>
    <w:semiHidden/>
    <w:pPr>
      <w:framePr w:w="7938" w:h="1984" w:hRule="exact" w:hSpace="141" w:wrap="auto" w:hAnchor="page" w:x="0" w:xAlign="center" w:y="0" w:yAlign="bottom"/>
      <w:ind w:left="2880"/>
    </w:pPr>
    <w:rPr>
      <w:rFonts w:asciiTheme="majorHAnsi" w:hAnsiTheme="majorHAnsi" w:cstheme="majorBidi" w:eastAsiaTheme="majorEastAsia"/>
    </w:rPr>
  </w:style>
  <w:style w:type="paragraph" w:styleId="P49">
    <w:name w:val="Note Heading"/>
    <w:basedOn w:val="P0"/>
    <w:next w:val="P0"/>
    <w:link w:val="C47"/>
    <w:semiHidden/>
    <w:pPr/>
    <w:rPr/>
  </w:style>
  <w:style w:type="paragraph" w:styleId="P50">
    <w:name w:val="Closing"/>
    <w:basedOn w:val="P0"/>
    <w:link w:val="C48"/>
    <w:semiHidden/>
    <w:pPr>
      <w:ind w:left="4252"/>
    </w:pPr>
    <w:rPr/>
  </w:style>
  <w:style w:type="paragraph" w:styleId="P51">
    <w:name w:val="Envelope Return"/>
    <w:basedOn w:val="P0"/>
    <w:semiHidden/>
    <w:pPr/>
    <w:rPr>
      <w:rFonts w:asciiTheme="majorHAnsi" w:hAnsiTheme="majorHAnsi" w:cstheme="majorBidi" w:eastAsiaTheme="majorEastAsia"/>
      <w:sz w:val="20"/>
      <w:szCs w:val="20"/>
    </w:rPr>
  </w:style>
  <w:style w:type="paragraph" w:styleId="P52">
    <w:name w:val="Body Text 2"/>
    <w:basedOn w:val="P0"/>
    <w:link w:val="C49"/>
    <w:semiHidden/>
    <w:pPr>
      <w:spacing w:lineRule="auto" w:line="480" w:after="120" w:beforeAutospacing="0" w:afterAutospacing="0"/>
    </w:pPr>
    <w:rPr/>
  </w:style>
  <w:style w:type="paragraph" w:styleId="P53">
    <w:name w:val="Body Text 3"/>
    <w:basedOn w:val="P0"/>
    <w:link w:val="C50"/>
    <w:semiHidden/>
    <w:pPr>
      <w:spacing w:after="120" w:beforeAutospacing="0" w:afterAutospacing="0"/>
    </w:pPr>
    <w:rPr>
      <w:sz w:val="16"/>
      <w:szCs w:val="16"/>
    </w:rPr>
  </w:style>
  <w:style w:type="paragraph" w:styleId="P54">
    <w:name w:val="Body Text First Indent"/>
    <w:basedOn w:val="P13"/>
    <w:link w:val="C51"/>
    <w:semiHidden/>
    <w:pPr>
      <w:suppressAutoHyphens w:val="0"/>
      <w:ind w:firstLine="360" w:left="2608"/>
    </w:pPr>
    <w:rPr>
      <w:rFonts w:ascii="Times New Roman" w:hAnsi="Times New Roman" w:cs="Times New Roman" w:eastAsia="Times New Roman"/>
      <w:iCs w:val="0"/>
      <w:noProof w:val="0"/>
      <w:sz w:val="24"/>
    </w:rPr>
  </w:style>
  <w:style w:type="paragraph" w:styleId="P55">
    <w:name w:val="Body Text Indent"/>
    <w:basedOn w:val="P0"/>
    <w:link w:val="C52"/>
    <w:semiHidden/>
    <w:pPr>
      <w:spacing w:after="120" w:beforeAutospacing="0" w:afterAutospacing="0"/>
      <w:ind w:left="283"/>
    </w:pPr>
    <w:rPr/>
  </w:style>
  <w:style w:type="paragraph" w:styleId="P56">
    <w:name w:val="Body Text First Indent 2"/>
    <w:basedOn w:val="P55"/>
    <w:link w:val="C53"/>
    <w:semiHidden/>
    <w:pPr>
      <w:spacing w:after="0" w:beforeAutospacing="0" w:afterAutospacing="0"/>
      <w:ind w:firstLine="360" w:left="360"/>
    </w:pPr>
    <w:rPr/>
  </w:style>
  <w:style w:type="paragraph" w:styleId="P57">
    <w:name w:val="Body Text Indent 2"/>
    <w:basedOn w:val="P0"/>
    <w:link w:val="C54"/>
    <w:semiHidden/>
    <w:pPr>
      <w:spacing w:lineRule="auto" w:line="480" w:after="120" w:beforeAutospacing="0" w:afterAutospacing="0"/>
      <w:ind w:left="283"/>
    </w:pPr>
    <w:rPr/>
  </w:style>
  <w:style w:type="paragraph" w:styleId="P58">
    <w:name w:val="Body Text Indent 3"/>
    <w:basedOn w:val="P0"/>
    <w:link w:val="C55"/>
    <w:semiHidden/>
    <w:pPr>
      <w:spacing w:after="120" w:beforeAutospacing="0" w:afterAutospacing="0"/>
      <w:ind w:left="283"/>
    </w:pPr>
    <w:rPr>
      <w:sz w:val="16"/>
      <w:szCs w:val="16"/>
    </w:rPr>
  </w:style>
  <w:style w:type="paragraph" w:styleId="P59">
    <w:name w:val="Quote"/>
    <w:basedOn w:val="P0"/>
    <w:next w:val="P0"/>
    <w:link w:val="C56"/>
    <w:qFormat/>
    <w:pPr>
      <w:spacing w:before="200" w:after="160" w:beforeAutospacing="0" w:afterAutospacing="0"/>
      <w:ind w:left="864" w:right="864"/>
      <w:jc w:val="center"/>
    </w:pPr>
    <w:rPr>
      <w:i w:val="1"/>
      <w:iCs w:val="1"/>
      <w:color w:val="404040" w:themeColor="text1" w:themeTint="BF"/>
    </w:rPr>
  </w:style>
  <w:style w:type="paragraph" w:styleId="P60">
    <w:name w:val="Table of Authorities"/>
    <w:basedOn w:val="P0"/>
    <w:next w:val="P0"/>
    <w:semiHidden/>
    <w:pPr>
      <w:ind w:hanging="240" w:left="240"/>
    </w:pPr>
    <w:rPr/>
  </w:style>
  <w:style w:type="paragraph" w:styleId="P61">
    <w:name w:val="TOA Heading"/>
    <w:basedOn w:val="P0"/>
    <w:next w:val="P0"/>
    <w:semiHidden/>
    <w:pPr>
      <w:spacing w:before="120" w:beforeAutospacing="0" w:afterAutospacing="0"/>
    </w:pPr>
    <w:rPr>
      <w:rFonts w:asciiTheme="majorHAnsi" w:hAnsiTheme="majorHAnsi" w:cstheme="majorBidi" w:eastAsiaTheme="majorEastAsia"/>
      <w:b w:val="1"/>
      <w:bCs w:val="1"/>
    </w:rPr>
  </w:style>
  <w:style w:type="paragraph" w:styleId="P62">
    <w:name w:val="Date"/>
    <w:basedOn w:val="P0"/>
    <w:next w:val="P0"/>
    <w:link w:val="C57"/>
    <w:semiHidden/>
    <w:pPr/>
    <w:rPr/>
  </w:style>
  <w:style w:type="paragraph" w:styleId="P63">
    <w:name w:val="Document Map"/>
    <w:basedOn w:val="P0"/>
    <w:link w:val="C58"/>
    <w:semiHidden/>
    <w:pPr/>
    <w:rPr>
      <w:rFonts w:ascii="Segoe UI" w:hAnsi="Segoe UI" w:cs="Segoe UI"/>
      <w:sz w:val="16"/>
      <w:szCs w:val="16"/>
    </w:rPr>
  </w:style>
  <w:style w:type="paragraph" w:styleId="P64">
    <w:name w:val="E-mail Signature"/>
    <w:basedOn w:val="P0"/>
    <w:link w:val="C59"/>
    <w:semiHidden/>
    <w:pPr/>
    <w:rPr/>
  </w:style>
  <w:style w:type="paragraph" w:styleId="P65">
    <w:name w:val="Table of Figures"/>
    <w:basedOn w:val="P0"/>
    <w:next w:val="P0"/>
    <w:semiHidden/>
    <w:pPr>
      <w:ind w:left="0"/>
    </w:pPr>
    <w:rPr/>
  </w:style>
  <w:style w:type="paragraph" w:styleId="P66">
    <w:name w:val="HTML Address"/>
    <w:basedOn w:val="P0"/>
    <w:link w:val="C60"/>
    <w:semiHidden/>
    <w:pPr/>
    <w:rPr>
      <w:i w:val="1"/>
      <w:iCs w:val="1"/>
    </w:rPr>
  </w:style>
  <w:style w:type="paragraph" w:styleId="P67">
    <w:name w:val="HTML Preformatted"/>
    <w:basedOn w:val="P0"/>
    <w:link w:val="C61"/>
    <w:semiHidden/>
    <w:pPr/>
    <w:rPr>
      <w:rFonts w:ascii="Consolas" w:hAnsi="Consolas"/>
      <w:sz w:val="20"/>
      <w:szCs w:val="20"/>
    </w:rPr>
  </w:style>
  <w:style w:type="paragraph" w:styleId="P68">
    <w:name w:val="Index 1"/>
    <w:basedOn w:val="P0"/>
    <w:next w:val="P0"/>
    <w:semiHidden/>
    <w:pPr>
      <w:ind w:hanging="240" w:left="240"/>
    </w:pPr>
    <w:rPr/>
  </w:style>
  <w:style w:type="paragraph" w:styleId="P69">
    <w:name w:val="Index 2"/>
    <w:basedOn w:val="P0"/>
    <w:next w:val="P0"/>
    <w:semiHidden/>
    <w:pPr>
      <w:ind w:hanging="240" w:left="480"/>
    </w:pPr>
    <w:rPr/>
  </w:style>
  <w:style w:type="paragraph" w:styleId="P70">
    <w:name w:val="Index 3"/>
    <w:basedOn w:val="P0"/>
    <w:next w:val="P0"/>
    <w:semiHidden/>
    <w:pPr>
      <w:ind w:hanging="240" w:left="720"/>
    </w:pPr>
    <w:rPr/>
  </w:style>
  <w:style w:type="paragraph" w:styleId="P71">
    <w:name w:val="Index 4"/>
    <w:basedOn w:val="P0"/>
    <w:next w:val="P0"/>
    <w:semiHidden/>
    <w:pPr>
      <w:ind w:hanging="240" w:left="960"/>
    </w:pPr>
    <w:rPr/>
  </w:style>
  <w:style w:type="paragraph" w:styleId="P72">
    <w:name w:val="Index 5"/>
    <w:basedOn w:val="P0"/>
    <w:next w:val="P0"/>
    <w:semiHidden/>
    <w:pPr>
      <w:ind w:hanging="240" w:left="1200"/>
    </w:pPr>
    <w:rPr/>
  </w:style>
  <w:style w:type="paragraph" w:styleId="P73">
    <w:name w:val="Index 6"/>
    <w:basedOn w:val="P0"/>
    <w:next w:val="P0"/>
    <w:semiHidden/>
    <w:pPr>
      <w:ind w:hanging="240" w:left="1440"/>
    </w:pPr>
    <w:rPr/>
  </w:style>
  <w:style w:type="paragraph" w:styleId="P74">
    <w:name w:val="Index 7"/>
    <w:basedOn w:val="P0"/>
    <w:next w:val="P0"/>
    <w:semiHidden/>
    <w:pPr>
      <w:ind w:hanging="240" w:left="1680"/>
    </w:pPr>
    <w:rPr/>
  </w:style>
  <w:style w:type="paragraph" w:styleId="P75">
    <w:name w:val="Index 8"/>
    <w:basedOn w:val="P0"/>
    <w:next w:val="P0"/>
    <w:semiHidden/>
    <w:pPr>
      <w:ind w:hanging="240" w:left="1920"/>
    </w:pPr>
    <w:rPr/>
  </w:style>
  <w:style w:type="paragraph" w:styleId="P76">
    <w:name w:val="Index 9"/>
    <w:basedOn w:val="P0"/>
    <w:next w:val="P0"/>
    <w:semiHidden/>
    <w:pPr>
      <w:ind w:hanging="240" w:left="2160"/>
    </w:pPr>
    <w:rPr/>
  </w:style>
  <w:style w:type="paragraph" w:styleId="P77">
    <w:name w:val="Index Heading"/>
    <w:basedOn w:val="P0"/>
    <w:next w:val="P68"/>
    <w:semiHidden/>
    <w:pPr/>
    <w:rPr>
      <w:rFonts w:asciiTheme="majorHAnsi" w:hAnsiTheme="majorHAnsi" w:cstheme="majorBidi" w:eastAsiaTheme="majorEastAsia"/>
      <w:b w:val="1"/>
      <w:bCs w:val="1"/>
    </w:rPr>
  </w:style>
  <w:style w:type="paragraph" w:styleId="P78">
    <w:name w:val="Block Text"/>
    <w:basedOn w:val="P0"/>
    <w:semiHidden/>
    <w:pPr>
      <w:pBdr>
        <w:top w:val="single" w:sz="2" w:space="10" w:shadow="0" w:frame="0" w:color="002750" w:themeColor="accent1"/>
        <w:left w:val="single" w:sz="2" w:space="10" w:shadow="0" w:frame="0" w:color="002750" w:themeColor="accent1"/>
        <w:bottom w:val="single" w:sz="2" w:space="10" w:shadow="0" w:frame="0" w:color="002750" w:themeColor="accent1"/>
        <w:right w:val="single" w:sz="2" w:space="10" w:shadow="0" w:frame="0" w:color="002750" w:themeColor="accent1"/>
        <w:between w:val="none" w:sz="0" w:space="0" w:shadow="0" w:frame="0" w:color="auto"/>
      </w:pBdr>
      <w:ind w:left="1152" w:right="1152"/>
    </w:pPr>
    <w:rPr>
      <w:rFonts w:asciiTheme="minorHAnsi" w:hAnsiTheme="minorHAnsi" w:cstheme="minorBidi" w:eastAsiaTheme="minorEastAsia"/>
      <w:i w:val="1"/>
      <w:iCs w:val="1"/>
      <w:color w:val="002750" w:themeColor="accent1"/>
    </w:rPr>
  </w:style>
  <w:style w:type="paragraph" w:styleId="P79">
    <w:name w:val="No Spacing"/>
    <w:qFormat/>
    <w:pPr>
      <w:ind w:hanging="2608" w:left="2608"/>
    </w:pPr>
    <w:rPr>
      <w:sz w:val="24"/>
      <w:szCs w:val="24"/>
    </w:rPr>
  </w:style>
  <w:style w:type="paragraph" w:styleId="P80">
    <w:name w:val="Salutation"/>
    <w:basedOn w:val="P0"/>
    <w:next w:val="P0"/>
    <w:link w:val="C62"/>
    <w:semiHidden/>
    <w:pPr/>
    <w:rPr/>
  </w:style>
  <w:style w:type="paragraph" w:styleId="P81">
    <w:name w:val="List 2"/>
    <w:basedOn w:val="P0"/>
    <w:semiHidden/>
    <w:pPr>
      <w:ind w:hanging="283" w:left="566"/>
      <w:contextualSpacing w:val="1"/>
    </w:pPr>
    <w:rPr/>
  </w:style>
  <w:style w:type="paragraph" w:styleId="P82">
    <w:name w:val="List 3"/>
    <w:basedOn w:val="P0"/>
    <w:semiHidden/>
    <w:pPr>
      <w:ind w:hanging="283" w:left="849"/>
      <w:contextualSpacing w:val="1"/>
    </w:pPr>
    <w:rPr/>
  </w:style>
  <w:style w:type="paragraph" w:styleId="P83">
    <w:name w:val="List 4"/>
    <w:basedOn w:val="P0"/>
    <w:semiHidden/>
    <w:pPr>
      <w:ind w:hanging="283" w:left="1132"/>
      <w:contextualSpacing w:val="1"/>
    </w:pPr>
    <w:rPr/>
  </w:style>
  <w:style w:type="paragraph" w:styleId="P84">
    <w:name w:val="List 5"/>
    <w:basedOn w:val="P0"/>
    <w:semiHidden/>
    <w:pPr>
      <w:ind w:hanging="283" w:left="1415"/>
      <w:contextualSpacing w:val="1"/>
    </w:pPr>
    <w:rPr/>
  </w:style>
  <w:style w:type="paragraph" w:styleId="P85">
    <w:name w:val="List Continue"/>
    <w:basedOn w:val="P0"/>
    <w:semiHidden/>
    <w:pPr>
      <w:spacing w:after="120" w:beforeAutospacing="0" w:afterAutospacing="0"/>
      <w:ind w:left="283"/>
      <w:contextualSpacing w:val="1"/>
    </w:pPr>
    <w:rPr/>
  </w:style>
  <w:style w:type="paragraph" w:styleId="P86">
    <w:name w:val="List Continue 2"/>
    <w:basedOn w:val="P0"/>
    <w:semiHidden/>
    <w:pPr>
      <w:spacing w:after="120" w:beforeAutospacing="0" w:afterAutospacing="0"/>
      <w:ind w:left="566"/>
      <w:contextualSpacing w:val="1"/>
    </w:pPr>
    <w:rPr/>
  </w:style>
  <w:style w:type="paragraph" w:styleId="P87">
    <w:name w:val="List Continue 3"/>
    <w:basedOn w:val="P0"/>
    <w:semiHidden/>
    <w:pPr>
      <w:spacing w:after="120" w:beforeAutospacing="0" w:afterAutospacing="0"/>
      <w:ind w:left="849"/>
      <w:contextualSpacing w:val="1"/>
    </w:pPr>
    <w:rPr/>
  </w:style>
  <w:style w:type="paragraph" w:styleId="P88">
    <w:name w:val="List Continue 4"/>
    <w:basedOn w:val="P0"/>
    <w:semiHidden/>
    <w:pPr>
      <w:spacing w:after="120" w:beforeAutospacing="0" w:afterAutospacing="0"/>
      <w:ind w:left="1132"/>
      <w:contextualSpacing w:val="1"/>
    </w:pPr>
    <w:rPr/>
  </w:style>
  <w:style w:type="paragraph" w:styleId="P89">
    <w:name w:val="List Continue 5"/>
    <w:basedOn w:val="P0"/>
    <w:semiHidden/>
    <w:pPr>
      <w:spacing w:after="120" w:beforeAutospacing="0" w:afterAutospacing="0"/>
      <w:ind w:left="1415"/>
      <w:contextualSpacing w:val="1"/>
    </w:pPr>
    <w:rPr/>
  </w:style>
  <w:style w:type="paragraph" w:styleId="P90">
    <w:name w:val="Bibliography"/>
    <w:basedOn w:val="P0"/>
    <w:next w:val="P0"/>
    <w:semiHidden/>
    <w:pPr/>
    <w:rPr/>
  </w:style>
  <w:style w:type="paragraph" w:styleId="P91">
    <w:name w:val="macro"/>
    <w:link w:val="C63"/>
    <w:semiHidden/>
    <w:pPr>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ind w:hanging="2608" w:left="2608"/>
    </w:pPr>
    <w:rPr>
      <w:rFonts w:ascii="Consolas" w:hAnsi="Consolas"/>
      <w:szCs w:val="20"/>
    </w:rPr>
  </w:style>
  <w:style w:type="paragraph" w:styleId="P92">
    <w:name w:val="Message Header"/>
    <w:basedOn w:val="P0"/>
    <w:link w:val="C64"/>
    <w:semiHidden/>
    <w:pPr>
      <w:pBdr>
        <w:top w:val="single" w:sz="6" w:space="1" w:shadow="0" w:frame="0" w:color="auto"/>
        <w:left w:val="single" w:sz="6" w:space="1" w:shadow="0" w:frame="0" w:color="auto"/>
        <w:bottom w:val="single" w:sz="6" w:space="1" w:shadow="0" w:frame="0" w:color="auto"/>
        <w:right w:val="single" w:sz="6" w:space="1" w:shadow="0" w:frame="0" w:color="auto"/>
        <w:between w:val="none" w:sz="0" w:space="0" w:shadow="0" w:frame="0" w:color="auto"/>
      </w:pBdr>
      <w:shd w:val="pct20" w:fill="auto"/>
      <w:ind w:hanging="1134" w:left="1134"/>
    </w:pPr>
    <w:rPr>
      <w:rFonts w:asciiTheme="majorHAnsi" w:hAnsiTheme="majorHAnsi" w:cstheme="majorBidi" w:eastAsiaTheme="majorEastAsia"/>
    </w:rPr>
  </w:style>
  <w:style w:type="paragraph" w:styleId="P93">
    <w:name w:val="Normal (Web)"/>
    <w:basedOn w:val="P0"/>
    <w:semiHidden/>
    <w:pPr/>
    <w:rPr/>
  </w:style>
  <w:style w:type="paragraph" w:styleId="P94">
    <w:name w:val="Normal Indent"/>
    <w:basedOn w:val="P0"/>
    <w:semiHidden/>
    <w:pPr>
      <w:ind w:left="1304"/>
    </w:pPr>
    <w:rPr/>
  </w:style>
  <w:style w:type="paragraph" w:styleId="P95">
    <w:name w:val="List Number 2"/>
    <w:basedOn w:val="P0"/>
    <w:semiHidden/>
    <w:pPr>
      <w:numPr>
        <w:numId w:val="11"/>
      </w:numPr>
      <w:contextualSpacing w:val="1"/>
    </w:pPr>
    <w:rPr/>
  </w:style>
  <w:style w:type="paragraph" w:styleId="P96">
    <w:name w:val="List Number 3"/>
    <w:basedOn w:val="P0"/>
    <w:semiHidden/>
    <w:pPr>
      <w:numPr>
        <w:numId w:val="12"/>
      </w:numPr>
      <w:contextualSpacing w:val="1"/>
    </w:pPr>
    <w:rPr/>
  </w:style>
  <w:style w:type="paragraph" w:styleId="P97">
    <w:name w:val="List Number 4"/>
    <w:basedOn w:val="P0"/>
    <w:semiHidden/>
    <w:pPr>
      <w:numPr>
        <w:numId w:val="13"/>
      </w:numPr>
      <w:contextualSpacing w:val="1"/>
    </w:pPr>
    <w:rPr/>
  </w:style>
  <w:style w:type="paragraph" w:styleId="P98">
    <w:name w:val="List Number 5"/>
    <w:basedOn w:val="P0"/>
    <w:semiHidden/>
    <w:pPr>
      <w:numPr>
        <w:numId w:val="14"/>
      </w:numPr>
      <w:contextualSpacing w:val="1"/>
    </w:pPr>
    <w:rPr/>
  </w:style>
  <w:style w:type="paragraph" w:styleId="P99">
    <w:name w:val="List Bullet 2"/>
    <w:basedOn w:val="P0"/>
    <w:semiHidden/>
    <w:pPr>
      <w:numPr>
        <w:numId w:val="15"/>
      </w:numPr>
      <w:contextualSpacing w:val="1"/>
    </w:pPr>
    <w:rPr/>
  </w:style>
  <w:style w:type="paragraph" w:styleId="P100">
    <w:name w:val="List Bullet 3"/>
    <w:basedOn w:val="P0"/>
    <w:semiHidden/>
    <w:pPr>
      <w:numPr>
        <w:numId w:val="16"/>
      </w:numPr>
      <w:contextualSpacing w:val="1"/>
    </w:pPr>
    <w:rPr/>
  </w:style>
  <w:style w:type="paragraph" w:styleId="P101">
    <w:name w:val="List Bullet 4"/>
    <w:basedOn w:val="P0"/>
    <w:semiHidden/>
    <w:pPr>
      <w:numPr>
        <w:numId w:val="17"/>
      </w:numPr>
      <w:contextualSpacing w:val="1"/>
    </w:pPr>
    <w:rPr/>
  </w:style>
  <w:style w:type="paragraph" w:styleId="P102">
    <w:name w:val="List Bullet 5"/>
    <w:basedOn w:val="P0"/>
    <w:semiHidden/>
    <w:pPr>
      <w:numPr>
        <w:numId w:val="18"/>
      </w:numPr>
      <w:contextualSpacing w:val="1"/>
    </w:pPr>
    <w:rPr/>
  </w:style>
  <w:style w:type="paragraph" w:styleId="P103">
    <w:name w:val="Title"/>
    <w:basedOn w:val="P0"/>
    <w:next w:val="P0"/>
    <w:link w:val="C65"/>
    <w:qFormat/>
    <w:pPr>
      <w:contextualSpacing w:val="1"/>
    </w:pPr>
    <w:rPr>
      <w:rFonts w:asciiTheme="majorHAnsi" w:hAnsiTheme="majorHAnsi" w:cstheme="majorBidi" w:eastAsiaTheme="majorEastAsia"/>
      <w:sz w:val="56"/>
      <w:szCs w:val="56"/>
      <w:spacing w:val="-10"/>
      <w:kern w:val="28"/>
    </w:rPr>
  </w:style>
  <w:style w:type="paragraph" w:styleId="P104">
    <w:name w:val="Signature"/>
    <w:basedOn w:val="P0"/>
    <w:link w:val="C66"/>
    <w:semiHidden/>
    <w:pPr>
      <w:ind w:left="4252"/>
    </w:pPr>
    <w:rPr/>
  </w:style>
  <w:style w:type="paragraph" w:styleId="P105">
    <w:name w:val="Intense Quote"/>
    <w:basedOn w:val="P0"/>
    <w:next w:val="P0"/>
    <w:link w:val="C67"/>
    <w:qFormat/>
    <w:pPr>
      <w:pBdr>
        <w:top w:val="single" w:sz="4" w:space="10" w:shadow="0" w:frame="0" w:color="002750" w:themeColor="accent1"/>
        <w:left w:val="none" w:sz="0" w:space="0" w:shadow="0" w:frame="0" w:color="auto"/>
        <w:bottom w:val="single" w:sz="4" w:space="10" w:shadow="0" w:frame="0" w:color="002750" w:themeColor="accent1"/>
        <w:right w:val="none" w:sz="0" w:space="0" w:shadow="0" w:frame="0" w:color="auto"/>
        <w:between w:val="none" w:sz="0" w:space="0" w:shadow="0" w:frame="0" w:color="auto"/>
      </w:pBdr>
      <w:spacing w:before="360" w:after="360" w:beforeAutospacing="0" w:afterAutospacing="0"/>
      <w:ind w:left="864" w:right="864"/>
      <w:jc w:val="center"/>
    </w:pPr>
    <w:rPr>
      <w:i w:val="1"/>
      <w:iCs w:val="1"/>
      <w:color w:val="002750" w:themeColor="accent1"/>
    </w:rPr>
  </w:style>
  <w:style w:type="paragraph" w:styleId="P106">
    <w:name w:val="Subtitle"/>
    <w:basedOn w:val="P0"/>
    <w:next w:val="P0"/>
    <w:link w:val="C68"/>
    <w:qFormat/>
    <w:pPr>
      <w:spacing w:after="160" w:beforeAutospacing="0" w:afterAutospacing="0"/>
      <w:ind w:hanging="2608" w:left="2608"/>
    </w:pPr>
    <w:rPr>
      <w:rFonts w:asciiTheme="minorHAnsi" w:hAnsiTheme="minorHAnsi" w:cstheme="minorBidi" w:eastAsiaTheme="minorEastAsia"/>
      <w:color w:val="5A5A5A" w:themeColor="text1" w:themeTint="A5"/>
      <w:sz w:val="22"/>
      <w:szCs w:val="22"/>
      <w:spacing w:val="15"/>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u w:val="single"/>
    </w:rPr>
  </w:style>
  <w:style w:type="character" w:styleId="C3">
    <w:name w:val="Page Number"/>
    <w:basedOn w:val="C0"/>
    <w:rPr/>
  </w:style>
  <w:style w:type="character" w:styleId="C4">
    <w:name w:val="Rubrik 2 Char"/>
    <w:basedOn w:val="C0"/>
    <w:link w:val="P2"/>
    <w:rPr>
      <w:rFonts w:asciiTheme="majorHAnsi" w:hAnsiTheme="majorHAnsi" w:eastAsia="Arial"/>
      <w:b w:val="1"/>
      <w:noProof w:val="1"/>
      <w:color w:val="4478A4"/>
      <w:sz w:val="26"/>
      <w:szCs w:val="28"/>
    </w:rPr>
  </w:style>
  <w:style w:type="character" w:styleId="C5">
    <w:name w:val="Emphasis"/>
    <w:basedOn w:val="C0"/>
    <w:rPr>
      <w:i w:val="1"/>
      <w:iCs w:val="1"/>
    </w:rPr>
  </w:style>
  <w:style w:type="character" w:styleId="C6">
    <w:name w:val="Rubrik 4 Char"/>
    <w:basedOn w:val="C0"/>
    <w:link w:val="P4"/>
    <w:rPr>
      <w:rFonts w:cstheme="majorBidi" w:eastAsiaTheme="majorEastAsia"/>
      <w:b w:val="1"/>
      <w:bCs w:val="1"/>
      <w:iCs w:val="1"/>
      <w:szCs w:val="24"/>
    </w:rPr>
  </w:style>
  <w:style w:type="character" w:styleId="C7">
    <w:name w:val="Rubrik 3 Char"/>
    <w:basedOn w:val="C0"/>
    <w:link w:val="P3"/>
    <w:rPr>
      <w:rFonts w:asciiTheme="majorHAnsi" w:hAnsiTheme="majorHAnsi" w:eastAsia="Arial"/>
      <w:b w:val="1"/>
      <w:iCs w:val="1"/>
      <w:noProof w:val="1"/>
      <w:color w:val="4478A4"/>
      <w:szCs w:val="32"/>
    </w:rPr>
  </w:style>
  <w:style w:type="character" w:styleId="C8">
    <w:name w:val="Formatmall1 Char"/>
    <w:basedOn w:val="C7"/>
    <w:link w:val="P21"/>
    <w:rPr>
      <w:rFonts w:asciiTheme="majorHAnsi" w:hAnsiTheme="majorHAnsi" w:eastAsia="Arial"/>
      <w:b w:val="1"/>
      <w:iCs w:val="1"/>
      <w:noProof w:val="1"/>
      <w:color w:val="4478A4"/>
      <w:szCs w:val="32"/>
    </w:rPr>
  </w:style>
  <w:style w:type="character" w:styleId="C9">
    <w:name w:val="Sidfot Char"/>
    <w:basedOn w:val="C0"/>
    <w:link w:val="P11"/>
    <w:rPr>
      <w:sz w:val="24"/>
      <w:szCs w:val="24"/>
    </w:rPr>
  </w:style>
  <w:style w:type="character" w:styleId="C10">
    <w:name w:val="annotation reference"/>
    <w:basedOn w:val="C0"/>
    <w:rPr>
      <w:sz w:val="16"/>
      <w:szCs w:val="16"/>
    </w:rPr>
  </w:style>
  <w:style w:type="character" w:styleId="C11">
    <w:name w:val="Kommentarer Char"/>
    <w:basedOn w:val="C0"/>
    <w:link w:val="P28"/>
    <w:rPr/>
  </w:style>
  <w:style w:type="character" w:styleId="C12">
    <w:name w:val="Kommentarsämne Char"/>
    <w:basedOn w:val="C11"/>
    <w:link w:val="P29"/>
    <w:rPr>
      <w:b w:val="1"/>
      <w:bCs w:val="1"/>
    </w:rPr>
  </w:style>
  <w:style w:type="character" w:styleId="C13">
    <w:name w:val="Brödtext Char"/>
    <w:basedOn w:val="C0"/>
    <w:link w:val="P13"/>
    <w:rPr>
      <w:rFonts w:asciiTheme="minorHAnsi" w:hAnsiTheme="minorHAnsi" w:cs="Arial" w:eastAsia="Arial"/>
      <w:iCs w:val="1"/>
      <w:noProof w:val="1"/>
      <w:szCs w:val="24"/>
    </w:rPr>
  </w:style>
  <w:style w:type="character" w:styleId="C14">
    <w:name w:val="Rubrik 5 Char"/>
    <w:basedOn w:val="C0"/>
    <w:link w:val="P5"/>
    <w:semiHidden/>
    <w:rPr>
      <w:rFonts w:asciiTheme="majorHAnsi" w:hAnsiTheme="majorHAnsi" w:cstheme="majorBidi" w:eastAsiaTheme="majorEastAsia"/>
      <w:color w:val="001328" w:themeColor="accent1" w:themeShade="7F"/>
      <w:sz w:val="24"/>
      <w:szCs w:val="24"/>
    </w:rPr>
  </w:style>
  <w:style w:type="character" w:styleId="C15">
    <w:name w:val="Oformaterad text Char"/>
    <w:basedOn w:val="C0"/>
    <w:link w:val="P30"/>
    <w:rPr>
      <w:rFonts w:ascii="Calibri" w:hAnsi="Calibri" w:cs="Calibri" w:eastAsiaTheme="minorHAnsi"/>
      <w:sz w:val="22"/>
      <w:szCs w:val="22"/>
      <w:lang w:eastAsia="en-US"/>
    </w:rPr>
  </w:style>
  <w:style w:type="character" w:styleId="C16">
    <w:name w:val="Handbok 11 Hängande indrag till listor Char"/>
    <w:basedOn w:val="C0"/>
    <w:link w:val="P31"/>
    <w:rPr/>
  </w:style>
  <w:style w:type="character" w:styleId="C17">
    <w:name w:val="Rubrik 6 Char"/>
    <w:basedOn w:val="C0"/>
    <w:link w:val="P6"/>
    <w:semiHidden/>
    <w:rPr>
      <w:rFonts w:ascii="Arial" w:hAnsi="Arial" w:cs="Arial" w:eastAsia="Arial"/>
      <w:color w:val="000000"/>
      <w:sz w:val="28"/>
      <w:szCs w:val="22"/>
    </w:rPr>
  </w:style>
  <w:style w:type="character" w:styleId="C18">
    <w:name w:val="Rubrik 7 Char"/>
    <w:aliases w:val="Nummerlista Char"/>
    <w:basedOn w:val="C0"/>
    <w:link w:val="P7"/>
    <w:rPr>
      <w:rFonts w:ascii="Arial" w:hAnsi="Arial" w:cs="Arial" w:eastAsia="Arial"/>
      <w:color w:val="000000"/>
      <w:sz w:val="24"/>
    </w:rPr>
  </w:style>
  <w:style w:type="character" w:styleId="C19">
    <w:name w:val="Rubrik 1 Char"/>
    <w:basedOn w:val="C0"/>
    <w:link w:val="P1"/>
    <w:rPr>
      <w:rFonts w:asciiTheme="majorHAnsi" w:hAnsiTheme="majorHAnsi" w:cs="Arial" w:eastAsia="Arial"/>
      <w:b w:val="1"/>
      <w:bCs w:val="1"/>
      <w:noProof w:val="1"/>
      <w:color w:val="4478A4"/>
      <w:sz w:val="36"/>
      <w:szCs w:val="32"/>
      <w:kern w:val="28"/>
    </w:rPr>
  </w:style>
  <w:style w:type="character" w:styleId="C20">
    <w:name w:val="Rubrik 8 Char"/>
    <w:basedOn w:val="C0"/>
    <w:link w:val="P8"/>
    <w:semiHidden/>
    <w:rPr>
      <w:rFonts w:ascii="Calibri Light" w:hAnsi="Calibri Light" w:cs="Times New Roman" w:eastAsia="Times New Roman"/>
      <w:color w:val="272727"/>
      <w:sz w:val="21"/>
      <w:szCs w:val="21"/>
    </w:rPr>
  </w:style>
  <w:style w:type="character" w:styleId="C21">
    <w:name w:val="Rubrik 9 Char"/>
    <w:basedOn w:val="C0"/>
    <w:link w:val="P9"/>
    <w:semiHidden/>
    <w:rPr>
      <w:rFonts w:ascii="Calibri Light" w:hAnsi="Calibri Light" w:cs="Times New Roman" w:eastAsia="Times New Roman"/>
      <w:i w:val="1"/>
      <w:iCs w:val="1"/>
      <w:color w:val="272727"/>
      <w:sz w:val="21"/>
      <w:szCs w:val="21"/>
    </w:rPr>
  </w:style>
  <w:style w:type="character" w:styleId="C22">
    <w:name w:val="Fotnotstext Char"/>
    <w:basedOn w:val="C0"/>
    <w:link w:val="P35"/>
    <w:semiHidden/>
    <w:rPr>
      <w:sz w:val="20"/>
      <w:szCs w:val="20"/>
    </w:rPr>
  </w:style>
  <w:style w:type="character" w:styleId="C23">
    <w:name w:val="Slutnotstext Char"/>
    <w:basedOn w:val="C0"/>
    <w:link w:val="P36"/>
    <w:semiHidden/>
    <w:rPr>
      <w:sz w:val="20"/>
      <w:szCs w:val="20"/>
    </w:rPr>
  </w:style>
  <w:style w:type="character" w:styleId="C24">
    <w:name w:val="Sidhuvud Char"/>
    <w:basedOn w:val="C0"/>
    <w:link w:val="P10"/>
    <w:rPr>
      <w:sz w:val="24"/>
      <w:szCs w:val="24"/>
    </w:rPr>
  </w:style>
  <w:style w:type="character" w:styleId="C25">
    <w:name w:val="Footnote Reference"/>
    <w:semiHidden/>
    <w:rPr>
      <w:vertAlign w:val="superscript"/>
    </w:rPr>
  </w:style>
  <w:style w:type="character" w:styleId="C26">
    <w:name w:val="Endnote Reference"/>
    <w:semiHidden/>
    <w:rPr>
      <w:vertAlign w:val="superscript"/>
    </w:rPr>
  </w:style>
  <w:style w:type="character" w:styleId="C27">
    <w:name w:val="normaltextrun"/>
    <w:basedOn w:val="C0"/>
    <w:rPr/>
  </w:style>
  <w:style w:type="character" w:styleId="C28">
    <w:name w:val="scxw123887595"/>
    <w:basedOn w:val="C0"/>
    <w:rPr/>
  </w:style>
  <w:style w:type="character" w:styleId="C29">
    <w:name w:val="Unresolved Mention1"/>
    <w:basedOn w:val="C0"/>
    <w:semiHidden/>
    <w:rPr>
      <w:color w:val="605E5C"/>
      <w:shd w:val="clear" w:color="auto" w:fill="E1DFDD"/>
    </w:rPr>
  </w:style>
  <w:style w:type="character" w:styleId="C30">
    <w:name w:val="Övrig text Char"/>
    <w:basedOn w:val="C0"/>
    <w:link w:val="P40"/>
    <w:rPr>
      <w:rFonts w:ascii="Arial" w:hAnsi="Arial" w:cs="Arial" w:eastAsia="Arial"/>
      <w:color w:val="000000"/>
      <w:szCs w:val="22"/>
    </w:rPr>
  </w:style>
  <w:style w:type="character" w:styleId="C31">
    <w:name w:val="Unresolved Mention2"/>
    <w:basedOn w:val="C0"/>
    <w:semiHidden/>
    <w:rPr>
      <w:color w:val="605E5C"/>
      <w:shd w:val="clear" w:color="auto" w:fill="E1DFDD"/>
    </w:rPr>
  </w:style>
  <w:style w:type="character" w:styleId="C32">
    <w:name w:val="Footnote Text Char"/>
    <w:semiHidden/>
    <w:rPr>
      <w:sz w:val="20"/>
      <w:szCs w:val="20"/>
    </w:rPr>
  </w:style>
  <w:style w:type="character" w:styleId="C33">
    <w:name w:val="Endnote Text Char"/>
    <w:semiHidden/>
    <w:rPr>
      <w:sz w:val="20"/>
      <w:szCs w:val="20"/>
    </w:rPr>
  </w:style>
  <w:style w:type="character" w:styleId="C34">
    <w:name w:val="Unresolved Mention3"/>
    <w:basedOn w:val="C0"/>
    <w:semiHidden/>
    <w:rPr>
      <w:color w:val="605E5C"/>
      <w:shd w:val="clear" w:color="auto" w:fill="E1DFDD"/>
    </w:rPr>
  </w:style>
  <w:style w:type="character" w:styleId="C35">
    <w:name w:val="AnvändHyperlänk1"/>
    <w:basedOn w:val="C0"/>
    <w:semiHidden/>
    <w:rPr>
      <w:color w:val="954F72"/>
      <w:u w:val="single"/>
    </w:rPr>
  </w:style>
  <w:style w:type="character" w:styleId="C36">
    <w:name w:val="Rubrik 8 Char1"/>
    <w:basedOn w:val="C0"/>
    <w:semiHidden/>
    <w:rPr>
      <w:rFonts w:asciiTheme="majorHAnsi" w:hAnsiTheme="majorHAnsi" w:cstheme="majorBidi" w:eastAsiaTheme="majorEastAsia"/>
      <w:color w:val="272727" w:themeColor="text1" w:themeTint="D8"/>
      <w:sz w:val="21"/>
      <w:szCs w:val="21"/>
    </w:rPr>
  </w:style>
  <w:style w:type="character" w:styleId="C37">
    <w:name w:val="Rubrik 9 Char1"/>
    <w:basedOn w:val="C0"/>
    <w:semiHidden/>
    <w:rPr>
      <w:rFonts w:asciiTheme="majorHAnsi" w:hAnsiTheme="majorHAnsi" w:cstheme="majorBidi" w:eastAsiaTheme="majorEastAsia"/>
      <w:i w:val="1"/>
      <w:iCs w:val="1"/>
      <w:color w:val="272727" w:themeColor="text1" w:themeTint="D8"/>
      <w:sz w:val="21"/>
      <w:szCs w:val="21"/>
    </w:rPr>
  </w:style>
  <w:style w:type="character" w:styleId="C38">
    <w:name w:val="Fotnotstext Char1"/>
    <w:basedOn w:val="C0"/>
    <w:link w:val="P41"/>
    <w:semiHidden/>
    <w:rPr/>
  </w:style>
  <w:style w:type="character" w:styleId="C39">
    <w:name w:val="Slutnotstext Char1"/>
    <w:basedOn w:val="C0"/>
    <w:link w:val="P42"/>
    <w:semiHidden/>
    <w:rPr/>
  </w:style>
  <w:style w:type="character" w:styleId="C40">
    <w:name w:val="FollowedHyperlink"/>
    <w:basedOn w:val="C0"/>
    <w:semiHidden/>
    <w:rPr>
      <w:color w:val="E6001C" w:themeColor="followedHyperlink"/>
      <w:u w:val="single"/>
    </w:rPr>
  </w:style>
  <w:style w:type="character" w:styleId="C41">
    <w:name w:val="Innehåll 3 Char"/>
    <w:basedOn w:val="C0"/>
    <w:link w:val="P18"/>
    <w:rPr>
      <w:rFonts w:asciiTheme="minorHAnsi" w:hAnsiTheme="minorHAnsi" w:cstheme="minorHAnsi"/>
      <w:b w:val="1"/>
      <w:i w:val="1"/>
      <w:sz w:val="18"/>
    </w:rPr>
  </w:style>
  <w:style w:type="character" w:styleId="C42">
    <w:name w:val="Innehållsförteckning rubrik 3 Char"/>
    <w:basedOn w:val="C41"/>
    <w:link w:val="P46"/>
    <w:rPr>
      <w:rFonts w:asciiTheme="majorHAnsi" w:hAnsiTheme="majorHAnsi" w:cstheme="minorHAnsi" w:eastAsia="Arial"/>
      <w:b w:val="1"/>
      <w:i w:val="1"/>
      <w:iCs w:val="1"/>
      <w:noProof w:val="1"/>
      <w:color w:val="4478A4"/>
      <w:sz w:val="18"/>
      <w:szCs w:val="32"/>
    </w:rPr>
  </w:style>
  <w:style w:type="character" w:styleId="C43">
    <w:name w:val="eop"/>
    <w:basedOn w:val="C0"/>
    <w:rPr/>
  </w:style>
  <w:style w:type="character" w:styleId="C44">
    <w:name w:val="Unresolved Mention4"/>
    <w:basedOn w:val="C0"/>
    <w:semiHidden/>
    <w:rPr>
      <w:color w:val="605E5C"/>
      <w:shd w:val="clear" w:color="auto" w:fill="E1DFDD"/>
    </w:rPr>
  </w:style>
  <w:style w:type="character" w:styleId="C45">
    <w:name w:val="Unresolved Mention5"/>
    <w:basedOn w:val="C0"/>
    <w:semiHidden/>
    <w:rPr>
      <w:color w:val="605E5C"/>
      <w:shd w:val="clear" w:color="auto" w:fill="E1DFDD"/>
    </w:rPr>
  </w:style>
  <w:style w:type="character" w:styleId="C46">
    <w:name w:val="ui-provider"/>
    <w:basedOn w:val="C0"/>
    <w:rPr/>
  </w:style>
  <w:style w:type="character" w:styleId="C47">
    <w:name w:val="Anteckningsrubrik Char"/>
    <w:basedOn w:val="C0"/>
    <w:link w:val="P49"/>
    <w:semiHidden/>
    <w:rPr>
      <w:sz w:val="24"/>
      <w:szCs w:val="24"/>
    </w:rPr>
  </w:style>
  <w:style w:type="character" w:styleId="C48">
    <w:name w:val="Avslutande text Char"/>
    <w:basedOn w:val="C0"/>
    <w:link w:val="P50"/>
    <w:semiHidden/>
    <w:rPr>
      <w:sz w:val="24"/>
      <w:szCs w:val="24"/>
    </w:rPr>
  </w:style>
  <w:style w:type="character" w:styleId="C49">
    <w:name w:val="Brödtext 2 Char"/>
    <w:basedOn w:val="C0"/>
    <w:link w:val="P52"/>
    <w:semiHidden/>
    <w:rPr>
      <w:sz w:val="24"/>
      <w:szCs w:val="24"/>
    </w:rPr>
  </w:style>
  <w:style w:type="character" w:styleId="C50">
    <w:name w:val="Brödtext 3 Char"/>
    <w:basedOn w:val="C0"/>
    <w:link w:val="P53"/>
    <w:semiHidden/>
    <w:rPr>
      <w:sz w:val="16"/>
      <w:szCs w:val="16"/>
    </w:rPr>
  </w:style>
  <w:style w:type="character" w:styleId="C51">
    <w:name w:val="Brödtext med första indrag Char"/>
    <w:basedOn w:val="C13"/>
    <w:link w:val="P54"/>
    <w:semiHidden/>
    <w:rPr>
      <w:rFonts w:asciiTheme="minorHAnsi" w:hAnsiTheme="minorHAnsi" w:cs="Arial" w:eastAsia="Arial"/>
      <w:iCs w:val="0"/>
      <w:noProof w:val="1"/>
      <w:sz w:val="24"/>
      <w:szCs w:val="24"/>
    </w:rPr>
  </w:style>
  <w:style w:type="character" w:styleId="C52">
    <w:name w:val="Brödtext med indrag Char"/>
    <w:basedOn w:val="C0"/>
    <w:link w:val="P55"/>
    <w:semiHidden/>
    <w:rPr>
      <w:sz w:val="24"/>
      <w:szCs w:val="24"/>
    </w:rPr>
  </w:style>
  <w:style w:type="character" w:styleId="C53">
    <w:name w:val="Brödtext med första indrag 2 Char"/>
    <w:basedOn w:val="C52"/>
    <w:link w:val="P56"/>
    <w:semiHidden/>
    <w:rPr>
      <w:sz w:val="24"/>
      <w:szCs w:val="24"/>
    </w:rPr>
  </w:style>
  <w:style w:type="character" w:styleId="C54">
    <w:name w:val="Brödtext med indrag 2 Char"/>
    <w:basedOn w:val="C0"/>
    <w:link w:val="P57"/>
    <w:semiHidden/>
    <w:rPr>
      <w:sz w:val="24"/>
      <w:szCs w:val="24"/>
    </w:rPr>
  </w:style>
  <w:style w:type="character" w:styleId="C55">
    <w:name w:val="Brödtext med indrag 3 Char"/>
    <w:basedOn w:val="C0"/>
    <w:link w:val="P58"/>
    <w:semiHidden/>
    <w:rPr>
      <w:sz w:val="16"/>
      <w:szCs w:val="16"/>
    </w:rPr>
  </w:style>
  <w:style w:type="character" w:styleId="C56">
    <w:name w:val="Citat Char"/>
    <w:basedOn w:val="C0"/>
    <w:link w:val="P59"/>
    <w:rPr>
      <w:i w:val="1"/>
      <w:iCs w:val="1"/>
      <w:color w:val="404040" w:themeColor="text1" w:themeTint="BF"/>
      <w:sz w:val="24"/>
      <w:szCs w:val="24"/>
    </w:rPr>
  </w:style>
  <w:style w:type="character" w:styleId="C57">
    <w:name w:val="Datum Char"/>
    <w:basedOn w:val="C0"/>
    <w:link w:val="P62"/>
    <w:semiHidden/>
    <w:rPr>
      <w:sz w:val="24"/>
      <w:szCs w:val="24"/>
    </w:rPr>
  </w:style>
  <w:style w:type="character" w:styleId="C58">
    <w:name w:val="Dokumentöversikt Char"/>
    <w:basedOn w:val="C0"/>
    <w:link w:val="P63"/>
    <w:semiHidden/>
    <w:rPr>
      <w:rFonts w:ascii="Segoe UI" w:hAnsi="Segoe UI" w:cs="Segoe UI"/>
      <w:sz w:val="16"/>
      <w:szCs w:val="16"/>
    </w:rPr>
  </w:style>
  <w:style w:type="character" w:styleId="C59">
    <w:name w:val="E-postsignatur Char"/>
    <w:basedOn w:val="C0"/>
    <w:link w:val="P64"/>
    <w:semiHidden/>
    <w:rPr>
      <w:sz w:val="24"/>
      <w:szCs w:val="24"/>
    </w:rPr>
  </w:style>
  <w:style w:type="character" w:styleId="C60">
    <w:name w:val="HTML - adress Char"/>
    <w:basedOn w:val="C0"/>
    <w:link w:val="P66"/>
    <w:semiHidden/>
    <w:rPr>
      <w:i w:val="1"/>
      <w:iCs w:val="1"/>
      <w:sz w:val="24"/>
      <w:szCs w:val="24"/>
    </w:rPr>
  </w:style>
  <w:style w:type="character" w:styleId="C61">
    <w:name w:val="HTML - förformaterad Char"/>
    <w:basedOn w:val="C0"/>
    <w:link w:val="P67"/>
    <w:semiHidden/>
    <w:rPr>
      <w:rFonts w:ascii="Consolas" w:hAnsi="Consolas"/>
      <w:szCs w:val="20"/>
    </w:rPr>
  </w:style>
  <w:style w:type="character" w:styleId="C62">
    <w:name w:val="Inledning Char"/>
    <w:basedOn w:val="C0"/>
    <w:link w:val="P80"/>
    <w:semiHidden/>
    <w:rPr>
      <w:sz w:val="24"/>
      <w:szCs w:val="24"/>
    </w:rPr>
  </w:style>
  <w:style w:type="character" w:styleId="C63">
    <w:name w:val="Makrotext Char"/>
    <w:basedOn w:val="C0"/>
    <w:link w:val="P91"/>
    <w:semiHidden/>
    <w:rPr>
      <w:rFonts w:ascii="Consolas" w:hAnsi="Consolas"/>
      <w:szCs w:val="20"/>
    </w:rPr>
  </w:style>
  <w:style w:type="character" w:styleId="C64">
    <w:name w:val="Meddelanderubrik Char"/>
    <w:basedOn w:val="C0"/>
    <w:link w:val="P92"/>
    <w:semiHidden/>
    <w:rPr>
      <w:rFonts w:asciiTheme="majorHAnsi" w:hAnsiTheme="majorHAnsi" w:cstheme="majorBidi" w:eastAsiaTheme="majorEastAsia"/>
      <w:sz w:val="24"/>
      <w:szCs w:val="24"/>
      <w:shd w:val="pct20" w:color="auto" w:fill="auto"/>
    </w:rPr>
  </w:style>
  <w:style w:type="character" w:styleId="C65">
    <w:name w:val="Rubrik Char"/>
    <w:basedOn w:val="C0"/>
    <w:link w:val="P103"/>
    <w:rPr>
      <w:rFonts w:asciiTheme="majorHAnsi" w:hAnsiTheme="majorHAnsi" w:cstheme="majorBidi" w:eastAsiaTheme="majorEastAsia"/>
      <w:sz w:val="56"/>
      <w:szCs w:val="56"/>
      <w:spacing w:val="-10"/>
      <w:kern w:val="28"/>
    </w:rPr>
  </w:style>
  <w:style w:type="character" w:styleId="C66">
    <w:name w:val="Signatur Char"/>
    <w:basedOn w:val="C0"/>
    <w:link w:val="P104"/>
    <w:semiHidden/>
    <w:rPr>
      <w:sz w:val="24"/>
      <w:szCs w:val="24"/>
    </w:rPr>
  </w:style>
  <w:style w:type="character" w:styleId="C67">
    <w:name w:val="Starkt citat Char"/>
    <w:basedOn w:val="C0"/>
    <w:link w:val="P105"/>
    <w:rPr>
      <w:i w:val="1"/>
      <w:iCs w:val="1"/>
      <w:color w:val="002750" w:themeColor="accent1"/>
      <w:sz w:val="24"/>
      <w:szCs w:val="24"/>
    </w:rPr>
  </w:style>
  <w:style w:type="character" w:styleId="C68">
    <w:name w:val="Underrubrik Char"/>
    <w:basedOn w:val="C0"/>
    <w:link w:val="P106"/>
    <w:rPr>
      <w:rFonts w:asciiTheme="minorHAnsi" w:hAnsiTheme="minorHAnsi" w:cstheme="minorBidi" w:eastAsiaTheme="minorEastAsia"/>
      <w:color w:val="5A5A5A" w:themeColor="text1" w:themeTint="A5"/>
      <w:sz w:val="22"/>
      <w:spacing w:val="15"/>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semiHidden/>
    <w:pPr>
      <w:ind w:hanging="2608" w:left="2608"/>
    </w:pPr>
    <w:tblPr>
      <w:tblBorders>
        <w:top w:val="single" w:sz="12" w:space="0" w:shadow="0" w:frame="0" w:color="008000"/>
        <w:bottom w:val="single" w:sz="12" w:space="0" w:shadow="0" w:frame="0" w:color="008000"/>
      </w:tblBorders>
    </w:tblPr>
    <w:trPr/>
    <w:tcPr>
      <w:shd w:val="clear" w:color="auto" w:fill="auto"/>
    </w:tcPr>
    <w:tblStylePr w:type="lastRow">
      <w:tblPr/>
      <w:trPr/>
      <w:tcPr>
        <w:tcBorders>
          <w:top w:val="single" w:sz="6" w:space="0" w:shadow="0" w:frame="0" w:color="008000"/>
        </w:tcBorders>
      </w:tcPr>
    </w:tblStylePr>
    <w:tblStylePr w:type="firstRow">
      <w:tblPr/>
      <w:trPr/>
      <w:tcPr>
        <w:tcBorders>
          <w:bottom w:val="single" w:sz="6" w:space="0" w:shadow="0" w:frame="0" w:color="008000"/>
        </w:tcBorders>
      </w:tcPr>
    </w:tblStylePr>
  </w:style>
  <w:style w:type="table" w:styleId="T2">
    <w:name w:val="Table Grid"/>
    <w:basedOn w:val="T0"/>
    <w:pPr>
      <w:ind w:hanging="2608" w:left="2608"/>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Enkel tabell 11"/>
    <w:basedOn w:val="T0"/>
    <w:pPr>
      <w:spacing w:lineRule="auto" w:line="259" w:after="160" w:beforeAutospacing="0" w:afterAutospacing="0"/>
    </w:pPr>
    <w:rPr>
      <w:rFonts w:ascii="Calibri" w:hAnsi="Calibri"/>
      <w:sz w:val="22"/>
    </w:rPr>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4">
    <w:name w:val="Table Grid1"/>
    <w:rPr>
      <w:rFonts w:ascii="Calibri" w:hAnsi="Calibri"/>
      <w:sz w:val="22"/>
    </w:rPr>
    <w:tblPr>
      <w:tblCellMar>
        <w:top w:w="0" w:type="dxa"/>
        <w:left w:w="0" w:type="dxa"/>
        <w:bottom w:w="0" w:type="dxa"/>
        <w:right w:w="0" w:type="dxa"/>
      </w:tblCellMar>
    </w:tblPr>
    <w:trPr/>
    <w:tcPr/>
  </w:style>
  <w:style w:type="numbering" w:styleId="N0">
    <w:name w:val="No List"/>
  </w:style>
  <w:style w:type="numbering" w:styleId="N1">
    <w:name w:val="Aktuell lista1"/>
    <w:pPr>
      <w:numPr>
        <w:numId w:val="2"/>
      </w:numPr>
    </w:pPr>
  </w:style>
</w:styles>
</file>

<file path=word/_rels/document.xml.rels>&#65279;<?xml version="1.0" encoding="utf-8"?><Relationships xmlns="http://schemas.openxmlformats.org/package/2006/relationships"><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png" /><Relationship Id="Relimage32" Type="http://schemas.openxmlformats.org/officeDocument/2006/relationships/image" Target="/media/image32.png" /><Relationship Id="Relimage33" Type="http://schemas.openxmlformats.org/officeDocument/2006/relationships/image" Target="/media/image33.png" /><Relationship Id="Relimage34" Type="http://schemas.openxmlformats.org/officeDocument/2006/relationships/image" Target="/media/image34.png" /><Relationship Id="Relimage35" Type="http://schemas.openxmlformats.org/officeDocument/2006/relationships/image" Target="/media/image35.png" /><Relationship Id="Relimage36" Type="http://schemas.openxmlformats.org/officeDocument/2006/relationships/image" Target="/media/image36.png" /><Relationship Id="Relimage37" Type="http://schemas.openxmlformats.org/officeDocument/2006/relationships/image" Target="/media/image37.png" /><Relationship Id="Relimage38" Type="http://schemas.openxmlformats.org/officeDocument/2006/relationships/image" Target="/media/image38.png" /><Relationship Id="R2" Type="http://schemas.openxmlformats.org/officeDocument/2006/relationships/hyperlink" Target="https://kalmar.se/download/18.2a2efe8c1764128b4d85e0/1607607320864/03-planbesked-alhagen-hagbygarde.PDF" TargetMode="External" /><Relationship Id="R3" Type="http://schemas.openxmlformats.org/officeDocument/2006/relationships/hyperlink" Target="https://kalmar.se/download/18.2a2efe8c1764128b4d85e0/1607607320864/03-planbesked-alhagen-hagbygarde.PDF" TargetMode="External" /><Relationship Id="R4" Type="http://schemas.openxmlformats.org/officeDocument/2006/relationships/hyperlink" Target="https://kalmar.se/download/18.5830fa4e15bf250a09e8a0/1494847175077/hela_op.pdf" TargetMode="External" /><Relationship Id="R5" Type="http://schemas.openxmlformats.org/officeDocument/2006/relationships/hyperlink" Target="https://experience.arcgis.com/experience/4224d95ff082463fb4d124a73ee0d730/" TargetMode="External" /><Relationship Id="R6" Type="http://schemas.openxmlformats.org/officeDocument/2006/relationships/hyperlink" Target="https://data-kalmar.opendata.arcgis.com/" TargetMode="External" /><Relationship Id="R7" Type="http://schemas.openxmlformats.org/officeDocument/2006/relationships/hyperlink" Target="https://kalmar.se/download/18.d5aedbd15ebc6e00cf185f/1507707420909/04_vatten_avloppsplan_tematiskttill%C3%A4gg.pdf" TargetMode="External" /><Relationship Id="R8" Type="http://schemas.openxmlformats.org/officeDocument/2006/relationships/hyperlink" Target="https://naringsliv.kalmar.se/download/18.4696bc851672f4a08e8266/1542809188047/riktlinjer-oljeavskiljare-antagna-20151118.pdf" TargetMode="External" /><Relationship Id="R9" Type="http://schemas.openxmlformats.org/officeDocument/2006/relationships/hyperlink" Target="https://kalmar.maps.arcgis.com/apps/MapSeries/index.html?appid=15d114ffe9404997abc53cbde560e7a7&amp;entry=1/" TargetMode="External" /><Relationship Id="RA" Type="http://schemas.openxmlformats.org/officeDocument/2006/relationships/hyperlink" Target="https://kalmar.se/download/18.3d99d73715c38c8a9e14b09/1496846551475/gronstrukturplan.pdf" TargetMode="External" /><Relationship Id="RB" Type="http://schemas.openxmlformats.org/officeDocument/2006/relationships/hyperlink" Target="https://kalmar.se/download/18.25106bc51865287bf192d00/1678716372000/04-foravtal-infor-exploatering-fastigheten-alhagen.pdf" TargetMode="External" /><Relationship Id="RC" Type="http://schemas.openxmlformats.org/officeDocument/2006/relationships/hyperlink" Target="https://kalmar.se/download/18.421382e9176639bfe305b1/1608622766512/tillagg-dagvattenutredning-antagande-del-av-bergkristallen-2-och-oxhagen-2-1.pdf" TargetMode="External" /><Relationship Id="RD" Type="http://schemas.openxmlformats.org/officeDocument/2006/relationships/hyperlink" Target="https://www.forsvarsmakten.se/siteassets/4-om-myndigheten/samhallsplanering/riksintressen/bilaga-10-kalmar-lan.pdf" TargetMode="External" /><Relationship Id="RE" Type="http://schemas.openxmlformats.org/officeDocument/2006/relationships/hyperlink" Target="https://minkarta.lantmateriet.se/" TargetMode="External" /><Relationship Id="RF" Type="http://schemas.openxmlformats.org/officeDocument/2006/relationships/hyperlink" Target="https://ext-geoportal.lansstyrelsen.se/standard/?appid=ed0d3fde3cc9479f9688c2b2969fd38c" TargetMode="External" /><Relationship Id="R10" Type="http://schemas.openxmlformats.org/officeDocument/2006/relationships/hyperlink" Target="https://viss.lansstyrelsen.se/Waters.aspx?waterMSCD=WA28961080" TargetMode="External" /><Relationship Id="R11" Type="http://schemas.openxmlformats.org/officeDocument/2006/relationships/hyperlink" Target="https://viss.lansstyrelsen.se/Waters.aspx?waterMSCD=WA27917257" TargetMode="External" /><Relationship Id="R12" Type="http://schemas.openxmlformats.org/officeDocument/2006/relationships/hyperlink" Target="https://viss.lansstyrelsen.se/Waters.aspx?waterMSCD=WA22382365" TargetMode="External" /><Relationship Id="R13" Type="http://schemas.openxmlformats.org/officeDocument/2006/relationships/hyperlink" Target="https://www.naturvardsverket.se/globalassets/vagledning/skyddad-natur/biotopskyddsomraden/01-alle-2014-04-15.pdf" TargetMode="External" /><Relationship Id="R14" Type="http://schemas.openxmlformats.org/officeDocument/2006/relationships/hyperlink" Target="https://www.naturvardsverket.se/4a4383/globalassets/media/publikationer-pdf/0100/978-91-620-0164-3.pdf" TargetMode="External" /><Relationship Id="R15" Type="http://schemas.openxmlformats.org/officeDocument/2006/relationships/hyperlink" Target="https://www.sgu.se/produkter-och-tjanster/kartor/kartvisaren/jordkartvisare/jordarter-125-000-1100-000/" TargetMode="External" /><Relationship Id="R16" Type="http://schemas.openxmlformats.org/officeDocument/2006/relationships/hyperlink" Target="https://bransch.trafikverket.se/contentassets/62ac3c64c709466ca5abd7949160df0f/luftfart/riksintresset_kalmar_flygplats_precisering_riksintresse.pdf" TargetMode="External" /><Relationship Id="R17" Type="http://schemas.openxmlformats.org/officeDocument/2006/relationships/hyperlink" Target="https://hansacity.se/om-hansa-city"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1" Type="http://schemas.openxmlformats.org/officeDocument/2006/relationships/image" Target="/media/image1.png" /></Relationships>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Kalmar kommun 1">
  <a:themeElements>
    <a:clrScheme name="Kalmar kommun">
      <a:dk1>
        <a:srgbClr val="000000"/>
      </a:dk1>
      <a:lt1>
        <a:srgbClr val="FFFFFF"/>
      </a:lt1>
      <a:dk2>
        <a:srgbClr val="000000"/>
      </a:dk2>
      <a:lt2>
        <a:srgbClr val="808080"/>
      </a:lt2>
      <a:accent1>
        <a:srgbClr val="002750"/>
      </a:accent1>
      <a:accent2>
        <a:srgbClr val="98895C"/>
      </a:accent2>
      <a:accent3>
        <a:srgbClr val="E6001C"/>
      </a:accent3>
      <a:accent4>
        <a:srgbClr val="B2B2B2"/>
      </a:accent4>
      <a:accent5>
        <a:srgbClr val="E6E6E6"/>
      </a:accent5>
      <a:accent6>
        <a:srgbClr val="CDCDEE"/>
      </a:accent6>
      <a:hlink>
        <a:srgbClr val="002750"/>
      </a:hlink>
      <a:folHlink>
        <a:srgbClr val="E6001C"/>
      </a:folHlink>
    </a:clrScheme>
    <a:fontScheme name="Kalmar kommun">
      <a:majorFont>
        <a:latin typeface="Arial"/>
        <a:ea typeface=""/>
        <a:cs typeface=""/>
      </a:majorFont>
      <a:minorFont>
        <a:latin typeface="Arial"/>
        <a:ea typeface=""/>
        <a:cs typeface=""/>
      </a:minorFont>
    </a:fontScheme>
    <a:fmtScheme name="Flätat">
      <a:fillStyleLst>
        <a:solidFill>
          <a:schemeClr val="phClr"/>
        </a:solidFill>
        <a:gradFill rotWithShape="1">
          <a:gsLst>
            <a:gs pos="0">
              <a:schemeClr val="phClr">
                <a:tint val="79000"/>
                <a:satMod val="180000"/>
              </a:schemeClr>
            </a:gs>
            <a:gs pos="65000">
              <a:schemeClr val="phClr">
                <a:tint val="52000"/>
                <a:satMod val="250000"/>
              </a:schemeClr>
            </a:gs>
            <a:gs pos="100000">
              <a:schemeClr val="phClr">
                <a:tint val="29000"/>
                <a:satMod val="300000"/>
              </a:schemeClr>
            </a:gs>
          </a:gsLst>
          <a:lin ang="16200000" scaled="0"/>
          <a:tileRect/>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tileRect/>
        </a:gradFill>
      </a:fillStyleLst>
      <a:lnStyleLst>
        <a:ln w="9525" cmpd="sng" algn="ctr">
          <a:solidFill>
            <a:schemeClr val="phClr"/>
          </a:solidFill>
          <a:prstDash val="solid"/>
        </a:ln>
        <a:ln w="15875" cmpd="sng" algn="ctr">
          <a:solidFill>
            <a:schemeClr val="phClr"/>
          </a:solidFill>
          <a:prstDash val="solid"/>
        </a:ln>
        <a:ln w="38100" cmpd="sng" algn="ctr">
          <a:solidFill>
            <a:schemeClr val="phClr"/>
          </a:solidFill>
          <a:prstDash val="solid"/>
        </a:ln>
      </a:lnStyleLst>
      <a:effectStyleLst>
        <a:effectStyle>
          <a:effectLst>
            <a:outerShdw blurRad="63500" dist="25400" dir="5400000" rotWithShape="0">
              <a:srgbClr val="000000">
                <a:alpha val="43000"/>
              </a:srgbClr>
            </a:outerShdw>
          </a:effectLst>
        </a:effectStyle>
        <a:effectStyle>
          <a:effectLst>
            <a:outerShdw blurRad="63500" dist="25400" dir="5400000" rotWithShape="0">
              <a:srgbClr val="000000">
                <a:alpha val="43000"/>
              </a:srgbClr>
            </a:outerShdw>
          </a:effectLst>
          <a:scene3d>
            <a:camera prst="orthographicFront">
              <a:rot lat="0" lon="0" rev="0"/>
            </a:camera>
            <a:lightRig rig="brightRoom" dir="t">
              <a:rot lat="0" lon="0" rev="8700000"/>
            </a:lightRig>
          </a:scene3d>
          <a:sp3d contourW="12700" prstMaterial="dkEdge">
            <a:bevelT w="0" h="0" prst="relaxedInset"/>
            <a:contourClr>
              <a:schemeClr val="phClr">
                <a:shade val="65000"/>
                <a:satMod val="150000"/>
              </a:schemeClr>
            </a:contourClr>
          </a:sp3d>
        </a:effectStyle>
        <a:effectStyle>
          <a:effectLst>
            <a:outerShdw blurRad="63500" dist="25400" dir="5400000" rotWithShape="0">
              <a:srgbClr val="000000">
                <a:alpha val="43000"/>
              </a:srgbClr>
            </a:outerShdw>
          </a:effectLst>
          <a:scene3d>
            <a:camera prst="orthographicFront">
              <a:rot lat="0" lon="0" rev="0"/>
            </a:camera>
            <a:lightRig rig="glow" dir="t">
              <a:rot lat="0" lon="0" rev="13200000"/>
            </a:lightRig>
          </a:scene3d>
          <a:sp3d prstMaterial="dkEdge">
            <a:bevelT w="63500" h="508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A812BB6C20C434EA3258BCDA24780C3" ma:contentTypeVersion="6" ma:contentTypeDescription="Skapa ett nytt dokument." ma:contentTypeScope="" ma:versionID="81fcf46a815c55d3297152d4f9bbf24d">
  <xsd:schema xmlns:xsd="http://www.w3.org/2001/XMLSchema" xmlns:xs="http://www.w3.org/2001/XMLSchema" xmlns:p="http://schemas.microsoft.com/office/2006/metadata/properties" xmlns:ns2="d5b3d9c6-9431-48d9-9878-e433c3644324" xmlns:ns3="8a185243-cc6c-49de-a0de-2e5e0bf0613e" targetNamespace="http://schemas.microsoft.com/office/2006/metadata/properties" ma:root="true" ma:fieldsID="fe7ff95805070233f4952c62addf8a02" ns2:_="" ns3:_="">
    <xsd:import namespace="d5b3d9c6-9431-48d9-9878-e433c3644324"/>
    <xsd:import namespace="8a185243-cc6c-49de-a0de-2e5e0bf061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3d9c6-9431-48d9-9878-e433c3644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185243-cc6c-49de-a0de-2e5e0bf0613e" elementFormDefault="qualified">
    <xsd:import namespace="http://schemas.microsoft.com/office/2006/documentManagement/types"/>
    <xsd:import namespace="http://schemas.microsoft.com/office/infopath/2007/PartnerControls"/>
    <xsd:element name="SharedWithUsers" ma:index="1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lanbeskrivning xmlns:lmg="http://namespace.lantmateriet.se/distribution/geometri/v1" xmlns:gml="http://www.opengis.net/gml/3.2" xmlns="http://namespace.lantmateriet.se/distribution/geodatakatalog/planbeskrivning/v1">
  <Omfattning>
    <identitet>be_ärendeinformation01</identitet>
    <Indelning>
      <tema>Beskrivning av detaljplanen</tema>
      <grupp>Ärendeinformation</grupp>
    </Indelning>
  </Omfattning>
  <Omfattning>
    <identitet>pf_översiktsplan02</identitet>
    <Indelning>
      <tema>Planeringsförutsättningar</tema>
      <grupp>Kommunala</grupp>
      <undergrupp>Översiktsplan</undergrupp>
    </Indelning>
  </Omfattning>
  <Omfattning>
    <identitet>gf_tidplan03</identitet>
    <Indelning>
      <tema>Genomförandefrågor</tema>
      <grupp>Organisatoriska frågor</grupp>
      <undergrupp>Tidplan</undergrupp>
    </Indelning>
  </Omfattning>
  <Omfattning>
    <identitet>gf_tidplan02</identitet>
    <Indelning>
      <tema>Genomförandefrågor</tema>
      <grupp>Organisatoriska frågor</grupp>
      <undergrupp>Tidplan</undergrupp>
    </Indelning>
  </Omfattning>
  <Omfattning>
    <identitet>sy_syfte02</identitet>
    <Indelning>
      <tema>Detaljplanens syfte</tema>
      <grupp>Syfte</grupp>
    </Indelning>
  </Omfattning>
  <Omfattning>
    <identitet>pf_annat01</identitet>
    <Indelning>
      <tema>Planeringsförutsättningar</tema>
      <grupp>Annat</grupp>
    </Indelning>
  </Omfattning>
  <Omfattning>
    <identitet>pf_regionala02</identitet>
    <Indelning>
      <tema>Planeringsförutsättningar</tema>
      <grupp>Regionala</grupp>
    </Indelning>
  </Omfattning>
  <Omfattning>
    <identitet>pf_regionplan02</identitet>
    <Indelning>
      <tema>Planeringsförutsättningar</tema>
      <grupp>Regionala</grupp>
      <undergrupp>Regionplan</undergrupp>
    </Indelning>
  </Omfattning>
  <Omfattning>
    <identitet>pf_mellankommunalaintressen02</identitet>
    <Indelning>
      <tema>Planeringsförutsättningar</tema>
      <grupp>Mellankommunala intressen</grupp>
    </Indelning>
  </Omfattning>
  <Omfattning>
    <identitet>pf_kommunala02</identitet>
    <Indelning>
      <tema>Planeringsförutsättningar</tema>
      <grupp>Kommunala</grupp>
    </Indelning>
  </Omfattning>
  <Omfattning>
    <identitet>pf_översiktsplan03</identitet>
    <Indelning>
      <tema>Planeringsförutsättningar</tema>
      <grupp>Kommunala</grupp>
      <undergrupp>Översiktsplan</undergrupp>
    </Indelning>
  </Omfattning>
  <Omfattning>
    <identitet>pf_planprogram02</identitet>
    <Indelning>
      <tema>Planeringsförutsättningar</tema>
      <grupp>Kommunala</grupp>
      <undergrupp>Planprogram</undergrupp>
    </Indelning>
  </Omfattning>
  <Omfattning>
    <identitet>pf_detaljplan02</identitet>
    <Indelning>
      <tema>Planeringsförutsättningar</tema>
      <grupp>Kommunala</grupp>
      <undergrupp>Detaljplan</undergrupp>
    </Indelning>
  </Omfattning>
  <Omfattning>
    <identitet>pf_områdesbestämmelser02</identitet>
    <Indelning>
      <tema>Planeringsförutsättningar</tema>
      <grupp>Kommunala</grupp>
      <undergrupp>Områdesbestämmelser</undergrupp>
    </Indelning>
  </Omfattning>
  <Omfattning>
    <identitet>pf_planeringsbesked02</identitet>
    <Indelning>
      <tema>Planeringsförutsättningar</tema>
      <grupp>Kommunala</grupp>
      <undergrupp>Planeringsbesked</undergrupp>
    </Indelning>
  </Omfattning>
  <Omfattning>
    <identitet>pf_förhandsbesked02</identitet>
    <Indelning>
      <tema>Planeringsförutsättningar</tema>
      <grupp>Kommunala</grupp>
      <undergrupp>Förhandsbesked</undergrupp>
    </Indelning>
  </Omfattning>
  <Omfattning>
    <identitet>pf_riksintressen02</identitet>
    <Indelning>
      <tema>Planeringsförutsättningar</tema>
      <grupp>Riksintressen</grupp>
    </Indelning>
  </Omfattning>
  <Omfattning>
    <identitet>pf_yrkesfiske02</identitet>
    <Indelning>
      <tema>Planeringsförutsättningar</tema>
      <grupp>Riksintressen</grupp>
      <undergrupp>Yrkesfiske</undergrupp>
    </Indelning>
  </Omfattning>
  <Omfattning>
    <identitet>pf_naturvård02</identitet>
    <Indelning>
      <tema>Planeringsförutsättningar</tema>
      <grupp>Riksintressen</grupp>
      <undergrupp>Naturvård</undergrupp>
    </Indelning>
  </Omfattning>
  <Omfattning>
    <identitet>pf_friluftsliv02</identitet>
    <Indelning>
      <tema>Planeringsförutsättningar</tema>
      <grupp>Riksintressen</grupp>
      <undergrupp>Friluftsliv</undergrupp>
    </Indelning>
  </Omfattning>
  <Omfattning>
    <identitet>pf_kulturmiljövård02</identitet>
    <Indelning>
      <tema>Planeringsförutsättningar</tema>
      <grupp>Riksintressen</grupp>
      <undergrupp>Kulturmiljövård</undergrupp>
    </Indelning>
  </Omfattning>
  <Omfattning>
    <identitet>pf_fyndigheteravämnenochmaterial02</identitet>
    <Indelning>
      <tema>Planeringsförutsättningar</tema>
      <grupp>Riksintressen</grupp>
      <undergrupp>Fyndigheter av ämnen och material</undergrupp>
    </Indelning>
  </Omfattning>
  <Omfattning>
    <identitet>pf_industriellproduktion02</identitet>
    <Indelning>
      <tema>Planeringsförutsättningar</tema>
      <grupp>Riksintressen</grupp>
      <undergrupp>Industriell produktion</undergrupp>
    </Indelning>
  </Omfattning>
  <Omfattning>
    <identitet>pf_energiproduktionochenergidistributi02</identitet>
    <Indelning>
      <tema>Planeringsförutsättningar</tema>
      <grupp>Riksintressen</grupp>
      <undergrupp>Energiproduktion och energidistribution</undergrupp>
    </Indelning>
  </Omfattning>
  <Omfattning>
    <identitet>pf_elektroniskkommunikation02</identitet>
    <Indelning>
      <tema>Planeringsförutsättningar</tema>
      <grupp>Riksintressen</grupp>
      <undergrupp>Elektronisk kommunikation</undergrupp>
    </Indelning>
  </Omfattning>
  <Omfattning>
    <identitet>pf_trafikkommunikation02</identitet>
    <Indelning>
      <tema>Planeringsförutsättningar</tema>
      <grupp>Riksintressen</grupp>
      <undergrupp>Trafikkommunikation</undergrupp>
    </Indelning>
  </Omfattning>
  <Omfattning>
    <identitet>pf_avfallshantering02</identitet>
    <Indelning>
      <tema>Planeringsförutsättningar</tema>
      <grupp>Riksintressen</grupp>
      <undergrupp>Avfallshantering</undergrupp>
    </Indelning>
  </Omfattning>
  <Omfattning>
    <identitet>pf_vattenförsörjning02</identitet>
    <Indelning>
      <tema>Planeringsförutsättningar</tema>
      <grupp>Riksintressen</grupp>
      <undergrupp>Vattenförsörjning</undergrupp>
    </Indelning>
  </Omfattning>
  <Omfattning>
    <identitet>pf_rörligtfriluftsliv02</identitet>
    <Indelning>
      <tema>Planeringsförutsättningar</tema>
      <grupp>Riksintressen</grupp>
      <undergrupp>Rörligt friluftsliv</undergrupp>
    </Indelning>
  </Omfattning>
  <Omfattning>
    <identitet>pf_obrutenkust02</identitet>
    <Indelning>
      <tema>Planeringsförutsättningar</tema>
      <grupp>Riksintressen</grupp>
      <undergrupp>Obruten kust</undergrupp>
    </Indelning>
  </Omfattning>
  <Omfattning>
    <identitet>pf_högexploateradkust02</identitet>
    <Indelning>
      <tema>Planeringsförutsättningar</tema>
      <grupp>Riksintressen</grupp>
      <undergrupp>Högexploaterad kust</undergrupp>
    </Indelning>
  </Omfattning>
  <Omfattning>
    <identitet>pf_skyddadevattendrag02</identitet>
    <Indelning>
      <tema>Planeringsförutsättningar</tema>
      <grupp>Riksintressen</grupp>
      <undergrupp>Skyddade vattendrag</undergrupp>
    </Indelning>
  </Omfattning>
  <Omfattning>
    <identitet>pf_natura200002</identitet>
    <Indelning>
      <tema>Planeringsförutsättningar</tema>
      <grupp>Riksintressen</grupp>
      <undergrupp>Natura 2000</undergrupp>
    </Indelning>
  </Omfattning>
  <Omfattning>
    <identitet>pf_hushållningsbestämmelserenl3kap_mb02</identitet>
    <Indelning>
      <tema>Planeringsförutsättningar</tema>
      <grupp>Hushållningsbestämmelser enligt 3 kap. miljöbalken</grupp>
    </Indelning>
  </Omfattning>
  <Omfattning>
    <identitet>pf_jordbruksmark02</identitet>
    <Indelning>
      <tema>Planeringsförutsättningar</tema>
      <grupp>Hushållningsbestämmelser enligt 3 kap. miljöbalken</grupp>
      <undergrupp>Jordbruksmark</undergrupp>
    </Indelning>
  </Omfattning>
  <Omfattning>
    <identitet>pf_skogsbruk02</identitet>
    <Indelning>
      <tema>Planeringsförutsättningar</tema>
      <grupp>Hushållningsbestämmelser enligt 3 kap. miljöbalken</grupp>
      <undergrupp>Skogsbruk</undergrupp>
    </Indelning>
  </Omfattning>
  <Omfattning>
    <identitet>pf_oexploateradeområden02</identitet>
    <Indelning>
      <tema>Planeringsförutsättningar</tema>
      <grupp>Hushållningsbestämmelser enligt 3 kap. miljöbalken</grupp>
      <undergrupp>Oexploaterade områden</undergrupp>
    </Indelning>
  </Omfattning>
  <Omfattning>
    <identitet>pf_ekologisktsärskiltkänsligaområden02</identitet>
    <Indelning>
      <tema>Planeringsförutsättningar</tema>
      <grupp>Hushållningsbestämmelser enligt 3 kap. miljöbalken</grupp>
      <undergrupp>Ekologiskt särskilt känsliga områden</undergrupp>
    </Indelning>
  </Omfattning>
  <Omfattning>
    <identitet>pf_miljökvalitetsnormer02</identitet>
    <Indelning>
      <tema>Planeringsförutsättningar</tema>
      <grupp>Miljökvalitetsnormer</grupp>
    </Indelning>
  </Omfattning>
  <Omfattning>
    <identitet>pf_luft02</identitet>
    <Indelning>
      <tema>Planeringsförutsättningar</tema>
      <grupp>Miljökvalitetsnormer</grupp>
      <undergrupp>Luft</undergrupp>
    </Indelning>
  </Omfattning>
  <Omfattning>
    <identitet>pf_service01</identitet>
    <Indelning>
      <tema>Planeringsförutsättningar</tema>
      <grupp>Service</grupp>
    </Indelning>
  </Omfattning>
  <Omfattning>
    <identitet>pf_bebyggelseochomgivning01</identitet>
    <Indelning>
      <tema>Planeringsförutsättningar</tema>
      <grupp>Fysisk miljö</grupp>
      <undergrupp>Bebyggelse och omgivning</undergrupp>
    </Indelning>
  </Omfattning>
  <Omfattning>
    <identitet>pf_kulturmiljö02</identitet>
    <Indelning>
      <tema>Planeringsförutsättningar</tema>
      <grupp>Kulturmiljö</grupp>
    </Indelning>
  </Omfattning>
  <Omfattning>
    <identitet>pf_fornlämningar02</identitet>
    <Indelning>
      <tema>Planeringsförutsättningar</tema>
      <grupp>Kulturmiljö</grupp>
      <undergrupp>Fornlämningar</undergrupp>
    </Indelning>
  </Omfattning>
  <Omfattning>
    <identitet>pf_byggnadsminnen02</identitet>
    <Indelning>
      <tema>Planeringsförutsättningar</tema>
      <grupp>Kulturmiljö</grupp>
      <undergrupp>Byggnadsminnen</undergrupp>
    </Indelning>
  </Omfattning>
  <Omfattning>
    <identitet>pf_kyrkligtkulturarv02</identitet>
    <Indelning>
      <tema>Planeringsförutsättningar</tema>
      <grupp>Kulturmiljö</grupp>
      <undergrupp>Kyrkligt kulturarv</undergrupp>
    </Indelning>
  </Omfattning>
  <Omfattning>
    <identitet>pf_trafik02</identitet>
    <Indelning>
      <tema>Planeringsförutsättningar</tema>
      <grupp>Trafik</grupp>
    </Indelning>
  </Omfattning>
  <Omfattning>
    <identitet>pf_gångochcykeltrafik01</identitet>
    <Indelning>
      <tema>Planeringsförutsättningar</tema>
      <grupp>Trafik</grupp>
      <undergrupp>Gång- och cykeltrafik</undergrupp>
    </Indelning>
  </Omfattning>
  <Omfattning>
    <identitet>pf_kollektivtrafik01</identitet>
    <Indelning>
      <tema>Planeringsförutsättningar</tema>
      <grupp>Trafik</grupp>
      <undergrupp>Kollektivtrafik</undergrupp>
    </Indelning>
  </Omfattning>
  <Omfattning>
    <identitet>pf_motortrafik01</identitet>
    <Indelning>
      <tema>Planeringsförutsättningar</tema>
      <grupp>Trafik</grupp>
      <undergrupp>Motortrafik</undergrupp>
    </Indelning>
  </Omfattning>
  <Omfattning>
    <identitet>pf_transporter01</identitet>
    <Indelning>
      <tema>Planeringsförutsättningar</tema>
      <grupp>Trafik</grupp>
      <undergrupp>Transporter</undergrupp>
    </Indelning>
  </Omfattning>
  <Omfattning>
    <identitet>pf_strandskydd02</identitet>
    <Indelning>
      <tema>Planeringsförutsättningar</tema>
      <grupp>Miljö</grupp>
      <undergrupp>Strandskydd</undergrupp>
    </Indelning>
  </Omfattning>
  <Omfattning>
    <identitet>pf_hydrologiskaförhållanden02</identitet>
    <Indelning>
      <tema>Planeringsförutsättningar</tema>
      <grupp>Hydrologiska förhållanden</grupp>
    </Indelning>
  </Omfattning>
  <Omfattning>
    <identitet>pf_landskapsbild01</identitet>
    <Indelning>
      <tema>Planeringsförutsättningar</tema>
      <grupp>Miljö</grupp>
      <undergrupp>Landskapsbild</undergrupp>
    </Indelning>
  </Omfattning>
  <Omfattning>
    <identitet>pf_naturreservat01</identitet>
    <Indelning>
      <tema>Planeringsförutsättningar</tema>
      <grupp>Miljö</grupp>
      <undergrupp>Naturreservat</undergrupp>
    </Indelning>
  </Omfattning>
  <Omfattning>
    <identitet>pf_geotekniskaförhållanden02</identitet>
    <Indelning>
      <tema>Planeringsförutsättningar</tema>
      <grupp>Geotekniska förhållanden</grupp>
    </Indelning>
  </Omfattning>
  <Omfattning>
    <identitet>pf_teknik02</identitet>
    <Indelning>
      <tema>Planeringsförutsättningar</tema>
      <grupp>Teknik</grupp>
    </Indelning>
  </Omfattning>
  <Omfattning>
    <identitet>pf_hälsaochsäkerhet02</identitet>
    <Indelning>
      <tema>Planeringsförutsättningar</tema>
      <grupp>Hälsa och säkerhet</grupp>
    </Indelning>
  </Omfattning>
  <Omfattning>
    <identitet>pf_omgivningsbuller02</identitet>
    <Indelning>
      <tema>Planeringsförutsättningar</tema>
      <grupp>Hälsa och säkerhet</grupp>
      <undergrupp>Omgivningsbuller</undergrupp>
    </Indelning>
  </Omfattning>
  <Omfattning>
    <identitet>pf_riskförolyckor02</identitet>
    <Indelning>
      <tema>Planeringsförutsättningar</tema>
      <grupp>Hälsa och säkerhet</grupp>
      <undergrupp>Risk för olyckor</undergrupp>
    </Indelning>
  </Omfattning>
  <Omfattning>
    <identitet>pf_riskföröversvämning02</identitet>
    <Indelning>
      <tema>Planeringsförutsättningar</tema>
      <grupp>Hälsa och säkerhet</grupp>
      <undergrupp>Risk för översvämning</undergrupp>
    </Indelning>
  </Omfattning>
  <Omfattning>
    <identitet>pf_riskförerosion02</identitet>
    <Indelning>
      <tema>Planeringsförutsättningar</tema>
      <grupp>Hälsa och säkerhet</grupp>
      <undergrupp>Risk för erosion</undergrupp>
    </Indelning>
  </Omfattning>
  <Omfattning>
    <identitet>pf_riskförskred02</identitet>
    <Indelning>
      <tema>Planeringsförutsättningar</tema>
      <grupp>Hälsa och säkerhet</grupp>
      <undergrupp>Risk för skred</undergrupp>
    </Indelning>
  </Omfattning>
  <Omfattning>
    <identitet>pf_riskförras02</identitet>
    <Indelning>
      <tema>Planeringsförutsättningar</tema>
      <grupp>Hälsa och säkerhet</grupp>
      <undergrupp>Risk för ras</undergrupp>
    </Indelning>
  </Omfattning>
  <Omfattning>
    <identitet>pf_gas01</identitet>
    <Indelning>
      <tema>Planeringsförutsättningar</tema>
      <grupp>Hälsa och säkerhet</grupp>
      <undergrupp>Gas</undergrupp>
    </Indelning>
  </Omfattning>
  <Omfattning>
    <identitet>pf_magnetfält01</identitet>
    <Indelning>
      <tema>Planeringsförutsättningar</tema>
      <grupp>Hälsa och säkerhet</grupp>
      <undergrupp>Magnetfält</undergrupp>
    </Indelning>
  </Omfattning>
  <Omfattning>
    <identitet>pf_skyddsrum01</identitet>
    <Indelning>
      <tema>Planeringsförutsättningar</tema>
      <grupp>Hälsa och säkerhet</grupp>
      <undergrupp>Skyddsrum</undergrupp>
    </Indelning>
  </Omfattning>
  <Omfattning>
    <identitet>be_allmänt01</identitet>
    <Indelning>
      <tema>Beskrivning av detaljplanen</tema>
      <grupp>Annat</grupp>
      <undergrupp>Allmänt</undergrupp>
    </Indelning>
  </Omfattning>
  <Omfattning>
    <identitet>be_genomförandetid02</identitet>
    <Indelning>
      <tema>Beskrivning av detaljplanen</tema>
      <grupp>Genomförandetid</grupp>
    </Indelning>
  </Omfattning>
  <Omfattning>
    <identitet>be_nyaanläggningar01</identitet>
    <Indelning>
      <tema>Beskrivning av detaljplanen</tema>
      <grupp>Hela detaljplan</grupp>
      <undergrupp>Nya anläggningar</undergrupp>
    </Indelning>
  </Omfattning>
  <Omfattning>
    <identitet>be_huvudmannaskap02</identitet>
    <Indelning>
      <tema>Beskrivning av detaljplanen</tema>
      <grupp>Allmän plats</grupp>
      <undergrupp>Huvudmannaskap</undergrupp>
    </Indelning>
  </Omfattning>
  <Omfattning>
    <identitet>be_vattenområde02</identitet>
    <Indelning>
      <tema>Beskrivning av detaljplanen</tema>
      <grupp>Vattenområde</grupp>
    </Indelning>
  </Omfattning>
  <Omfattning>
    <identitet>be_varförändringavdetaljplanvalts02</identitet>
    <Indelning>
      <tema>Beskrivning av detaljplanen</tema>
      <grupp>Varför ändring av detaljplan valts</grupp>
    </Indelning>
  </Omfattning>
  <Omfattning>
    <identitet>gf_förklarande01</identitet>
    <Indelning>
      <tema>Genomförandefrågor</tema>
      <grupp>Annat</grupp>
      <undergrupp>Förklarande</undergrupp>
    </Indelning>
  </Omfattning>
  <Omfattning>
    <identitet>gf_planavgift01</identitet>
    <Indelning>
      <tema>Genomförandefrågor</tema>
      <grupp>Ekonomiska frågor</grupp>
      <undergrupp>Planavgift</undergrupp>
    </Indelning>
  </Omfattning>
  <Omfattning>
    <identitet>gf_fastighetsrättsligafrågor02</identitet>
    <Indelning>
      <tema>Genomförandefrågor</tema>
      <grupp>Fastighetsrättsliga frågor</grupp>
    </Indelning>
  </Omfattning>
  <Omfattning>
    <identitet>gf_fastighetsindelningsbestämmelser02</identitet>
    <Indelning>
      <tema>Genomförandefrågor</tema>
      <grupp>Fastighetsrättsliga frågor</grupp>
      <undergrupp>Fastighetsindelnings-bestämmelser</undergrupp>
    </Indelning>
  </Omfattning>
  <Omfattning>
    <identitet>gf_gemensamhetsanläggningmedmera01</identitet>
    <Indelning>
      <tema>Genomförandefrågor</tema>
      <grupp>Fastighetsrättsliga frågor</grupp>
      <undergrupp>Gemensamhetsanläggning med mera</undergrupp>
    </Indelning>
  </Omfattning>
  <Omfattning>
    <identitet>gf_rätttillinlösenhuvudman02</identitet>
    <Indelning>
      <tema>Genomförandefrågor</tema>
      <grupp>Mark- och utrymmesförvärv</grupp>
      <undergrupp>Rätt till inlösen, huvudman</undergrupp>
    </Indelning>
  </Omfattning>
  <Omfattning>
    <identitet>gf_rätttillinlösenavrättighetkommun02</identitet>
    <Indelning>
      <tema>Genomförandefrågor</tema>
      <grupp>Mark- och utrymmesförvärv</grupp>
      <undergrupp>Rätt till inlösen av rättighet, kommun</undergrupp>
    </Indelning>
  </Omfattning>
  <Omfattning>
    <identitet>gf_skyldighetinlösenhuvudman02</identitet>
    <Indelning>
      <tema>Genomförandefrågor</tema>
      <grupp>Mark- och utrymmesförvärv</grupp>
      <undergrupp>Skyldighet inlösen, huvudman</undergrupp>
    </Indelning>
  </Omfattning>
  <Omfattning>
    <identitet>gf_skyldighetinlösenstat02</identitet>
    <Indelning>
      <tema>Genomförandefrågor</tema>
      <grupp>Mark- och utrymmesförvärv</grupp>
      <undergrupp>Skyldighet inlösen, stat</undergrupp>
    </Indelning>
  </Omfattning>
  <Omfattning>
    <identitet>gf_ekonomiskafrågor02</identitet>
    <Indelning>
      <tema>Genomförandefrågor</tema>
      <grupp>Ekonomiska frågor</grupp>
    </Indelning>
  </Omfattning>
  <Omfattning>
    <identitet>gf_planekonomiskbedömning02</identitet>
    <Indelning>
      <tema>Genomförandefrågor</tema>
      <grupp>Ekonomiska frågor</grupp>
      <undergrupp>Planekonomisk bedömning</undergrupp>
    </Indelning>
  </Omfattning>
  <Omfattning>
    <identitet>gf_planekonomiskbedömning03</identitet>
    <Indelning>
      <tema>Genomförandefrågor</tema>
      <grupp>Ekonomiska frågor</grupp>
      <undergrupp>Planekonomisk bedömning</undergrupp>
    </Indelning>
  </Omfattning>
  <Omfattning>
    <identitet>gf_planekonomiskbedömning05</identitet>
    <Indelning>
      <tema>Genomförandefrågor</tema>
      <grupp>Ekonomiska frågor</grupp>
      <undergrupp>Planekonomisk bedömning</undergrupp>
    </Indelning>
  </Omfattning>
  <Omfattning>
    <identitet>gf_organisatoriskafrågor02</identitet>
    <Indelning>
      <tema>Genomförandefrågor</tema>
      <grupp>Organisatoriska frågor</grupp>
    </Indelning>
  </Omfattning>
  <Omfattning>
    <identitet>gf_markanvisning02</identitet>
    <Indelning>
      <tema>Genomförandefrågor</tema>
      <grupp>Organisatoriska frågor</grupp>
      <undergrupp>Markanvisning</undergrupp>
    </Indelning>
  </Omfattning>
  <Omfattning>
    <identitet>gf_tidplan04</identitet>
    <Indelning>
      <tema>Genomförandefrågor</tema>
      <grupp>Organisatoriska frågor</grupp>
      <undergrupp>Tidplan</undergrupp>
    </Indelning>
  </Omfattning>
  <Omfattning>
    <identitet>gf_tekniskafrågor02</identitet>
    <Indelning>
      <tema>Genomförandefrågor</tema>
      <grupp>Tekniska frågor</grupp>
    </Indelning>
  </Omfattning>
  <Omfattning>
    <identitet>gf_tekniskaåtgärder02</identitet>
    <Indelning>
      <tema>Genomförandefrågor</tema>
      <grupp>Tekniska frågor</grupp>
      <undergrupp>Tekniska åtgärder</undergrupp>
    </Indelning>
  </Omfattning>
  <Omfattning>
    <identitet>gf_utbyggnadallmänplats02</identitet>
    <Indelning>
      <tema>Genomförandefrågor</tema>
      <grupp>Tekniska frågor</grupp>
      <undergrupp>Utbyggnad allmän plats</undergrupp>
    </Indelning>
  </Omfattning>
  <Omfattning>
    <identitet>gf_kulturvärden02</identitet>
    <Indelning>
      <tema>Genomförandefrågor</tema>
      <grupp>Kulturvärden</grupp>
    </Indelning>
  </Omfattning>
  <Omfattning>
    <identitet>gf_rivningsförbud02</identitet>
    <Indelning>
      <tema>Genomförandefrågor</tema>
      <grupp>Kulturvärden</grupp>
      <undergrupp>Rivningsförbud</undergrupp>
    </Indelning>
  </Omfattning>
  <Omfattning>
    <identitet>gf_bevarandekrav02</identitet>
    <Indelning>
      <tema>Genomförandefrågor</tema>
      <grupp>Kulturvärden</grupp>
      <undergrupp>Bevarandekrav</undergrupp>
    </Indelning>
  </Omfattning>
  <Omfattning>
    <identitet>gf_prövningenlannanlagstiftning02</identitet>
    <Indelning>
      <tema>Genomförandefrågor</tema>
      <grupp>Prövning enligt annan lagstiftning</grupp>
    </Indelning>
  </Omfattning>
  <Omfattning>
    <identitet>gf_upplysningar02</identitet>
    <Indelning>
      <tema>Genomförandefrågor</tema>
      <grupp>Upplysningar</grupp>
    </Indelning>
  </Omfattning>
  <Omfattning>
    <identitet>ko_annat01</identitet>
    <Indelning>
      <tema>Konsekvenser</tema>
      <grupp>Annat</grupp>
    </Indelning>
  </Omfattning>
  <Omfattning>
    <identitet>ko_mellankommunalafrågor02</identitet>
    <Indelning>
      <tema>Konsekvenser</tema>
      <grupp>Mellankommunala frågor</grupp>
    </Indelning>
  </Omfattning>
  <Omfattning>
    <identitet>ko_fastigheterochrättigheter02</identitet>
    <Indelning>
      <tema>Konsekvenser</tema>
      <grupp>Fastigheter och rättigheter</grupp>
    </Indelning>
  </Omfattning>
  <Omfattning>
    <identitet>ko_riksintresse02</identitet>
    <Indelning>
      <tema>Konsekvenser</tema>
      <grupp>Riksintresse</grupp>
    </Indelning>
  </Omfattning>
  <Omfattning>
    <identitet>ko_yrkesfiske02</identitet>
    <Indelning>
      <tema>Konsekvenser</tema>
      <grupp>Riksintresse</grupp>
      <undergrupp>Yrkesfiske</undergrupp>
    </Indelning>
  </Omfattning>
  <Omfattning>
    <identitet>ko_naturvård02</identitet>
    <Indelning>
      <tema>Konsekvenser</tema>
      <grupp>Riksintresse</grupp>
      <undergrupp>Naturvård</undergrupp>
    </Indelning>
  </Omfattning>
  <Omfattning>
    <identitet>ko_friluftsliv02</identitet>
    <Indelning>
      <tema>Konsekvenser</tema>
      <grupp>Riksintresse</grupp>
      <undergrupp>Friluftsliv</undergrupp>
    </Indelning>
  </Omfattning>
  <Omfattning>
    <identitet>ko_kulturmiljövård02</identitet>
    <Indelning>
      <tema>Konsekvenser</tema>
      <grupp>Riksintresse</grupp>
      <undergrupp>Kulturmiljövård</undergrupp>
    </Indelning>
  </Omfattning>
  <Omfattning>
    <identitet>ko_fyndigheteravämnenochmaterial02</identitet>
    <Indelning>
      <tema>Konsekvenser</tema>
      <grupp>Riksintresse</grupp>
      <undergrupp>Fyndigheter av ämnen och material</undergrupp>
    </Indelning>
  </Omfattning>
  <Omfattning>
    <identitet>ko_industriellproduktion02</identitet>
    <Indelning>
      <tema>Konsekvenser</tema>
      <grupp>Riksintresse</grupp>
      <undergrupp>Industriell produktion</undergrupp>
    </Indelning>
  </Omfattning>
  <Omfattning>
    <identitet>ko_energiproduktionochenergidistributi02</identitet>
    <Indelning>
      <tema>Konsekvenser</tema>
      <grupp>Riksintresse</grupp>
      <undergrupp>Energiproduktion och energidistribution</undergrupp>
    </Indelning>
  </Omfattning>
  <Omfattning>
    <identitet>ko_elektroniskkommunikation02</identitet>
    <Indelning>
      <tema>Konsekvenser</tema>
      <grupp>Riksintresse</grupp>
      <undergrupp>Elektronisk kommunikation</undergrupp>
    </Indelning>
  </Omfattning>
  <Omfattning>
    <identitet>ko_trafikkommunikation02</identitet>
    <Indelning>
      <tema>Konsekvenser</tema>
      <grupp>Riksintresse</grupp>
      <undergrupp>Trafikkommunikation</undergrupp>
    </Indelning>
  </Omfattning>
  <Omfattning>
    <identitet>ko_avfallshantering02</identitet>
    <Indelning>
      <tema>Konsekvenser</tema>
      <grupp>Riksintresse</grupp>
      <undergrupp>Avfallshantering</undergrupp>
    </Indelning>
  </Omfattning>
  <Omfattning>
    <identitet>ko_vattenförsörjning02</identitet>
    <Indelning>
      <tema>Konsekvenser</tema>
      <grupp>Riksintresse</grupp>
      <undergrupp>Vattenförsörjning</undergrupp>
    </Indelning>
  </Omfattning>
  <Omfattning>
    <identitet>ko_totalförsvar02</identitet>
    <Indelning>
      <tema>Konsekvenser</tema>
      <grupp>Riksintresse</grupp>
      <undergrupp>Totalförsvar</undergrupp>
    </Indelning>
  </Omfattning>
  <Omfattning>
    <identitet>ko_rörligtfriluftsliv02</identitet>
    <Indelning>
      <tema>Konsekvenser</tema>
      <grupp>Riksintresse</grupp>
      <undergrupp>Rörligt friluftsliv</undergrupp>
    </Indelning>
  </Omfattning>
  <Omfattning>
    <identitet>ko_obrutenkust02</identitet>
    <Indelning>
      <tema>Konsekvenser</tema>
      <grupp>Riksintresse</grupp>
      <undergrupp>Obruten kust</undergrupp>
    </Indelning>
  </Omfattning>
  <Omfattning>
    <identitet>ko_högexploateradkust02</identitet>
    <Indelning>
      <tema>Konsekvenser</tema>
      <grupp>Riksintresse</grupp>
      <undergrupp>Högexploaterad kust</undergrupp>
    </Indelning>
  </Omfattning>
  <Omfattning>
    <identitet>ko_skyddadevattendrag02</identitet>
    <Indelning>
      <tema>Konsekvenser</tema>
      <grupp>Riksintresse</grupp>
      <undergrupp>Skyddade vattendrag</undergrupp>
    </Indelning>
  </Omfattning>
  <Omfattning>
    <identitet>ko_natura200002</identitet>
    <Indelning>
      <tema>Konsekvenser</tema>
      <grupp>Riksintresse</grupp>
      <undergrupp>Natura 2000</undergrupp>
    </Indelning>
  </Omfattning>
  <Omfattning>
    <identitet>ko_hushållningsbestämmelserenl3kap_mb02</identitet>
    <Indelning>
      <tema>Konsekvenser</tema>
      <grupp>Hushållningsbestämmelser enligt 3 kap. miljöbalken</grupp>
    </Indelning>
  </Omfattning>
  <Omfattning>
    <identitet>ko_jordbruksmark02</identitet>
    <Indelning>
      <tema>Konsekvenser</tema>
      <grupp>Hushållningsbestämmelser enligt 3 kap. miljöbalken</grupp>
      <undergrupp>Jordbruksmark</undergrupp>
    </Indelning>
  </Omfattning>
  <Omfattning>
    <identitet>ko_skogsbruk02</identitet>
    <Indelning>
      <tema>Konsekvenser</tema>
      <grupp>Hushållningsbestämmelser enligt 3 kap. miljöbalken</grupp>
      <undergrupp>Skogsbruk</undergrupp>
    </Indelning>
  </Omfattning>
  <Omfattning>
    <identitet>ko_oexploateradeområden02</identitet>
    <Indelning>
      <tema>Konsekvenser</tema>
      <grupp>Hushållningsbestämmelser enligt 3 kap. miljöbalken</grupp>
      <undergrupp>Oexploaterade områden</undergrupp>
    </Indelning>
  </Omfattning>
  <Omfattning>
    <identitet>ko_ekologisktsärskiltkänsligaområden02</identitet>
    <Indelning>
      <tema>Konsekvenser</tema>
      <grupp>Hushållningsbestämmelser enligt 3 kap. miljöbalken</grupp>
      <undergrupp>Ekologiskt särskilt känsliga områden</undergrupp>
    </Indelning>
  </Omfattning>
  <Omfattning>
    <identitet>ko_miljökvalitetsnormer02</identitet>
    <Indelning>
      <tema>Konsekvenser</tema>
      <grupp>Miljökvalitetsnormer</grupp>
    </Indelning>
  </Omfattning>
  <Omfattning>
    <identitet>ko_luft02</identitet>
    <Indelning>
      <tema>Konsekvenser</tema>
      <grupp>Miljökvalitetsnormer</grupp>
      <undergrupp>Luft</undergrupp>
    </Indelning>
  </Omfattning>
  <Omfattning>
    <identitet>ko_fysiskmiljö01</identitet>
    <Indelning>
      <tema>Konsekvenser</tema>
      <grupp>Annat</grupp>
      <undergrupp>Fysisk miljö</undergrupp>
    </Indelning>
  </Omfattning>
  <Omfattning>
    <identitet>ko_fysiskmiljö02</identitet>
    <Indelning>
      <tema>Konsekvenser</tema>
      <grupp>Annat</grupp>
      <undergrupp>Fysisk miljö</undergrupp>
    </Indelning>
  </Omfattning>
  <Omfattning>
    <identitet>ko_fysiskmiljö04</identitet>
    <Indelning>
      <tema>Konsekvenser</tema>
      <grupp>Annat</grupp>
      <undergrupp>Fysisk miljö</undergrupp>
    </Indelning>
  </Omfattning>
  <Omfattning>
    <identitet>ko_trafik02</identitet>
    <Indelning>
      <tema>Konsekvenser</tema>
      <grupp>Trafik</grupp>
    </Indelning>
  </Omfattning>
  <Omfattning>
    <identitet>ko_gångochcykeltrafik01</identitet>
    <Indelning>
      <tema>Konsekvenser</tema>
      <grupp>Trafik</grupp>
      <undergrupp>Gång- och cykeltrafik</undergrupp>
    </Indelning>
  </Omfattning>
  <Omfattning>
    <identitet>ko_kollektivtrafik01</identitet>
    <Indelning>
      <tema>Konsekvenser</tema>
      <grupp>Trafik</grupp>
      <undergrupp>Kollektivtrafik</undergrupp>
    </Indelning>
  </Omfattning>
  <Omfattning>
    <identitet>ko_motortrafik01</identitet>
    <Indelning>
      <tema>Konsekvenser</tema>
      <grupp>Trafik</grupp>
      <undergrupp>Motortrafik</undergrupp>
    </Indelning>
  </Omfattning>
  <Omfattning>
    <identitet>ko_sociala02</identitet>
    <Indelning>
      <tema>Konsekvenser</tema>
      <grupp>Sociala</grupp>
    </Indelning>
  </Omfattning>
  <Omfattning>
    <identitet>ko_sociala03</identitet>
    <Indelning>
      <tema>Konsekvenser</tema>
      <grupp>Sociala</grupp>
    </Indelning>
  </Omfattning>
  <Omfattning>
    <identitet>ko_natur02</identitet>
    <Indelning>
      <tema>Konsekvenser</tema>
      <grupp>Natur</grupp>
    </Indelning>
  </Omfattning>
  <Omfattning>
    <identitet>ko_strategiskmiljöbedömning01</identitet>
    <Indelning>
      <tema>Konsekvenser</tema>
      <grupp>Natur</grupp>
      <undergrupp>Strategisk miljöbedömning</undergrupp>
    </Indelning>
  </Omfattning>
  <Omfattning>
    <identitet>ko_ställningstagande4kap33b_pbl02</identitet>
    <Indelning>
      <tema>Konsekvenser</tema>
      <grupp>Miljö</grupp>
      <undergrupp>Ställningstagande 4 kap. 33 b § plan- och bygglagen (2010:900)</undergrupp>
    </Indelning>
  </Omfattning>
  <Omfattning>
    <identitet>ko_strandskydd02</identitet>
    <Indelning>
      <tema>Konsekvenser</tema>
      <grupp>Miljö</grupp>
      <undergrupp>Strandskydd</undergrupp>
    </Indelning>
  </Omfattning>
  <Omfattning>
    <identitet>ko_hydrologi01</identitet>
    <Indelning>
      <tema>Konsekvenser</tema>
      <grupp>Miljö</grupp>
      <undergrupp>Hydrologi</undergrupp>
    </Indelning>
  </Omfattning>
  <Omfattning>
    <identitet>ko_grönområde02</identitet>
    <Indelning>
      <tema>Konsekvenser</tema>
      <grupp>Natur</grupp>
      <undergrupp>Grönområde</undergrupp>
    </Indelning>
  </Omfattning>
  <Omfattning>
    <identitet>ko_landskapsbild02</identitet>
    <Indelning>
      <tema>Konsekvenser</tema>
      <grupp>Natur</grupp>
      <undergrupp>Landskapsbild</undergrupp>
    </Indelning>
  </Omfattning>
  <Omfattning>
    <identitet>ko_naturreservat02</identitet>
    <Indelning>
      <tema>Konsekvenser</tema>
      <grupp>Natur</grupp>
      <undergrupp>Naturreservat</undergrupp>
    </Indelning>
  </Omfattning>
  <Omfattning>
    <identitet>ko_miljökonsekvensbeskrivning01</identitet>
    <Indelning>
      <tema>Konsekvenser</tema>
      <grupp>Miljö</grupp>
      <undergrupp>Miljökonsekvens-beskrivning</undergrupp>
    </Indelning>
  </Omfattning>
  <Omfattning>
    <identitet>ko_geoteknik01</identitet>
    <Indelning>
      <tema>Konsekvenser</tema>
      <grupp>Annat</grupp>
      <undergrupp>Geoteknik</undergrupp>
    </Indelning>
  </Omfattning>
  <Omfattning>
    <identitet>ko_hälsaochsäkerhet02</identitet>
    <Indelning>
      <tema>Konsekvenser</tema>
      <grupp>Hälsa och säkerhet</grupp>
    </Indelning>
  </Omfattning>
  <Omfattning>
    <identitet>ko_beräkningavomgivningsbuller02</identitet>
    <Indelning>
      <tema>Konsekvenser</tema>
      <grupp>Hälsa och säkerhet</grupp>
      <undergrupp>Beräkning av omgivningsbuller</undergrupp>
    </Indelning>
  </Omfattning>
  <Omfattning>
    <identitet>ko_olyckor02</identitet>
    <Indelning>
      <tema>Konsekvenser</tema>
      <grupp>Hälsa och säkerhet</grupp>
      <undergrupp>Olyckor</undergrupp>
    </Indelning>
  </Omfattning>
  <Omfattning>
    <identitet>ko_erosion02</identitet>
    <Indelning>
      <tema>Konsekvenser</tema>
      <grupp>Hälsa och säkerhet</grupp>
      <undergrupp>Erosion</undergrupp>
    </Indelning>
  </Omfattning>
  <Omfattning>
    <identitet>ko_skred02</identitet>
    <Indelning>
      <tema>Konsekvenser</tema>
      <grupp>Hälsa och säkerhet</grupp>
      <undergrupp>Skred</undergrupp>
    </Indelning>
  </Omfattning>
  <Omfattning>
    <identitet>ko_ras02</identitet>
    <Indelning>
      <tema>Konsekvenser</tema>
      <grupp>Hälsa och säkerhet</grupp>
      <undergrupp>Ras</undergrupp>
    </Indelning>
  </Omfattning>
  <Omfattning>
    <identitet>ko_radon01</identitet>
    <Indelning>
      <tema>Konsekvenser</tema>
      <grupp>Hälsa och säkerhet</grupp>
      <undergrupp>Radon</undergrupp>
    </Indelning>
  </Omfattning>
  <Omfattning>
    <identitet>ko_luft03</identitet>
    <Indelning>
      <tema>Konsekvenser</tema>
      <grupp>Miljökvalitetsnormer</grupp>
      <undergrupp>Luft</undergrupp>
    </Indelning>
  </Omfattning>
  <Omfattning>
    <identitet>ko_magnetfält01</identitet>
    <Indelning>
      <tema>Konsekvenser</tema>
      <grupp>Hälsa och säkerhet</grupp>
      <undergrupp>Magnetfält</undergrupp>
    </Indelning>
  </Omfattning>
  <Omfattning>
    <identitet>ko_skyddsrum01</identitet>
    <Indelning>
      <tema>Konsekvenser</tema>
      <grupp>Hälsa och säkerhet</grupp>
      <undergrupp>Skyddsrum</undergrupp>
    </Indelning>
  </Omfattning>
  <Omfattning>
    <identitet>pu_annat02</identitet>
    <Indelning>
      <tema>Planeringsunderlag</tema>
      <grupp>Annat</grupp>
    </Indelning>
  </Omfattning>
  <Omfattning>
    <identitet>be_ärendeinformation02</identitet>
    <Indelning>
      <tema>Beskrivning av detaljplanen</tema>
      <grupp>Ärendeinformation</grupp>
    </Indelning>
  </Omfattning>
  <Omfattning>
    <identitet>pu_kommunala02</identitet>
    <Indelning>
      <tema>Planeringsunderlag</tema>
      <grupp>Kommunala</grupp>
    </Indelning>
  </Omfattning>
  <Omfattning>
    <identitet>pu_detaljplan02</identitet>
    <Indelning>
      <tema>Planeringsunderlag</tema>
      <grupp>Kommunala</grupp>
      <undergrupp>Detaljplan</undergrupp>
    </Indelning>
  </Omfattning>
  <Omfattning>
    <identitet>pu_planprogram02</identitet>
    <Indelning>
      <tema>Planeringsunderlag</tema>
      <grupp>Kommunala</grupp>
      <undergrupp>Planprogram</undergrupp>
    </Indelning>
  </Omfattning>
  <Omfattning>
    <identitet>pu_grundkarta02</identitet>
    <Indelning>
      <tema>Planeringsunderlag</tema>
      <grupp>Kommunala</grupp>
      <undergrupp>Grundkarta</undergrupp>
    </Indelning>
  </Omfattning>
  <Omfattning>
    <identitet>pu_översiktsplan02</identitet>
    <Indelning>
      <tema>Planeringsunderlag</tema>
      <grupp>Kommunala</grupp>
      <undergrupp>Översiktsplan</undergrupp>
    </Indelning>
  </Omfattning>
  <Omfattning>
    <identitet>pu_undersökningenl6kap6_mb01</identitet>
    <Indelning>
      <tema>Planeringsunderlag</tema>
      <grupp>Kommunala</grupp>
      <undergrupp>Undersökning enligt 6 kap. 6 § miljöbalken (1998:808)</undergrupp>
    </Indelning>
  </Omfattning>
  <Omfattning>
    <identitet>pu_miljökonsekvensbeskrivning02</identitet>
    <Indelning>
      <tema>Planeringsunderlag</tema>
      <grupp>Kommunala</grupp>
      <undergrupp>Miljökonsekvens-beskrivning</undergrupp>
    </Indelning>
  </Omfattning>
  <Omfattning>
    <identitet>pu_särskiltbeslutombetydandemiljöpåver02</identitet>
    <Indelning>
      <tema>Planeringsunderlag</tema>
      <grupp>Kommunala</grupp>
      <undergrupp>Särskilt beslut om betydande miljöpåverkan</undergrupp>
    </Indelning>
  </Omfattning>
  <Omfattning>
    <identitet>pu_utredningar02</identitet>
    <Indelning>
      <tema>Planeringsunderlag</tema>
      <grupp>Utredningar</grupp>
    </Indelning>
  </Omfattning>
  <Omfattning>
    <identitet>pu_dagsljusochskugga02</identitet>
    <Indelning>
      <tema>Planeringsunderlag</tema>
      <grupp>Utredningar</grupp>
      <undergrupp>Dagsljus och skugga</undergrupp>
    </Indelning>
  </Omfattning>
  <Omfattning>
    <identitet>pu_dagvattenutredning02</identitet>
    <Indelning>
      <tema>Planeringsunderlag</tema>
      <grupp>Utredningar</grupp>
      <undergrupp>Dagvattenutredning</undergrupp>
    </Indelning>
  </Omfattning>
  <Omfattning>
    <identitet>pu_handelsutredning02</identitet>
    <Indelning>
      <tema>Planeringsunderlag</tema>
      <grupp>Utredningar</grupp>
      <undergrupp>Handelsutredning</undergrupp>
    </Indelning>
  </Omfattning>
  <Omfattning>
    <identitet>pu_naturinventering02</identitet>
    <Indelning>
      <tema>Planeringsunderlag</tema>
      <grupp>Utredningar</grupp>
      <undergrupp>Naturinventering</undergrupp>
    </Indelning>
  </Omfattning>
  <Omfattning>
    <identitet>pu_geotekniskutredning02</identitet>
    <Indelning>
      <tema>Planeringsunderlag</tema>
      <grupp>Utredningar</grupp>
      <undergrupp>Geoteknisk utredning</undergrupp>
    </Indelning>
  </Omfattning>
  <Omfattning>
    <identitet>pu_markmiljöutredning02</identitet>
    <Indelning>
      <tema>Planeringsunderlag</tema>
      <grupp>Utredningar</grupp>
      <undergrupp>Markmiljöutredning</undergrupp>
    </Indelning>
  </Omfattning>
  <Omfattning>
    <identitet>pu_bullerutredning02</identitet>
    <Indelning>
      <tema>Planeringsunderlag</tema>
      <grupp>Utredningar</grupp>
      <undergrupp>Bullerutredning</undergrupp>
    </Indelning>
  </Omfattning>
  <Omfattning>
    <identitet>pu_förprojektering02</identitet>
    <Indelning>
      <tema>Planeringsunderlag</tema>
      <grupp>Utredningar</grupp>
      <undergrupp>Förprojektering</undergrupp>
    </Indelning>
  </Omfattning>
  <Omfattning>
    <identitet>pu_riskutredning02</identitet>
    <Indelning>
      <tema>Planeringsunderlag</tema>
      <grupp>Utredningar</grupp>
      <undergrupp>Riskutredning</undergrupp>
    </Indelning>
  </Omfattning>
  <Omfattning>
    <identitet>pu_trafikutredning02</identitet>
    <Indelning>
      <tema>Planeringsunderlag</tema>
      <grupp>Utredningar</grupp>
      <undergrupp>Trafikutredning</undergrupp>
    </Indelning>
  </Omfattning>
  <Omfattning>
    <identitet>pu_kulturmiljöutredning02</identitet>
    <Indelning>
      <tema>Planeringsunderlag</tema>
      <grupp>Utredningar</grupp>
      <undergrupp>Kulturmiljöutredning</undergrupp>
    </Indelning>
  </Omfattning>
  <Omfattning>
    <identitet>pu_arkeologiskutredning01</identitet>
    <Indelning>
      <tema>Planeringsunderlag</tema>
      <grupp>Utredningar</grupp>
      <undergrupp>Arkeologisk utredning</undergrupp>
    </Indelning>
  </Omfattning>
  <Omfattning>
    <identitet>pu_vibrationsutredning01</identitet>
    <Indelning>
      <tema>Planeringsunderlag</tema>
      <grupp>Utredningar</grupp>
      <undergrupp>Vibrationsutredning</undergrupp>
    </Indelning>
  </Omfattning>
  <Omfattning>
    <identitet>pu_annanutredning01</identitet>
    <Indelning>
      <tema>Planeringsunderlag</tema>
      <grupp>Utredningar</grupp>
      <undergrupp>Annan utredning</undergrupp>
    </Indelning>
  </Omfattning>
  <Omfattning>
    <identitet>mo_motivtillreglering01</identitet>
    <Indelning>
      <tema>Motiv till detaljplanens regleringar</tema>
      <grupp>Motiv till reglering</grupp>
    </Indelning>
  </Omfattning>
  <Omfattning>
    <identitet>be_kvartersmark01</identitet>
    <Indelning>
      <tema>Beskrivning av detaljplanen</tema>
      <grupp>Kvartersmark</grupp>
    </Indelning>
  </Omfattning>
  <Omfattning>
    <identitet>be_allmänplats01</identitet>
    <Indelning>
      <tema>Beskrivning av detaljplanen</tema>
      <grupp>Allmän plats</grupp>
    </Indelning>
  </Omfattning>
  <Omfattning>
    <identitet>be_allmänt02</identitet>
    <Indelning>
      <tema>Beskrivning av detaljplanen</tema>
      <grupp>Annat</grupp>
      <undergrupp>Allmänt</undergrupp>
    </Indelning>
  </Omfattning>
  <Omfattning>
    <identitet>be_beskrivande01</identitet>
    <Indelning>
      <tema>Beskrivning av detaljplanen</tema>
      <grupp>Annat</grupp>
      <undergrupp>Beskrivande</undergrupp>
    </Indelning>
  </Omfattning>
  <Omfattning>
    <identitet>pf_planprogram01</identitet>
    <Indelning>
      <tema>Planeringsförutsättningar</tema>
      <grupp>Kommunala</grupp>
      <undergrupp>Planprogram</undergrupp>
    </Indelning>
  </Omfattning>
  <Omfattning>
    <identitet>pf_planbesked02</identitet>
    <Indelning>
      <tema>Planeringsförutsättningar</tema>
      <grupp>Kommunala</grupp>
      <undergrupp>Planbesked</undergrupp>
    </Indelning>
  </Omfattning>
  <Omfattning>
    <identitet>pf_totalförsvar02</identitet>
    <Indelning>
      <tema>Planeringsförutsättningar</tema>
      <grupp>Riksintressen</grupp>
      <undergrupp>Totalförsvar</undergrupp>
    </Indelning>
  </Omfattning>
  <Omfattning>
    <identitet>pf_vatten02</identitet>
    <Indelning>
      <tema>Planeringsförutsättningar</tema>
      <grupp>Miljökvalitetsnormer</grupp>
      <undergrupp>Vatten</undergrupp>
    </Indelning>
  </Omfattning>
  <Omfattning>
    <identitet>pf_sociala02</identitet>
    <Indelning>
      <tema>Planeringsförutsättningar</tema>
      <grupp>Sociala</grupp>
    </Indelning>
  </Omfattning>
  <Omfattning>
    <identitet>pf_dagvatten02</identitet>
    <Indelning>
      <tema>Planeringsförutsättningar</tema>
      <grupp>Miljö</grupp>
      <undergrupp>Dagvatten</undergrupp>
    </Indelning>
  </Omfattning>
  <Omfattning>
    <identitet>pf_naturochgrönområden01</identitet>
    <Indelning>
      <tema>Planeringsförutsättningar</tema>
      <grupp>Miljö</grupp>
      <undergrupp>Natur- och grönområden</undergrupp>
    </Indelning>
  </Omfattning>
  <Omfattning>
    <identitet>pf_förorenadmark02</identitet>
    <Indelning>
      <tema>Planeringsförutsättningar</tema>
      <grupp>Hälsa och säkerhet</grupp>
      <undergrupp>Förorenad mark</undergrupp>
    </Indelning>
  </Omfattning>
  <Omfattning>
    <identitet>pf_radon01</identitet>
    <Indelning>
      <tema>Planeringsförutsättningar</tema>
      <grupp>Hälsa och säkerhet</grupp>
      <undergrupp>Radon</undergrupp>
    </Indelning>
  </Omfattning>
  <Omfattning>
    <identitet>be_bakgrund01</identitet>
    <Indelning>
      <tema>Beskrivning av detaljplanen</tema>
      <grupp>Annat</grupp>
      <undergrupp>Bakgrund</undergrupp>
    </Indelning>
  </Omfattning>
  <Omfattning>
    <identitet>be_heladetaljplan02</identitet>
    <Indelning>
      <tema>Beskrivning av detaljplanen</tema>
      <grupp>Hela detaljplan</grupp>
    </Indelning>
  </Omfattning>
  <Omfattning>
    <identitet>be_trafikochangöring01</identitet>
    <Indelning>
      <tema>Beskrivning av detaljplanen</tema>
      <grupp>Hela detaljplan</grupp>
      <undergrupp>Trafik och angöring</undergrupp>
    </Indelning>
  </Omfattning>
  <Omfattning>
    <identitet>be_nybebyggelse01</identitet>
    <Indelning>
      <tema>Beskrivning av detaljplanen</tema>
      <grupp>Hela detaljplan</grupp>
      <undergrupp>Ny bebyggelse</undergrupp>
    </Indelning>
  </Omfattning>
  <Omfattning>
    <identitet>be_planområdet01</identitet>
    <Indelning>
      <tema>Beskrivning av detaljplanen</tema>
      <grupp>Hela detaljplan</grupp>
      <undergrupp>Planområdet</undergrupp>
    </Indelning>
  </Omfattning>
  <Omfattning>
    <identitet>gf_gemensamhetsanläggningmedmera01</identitet>
    <Indelning>
      <tema>Genomförandefrågor</tema>
      <grupp>Fastighetsrättsliga frågor</grupp>
      <undergrupp>Gemensamhetsanläggning med mera</undergrupp>
    </Indelning>
  </Omfattning>
  <Omfattning>
    <identitet>gf_rättigheter02</identitet>
    <Indelning>
      <tema>Genomförandefrågor</tema>
      <grupp>Fastighetsrättsliga frågor</grupp>
      <undergrupp>Rättigheter</undergrupp>
    </Indelning>
  </Omfattning>
  <Omfattning>
    <identitet>gf_markochutrymmesförvärv02</identitet>
    <Indelning>
      <tema>Genomförandefrågor</tema>
      <grupp>Mark- och utrymmesförvärv</grupp>
    </Indelning>
  </Omfattning>
  <Omfattning>
    <identitet>ko_fastigheterochrättigheter03</identitet>
    <Indelning>
      <tema>Konsekvenser</tema>
      <grupp>Fastigheter och rättigheter</grupp>
    </Indelning>
  </Omfattning>
  <Omfattning>
    <identitet>gf_exploateringsavtal02</identitet>
    <Indelning>
      <tema>Genomförandefrågor</tema>
      <grupp>Organisatoriska frågor</grupp>
      <undergrupp>Exploateringsavtal</undergrupp>
    </Indelning>
  </Omfattning>
  <Omfattning>
    <identitet>gf_utbyggnadvattenochavlopp01</identitet>
    <Indelning>
      <tema>Genomförandefrågor</tema>
      <grupp>Tekniska frågor</grupp>
      <undergrupp>Utbyggnad vatten och avlopp</undergrupp>
    </Indelning>
  </Omfattning>
  <Omfattning>
    <identitet>ko_vatten02</identitet>
    <Indelning>
      <tema>Konsekvenser</tema>
      <grupp>Miljökvalitetsnormer</grupp>
      <undergrupp>Vatten</undergrupp>
    </Indelning>
  </Omfattning>
  <Omfattning>
    <identitet>pf_service02</identitet>
    <Indelning>
      <tema>Planeringsförutsättningar</tema>
      <grupp>Service</grupp>
    </Indelning>
  </Omfattning>
  <Omfattning>
    <identitet>pf_transporter01</identitet>
    <Indelning>
      <tema>Planeringsförutsättningar</tema>
      <grupp>Trafik</grupp>
      <undergrupp>Transporter</undergrupp>
    </Indelning>
  </Omfattning>
  <Omfattning>
    <identitet>ko_dagvatten02</identitet>
    <Indelning>
      <tema>Konsekvenser</tema>
      <grupp>Miljö</grupp>
      <undergrupp>Dagvatten</undergrupp>
    </Indelning>
  </Omfattning>
  <Omfattning>
    <identitet>ko_översvämning02</identitet>
    <Indelning>
      <tema>Konsekvenser</tema>
      <grupp>Hälsa och säkerhet</grupp>
      <undergrupp>Översvämning</undergrupp>
    </Indelning>
  </Omfattning>
  <Omfattning>
    <identitet>ko_markmiljö01</identitet>
    <Indelning>
      <tema>Konsekvenser</tema>
      <grupp>Hälsa och säkerhet</grupp>
      <undergrupp>Markmiljö</undergrupp>
    </Indelning>
  </Omfattning>
  <Omfattning>
    <identitet>pu_annat01</identitet>
    <Indelning>
      <tema>Planeringsunderlag</tema>
      <grupp>Annat</grupp>
    </Indelning>
  </Omfattning>
</Planbeskrivning>
</file>

<file path=customXml/itemProps1.xml><?xml version="1.0" encoding="utf-8"?>
<ds:datastoreItem xmlns:ds="http://schemas.openxmlformats.org/officeDocument/2006/customXml" ds:itemID="{c293cdfc-70a7-4f07-b148-f6cc9ce6dda5}">
  <ds:schemaRefs>
    <ds:schemaRef ds:uri="http://schemas.microsoft.com/vsto/samples"/>
  </ds:schemaRefs>
</ds:datastoreItem>
</file>

<file path=customXml/itemProps2.xml><?xml version="1.0" encoding="utf-8"?>
<ds:datastoreItem xmlns:ds="http://schemas.openxmlformats.org/officeDocument/2006/customXml" ds:itemID="{d78f73d1-35af-4564-9cc9-596d2edb490c}">
  <ds:schemaRefs>
    <ds:schemaRef ds:uri="http://schemas.microsoft.com/vsto/samples"/>
  </ds:schemaRefs>
</ds:datastoreItem>
</file>

<file path=customXml/itemProps3.xml><?xml version="1.0" encoding="utf-8"?>
<ds:datastoreItem xmlns:ds="http://schemas.openxmlformats.org/officeDocument/2006/customXml" ds:itemID="{c115bcac-0322-4bd2-bfac-40128f82f2a9}">
  <ds:schemaRefs>
    <ds:schemaRef ds:uri="http://schemas.microsoft.com/vsto/samples"/>
  </ds:schemaRefs>
</ds:datastoreItem>
</file>

<file path=customXml/itemProps4.xml><?xml version="1.0" encoding="utf-8"?>
<ds:datastoreItem xmlns:ds="http://schemas.openxmlformats.org/officeDocument/2006/customXml" ds:itemID="{d30ac819-2aa5-4ea7-bb26-239504aea33a}">
  <ds:schemaRefs>
    <ds:schemaRef ds:uri="http://schemas.microsoft.com/vsto/samples"/>
  </ds:schemaRefs>
</ds:datastoreItem>
</file>

<file path=customXml/itemProps5.xml><?xml version="1.0" encoding="utf-8"?>
<ds:datastoreItem xmlns:ds="http://schemas.openxmlformats.org/officeDocument/2006/customXml" ds:itemID="265250af-ae0d-4dc7-8404-1aa86f4c378d">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Kalmar kommun</Company>
  <Template>Digital planbeskrivning.dotx</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Carl August Agrell</dc:creator>
  <dcterms:created xsi:type="dcterms:W3CDTF">2023-08-22T07:33:00Z</dcterms:created>
  <cp:lastModifiedBy>Viktor Pontmark</cp:lastModifiedBy>
  <cp:lastPrinted>2024-06-24T09:48:00Z</cp:lastPrinted>
  <dcterms:modified xsi:type="dcterms:W3CDTF">2024-07-02T13:26:55Z</dcterms:modified>
  <cp:revision>561</cp:revision>
  <dc:title>Planbeskrivning</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64592d99-4413-49ee-9551-0670efc4da27_Enabled">
    <vt:lpwstr>true</vt:lpwstr>
  </property>
  <property fmtid="{D5CDD505-2E9C-101B-9397-08002B2CF9AE}" pid="3" name="MSIP_Label_64592d99-4413-49ee-9551-0670efc4da27_SetDate">
    <vt:lpwstr>2020-08-20T11:56:10Z</vt:lpwstr>
  </property>
  <property fmtid="{D5CDD505-2E9C-101B-9397-08002B2CF9AE}" pid="4" name="MSIP_Label_64592d99-4413-49ee-9551-0670efc4da27_Method">
    <vt:lpwstr>Standard</vt:lpwstr>
  </property>
  <property fmtid="{D5CDD505-2E9C-101B-9397-08002B2CF9AE}" pid="5" name="MSIP_Label_64592d99-4413-49ee-9551-0670efc4da27_Name">
    <vt:lpwstr>Klass 1 - öppet</vt:lpwstr>
  </property>
  <property fmtid="{D5CDD505-2E9C-101B-9397-08002B2CF9AE}" pid="6" name="MSIP_Label_64592d99-4413-49ee-9551-0670efc4da27_SiteId">
    <vt:lpwstr>687e1b58-fbe3-4cfb-98bc-58f2496d274c</vt:lpwstr>
  </property>
  <property fmtid="{D5CDD505-2E9C-101B-9397-08002B2CF9AE}" pid="7" name="MSIP_Label_64592d99-4413-49ee-9551-0670efc4da27_ActionId">
    <vt:lpwstr>3b3ecdae-cc8a-47c0-bf80-18a86102f859</vt:lpwstr>
  </property>
  <property fmtid="{D5CDD505-2E9C-101B-9397-08002B2CF9AE}" pid="8" name="MSIP_Label_64592d99-4413-49ee-9551-0670efc4da27_ContentBits">
    <vt:lpwstr>0</vt:lpwstr>
  </property>
  <property fmtid="{D5CDD505-2E9C-101B-9397-08002B2CF9AE}" pid="9" name="ContentTypeId">
    <vt:lpwstr>0x010100CA812BB6C20C434EA3258BCDA24780C3</vt:lpwstr>
  </property>
</Properties>
</file>