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bookmarkStart w:id="0" w:name="_Hlk40096191"/>
      <w:bookmarkEnd w:id="0"/>
      <w:r>
        <w:rPr>
          <w:rFonts w:ascii="Frutiger 45 Light" w:hAnsi="Frutiger 45 Light"/>
          <w:bCs w:val="1"/>
          <w:noProof w:val="1"/>
          <w:sz w:val="20"/>
        </w:rPr>
        <w:drawing>
          <wp:anchor xmlns:wp="http://schemas.openxmlformats.org/drawingml/2006/wordprocessingDrawing" distT="0" distB="0" distL="114300" distR="114300" simplePos="0" relativeHeight="3" behindDoc="0" locked="0" layoutInCell="1" allowOverlap="1">
            <wp:simplePos x="0" y="0"/>
            <wp:positionH relativeFrom="column">
              <wp:posOffset>0</wp:posOffset>
            </wp:positionH>
            <wp:positionV relativeFrom="paragraph">
              <wp:posOffset>349885</wp:posOffset>
            </wp:positionV>
            <wp:extent cx="1343025" cy="571500"/>
            <wp:effectExtent l="0" t="0" r="3175" b="12700"/>
            <wp:wrapSquare wrapText="bothSides"/>
            <wp:docPr id="87" name="Bild 87" descr="https://www.hylte.se/images/v2_hylte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hylte.se/images/v2_hyltelogo.gif"/>
                    <pic:cNvPicPr>
                      <a:picLocks noChangeAspect="1" noChangeArrowheads="1"/>
                    </pic:cNvPicPr>
                  </pic:nvPicPr>
                  <pic:blipFill dpi="0">
                    <a:blip xmlns:r="http://schemas.openxmlformats.org/officeDocument/2006/relationships" r:embed="Relimage1"/>
                    <a:srcRect b="15492"/>
                    <a:stretch>
                      <a:fillRect/>
                    </a:stretch>
                  </pic:blipFill>
                  <pic:spPr bwMode="auto">
                    <a:xfrm>
                      <a:off x="0" y="0"/>
                      <a:ext cx="1343025" cy="571500"/>
                    </a:xfrm>
                    <a:prstGeom prst="rect"/>
                    <a:noFill/>
                    <a:ln>
                      <a:noFill/>
                    </a:ln>
                  </pic:spPr>
                </pic:pic>
              </a:graphicData>
            </a:graphic>
          </wp:anchor>
        </w:drawing>
      </w:r>
    </w:p>
    <w:tbl>
      <w:tblPr>
        <w:tblStyle w:val="T2"/>
        <w:tblpPr w:tblpX="8413" w:tblpY="-426" w:horzAnchor="page" w:vertAnchor="text"/>
        <w:tblOverlap w:val="never"/>
        <w:tblW w:w="2852" w:type="dxa"/>
        <w:tblInd w:w="0" w:type="dxa"/>
        <w:tblLook w:val="04A0"/>
      </w:tblPr>
      <w:tblGrid/>
      <w:tr>
        <w:trPr>
          <w:trHeight w:hRule="atLeast" w:val="213"/>
        </w:trPr>
        <w:tc>
          <w:tcPr>
            <w:tcW w:w="1991" w:type="dxa"/>
          </w:tcPr>
          <w:p>
            <w:pPr>
              <w:spacing w:after="0" w:beforeAutospacing="0" w:afterAutospacing="0"/>
              <w:ind w:left="0"/>
              <w:rPr>
                <w:sz w:val="16"/>
              </w:rPr>
            </w:pPr>
            <w:r>
              <w:rPr>
                <w:sz w:val="16"/>
              </w:rPr>
              <w:t>Diarienummer</w:t>
            </w:r>
          </w:p>
        </w:tc>
        <w:tc>
          <w:tcPr>
            <w:tcW w:w="861" w:type="dxa"/>
          </w:tcPr>
          <w:p>
            <w:pPr>
              <w:spacing w:after="0" w:beforeAutospacing="0" w:afterAutospacing="0"/>
              <w:ind w:left="0"/>
              <w:rPr>
                <w:sz w:val="16"/>
              </w:rPr>
            </w:pPr>
            <w:r>
              <w:rPr>
                <w:sz w:val="16"/>
              </w:rPr>
              <w:t>2024SBN0026</w:t>
            </w:r>
          </w:p>
        </w:tc>
      </w:tr>
      <w:tr>
        <w:trPr>
          <w:trHeight w:hRule="atLeast" w:val="213"/>
        </w:trPr>
        <w:tc>
          <w:tcPr>
            <w:tcW w:w="1991" w:type="dxa"/>
            <w:hideMark/>
          </w:tcPr>
          <w:p>
            <w:pPr>
              <w:spacing w:after="0" w:beforeAutospacing="0" w:afterAutospacing="0"/>
              <w:ind w:left="0"/>
            </w:pPr>
            <w:r>
              <w:rPr>
                <w:sz w:val="16"/>
              </w:rPr>
              <w:t xml:space="preserve">Planens beteckning  </w:t>
            </w:r>
          </w:p>
        </w:tc>
        <w:tc>
          <w:tcPr>
            <w:tcW w:w="861" w:type="dxa"/>
            <w:hideMark/>
          </w:tcPr>
          <w:p>
            <w:pPr>
              <w:spacing w:after="0" w:beforeAutospacing="0" w:afterAutospacing="0"/>
              <w:ind w:left="0"/>
            </w:pPr>
            <w:r>
              <w:rPr>
                <w:sz w:val="16"/>
              </w:rPr>
              <w:t>Un 559</w:t>
            </w:r>
          </w:p>
        </w:tc>
      </w:tr>
      <w:tr>
        <w:trPr>
          <w:trHeight w:hRule="atLeast" w:val="213"/>
        </w:trPr>
        <w:tc>
          <w:tcPr>
            <w:tcW w:w="1991" w:type="dxa"/>
          </w:tcPr>
          <w:p>
            <w:pPr>
              <w:spacing w:after="0" w:beforeAutospacing="0" w:afterAutospacing="0"/>
              <w:ind w:left="0"/>
              <w:rPr>
                <w:sz w:val="16"/>
              </w:rPr>
            </w:pPr>
            <w:r>
              <w:rPr>
                <w:sz w:val="16"/>
              </w:rPr>
              <w:t>Påbörjad</w:t>
            </w:r>
          </w:p>
        </w:tc>
        <w:tc>
          <w:tcPr>
            <w:tcW w:w="861" w:type="dxa"/>
          </w:tcPr>
          <w:p>
            <w:pPr>
              <w:spacing w:after="0" w:beforeAutospacing="0" w:afterAutospacing="0"/>
              <w:ind w:left="0"/>
              <w:rPr>
                <w:sz w:val="16"/>
              </w:rPr>
            </w:pPr>
            <w:r>
              <w:rPr>
                <w:sz w:val="16"/>
              </w:rPr>
              <w:t>2023-12-05</w:t>
            </w:r>
          </w:p>
        </w:tc>
      </w:tr>
      <w:tr>
        <w:trPr>
          <w:trHeight w:hRule="atLeast" w:val="240"/>
        </w:trPr>
        <w:tc>
          <w:tcPr>
            <w:tcW w:w="1991" w:type="dxa"/>
            <w:hideMark/>
          </w:tcPr>
          <w:p>
            <w:pPr>
              <w:tabs>
                <w:tab w:val="center" w:pos="1440" w:leader="none"/>
              </w:tabs>
              <w:spacing w:after="0" w:beforeAutospacing="0" w:afterAutospacing="0"/>
              <w:ind w:left="0"/>
            </w:pPr>
            <w:r>
              <w:rPr>
                <w:sz w:val="16"/>
              </w:rPr>
              <w:t xml:space="preserve">Antagen </w:t>
              <w:tab/>
              <w:t xml:space="preserve"> </w:t>
            </w:r>
          </w:p>
        </w:tc>
        <w:tc>
          <w:tcPr>
            <w:tcW w:w="861" w:type="dxa"/>
            <w:hideMark/>
          </w:tcPr>
          <w:p>
            <w:pPr>
              <w:spacing w:after="0" w:beforeAutospacing="0" w:afterAutospacing="0"/>
              <w:ind w:left="0"/>
              <w:jc w:val="both"/>
            </w:pPr>
            <w:r>
              <w:rPr>
                <w:sz w:val="16"/>
              </w:rPr>
              <w:t>2024-09-18</w:t>
            </w:r>
          </w:p>
        </w:tc>
      </w:tr>
      <w:tr>
        <w:trPr>
          <w:trHeight w:hRule="atLeast" w:val="240"/>
        </w:trPr>
        <w:tc>
          <w:tcPr>
            <w:tcW w:w="1991" w:type="dxa"/>
            <w:hideMark/>
          </w:tcPr>
          <w:p>
            <w:pPr>
              <w:tabs>
                <w:tab w:val="center" w:pos="1440" w:leader="none"/>
              </w:tabs>
              <w:spacing w:after="0" w:beforeAutospacing="0" w:afterAutospacing="0"/>
              <w:ind w:left="0"/>
            </w:pPr>
            <w:r>
              <w:rPr>
                <w:sz w:val="16"/>
              </w:rPr>
              <w:t xml:space="preserve">Laga kraft </w:t>
              <w:tab/>
              <w:t xml:space="preserve"> </w:t>
            </w:r>
          </w:p>
        </w:tc>
        <w:tc>
          <w:tcPr>
            <w:tcW w:w="861" w:type="dxa"/>
            <w:hideMark/>
          </w:tcPr>
          <w:p>
            <w:pPr>
              <w:spacing w:after="0" w:beforeAutospacing="0" w:afterAutospacing="0"/>
              <w:ind w:left="0"/>
              <w:jc w:val="both"/>
            </w:pPr>
            <w:r>
              <w:rPr>
                <w:sz w:val="16"/>
              </w:rPr>
              <w:t>2024-10-16</w:t>
            </w:r>
          </w:p>
        </w:tc>
      </w:tr>
      <w:tr>
        <w:trPr>
          <w:trHeight w:hRule="atLeast" w:val="213"/>
        </w:trPr>
        <w:tc>
          <w:tcPr>
            <w:tcW w:w="1991" w:type="dxa"/>
            <w:hideMark/>
          </w:tcPr>
          <w:p>
            <w:pPr>
              <w:spacing w:after="0" w:beforeAutospacing="0" w:afterAutospacing="0"/>
              <w:ind w:left="0"/>
            </w:pPr>
            <w:r>
              <w:rPr>
                <w:sz w:val="16"/>
              </w:rPr>
              <w:t>Genomförandetid</w:t>
            </w:r>
          </w:p>
        </w:tc>
        <w:tc>
          <w:tcPr>
            <w:tcW w:w="861" w:type="dxa"/>
            <w:hideMark/>
          </w:tcPr>
          <w:p>
            <w:pPr>
              <w:spacing w:after="0" w:beforeAutospacing="0" w:afterAutospacing="0"/>
              <w:ind w:left="0"/>
              <w:jc w:val="both"/>
            </w:pPr>
            <w:r>
              <w:rPr>
                <w:sz w:val="16"/>
              </w:rPr>
              <w:t>5 år</w:t>
            </w:r>
          </w:p>
        </w:tc>
      </w:tr>
    </w:tbl>
    <w:p>
      <w:pPr>
        <w:spacing w:lineRule="auto" w:line="249" w:after="48" w:beforeAutospacing="0" w:afterAutospacing="0"/>
        <w:ind w:left="0" w:right="1171"/>
        <w:jc w:val="both"/>
        <w:rPr>
          <w:sz w:val="36"/>
        </w:rPr>
      </w:pPr>
    </w:p>
    <w:p>
      <w:pPr>
        <w:spacing w:lineRule="auto" w:line="249" w:after="48" w:beforeAutospacing="0" w:afterAutospacing="0"/>
        <w:ind w:left="3962" w:right="1171"/>
        <w:jc w:val="both"/>
        <w:rPr>
          <w:sz w:val="36"/>
        </w:rPr>
      </w:pPr>
    </w:p>
    <w:p>
      <w:pPr>
        <w:spacing w:lineRule="auto" w:line="249" w:after="48" w:beforeAutospacing="0" w:afterAutospacing="0"/>
        <w:ind w:left="3962" w:right="1171"/>
        <w:jc w:val="both"/>
        <w:rPr>
          <w:sz w:val="36"/>
        </w:rPr>
      </w:pPr>
    </w:p>
    <w:p>
      <w:pPr>
        <w:spacing w:lineRule="auto" w:line="249" w:after="48" w:beforeAutospacing="0" w:afterAutospacing="0"/>
        <w:ind w:left="3962" w:right="1171"/>
        <w:jc w:val="center"/>
        <w:rPr>
          <w:sz w:val="36"/>
        </w:rPr>
      </w:pPr>
    </w:p>
    <w:p>
      <w:pPr>
        <w:spacing w:lineRule="auto" w:line="249" w:after="48" w:beforeAutospacing="0" w:afterAutospacing="0"/>
        <w:ind w:left="3962"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r>
        <w:rPr>
          <w:noProof w:val="1"/>
          <w:sz w:val="36"/>
        </w:rPr>
        <w:drawing>
          <wp:anchor xmlns:wp="http://schemas.openxmlformats.org/drawingml/2006/wordprocessingDrawing" distT="0" distB="0" distL="114300" distR="114300" simplePos="0" relativeHeight="251676673" behindDoc="1" locked="0" layoutInCell="1" allowOverlap="1">
            <wp:simplePos x="0" y="0"/>
            <wp:positionH relativeFrom="column">
              <wp:posOffset>323850</wp:posOffset>
            </wp:positionH>
            <wp:positionV relativeFrom="paragraph">
              <wp:posOffset>306705</wp:posOffset>
            </wp:positionV>
            <wp:extent cx="4164965" cy="3105150"/>
            <wp:effectExtent l="0" t="0" r="6985" b="0"/>
            <wp:wrapTight wrapText="bothSides">
              <wp:wrapPolygon edited="0">
                <wp:start x="0" y="0"/>
                <wp:lineTo x="0" y="21467"/>
                <wp:lineTo x="21537" y="21467"/>
                <wp:lineTo x="21537" y="0"/>
                <wp:lineTo x="0" y="0"/>
              </wp:wrapPolygon>
            </wp:wrapTight>
            <wp:docPr id="2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4"/>
                    <pic:cNvPicPr>
                      <a:picLocks noChangeAspect="1"/>
                    </pic:cNvPicPr>
                  </pic:nvPicPr>
                  <pic:blipFill dpi="0">
                    <a:blip xmlns:r="http://schemas.openxmlformats.org/officeDocument/2006/relationships" r:embed="Relimage2"/>
                    <a:srcRect l="29445" t="29447" r="2304" b="20548"/>
                    <a:stretch>
                      <a:fillRect/>
                    </a:stretch>
                  </pic:blipFill>
                  <pic:spPr bwMode="auto">
                    <a:xfrm>
                      <a:off x="0" y="0"/>
                      <a:ext cx="4164965" cy="3105150"/>
                    </a:xfrm>
                    <a:prstGeom prst="rect"/>
                    <a:ln>
                      <a:noFill/>
                    </a:ln>
                  </pic:spPr>
                </pic:pic>
              </a:graphicData>
            </a:graphic>
          </wp:anchor>
        </w:drawing>
      </w: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jc w:val="both"/>
        <w:rPr>
          <w:sz w:val="36"/>
        </w:rPr>
      </w:pPr>
    </w:p>
    <w:p>
      <w:pPr>
        <w:spacing w:lineRule="auto" w:line="249" w:after="48" w:beforeAutospacing="0" w:afterAutospacing="0"/>
        <w:ind w:left="4213" w:right="1171"/>
        <w:rPr>
          <w:sz w:val="36"/>
        </w:rPr>
      </w:pPr>
    </w:p>
    <w:p>
      <w:pPr>
        <w:spacing w:lineRule="auto" w:line="249" w:after="48" w:beforeAutospacing="0" w:afterAutospacing="0"/>
        <w:ind w:right="1171"/>
        <w:rPr>
          <w:sz w:val="36"/>
        </w:rPr>
      </w:pPr>
      <w:r>
        <w:rPr>
          <w:sz w:val="36"/>
        </w:rPr>
        <w:t>Detaljplan</w:t>
      </w:r>
    </w:p>
    <w:p>
      <w:pPr>
        <w:spacing w:lineRule="auto" w:line="249" w:after="48" w:beforeAutospacing="0" w:afterAutospacing="0"/>
        <w:ind w:right="1171"/>
        <w:rPr>
          <w:sz w:val="36"/>
        </w:rPr>
      </w:pPr>
      <w:r>
        <w:rPr>
          <w:sz w:val="36"/>
        </w:rPr>
        <w:t>UNNARYD 2:48,</w:t>
      </w:r>
    </w:p>
    <w:p>
      <w:pPr>
        <w:spacing w:lineRule="auto" w:line="249" w:after="48" w:beforeAutospacing="0" w:afterAutospacing="0"/>
        <w:ind w:right="1171"/>
        <w:rPr>
          <w:sz w:val="36"/>
        </w:rPr>
      </w:pPr>
      <w:r>
        <w:rPr>
          <w:sz w:val="36"/>
        </w:rPr>
        <w:t>Unnaryd</w:t>
      </w:r>
    </w:p>
    <w:p>
      <w:pPr>
        <w:spacing w:after="4" w:beforeAutospacing="0" w:afterAutospacing="0"/>
      </w:pPr>
      <w:r>
        <w:t>Hylte kommun, Hallands län</w:t>
      </w:r>
    </w:p>
    <w:p>
      <w:pPr>
        <w:spacing w:after="4" w:beforeAutospacing="0" w:afterAutospacing="0"/>
        <w:ind w:firstLine="1003" w:left="3210"/>
      </w:pPr>
    </w:p>
    <w:p>
      <w:pPr>
        <w:spacing w:after="4" w:beforeAutospacing="0" w:afterAutospacing="0"/>
        <w:ind w:firstLine="1003" w:left="3210"/>
      </w:pPr>
    </w:p>
    <w:p>
      <w:pPr>
        <w:spacing w:after="4" w:beforeAutospacing="0" w:afterAutospacing="0"/>
        <w:ind w:firstLine="1003" w:left="3210"/>
      </w:pPr>
    </w:p>
    <w:p>
      <w:pPr>
        <w:spacing w:after="4" w:beforeAutospacing="0" w:afterAutospacing="0"/>
      </w:pPr>
      <w:r>
        <w:t xml:space="preserve">PLANBESKRIVNING </w:t>
      </w:r>
    </w:p>
    <w:p>
      <w:pPr>
        <w:spacing w:after="4" w:beforeAutospacing="0" w:afterAutospacing="0"/>
      </w:pPr>
      <w:r>
        <w:t>LAGA KRAFTHANDLING 2024-10-16</w:t>
      </w:r>
    </w:p>
    <w:p>
      <w:pPr>
        <w:spacing w:after="4" w:beforeAutospacing="0" w:afterAutospacing="0"/>
        <w:rPr>
          <w:sz w:val="18"/>
          <w:szCs w:val="16"/>
        </w:rPr>
      </w:pPr>
      <w:r>
        <w:rPr>
          <w:sz w:val="18"/>
          <w:szCs w:val="16"/>
        </w:rPr>
        <w:t>Standardförfarande</w:t>
      </w:r>
    </w:p>
    <w:p>
      <w:pPr>
        <w:spacing w:after="4" w:beforeAutospacing="0" w:afterAutospacing="0"/>
        <w:ind w:right="667"/>
        <w:rPr>
          <w:sz w:val="18"/>
          <w:szCs w:val="16"/>
        </w:rPr>
      </w:pPr>
      <w:r>
        <w:rPr>
          <w:sz w:val="18"/>
          <w:szCs w:val="16"/>
        </w:rPr>
        <w:t>Plan- och bygglagen (SFS 2010:900)</w:t>
      </w:r>
    </w:p>
    <w:p>
      <w:pPr>
        <w:spacing w:after="160" w:beforeAutospacing="0" w:afterAutospacing="0"/>
        <w:ind w:left="0"/>
      </w:pPr>
    </w:p>
    <w:p>
      <w:pPr>
        <w:spacing w:after="160" w:beforeAutospacing="0" w:afterAutospacing="0"/>
        <w:ind w:left="0"/>
      </w:pPr>
    </w:p>
    <w:p>
      <w:pPr>
        <w:ind w:left="0"/>
      </w:pPr>
      <w:bookmarkStart w:id="1" w:name="_Toc200785380"/>
      <w:bookmarkStart w:id="2" w:name="_Toc200785529"/>
      <w:r>
        <w:t>Förord</w:t>
      </w:r>
    </w:p>
    <w:p>
      <w:pPr>
        <w:pStyle w:val="P32"/>
        <w:rPr>
          <w:rFonts w:ascii="Arial" w:hAnsi="Arial" w:cs="Arial"/>
          <w:sz w:val="24"/>
        </w:rPr>
      </w:pPr>
      <w:r>
        <w:rPr>
          <w:rFonts w:ascii="Arial" w:hAnsi="Arial" w:cs="Arial"/>
          <w:sz w:val="24"/>
        </w:rPr>
        <w:t>Denna laga krafthandling beskriver detaljplan för Unnaryd 2:48 i Unnaryd, som laga kraft 2024-10-16. Planering och byggande regleras genom plan- och bygglagen (PBL 2010:900). Detaljplaner görs för mindre områden och är juridiskt bindande. Detaljplanen för Unnaryd 2:48 handlas med ett standardförfarande. När planen är antagen av samhällsbyggnadsnämnden och har laga kraft är den juridiskt bindande för efterföljande beslut, såsom t.ex. bygglov.</w:t>
      </w:r>
    </w:p>
    <w:p>
      <w:pPr>
        <w:pStyle w:val="P32"/>
        <w:rPr>
          <w:rFonts w:ascii="Arial" w:hAnsi="Arial" w:cs="Arial"/>
          <w:sz w:val="24"/>
        </w:rPr>
      </w:pPr>
      <w:r>
        <w:rPr>
          <w:rFonts w:ascii="Arial" w:hAnsi="Arial" w:cs="Arial"/>
          <w:noProof w:val="1"/>
          <w:sz w:val="24"/>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2504440</wp:posOffset>
                </wp:positionH>
                <wp:positionV relativeFrom="paragraph">
                  <wp:posOffset>281940</wp:posOffset>
                </wp:positionV>
                <wp:extent cx="2562225" cy="581025"/>
                <wp:effectExtent l="0" t="0" r="66675" b="85725"/>
                <wp:wrapNone/>
                <wp:docPr id="8" name="Rak pilkoppling 8"/>
                <wp:cNvGraphicFramePr/>
                <a:graphic xmlns:a="http://schemas.openxmlformats.org/drawingml/2006/main">
                  <a:graphicData uri="http://schemas.microsoft.com/office/word/2010/wordprocessingShape">
                    <wps:wsp>
                      <wps:cNvCnPr>
                        <a:stCxn id="0" idx="0"/>
                        <a:endCxn id="0" idx="0"/>
                      </wps:cNvCnPr>
                      <wps:spPr>
                        <a:xfrm>
                          <a:off x="0" y="0"/>
                          <a:ext cx="2562225" cy="581025"/>
                        </a:xfrm>
                        <a:prstGeom prst="straightConnector1"/>
                        <a:ln>
                          <a:solidFill>
                            <a:schemeClr val="tx2"/>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8" o:spid="_x0000_s1026" style="position:absolute;width:201.75pt;height:45.75pt;z-index:7;mso-wrap-distance-left:9pt;mso-wrap-distance-top:0pt;mso-wrap-distance-right:9pt;mso-wrap-distance-bottom:0pt;margin-left:197.2pt;margin-top:22.2pt;mso-position-horizontal:absolute;mso-position-horizontal-relative:text;mso-position-vertical:absolute;mso-position-vertical-relative:text" strokecolor="#44546A" strokeweight="1pt" stroked="t" o:allowincell="t">
                <v:stroke endarrow="block"/>
              </v:shape>
            </w:pict>
          </mc:Fallback>
        </mc:AlternateContent>
      </w:r>
      <w:r>
        <w:rPr>
          <w:rFonts w:ascii="Arial" w:hAnsi="Arial" w:cs="Arial"/>
          <w:noProof w:val="1"/>
        </w:rPr>
        <mc:AlternateContent>
          <mc:Choice Requires="wps">
            <w:drawing>
              <wp:anchor xmlns:wp="http://schemas.openxmlformats.org/drawingml/2006/wordprocessingDrawing" distT="0" distB="0" distL="114300" distR="114300" simplePos="0" relativeHeight="251676676" behindDoc="1" locked="0" layoutInCell="1" allowOverlap="1">
                <wp:simplePos x="0" y="0"/>
                <wp:positionH relativeFrom="margin">
                  <wp:align>left</wp:align>
                </wp:positionH>
                <wp:positionV relativeFrom="paragraph">
                  <wp:posOffset>1496060</wp:posOffset>
                </wp:positionV>
                <wp:extent cx="6059805" cy="635"/>
                <wp:effectExtent l="0" t="0" r="0" b="3810"/>
                <wp:wrapTight wrapText="bothSides">
                  <wp:wrapPolygon edited="0">
                    <wp:start x="0" y="0"/>
                    <wp:lineTo x="0" y="20250"/>
                    <wp:lineTo x="21525" y="20250"/>
                    <wp:lineTo x="21525" y="0"/>
                    <wp:lineTo x="0" y="0"/>
                  </wp:wrapPolygon>
                </wp:wrapTight>
                <wp:docPr id="2" name="Textruta 2"/>
                <wp:cNvGraphicFramePr/>
                <a:graphic xmlns:a="http://schemas.openxmlformats.org/drawingml/2006/main">
                  <a:graphicData uri="http://schemas.microsoft.com/office/word/2010/wordprocessingShape">
                    <wps:wsp>
                      <wps:cNvSpPr txBox="1"/>
                      <wps:spPr>
                        <a:xfrm>
                          <a:off x="0" y="0"/>
                          <a:ext cx="605980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i w:val="0"/>
                                <w:color w:val="auto"/>
                                <w:sz w:val="16"/>
                                <w:szCs w:val="16"/>
                              </w:rPr>
                            </w:pPr>
                            <w:r>
                              <w:rPr>
                                <w:rFonts w:ascii="Arial" w:hAnsi="Arial" w:cs="Arial"/>
                                <w:i w:val="0"/>
                                <w:color w:val="auto"/>
                                <w:sz w:val="16"/>
                                <w:szCs w:val="16"/>
                              </w:rPr>
                              <w:t>Planprocessen vid standardförfarande. (Boverket 2022)</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7" style="position:absolute;width:477.15pt;height:0.05pt;z-index:251676676;mso-wrap-distance-left:9pt;mso-wrap-distance-top:0pt;mso-wrap-distance-right:9pt;mso-wrap-distance-bottom:0pt;margin-left:0pt;margin-top:117.8pt;mso-position-horizontal:left;mso-position-horizontal-relative:margin;mso-position-vertical:absolute;mso-position-vertical-relative:text" o:allowincell="t" fillcolor="#FFFFFF" stroked="f">
                <v:textbox style="mso-fit-shape-to-text:t" inset="0mm,0mm,0mm,0mm">
                  <w:txbxContent>
                    <w:p>
                      <w:pPr>
                        <w:pStyle w:val="P34"/>
                        <w:rPr>
                          <w:rFonts w:ascii="Arial" w:hAnsi="Arial" w:cs="Arial"/>
                          <w:i w:val="0"/>
                          <w:color w:val="auto"/>
                          <w:sz w:val="16"/>
                          <w:szCs w:val="16"/>
                        </w:rPr>
                      </w:pPr>
                      <w:r>
                        <w:rPr>
                          <w:rFonts w:ascii="Arial" w:hAnsi="Arial" w:cs="Arial"/>
                          <w:i w:val="0"/>
                          <w:color w:val="auto"/>
                          <w:sz w:val="16"/>
                          <w:szCs w:val="16"/>
                        </w:rPr>
                        <w:t>Planprocessen vid standardförfarande. (Boverket 2022)</w:t>
                      </w:r>
                    </w:p>
                  </w:txbxContent>
                </v:textbox>
                <w10:wrap type="tight" anchory="line"/>
              </v:shape>
            </w:pict>
          </mc:Fallback>
        </mc:AlternateContent>
      </w:r>
      <w:r>
        <w:rPr>
          <w:rFonts w:ascii="Arial" w:hAnsi="Arial" w:cs="Arial"/>
          <w:noProof w:val="1"/>
          <w:sz w:val="24"/>
        </w:rPr>
        <mc:AlternateContent>
          <mc:Choice Requires="wps">
            <w:drawing>
              <wp:anchor xmlns:wp="http://schemas.openxmlformats.org/drawingml/2006/wordprocessingDrawing" distT="45720" distB="45720" distL="114300" distR="114300" simplePos="0" relativeHeight="251676674" behindDoc="1" locked="0" layoutInCell="1" allowOverlap="1">
                <wp:simplePos x="0" y="0"/>
                <wp:positionH relativeFrom="column">
                  <wp:posOffset>1231900</wp:posOffset>
                </wp:positionH>
                <wp:positionV relativeFrom="paragraph">
                  <wp:posOffset>112395</wp:posOffset>
                </wp:positionV>
                <wp:extent cx="1584960" cy="274320"/>
                <wp:effectExtent l="0" t="0" r="15240" b="11430"/>
                <wp:wrapTight wrapText="bothSides">
                  <wp:wrapPolygon edited="0">
                    <wp:start x="0" y="0"/>
                    <wp:lineTo x="0" y="21000"/>
                    <wp:lineTo x="21548" y="21000"/>
                    <wp:lineTo x="21548" y="0"/>
                    <wp:lineTo x="0" y="0"/>
                  </wp:wrapPolygon>
                </wp:wrapTight>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1584960" cy="274320"/>
                        </a:xfrm>
                        <a:prstGeom prst="rect"/>
                        <a:solidFill>
                          <a:srgbClr val="FFFFFF"/>
                        </a:solidFill>
                        <a:ln w="9525">
                          <a:solidFill>
                            <a:schemeClr val="bg1"/>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color w:val="44546A" w:themeColor="text2"/>
                              </w:rPr>
                            </w:pPr>
                            <w:r>
                              <w:rPr>
                                <w:i w:val="1"/>
                                <w:color w:val="44546A" w:themeColor="text2"/>
                              </w:rPr>
                              <w:t>Här är vi nu</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28" style="position:absolute;width:124.8pt;height:21.6pt;z-index:251676674;mso-wrap-distance-left:9pt;mso-wrap-distance-top:3.6pt;mso-wrap-distance-right:9pt;mso-wrap-distance-bottom:3.6pt;margin-left:97pt;margin-top:8.85pt;mso-position-horizontal:absolute;mso-position-horizontal-relative:text;mso-position-vertical:absolute;mso-position-vertical-relative:text" o:allowincell="t" fillcolor="#FFFFFF" strokecolor="#FFFFFF" strokeweight="0.75pt" stroked="t">
                <v:textbox inset="3mm,1mm,3mm,1mm">
                  <w:txbxContent>
                    <w:p>
                      <w:pPr>
                        <w:rPr>
                          <w:i w:val="1"/>
                          <w:color w:val="44546A" w:themeColor="text2"/>
                        </w:rPr>
                      </w:pPr>
                      <w:r>
                        <w:rPr>
                          <w:i w:val="1"/>
                          <w:color w:val="44546A" w:themeColor="text2"/>
                        </w:rPr>
                        <w:t>Här är vi nu</w:t>
                      </w:r>
                    </w:p>
                  </w:txbxContent>
                </v:textbox>
                <w10:wrap type="tight" anchory="line"/>
              </v:shape>
            </w:pict>
          </mc:Fallback>
        </mc:AlternateContent>
      </w:r>
      <w:r>
        <w:rPr>
          <w:rFonts w:ascii="Arial" w:hAnsi="Arial" w:cs="Arial"/>
          <w:noProof w:val="1"/>
          <w:sz w:val="24"/>
        </w:rPr>
        <w:drawing>
          <wp:anchor xmlns:wp="http://schemas.openxmlformats.org/drawingml/2006/wordprocessingDrawing" distT="0" distB="0" distL="114300" distR="114300" simplePos="0" relativeHeight="251676675" behindDoc="1" locked="0" layoutInCell="1" allowOverlap="1">
            <wp:simplePos x="0" y="0"/>
            <wp:positionH relativeFrom="margin">
              <wp:align>left</wp:align>
            </wp:positionH>
            <wp:positionV relativeFrom="paragraph">
              <wp:posOffset>470535</wp:posOffset>
            </wp:positionV>
            <wp:extent cx="6059805" cy="1082675"/>
            <wp:effectExtent l="0" t="0" r="0" b="3175"/>
            <wp:wrapTight wrapText="bothSides">
              <wp:wrapPolygon edited="0">
                <wp:start x="0" y="0"/>
                <wp:lineTo x="0" y="21283"/>
                <wp:lineTo x="21525" y="21283"/>
                <wp:lineTo x="21525"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dpi="0">
                    <a:blip xmlns:r="http://schemas.openxmlformats.org/officeDocument/2006/relationships" r:embed="Relimage3"/>
                    <a:srcRect/>
                    <a:stretch>
                      <a:fillRect/>
                    </a:stretch>
                  </pic:blipFill>
                  <pic:spPr>
                    <a:xfrm>
                      <a:off x="0" y="0"/>
                      <a:ext cx="6059805" cy="1082675"/>
                    </a:xfrm>
                    <a:prstGeom prst="rect"/>
                  </pic:spPr>
                </pic:pic>
              </a:graphicData>
            </a:graphic>
          </wp:anchor>
        </w:drawing>
      </w:r>
    </w:p>
    <w:p>
      <w:pPr>
        <w:pStyle w:val="P32"/>
        <w:rPr>
          <w:rFonts w:ascii="Arial" w:hAnsi="Arial" w:cs="Arial"/>
          <w:sz w:val="24"/>
        </w:rPr>
      </w:pPr>
    </w:p>
    <w:p>
      <w:pPr>
        <w:pStyle w:val="P33"/>
        <w:spacing w:lineRule="auto" w:line="240" w:beforeAutospacing="0" w:afterAutospacing="0"/>
        <w:rPr>
          <w:sz w:val="24"/>
        </w:rPr>
      </w:pPr>
      <w:r>
        <w:rPr>
          <w:sz w:val="24"/>
          <w:szCs w:val="24"/>
        </w:rPr>
        <w:t>Samhällsbyggnadsnämnden beslutade 2024-04-17 §24 att godkänna planförslaget för samråd. Samråd av planförslaget pågick mellan 2024-04-29 – 2024-05-20. Syftet med samråd</w:t>
      </w:r>
      <w:r>
        <w:rPr>
          <w:sz w:val="24"/>
        </w:rPr>
        <w:t xml:space="preserve"> är att förbättra beslutsunderlaget och att ge möjlighet till insyn och påverkan. Samrådet omfattar sakägare, boende, myndigheter och övriga som bedöms ha väsentligt intresse av planen. </w:t>
      </w:r>
      <w:r>
        <w:rPr>
          <w:sz w:val="24"/>
          <w:szCs w:val="24"/>
        </w:rPr>
        <w:t>Efter samrådet sammanställdes synpunkterna i en samrådsredogörelse och kommunen tog ställning till hur man skulle gå vidare med planförslaget.</w:t>
      </w:r>
    </w:p>
    <w:p>
      <w:pPr>
        <w:pStyle w:val="P33"/>
        <w:spacing w:lineRule="auto" w:line="240" w:beforeAutospacing="0" w:afterAutospacing="0"/>
        <w:rPr>
          <w:sz w:val="24"/>
          <w:szCs w:val="24"/>
        </w:rPr>
      </w:pPr>
      <w:r>
        <w:rPr>
          <w:sz w:val="24"/>
          <w:szCs w:val="24"/>
        </w:rPr>
        <w:t xml:space="preserve">Detaljplanen har efter samrådet reviderats utefter de inkommande yttranden. Samhällsbyggnadsnämnden beslutade 2024-06-19 §41 att godkänna det reviderade planförslaget för granskning, granskning av planförslaget pågick mellan 2024-07-01 – 2024-08-25. </w:t>
      </w:r>
      <w:r>
        <w:rPr>
          <w:color w:val="auto"/>
          <w:sz w:val="24"/>
          <w:szCs w:val="24"/>
          <w:shd w:val="clear" w:color="auto" w:fill="FFFFFF"/>
        </w:rPr>
        <w:t>Granskningens syfte är att visa det bearbetade planförslag som kommunen har för avsikt att anta och samtidigt ge berörda intressenter en sista möjlighet att lämna synpunkter</w:t>
      </w:r>
      <w:r>
        <w:rPr>
          <w:sz w:val="24"/>
          <w:szCs w:val="24"/>
        </w:rPr>
        <w:t>. Granskningen omfattar sakägare, boende, myndigheter och övriga som bedömdes ha väsentligt intresse av planen. Efter granskningen sammanställdes synpunkterna i ett granskningsutlåtande. Samhällsbyggnadsnämnden beslutade att godkänna granskningsutlåtandet och anta detaljplanen 2024-09-18 §76.</w:t>
      </w:r>
    </w:p>
    <w:p>
      <w:pPr>
        <w:ind w:left="0"/>
      </w:pPr>
      <w:r>
        <w:t xml:space="preserve">Handlingar </w:t>
      </w:r>
    </w:p>
    <w:p>
      <w:pPr>
        <w:pStyle w:val="P32"/>
        <w:rPr>
          <w:rFonts w:ascii="Arial" w:hAnsi="Arial" w:cs="Arial"/>
          <w:sz w:val="24"/>
        </w:rPr>
      </w:pPr>
      <w:r>
        <w:rPr>
          <w:rFonts w:ascii="Arial" w:hAnsi="Arial" w:cs="Arial"/>
          <w:sz w:val="24"/>
        </w:rPr>
        <w:t xml:space="preserve">Detaljplanen består av en </w:t>
      </w:r>
      <w:r>
        <w:rPr>
          <w:rStyle w:val="C27"/>
          <w:rFonts w:ascii="Arial" w:hAnsi="Arial" w:cs="Arial"/>
          <w:sz w:val="24"/>
        </w:rPr>
        <w:t xml:space="preserve">plankarta </w:t>
      </w:r>
      <w:r>
        <w:rPr>
          <w:rStyle w:val="C27"/>
          <w:rFonts w:ascii="Arial" w:hAnsi="Arial" w:cs="Arial"/>
          <w:i w:val="0"/>
          <w:sz w:val="24"/>
        </w:rPr>
        <w:t>1:300 med tillhörande</w:t>
      </w:r>
      <w:r>
        <w:rPr>
          <w:rStyle w:val="C27"/>
          <w:rFonts w:ascii="Arial" w:hAnsi="Arial" w:cs="Arial"/>
          <w:sz w:val="24"/>
        </w:rPr>
        <w:t xml:space="preserve"> planbestämmelser</w:t>
      </w:r>
      <w:r>
        <w:rPr>
          <w:rFonts w:ascii="Arial" w:hAnsi="Arial" w:cs="Arial"/>
          <w:sz w:val="24"/>
        </w:rPr>
        <w:t xml:space="preserve">. Till planhandlingarna hör också en </w:t>
      </w:r>
      <w:r>
        <w:rPr>
          <w:rFonts w:ascii="Arial" w:hAnsi="Arial" w:cs="Arial"/>
          <w:i w:val="1"/>
          <w:sz w:val="24"/>
        </w:rPr>
        <w:t xml:space="preserve">planbeskrivning. </w:t>
      </w:r>
      <w:r>
        <w:rPr>
          <w:rFonts w:ascii="Arial" w:hAnsi="Arial" w:cs="Arial"/>
          <w:sz w:val="24"/>
        </w:rPr>
        <w:t xml:space="preserve">På Samhällsbyggnadsförvaltningen finns det en </w:t>
      </w:r>
      <w:r>
        <w:rPr>
          <w:rFonts w:ascii="Arial" w:hAnsi="Arial" w:cs="Arial"/>
          <w:i w:val="1"/>
          <w:sz w:val="24"/>
        </w:rPr>
        <w:t xml:space="preserve">fastighetsförteckning </w:t>
      </w:r>
      <w:r>
        <w:rPr>
          <w:rFonts w:ascii="Arial" w:hAnsi="Arial" w:cs="Arial"/>
          <w:sz w:val="24"/>
        </w:rPr>
        <w:t xml:space="preserve">(Lantmäteriet 2024-03-01) och en </w:t>
      </w:r>
      <w:r>
        <w:rPr>
          <w:rFonts w:ascii="Arial" w:hAnsi="Arial" w:cs="Arial"/>
          <w:i w:val="1"/>
          <w:sz w:val="24"/>
        </w:rPr>
        <w:t xml:space="preserve">undersökning kring betydande miljöpåverkan </w:t>
      </w:r>
      <w:r>
        <w:rPr>
          <w:rFonts w:ascii="Arial" w:hAnsi="Arial" w:cs="Arial"/>
          <w:sz w:val="24"/>
        </w:rPr>
        <w:t>(2024-02-29) att ta del av för den som önskar.</w:t>
      </w:r>
    </w:p>
    <w:p>
      <w:pPr>
        <w:pStyle w:val="P32"/>
        <w:rPr>
          <w:rFonts w:ascii="Arial" w:hAnsi="Arial" w:cs="Arial"/>
          <w:sz w:val="24"/>
        </w:rPr>
      </w:pPr>
      <w:r>
        <w:rPr>
          <w:rFonts w:ascii="Arial" w:hAnsi="Arial" w:cs="Arial"/>
          <w:sz w:val="24"/>
        </w:rPr>
        <w:t>Detaljplanen har ärendenummer 2024SBN0026 (Platina) och DP 2023-000001 (ByggR).</w:t>
      </w:r>
    </w:p>
    <w:p>
      <w:pPr>
        <w:pStyle w:val="P32"/>
        <w:rPr>
          <w:rFonts w:ascii="Arial" w:hAnsi="Arial" w:cs="Arial"/>
          <w:sz w:val="24"/>
        </w:rPr>
      </w:pPr>
    </w:p>
    <w:p>
      <w:pPr>
        <w:pStyle w:val="P32"/>
        <w:rPr>
          <w:rFonts w:ascii="Arial" w:hAnsi="Arial" w:cs="Arial"/>
          <w:sz w:val="24"/>
        </w:rPr>
      </w:pPr>
    </w:p>
    <w:p>
      <w:pPr>
        <w:ind w:left="0"/>
      </w:pPr>
      <w:bookmarkStart w:id="3" w:name="_GoBack"/>
      <w:bookmarkEnd w:id="3"/>
    </w:p>
    <w:p>
      <w:pPr>
        <w:ind w:left="0"/>
      </w:pPr>
      <w:r>
        <w:t>Medverkande</w:t>
      </w:r>
    </w:p>
    <w:p>
      <w:pPr>
        <w:pStyle w:val="P32"/>
        <w:rPr>
          <w:rFonts w:ascii="Arial" w:hAnsi="Arial" w:cs="Arial"/>
          <w:sz w:val="24"/>
        </w:rPr>
      </w:pPr>
      <w:r>
        <w:rPr>
          <w:rFonts w:ascii="Arial" w:hAnsi="Arial" w:cs="Arial"/>
          <w:sz w:val="24"/>
        </w:rPr>
        <w:t xml:space="preserve">Planen har utarbetats av Samhällsbyggnadsförvaltningen i samverkan med andra förvaltningar på Hylte kommun. I planarbetet har även fastighetsägare deltagit. </w:t>
      </w:r>
    </w:p>
    <w:p>
      <w:pPr>
        <w:pStyle w:val="P32"/>
        <w:spacing w:before="240" w:beforeAutospacing="0" w:afterAutospacing="0"/>
        <w:rPr>
          <w:rFonts w:ascii="Arial" w:hAnsi="Arial" w:cs="Arial"/>
          <w:color w:val="FF0000"/>
          <w:sz w:val="24"/>
        </w:rPr>
      </w:pPr>
      <w:r>
        <w:rPr>
          <w:rFonts w:ascii="Arial" w:hAnsi="Arial" w:cs="Arial"/>
          <w:sz w:val="24"/>
        </w:rPr>
        <w:t xml:space="preserve">SAMHÄLLSBYGGNADSFÖRVALTNINGEN </w:t>
      </w:r>
      <w:bookmarkEnd w:id="1"/>
      <w:bookmarkEnd w:id="2"/>
      <w:r>
        <w:rPr>
          <w:rFonts w:ascii="Arial" w:hAnsi="Arial" w:cs="Arial"/>
          <w:color w:val="FF0000"/>
          <w:sz w:val="24"/>
        </w:rPr>
        <w:t xml:space="preserve"> </w:t>
      </w:r>
      <w:r>
        <w:rPr>
          <w:rFonts w:ascii="Arial" w:hAnsi="Arial" w:cs="Arial"/>
          <w:sz w:val="24"/>
        </w:rPr>
        <w:t>2024-10-16</w:t>
      </w:r>
    </w:p>
    <w:p>
      <w:pPr>
        <w:pStyle w:val="P32"/>
        <w:spacing w:before="240" w:beforeAutospacing="0" w:afterAutospacing="0"/>
        <w:rPr>
          <w:rFonts w:ascii="Arial" w:hAnsi="Arial" w:cs="Arial"/>
          <w:sz w:val="24"/>
        </w:rPr>
      </w:pPr>
    </w:p>
    <w:p>
      <w:pPr>
        <w:pStyle w:val="P33"/>
        <w:spacing w:lineRule="auto" w:line="240" w:beforeAutospacing="0" w:afterAutospacing="0"/>
        <w:rPr>
          <w:sz w:val="24"/>
          <w:szCs w:val="24"/>
        </w:rPr>
      </w:pPr>
      <w:r>
        <w:rPr>
          <w:sz w:val="24"/>
          <w:szCs w:val="24"/>
        </w:rPr>
        <w:t>Daniel Helsing</w:t>
        <w:tab/>
        <w:tab/>
        <w:tab/>
        <w:t>Emma Eriksson</w:t>
      </w:r>
    </w:p>
    <w:p>
      <w:pPr>
        <w:ind w:left="0"/>
      </w:pPr>
      <w:r>
        <w:t>Bygg- och miljöchef</w:t>
        <w:tab/>
        <w:tab/>
        <w:tab/>
        <w:t>Planarkitekt</w:t>
        <w:tab/>
      </w: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r>
        <w:t>INNEHÅLLSFÖRTECKNING</w:t>
      </w:r>
    </w:p>
    <w:p>
      <w:pPr>
        <w:pStyle w:val="P10"/>
        <w:tabs>
          <w:tab w:val="left" w:pos="440" w:leader="none"/>
          <w:tab w:val="right" w:pos="9016" w:leader="dot"/>
        </w:tabs>
        <w:rPr>
          <w:rFonts w:cstheme="minorBidi" w:eastAsiaTheme="minorEastAsia"/>
          <w:b w:val="0"/>
          <w:bCs w:val="0"/>
          <w:caps w:val="0"/>
          <w:noProof w:val="1"/>
          <w:color w:val="auto"/>
          <w:sz w:val="22"/>
          <w:szCs w:val="22"/>
        </w:rPr>
      </w:pPr>
      <w:r>
        <w:rPr>
          <w:szCs w:val="18"/>
          <w:u w:val="single"/>
        </w:rPr>
        <w:fldChar w:fldCharType="begin"/>
      </w:r>
      <w:r>
        <w:rPr>
          <w:szCs w:val="18"/>
          <w:u w:val="single"/>
        </w:rPr>
        <w:instrText xml:space="preserve"> TOC \o "1-3" \h \z \u </w:instrText>
      </w:r>
      <w:r>
        <w:rPr>
          <w:szCs w:val="18"/>
          <w:u w:val="single"/>
        </w:rPr>
        <w:fldChar w:fldCharType="separate"/>
      </w:r>
      <w:hyperlink w:anchor="_Toc176419163">
        <w:r>
          <w:rPr>
            <w:rStyle w:val="C2"/>
            <w:noProof w:val="1"/>
          </w:rPr>
          <w:t>1</w:t>
        </w:r>
        <w:r>
          <w:rPr>
            <w:rFonts w:cstheme="minorBidi" w:eastAsiaTheme="minorEastAsia"/>
            <w:b w:val="0"/>
            <w:bCs w:val="0"/>
            <w:caps w:val="0"/>
            <w:noProof w:val="1"/>
            <w:color w:val="auto"/>
            <w:sz w:val="22"/>
            <w:szCs w:val="22"/>
          </w:rPr>
          <w:tab/>
        </w:r>
        <w:r>
          <w:rPr>
            <w:rStyle w:val="C2"/>
            <w:noProof w:val="1"/>
          </w:rPr>
          <w:t>DETALJPLANENS SYFTE</w:t>
        </w:r>
        <w:r>
          <w:rPr>
            <w:noProof w:val="1"/>
          </w:rPr>
          <w:tab/>
        </w:r>
        <w:r>
          <w:rPr>
            <w:noProof w:val="1"/>
          </w:rPr>
          <w:fldChar w:fldCharType="begin"/>
        </w:r>
        <w:r>
          <w:rPr>
            <w:noProof w:val="1"/>
          </w:rPr>
          <w:instrText xml:space="preserve"> PAGEREF _Toc176419163 \h </w:instrText>
        </w:r>
        <w:r>
          <w:rPr>
            <w:noProof w:val="1"/>
          </w:rPr>
          <w:fldChar w:fldCharType="separate"/>
        </w:r>
        <w:r>
          <w:rPr>
            <w:noProof w:val="1"/>
          </w:rPr>
          <w:t>6</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64">
        <w:r>
          <w:rPr>
            <w:rStyle w:val="C2"/>
            <w:noProof w:val="1"/>
          </w:rPr>
          <w:t>1.1 SYFTE</w:t>
        </w:r>
        <w:r>
          <w:rPr>
            <w:noProof w:val="1"/>
          </w:rPr>
          <w:tab/>
        </w:r>
        <w:r>
          <w:rPr>
            <w:noProof w:val="1"/>
          </w:rPr>
          <w:fldChar w:fldCharType="begin"/>
        </w:r>
        <w:r>
          <w:rPr>
            <w:noProof w:val="1"/>
          </w:rPr>
          <w:instrText xml:space="preserve"> PAGEREF _Toc176419164 \h </w:instrText>
        </w:r>
        <w:r>
          <w:rPr>
            <w:noProof w:val="1"/>
          </w:rPr>
          <w:fldChar w:fldCharType="separate"/>
        </w:r>
        <w:r>
          <w:rPr>
            <w:noProof w:val="1"/>
          </w:rPr>
          <w:t>6</w:t>
        </w:r>
        <w:r>
          <w:rPr>
            <w:noProof w:val="1"/>
          </w:rPr>
          <w:fldChar w:fldCharType="end"/>
        </w:r>
      </w:hyperlink>
    </w:p>
    <w:p>
      <w:pPr>
        <w:pStyle w:val="P10"/>
        <w:tabs>
          <w:tab w:val="left" w:pos="440" w:leader="none"/>
          <w:tab w:val="right" w:pos="9016" w:leader="dot"/>
        </w:tabs>
        <w:rPr>
          <w:rFonts w:cstheme="minorBidi" w:eastAsiaTheme="minorEastAsia"/>
          <w:b w:val="0"/>
          <w:bCs w:val="0"/>
          <w:caps w:val="0"/>
          <w:noProof w:val="1"/>
          <w:color w:val="auto"/>
          <w:sz w:val="22"/>
          <w:szCs w:val="22"/>
        </w:rPr>
      </w:pPr>
      <w:hyperlink w:anchor="_Toc176419165">
        <w:r>
          <w:rPr>
            <w:rStyle w:val="C2"/>
            <w:noProof w:val="1"/>
          </w:rPr>
          <w:t>2</w:t>
        </w:r>
        <w:r>
          <w:rPr>
            <w:rFonts w:cstheme="minorBidi" w:eastAsiaTheme="minorEastAsia"/>
            <w:b w:val="0"/>
            <w:bCs w:val="0"/>
            <w:caps w:val="0"/>
            <w:noProof w:val="1"/>
            <w:color w:val="auto"/>
            <w:sz w:val="22"/>
            <w:szCs w:val="22"/>
          </w:rPr>
          <w:tab/>
        </w:r>
        <w:r>
          <w:rPr>
            <w:rStyle w:val="C2"/>
            <w:noProof w:val="1"/>
          </w:rPr>
          <w:t>BESKRIVNING AV DETALJPLANEN</w:t>
        </w:r>
        <w:r>
          <w:rPr>
            <w:noProof w:val="1"/>
          </w:rPr>
          <w:tab/>
        </w:r>
        <w:r>
          <w:rPr>
            <w:noProof w:val="1"/>
          </w:rPr>
          <w:fldChar w:fldCharType="begin"/>
        </w:r>
        <w:r>
          <w:rPr>
            <w:noProof w:val="1"/>
          </w:rPr>
          <w:instrText xml:space="preserve"> PAGEREF _Toc176419165 \h </w:instrText>
        </w:r>
        <w:r>
          <w:rPr>
            <w:noProof w:val="1"/>
          </w:rPr>
          <w:fldChar w:fldCharType="separate"/>
        </w:r>
        <w:r>
          <w:rPr>
            <w:noProof w:val="1"/>
          </w:rPr>
          <w:t>7</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66">
        <w:r>
          <w:rPr>
            <w:rStyle w:val="C2"/>
            <w:noProof w:val="1"/>
          </w:rPr>
          <w:t>2.1 HELA DETALJPLANEN</w:t>
        </w:r>
        <w:r>
          <w:rPr>
            <w:noProof w:val="1"/>
          </w:rPr>
          <w:tab/>
        </w:r>
        <w:r>
          <w:rPr>
            <w:noProof w:val="1"/>
          </w:rPr>
          <w:fldChar w:fldCharType="begin"/>
        </w:r>
        <w:r>
          <w:rPr>
            <w:noProof w:val="1"/>
          </w:rPr>
          <w:instrText xml:space="preserve"> PAGEREF _Toc176419166 \h </w:instrText>
        </w:r>
        <w:r>
          <w:rPr>
            <w:noProof w:val="1"/>
          </w:rPr>
          <w:fldChar w:fldCharType="separate"/>
        </w:r>
        <w:r>
          <w:rPr>
            <w:noProof w:val="1"/>
          </w:rPr>
          <w:t>7</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67">
        <w:r>
          <w:rPr>
            <w:rStyle w:val="C2"/>
            <w:noProof w:val="1"/>
          </w:rPr>
          <w:t>2.2 GENOMFÖRANDETID</w:t>
        </w:r>
        <w:r>
          <w:rPr>
            <w:noProof w:val="1"/>
          </w:rPr>
          <w:tab/>
        </w:r>
        <w:r>
          <w:rPr>
            <w:noProof w:val="1"/>
          </w:rPr>
          <w:fldChar w:fldCharType="begin"/>
        </w:r>
        <w:r>
          <w:rPr>
            <w:noProof w:val="1"/>
          </w:rPr>
          <w:instrText xml:space="preserve"> PAGEREF _Toc176419167 \h </w:instrText>
        </w:r>
        <w:r>
          <w:rPr>
            <w:noProof w:val="1"/>
          </w:rPr>
          <w:fldChar w:fldCharType="separate"/>
        </w:r>
        <w:r>
          <w:rPr>
            <w:noProof w:val="1"/>
          </w:rPr>
          <w:t>8</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68">
        <w:r>
          <w:rPr>
            <w:rStyle w:val="C2"/>
            <w:noProof w:val="1"/>
          </w:rPr>
          <w:t>2.3 ALLMÄN PLATS</w:t>
        </w:r>
        <w:r>
          <w:rPr>
            <w:noProof w:val="1"/>
          </w:rPr>
          <w:tab/>
        </w:r>
        <w:r>
          <w:rPr>
            <w:noProof w:val="1"/>
          </w:rPr>
          <w:fldChar w:fldCharType="begin"/>
        </w:r>
        <w:r>
          <w:rPr>
            <w:noProof w:val="1"/>
          </w:rPr>
          <w:instrText xml:space="preserve"> PAGEREF _Toc176419168 \h </w:instrText>
        </w:r>
        <w:r>
          <w:rPr>
            <w:noProof w:val="1"/>
          </w:rPr>
          <w:fldChar w:fldCharType="separate"/>
        </w:r>
        <w:r>
          <w:rPr>
            <w:noProof w:val="1"/>
          </w:rPr>
          <w:t>8</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69">
        <w:r>
          <w:rPr>
            <w:rStyle w:val="C2"/>
            <w:noProof w:val="1"/>
          </w:rPr>
          <w:t>2.4 KVARTERSMARK</w:t>
        </w:r>
        <w:r>
          <w:rPr>
            <w:noProof w:val="1"/>
          </w:rPr>
          <w:tab/>
        </w:r>
        <w:r>
          <w:rPr>
            <w:noProof w:val="1"/>
          </w:rPr>
          <w:fldChar w:fldCharType="begin"/>
        </w:r>
        <w:r>
          <w:rPr>
            <w:noProof w:val="1"/>
          </w:rPr>
          <w:instrText xml:space="preserve"> PAGEREF _Toc176419169 \h </w:instrText>
        </w:r>
        <w:r>
          <w:rPr>
            <w:noProof w:val="1"/>
          </w:rPr>
          <w:fldChar w:fldCharType="separate"/>
        </w:r>
        <w:r>
          <w:rPr>
            <w:noProof w:val="1"/>
          </w:rPr>
          <w:t>8</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70">
        <w:r>
          <w:rPr>
            <w:rStyle w:val="C2"/>
            <w:noProof w:val="1"/>
          </w:rPr>
          <w:t>2.5 BEFINTLIGT</w:t>
        </w:r>
        <w:r>
          <w:rPr>
            <w:noProof w:val="1"/>
          </w:rPr>
          <w:tab/>
        </w:r>
        <w:r>
          <w:rPr>
            <w:noProof w:val="1"/>
          </w:rPr>
          <w:fldChar w:fldCharType="begin"/>
        </w:r>
        <w:r>
          <w:rPr>
            <w:noProof w:val="1"/>
          </w:rPr>
          <w:instrText xml:space="preserve"> PAGEREF _Toc176419170 \h </w:instrText>
        </w:r>
        <w:r>
          <w:rPr>
            <w:noProof w:val="1"/>
          </w:rPr>
          <w:fldChar w:fldCharType="separate"/>
        </w:r>
        <w:r>
          <w:rPr>
            <w:noProof w:val="1"/>
          </w:rPr>
          <w:t>8</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71">
        <w:r>
          <w:rPr>
            <w:rStyle w:val="C2"/>
            <w:noProof w:val="1"/>
          </w:rPr>
          <w:t>2.6 ÄRENDEINFORMATION</w:t>
        </w:r>
        <w:r>
          <w:rPr>
            <w:noProof w:val="1"/>
          </w:rPr>
          <w:tab/>
        </w:r>
        <w:r>
          <w:rPr>
            <w:noProof w:val="1"/>
          </w:rPr>
          <w:fldChar w:fldCharType="begin"/>
        </w:r>
        <w:r>
          <w:rPr>
            <w:noProof w:val="1"/>
          </w:rPr>
          <w:instrText xml:space="preserve"> PAGEREF _Toc176419171 \h </w:instrText>
        </w:r>
        <w:r>
          <w:rPr>
            <w:noProof w:val="1"/>
          </w:rPr>
          <w:fldChar w:fldCharType="separate"/>
        </w:r>
        <w:r>
          <w:rPr>
            <w:noProof w:val="1"/>
          </w:rPr>
          <w:t>8</w:t>
        </w:r>
        <w:r>
          <w:rPr>
            <w:noProof w:val="1"/>
          </w:rPr>
          <w:fldChar w:fldCharType="end"/>
        </w:r>
      </w:hyperlink>
    </w:p>
    <w:p>
      <w:pPr>
        <w:pStyle w:val="P10"/>
        <w:tabs>
          <w:tab w:val="left" w:pos="440" w:leader="none"/>
          <w:tab w:val="right" w:pos="9016" w:leader="dot"/>
        </w:tabs>
        <w:rPr>
          <w:rFonts w:cstheme="minorBidi" w:eastAsiaTheme="minorEastAsia"/>
          <w:b w:val="0"/>
          <w:bCs w:val="0"/>
          <w:caps w:val="0"/>
          <w:noProof w:val="1"/>
          <w:color w:val="auto"/>
          <w:sz w:val="22"/>
          <w:szCs w:val="22"/>
        </w:rPr>
      </w:pPr>
      <w:hyperlink w:anchor="_Toc176419172">
        <w:r>
          <w:rPr>
            <w:rStyle w:val="C2"/>
            <w:noProof w:val="1"/>
          </w:rPr>
          <w:t>3</w:t>
        </w:r>
        <w:r>
          <w:rPr>
            <w:rFonts w:cstheme="minorBidi" w:eastAsiaTheme="minorEastAsia"/>
            <w:b w:val="0"/>
            <w:bCs w:val="0"/>
            <w:caps w:val="0"/>
            <w:noProof w:val="1"/>
            <w:color w:val="auto"/>
            <w:sz w:val="22"/>
            <w:szCs w:val="22"/>
          </w:rPr>
          <w:tab/>
        </w:r>
        <w:r>
          <w:rPr>
            <w:rStyle w:val="C2"/>
            <w:noProof w:val="1"/>
          </w:rPr>
          <w:t>MOTIV TILL DETALJPLANENS REGLERINGAR</w:t>
        </w:r>
        <w:r>
          <w:rPr>
            <w:noProof w:val="1"/>
          </w:rPr>
          <w:tab/>
        </w:r>
        <w:r>
          <w:rPr>
            <w:noProof w:val="1"/>
          </w:rPr>
          <w:fldChar w:fldCharType="begin"/>
        </w:r>
        <w:r>
          <w:rPr>
            <w:noProof w:val="1"/>
          </w:rPr>
          <w:instrText xml:space="preserve"> PAGEREF _Toc176419172 \h </w:instrText>
        </w:r>
        <w:r>
          <w:rPr>
            <w:noProof w:val="1"/>
          </w:rPr>
          <w:fldChar w:fldCharType="separate"/>
        </w:r>
        <w:r>
          <w:rPr>
            <w:noProof w:val="1"/>
          </w:rPr>
          <w:t>9</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73">
        <w:r>
          <w:rPr>
            <w:rStyle w:val="C2"/>
            <w:noProof w:val="1"/>
          </w:rPr>
          <w:t>3.1 MOTIV TILL REGLERINGAR</w:t>
        </w:r>
        <w:r>
          <w:rPr>
            <w:noProof w:val="1"/>
          </w:rPr>
          <w:tab/>
        </w:r>
        <w:r>
          <w:rPr>
            <w:noProof w:val="1"/>
          </w:rPr>
          <w:fldChar w:fldCharType="begin"/>
        </w:r>
        <w:r>
          <w:rPr>
            <w:noProof w:val="1"/>
          </w:rPr>
          <w:instrText xml:space="preserve"> PAGEREF _Toc176419173 \h </w:instrText>
        </w:r>
        <w:r>
          <w:rPr>
            <w:noProof w:val="1"/>
          </w:rPr>
          <w:fldChar w:fldCharType="separate"/>
        </w:r>
        <w:r>
          <w:rPr>
            <w:noProof w:val="1"/>
          </w:rPr>
          <w:t>10</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74">
        <w:r>
          <w:rPr>
            <w:rStyle w:val="C2"/>
            <w:noProof w:val="1"/>
          </w:rPr>
          <w:t>ANVÄNDNING AV KVARTERSMARK</w:t>
        </w:r>
        <w:r>
          <w:rPr>
            <w:noProof w:val="1"/>
          </w:rPr>
          <w:tab/>
        </w:r>
        <w:r>
          <w:rPr>
            <w:noProof w:val="1"/>
          </w:rPr>
          <w:fldChar w:fldCharType="begin"/>
        </w:r>
        <w:r>
          <w:rPr>
            <w:noProof w:val="1"/>
          </w:rPr>
          <w:instrText xml:space="preserve"> PAGEREF _Toc176419174 \h </w:instrText>
        </w:r>
        <w:r>
          <w:rPr>
            <w:noProof w:val="1"/>
          </w:rPr>
          <w:fldChar w:fldCharType="separate"/>
        </w:r>
        <w:r>
          <w:rPr>
            <w:noProof w:val="1"/>
          </w:rPr>
          <w:t>10</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75">
        <w:r>
          <w:rPr>
            <w:rStyle w:val="C2"/>
            <w:noProof w:val="1"/>
          </w:rPr>
          <w:t>EGENSKAPSBESTÄMMELSER FÖR KVARTERSMARK</w:t>
        </w:r>
        <w:r>
          <w:rPr>
            <w:noProof w:val="1"/>
          </w:rPr>
          <w:tab/>
        </w:r>
        <w:r>
          <w:rPr>
            <w:noProof w:val="1"/>
          </w:rPr>
          <w:fldChar w:fldCharType="begin"/>
        </w:r>
        <w:r>
          <w:rPr>
            <w:noProof w:val="1"/>
          </w:rPr>
          <w:instrText xml:space="preserve"> PAGEREF _Toc176419175 \h </w:instrText>
        </w:r>
        <w:r>
          <w:rPr>
            <w:noProof w:val="1"/>
          </w:rPr>
          <w:fldChar w:fldCharType="separate"/>
        </w:r>
        <w:r>
          <w:rPr>
            <w:noProof w:val="1"/>
          </w:rPr>
          <w:t>10</w:t>
        </w:r>
        <w:r>
          <w:rPr>
            <w:noProof w:val="1"/>
          </w:rPr>
          <w:fldChar w:fldCharType="end"/>
        </w:r>
      </w:hyperlink>
    </w:p>
    <w:p>
      <w:pPr>
        <w:pStyle w:val="P10"/>
        <w:tabs>
          <w:tab w:val="left" w:pos="440" w:leader="none"/>
          <w:tab w:val="right" w:pos="9016" w:leader="dot"/>
        </w:tabs>
        <w:rPr>
          <w:rFonts w:cstheme="minorBidi" w:eastAsiaTheme="minorEastAsia"/>
          <w:b w:val="0"/>
          <w:bCs w:val="0"/>
          <w:caps w:val="0"/>
          <w:noProof w:val="1"/>
          <w:color w:val="auto"/>
          <w:sz w:val="22"/>
          <w:szCs w:val="22"/>
        </w:rPr>
      </w:pPr>
      <w:hyperlink w:anchor="_Toc176419176">
        <w:r>
          <w:rPr>
            <w:rStyle w:val="C2"/>
            <w:noProof w:val="1"/>
          </w:rPr>
          <w:t>4</w:t>
        </w:r>
        <w:r>
          <w:rPr>
            <w:rFonts w:cstheme="minorBidi" w:eastAsiaTheme="minorEastAsia"/>
            <w:b w:val="0"/>
            <w:bCs w:val="0"/>
            <w:caps w:val="0"/>
            <w:noProof w:val="1"/>
            <w:color w:val="auto"/>
            <w:sz w:val="22"/>
            <w:szCs w:val="22"/>
          </w:rPr>
          <w:tab/>
        </w:r>
        <w:r>
          <w:rPr>
            <w:rStyle w:val="C2"/>
            <w:noProof w:val="1"/>
          </w:rPr>
          <w:t>PLANERINGSFÖRUTSÄTTNINGAR</w:t>
        </w:r>
        <w:r>
          <w:rPr>
            <w:noProof w:val="1"/>
          </w:rPr>
          <w:tab/>
        </w:r>
        <w:r>
          <w:rPr>
            <w:noProof w:val="1"/>
          </w:rPr>
          <w:fldChar w:fldCharType="begin"/>
        </w:r>
        <w:r>
          <w:rPr>
            <w:noProof w:val="1"/>
          </w:rPr>
          <w:instrText xml:space="preserve"> PAGEREF _Toc176419176 \h </w:instrText>
        </w:r>
        <w:r>
          <w:rPr>
            <w:noProof w:val="1"/>
          </w:rPr>
          <w:fldChar w:fldCharType="separate"/>
        </w:r>
        <w:r>
          <w:rPr>
            <w:noProof w:val="1"/>
          </w:rPr>
          <w:t>11</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77">
        <w:r>
          <w:rPr>
            <w:rStyle w:val="C2"/>
            <w:noProof w:val="1"/>
          </w:rPr>
          <w:t>4.1 KOMMUNALA</w:t>
        </w:r>
        <w:r>
          <w:rPr>
            <w:noProof w:val="1"/>
          </w:rPr>
          <w:tab/>
        </w:r>
        <w:r>
          <w:rPr>
            <w:noProof w:val="1"/>
          </w:rPr>
          <w:fldChar w:fldCharType="begin"/>
        </w:r>
        <w:r>
          <w:rPr>
            <w:noProof w:val="1"/>
          </w:rPr>
          <w:instrText xml:space="preserve"> PAGEREF _Toc176419177 \h </w:instrText>
        </w:r>
        <w:r>
          <w:rPr>
            <w:noProof w:val="1"/>
          </w:rPr>
          <w:fldChar w:fldCharType="separate"/>
        </w:r>
        <w:r>
          <w:rPr>
            <w:noProof w:val="1"/>
          </w:rPr>
          <w:t>11</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78">
        <w:r>
          <w:rPr>
            <w:rStyle w:val="C2"/>
            <w:noProof w:val="1"/>
          </w:rPr>
          <w:t>4.1.1 DETALJPLAN</w:t>
        </w:r>
        <w:r>
          <w:rPr>
            <w:noProof w:val="1"/>
          </w:rPr>
          <w:tab/>
        </w:r>
        <w:r>
          <w:rPr>
            <w:noProof w:val="1"/>
          </w:rPr>
          <w:fldChar w:fldCharType="begin"/>
        </w:r>
        <w:r>
          <w:rPr>
            <w:noProof w:val="1"/>
          </w:rPr>
          <w:instrText xml:space="preserve"> PAGEREF _Toc176419178 \h </w:instrText>
        </w:r>
        <w:r>
          <w:rPr>
            <w:noProof w:val="1"/>
          </w:rPr>
          <w:fldChar w:fldCharType="separate"/>
        </w:r>
        <w:r>
          <w:rPr>
            <w:noProof w:val="1"/>
          </w:rPr>
          <w:t>11</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79">
        <w:r>
          <w:rPr>
            <w:rStyle w:val="C2"/>
            <w:noProof w:val="1"/>
          </w:rPr>
          <w:t>4.1.2 PLANBESKED</w:t>
        </w:r>
        <w:r>
          <w:rPr>
            <w:noProof w:val="1"/>
          </w:rPr>
          <w:tab/>
        </w:r>
        <w:r>
          <w:rPr>
            <w:noProof w:val="1"/>
          </w:rPr>
          <w:fldChar w:fldCharType="begin"/>
        </w:r>
        <w:r>
          <w:rPr>
            <w:noProof w:val="1"/>
          </w:rPr>
          <w:instrText xml:space="preserve"> PAGEREF _Toc176419179 \h </w:instrText>
        </w:r>
        <w:r>
          <w:rPr>
            <w:noProof w:val="1"/>
          </w:rPr>
          <w:fldChar w:fldCharType="separate"/>
        </w:r>
        <w:r>
          <w:rPr>
            <w:noProof w:val="1"/>
          </w:rPr>
          <w:t>12</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0">
        <w:r>
          <w:rPr>
            <w:rStyle w:val="C2"/>
            <w:noProof w:val="1"/>
          </w:rPr>
          <w:t>4.1.3 ÖVERSIKTSPLAN</w:t>
        </w:r>
        <w:r>
          <w:rPr>
            <w:noProof w:val="1"/>
          </w:rPr>
          <w:tab/>
        </w:r>
        <w:r>
          <w:rPr>
            <w:noProof w:val="1"/>
          </w:rPr>
          <w:fldChar w:fldCharType="begin"/>
        </w:r>
        <w:r>
          <w:rPr>
            <w:noProof w:val="1"/>
          </w:rPr>
          <w:instrText xml:space="preserve"> PAGEREF _Toc176419180 \h </w:instrText>
        </w:r>
        <w:r>
          <w:rPr>
            <w:noProof w:val="1"/>
          </w:rPr>
          <w:fldChar w:fldCharType="separate"/>
        </w:r>
        <w:r>
          <w:rPr>
            <w:noProof w:val="1"/>
          </w:rPr>
          <w:t>12</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81">
        <w:r>
          <w:rPr>
            <w:rStyle w:val="C2"/>
            <w:noProof w:val="1"/>
          </w:rPr>
          <w:t>4.2 RIKSINTRESSEN</w:t>
        </w:r>
        <w:r>
          <w:rPr>
            <w:noProof w:val="1"/>
          </w:rPr>
          <w:tab/>
        </w:r>
        <w:r>
          <w:rPr>
            <w:noProof w:val="1"/>
          </w:rPr>
          <w:fldChar w:fldCharType="begin"/>
        </w:r>
        <w:r>
          <w:rPr>
            <w:noProof w:val="1"/>
          </w:rPr>
          <w:instrText xml:space="preserve"> PAGEREF _Toc176419181 \h </w:instrText>
        </w:r>
        <w:r>
          <w:rPr>
            <w:noProof w:val="1"/>
          </w:rPr>
          <w:fldChar w:fldCharType="separate"/>
        </w:r>
        <w:r>
          <w:rPr>
            <w:noProof w:val="1"/>
          </w:rPr>
          <w:t>12</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2">
        <w:r>
          <w:rPr>
            <w:rStyle w:val="C2"/>
            <w:noProof w:val="1"/>
          </w:rPr>
          <w:t>4.2.1 FRILUFTSLIV</w:t>
        </w:r>
        <w:r>
          <w:rPr>
            <w:noProof w:val="1"/>
          </w:rPr>
          <w:tab/>
        </w:r>
        <w:r>
          <w:rPr>
            <w:noProof w:val="1"/>
          </w:rPr>
          <w:fldChar w:fldCharType="begin"/>
        </w:r>
        <w:r>
          <w:rPr>
            <w:noProof w:val="1"/>
          </w:rPr>
          <w:instrText xml:space="preserve"> PAGEREF _Toc176419182 \h </w:instrText>
        </w:r>
        <w:r>
          <w:rPr>
            <w:noProof w:val="1"/>
          </w:rPr>
          <w:fldChar w:fldCharType="separate"/>
        </w:r>
        <w:r>
          <w:rPr>
            <w:noProof w:val="1"/>
          </w:rPr>
          <w:t>12</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3">
        <w:r>
          <w:rPr>
            <w:rStyle w:val="C2"/>
            <w:noProof w:val="1"/>
          </w:rPr>
          <w:t>4.2.2 NATURA 2000</w:t>
        </w:r>
        <w:r>
          <w:rPr>
            <w:noProof w:val="1"/>
          </w:rPr>
          <w:tab/>
        </w:r>
        <w:r>
          <w:rPr>
            <w:noProof w:val="1"/>
          </w:rPr>
          <w:fldChar w:fldCharType="begin"/>
        </w:r>
        <w:r>
          <w:rPr>
            <w:noProof w:val="1"/>
          </w:rPr>
          <w:instrText xml:space="preserve"> PAGEREF _Toc176419183 \h </w:instrText>
        </w:r>
        <w:r>
          <w:rPr>
            <w:noProof w:val="1"/>
          </w:rPr>
          <w:fldChar w:fldCharType="separate"/>
        </w:r>
        <w:r>
          <w:rPr>
            <w:noProof w:val="1"/>
          </w:rPr>
          <w:t>13</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84">
        <w:r>
          <w:rPr>
            <w:rStyle w:val="C2"/>
            <w:noProof w:val="1"/>
          </w:rPr>
          <w:t>4.3 MILJÖKVALITETSNORMER</w:t>
        </w:r>
        <w:r>
          <w:rPr>
            <w:noProof w:val="1"/>
          </w:rPr>
          <w:tab/>
        </w:r>
        <w:r>
          <w:rPr>
            <w:noProof w:val="1"/>
          </w:rPr>
          <w:fldChar w:fldCharType="begin"/>
        </w:r>
        <w:r>
          <w:rPr>
            <w:noProof w:val="1"/>
          </w:rPr>
          <w:instrText xml:space="preserve"> PAGEREF _Toc176419184 \h </w:instrText>
        </w:r>
        <w:r>
          <w:rPr>
            <w:noProof w:val="1"/>
          </w:rPr>
          <w:fldChar w:fldCharType="separate"/>
        </w:r>
        <w:r>
          <w:rPr>
            <w:noProof w:val="1"/>
          </w:rPr>
          <w:t>14</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5">
        <w:r>
          <w:rPr>
            <w:rStyle w:val="C2"/>
            <w:noProof w:val="1"/>
          </w:rPr>
          <w:t>4.3.1 LUFT</w:t>
        </w:r>
        <w:r>
          <w:rPr>
            <w:noProof w:val="1"/>
          </w:rPr>
          <w:tab/>
        </w:r>
        <w:r>
          <w:rPr>
            <w:noProof w:val="1"/>
          </w:rPr>
          <w:fldChar w:fldCharType="begin"/>
        </w:r>
        <w:r>
          <w:rPr>
            <w:noProof w:val="1"/>
          </w:rPr>
          <w:instrText xml:space="preserve"> PAGEREF _Toc176419185 \h </w:instrText>
        </w:r>
        <w:r>
          <w:rPr>
            <w:noProof w:val="1"/>
          </w:rPr>
          <w:fldChar w:fldCharType="separate"/>
        </w:r>
        <w:r>
          <w:rPr>
            <w:noProof w:val="1"/>
          </w:rPr>
          <w:t>14</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6">
        <w:r>
          <w:rPr>
            <w:rStyle w:val="C2"/>
            <w:noProof w:val="1"/>
          </w:rPr>
          <w:t>4.3.2 VATTEN</w:t>
        </w:r>
        <w:r>
          <w:rPr>
            <w:noProof w:val="1"/>
          </w:rPr>
          <w:tab/>
        </w:r>
        <w:r>
          <w:rPr>
            <w:noProof w:val="1"/>
          </w:rPr>
          <w:fldChar w:fldCharType="begin"/>
        </w:r>
        <w:r>
          <w:rPr>
            <w:noProof w:val="1"/>
          </w:rPr>
          <w:instrText xml:space="preserve"> PAGEREF _Toc176419186 \h </w:instrText>
        </w:r>
        <w:r>
          <w:rPr>
            <w:noProof w:val="1"/>
          </w:rPr>
          <w:fldChar w:fldCharType="separate"/>
        </w:r>
        <w:r>
          <w:rPr>
            <w:noProof w:val="1"/>
          </w:rPr>
          <w:t>14</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7">
        <w:r>
          <w:rPr>
            <w:rStyle w:val="C2"/>
            <w:noProof w:val="1"/>
          </w:rPr>
          <w:t>4.3.3 BULLER</w:t>
        </w:r>
        <w:r>
          <w:rPr>
            <w:noProof w:val="1"/>
          </w:rPr>
          <w:tab/>
        </w:r>
        <w:r>
          <w:rPr>
            <w:noProof w:val="1"/>
          </w:rPr>
          <w:fldChar w:fldCharType="begin"/>
        </w:r>
        <w:r>
          <w:rPr>
            <w:noProof w:val="1"/>
          </w:rPr>
          <w:instrText xml:space="preserve"> PAGEREF _Toc176419187 \h </w:instrText>
        </w:r>
        <w:r>
          <w:rPr>
            <w:noProof w:val="1"/>
          </w:rPr>
          <w:fldChar w:fldCharType="separate"/>
        </w:r>
        <w:r>
          <w:rPr>
            <w:noProof w:val="1"/>
          </w:rPr>
          <w:t>14</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88">
        <w:r>
          <w:rPr>
            <w:rStyle w:val="C2"/>
            <w:noProof w:val="1"/>
          </w:rPr>
          <w:t>4.4 MILJÖ</w:t>
        </w:r>
        <w:r>
          <w:rPr>
            <w:noProof w:val="1"/>
          </w:rPr>
          <w:tab/>
        </w:r>
        <w:r>
          <w:rPr>
            <w:noProof w:val="1"/>
          </w:rPr>
          <w:fldChar w:fldCharType="begin"/>
        </w:r>
        <w:r>
          <w:rPr>
            <w:noProof w:val="1"/>
          </w:rPr>
          <w:instrText xml:space="preserve"> PAGEREF _Toc176419188 \h </w:instrText>
        </w:r>
        <w:r>
          <w:rPr>
            <w:noProof w:val="1"/>
          </w:rPr>
          <w:fldChar w:fldCharType="separate"/>
        </w:r>
        <w:r>
          <w:rPr>
            <w:noProof w:val="1"/>
          </w:rPr>
          <w:t>15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89">
        <w:r>
          <w:rPr>
            <w:rStyle w:val="C2"/>
            <w:noProof w:val="1"/>
          </w:rPr>
          <w:t>4.4.1 BIOTOPPSSKYDD</w:t>
        </w:r>
        <w:r>
          <w:rPr>
            <w:noProof w:val="1"/>
          </w:rPr>
          <w:tab/>
        </w:r>
        <w:r>
          <w:rPr>
            <w:noProof w:val="1"/>
          </w:rPr>
          <w:fldChar w:fldCharType="begin"/>
        </w:r>
        <w:r>
          <w:rPr>
            <w:noProof w:val="1"/>
          </w:rPr>
          <w:instrText xml:space="preserve"> PAGEREF _Toc176419189 \h </w:instrText>
        </w:r>
        <w:r>
          <w:rPr>
            <w:noProof w:val="1"/>
          </w:rPr>
          <w:fldChar w:fldCharType="separate"/>
        </w:r>
        <w:r>
          <w:rPr>
            <w:noProof w:val="1"/>
          </w:rPr>
          <w:t>15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90">
        <w:r>
          <w:rPr>
            <w:rStyle w:val="C2"/>
            <w:noProof w:val="1"/>
          </w:rPr>
          <w:t>4.4.2 STRANDSKYDD</w:t>
        </w:r>
        <w:r>
          <w:rPr>
            <w:noProof w:val="1"/>
          </w:rPr>
          <w:tab/>
        </w:r>
        <w:r>
          <w:rPr>
            <w:noProof w:val="1"/>
          </w:rPr>
          <w:fldChar w:fldCharType="begin"/>
        </w:r>
        <w:r>
          <w:rPr>
            <w:noProof w:val="1"/>
          </w:rPr>
          <w:instrText xml:space="preserve"> PAGEREF _Toc176419190 \h </w:instrText>
        </w:r>
        <w:r>
          <w:rPr>
            <w:noProof w:val="1"/>
          </w:rPr>
          <w:fldChar w:fldCharType="separate"/>
        </w:r>
        <w:r>
          <w:rPr>
            <w:noProof w:val="1"/>
          </w:rPr>
          <w:t>15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91">
        <w:r>
          <w:rPr>
            <w:rStyle w:val="C2"/>
            <w:noProof w:val="1"/>
          </w:rPr>
          <w:t>4.4.3 DAGVATTEN</w:t>
        </w:r>
        <w:r>
          <w:rPr>
            <w:noProof w:val="1"/>
          </w:rPr>
          <w:tab/>
        </w:r>
        <w:r>
          <w:rPr>
            <w:noProof w:val="1"/>
          </w:rPr>
          <w:fldChar w:fldCharType="begin"/>
        </w:r>
        <w:r>
          <w:rPr>
            <w:noProof w:val="1"/>
          </w:rPr>
          <w:instrText xml:space="preserve"> PAGEREF _Toc176419191 \h </w:instrText>
        </w:r>
        <w:r>
          <w:rPr>
            <w:noProof w:val="1"/>
          </w:rPr>
          <w:fldChar w:fldCharType="separate"/>
        </w:r>
        <w:r>
          <w:rPr>
            <w:noProof w:val="1"/>
          </w:rPr>
          <w:t>15</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92">
        <w:r>
          <w:rPr>
            <w:rStyle w:val="C2"/>
            <w:noProof w:val="1"/>
          </w:rPr>
          <w:t>4.5 HÄLSA OCH SÄKERHET</w:t>
        </w:r>
        <w:r>
          <w:rPr>
            <w:noProof w:val="1"/>
          </w:rPr>
          <w:tab/>
        </w:r>
        <w:r>
          <w:rPr>
            <w:noProof w:val="1"/>
          </w:rPr>
          <w:fldChar w:fldCharType="begin"/>
        </w:r>
        <w:r>
          <w:rPr>
            <w:noProof w:val="1"/>
          </w:rPr>
          <w:instrText xml:space="preserve"> PAGEREF _Toc176419192 \h </w:instrText>
        </w:r>
        <w:r>
          <w:rPr>
            <w:noProof w:val="1"/>
          </w:rPr>
          <w:fldChar w:fldCharType="separate"/>
        </w:r>
        <w:r>
          <w:rPr>
            <w:noProof w:val="1"/>
          </w:rPr>
          <w:t>16</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93">
        <w:r>
          <w:rPr>
            <w:rStyle w:val="C2"/>
            <w:noProof w:val="1"/>
          </w:rPr>
          <w:t>4.5.1 OMGIVNINGSBULLER</w:t>
        </w:r>
        <w:r>
          <w:rPr>
            <w:noProof w:val="1"/>
          </w:rPr>
          <w:tab/>
        </w:r>
        <w:r>
          <w:rPr>
            <w:noProof w:val="1"/>
          </w:rPr>
          <w:fldChar w:fldCharType="begin"/>
        </w:r>
        <w:r>
          <w:rPr>
            <w:noProof w:val="1"/>
          </w:rPr>
          <w:instrText xml:space="preserve"> PAGEREF _Toc176419193 \h </w:instrText>
        </w:r>
        <w:r>
          <w:rPr>
            <w:noProof w:val="1"/>
          </w:rPr>
          <w:fldChar w:fldCharType="separate"/>
        </w:r>
        <w:r>
          <w:rPr>
            <w:noProof w:val="1"/>
          </w:rPr>
          <w:t>16</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194">
        <w:r>
          <w:rPr>
            <w:rStyle w:val="C2"/>
            <w:noProof w:val="1"/>
          </w:rPr>
          <w:t>4.5.2 RISK FÖR ÖVERSVÄMNING</w:t>
        </w:r>
        <w:r>
          <w:rPr>
            <w:noProof w:val="1"/>
          </w:rPr>
          <w:tab/>
        </w:r>
        <w:r>
          <w:rPr>
            <w:noProof w:val="1"/>
          </w:rPr>
          <w:fldChar w:fldCharType="begin"/>
        </w:r>
        <w:r>
          <w:rPr>
            <w:noProof w:val="1"/>
          </w:rPr>
          <w:instrText xml:space="preserve"> PAGEREF _Toc176419194 \h </w:instrText>
        </w:r>
        <w:r>
          <w:rPr>
            <w:noProof w:val="1"/>
          </w:rPr>
          <w:fldChar w:fldCharType="separate"/>
        </w:r>
        <w:r>
          <w:rPr>
            <w:noProof w:val="1"/>
          </w:rPr>
          <w:t>16</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95">
        <w:r>
          <w:rPr>
            <w:rStyle w:val="C2"/>
            <w:noProof w:val="1"/>
          </w:rPr>
          <w:t>4.6 GEOTEKNISKA FÖRHÅLLANDEN</w:t>
        </w:r>
        <w:r>
          <w:rPr>
            <w:noProof w:val="1"/>
          </w:rPr>
          <w:tab/>
        </w:r>
        <w:r>
          <w:rPr>
            <w:noProof w:val="1"/>
          </w:rPr>
          <w:fldChar w:fldCharType="begin"/>
        </w:r>
        <w:r>
          <w:rPr>
            <w:noProof w:val="1"/>
          </w:rPr>
          <w:instrText xml:space="preserve"> PAGEREF _Toc176419195 \h </w:instrText>
        </w:r>
        <w:r>
          <w:rPr>
            <w:noProof w:val="1"/>
          </w:rPr>
          <w:fldChar w:fldCharType="separate"/>
        </w:r>
        <w:r>
          <w:rPr>
            <w:noProof w:val="1"/>
          </w:rPr>
          <w:t>17</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96">
        <w:r>
          <w:rPr>
            <w:rStyle w:val="C2"/>
            <w:noProof w:val="1"/>
          </w:rPr>
          <w:t>4.7 KULTURMILJÖ</w:t>
        </w:r>
        <w:r>
          <w:rPr>
            <w:noProof w:val="1"/>
          </w:rPr>
          <w:tab/>
        </w:r>
        <w:r>
          <w:rPr>
            <w:noProof w:val="1"/>
          </w:rPr>
          <w:fldChar w:fldCharType="begin"/>
        </w:r>
        <w:r>
          <w:rPr>
            <w:noProof w:val="1"/>
          </w:rPr>
          <w:instrText xml:space="preserve"> PAGEREF _Toc176419196 \h </w:instrText>
        </w:r>
        <w:r>
          <w:rPr>
            <w:noProof w:val="1"/>
          </w:rPr>
          <w:fldChar w:fldCharType="separate"/>
        </w:r>
        <w:r>
          <w:rPr>
            <w:noProof w:val="1"/>
          </w:rPr>
          <w:t>18</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97">
        <w:r>
          <w:rPr>
            <w:rStyle w:val="C2"/>
            <w:noProof w:val="1"/>
          </w:rPr>
          <w:t>4.8 TEKNIK</w:t>
        </w:r>
        <w:r>
          <w:rPr>
            <w:noProof w:val="1"/>
          </w:rPr>
          <w:tab/>
        </w:r>
        <w:r>
          <w:rPr>
            <w:noProof w:val="1"/>
          </w:rPr>
          <w:fldChar w:fldCharType="begin"/>
        </w:r>
        <w:r>
          <w:rPr>
            <w:noProof w:val="1"/>
          </w:rPr>
          <w:instrText xml:space="preserve"> PAGEREF _Toc176419197 \h </w:instrText>
        </w:r>
        <w:r>
          <w:rPr>
            <w:noProof w:val="1"/>
          </w:rPr>
          <w:fldChar w:fldCharType="separate"/>
        </w:r>
        <w:r>
          <w:rPr>
            <w:noProof w:val="1"/>
          </w:rPr>
          <w:t>20</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98">
        <w:r>
          <w:rPr>
            <w:rStyle w:val="C2"/>
            <w:noProof w:val="1"/>
          </w:rPr>
          <w:t>4.9 TRAFIK</w:t>
        </w:r>
        <w:r>
          <w:rPr>
            <w:noProof w:val="1"/>
          </w:rPr>
          <w:tab/>
        </w:r>
        <w:r>
          <w:rPr>
            <w:noProof w:val="1"/>
          </w:rPr>
          <w:fldChar w:fldCharType="begin"/>
        </w:r>
        <w:r>
          <w:rPr>
            <w:noProof w:val="1"/>
          </w:rPr>
          <w:instrText xml:space="preserve"> PAGEREF _Toc176419198 \h </w:instrText>
        </w:r>
        <w:r>
          <w:rPr>
            <w:noProof w:val="1"/>
          </w:rPr>
          <w:fldChar w:fldCharType="separate"/>
        </w:r>
        <w:r>
          <w:rPr>
            <w:noProof w:val="1"/>
          </w:rPr>
          <w:t>20</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199">
        <w:r>
          <w:rPr>
            <w:rStyle w:val="C2"/>
            <w:noProof w:val="1"/>
          </w:rPr>
          <w:t>4.10 RADON</w:t>
        </w:r>
        <w:r>
          <w:rPr>
            <w:noProof w:val="1"/>
          </w:rPr>
          <w:tab/>
        </w:r>
        <w:r>
          <w:rPr>
            <w:noProof w:val="1"/>
          </w:rPr>
          <w:fldChar w:fldCharType="begin"/>
        </w:r>
        <w:r>
          <w:rPr>
            <w:noProof w:val="1"/>
          </w:rPr>
          <w:instrText xml:space="preserve"> PAGEREF _Toc176419199 \h </w:instrText>
        </w:r>
        <w:r>
          <w:rPr>
            <w:noProof w:val="1"/>
          </w:rPr>
          <w:fldChar w:fldCharType="separate"/>
        </w:r>
        <w:r>
          <w:rPr>
            <w:noProof w:val="1"/>
          </w:rPr>
          <w:t>22</w:t>
        </w:r>
        <w:r>
          <w:rPr>
            <w:noProof w:val="1"/>
          </w:rPr>
          <w:fldChar w:fldCharType="end"/>
        </w:r>
      </w:hyperlink>
    </w:p>
    <w:p>
      <w:pPr>
        <w:pStyle w:val="P10"/>
        <w:tabs>
          <w:tab w:val="left" w:pos="440" w:leader="none"/>
          <w:tab w:val="right" w:pos="9016" w:leader="dot"/>
        </w:tabs>
        <w:rPr>
          <w:rFonts w:cstheme="minorBidi" w:eastAsiaTheme="minorEastAsia"/>
          <w:b w:val="0"/>
          <w:bCs w:val="0"/>
          <w:caps w:val="0"/>
          <w:noProof w:val="1"/>
          <w:color w:val="auto"/>
          <w:sz w:val="22"/>
          <w:szCs w:val="22"/>
        </w:rPr>
      </w:pPr>
      <w:hyperlink w:anchor="_Toc176419200">
        <w:r>
          <w:rPr>
            <w:rStyle w:val="C2"/>
            <w:noProof w:val="1"/>
          </w:rPr>
          <w:t>5</w:t>
        </w:r>
        <w:r>
          <w:rPr>
            <w:rFonts w:cstheme="minorBidi" w:eastAsiaTheme="minorEastAsia"/>
            <w:b w:val="0"/>
            <w:bCs w:val="0"/>
            <w:caps w:val="0"/>
            <w:noProof w:val="1"/>
            <w:color w:val="auto"/>
            <w:sz w:val="22"/>
            <w:szCs w:val="22"/>
          </w:rPr>
          <w:tab/>
        </w:r>
        <w:r>
          <w:rPr>
            <w:rStyle w:val="C2"/>
            <w:noProof w:val="1"/>
          </w:rPr>
          <w:t>PLANERINGSUNDERLAG</w:t>
        </w:r>
        <w:r>
          <w:rPr>
            <w:noProof w:val="1"/>
          </w:rPr>
          <w:tab/>
        </w:r>
        <w:r>
          <w:rPr>
            <w:noProof w:val="1"/>
          </w:rPr>
          <w:fldChar w:fldCharType="begin"/>
        </w:r>
        <w:r>
          <w:rPr>
            <w:noProof w:val="1"/>
          </w:rPr>
          <w:instrText xml:space="preserve"> PAGEREF _Toc176419200 \h </w:instrText>
        </w:r>
        <w:r>
          <w:rPr>
            <w:noProof w:val="1"/>
          </w:rPr>
          <w:fldChar w:fldCharType="separate"/>
        </w:r>
        <w:r>
          <w:rPr>
            <w:noProof w:val="1"/>
          </w:rPr>
          <w:t>22</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01">
        <w:r>
          <w:rPr>
            <w:rStyle w:val="C2"/>
            <w:noProof w:val="1"/>
          </w:rPr>
          <w:t>5.1 KOMMUNALT FRAMTAGNA UNDERLAG</w:t>
        </w:r>
        <w:r>
          <w:rPr>
            <w:noProof w:val="1"/>
          </w:rPr>
          <w:tab/>
        </w:r>
        <w:r>
          <w:rPr>
            <w:noProof w:val="1"/>
          </w:rPr>
          <w:fldChar w:fldCharType="begin"/>
        </w:r>
        <w:r>
          <w:rPr>
            <w:noProof w:val="1"/>
          </w:rPr>
          <w:instrText xml:space="preserve"> PAGEREF _Toc176419201 \h </w:instrText>
        </w:r>
        <w:r>
          <w:rPr>
            <w:noProof w:val="1"/>
          </w:rPr>
          <w:fldChar w:fldCharType="separate"/>
        </w:r>
        <w:r>
          <w:rPr>
            <w:noProof w:val="1"/>
          </w:rPr>
          <w:t>22</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02">
        <w:r>
          <w:rPr>
            <w:rStyle w:val="C2"/>
            <w:noProof w:val="1"/>
          </w:rPr>
          <w:t>5.1.1 UNDERSÖKNING ENLIGT 6 KAP. 6§ PLAN- OCH BYGGLAGEN (2010:900)</w:t>
        </w:r>
        <w:r>
          <w:rPr>
            <w:noProof w:val="1"/>
          </w:rPr>
          <w:tab/>
        </w:r>
        <w:r>
          <w:rPr>
            <w:noProof w:val="1"/>
          </w:rPr>
          <w:fldChar w:fldCharType="begin"/>
        </w:r>
        <w:r>
          <w:rPr>
            <w:noProof w:val="1"/>
          </w:rPr>
          <w:instrText xml:space="preserve"> PAGEREF _Toc176419202 \h </w:instrText>
        </w:r>
        <w:r>
          <w:rPr>
            <w:noProof w:val="1"/>
          </w:rPr>
          <w:fldChar w:fldCharType="separate"/>
        </w:r>
        <w:r>
          <w:rPr>
            <w:noProof w:val="1"/>
          </w:rPr>
          <w:t>22</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03">
        <w:r>
          <w:rPr>
            <w:rStyle w:val="C2"/>
            <w:noProof w:val="1"/>
          </w:rPr>
          <w:t>5.2 UTREDNINGAR</w:t>
        </w:r>
        <w:r>
          <w:rPr>
            <w:noProof w:val="1"/>
          </w:rPr>
          <w:tab/>
        </w:r>
        <w:r>
          <w:rPr>
            <w:noProof w:val="1"/>
          </w:rPr>
          <w:fldChar w:fldCharType="begin"/>
        </w:r>
        <w:r>
          <w:rPr>
            <w:noProof w:val="1"/>
          </w:rPr>
          <w:instrText xml:space="preserve"> PAGEREF _Toc176419203 \h </w:instrText>
        </w:r>
        <w:r>
          <w:rPr>
            <w:noProof w:val="1"/>
          </w:rPr>
          <w:fldChar w:fldCharType="separate"/>
        </w:r>
        <w:r>
          <w:rPr>
            <w:noProof w:val="1"/>
          </w:rPr>
          <w:t>23</w:t>
        </w:r>
        <w:r>
          <w:rPr>
            <w:noProof w:val="1"/>
          </w:rPr>
          <w:fldChar w:fldCharType="end"/>
        </w:r>
      </w:hyperlink>
    </w:p>
    <w:p>
      <w:pPr>
        <w:pStyle w:val="P10"/>
        <w:tabs>
          <w:tab w:val="left" w:pos="440" w:leader="none"/>
          <w:tab w:val="right" w:pos="9016" w:leader="dot"/>
        </w:tabs>
        <w:rPr>
          <w:rFonts w:cstheme="minorBidi" w:eastAsiaTheme="minorEastAsia"/>
          <w:b w:val="0"/>
          <w:bCs w:val="0"/>
          <w:caps w:val="0"/>
          <w:noProof w:val="1"/>
          <w:color w:val="auto"/>
          <w:sz w:val="22"/>
          <w:szCs w:val="22"/>
        </w:rPr>
      </w:pPr>
      <w:hyperlink w:anchor="_Toc176419204">
        <w:r>
          <w:rPr>
            <w:rStyle w:val="C2"/>
            <w:noProof w:val="1"/>
          </w:rPr>
          <w:t>6</w:t>
        </w:r>
        <w:r>
          <w:rPr>
            <w:rFonts w:cstheme="minorBidi" w:eastAsiaTheme="minorEastAsia"/>
            <w:b w:val="0"/>
            <w:bCs w:val="0"/>
            <w:caps w:val="0"/>
            <w:noProof w:val="1"/>
            <w:color w:val="auto"/>
            <w:sz w:val="22"/>
            <w:szCs w:val="22"/>
          </w:rPr>
          <w:tab/>
        </w:r>
        <w:r>
          <w:rPr>
            <w:rStyle w:val="C2"/>
            <w:noProof w:val="1"/>
          </w:rPr>
          <w:t>KONSEKVENSER</w:t>
        </w:r>
        <w:r>
          <w:rPr>
            <w:noProof w:val="1"/>
          </w:rPr>
          <w:tab/>
        </w:r>
        <w:r>
          <w:rPr>
            <w:noProof w:val="1"/>
          </w:rPr>
          <w:fldChar w:fldCharType="begin"/>
        </w:r>
        <w:r>
          <w:rPr>
            <w:noProof w:val="1"/>
          </w:rPr>
          <w:instrText xml:space="preserve"> PAGEREF _Toc176419204 \h </w:instrText>
        </w:r>
        <w:r>
          <w:rPr>
            <w:noProof w:val="1"/>
          </w:rPr>
          <w:fldChar w:fldCharType="separate"/>
        </w:r>
        <w:r>
          <w:rPr>
            <w:noProof w:val="1"/>
          </w:rPr>
          <w:t>23</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05">
        <w:r>
          <w:rPr>
            <w:rStyle w:val="C2"/>
            <w:noProof w:val="1"/>
          </w:rPr>
          <w:t>6.1 FASTIGHETER OCH RÄTTIGHETER</w:t>
        </w:r>
        <w:r>
          <w:rPr>
            <w:noProof w:val="1"/>
          </w:rPr>
          <w:tab/>
        </w:r>
        <w:r>
          <w:rPr>
            <w:noProof w:val="1"/>
          </w:rPr>
          <w:fldChar w:fldCharType="begin"/>
        </w:r>
        <w:r>
          <w:rPr>
            <w:noProof w:val="1"/>
          </w:rPr>
          <w:instrText xml:space="preserve"> PAGEREF _Toc176419205 \h </w:instrText>
        </w:r>
        <w:r>
          <w:rPr>
            <w:noProof w:val="1"/>
          </w:rPr>
          <w:fldChar w:fldCharType="separate"/>
        </w:r>
        <w:r>
          <w:rPr>
            <w:noProof w:val="1"/>
          </w:rPr>
          <w:t>23</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06">
        <w:r>
          <w:rPr>
            <w:rStyle w:val="C2"/>
            <w:noProof w:val="1"/>
          </w:rPr>
          <w:t>6.2 NATUR</w:t>
        </w:r>
        <w:r>
          <w:rPr>
            <w:noProof w:val="1"/>
          </w:rPr>
          <w:tab/>
        </w:r>
        <w:r>
          <w:rPr>
            <w:noProof w:val="1"/>
          </w:rPr>
          <w:fldChar w:fldCharType="begin"/>
        </w:r>
        <w:r>
          <w:rPr>
            <w:noProof w:val="1"/>
          </w:rPr>
          <w:instrText xml:space="preserve"> PAGEREF _Toc176419206 \h </w:instrText>
        </w:r>
        <w:r>
          <w:rPr>
            <w:noProof w:val="1"/>
          </w:rPr>
          <w:fldChar w:fldCharType="separate"/>
        </w:r>
        <w:r>
          <w:rPr>
            <w:noProof w:val="1"/>
          </w:rPr>
          <w:t>24</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07">
        <w:r>
          <w:rPr>
            <w:rStyle w:val="C2"/>
            <w:noProof w:val="1"/>
          </w:rPr>
          <w:t>6.3 MILJÖ</w:t>
        </w:r>
        <w:r>
          <w:rPr>
            <w:noProof w:val="1"/>
          </w:rPr>
          <w:tab/>
        </w:r>
        <w:r>
          <w:rPr>
            <w:noProof w:val="1"/>
          </w:rPr>
          <w:fldChar w:fldCharType="begin"/>
        </w:r>
        <w:r>
          <w:rPr>
            <w:noProof w:val="1"/>
          </w:rPr>
          <w:instrText xml:space="preserve"> PAGEREF _Toc176419207 \h </w:instrText>
        </w:r>
        <w:r>
          <w:rPr>
            <w:noProof w:val="1"/>
          </w:rPr>
          <w:fldChar w:fldCharType="separate"/>
        </w:r>
        <w:r>
          <w:rPr>
            <w:noProof w:val="1"/>
          </w:rPr>
          <w:t>24</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08">
        <w:r>
          <w:rPr>
            <w:rStyle w:val="C2"/>
            <w:noProof w:val="1"/>
          </w:rPr>
          <w:t>6.3.1 MILJÖBEDÖMNING</w:t>
        </w:r>
        <w:r>
          <w:rPr>
            <w:noProof w:val="1"/>
          </w:rPr>
          <w:tab/>
        </w:r>
        <w:r>
          <w:rPr>
            <w:noProof w:val="1"/>
          </w:rPr>
          <w:fldChar w:fldCharType="begin"/>
        </w:r>
        <w:r>
          <w:rPr>
            <w:noProof w:val="1"/>
          </w:rPr>
          <w:instrText xml:space="preserve"> PAGEREF _Toc176419208 \h </w:instrText>
        </w:r>
        <w:r>
          <w:rPr>
            <w:noProof w:val="1"/>
          </w:rPr>
          <w:fldChar w:fldCharType="separate"/>
        </w:r>
        <w:r>
          <w:rPr>
            <w:noProof w:val="1"/>
          </w:rPr>
          <w:t>24</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09">
        <w:r>
          <w:rPr>
            <w:rStyle w:val="C2"/>
            <w:noProof w:val="1"/>
          </w:rPr>
          <w:t>6.3.2 DAGVATTEN</w:t>
        </w:r>
        <w:r>
          <w:rPr>
            <w:noProof w:val="1"/>
          </w:rPr>
          <w:tab/>
        </w:r>
        <w:r>
          <w:rPr>
            <w:noProof w:val="1"/>
          </w:rPr>
          <w:fldChar w:fldCharType="begin"/>
        </w:r>
        <w:r>
          <w:rPr>
            <w:noProof w:val="1"/>
          </w:rPr>
          <w:instrText xml:space="preserve"> PAGEREF _Toc176419209 \h </w:instrText>
        </w:r>
        <w:r>
          <w:rPr>
            <w:noProof w:val="1"/>
          </w:rPr>
          <w:fldChar w:fldCharType="separate"/>
        </w:r>
        <w:r>
          <w:rPr>
            <w:noProof w:val="1"/>
          </w:rPr>
          <w:t>24</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0">
        <w:r>
          <w:rPr>
            <w:rStyle w:val="C2"/>
            <w:noProof w:val="1"/>
          </w:rPr>
          <w:t>6.4 MILJÖKVALITETSNORMER</w:t>
        </w:r>
        <w:r>
          <w:rPr>
            <w:noProof w:val="1"/>
          </w:rPr>
          <w:tab/>
        </w:r>
        <w:r>
          <w:rPr>
            <w:noProof w:val="1"/>
          </w:rPr>
          <w:fldChar w:fldCharType="begin"/>
        </w:r>
        <w:r>
          <w:rPr>
            <w:noProof w:val="1"/>
          </w:rPr>
          <w:instrText xml:space="preserve"> PAGEREF _Toc176419210 \h </w:instrText>
        </w:r>
        <w:r>
          <w:rPr>
            <w:noProof w:val="1"/>
          </w:rPr>
          <w:fldChar w:fldCharType="separate"/>
        </w:r>
        <w:r>
          <w:rPr>
            <w:noProof w:val="1"/>
          </w:rPr>
          <w:t>24</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1">
        <w:r>
          <w:rPr>
            <w:rStyle w:val="C2"/>
            <w:noProof w:val="1"/>
          </w:rPr>
          <w:t>6.5 HÄLSA, SÄKERHET OCH SAMHÄLLE</w:t>
        </w:r>
        <w:r>
          <w:rPr>
            <w:noProof w:val="1"/>
          </w:rPr>
          <w:tab/>
        </w:r>
        <w:r>
          <w:rPr>
            <w:noProof w:val="1"/>
          </w:rPr>
          <w:fldChar w:fldCharType="begin"/>
        </w:r>
        <w:r>
          <w:rPr>
            <w:noProof w:val="1"/>
          </w:rPr>
          <w:instrText xml:space="preserve"> PAGEREF _Toc176419211 \h </w:instrText>
        </w:r>
        <w:r>
          <w:rPr>
            <w:noProof w:val="1"/>
          </w:rPr>
          <w:fldChar w:fldCharType="separate"/>
        </w:r>
        <w:r>
          <w:rPr>
            <w:noProof w:val="1"/>
          </w:rPr>
          <w:t>24</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2">
        <w:r>
          <w:rPr>
            <w:rStyle w:val="C2"/>
            <w:noProof w:val="1"/>
          </w:rPr>
          <w:t>6.6 RIKSINTRESSE</w:t>
        </w:r>
        <w:r>
          <w:rPr>
            <w:noProof w:val="1"/>
          </w:rPr>
          <w:tab/>
        </w:r>
        <w:r>
          <w:rPr>
            <w:noProof w:val="1"/>
          </w:rPr>
          <w:fldChar w:fldCharType="begin"/>
        </w:r>
        <w:r>
          <w:rPr>
            <w:noProof w:val="1"/>
          </w:rPr>
          <w:instrText xml:space="preserve"> PAGEREF _Toc176419212 \h </w:instrText>
        </w:r>
        <w:r>
          <w:rPr>
            <w:noProof w:val="1"/>
          </w:rPr>
          <w:fldChar w:fldCharType="separate"/>
        </w:r>
        <w:r>
          <w:rPr>
            <w:noProof w:val="1"/>
          </w:rPr>
          <w:t>24</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3">
        <w:r>
          <w:rPr>
            <w:rStyle w:val="C2"/>
            <w:noProof w:val="1"/>
          </w:rPr>
          <w:t>6.7 KULTURMILJÖ</w:t>
        </w:r>
        <w:r>
          <w:rPr>
            <w:noProof w:val="1"/>
          </w:rPr>
          <w:tab/>
        </w:r>
        <w:r>
          <w:rPr>
            <w:noProof w:val="1"/>
          </w:rPr>
          <w:fldChar w:fldCharType="begin"/>
        </w:r>
        <w:r>
          <w:rPr>
            <w:noProof w:val="1"/>
          </w:rPr>
          <w:instrText xml:space="preserve"> PAGEREF _Toc176419213 \h </w:instrText>
        </w:r>
        <w:r>
          <w:rPr>
            <w:noProof w:val="1"/>
          </w:rPr>
          <w:fldChar w:fldCharType="separate"/>
        </w:r>
        <w:r>
          <w:rPr>
            <w:noProof w:val="1"/>
          </w:rPr>
          <w:t>25</w:t>
        </w:r>
        <w:r>
          <w:rPr>
            <w:noProof w:val="1"/>
          </w:rPr>
          <w:fldChar w:fldCharType="end"/>
        </w:r>
      </w:hyperlink>
    </w:p>
    <w:p>
      <w:pPr>
        <w:pStyle w:val="P10"/>
        <w:tabs>
          <w:tab w:val="left" w:pos="440" w:leader="none"/>
          <w:tab w:val="right" w:pos="9016" w:leader="dot"/>
        </w:tabs>
        <w:rPr>
          <w:rFonts w:cstheme="minorBidi" w:eastAsiaTheme="minorEastAsia"/>
          <w:b w:val="0"/>
          <w:bCs w:val="0"/>
          <w:caps w:val="0"/>
          <w:noProof w:val="1"/>
          <w:color w:val="auto"/>
          <w:sz w:val="22"/>
          <w:szCs w:val="22"/>
        </w:rPr>
      </w:pPr>
      <w:hyperlink w:anchor="_Toc176419214">
        <w:r>
          <w:rPr>
            <w:rStyle w:val="C2"/>
            <w:noProof w:val="1"/>
          </w:rPr>
          <w:t>7</w:t>
        </w:r>
        <w:r>
          <w:rPr>
            <w:rFonts w:cstheme="minorBidi" w:eastAsiaTheme="minorEastAsia"/>
            <w:b w:val="0"/>
            <w:bCs w:val="0"/>
            <w:caps w:val="0"/>
            <w:noProof w:val="1"/>
            <w:color w:val="auto"/>
            <w:sz w:val="22"/>
            <w:szCs w:val="22"/>
          </w:rPr>
          <w:tab/>
        </w:r>
        <w:r>
          <w:rPr>
            <w:rStyle w:val="C2"/>
            <w:noProof w:val="1"/>
          </w:rPr>
          <w:t>GENOMFÖRANDEFRÅGOR</w:t>
        </w:r>
        <w:r>
          <w:rPr>
            <w:noProof w:val="1"/>
          </w:rPr>
          <w:tab/>
        </w:r>
        <w:r>
          <w:rPr>
            <w:noProof w:val="1"/>
          </w:rPr>
          <w:fldChar w:fldCharType="begin"/>
        </w:r>
        <w:r>
          <w:rPr>
            <w:noProof w:val="1"/>
          </w:rPr>
          <w:instrText xml:space="preserve"> PAGEREF _Toc176419214 \h </w:instrText>
        </w:r>
        <w:r>
          <w:rPr>
            <w:noProof w:val="1"/>
          </w:rPr>
          <w:fldChar w:fldCharType="separate"/>
        </w:r>
        <w:r>
          <w:rPr>
            <w:noProof w:val="1"/>
          </w:rPr>
          <w:t>25</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5">
        <w:r>
          <w:rPr>
            <w:rStyle w:val="C2"/>
            <w:noProof w:val="1"/>
          </w:rPr>
          <w:t>7.1 MARK- OCH UTRYMMEFÖRVÄRV</w:t>
        </w:r>
        <w:r>
          <w:rPr>
            <w:noProof w:val="1"/>
          </w:rPr>
          <w:tab/>
        </w:r>
        <w:r>
          <w:rPr>
            <w:noProof w:val="1"/>
          </w:rPr>
          <w:fldChar w:fldCharType="begin"/>
        </w:r>
        <w:r>
          <w:rPr>
            <w:noProof w:val="1"/>
          </w:rPr>
          <w:instrText xml:space="preserve"> PAGEREF _Toc176419215 \h </w:instrText>
        </w:r>
        <w:r>
          <w:rPr>
            <w:noProof w:val="1"/>
          </w:rPr>
          <w:fldChar w:fldCharType="separate"/>
        </w:r>
        <w:r>
          <w:rPr>
            <w:noProof w:val="1"/>
          </w:rPr>
          <w:t>25</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6">
        <w:r>
          <w:rPr>
            <w:rStyle w:val="C2"/>
            <w:noProof w:val="1"/>
          </w:rPr>
          <w:t>7.2 FASTIGHETSRÄTTSLIGA FRÅGOR</w:t>
        </w:r>
        <w:r>
          <w:rPr>
            <w:noProof w:val="1"/>
          </w:rPr>
          <w:tab/>
        </w:r>
        <w:r>
          <w:rPr>
            <w:noProof w:val="1"/>
          </w:rPr>
          <w:fldChar w:fldCharType="begin"/>
        </w:r>
        <w:r>
          <w:rPr>
            <w:noProof w:val="1"/>
          </w:rPr>
          <w:instrText xml:space="preserve"> PAGEREF _Toc176419216 \h </w:instrText>
        </w:r>
        <w:r>
          <w:rPr>
            <w:noProof w:val="1"/>
          </w:rPr>
          <w:fldChar w:fldCharType="separate"/>
        </w:r>
        <w:r>
          <w:rPr>
            <w:noProof w:val="1"/>
          </w:rPr>
          <w:t>25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17">
        <w:r>
          <w:rPr>
            <w:rStyle w:val="C2"/>
            <w:noProof w:val="1"/>
          </w:rPr>
          <w:t>7.2.1 RÄTTIGHETER</w:t>
        </w:r>
        <w:r>
          <w:rPr>
            <w:noProof w:val="1"/>
          </w:rPr>
          <w:tab/>
        </w:r>
        <w:r>
          <w:rPr>
            <w:noProof w:val="1"/>
          </w:rPr>
          <w:fldChar w:fldCharType="begin"/>
        </w:r>
        <w:r>
          <w:rPr>
            <w:noProof w:val="1"/>
          </w:rPr>
          <w:instrText xml:space="preserve"> PAGEREF _Toc176419217 \h </w:instrText>
        </w:r>
        <w:r>
          <w:rPr>
            <w:noProof w:val="1"/>
          </w:rPr>
          <w:fldChar w:fldCharType="separate"/>
        </w:r>
        <w:r>
          <w:rPr>
            <w:noProof w:val="1"/>
          </w:rPr>
          <w:t>25</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18">
        <w:r>
          <w:rPr>
            <w:rStyle w:val="C2"/>
            <w:noProof w:val="1"/>
          </w:rPr>
          <w:t>7.3 TEKNISKA FRÅGOR</w:t>
        </w:r>
        <w:r>
          <w:rPr>
            <w:noProof w:val="1"/>
          </w:rPr>
          <w:tab/>
        </w:r>
        <w:r>
          <w:rPr>
            <w:noProof w:val="1"/>
          </w:rPr>
          <w:fldChar w:fldCharType="begin"/>
        </w:r>
        <w:r>
          <w:rPr>
            <w:noProof w:val="1"/>
          </w:rPr>
          <w:instrText xml:space="preserve"> PAGEREF _Toc176419218 \h </w:instrText>
        </w:r>
        <w:r>
          <w:rPr>
            <w:noProof w:val="1"/>
          </w:rPr>
          <w:fldChar w:fldCharType="separate"/>
        </w:r>
        <w:r>
          <w:rPr>
            <w:noProof w:val="1"/>
          </w:rPr>
          <w:t>25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19">
        <w:r>
          <w:rPr>
            <w:rStyle w:val="C2"/>
            <w:noProof w:val="1"/>
          </w:rPr>
          <w:t>7.3.1 UTBYGGNAD PÅ ALLMÄN PLATS</w:t>
        </w:r>
        <w:r>
          <w:rPr>
            <w:noProof w:val="1"/>
          </w:rPr>
          <w:tab/>
        </w:r>
        <w:r>
          <w:rPr>
            <w:noProof w:val="1"/>
          </w:rPr>
          <w:fldChar w:fldCharType="begin"/>
        </w:r>
        <w:r>
          <w:rPr>
            <w:noProof w:val="1"/>
          </w:rPr>
          <w:instrText xml:space="preserve"> PAGEREF _Toc176419219 \h </w:instrText>
        </w:r>
        <w:r>
          <w:rPr>
            <w:noProof w:val="1"/>
          </w:rPr>
          <w:fldChar w:fldCharType="separate"/>
        </w:r>
        <w:r>
          <w:rPr>
            <w:noProof w:val="1"/>
          </w:rPr>
          <w:t>25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20">
        <w:r>
          <w:rPr>
            <w:rStyle w:val="C2"/>
            <w:noProof w:val="1"/>
          </w:rPr>
          <w:t>7.3.2 UTBYGGNAD VATTEN OCH AVLOPP</w:t>
        </w:r>
        <w:r>
          <w:rPr>
            <w:noProof w:val="1"/>
          </w:rPr>
          <w:tab/>
        </w:r>
        <w:r>
          <w:rPr>
            <w:noProof w:val="1"/>
          </w:rPr>
          <w:fldChar w:fldCharType="begin"/>
        </w:r>
        <w:r>
          <w:rPr>
            <w:noProof w:val="1"/>
          </w:rPr>
          <w:instrText xml:space="preserve"> PAGEREF _Toc176419220 \h </w:instrText>
        </w:r>
        <w:r>
          <w:rPr>
            <w:noProof w:val="1"/>
          </w:rPr>
          <w:fldChar w:fldCharType="separate"/>
        </w:r>
        <w:r>
          <w:rPr>
            <w:noProof w:val="1"/>
          </w:rPr>
          <w:t>25</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21">
        <w:r>
          <w:rPr>
            <w:rStyle w:val="C2"/>
            <w:noProof w:val="1"/>
          </w:rPr>
          <w:t>7.4 EKONOMISKA FRÅGOR</w:t>
        </w:r>
        <w:r>
          <w:rPr>
            <w:noProof w:val="1"/>
          </w:rPr>
          <w:tab/>
        </w:r>
        <w:r>
          <w:rPr>
            <w:noProof w:val="1"/>
          </w:rPr>
          <w:fldChar w:fldCharType="begin"/>
        </w:r>
        <w:r>
          <w:rPr>
            <w:noProof w:val="1"/>
          </w:rPr>
          <w:instrText xml:space="preserve"> PAGEREF _Toc176419221 \h </w:instrText>
        </w:r>
        <w:r>
          <w:rPr>
            <w:noProof w:val="1"/>
          </w:rPr>
          <w:fldChar w:fldCharType="separate"/>
        </w:r>
        <w:r>
          <w:rPr>
            <w:noProof w:val="1"/>
          </w:rPr>
          <w:t>25</w:t>
        </w:r>
        <w:r>
          <w:rPr>
            <w:noProof w:val="1"/>
          </w:rPr>
          <w:fldChar w:fldCharType="end"/>
        </w:r>
      </w:hyperlink>
    </w:p>
    <w:p>
      <w:pPr>
        <w:pStyle w:val="P12"/>
        <w:tabs>
          <w:tab w:val="right" w:pos="9016" w:leader="dot"/>
        </w:tabs>
        <w:rPr>
          <w:rFonts w:cstheme="minorBidi" w:eastAsiaTheme="minorEastAsia"/>
          <w:i w:val="0"/>
          <w:iCs w:val="0"/>
          <w:noProof w:val="1"/>
          <w:color w:val="auto"/>
          <w:sz w:val="22"/>
          <w:szCs w:val="22"/>
        </w:rPr>
      </w:pPr>
      <w:hyperlink w:anchor="_Toc176419222">
        <w:r>
          <w:rPr>
            <w:rStyle w:val="C2"/>
            <w:noProof w:val="1"/>
          </w:rPr>
          <w:t>7.4.1 PLANAVGIFT</w:t>
        </w:r>
        <w:r>
          <w:rPr>
            <w:noProof w:val="1"/>
          </w:rPr>
          <w:tab/>
        </w:r>
        <w:r>
          <w:rPr>
            <w:noProof w:val="1"/>
          </w:rPr>
          <w:fldChar w:fldCharType="begin"/>
        </w:r>
        <w:r>
          <w:rPr>
            <w:noProof w:val="1"/>
          </w:rPr>
          <w:instrText xml:space="preserve"> PAGEREF _Toc176419222 \h </w:instrText>
        </w:r>
        <w:r>
          <w:rPr>
            <w:noProof w:val="1"/>
          </w:rPr>
          <w:fldChar w:fldCharType="separate"/>
        </w:r>
        <w:r>
          <w:rPr>
            <w:noProof w:val="1"/>
          </w:rPr>
          <w:t>26</w:t>
        </w:r>
        <w:r>
          <w:rPr>
            <w:noProof w:val="1"/>
          </w:rPr>
          <w:fldChar w:fldCharType="end"/>
        </w:r>
      </w:hyperlink>
    </w:p>
    <w:p>
      <w:pPr>
        <w:pStyle w:val="P11"/>
        <w:tabs>
          <w:tab w:val="right" w:pos="9016" w:leader="dot"/>
        </w:tabs>
        <w:rPr>
          <w:rFonts w:cstheme="minorBidi" w:eastAsiaTheme="minorEastAsia"/>
          <w:smallCaps w:val="0"/>
          <w:noProof w:val="1"/>
          <w:color w:val="auto"/>
          <w:sz w:val="22"/>
          <w:szCs w:val="22"/>
        </w:rPr>
      </w:pPr>
      <w:hyperlink w:anchor="_Toc176419223">
        <w:r>
          <w:rPr>
            <w:rStyle w:val="C2"/>
            <w:noProof w:val="1"/>
          </w:rPr>
          <w:t>7.5 ORGANISATORISKA FRÅGOR</w:t>
        </w:r>
        <w:r>
          <w:rPr>
            <w:noProof w:val="1"/>
          </w:rPr>
          <w:tab/>
        </w:r>
        <w:r>
          <w:rPr>
            <w:noProof w:val="1"/>
          </w:rPr>
          <w:fldChar w:fldCharType="begin"/>
        </w:r>
        <w:r>
          <w:rPr>
            <w:noProof w:val="1"/>
          </w:rPr>
          <w:instrText xml:space="preserve"> PAGEREF _Toc176419223 \h </w:instrText>
        </w:r>
        <w:r>
          <w:rPr>
            <w:noProof w:val="1"/>
          </w:rPr>
          <w:fldChar w:fldCharType="separate"/>
        </w:r>
        <w:r>
          <w:rPr>
            <w:noProof w:val="1"/>
          </w:rPr>
          <w:t>26</w:t>
        </w:r>
        <w:r>
          <w:rPr>
            <w:noProof w:val="1"/>
          </w:rPr>
          <w:fldChar w:fldCharType="end"/>
        </w:r>
      </w:hyperlink>
    </w:p>
    <w:p>
      <w:pPr>
        <w:rPr>
          <w:sz w:val="18"/>
        </w:rPr>
      </w:pPr>
      <w:r>
        <w:fldChar w:fldCharType="end"/>
      </w:r>
    </w:p>
    <w:p>
      <w:r>
        <w:br w:type="page"/>
      </w:r>
    </w:p>
    <w:p>
      <w:pPr>
        <w:pStyle w:val="P19"/>
      </w:pPr>
      <w:bookmarkStart w:id="4" w:name="_Toc89445972"/>
      <w:bookmarkStart w:id="5" w:name="_Toc176419163"/>
      <w:r>
        <w:t>DETALJPLANENS SYFTE</w:t>
      </w:r>
      <w:bookmarkEnd w:id="4"/>
      <w:bookmarkEnd w:id="5"/>
    </w:p>
    <w:p>
      <w:pPr>
        <w:pStyle w:val="P20"/>
      </w:pPr>
      <w:bookmarkStart w:id="6" w:name="_Toc89445973"/>
      <w:bookmarkStart w:id="7" w:name="_Toc176419164"/>
      <w:bookmarkStart w:id="8" w:name="sy_syfte01"/>
      <w:r>
        <w:rPr>
          <w:caps w:val="0"/>
        </w:rPr>
        <w:t>SYFTE</w:t>
      </w:r>
      <w:bookmarkEnd w:id="6"/>
      <w:bookmarkEnd w:id="7"/>
    </w:p>
    <w:p>
      <w:pPr>
        <w:rPr>
          <w:szCs w:val="24"/>
        </w:rPr>
      </w:pPr>
      <w:r>
        <w:t>Syftet med en ny detaljplan är att möjliggöra för fler användningar på platsen som idag är planlagd för samlingslokal. Den nya detaljplanen syftar till att tillåta användningar så som bostad, tillfällig vistelse i form av bed and breakfast, cafeteria, restaurangverksamhet eller liknande.</w:t>
      </w:r>
    </w:p>
    <w:p>
      <w:pPr>
        <w:rPr>
          <w:szCs w:val="24"/>
        </w:rPr>
      </w:pPr>
      <w:bookmarkEnd w:id="8"/>
      <w:r>
        <w:rPr>
          <w:noProof w:val="1"/>
        </w:rPr>
        <w:drawing>
          <wp:anchor xmlns:wp="http://schemas.openxmlformats.org/drawingml/2006/wordprocessingDrawing" distT="0" distB="0" distL="114300" distR="114300" simplePos="0" relativeHeight="9" behindDoc="0" locked="0" layoutInCell="1" allowOverlap="1">
            <wp:simplePos x="0" y="0"/>
            <wp:positionH relativeFrom="margin">
              <wp:align>right</wp:align>
            </wp:positionH>
            <wp:positionV relativeFrom="paragraph">
              <wp:posOffset>273685</wp:posOffset>
            </wp:positionV>
            <wp:extent cx="5731510" cy="2583815"/>
            <wp:effectExtent l="0" t="0" r="2540" b="6985"/>
            <wp:wrapTopAndBottom/>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4" cstate="print"/>
                    <a:srcRect/>
                    <a:stretch>
                      <a:fillRect/>
                    </a:stretch>
                  </pic:blipFill>
                  <pic:spPr bwMode="auto">
                    <a:xfrm>
                      <a:off x="0" y="0"/>
                      <a:ext cx="5731510" cy="2583815"/>
                    </a:xfrm>
                    <a:prstGeom prst="rect"/>
                    <a:noFill/>
                    <a:ln>
                      <a:noFill/>
                    </a:ln>
                  </pic:spPr>
                </pic:pic>
              </a:graphicData>
            </a:graphic>
          </wp:anchor>
        </w:drawing>
      </w:r>
    </w:p>
    <w:p>
      <w:pPr>
        <w:rPr>
          <w:szCs w:val="24"/>
          <w:u w:val="single"/>
        </w:rPr>
      </w:pPr>
      <w:r>
        <w:rPr>
          <w:szCs w:val="24"/>
        </w:rPr>
        <w:br w:type="page"/>
      </w:r>
    </w:p>
    <w:p>
      <w:pPr>
        <w:pStyle w:val="P19"/>
      </w:pPr>
      <w:bookmarkStart w:id="9" w:name="_Toc89445974"/>
      <w:bookmarkStart w:id="10" w:name="_Toc176419165"/>
      <w:r>
        <w:t>BESKRIVNING AV DETALJPLANEN</w:t>
      </w:r>
      <w:bookmarkEnd w:id="9"/>
      <w:bookmarkEnd w:id="10"/>
    </w:p>
    <w:p>
      <w:pPr>
        <w:pStyle w:val="P20"/>
      </w:pPr>
      <w:bookmarkStart w:id="11" w:name="_Toc89445975"/>
      <w:bookmarkStart w:id="12" w:name="_Toc176419166"/>
      <w:r>
        <w:rPr>
          <w:caps w:val="0"/>
        </w:rPr>
        <w:t>HELA DETALJPLANEN</w:t>
      </w:r>
      <w:bookmarkEnd w:id="11"/>
      <w:bookmarkEnd w:id="12"/>
      <w:bookmarkStart w:id="13" w:name="_Toc89445976"/>
    </w:p>
    <w:p>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2011045</wp:posOffset>
                </wp:positionH>
                <wp:positionV relativeFrom="paragraph">
                  <wp:posOffset>2877185</wp:posOffset>
                </wp:positionV>
                <wp:extent cx="1788795" cy="3406140"/>
                <wp:effectExtent l="38100" t="0" r="20955" b="60960"/>
                <wp:wrapNone/>
                <wp:docPr id="19" name="Rak pil 19"/>
                <wp:cNvGraphicFramePr/>
                <a:graphic xmlns:a="http://schemas.openxmlformats.org/drawingml/2006/main">
                  <a:graphicData uri="http://schemas.microsoft.com/office/word/2010/wordprocessingShape">
                    <wps:wsp>
                      <wps:cNvCnPr>
                        <a:stCxn id="0" idx="0"/>
                        <a:endCxn id="0" idx="0"/>
                      </wps:cNvCnPr>
                      <wps:spPr>
                        <a:xfrm flipH="1">
                          <a:off x="0" y="0"/>
                          <a:ext cx="1788795" cy="3406140"/>
                        </a:xfrm>
                        <a:prstGeom prst="straightConnector1"/>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xmlns:o="urn:schemas-microsoft-com:office:office" type="#_x0000_t32" id="Rak pil 19" o:spid="_x0000_s1029" style="position:absolute;width:140.85pt;height:268.2pt;flip:x;z-index:5;mso-wrap-distance-left:9pt;mso-wrap-distance-top:0pt;mso-wrap-distance-right:9pt;mso-wrap-distance-bottom:0pt;margin-left:158.35pt;margin-top:226.55pt;mso-position-horizontal:absolute;mso-position-horizontal-relative:text;mso-position-vertical:absolute;mso-position-vertical-relative:text" strokecolor="#FF0000" strokeweight="1pt" stroked="t" o:allowincell="t">
                <v:stroke endarrow="block"/>
              </v:shape>
            </w:pict>
          </mc:Fallback>
        </mc:AlternateContent>
      </w:r>
      <w:r>
        <w:rPr>
          <w:noProof w:val="1"/>
        </w:rPr>
        <w:drawing>
          <wp:anchor xmlns:wp="http://schemas.openxmlformats.org/drawingml/2006/wordprocessingDrawing" distT="0" distB="0" distL="114300" distR="114300" simplePos="0" relativeHeight="2" behindDoc="0" locked="0" layoutInCell="1" allowOverlap="1">
            <wp:simplePos x="0" y="0"/>
            <wp:positionH relativeFrom="margin">
              <wp:align>center</wp:align>
            </wp:positionH>
            <wp:positionV relativeFrom="paragraph">
              <wp:posOffset>1315085</wp:posOffset>
            </wp:positionV>
            <wp:extent cx="5532120" cy="2583180"/>
            <wp:effectExtent l="0" t="0" r="0" b="7620"/>
            <wp:wrapTopAndBottom/>
            <wp:docPr id="17" name="Bildobjekt 17"/>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dpi="0">
                    <a:blip xmlns:r="http://schemas.openxmlformats.org/officeDocument/2006/relationships" r:embed="Relimage5" cstate="print"/>
                    <a:srcRect b="6093"/>
                    <a:stretch>
                      <a:fillRect/>
                    </a:stretch>
                  </pic:blipFill>
                  <pic:spPr bwMode="auto">
                    <a:xfrm>
                      <a:off x="0" y="0"/>
                      <a:ext cx="5532120" cy="2583180"/>
                    </a:xfrm>
                    <a:prstGeom prst="rect"/>
                    <a:ln>
                      <a:noFill/>
                    </a:ln>
                  </pic:spPr>
                </pic:pic>
              </a:graphicData>
            </a:graphic>
          </wp:anchor>
        </w:drawing>
      </w:r>
      <w:r>
        <w:rPr>
          <w:b w:val="1"/>
        </w:rPr>
        <w:t>Läge, areal och avgränsning:</w:t>
      </w:r>
      <w:r>
        <w:t xml:space="preserve"> Planområdet ligger i östra kanten av Unnaryds samhälle strax norr om Bolmenvägen (870). Planområdet består idag av en fastighet med två byggnader. Intill planområdet återfinns befintliga bostäder och natur. Planområdet består enbart av fastigheten Unnaryd 2:48. Området avgränsas utefter den nuvarande detaljplanen Un 529 inom användningen samlingslokal. Planområdets omfattning är </w:t>
      </w:r>
      <w:r>
        <w:rPr>
          <w:color w:val="auto"/>
        </w:rPr>
        <w:t>ca 1400 m</w:t>
      </w:r>
      <w:r>
        <w:rPr>
          <w:color w:val="auto"/>
          <w:vertAlign w:val="superscript"/>
        </w:rPr>
        <w:t>2</w:t>
      </w:r>
      <w:r>
        <w:rPr>
          <w:color w:val="auto"/>
        </w:rPr>
        <w:t>.</w:t>
      </w:r>
    </w:p>
    <w:p>
      <w:pPr>
        <w:pStyle w:val="P36"/>
      </w:pP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121920</wp:posOffset>
            </wp:positionH>
            <wp:positionV relativeFrom="paragraph">
              <wp:posOffset>2828925</wp:posOffset>
            </wp:positionV>
            <wp:extent cx="2686050" cy="3004185"/>
            <wp:effectExtent l="0" t="0" r="0" b="5715"/>
            <wp:wrapTopAndBottom/>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
                    <pic:cNvPicPr/>
                  </pic:nvPicPr>
                  <pic:blipFill dpi="0">
                    <a:blip xmlns:r="http://schemas.openxmlformats.org/officeDocument/2006/relationships" r:embed="Relimage6" cstate="print"/>
                    <a:srcRect/>
                    <a:stretch>
                      <a:fillRect/>
                    </a:stretch>
                  </pic:blipFill>
                  <pic:spPr>
                    <a:xfrm>
                      <a:off x="0" y="0"/>
                      <a:ext cx="2686050" cy="3004705"/>
                    </a:xfrm>
                    <a:prstGeom prst="rect"/>
                  </pic:spPr>
                </pic:pic>
              </a:graphicData>
            </a:graphic>
          </wp:anchor>
        </w:drawing>
      </w:r>
    </w:p>
    <w:p>
      <w:pPr>
        <w:pStyle w:val="P33"/>
        <w:spacing w:lineRule="auto" w:line="240" w:before="120" w:after="360" w:beforeAutospacing="0" w:afterAutospacing="0"/>
        <w:rPr>
          <w:sz w:val="16"/>
          <w:szCs w:val="16"/>
        </w:rPr>
      </w:pPr>
      <w:r>
        <w:rPr>
          <w:sz w:val="16"/>
          <w:szCs w:val="16"/>
        </w:rPr>
        <w:t xml:space="preserve">     Aktuellt planområde.</w:t>
      </w:r>
    </w:p>
    <w:p>
      <w:pPr>
        <w:rPr>
          <w:b w:val="1"/>
        </w:rPr>
      </w:pPr>
    </w:p>
    <w:p>
      <w:pPr>
        <w:ind w:left="0"/>
        <w:rPr>
          <w:b w:val="1"/>
        </w:rPr>
      </w:pPr>
    </w:p>
    <w:p>
      <w:pPr>
        <w:ind w:firstLine="425" w:left="0"/>
        <w:rPr>
          <w:b w:val="1"/>
        </w:rPr>
      </w:pPr>
      <w:r>
        <w:rPr>
          <w:b w:val="1"/>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161925</wp:posOffset>
                </wp:positionH>
                <wp:positionV relativeFrom="paragraph">
                  <wp:posOffset>-126365</wp:posOffset>
                </wp:positionV>
                <wp:extent cx="5783580" cy="1276350"/>
                <wp:effectExtent l="19050" t="19050" r="26670" b="19050"/>
                <wp:wrapNone/>
                <wp:docPr id="15" name="Rektangel 15"/>
                <wp:cNvGraphicFramePr/>
                <a:graphic xmlns:a="http://schemas.openxmlformats.org/drawingml/2006/main">
                  <a:graphicData uri="http://schemas.microsoft.com/office/word/2010/wordprocessingShape">
                    <wps:wsp>
                      <wps:cNvSpPr/>
                      <wps:spPr>
                        <a:xfrm>
                          <a:off x="0" y="0"/>
                          <a:ext cx="5783580" cy="1276350"/>
                        </a:xfrm>
                        <a:prstGeom prst="rect"/>
                        <a:noFill/>
                        <a:ln w="38100">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15" o:spid="_x0000_s1030" style="position:absolute;width:455.4pt;height:100.5pt;z-index:6;mso-wrap-distance-left:9pt;mso-wrap-distance-top:0pt;mso-wrap-distance-right:9pt;mso-wrap-distance-bottom:0pt;margin-left:12.75pt;margin-top:-9.95pt;mso-position-horizontal:absolute;mso-position-horizontal-relative:text;mso-position-vertical:absolute;mso-position-vertical-relative:text;v-text-anchor:middle" o:allowincell="t" filled="f" strokecolor="#2F5597" strokeweight="3pt" stroked="t">
                <v:textbox inset="3mm,1mm,3mm,1mm">
                  <w:txbxContent>
                    <w:p/>
                  </w:txbxContent>
                </v:textbox>
              </v:rect>
            </w:pict>
          </mc:Fallback>
        </mc:AlternateContent>
      </w:r>
      <w:r>
        <w:rPr>
          <w:b w:val="1"/>
        </w:rPr>
        <w:t>Markägoförhållanden:</w:t>
      </w:r>
    </w:p>
    <w:p>
      <w:r>
        <w:t>Aktuellt planområde innefattar följande fastighet</w:t>
      </w:r>
    </w:p>
    <w:p>
      <w:r>
        <w:t>Unnaryd 2:48</w:t>
        <w:tab/>
        <w:tab/>
        <w:t>Privat fastighetsägare</w:t>
      </w:r>
    </w:p>
    <w:p/>
    <w:p>
      <w:pPr>
        <w:pStyle w:val="P20"/>
      </w:pPr>
      <w:bookmarkStart w:id="14" w:name="_Toc176419167"/>
      <w:bookmarkStart w:id="15" w:name="be_genomförandetid01"/>
      <w:r>
        <w:t>GENOMFÖRANDETID</w:t>
      </w:r>
      <w:bookmarkEnd w:id="13"/>
      <w:bookmarkEnd w:id="14"/>
    </w:p>
    <w:p>
      <w:pPr>
        <w:rPr>
          <w:i w:val="1"/>
        </w:rPr>
      </w:pPr>
      <w:bookmarkStart w:id="16" w:name="_Toc89445977"/>
      <w:r>
        <w:t>Planens genomförandetid är 5 år från det att planen vunnit laga kraft. Begreppet genomförandetid innebär att planens giltighetstid är begränsad. Under genomförandetiden har fastighetsägare vid ansökan om bygglov en garanterad rätt att få bygga i enlighet med planen, och detaljplanen får inte ändras utan syn</w:t>
      </w:r>
      <w:r>
        <w:softHyphen/>
      </w:r>
      <w:r>
        <w:t>ner</w:t>
      </w:r>
      <w:r>
        <w:softHyphen/>
      </w:r>
      <w:r>
        <w:t>liga skäl. Efter genomförandetidens slut är byggrätten inte garanterad, utan planen kan då ändras eller upphävas utan att de rättigheter som upp</w:t>
      </w:r>
      <w:r>
        <w:softHyphen/>
      </w:r>
      <w:r>
        <w:t>kommit genom planen behöver beaktas.</w:t>
      </w:r>
    </w:p>
    <w:p>
      <w:pPr>
        <w:pStyle w:val="P20"/>
      </w:pPr>
      <w:bookmarkEnd w:id="15"/>
      <w:bookmarkStart w:id="17" w:name="_Toc176419168"/>
      <w:r>
        <w:rPr>
          <w:caps w:val="0"/>
        </w:rPr>
        <w:t>ALLMÄN PLATS</w:t>
      </w:r>
      <w:bookmarkEnd w:id="16"/>
      <w:bookmarkEnd w:id="17"/>
    </w:p>
    <w:p>
      <w:r>
        <w:rPr>
          <w:shd w:val="clear" w:color="auto" w:fill="FFFFFF"/>
        </w:rPr>
        <w:t>Inom planområdet återfinns ingen allmän plats</w:t>
      </w:r>
      <w:r>
        <w:t>.</w:t>
      </w:r>
    </w:p>
    <w:p>
      <w:pPr>
        <w:pStyle w:val="P20"/>
      </w:pPr>
      <w:bookmarkStart w:id="18" w:name="_Toc89445979"/>
      <w:bookmarkStart w:id="19" w:name="_Toc176419169"/>
      <w:r>
        <w:rPr>
          <w:caps w:val="0"/>
        </w:rPr>
        <w:t>KVARTERSMARK</w:t>
      </w:r>
      <w:bookmarkEnd w:id="18"/>
      <w:bookmarkEnd w:id="19"/>
    </w:p>
    <w:p>
      <w:bookmarkStart w:id="20" w:name="_Hlk158618390"/>
      <w:r>
        <w:t>Detaljplanen innefattar kvartersmark vilket planläggs för bostäder, tillfällig vistelse och centrum.</w:t>
      </w:r>
    </w:p>
    <w:p>
      <w:pPr>
        <w:pStyle w:val="P20"/>
      </w:pPr>
      <w:bookmarkEnd w:id="20"/>
      <w:bookmarkStart w:id="21" w:name="_Toc89445981"/>
      <w:bookmarkStart w:id="22" w:name="_Toc176419170"/>
      <w:r>
        <w:rPr>
          <w:caps w:val="0"/>
        </w:rPr>
        <w:t>BEFINTLIGT</w:t>
      </w:r>
      <w:bookmarkEnd w:id="21"/>
      <w:bookmarkEnd w:id="22"/>
    </w:p>
    <w:p>
      <w:pPr>
        <w:rPr>
          <w:shd w:val="clear" w:color="auto" w:fill="FFFFFF"/>
        </w:rPr>
      </w:pPr>
      <w:bookmarkStart w:id="23" w:name="_Hlk158618443"/>
      <w:bookmarkStart w:id="24" w:name="_Toc89445982"/>
      <w:r>
        <w:rPr>
          <w:shd w:val="clear" w:color="auto" w:fill="FFFFFF"/>
        </w:rPr>
        <w:t>Platsen för planområdet ligger på tidigare detaljplanerad mark, kvartersmark, samlingslokal (</w:t>
      </w:r>
      <w:r>
        <w:rPr>
          <w:i w:val="1"/>
          <w:shd w:val="clear" w:color="auto" w:fill="FFFFFF"/>
        </w:rPr>
        <w:t>detaljplan Un 529</w:t>
      </w:r>
      <w:r>
        <w:rPr>
          <w:shd w:val="clear" w:color="auto" w:fill="FFFFFF"/>
        </w:rPr>
        <w:t>). Planområdet består idag av två byggnader. I angränsning till planområdet återfinns det bostäder samt en vacker natur.</w:t>
      </w:r>
      <w:bookmarkEnd w:id="23"/>
    </w:p>
    <w:p>
      <w:pPr>
        <w:pStyle w:val="P20"/>
      </w:pPr>
      <w:bookmarkEnd w:id="24"/>
      <w:bookmarkStart w:id="25" w:name="_Toc89445983"/>
      <w:bookmarkStart w:id="26" w:name="_Toc176419171"/>
      <w:bookmarkStart w:id="27" w:name="be_ärendeinformation01"/>
      <w:r>
        <w:rPr>
          <w:caps w:val="0"/>
        </w:rPr>
        <w:t>ÄRENDEINFORMATIO</w:t>
      </w:r>
      <w:bookmarkEnd w:id="25"/>
      <w:bookmarkStart w:id="28" w:name="_Toc89445984"/>
      <w:r>
        <w:rPr>
          <w:caps w:val="0"/>
        </w:rPr>
        <w:t>N</w:t>
      </w:r>
      <w:bookmarkEnd w:id="26"/>
    </w:p>
    <w:p>
      <w:bookmarkStart w:id="29" w:name="_Hlk158618972"/>
      <w:r>
        <w:t>Kommunen har beslutat att arbeta fram en detaljplan för fastigheten Unnaryd 2:48. Planprocessen beräknas fortgå enligt följande tidplan:</w:t>
      </w:r>
    </w:p>
    <w:p>
      <w:r>
        <w:t>Samråd</w:t>
        <w:tab/>
        <w:tab/>
        <w:t>april 2024</w:t>
        <w:tab/>
      </w:r>
    </w:p>
    <w:p>
      <w:pPr>
        <w:rPr>
          <w:color w:val="FF0000"/>
        </w:rPr>
      </w:pPr>
      <w:r>
        <w:t>Granskning</w:t>
        <w:tab/>
        <w:t>juli/augusti 2024</w:t>
      </w:r>
    </w:p>
    <w:p>
      <w:pPr>
        <w:rPr>
          <w:color w:val="FF0000"/>
        </w:rPr>
      </w:pPr>
      <w:r>
        <w:t>Antagande</w:t>
        <w:tab/>
        <w:t>september 2024</w:t>
      </w:r>
    </w:p>
    <w:p>
      <w:r>
        <w:t>Laga kraft</w:t>
        <w:tab/>
        <w:t>oktober 2024</w:t>
        <w:tab/>
      </w:r>
    </w:p>
    <w:p>
      <w:r>
        <w:t>Tidplanen bygger på att förutsättningarna för planarbetet står fast, att alla nödvändiga beslut tas och att inget annat oförutsett händer. Under förutsättning att planen vinner laga kraft enligt ovan, kan byggstart tidigast ske hösten 2024, efter beslut om bygglov.</w:t>
      </w:r>
      <w:bookmarkEnd w:id="29"/>
    </w:p>
    <w:p>
      <w:pPr>
        <w:pStyle w:val="P19"/>
      </w:pPr>
      <w:bookmarkEnd w:id="27"/>
      <w:bookmarkEnd w:id="28"/>
      <w:bookmarkStart w:id="30" w:name="_Toc89445985"/>
      <w:bookmarkStart w:id="31" w:name="_Toc176419172"/>
      <w:r>
        <w:rPr>
          <w:caps w:val="0"/>
        </w:rPr>
        <w:t>MOTIV TILL DETALJPLANENS REGLERINGAR</w:t>
      </w:r>
      <w:bookmarkEnd w:id="30"/>
      <w:bookmarkEnd w:id="31"/>
    </w:p>
    <w:p>
      <w:r>
        <w:rPr>
          <w:noProof w:val="1"/>
        </w:rPr>
        <w:drawing>
          <wp:inline xmlns:wp="http://schemas.openxmlformats.org/drawingml/2006/wordprocessingDrawing" distT="0" distB="0" distL="0" distR="0">
            <wp:extent cx="5731510" cy="4449445"/>
            <wp:effectExtent l="0" t="0" r="2540" b="8255"/>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8"/>
                    <pic:cNvPicPr/>
                  </pic:nvPicPr>
                  <pic:blipFill dpi="0">
                    <a:blip xmlns:r="http://schemas.openxmlformats.org/officeDocument/2006/relationships" r:embed="Relimage7"/>
                    <a:srcRect/>
                    <a:stretch>
                      <a:fillRect/>
                    </a:stretch>
                  </pic:blipFill>
                  <pic:spPr>
                    <a:xfrm>
                      <a:off x="0" y="0"/>
                      <a:ext cx="5731510" cy="4449445"/>
                    </a:xfrm>
                    <a:prstGeom prst="rect"/>
                  </pic:spPr>
                </pic:pic>
              </a:graphicData>
            </a:graphic>
          </wp:inline>
        </w:drawing>
      </w:r>
    </w:p>
    <w:p>
      <w:pPr>
        <w:pStyle w:val="P33"/>
        <w:spacing w:lineRule="auto" w:line="240" w:before="120" w:after="360" w:beforeAutospacing="0" w:afterAutospacing="0"/>
        <w:rPr>
          <w:sz w:val="16"/>
          <w:szCs w:val="16"/>
        </w:rPr>
      </w:pPr>
      <w:r>
        <w:rPr>
          <w:sz w:val="16"/>
          <w:szCs w:val="16"/>
        </w:rPr>
        <w:t>Delar av plankarta.</w:t>
      </w:r>
    </w:p>
    <w:p>
      <w:pPr>
        <w:pStyle w:val="P33"/>
        <w:spacing w:lineRule="auto" w:line="240" w:before="120" w:after="360" w:beforeAutospacing="0" w:afterAutospacing="0"/>
        <w:rPr>
          <w:sz w:val="16"/>
          <w:szCs w:val="16"/>
        </w:rPr>
      </w:pPr>
    </w:p>
    <w:p>
      <w:pPr>
        <w:pStyle w:val="P33"/>
        <w:spacing w:lineRule="auto" w:line="240" w:before="120" w:after="360" w:beforeAutospacing="0" w:afterAutospacing="0"/>
        <w:rPr>
          <w:sz w:val="16"/>
          <w:szCs w:val="16"/>
        </w:rPr>
      </w:pPr>
    </w:p>
    <w:p>
      <w:pPr>
        <w:pStyle w:val="P33"/>
        <w:spacing w:lineRule="auto" w:line="240" w:before="120" w:after="360" w:beforeAutospacing="0" w:afterAutospacing="0"/>
        <w:rPr>
          <w:sz w:val="16"/>
          <w:szCs w:val="16"/>
        </w:rPr>
      </w:pPr>
    </w:p>
    <w:p>
      <w:pPr>
        <w:pStyle w:val="P33"/>
        <w:spacing w:lineRule="auto" w:line="240" w:before="120" w:after="360" w:beforeAutospacing="0" w:afterAutospacing="0"/>
        <w:rPr>
          <w:sz w:val="16"/>
          <w:szCs w:val="16"/>
        </w:rPr>
      </w:pPr>
    </w:p>
    <w:p>
      <w:pPr>
        <w:pStyle w:val="P20"/>
      </w:pPr>
      <w:bookmarkStart w:id="32" w:name="_Toc89445986"/>
      <w:bookmarkStart w:id="33" w:name="_Toc176419173"/>
      <w:r>
        <w:rPr>
          <w:caps w:val="0"/>
        </w:rPr>
        <w:t>MOTIV TILL REGLERINGAR</w:t>
      </w:r>
      <w:bookmarkEnd w:id="32"/>
      <w:bookmarkEnd w:id="33"/>
    </w:p>
    <w:p>
      <w:pPr>
        <w:pStyle w:val="P3"/>
        <w:spacing w:after="120" w:beforeAutospacing="0" w:afterAutospacing="0"/>
        <w:ind w:hanging="11" w:left="317"/>
        <w:rPr>
          <w:sz w:val="28"/>
          <w:szCs w:val="20"/>
        </w:rPr>
      </w:pPr>
      <w:bookmarkStart w:id="34" w:name="_Toc89445988"/>
      <w:bookmarkStart w:id="35" w:name="_Toc176419174"/>
      <w:bookmarkStart w:id="36" w:name="_Toc89445987"/>
      <w:r>
        <w:rPr>
          <w:sz w:val="28"/>
          <w:szCs w:val="20"/>
        </w:rPr>
        <w:t>ANVÄNDNING AV KVARTERSMARK</w:t>
      </w:r>
      <w:bookmarkEnd w:id="34"/>
      <w:bookmarkEnd w:id="35"/>
    </w:p>
    <w:p>
      <w:pPr>
        <w:rPr>
          <w:color w:val="auto"/>
          <w:shd w:val="clear" w:color="auto" w:fill="FFFFFF"/>
        </w:rPr>
      </w:pPr>
      <w:bookmarkStart w:id="37" w:name="_Toc89445989"/>
      <w:r>
        <w:rPr>
          <w:b w:val="1"/>
          <w:bCs w:val="1"/>
          <w:color w:val="auto"/>
          <w:szCs w:val="24"/>
        </w:rPr>
        <w:t>B - BOSTÄDER:</w:t>
      </w:r>
      <w:r>
        <w:rPr>
          <w:color w:val="000000" w:themeColor="text1"/>
        </w:rPr>
        <w:t xml:space="preserve"> Användningen bostäder tillämpas för områden för olika former av </w:t>
      </w:r>
      <w:r>
        <w:rPr>
          <w:color w:val="auto"/>
        </w:rPr>
        <w:t xml:space="preserve">boende av varaktig karaktär. Även bostadskomplement ingår i användningen. </w:t>
      </w:r>
      <w:r>
        <w:rPr>
          <w:rStyle w:val="C29"/>
          <w:b w:val="0"/>
          <w:color w:val="auto"/>
          <w:shd w:val="clear" w:color="auto" w:fill="FFFFFF"/>
        </w:rPr>
        <w:t>Lagstöd:</w:t>
      </w:r>
      <w:r>
        <w:rPr>
          <w:color w:val="auto"/>
          <w:shd w:val="clear" w:color="auto" w:fill="FFFFFF"/>
        </w:rPr>
        <w:t> PBL (2010:900) 4 kap. 5 §</w:t>
      </w:r>
    </w:p>
    <w:p>
      <w:pPr>
        <w:rPr>
          <w:color w:val="auto"/>
        </w:rPr>
      </w:pPr>
      <w:bookmarkEnd w:id="36"/>
      <w:bookmarkEnd w:id="37"/>
      <w:r>
        <w:rPr>
          <w:b w:val="1"/>
          <w:bCs w:val="1"/>
        </w:rPr>
        <w:t>O - TILLFÄLLIG VISTELSE:</w:t>
      </w:r>
      <w:r>
        <w:t xml:space="preserve"> Användningen tillfällig vistelse tillämpas för områden för olika typer av tillfällig övernattning och konferensanläggningar.</w:t>
      </w:r>
      <w:r>
        <w:rPr>
          <w:color w:val="auto"/>
        </w:rPr>
        <w:t xml:space="preserve"> </w:t>
      </w:r>
      <w:r>
        <w:rPr>
          <w:rFonts w:eastAsia="Times New Roman"/>
          <w:color w:val="auto"/>
          <w:szCs w:val="24"/>
          <w:shd w:val="clear" w:color="auto" w:fill="FFFFFF"/>
        </w:rPr>
        <w:t xml:space="preserve">I användningen ingår sådan verksamhet som kompletterar den tillfälliga vistelsen, som till exempel parkering, kontor, </w:t>
      </w:r>
      <w:r>
        <w:rPr>
          <w:rFonts w:eastAsia="Times New Roman"/>
          <w:color w:val="auto"/>
          <w:szCs w:val="24"/>
        </w:rPr>
        <w:t>butiker, restaurang,</w:t>
      </w:r>
      <w:r>
        <w:rPr>
          <w:rFonts w:eastAsia="Times New Roman"/>
          <w:color w:val="auto"/>
          <w:szCs w:val="24"/>
          <w:shd w:val="clear" w:color="auto" w:fill="FFFFFF"/>
        </w:rPr>
        <w:t xml:space="preserve"> spa, gym och lekplats. Även de personalutrymmen som behövs ingår. </w:t>
      </w:r>
      <w:r>
        <w:rPr>
          <w:rStyle w:val="C29"/>
          <w:b w:val="0"/>
          <w:color w:val="auto"/>
          <w:shd w:val="clear" w:color="auto" w:fill="FFFFFF"/>
        </w:rPr>
        <w:t>Lagstöd:</w:t>
      </w:r>
      <w:r>
        <w:rPr>
          <w:color w:val="auto"/>
          <w:shd w:val="clear" w:color="auto" w:fill="FFFFFF"/>
        </w:rPr>
        <w:t> PBL (2010:900) 4 kap. 5 §</w:t>
      </w:r>
    </w:p>
    <w:p>
      <w:pPr>
        <w:rPr>
          <w:shd w:val="clear" w:color="auto" w:fill="FFFFFF"/>
        </w:rPr>
      </w:pPr>
      <w:bookmarkStart w:id="38" w:name="_Hlk158619322"/>
      <w:r>
        <w:rPr>
          <w:b w:val="1"/>
          <w:bCs w:val="1"/>
        </w:rPr>
        <w:t>C - CENTRUM</w:t>
      </w:r>
      <w:r>
        <w:rPr>
          <w:color w:val="000000" w:themeColor="text1"/>
        </w:rPr>
        <w:t xml:space="preserve">: </w:t>
      </w:r>
      <w:r>
        <w:rPr>
          <w:color w:val="auto"/>
          <w:shd w:val="clear" w:color="auto" w:fill="FFFFFF"/>
        </w:rPr>
        <w:t>Användningen centrum ska tillämpas för områden för kombinationer av handel, service, tillfällig vistelse, samlingslokaler, kontor och annan jämförlig verksamhet som ligger centralt eller på annat sätt ska vara lätta att nå. Även komplement till verksamheten centrum ingår i användningen</w:t>
      </w:r>
      <w:r>
        <w:rPr>
          <w:color w:val="auto"/>
        </w:rPr>
        <w:t>.</w:t>
      </w:r>
      <w:r>
        <w:rPr>
          <w:rStyle w:val="C29"/>
          <w:b w:val="0"/>
          <w:color w:val="auto"/>
          <w:shd w:val="clear" w:color="auto" w:fill="FFFFFF"/>
        </w:rPr>
        <w:t xml:space="preserve"> Lagstöd:</w:t>
      </w:r>
      <w:r>
        <w:rPr>
          <w:color w:val="auto"/>
          <w:shd w:val="clear" w:color="auto" w:fill="FFFFFF"/>
        </w:rPr>
        <w:t> PBL (2010:900) 4 kap. 5 §</w:t>
      </w:r>
    </w:p>
    <w:p>
      <w:pPr>
        <w:pStyle w:val="P3"/>
        <w:spacing w:after="120" w:beforeAutospacing="0" w:afterAutospacing="0"/>
        <w:ind w:hanging="11" w:left="317"/>
        <w:rPr>
          <w:sz w:val="28"/>
          <w:szCs w:val="20"/>
        </w:rPr>
      </w:pPr>
      <w:bookmarkEnd w:id="38"/>
      <w:bookmarkStart w:id="39" w:name="_Toc89445990"/>
      <w:bookmarkStart w:id="40" w:name="_Toc176419175"/>
      <w:r>
        <w:rPr>
          <w:sz w:val="28"/>
          <w:szCs w:val="20"/>
        </w:rPr>
        <w:t>EGENSKAPSBESTÄMMELSER FÖR KVARTERSMARK</w:t>
      </w:r>
      <w:bookmarkEnd w:id="39"/>
      <w:bookmarkEnd w:id="40"/>
    </w:p>
    <w:p>
      <w:bookmarkStart w:id="41" w:name="_Hlk158619456"/>
      <w:r>
        <w:rPr>
          <w:b w:val="1"/>
          <w:bCs w:val="1"/>
        </w:rPr>
        <w:t>PRICKMARK - MARKEN FÅR INTE FÖRSES MED BYGGNAD:</w:t>
      </w:r>
      <w:r>
        <w:t xml:space="preserve"> Byggnader kräver underhåll och underhållet bör i första hand kunna ske på sin egen fastighet. Byggnader nära fastighetsgräns kan även missgynna grannar. Byggnader får heller inte placeras för nära allmänna platser. </w:t>
      </w:r>
      <w:r>
        <w:rPr>
          <w:rStyle w:val="C29"/>
          <w:b w:val="0"/>
          <w:color w:val="auto"/>
          <w:shd w:val="clear" w:color="auto" w:fill="FFFFFF"/>
        </w:rPr>
        <w:t>Lagstöd:</w:t>
      </w:r>
      <w:r>
        <w:rPr>
          <w:color w:val="auto"/>
          <w:shd w:val="clear" w:color="auto" w:fill="FFFFFF"/>
        </w:rPr>
        <w:t> PBL (2010:900) 4 kap. 16 §</w:t>
      </w:r>
    </w:p>
    <w:p>
      <w:pPr>
        <w:rPr>
          <w:color w:val="auto"/>
          <w:shd w:val="clear" w:color="auto" w:fill="FFFFFF"/>
        </w:rPr>
      </w:pPr>
      <w:r>
        <w:rPr>
          <w:b w:val="1"/>
          <w:bCs w:val="1"/>
          <w:color w:val="auto"/>
          <w:szCs w:val="24"/>
        </w:rPr>
        <w:t>h</w:t>
      </w:r>
      <w:r>
        <w:rPr>
          <w:b w:val="1"/>
          <w:bCs w:val="1"/>
          <w:color w:val="auto"/>
          <w:szCs w:val="24"/>
          <w:vertAlign w:val="subscript"/>
        </w:rPr>
        <w:t>1</w:t>
      </w:r>
      <w:r>
        <w:rPr>
          <w:b w:val="1"/>
          <w:bCs w:val="1"/>
          <w:color w:val="auto"/>
          <w:szCs w:val="24"/>
        </w:rPr>
        <w:t xml:space="preserve">- </w:t>
      </w:r>
      <w:r>
        <w:rPr>
          <w:b w:val="1"/>
          <w:color w:val="auto"/>
          <w:szCs w:val="24"/>
          <w:shd w:val="clear" w:color="auto" w:fill="FFFFFF"/>
        </w:rPr>
        <w:t>HÖGSTA NOCKHÖJD ÄR 159,0 METER ÖVER ANGIVET NOLLPLAN:</w:t>
      </w:r>
      <w:r>
        <w:rPr>
          <w:color w:val="auto"/>
        </w:rPr>
        <w:t xml:space="preserve"> För att byggnaderna ska passa in i befintlig bebyggelse föreslås en högsta nockhöjd till 159 meter över angivet nollplan. Denna högsta nockhöjd ger även räddningstjänsten goda möjligheter till utrymning vid fara. </w:t>
      </w:r>
      <w:r>
        <w:t>Platsen förväntas med denna reglering spegla övriga intilliggande bostadsområden. Byggnaden idag har en nockhöjd på omkring 158,7 meter över angivet nollplan.</w:t>
      </w:r>
      <w:r>
        <w:rPr>
          <w:rStyle w:val="C29"/>
          <w:b w:val="0"/>
          <w:color w:val="auto"/>
          <w:shd w:val="clear" w:color="auto" w:fill="FFFFFF"/>
        </w:rPr>
        <w:t xml:space="preserve"> Lagstöd:</w:t>
      </w:r>
      <w:r>
        <w:rPr>
          <w:color w:val="auto"/>
          <w:shd w:val="clear" w:color="auto" w:fill="FFFFFF"/>
        </w:rPr>
        <w:t> PBL (2010:900) 4 kap. 11 §</w:t>
      </w:r>
    </w:p>
    <w:p>
      <w:r>
        <w:rPr>
          <w:b w:val="1"/>
          <w:bCs w:val="1"/>
          <w:color w:val="auto"/>
          <w:szCs w:val="24"/>
        </w:rPr>
        <w:t>e</w:t>
      </w:r>
      <w:r>
        <w:rPr>
          <w:b w:val="1"/>
          <w:bCs w:val="1"/>
          <w:color w:val="auto"/>
          <w:szCs w:val="24"/>
          <w:vertAlign w:val="subscript"/>
        </w:rPr>
        <w:t>1</w:t>
      </w:r>
      <w:r>
        <w:rPr>
          <w:b w:val="1"/>
          <w:bCs w:val="1"/>
          <w:color w:val="auto"/>
          <w:szCs w:val="24"/>
        </w:rPr>
        <w:t xml:space="preserve">- STÖRSTA BYGGNADSAREA </w:t>
      </w:r>
      <w:r>
        <w:rPr>
          <w:b w:val="1"/>
          <w:color w:val="auto"/>
          <w:szCs w:val="24"/>
          <w:shd w:val="clear" w:color="auto" w:fill="FFFFFF"/>
        </w:rPr>
        <w:t>ÄR 22% AV FASTIGHETSAREAN INOM ANVÄNDNINGSOMRÅDET:</w:t>
      </w:r>
      <w:r>
        <w:rPr>
          <w:color w:val="auto"/>
        </w:rPr>
        <w:t xml:space="preserve"> </w:t>
      </w:r>
      <w:r>
        <w:t>Bestämmelser om utnyttjandegrad tillämpas på kvartersmark för att reglera bebyggandets största eller minsta omfattning. För att byggnaderna ska passa in i befintlig bebyggelse och för att möjliggöra en framtida utbyggnad föreslås en största byggnadsarea på 22% av fastighetsarean inom användningsområdet. Detta gör det möjligt att totalt bebygga ca 300 m</w:t>
      </w:r>
      <w:r>
        <w:rPr>
          <w:vertAlign w:val="superscript"/>
        </w:rPr>
        <w:t>2</w:t>
      </w:r>
      <w:r>
        <w:t xml:space="preserve"> inom fastigheten Unnaryd 2:48. Denna reglering ger även goda parkeringsmöjligheter inom fastigheten. Lagstöd: PBL (2010:900) 4 kap. 11 §</w:t>
      </w:r>
    </w:p>
    <w:p/>
    <w:p>
      <w:r>
        <w:rPr>
          <w:b w:val="1"/>
          <w:bCs w:val="1"/>
        </w:rPr>
        <w:t>e</w:t>
      </w:r>
      <w:r>
        <w:rPr>
          <w:b w:val="1"/>
          <w:bCs w:val="1"/>
          <w:vertAlign w:val="subscript"/>
        </w:rPr>
        <w:t>2</w:t>
      </w:r>
      <w:r>
        <w:rPr>
          <w:b w:val="1"/>
          <w:bCs w:val="1"/>
        </w:rPr>
        <w:t xml:space="preserve"> – HÖGST EN HUVUDBYGGNAD OCH EN KOMPLEMENTBYGGNAD FÅR FINNAS PER FASTIGHET:</w:t>
      </w:r>
      <w:r>
        <w:t xml:space="preserve"> En huvudbyggnad och en komplementbyggnad per fastighet ger möjlighet till både bostadshus och komplementbyggnad. </w:t>
      </w:r>
      <w:r>
        <w:rPr>
          <w:rStyle w:val="C29"/>
          <w:b w:val="0"/>
          <w:color w:val="auto"/>
          <w:shd w:val="clear" w:color="auto" w:fill="FFFFFF"/>
        </w:rPr>
        <w:t>Lagstöd:</w:t>
      </w:r>
      <w:r>
        <w:rPr>
          <w:color w:val="auto"/>
          <w:shd w:val="clear" w:color="auto" w:fill="FFFFFF"/>
        </w:rPr>
        <w:t> PBL (2010:900) 4 kap. 16 §</w:t>
      </w:r>
    </w:p>
    <w:p>
      <w:pPr>
        <w:rPr>
          <w:color w:val="auto"/>
          <w:shd w:val="clear" w:color="auto" w:fill="FFFFFF"/>
        </w:rPr>
      </w:pPr>
      <w:r>
        <w:rPr>
          <w:b w:val="1"/>
          <w:bCs w:val="1"/>
        </w:rPr>
        <w:t>p</w:t>
      </w:r>
      <w:r>
        <w:rPr>
          <w:b w:val="1"/>
          <w:bCs w:val="1"/>
          <w:vertAlign w:val="subscript"/>
        </w:rPr>
        <w:t>1</w:t>
      </w:r>
      <w:r>
        <w:rPr>
          <w:b w:val="1"/>
          <w:bCs w:val="1"/>
        </w:rPr>
        <w:t xml:space="preserve"> – BYGGNAD SKA PLACERAS MINST 4,5 METER IFRÅN FASTIGHETSGRÄNS:</w:t>
      </w:r>
      <w:r>
        <w:t xml:space="preserve"> Byggnader kräver underhåll och underhållet bör i första hand kunna ske på sin egen fastighet. Byggnader nära fastighetsgräns kan även missgynna grannar. Därav bör byggnad inte placeras närmre än 4,5 meter ifrån fastighetsgränsen. </w:t>
      </w:r>
      <w:r>
        <w:rPr>
          <w:rStyle w:val="C29"/>
          <w:b w:val="0"/>
          <w:color w:val="auto"/>
          <w:shd w:val="clear" w:color="auto" w:fill="FFFFFF"/>
        </w:rPr>
        <w:t>Lagstöd:</w:t>
      </w:r>
      <w:r>
        <w:rPr>
          <w:color w:val="auto"/>
          <w:shd w:val="clear" w:color="auto" w:fill="FFFFFF"/>
        </w:rPr>
        <w:t> PBL (2010:900) 4 kap. 16 §</w:t>
      </w:r>
    </w:p>
    <w:p>
      <w:r>
        <w:rPr>
          <w:b w:val="1"/>
          <w:bCs w:val="1"/>
        </w:rPr>
        <w:t>d</w:t>
      </w:r>
      <w:r>
        <w:rPr>
          <w:b w:val="1"/>
          <w:bCs w:val="1"/>
          <w:vertAlign w:val="subscript"/>
        </w:rPr>
        <w:t>1</w:t>
      </w:r>
      <w:r>
        <w:rPr>
          <w:b w:val="1"/>
          <w:bCs w:val="1"/>
        </w:rPr>
        <w:t xml:space="preserve"> – MINSTA FASTIGHETSSTORLEK ÄR 750 m</w:t>
      </w:r>
      <w:r>
        <w:rPr>
          <w:b w:val="1"/>
          <w:bCs w:val="1"/>
          <w:vertAlign w:val="superscript"/>
        </w:rPr>
        <w:t>2</w:t>
      </w:r>
      <w:r>
        <w:rPr>
          <w:b w:val="1"/>
          <w:bCs w:val="1"/>
        </w:rPr>
        <w:t xml:space="preserve">: </w:t>
      </w:r>
      <w:r>
        <w:t>Bestämmelser om fastighetsstorlek ska tillämpas på kvartersmark för att reglera största eller minsta fastighetsstorlek. En minsta fastighetsstorlek bör vara 750 m</w:t>
      </w:r>
      <w:r>
        <w:rPr>
          <w:vertAlign w:val="superscript"/>
        </w:rPr>
        <w:t>2</w:t>
      </w:r>
      <w:r>
        <w:t>. Området förväntas med denna reglering spegla övriga intilliggande bostadsområden.</w:t>
      </w:r>
      <w:r>
        <w:rPr>
          <w:rStyle w:val="C29"/>
          <w:b w:val="0"/>
          <w:color w:val="auto"/>
          <w:shd w:val="clear" w:color="auto" w:fill="FFFFFF"/>
        </w:rPr>
        <w:t xml:space="preserve"> Lagstöd:</w:t>
      </w:r>
      <w:r>
        <w:rPr>
          <w:color w:val="auto"/>
          <w:shd w:val="clear" w:color="auto" w:fill="FFFFFF"/>
        </w:rPr>
        <w:t> PBL (2010:900) 4 kap. 18 §</w:t>
      </w:r>
    </w:p>
    <w:p>
      <w:r>
        <w:rPr>
          <w:b w:val="1"/>
          <w:bCs w:val="1"/>
        </w:rPr>
        <w:t>f</w:t>
      </w:r>
      <w:r>
        <w:rPr>
          <w:b w:val="1"/>
          <w:bCs w:val="1"/>
          <w:vertAlign w:val="subscript"/>
        </w:rPr>
        <w:t>1</w:t>
      </w:r>
      <w:r>
        <w:rPr>
          <w:b w:val="1"/>
          <w:bCs w:val="1"/>
        </w:rPr>
        <w:t xml:space="preserve"> – FÖR BOSTAD GÄLLER ENDAST FRILIGGANDE EN- OCH TVÅBOSTADSHUS: </w:t>
      </w:r>
      <w:r>
        <w:t xml:space="preserve">Bostadsområdet förväntas med denna reglering spegla övriga intilliggande bostadsområden. </w:t>
      </w:r>
      <w:r>
        <w:rPr>
          <w:rStyle w:val="C29"/>
          <w:b w:val="0"/>
          <w:color w:val="auto"/>
          <w:shd w:val="clear" w:color="auto" w:fill="FFFFFF"/>
        </w:rPr>
        <w:t>Lagstöd:</w:t>
      </w:r>
      <w:r>
        <w:rPr>
          <w:color w:val="auto"/>
          <w:shd w:val="clear" w:color="auto" w:fill="FFFFFF"/>
        </w:rPr>
        <w:t> PBL (2010:900) 4 kap. 16 §</w:t>
      </w:r>
    </w:p>
    <w:p>
      <w:pPr>
        <w:pStyle w:val="P19"/>
      </w:pPr>
      <w:bookmarkEnd w:id="41"/>
      <w:bookmarkStart w:id="42" w:name="_Toc89445991"/>
      <w:bookmarkStart w:id="43" w:name="_Toc176419176"/>
      <w:r>
        <w:t>PLANERINGSFÖRUTSÄTTNINGAR</w:t>
      </w:r>
      <w:bookmarkEnd w:id="42"/>
      <w:bookmarkEnd w:id="43"/>
    </w:p>
    <w:p>
      <w:pPr>
        <w:pStyle w:val="P20"/>
      </w:pPr>
      <w:bookmarkStart w:id="44" w:name="_Toc89445992"/>
      <w:bookmarkStart w:id="45" w:name="_Toc176419177"/>
      <w:bookmarkStart w:id="46" w:name="pf_kommunala01"/>
      <w:r>
        <w:rPr>
          <w:caps w:val="0"/>
        </w:rPr>
        <w:t>KOMMUNALA</w:t>
      </w:r>
      <w:bookmarkEnd w:id="44"/>
      <w:bookmarkEnd w:id="45"/>
    </w:p>
    <w:p>
      <w:pPr>
        <w:pStyle w:val="P21"/>
        <w:numPr>
          <w:ilvl w:val="2"/>
          <w:numId w:val="9"/>
        </w:numPr>
      </w:pPr>
      <w:bookmarkStart w:id="47" w:name="_Toc89445993"/>
      <w:bookmarkStart w:id="48" w:name="_Toc176419178"/>
      <w:r>
        <w:rPr>
          <w:caps w:val="0"/>
        </w:rPr>
        <w:t>DETALJPLAN</w:t>
      </w:r>
      <w:bookmarkEnd w:id="47"/>
      <w:bookmarkEnd w:id="48"/>
      <w:r>
        <w:rPr>
          <w:caps w:val="0"/>
        </w:rPr>
        <w:t xml:space="preserve"> </w:t>
      </w:r>
    </w:p>
    <w:p>
      <w:bookmarkStart w:id="49" w:name="_Hlk158619802"/>
      <w:bookmarkStart w:id="50" w:name="_Toc89445997"/>
      <w:r>
        <w:rPr>
          <w:i w:val="1"/>
          <w:noProof w:val="1"/>
        </w:rPr>
        <mc:AlternateContent>
          <mc:Choice Requires="wpg">
            <w:drawing>
              <wp:anchor xmlns:wp="http://schemas.openxmlformats.org/drawingml/2006/wordprocessingDrawing" distT="0" distB="0" distL="114300" distR="114300" simplePos="0" relativeHeight="8" behindDoc="0" locked="0" layoutInCell="1" allowOverlap="1">
                <wp:simplePos x="0" y="0"/>
                <wp:positionH relativeFrom="column">
                  <wp:posOffset>283210</wp:posOffset>
                </wp:positionH>
                <wp:positionV relativeFrom="page">
                  <wp:posOffset>6584315</wp:posOffset>
                </wp:positionV>
                <wp:extent cx="3962400" cy="2108200"/>
                <wp:effectExtent l="0" t="0" r="0" b="6350"/>
                <wp:wrapTopAndBottom/>
                <wp:docPr id="27" name="Grupp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962400" cy="2108200"/>
                          <a:chOff x="0" y="0"/>
                          <a:chExt cx="5500777" cy="2928621"/>
                        </a:xfrm>
                      </wpg:grpSpPr>
                      <pic:pic xmlns:pic="http://schemas.openxmlformats.org/drawingml/2006/picture">
                        <pic:nvPicPr>
                          <pic:cNvPr id="28" name="Bildobjekt 28"/>
                          <pic:cNvPicPr preferRelativeResize="0">
                            <a:picLocks noChangeAspect="1"/>
                          </pic:cNvPicPr>
                        </pic:nvPicPr>
                        <pic:blipFill dpi="0">
                          <a:blip xmlns:r="http://schemas.openxmlformats.org/officeDocument/2006/relationships" r:embed="Relimage8"/>
                          <a:srcRect l="17894"/>
                          <a:stretch>
                            <a:fillRect/>
                          </a:stretch>
                        </pic:blipFill>
                        <pic:spPr>
                          <a:xfrm>
                            <a:off x="0" y="0"/>
                            <a:ext cx="3248724" cy="2928621"/>
                          </a:xfrm>
                          <a:prstGeom prst="rect"/>
                        </pic:spPr>
                      </pic:pic>
                      <pic:pic xmlns:pic="http://schemas.openxmlformats.org/drawingml/2006/picture">
                        <pic:nvPicPr>
                          <pic:cNvPr id="29" name="Bildobjekt 29"/>
                          <pic:cNvPicPr>
                            <a:picLocks noChangeAspect="1"/>
                          </pic:cNvPicPr>
                        </pic:nvPicPr>
                        <pic:blipFill dpi="0">
                          <a:blip xmlns:r="http://schemas.openxmlformats.org/officeDocument/2006/relationships" r:embed="Relimage9"/>
                          <a:srcRect/>
                          <a:stretch>
                            <a:fillRect/>
                          </a:stretch>
                        </pic:blipFill>
                        <pic:spPr>
                          <a:xfrm>
                            <a:off x="3329862" y="1"/>
                            <a:ext cx="2170915" cy="2800835"/>
                          </a:xfrm>
                          <a:prstGeom prst="rect"/>
                        </pic:spPr>
                      </pic:pic>
                    </wpg:wgp>
                  </a:graphicData>
                </a:graphic>
              </wp:anchor>
            </w:drawing>
          </mc:Choice>
          <mc:Fallback>
            <w:pict>
              <v:group xmlns:o="urn:schemas-microsoft-com:office:office" id="Grupp 7" style="position:absolute;width:312pt;height:166pt;z-index:8;mso-wrap-distance-left:9pt;mso-wrap-distance-top:0pt;mso-wrap-distance-right:9pt;mso-wrap-distance-bottom:0pt;margin-left:22.3pt;margin-top:518.45pt;mso-position-horizontal:absolute;mso-position-horizontal-relative:text;mso-position-vertical:absolute;mso-position-vertical-relative:page" coordorigin="0,0" coordsize="5500776,2928620" o:allowincell="t">
                <o:lock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8" o:spid="_x0000_s1032" type="#_x0000_t75" style="position:absolute;top:0;width:3248723;height:2928620" o:preferrelative="f" stroked="f" o:allowincell="t">
                  <v:imagedata src="Relimage8" o:title="" croptop="0f" cropbottom="0f" cropleft="11727f" cropright="0f"/>
                  <o:lock aspectratio="t"/>
                  <w10:wrap type="topAndBottom"/>
                  <o:lock aspectratio="t"/>
                </v:shape>
                <v:shape id="Bildobjekt 29" o:spid="_x0000_s1033" type="#_x0000_t75" style="position:absolute;left:3329861;top:0;width:2170914;height:2800834" o:preferrelative="t" stroked="f" o:allowincell="t">
                  <v:imagedata src="Relimage9" o:title=""/>
                  <o:lock aspectratio="t"/>
                  <w10:wrap type="topAndBottom"/>
                  <o:lock aspectratio="t"/>
                </v:shape>
              </v:group>
            </w:pict>
          </mc:Fallback>
        </mc:AlternateContent>
      </w:r>
      <w:r>
        <w:rPr>
          <w:color w:val="000000" w:themeColor="text1"/>
        </w:rPr>
        <w:t xml:space="preserve">För aktuellt planområde gäller idag detaljplan </w:t>
      </w:r>
      <w:r>
        <w:rPr>
          <w:i w:val="1"/>
          <w:color w:val="000000" w:themeColor="text1"/>
        </w:rPr>
        <w:t>Un 529 – Unnaryd norra 2:45 m.fl</w:t>
      </w:r>
      <w:r>
        <w:rPr>
          <w:color w:val="000000" w:themeColor="text1"/>
        </w:rPr>
        <w:t>.</w:t>
      </w:r>
      <w:r>
        <w:t xml:space="preserve"> Planområdet är sen tidigare planlagd för samlingslokal. Gällande detaljplan är från 1979.</w:t>
      </w:r>
    </w:p>
    <w:p>
      <w:pPr>
        <w:rPr>
          <w:sz w:val="16"/>
        </w:rPr>
      </w:pPr>
      <w:r>
        <w:rPr>
          <w:sz w:val="16"/>
        </w:rPr>
        <w:t>Gällande detaljplan Un 529 – Unnaryd norra 2:45 m.fl.</w:t>
      </w:r>
    </w:p>
    <w:p>
      <w:pPr>
        <w:rPr>
          <w:sz w:val="16"/>
        </w:rPr>
      </w:pPr>
    </w:p>
    <w:p>
      <w:pPr>
        <w:rPr>
          <w:sz w:val="16"/>
        </w:rPr>
      </w:pPr>
    </w:p>
    <w:p>
      <w:pPr>
        <w:rPr>
          <w:sz w:val="16"/>
        </w:rPr>
      </w:pPr>
    </w:p>
    <w:p>
      <w:pPr>
        <w:pStyle w:val="P21"/>
        <w:numPr>
          <w:ilvl w:val="2"/>
          <w:numId w:val="9"/>
        </w:numPr>
      </w:pPr>
      <w:bookmarkEnd w:id="49"/>
      <w:bookmarkStart w:id="51" w:name="_Toc176419179"/>
      <w:r>
        <w:rPr>
          <w:caps w:val="0"/>
        </w:rPr>
        <w:t>PLANBESKED</w:t>
      </w:r>
      <w:bookmarkEnd w:id="50"/>
      <w:bookmarkEnd w:id="51"/>
    </w:p>
    <w:p>
      <w:bookmarkStart w:id="52" w:name="_Toc89445998"/>
      <w:r>
        <w:t>Kommunstyrelsen beslutade 2023-12-05 §221 att bevilja positivt planbesked och ge Samhällsbyggnadsförvaltningen i uppdrag att upprätta en ny detaljplan för fastigheten Unnaryd 2:48.</w:t>
      </w:r>
    </w:p>
    <w:p>
      <w:r>
        <w:t>Planarbetet ska ske i enlighet med Plan- och bygglagen, PBL (2010:900).</w:t>
      </w:r>
    </w:p>
    <w:p>
      <w:pPr>
        <w:pStyle w:val="P21"/>
        <w:numPr>
          <w:ilvl w:val="2"/>
          <w:numId w:val="9"/>
        </w:numPr>
      </w:pPr>
      <w:bookmarkEnd w:id="52"/>
      <w:bookmarkStart w:id="53" w:name="_Toc89445999"/>
      <w:bookmarkStart w:id="54" w:name="_Toc176419180"/>
      <w:r>
        <w:t>ÖVERSIKTSPLAN</w:t>
      </w:r>
      <w:bookmarkEnd w:id="53"/>
      <w:bookmarkEnd w:id="54"/>
    </w:p>
    <w:p>
      <w:bookmarkStart w:id="55" w:name="_Toc89446000"/>
      <w:r>
        <w:t xml:space="preserve">Hylte kommun har i sin översiktsplan pekat ut åtta fokusområden varav tre av dessa handlar om ett livskraftigt näringsliv, attraktiva boendemiljöer och en tydlig utvecklingsstruktur. </w:t>
      </w:r>
    </w:p>
    <w:p>
      <w:r>
        <w:t>Inom fokusområdena har flertalet övergripande planeringsinriktningar utpekats. Bland annat att kommunen ska verka för att</w:t>
      </w:r>
    </w:p>
    <w:p>
      <w:pPr>
        <w:numPr>
          <w:ilvl w:val="0"/>
          <w:numId w:val="23"/>
        </w:numPr>
      </w:pPr>
      <w:bookmarkStart w:id="56" w:name="_Hlk158974697"/>
      <w:r>
        <w:t>Underlätta för utveckling av besöksnäringen, framförallt vid Bolmen och Unnen.</w:t>
      </w:r>
    </w:p>
    <w:p>
      <w:pPr>
        <w:numPr>
          <w:ilvl w:val="0"/>
          <w:numId w:val="23"/>
        </w:numPr>
      </w:pPr>
      <w:r>
        <w:t>Bygga tätare, komplettera och förnya befintlig bebyggelse för att korta avstånden och utveckla attraktiviteten i befintliga miljöer.</w:t>
      </w:r>
    </w:p>
    <w:p>
      <w:pPr>
        <w:numPr>
          <w:ilvl w:val="0"/>
          <w:numId w:val="23"/>
        </w:numPr>
      </w:pPr>
      <w:r>
        <w:t xml:space="preserve">Förstärka resandeunderlagen genom att utveckla attraktiva boende- och centrummiljöer. Lokalisera merparten av ny bebyggelse till stråkens noder och förstärka landsbygden genom attraktiva länkar i stråken. </w:t>
      </w:r>
    </w:p>
    <w:p>
      <w:pPr>
        <w:ind w:left="360"/>
      </w:pPr>
      <w:r>
        <w:t>Förslaget till detaljplan förväntas gå i linje med översiktsplanen. Exempelvis möjliggörs det för en utveckling av besöksnäringen genom användningen tillfällig vistelse. Det ses också som positivt att utveckla det som redan finns i samhället, på så vis förnyas befintlig bebyggelse och stärker reseunderlaget till och från Unnaryd.</w:t>
      </w:r>
    </w:p>
    <w:p>
      <w:pPr>
        <w:pStyle w:val="P20"/>
      </w:pPr>
      <w:bookmarkEnd w:id="46"/>
      <w:bookmarkEnd w:id="55"/>
      <w:bookmarkEnd w:id="56"/>
      <w:bookmarkStart w:id="57" w:name="_Toc89446002"/>
      <w:bookmarkStart w:id="58" w:name="_Toc176419181"/>
      <w:r>
        <w:t>RIKSINTRESSEN</w:t>
      </w:r>
      <w:bookmarkEnd w:id="57"/>
      <w:bookmarkEnd w:id="58"/>
      <w:bookmarkStart w:id="59" w:name="_Toc89446003"/>
    </w:p>
    <w:p>
      <w:bookmarkStart w:id="60" w:name="_Hlk158630875"/>
      <w:r>
        <w:t xml:space="preserve">Geografiska områden som är av nationell betydelse kan vara utpekade som områden av riksintresse enligt miljöbalken, vilka långsiktigt ska skyddas mot åtgärder som påtagligt kan skada deras värden. </w:t>
      </w:r>
    </w:p>
    <w:p>
      <w:pPr>
        <w:pStyle w:val="P21"/>
      </w:pPr>
      <w:bookmarkStart w:id="61" w:name="_Toc89446006"/>
      <w:bookmarkStart w:id="62" w:name="_Toc176419182"/>
      <w:bookmarkStart w:id="63" w:name="_Toc90561160"/>
      <w:r>
        <w:t>FRILUFTSLIV</w:t>
      </w:r>
      <w:bookmarkEnd w:id="61"/>
      <w:bookmarkEnd w:id="62"/>
      <w:bookmarkEnd w:id="63"/>
    </w:p>
    <w:p>
      <w:r>
        <w:t xml:space="preserve">Sjön Unnen söder om aktuellt planområde ingår i det så kallade Bolmenområdet och är riksintresse för friluftslivet. </w:t>
      </w:r>
    </w:p>
    <w:p>
      <w:r>
        <w:t>Riksintressets värdebeskrivning lyfter fram att det i första hand är värden knutna till sjöarna Bolmen och Unnen och deras öar och stränder som är värdefulla. Sjön Bolmen som helhet erbjuder med sin storlek en karaktär som påminner om skärgårdskust, med vida fjärdar, vikar, sund och ett stort antal öar. Bolmenområdet är mycket mångformigt och variationsrikt naturskönt och attraktivt med utsökta tillfällen till båtliv, paddling, bad, fiske samt natur- och kulturupplevelser. Bolmen erbjuder även högklassigt fiske och är en välbesökt sjö för fritidsfiske. Inom hallandsdelen av området ingår norra delen av sjön Unnen. Även här bedrivs ett omfattande fritidsfiske. Sjöarnas omgivningar erbjuder också en tilltalande miljö för friluftslivet tack vare den relativt låga graden av exploatering. I Vallsnäs finns en större campingplats. Andra former av boende (pensionat, bed &amp; breakfast) finns i Unnaryd, där övrig service också finns. Flera anläggningar har kanotuthyrning.</w:t>
      </w:r>
    </w:p>
    <w:p>
      <w:r>
        <w:t xml:space="preserve">Friluftslivet anses dock inte försämras på grund av planförslaget då området ligger ca 500 meter ifrån sjön Unnen. Genom ny användningen på fastigheten kan istället friluftslivet gynnas då det exempelvis blir lättare att övernatta i området. </w:t>
      </w:r>
    </w:p>
    <w:p>
      <w:pPr>
        <w:pStyle w:val="P21"/>
      </w:pPr>
      <w:bookmarkEnd w:id="60"/>
      <w:bookmarkStart w:id="64" w:name="_Toc176419183"/>
      <w:r>
        <w:t>NATURA 2000</w:t>
      </w:r>
      <w:bookmarkEnd w:id="64"/>
    </w:p>
    <w:p>
      <w:r>
        <w:t>Norr om Unnaryd återfinns två natura 2000 områden vilka klassas som riksintressen. Ödegärdet och Lunnamossen. Natura 2000 är ett nätverk av värdefulla naturområden med arter eller naturtyper som i ett europeiskt perspektiv betraktas som särskilt skyddsvärda. Det överordnade bevarandesyftet för Natura 2000-nätverket är att bidra till bevarandet av biologisk mångfald genom att bibehålla eller återskapa gynnsam bevarandestatus för de naturtyper och arter som omfattas av EU:s fågeldirektiv eller art- och habitatdirektiv.</w:t>
      </w:r>
    </w:p>
    <w:p>
      <w:r>
        <w:rPr>
          <w:noProof w:val="1"/>
        </w:rPr>
        <w:drawing>
          <wp:inline xmlns:wp="http://schemas.openxmlformats.org/drawingml/2006/wordprocessingDrawing" distT="0" distB="0" distL="0" distR="0">
            <wp:extent cx="3209925" cy="2240915"/>
            <wp:effectExtent l="0" t="0" r="0" b="6985"/>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pic:cNvPicPr/>
                  </pic:nvPicPr>
                  <pic:blipFill dpi="0">
                    <a:blip xmlns:r="http://schemas.openxmlformats.org/officeDocument/2006/relationships" r:embed="Relimage10"/>
                    <a:srcRect/>
                    <a:stretch>
                      <a:fillRect/>
                    </a:stretch>
                  </pic:blipFill>
                  <pic:spPr>
                    <a:xfrm>
                      <a:off x="0" y="0"/>
                      <a:ext cx="3235791" cy="2259246"/>
                    </a:xfrm>
                    <a:prstGeom prst="rect"/>
                  </pic:spPr>
                </pic:pic>
              </a:graphicData>
            </a:graphic>
          </wp:inline>
        </w:drawing>
      </w:r>
    </w:p>
    <w:p>
      <w:pPr>
        <w:rPr>
          <w:sz w:val="16"/>
          <w:szCs w:val="16"/>
        </w:rPr>
      </w:pPr>
      <w:r>
        <w:rPr>
          <w:sz w:val="16"/>
        </w:rPr>
        <w:t>Natura 2000 områden norr om Unnaryd.</w:t>
      </w:r>
    </w:p>
    <w:p>
      <w:r>
        <w:t>Ödegärdets naturreservat är bevuxen med en väldigt gammal men frisk bokskog, där den äldsta generationen bok är ca 250 år. Både epifytfloran och fågelsamhället har inventerats och visat sig vara mycket artrik, antalet rödlistade lavar är det högsta kända antalet i Hallands län och 34 olika fågelarter har noterats vid häckningstid. I områdets centrala och norra delar finns våtmarker som är bevuxna med sumpskog dominerad av björk och gran med inslag av klibbal och tall. Lövblandskog av bok, ek och björk finns närmast vägen i söder och öster. En stor del av området klassas som nyckelbiotop.</w:t>
      </w:r>
    </w:p>
    <w:p>
      <w:r>
        <w:t>Lunnamossen består till största delen av öppen myrmark men i våtmarken finns även fastmarksöar, så kallade myrholmar. På dessa öar finns naturskogsartad tallskog och barrblandskog. Skogen är orörd sedan länge och många gamla tallar reser sig mot skyn. 2013 utfördes en åldersbestämning av en gammal tall i den nordöstra myrkanten. Tallens ålder uppskattades till över 400 år, vilket innebär att den började växa i slutet på 1500-talet. Detta är den hittills äldsta kända tallen i Hallands län.</w:t>
      </w:r>
    </w:p>
    <w:p>
      <w:r>
        <w:t xml:space="preserve">Kommunen bedömer att varken Ödegärdets naturreservat eller Lunnamossen kommer påverkas. Naturreservaten ligger högre än planområdet och vattnet ifrån områdena förväntas mynna ut i Unnen. Båda naturreservaten är placerade ca 1 km ifrån planområdet. Det förväntas därmed inte att den nya användningen på fastigheten som detaljplanen möjliggör för kommer påverka växt och djurlivet i naturreservaten. </w:t>
      </w:r>
    </w:p>
    <w:p>
      <w:pPr>
        <w:pStyle w:val="P20"/>
      </w:pPr>
      <w:bookmarkEnd w:id="59"/>
      <w:bookmarkStart w:id="65" w:name="_Toc89446030"/>
      <w:bookmarkStart w:id="66" w:name="_Toc176419184"/>
      <w:bookmarkStart w:id="67" w:name="pf_miljökvalitetsnormer01"/>
      <w:r>
        <w:rPr>
          <w:caps w:val="0"/>
        </w:rPr>
        <w:t>MILJÖKVALITETSNORMER</w:t>
      </w:r>
      <w:bookmarkEnd w:id="65"/>
      <w:bookmarkEnd w:id="66"/>
    </w:p>
    <w:p>
      <w:bookmarkStart w:id="68" w:name="_Hlk99010878"/>
      <w:r>
        <w:rPr>
          <w:shd w:val="clear" w:color="auto" w:fill="FFFFFF"/>
        </w:rPr>
        <w:t>Miljökvalitetsnormer (MKN) är regler om kvalitet på mark, vatten, luft eller miljön i övrigt. Normerna har beslutats för att varaktigt skydda människors hälsa eller miljön eller för att avhjälpa skador på eller olägenheter för människors hälsa eller miljön. MKN är ett juridiskt styrmedel som utgår från kunskap om vilka störningsnivåer och föroreningsnivåer som människor och miljö kan utsättas för utan fara för påtaglig olägenhet.</w:t>
      </w:r>
    </w:p>
    <w:p>
      <w:pPr>
        <w:pStyle w:val="P21"/>
        <w:numPr>
          <w:ilvl w:val="2"/>
          <w:numId w:val="7"/>
        </w:numPr>
      </w:pPr>
      <w:bookmarkEnd w:id="68"/>
      <w:bookmarkStart w:id="69" w:name="_Toc89446031"/>
      <w:bookmarkStart w:id="70" w:name="_Toc176419185"/>
      <w:r>
        <w:rPr>
          <w:caps w:val="0"/>
        </w:rPr>
        <w:t>LUFT</w:t>
      </w:r>
      <w:bookmarkEnd w:id="69"/>
      <w:bookmarkEnd w:id="70"/>
    </w:p>
    <w:p>
      <w:bookmarkStart w:id="71" w:name="_Hlk158635287"/>
      <w:bookmarkStart w:id="72" w:name="_Toc89446032"/>
      <w:r>
        <w:t xml:space="preserve">Miljökvalitetsnormer för utomhusluft syftar till att skydda människors hälsa och miljön. Gällande miljökvalitetsnormer enligt svensk författningssamling (SFS 2001:527) avser halterna i utomhusluften av kväveoxid, svaveldioxid, bly, kolmonoxid, partiklar, benzen och ozon. Miljökvalitetsnormerna överstigs inte i Hylte kommun. </w:t>
      </w:r>
      <w:bookmarkStart w:id="73" w:name="_Hlk99010923"/>
      <w:r>
        <w:t>Planförslaget bedöms inte innebära någon försämring av luftkvaliteten.</w:t>
      </w:r>
      <w:bookmarkEnd w:id="73"/>
    </w:p>
    <w:p>
      <w:pPr>
        <w:pStyle w:val="P21"/>
        <w:numPr>
          <w:ilvl w:val="2"/>
          <w:numId w:val="7"/>
        </w:numPr>
      </w:pPr>
      <w:bookmarkEnd w:id="71"/>
      <w:bookmarkStart w:id="74" w:name="_Toc176419186"/>
      <w:r>
        <w:t>VATTEN</w:t>
      </w:r>
      <w:bookmarkEnd w:id="72"/>
      <w:bookmarkEnd w:id="74"/>
    </w:p>
    <w:p>
      <w:bookmarkStart w:id="75" w:name="_Hlk99010935"/>
      <w:r>
        <w:t>Miljökvalitetsnormer för vatten infördes i miljöbalken år 2001. Normen för fiskvatten ska skydda fiskpopulationer mot utsläpp av sådana föroreningar i vatten som kan leda till att vissa arter minskar i antal eller helt dör ut. Normen för musselvatten avser att skydda vissa populationer av skaldjur i kustvatten och brackvatten från olika utsläpp av förorenande ämnen. Planförslaget bedöms inte innebära någon försämring av vattenkvaliteten.</w:t>
      </w:r>
    </w:p>
    <w:p>
      <w:pPr>
        <w:pStyle w:val="P21"/>
        <w:numPr>
          <w:ilvl w:val="2"/>
          <w:numId w:val="7"/>
        </w:numPr>
      </w:pPr>
      <w:bookmarkEnd w:id="75"/>
      <w:bookmarkStart w:id="76" w:name="_Toc94695471"/>
      <w:bookmarkStart w:id="77" w:name="_Toc176419187"/>
      <w:r>
        <w:rPr>
          <w:caps w:val="0"/>
        </w:rPr>
        <w:t>BULLER</w:t>
      </w:r>
      <w:bookmarkEnd w:id="76"/>
      <w:bookmarkEnd w:id="77"/>
    </w:p>
    <w:p>
      <w:bookmarkStart w:id="78" w:name="_Hlk158635347"/>
      <w:r>
        <w:t xml:space="preserve">Den 1 september år 2004 trädde en förordning för omgivningsbuller i kraft. I samband med detta meddelades även en miljökvalitetsnorm för buller enligt följande: ”Genom kartläggning av omgivningsbuller samt upprättande och fastställande av åtgärdsprogram skall det eftersträvas att omgivningsbuller inte medför skadliga effekter på människors hälsa (miljökvalitetsnorm enligt 5 kap. 2 § första stycket 4 MB). </w:t>
      </w:r>
      <w:bookmarkStart w:id="79" w:name="_Hlk99010995"/>
      <w:r>
        <w:t>Planförslaget bedöms inte innebära någon försämring av bullernivåerna.</w:t>
      </w:r>
      <w:bookmarkEnd w:id="67"/>
      <w:bookmarkEnd w:id="79"/>
    </w:p>
    <w:p>
      <w:pPr>
        <w:pStyle w:val="P20"/>
      </w:pPr>
      <w:bookmarkEnd w:id="78"/>
      <w:bookmarkStart w:id="80" w:name="_Toc89446035"/>
      <w:bookmarkStart w:id="81" w:name="_Toc176419188"/>
      <w:bookmarkStart w:id="82" w:name="_Hlk160444365"/>
      <w:r>
        <w:rPr>
          <w:caps w:val="0"/>
        </w:rPr>
        <w:t>MILJÖ</w:t>
      </w:r>
      <w:bookmarkEnd w:id="80"/>
      <w:bookmarkEnd w:id="81"/>
    </w:p>
    <w:p>
      <w:pPr>
        <w:pStyle w:val="P21"/>
      </w:pPr>
      <w:bookmarkStart w:id="83" w:name="_Toc176419189"/>
      <w:r>
        <w:t>BIOTOPPSSKYDD</w:t>
      </w:r>
      <w:bookmarkEnd w:id="83"/>
    </w:p>
    <w:p>
      <w:pPr>
        <w:rPr>
          <w:color w:val="auto"/>
        </w:rPr>
      </w:pPr>
      <w:r>
        <w:rPr>
          <w:rStyle w:val="C31"/>
          <w:color w:val="auto"/>
        </w:rPr>
        <w:t>Vid gränsen till planområdet finns en stengärdesgård. Stengärdesgårdar kan omfattas av ett generellt biotopskydd. Biotopskyddsområden är biotoper som på grund av sina särskilda egenskaper är värdefulla livsmiljöer för hotade djur- eller växtarter, eller som annars är särskilt skyddsvärda enligt 7 kap. 11 § miljöbalken (1998:808). Inom ett biotopskyddsområde får man inte bedriva en verksamhet eller vidta en åtgärd som kan skada naturmiljön. Åtgärder som kan skada biotopskyddsområden är bl.</w:t>
      </w:r>
      <w:r>
        <w:t>a. bortschaktning och exploatering i form av bebyggelse. Naturvårdsverket skriver dock att ”</w:t>
      </w:r>
      <w:r>
        <w:rPr>
          <w:i w:val="1"/>
        </w:rPr>
        <w:t xml:space="preserve">För att en stenmur ska omfattas av </w:t>
      </w:r>
      <w:r>
        <w:rPr>
          <w:i w:val="1"/>
          <w:color w:val="000000" w:themeColor="text1"/>
        </w:rPr>
        <w:t>biotopskyddsbestämmelserna ska minst en sida av muren gränsa till jordbruksmark. En stenmur som löper längs en allmän väg, eller längs gränsen till skogs- eller tomtmark omfattas av biotopskyddsbestämmelserna om murens andra sida gränsar mot en åker, betesmark eller annan jordbruksmark. Skyddet för stenmurar bör normalt gälla även i de fall en högst två meter bred naturlig bäckfåra, ett dike, eller en mindre grusväg är belägen mellan stenmuren och den intilliggande jordbruksmarken.”</w:t>
      </w:r>
      <w:r>
        <w:rPr>
          <w:color w:val="000000" w:themeColor="text1"/>
        </w:rPr>
        <w:t xml:space="preserve"> </w:t>
      </w:r>
    </w:p>
    <w:p>
      <w:pPr>
        <w:rPr>
          <w:color w:val="auto"/>
        </w:rPr>
      </w:pPr>
      <w:r>
        <w:t>Kommunen bedömer att denna stenmur inte gränsar till någon jordbruksmark och därmed inte heller berörs av något biotopskydd.</w:t>
      </w:r>
    </w:p>
    <w:p>
      <w:pPr>
        <w:pStyle w:val="P21"/>
        <w:numPr>
          <w:ilvl w:val="2"/>
          <w:numId w:val="7"/>
        </w:numPr>
      </w:pPr>
      <w:bookmarkStart w:id="84" w:name="_Toc89446036"/>
      <w:bookmarkStart w:id="85" w:name="_Toc176419190"/>
      <w:r>
        <w:rPr>
          <w:caps w:val="0"/>
        </w:rPr>
        <w:t>STRANDSKYDD</w:t>
      </w:r>
      <w:bookmarkEnd w:id="84"/>
      <w:bookmarkEnd w:id="85"/>
      <w:r>
        <w:rPr>
          <w:caps w:val="0"/>
        </w:rPr>
        <w:t xml:space="preserve"> </w:t>
      </w:r>
    </w:p>
    <w:p>
      <w:bookmarkStart w:id="86" w:name="_Hlk158635426"/>
      <w:r>
        <w:t>Strandskyddet syftar till att långsiktigt</w:t>
      </w:r>
      <w:r>
        <w:rPr>
          <w:rFonts w:cs="Times New Roman" w:eastAsia="Times New Roman"/>
        </w:rPr>
        <w:t xml:space="preserve"> </w:t>
      </w:r>
      <w:r>
        <w:t xml:space="preserve">trygga förutsättningarna för allemansrättslig tillgång till strandområden och bevara goda livsvillkor för djur- och växtlivet på land och i vatten. </w:t>
      </w:r>
    </w:p>
    <w:p>
      <w:pPr>
        <w:rPr>
          <w:sz w:val="16"/>
        </w:rPr>
      </w:pPr>
      <w:bookmarkStart w:id="87" w:name="_Toc89446037"/>
      <w:r>
        <w:t>Ca 40 meter sydöst om fastigheten återfinns ett dike som mynnar ut i Unnen. Kommunen anser att diket inte omfattas av strandskyddet då det inte bör klassas som ett naturligt vattendrag.</w:t>
      </w:r>
    </w:p>
    <w:p>
      <w:pPr>
        <w:pStyle w:val="P21"/>
      </w:pPr>
      <w:bookmarkEnd w:id="82"/>
      <w:bookmarkEnd w:id="86"/>
      <w:bookmarkEnd w:id="87"/>
      <w:bookmarkStart w:id="88" w:name="_Toc176419191"/>
      <w:r>
        <w:t>DAGVATTEN</w:t>
      </w:r>
      <w:bookmarkEnd w:id="88"/>
    </w:p>
    <w:p>
      <w:bookmarkStart w:id="89" w:name="_Hlk158636171"/>
      <w:r>
        <w:t xml:space="preserve">Hylte kommun har en dagvattenstrategi, antagen 2017-10-19 §159, som föreslår följande övergripande lösningar för dagvatten; </w:t>
      </w:r>
    </w:p>
    <w:p>
      <w:r>
        <w:t xml:space="preserve">- Genom lokal infiltration motverka uppkomsten av dagvatten </w:t>
      </w:r>
    </w:p>
    <w:p>
      <w:r>
        <w:t>- Avlasta spillvattennätet från dagvatten</w:t>
      </w:r>
    </w:p>
    <w:p>
      <w:r>
        <w:t xml:space="preserve">- Förhindra snabb avrinning, till exempel genom fördröjningsdammar </w:t>
      </w:r>
    </w:p>
    <w:p>
      <w:r>
        <w:t xml:space="preserve">- Minimera tillförsel av föroreningar till sjöar och vattendrag. </w:t>
      </w:r>
    </w:p>
    <w:p>
      <w:r>
        <w:t>Strategin ska eftersträvas.</w:t>
      </w:r>
    </w:p>
    <w:p>
      <w:r>
        <w:t>Enligt SGU:s genomsläpplighetskarta indikerar området en hög genomsläpplighet av ytvatten. Det ger goda förutsättningar för lokalt omhändertagande och infiltration.</w:t>
      </w:r>
    </w:p>
    <w:p>
      <w:r>
        <w:rPr>
          <w:noProof w:val="1"/>
        </w:rPr>
        <w:drawing>
          <wp:inline xmlns:wp="http://schemas.openxmlformats.org/drawingml/2006/wordprocessingDrawing" distT="0" distB="0" distL="0" distR="0">
            <wp:extent cx="2680970" cy="2143125"/>
            <wp:effectExtent l="0" t="0" r="5080" b="0"/>
            <wp:docPr id="64" name="Bildobjekt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pic:cNvPicPr/>
                  </pic:nvPicPr>
                  <pic:blipFill dpi="0">
                    <a:blip xmlns:r="http://schemas.openxmlformats.org/officeDocument/2006/relationships" r:embed="Relimage11"/>
                    <a:srcRect/>
                    <a:stretch>
                      <a:fillRect/>
                    </a:stretch>
                  </pic:blipFill>
                  <pic:spPr>
                    <a:xfrm>
                      <a:off x="0" y="0"/>
                      <a:ext cx="2687344" cy="2147852"/>
                    </a:xfrm>
                    <a:prstGeom prst="rect"/>
                  </pic:spPr>
                </pic:pic>
              </a:graphicData>
            </a:graphic>
          </wp:inline>
        </w:drawing>
      </w:r>
      <w:r>
        <w:rPr>
          <w:noProof w:val="1"/>
        </w:rPr>
        <w:t xml:space="preserve"> </w:t>
      </w:r>
      <w:r>
        <w:t xml:space="preserve"> </w:t>
      </w:r>
      <w:r>
        <w:rPr>
          <w:noProof w:val="1"/>
        </w:rPr>
        <w:drawing>
          <wp:inline xmlns:wp="http://schemas.openxmlformats.org/drawingml/2006/wordprocessingDrawing" distT="0" distB="0" distL="0" distR="0">
            <wp:extent cx="1075690" cy="64770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2"/>
                    <a:srcRect l="78191" t="-1388" r="355" b="78720"/>
                    <a:stretch>
                      <a:fillRect/>
                    </a:stretch>
                  </pic:blipFill>
                  <pic:spPr bwMode="auto">
                    <a:xfrm>
                      <a:off x="0" y="0"/>
                      <a:ext cx="1083953" cy="652675"/>
                    </a:xfrm>
                    <a:prstGeom prst="rect"/>
                    <a:noFill/>
                    <a:ln>
                      <a:noFill/>
                    </a:ln>
                  </pic:spPr>
                </pic:pic>
              </a:graphicData>
            </a:graphic>
          </wp:inline>
        </w:drawing>
      </w:r>
    </w:p>
    <w:p>
      <w:pPr>
        <w:rPr>
          <w:sz w:val="16"/>
          <w:szCs w:val="16"/>
        </w:rPr>
      </w:pPr>
      <w:r>
        <w:rPr>
          <w:sz w:val="16"/>
          <w:szCs w:val="16"/>
        </w:rPr>
        <w:t>Genomsläpplighetskartan indikerar hög genomsläpplighet (röd färg) inom planområdet. Kartan hämtad från sgu.se 2024-02-16.</w:t>
      </w:r>
    </w:p>
    <w:p>
      <w:pPr>
        <w:pStyle w:val="P20"/>
      </w:pPr>
      <w:bookmarkEnd w:id="89"/>
      <w:bookmarkStart w:id="90" w:name="_Toc89446038"/>
      <w:bookmarkStart w:id="91" w:name="_Toc176419192"/>
      <w:r>
        <w:rPr>
          <w:caps w:val="0"/>
        </w:rPr>
        <w:t>HÄLSA OCH SÄKERHET</w:t>
      </w:r>
      <w:bookmarkEnd w:id="90"/>
      <w:bookmarkEnd w:id="91"/>
    </w:p>
    <w:p>
      <w:pPr>
        <w:pStyle w:val="P21"/>
        <w:numPr>
          <w:ilvl w:val="2"/>
          <w:numId w:val="7"/>
        </w:numPr>
      </w:pPr>
      <w:bookmarkStart w:id="92" w:name="_Toc89446039"/>
      <w:bookmarkStart w:id="93" w:name="_Toc176419193"/>
      <w:r>
        <w:rPr>
          <w:caps w:val="0"/>
        </w:rPr>
        <w:t>OMGIVNINGSBULLER</w:t>
      </w:r>
      <w:bookmarkEnd w:id="92"/>
      <w:bookmarkEnd w:id="93"/>
      <w:r>
        <w:rPr>
          <w:caps w:val="0"/>
        </w:rPr>
        <w:t xml:space="preserve"> </w:t>
      </w:r>
    </w:p>
    <w:p>
      <w:bookmarkStart w:id="94" w:name="_Toc89446034"/>
      <w:bookmarkStart w:id="95" w:name="_Toc89446040"/>
      <w:r>
        <w:t>Trafiken utmed Bolmenvägen bedöms inte påverka planområdet negativt. Förordningen om trafikbuller vid bostadsbyggnader som trädde i kraft den 1 juni 2015 innehåller riktvärden för buller utomhus från spår-, väg och flygtrafik vid bostadsbyggnader. Riktvärdena berör endast ljudnivåer utomhus och påverkar inte det befintliga regelverk gällande ljudnivåer inomhus. Buller från spårtrafik och vägar bör inte överskrida 60 dBA ekvivalent ljudnivå vid en bostadsbyggnads fasad och 50 dBA ekvivalent ljudnivå samt 70 dBA maximal ljudnivå vid en uteplats om sådan ska anordnas i anslutning till byggnad. Enligt trafikverket kör totalt mellan 251-500 fordon på Bolmenvägen dagligen (ÅDT). Hastigheten på Bolmenvägen är idag 40 km/h. Enligt Boverkets information ”Hur mycket bullrar vägtrafiken?” skulle det innebära 53 dBA 10 meter ifrån vägmitt. Därmed klarar detaljplanen gällande bullerkrav med god marginal och ytterligare utredningar bedöms ej behövas.</w:t>
      </w:r>
    </w:p>
    <w:p>
      <w:pPr>
        <w:pStyle w:val="P21"/>
      </w:pPr>
      <w:bookmarkEnd w:id="94"/>
      <w:bookmarkEnd w:id="95"/>
      <w:bookmarkStart w:id="96" w:name="_Toc89446041"/>
      <w:bookmarkStart w:id="97" w:name="_Toc176419194"/>
      <w:r>
        <w:t>RISK FÖR ÖVERSVÄMNING</w:t>
      </w:r>
      <w:bookmarkEnd w:id="96"/>
      <w:bookmarkEnd w:id="97"/>
      <w:r>
        <w:t xml:space="preserve"> </w:t>
      </w:r>
    </w:p>
    <w:p>
      <w:bookmarkStart w:id="98" w:name="_Hlk158637569"/>
      <w:r>
        <w:t>Antalet skyfall kommer att öka under de närmaste åren. Länsstyrelsernas rekommendation för planering av ny bebyggelse kan sammanfattas i fyra punkter:</w:t>
      </w:r>
    </w:p>
    <w:p>
      <w:pPr>
        <w:pStyle w:val="P26"/>
        <w:numPr>
          <w:ilvl w:val="0"/>
          <w:numId w:val="18"/>
        </w:numPr>
      </w:pPr>
      <w:r>
        <w:t>Ny bebyggelse planeras så att den inte tar skada eller orsakar skada vid en översvämning från minst ett 100 års regn (Regnvolymen för ett så kallat 100 års regn varierar på regnets varaktighet. SMHI definierar skyfall som ett regn om minst 50 mm/timme eller 1 mm/minuten).</w:t>
      </w:r>
    </w:p>
    <w:p>
      <w:pPr>
        <w:pStyle w:val="P26"/>
        <w:numPr>
          <w:ilvl w:val="0"/>
          <w:numId w:val="18"/>
        </w:numPr>
      </w:pPr>
      <w:r>
        <w:t>Risken för översvämning från ett 100 års regn bedöms i detaljplanen och eventuella skyddsåtgärder ska säkerställas.</w:t>
      </w:r>
    </w:p>
    <w:p>
      <w:pPr>
        <w:pStyle w:val="P26"/>
        <w:numPr>
          <w:ilvl w:val="0"/>
          <w:numId w:val="18"/>
        </w:numPr>
      </w:pPr>
      <w:r>
        <w:t>Bebyggelse som bedöms som samhällsviktig verksamhet ges en högre säkerhetsnivå och planeras så att funktionen kan upprätthållas vid en översvämning.</w:t>
      </w:r>
    </w:p>
    <w:p>
      <w:pPr>
        <w:pStyle w:val="P26"/>
        <w:numPr>
          <w:ilvl w:val="0"/>
          <w:numId w:val="18"/>
        </w:numPr>
      </w:pPr>
      <w:r>
        <w:t>Framkomligheten kan till och från planområdet bedömas och ska vid behov säkerställas.</w:t>
      </w:r>
    </w:p>
    <w:p>
      <w:r>
        <w:t>Inom planområdet återfinns inga lågpunkter som skulle kunna bli påverkade vid ett större skyfall eller översvämning, strax utanför återfinns en lågpunkt. Enligt SGU har marken en hög genomsläpplighet vilket visar på goda förutsättningar för dränering och dagvattenhantering i området. Hänsyn till översvämning och förhöjt grundvatten ska tas vid utformning av dagvatten- och avloppsledningar.</w:t>
      </w:r>
    </w:p>
    <w:p>
      <w:r>
        <w:rPr>
          <w:noProof w:val="1"/>
        </w:rPr>
        <w:drawing>
          <wp:inline xmlns:wp="http://schemas.openxmlformats.org/drawingml/2006/wordprocessingDrawing" distT="0" distB="0" distL="0" distR="0">
            <wp:extent cx="1955165" cy="1249680"/>
            <wp:effectExtent l="0" t="0" r="6985" b="7620"/>
            <wp:docPr id="65" name="Bildobjekt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2"/>
                    <pic:cNvPicPr/>
                  </pic:nvPicPr>
                  <pic:blipFill dpi="0">
                    <a:blip xmlns:r="http://schemas.openxmlformats.org/officeDocument/2006/relationships" r:embed="Relimage13"/>
                    <a:srcRect/>
                    <a:stretch>
                      <a:fillRect/>
                    </a:stretch>
                  </pic:blipFill>
                  <pic:spPr>
                    <a:xfrm>
                      <a:off x="0" y="0"/>
                      <a:ext cx="2031985" cy="1298750"/>
                    </a:xfrm>
                    <a:prstGeom prst="rect"/>
                  </pic:spPr>
                </pic:pic>
              </a:graphicData>
            </a:graphic>
          </wp:inline>
        </w:drawing>
      </w:r>
      <w:r>
        <w:rPr>
          <w:noProof w:val="1"/>
        </w:rPr>
        <w:t xml:space="preserve"> </w:t>
      </w:r>
      <w:r>
        <w:rPr>
          <w:sz w:val="16"/>
        </w:rPr>
        <w:t>Lågpunkter.</w:t>
      </w:r>
    </w:p>
    <w:p>
      <w:pPr>
        <w:pStyle w:val="P20"/>
      </w:pPr>
      <w:bookmarkEnd w:id="98"/>
      <w:bookmarkStart w:id="99" w:name="_Toc89446045"/>
      <w:bookmarkStart w:id="100" w:name="_Toc176419195"/>
      <w:r>
        <w:t>GEOTEKNISKA FÖRHÅLLANDEN</w:t>
      </w:r>
      <w:bookmarkEnd w:id="99"/>
      <w:bookmarkEnd w:id="100"/>
      <w:r>
        <w:t xml:space="preserve"> </w:t>
      </w:r>
    </w:p>
    <w:p>
      <w:bookmarkStart w:id="101" w:name="_Toc89446046"/>
      <w:r>
        <w:t xml:space="preserve">Topografin inom planområdet upplevs som relativt plan. Ett dike återfinns ca 40 meter söder om området. Marken består av isälvssediment inom planområdet och sandig morän norr om planområdet enligt SGU:s kartlager över jordarterna. SGU:s kartlager klassar in marken som ”Fast mark”. Marken är sen tidigare bebyggt och kommunen känner ej till någon problematik i området kring sättningar eller liknande. </w:t>
      </w:r>
    </w:p>
    <w:p>
      <w:r>
        <w:rPr>
          <w:noProof w:val="1"/>
        </w:rPr>
        <w:drawing>
          <wp:inline xmlns:wp="http://schemas.openxmlformats.org/drawingml/2006/wordprocessingDrawing" distT="0" distB="0" distL="0" distR="0">
            <wp:extent cx="3648075" cy="3073400"/>
            <wp:effectExtent l="0" t="0" r="0" b="0"/>
            <wp:docPr id="67" name="Bildobjekt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pic:nvPicPr>
                  <pic:blipFill dpi="0">
                    <a:blip xmlns:r="http://schemas.openxmlformats.org/officeDocument/2006/relationships" r:embed="Relimage14"/>
                    <a:srcRect/>
                    <a:stretch>
                      <a:fillRect/>
                    </a:stretch>
                  </pic:blipFill>
                  <pic:spPr>
                    <a:xfrm>
                      <a:off x="0" y="0"/>
                      <a:ext cx="3667806" cy="3090369"/>
                    </a:xfrm>
                    <a:prstGeom prst="rect"/>
                  </pic:spPr>
                </pic:pic>
              </a:graphicData>
            </a:graphic>
          </wp:inline>
        </w:drawing>
      </w:r>
    </w:p>
    <w:p>
      <w:r>
        <w:rPr>
          <w:noProof w:val="1"/>
        </w:rPr>
        <w:drawing>
          <wp:inline xmlns:wp="http://schemas.openxmlformats.org/drawingml/2006/wordprocessingDrawing" distT="0" distB="0" distL="0" distR="0">
            <wp:extent cx="3648075" cy="2990850"/>
            <wp:effectExtent l="0" t="0" r="9525" b="0"/>
            <wp:docPr id="66" name="Bildobjekt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4"/>
                    <pic:cNvPicPr/>
                  </pic:nvPicPr>
                  <pic:blipFill dpi="0">
                    <a:blip xmlns:r="http://schemas.openxmlformats.org/officeDocument/2006/relationships" r:embed="Relimage15"/>
                    <a:srcRect/>
                    <a:stretch>
                      <a:fillRect/>
                    </a:stretch>
                  </pic:blipFill>
                  <pic:spPr>
                    <a:xfrm>
                      <a:off x="0" y="0"/>
                      <a:ext cx="3648585" cy="2991268"/>
                    </a:xfrm>
                    <a:prstGeom prst="rect"/>
                  </pic:spPr>
                </pic:pic>
              </a:graphicData>
            </a:graphic>
          </wp:inline>
        </w:drawing>
      </w:r>
      <w:r>
        <w:t xml:space="preserve"> </w:t>
      </w:r>
      <w:r>
        <w:rPr>
          <w:noProof w:val="1"/>
        </w:rPr>
        <w:drawing>
          <wp:inline xmlns:wp="http://schemas.openxmlformats.org/drawingml/2006/wordprocessingDrawing" distT="0" distB="0" distL="0" distR="0">
            <wp:extent cx="1076325" cy="915035"/>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8"/>
                    <pic:cNvPicPr/>
                  </pic:nvPicPr>
                  <pic:blipFill dpi="0">
                    <a:blip xmlns:r="http://schemas.openxmlformats.org/officeDocument/2006/relationships" r:embed="Relimage16"/>
                    <a:srcRect/>
                    <a:stretch>
                      <a:fillRect/>
                    </a:stretch>
                  </pic:blipFill>
                  <pic:spPr>
                    <a:xfrm>
                      <a:off x="0" y="0"/>
                      <a:ext cx="1083567" cy="921400"/>
                    </a:xfrm>
                    <a:prstGeom prst="rect"/>
                  </pic:spPr>
                </pic:pic>
              </a:graphicData>
            </a:graphic>
          </wp:inline>
        </w:drawing>
      </w:r>
    </w:p>
    <w:p>
      <w:r>
        <w:rPr>
          <w:sz w:val="16"/>
          <w:szCs w:val="16"/>
        </w:rPr>
        <w:t>Bilderna visar markförhållandena i området, hämtat från SGU 2023-04-11.</w:t>
      </w:r>
    </w:p>
    <w:p>
      <w:pPr>
        <w:pStyle w:val="P20"/>
      </w:pPr>
      <w:bookmarkEnd w:id="101"/>
      <w:bookmarkStart w:id="102" w:name="_Toc89446047"/>
      <w:bookmarkStart w:id="103" w:name="_Toc176419196"/>
      <w:r>
        <w:t>KULTURMILJÖ</w:t>
      </w:r>
      <w:bookmarkEnd w:id="102"/>
      <w:bookmarkEnd w:id="103"/>
    </w:p>
    <w:p>
      <w:bookmarkStart w:id="104" w:name="_Hlk158638627"/>
      <w:bookmarkStart w:id="105" w:name="_Toc89446053"/>
      <w:r>
        <w:t>Hela Unnaryds samhälle är utmärkt som en särskilt värdefull kulturmiljö. Viktiga karaktärsdrag och kvalitéer för Unnaryds samhälle som bör bevaras är 1800-talets och det tidiga 1900-talets jordbruksbebyggelse som finns utspritt i samhället, den sammanhängande 1800-tals bebyggelsen med kyrkan i centrum, det stora antalet påkostade trävillor från 1920-talet samt centrumbebyggelse med villor och flerbostadshus från mitten av 1900-talet.</w:t>
      </w:r>
    </w:p>
    <w:p>
      <w:r>
        <w:t xml:space="preserve">Tillbyggnad, ombyggnader och andra ändringar skall utföras varsamt så att bebyggelsens karaktärsdrag inte förvanskas. Ny bebyggelse ska anpassas med särskild hänsyn till områdets karaktärsdrag, befintlig stadsbyggnadsstruktur samt lokal byggnadstradition. </w:t>
      </w:r>
    </w:p>
    <w:p>
      <w:pPr>
        <w:jc w:val="center"/>
      </w:pPr>
      <w:r>
        <w:rPr>
          <w:noProof w:val="1"/>
        </w:rPr>
        <w:drawing>
          <wp:inline xmlns:wp="http://schemas.openxmlformats.org/drawingml/2006/wordprocessingDrawing" distT="0" distB="0" distL="0" distR="0">
            <wp:extent cx="5537835" cy="2496185"/>
            <wp:effectExtent l="0" t="0" r="5715"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7" cstate="print"/>
                    <a:srcRect/>
                    <a:stretch>
                      <a:fillRect/>
                    </a:stretch>
                  </pic:blipFill>
                  <pic:spPr bwMode="auto">
                    <a:xfrm>
                      <a:off x="0" y="0"/>
                      <a:ext cx="5547091" cy="2500702"/>
                    </a:xfrm>
                    <a:prstGeom prst="rect"/>
                    <a:noFill/>
                    <a:ln>
                      <a:noFill/>
                    </a:ln>
                  </pic:spPr>
                </pic:pic>
              </a:graphicData>
            </a:graphic>
          </wp:inline>
        </w:drawing>
      </w:r>
    </w:p>
    <w:p>
      <w:r>
        <w:rPr>
          <w:sz w:val="16"/>
          <w:szCs w:val="16"/>
        </w:rPr>
        <w:t>Bild på huvudbyggnad sett från Bolmenvägen, 2024-05-22.</w:t>
      </w:r>
    </w:p>
    <w:p>
      <w:r>
        <w:t xml:space="preserve">Detaljplanen innefattar befintliga byggnader. Huvudbyggnaden har tidigare använts för kyrklig verksamhet och senast som buddisttempel. </w:t>
      </w:r>
      <w:r>
        <w:rPr>
          <w:rStyle w:val="C31"/>
        </w:rPr>
        <w:t>Fastigheten byggdes 1944 som ett kapell för Sionkyrkan, en församling inom Pingstkyrkan.</w:t>
      </w:r>
      <w:r>
        <w:t> Det är önskvärt att både befintlig och ny bebyggelse speglar områdets karaktär.</w:t>
      </w:r>
    </w:p>
    <w:p>
      <w:r>
        <w:t xml:space="preserve">Huvudbyggnaden ses som en värdefull kulturhistorisk byggnad och karaktäriseras av: </w:t>
      </w:r>
    </w:p>
    <w:p>
      <w:pPr>
        <w:pStyle w:val="P26"/>
        <w:numPr>
          <w:ilvl w:val="0"/>
          <w:numId w:val="24"/>
        </w:numPr>
        <w:rPr>
          <w:sz w:val="22"/>
        </w:rPr>
      </w:pPr>
      <w:r>
        <w:rPr>
          <w:sz w:val="22"/>
        </w:rPr>
        <w:t>Volym</w:t>
      </w:r>
    </w:p>
    <w:p>
      <w:pPr>
        <w:pStyle w:val="P26"/>
        <w:numPr>
          <w:ilvl w:val="0"/>
          <w:numId w:val="24"/>
        </w:numPr>
        <w:rPr>
          <w:sz w:val="22"/>
        </w:rPr>
      </w:pPr>
      <w:r>
        <w:rPr>
          <w:sz w:val="22"/>
        </w:rPr>
        <w:t>Sadeltak med tegelpannor</w:t>
      </w:r>
    </w:p>
    <w:p>
      <w:pPr>
        <w:pStyle w:val="P26"/>
        <w:numPr>
          <w:ilvl w:val="0"/>
          <w:numId w:val="24"/>
        </w:numPr>
        <w:rPr>
          <w:sz w:val="22"/>
        </w:rPr>
      </w:pPr>
      <w:r>
        <w:rPr>
          <w:sz w:val="22"/>
        </w:rPr>
        <w:t>Fönster sett till storlek, att de är sidohängda, i trä samt placering</w:t>
      </w:r>
    </w:p>
    <w:p>
      <w:pPr>
        <w:pStyle w:val="P26"/>
        <w:numPr>
          <w:ilvl w:val="0"/>
          <w:numId w:val="24"/>
        </w:numPr>
        <w:rPr>
          <w:sz w:val="22"/>
        </w:rPr>
      </w:pPr>
      <w:r>
        <w:rPr>
          <w:sz w:val="22"/>
        </w:rPr>
        <w:t>Tillbyggnad på kortsidan</w:t>
      </w:r>
    </w:p>
    <w:p>
      <w:r>
        <w:t>Karaktärsdragen ses som viktiga för att byggnaden ska få fortsätta ha sitt tidstypiska och säregna uttryck. Höjden på fönsterna betonar användningsområdet byggnaden en gång uppfördes som nämligen kapell, stora fönster gav ett stort ljusinsläpp. Fönsterna bidrar till byggnadens avläsbarhet.</w:t>
      </w:r>
    </w:p>
    <w:p>
      <w:pPr>
        <w:rPr>
          <w:color w:val="000000" w:themeColor="text1"/>
          <w:szCs w:val="24"/>
        </w:rPr>
      </w:pPr>
      <w:r>
        <w:t xml:space="preserve">För att inte förvanska byggnaden bör detta bevaras/renoveras eller kompletteras med liknande tidstypiska material/utseende. Byggnaden är relativt enkel i sitt uttryck och det är inte mycket som krävs för att byggnaden ska förvanskas. Därav bör eventuella tillbyggnader i första hand ske på husets baksida för att inte förvanska byggnadens </w:t>
      </w:r>
      <w:r>
        <w:rPr>
          <w:color w:val="000000" w:themeColor="text1"/>
          <w:szCs w:val="24"/>
        </w:rPr>
        <w:t>kulturvärden.</w:t>
      </w:r>
    </w:p>
    <w:p>
      <w:r>
        <w:rPr>
          <w:noProof w:val="1"/>
        </w:rPr>
        <w:drawing>
          <wp:inline xmlns:wp="http://schemas.openxmlformats.org/drawingml/2006/wordprocessingDrawing" distT="0" distB="0" distL="0" distR="0">
            <wp:extent cx="2962275" cy="2890520"/>
            <wp:effectExtent l="0" t="0" r="0" b="508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8" cstate="print"/>
                    <a:srcRect l="31909" r="21892"/>
                    <a:stretch>
                      <a:fillRect/>
                    </a:stretch>
                  </pic:blipFill>
                  <pic:spPr bwMode="auto">
                    <a:xfrm>
                      <a:off x="0" y="0"/>
                      <a:ext cx="2973520" cy="2901502"/>
                    </a:xfrm>
                    <a:prstGeom prst="rect"/>
                    <a:noFill/>
                    <a:ln>
                      <a:noFill/>
                    </a:ln>
                  </pic:spPr>
                </pic:pic>
              </a:graphicData>
            </a:graphic>
          </wp:inline>
        </w:drawing>
      </w:r>
    </w:p>
    <w:p>
      <w:r>
        <w:rPr>
          <w:sz w:val="16"/>
          <w:szCs w:val="16"/>
        </w:rPr>
        <w:t>Bild på huvudbyggnad, 2024-05-22.</w:t>
      </w:r>
    </w:p>
    <w:p>
      <w:pPr>
        <w:rPr>
          <w:color w:val="000000" w:themeColor="text1"/>
          <w:szCs w:val="24"/>
        </w:rPr>
      </w:pPr>
      <w:r>
        <w:t>Formspråk, material- och kulörval är viktiga att anpassa till den ursprungliga arkitekturen liksom tillbyggnaders volym, form, proportioner och placering.</w:t>
      </w:r>
    </w:p>
    <w:p>
      <w:pPr>
        <w:pStyle w:val="P26"/>
        <w:numPr>
          <w:ilvl w:val="0"/>
          <w:numId w:val="25"/>
        </w:numPr>
        <w:rPr>
          <w:color w:val="000000" w:themeColor="text1"/>
          <w:sz w:val="20"/>
          <w:szCs w:val="20"/>
          <w:shd w:val="clear" w:color="auto" w:fill="FFFFFF"/>
        </w:rPr>
      </w:pPr>
      <w:r>
        <w:rPr>
          <w:color w:val="000000" w:themeColor="text1"/>
          <w:sz w:val="20"/>
          <w:szCs w:val="20"/>
        </w:rPr>
        <w:t>Enligt PBL 2 kap 1§ ska prövning av frågor enligt denna lag ta</w:t>
      </w:r>
      <w:r>
        <w:rPr>
          <w:color w:val="000000" w:themeColor="text1"/>
          <w:sz w:val="20"/>
          <w:szCs w:val="20"/>
          <w:shd w:val="clear" w:color="auto" w:fill="FFFFFF"/>
        </w:rPr>
        <w:t xml:space="preserve"> hänsyn till både allmänna och enskilda intressen. Bevarandet av kulturhistoriska värden är i detta fall ett allmänt intresse. </w:t>
      </w:r>
    </w:p>
    <w:p>
      <w:pPr>
        <w:pStyle w:val="P26"/>
        <w:numPr>
          <w:ilvl w:val="0"/>
          <w:numId w:val="25"/>
        </w:numPr>
        <w:rPr>
          <w:color w:val="000000" w:themeColor="text1"/>
          <w:sz w:val="20"/>
          <w:szCs w:val="20"/>
        </w:rPr>
      </w:pPr>
      <w:r>
        <w:rPr>
          <w:color w:val="000000" w:themeColor="text1"/>
          <w:sz w:val="20"/>
          <w:szCs w:val="20"/>
          <w:shd w:val="clear" w:color="auto" w:fill="FFFFFF"/>
        </w:rPr>
        <w:t>I PBL 8 kap 13§ står det att</w:t>
      </w:r>
      <w:r>
        <w:rPr>
          <w:color w:val="000000" w:themeColor="text1"/>
          <w:sz w:val="20"/>
          <w:szCs w:val="20"/>
        </w:rPr>
        <w:t xml:space="preserve"> en byggnad som är särskilt värdefull från historisk, kulturhistorisk, miljömässig eller konstnärlig synpunkt får inte förvanskas.</w:t>
      </w:r>
    </w:p>
    <w:p>
      <w:pPr>
        <w:pStyle w:val="P26"/>
        <w:numPr>
          <w:ilvl w:val="0"/>
          <w:numId w:val="25"/>
        </w:numPr>
        <w:rPr>
          <w:color w:val="000000" w:themeColor="text1"/>
          <w:sz w:val="20"/>
          <w:szCs w:val="20"/>
        </w:rPr>
      </w:pPr>
      <w:r>
        <w:rPr>
          <w:color w:val="000000" w:themeColor="text1"/>
          <w:sz w:val="20"/>
          <w:szCs w:val="20"/>
          <w:shd w:val="clear" w:color="auto" w:fill="FFFFFF"/>
        </w:rPr>
        <w:t>PBL 8 kap 14§ lyfter vidare att ett byggnadsverk ska hållas i vårdat skick och underhållas så att dess utformning och de tekniska egenskaper som avses i </w:t>
      </w:r>
      <w:hyperlink xmlns:r="http://schemas.openxmlformats.org/officeDocument/2006/relationships" r:id="R2" w:anchor="K8P4">
        <w:r>
          <w:rPr>
            <w:color w:val="000000" w:themeColor="text1"/>
            <w:sz w:val="20"/>
            <w:szCs w:val="20"/>
          </w:rPr>
          <w:t xml:space="preserve">PBL 8 kap </w:t>
        </w:r>
        <w:r>
          <w:rPr>
            <w:rStyle w:val="C2"/>
            <w:color w:val="000000" w:themeColor="text1"/>
            <w:sz w:val="20"/>
            <w:szCs w:val="20"/>
            <w:u w:val="none"/>
            <w:shd w:val="clear" w:color="auto" w:fill="FFFFFF"/>
          </w:rPr>
          <w:t>4§</w:t>
        </w:r>
      </w:hyperlink>
      <w:r>
        <w:rPr>
          <w:color w:val="000000" w:themeColor="text1"/>
          <w:sz w:val="20"/>
          <w:szCs w:val="20"/>
          <w:shd w:val="clear" w:color="auto" w:fill="FFFFFF"/>
        </w:rPr>
        <w:t> i huvudsak bevaras. Underhållet ska anpassas till omgivningens karaktär och byggnadsverkets värde från historisk, kulturhistorisk, miljömässig och konstnärlig synpunkt.</w:t>
      </w:r>
    </w:p>
    <w:p>
      <w:pPr>
        <w:pStyle w:val="P26"/>
        <w:numPr>
          <w:ilvl w:val="0"/>
          <w:numId w:val="25"/>
        </w:numPr>
        <w:rPr>
          <w:color w:val="000000" w:themeColor="text1"/>
          <w:sz w:val="20"/>
          <w:szCs w:val="20"/>
        </w:rPr>
      </w:pPr>
      <w:r>
        <w:rPr>
          <w:color w:val="000000" w:themeColor="text1"/>
          <w:sz w:val="20"/>
          <w:szCs w:val="20"/>
          <w:shd w:val="clear" w:color="auto" w:fill="FFFFFF"/>
        </w:rPr>
        <w:t>I PBL 8 kap 17§ står det även att ändring av en byggnad och flyttning av en byggnad ska utföras varsamt så att man tar hänsyn till byggnadens karaktärsdrag och tar till vara byggnadens tekniska, historiska, kulturhistoriska, miljömässiga och konstnärliga värden.</w:t>
      </w:r>
    </w:p>
    <w:p>
      <w:pPr>
        <w:rPr>
          <w:color w:val="000000" w:themeColor="text1"/>
          <w:szCs w:val="24"/>
        </w:rPr>
      </w:pPr>
      <w:r>
        <w:rPr>
          <w:color w:val="000000" w:themeColor="text1"/>
          <w:szCs w:val="24"/>
        </w:rPr>
        <w:t xml:space="preserve">Fastighetsägaren möjligheter till byggnation och förändringar är på så vis begränsande utifrån gällande lagstiftning. I ett framtida bygglov behöver detta prövas vidare beroende på vilken förändring som planeras. Kommunen har valt att inte reglera detta vidare i detaljplanen då det inte ingår i detaljplanens syfte och till viss del redan är reglerat i PBL. </w:t>
      </w:r>
      <w:r>
        <w:rPr>
          <w:color w:val="000000" w:themeColor="text1"/>
          <w:szCs w:val="24"/>
          <w:shd w:val="clear" w:color="auto" w:fill="FFFFFF"/>
        </w:rPr>
        <w:t>Detaljplanen får inte vara mer detaljerad än som behövs med hänsyn till planens syfte.</w:t>
      </w:r>
      <w:r>
        <w:rPr>
          <w:color w:val="000000" w:themeColor="text1"/>
          <w:szCs w:val="24"/>
        </w:rPr>
        <w:t xml:space="preserve"> </w:t>
      </w:r>
    </w:p>
    <w:p>
      <w:pPr>
        <w:pStyle w:val="P20"/>
      </w:pPr>
      <w:bookmarkEnd w:id="104"/>
      <w:bookmarkStart w:id="106" w:name="_Toc176419197"/>
      <w:r>
        <w:rPr>
          <w:caps w:val="0"/>
        </w:rPr>
        <w:t>TEKNIK</w:t>
      </w:r>
      <w:bookmarkEnd w:id="105"/>
      <w:bookmarkEnd w:id="106"/>
      <w:r>
        <w:rPr>
          <w:caps w:val="0"/>
        </w:rPr>
        <w:t xml:space="preserve"> </w:t>
      </w:r>
    </w:p>
    <w:p>
      <w:pPr>
        <w:rPr>
          <w:b w:val="1"/>
        </w:rPr>
      </w:pPr>
      <w:r>
        <w:rPr>
          <w:b w:val="1"/>
        </w:rPr>
        <w:t>El, tele och bredband</w:t>
      </w:r>
    </w:p>
    <w:p>
      <w:r>
        <w:t>Inom planområdet finns diverse ledningar för el och fiber.</w:t>
      </w:r>
    </w:p>
    <w:p>
      <w:pPr>
        <w:rPr>
          <w:b w:val="1"/>
        </w:rPr>
      </w:pPr>
      <w:bookmarkStart w:id="107" w:name="_Toc89446054"/>
      <w:r>
        <w:rPr>
          <w:b w:val="1"/>
        </w:rPr>
        <w:t>Vatten och avlopp</w:t>
      </w:r>
    </w:p>
    <w:p>
      <w:r>
        <w:t>Kommunalt vatten och avlopp ligger strax söder om planområdet och fastigheten är redan ansluten till systemet.</w:t>
      </w:r>
    </w:p>
    <w:p>
      <w:pPr>
        <w:pStyle w:val="P20"/>
      </w:pPr>
      <w:bookmarkEnd w:id="107"/>
      <w:bookmarkStart w:id="108" w:name="_Toc89446055"/>
      <w:bookmarkStart w:id="109" w:name="_Toc176419198"/>
      <w:r>
        <w:rPr>
          <w:caps w:val="0"/>
        </w:rPr>
        <w:t>TRAFIK</w:t>
      </w:r>
      <w:bookmarkEnd w:id="108"/>
      <w:bookmarkEnd w:id="109"/>
      <w:r>
        <w:rPr>
          <w:caps w:val="0"/>
        </w:rPr>
        <w:t xml:space="preserve"> </w:t>
      </w:r>
    </w:p>
    <w:p>
      <w:pPr>
        <w:rPr>
          <w:b w:val="1"/>
        </w:rPr>
      </w:pPr>
      <w:bookmarkStart w:id="110" w:name="_Toc89446056"/>
      <w:r>
        <w:rPr>
          <w:b w:val="1"/>
        </w:rPr>
        <w:t>Trafikmiljö</w:t>
      </w:r>
    </w:p>
    <w:p>
      <w:pPr>
        <w:rPr>
          <w:color w:val="000000" w:themeColor="text1"/>
        </w:rPr>
      </w:pPr>
      <w:r>
        <w:rPr>
          <w:color w:val="000000" w:themeColor="text1"/>
        </w:rPr>
        <w:t>Området nås och förväntas vidare anslutas till det befintliga vägnätet genom den nuvarande uppfarten från Bolmenvägen.</w:t>
      </w:r>
    </w:p>
    <w:p>
      <w:pPr>
        <w:rPr>
          <w:color w:val="000000" w:themeColor="text1"/>
        </w:rPr>
      </w:pPr>
      <w:r>
        <w:rPr>
          <w:color w:val="000000" w:themeColor="text1"/>
        </w:rPr>
        <w:t xml:space="preserve">Bolmenvägen har en årsdygnstrafik mellan </w:t>
      </w:r>
      <w:r>
        <w:t>251–500 fordon. Hastigheten på Bolmenvägen är idag 40 km/h.</w:t>
      </w:r>
      <w:r>
        <w:rPr>
          <w:color w:val="000000" w:themeColor="text1"/>
        </w:rPr>
        <w:t xml:space="preserve"> Det är trafikverket som sköter om vägen.</w:t>
      </w:r>
    </w:p>
    <w:p>
      <w:pPr>
        <w:rPr>
          <w:color w:val="000000" w:themeColor="text1"/>
        </w:rPr>
      </w:pPr>
      <w:r>
        <w:rPr>
          <w:color w:val="000000" w:themeColor="text1"/>
        </w:rPr>
        <w:t xml:space="preserve">Kommunen har med hjälp av trafikverkets trafikalstringsverktyg beräknat förväntade transporter till och från området. Beräkningen gjordes utefter detaljplanens regleringar så som byggyta, som i sin tur även kalkylerade utefter 5 boendeenheter. De skulle innebära totalt 36 resor per dygn oavsett färdmedel. </w:t>
      </w:r>
    </w:p>
    <w:p>
      <w:pPr>
        <w:rPr>
          <w:color w:val="000000" w:themeColor="text1"/>
        </w:rPr>
      </w:pPr>
      <w:r>
        <w:rPr>
          <w:noProof w:val="1"/>
          <w:color w:val="000000" w:themeColor="text1"/>
        </w:rPr>
        <w:drawing>
          <wp:inline xmlns:wp="http://schemas.openxmlformats.org/drawingml/2006/wordprocessingDrawing" distT="0" distB="0" distL="0" distR="0">
            <wp:extent cx="5731510" cy="3821430"/>
            <wp:effectExtent l="0" t="0" r="2540" b="762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pic:nvPicPr>
                  <pic:blipFill dpi="0">
                    <a:blip xmlns:r="http://schemas.openxmlformats.org/officeDocument/2006/relationships" r:embed="Relimage19"/>
                    <a:srcRect/>
                    <a:stretch>
                      <a:fillRect/>
                    </a:stretch>
                  </pic:blipFill>
                  <pic:spPr>
                    <a:xfrm>
                      <a:off x="0" y="0"/>
                      <a:ext cx="5731510" cy="3821430"/>
                    </a:xfrm>
                    <a:prstGeom prst="rect"/>
                  </pic:spPr>
                </pic:pic>
              </a:graphicData>
            </a:graphic>
          </wp:inline>
        </w:drawing>
      </w:r>
      <w:r>
        <w:rPr>
          <w:color w:val="000000" w:themeColor="text1"/>
        </w:rPr>
        <w:t xml:space="preserve"> </w:t>
      </w:r>
    </w:p>
    <w:p>
      <w:pPr>
        <w:pStyle w:val="P33"/>
        <w:spacing w:lineRule="auto" w:line="240" w:before="120" w:after="360" w:beforeAutospacing="0" w:afterAutospacing="0"/>
        <w:rPr>
          <w:sz w:val="16"/>
        </w:rPr>
      </w:pPr>
      <w:r>
        <w:rPr>
          <w:sz w:val="16"/>
        </w:rPr>
        <w:t>Trafikverkets trafikalstringsverktyg.</w:t>
      </w:r>
    </w:p>
    <w:p>
      <w:pPr>
        <w:rPr>
          <w:color w:val="000000" w:themeColor="text1"/>
        </w:rPr>
      </w:pPr>
      <w:r>
        <w:rPr>
          <w:color w:val="000000" w:themeColor="text1"/>
        </w:rPr>
        <w:t xml:space="preserve">Detaljplanen möjliggör för flera användningar än boende så som centrum och tillfällig vistelse, de användningarna är svårare att beräkna. Skulle exempelvis en restaurang byggas på platsen kommer trafiken troligen ökas ännu mer. Tomten är dock beläggen i slutet av samhället med få nära grannar som kan tänkas bli störda. Fastigheten regleras vidare med en största byggnadsarea på 22 % av fastighetsarean inom användningsområdet vilket ger goda parkeringsmöjligheter inom den egna fastigheten. Parkering ska ske inom den egna fastigheten. Fastigheten är idag planlagd för samlingslokal vilket också kan tänkas generera en del trafik. </w:t>
      </w:r>
    </w:p>
    <w:p>
      <w:pPr>
        <w:rPr>
          <w:color w:val="000000" w:themeColor="text1"/>
        </w:rPr>
      </w:pPr>
      <w:r>
        <w:rPr>
          <w:color w:val="000000" w:themeColor="text1"/>
        </w:rPr>
        <w:t xml:space="preserve">Därmed bedömer kommunen som att det enbart finns en liten risk för trafikproblem. </w:t>
      </w: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ind w:left="0"/>
        <w:rPr>
          <w:b w:val="1"/>
          <w:color w:val="000000" w:themeColor="text1"/>
        </w:rPr>
      </w:pPr>
      <w:r>
        <w:rPr>
          <w:b w:val="1"/>
          <w:color w:val="000000" w:themeColor="text1"/>
        </w:rPr>
        <w:t>Tillgänglighet med gång, cykel och kollektivtrafik</w:t>
      </w:r>
    </w:p>
    <w:p>
      <w:r>
        <w:rPr>
          <w:color w:val="000000" w:themeColor="text1"/>
        </w:rPr>
        <w:t>Planområdet ligger ca 650 meter ifrån närmsta hållplats där det finns en relativt god turtäthet mellan Hyltebruk och Unnaryd. Ifrån Hyltebruk finns vidare goda transportmöjligheter.</w:t>
      </w:r>
    </w:p>
    <w:p>
      <w:pPr>
        <w:pStyle w:val="P33"/>
        <w:spacing w:lineRule="auto" w:line="240" w:before="120" w:after="360" w:beforeAutospacing="0" w:afterAutospacing="0"/>
        <w:ind w:firstLine="425"/>
        <w:rPr>
          <w:sz w:val="16"/>
        </w:rPr>
      </w:pPr>
      <w:r>
        <w:rPr>
          <w:noProof w:val="1"/>
          <w:color w:val="000000" w:themeColor="text1"/>
        </w:rPr>
        <w:drawing>
          <wp:anchor xmlns:wp="http://schemas.openxmlformats.org/drawingml/2006/wordprocessingDrawing" distT="0" distB="0" distL="114300" distR="114300" simplePos="0" relativeHeight="251676672" behindDoc="1" locked="0" layoutInCell="1" allowOverlap="1">
            <wp:simplePos x="0" y="0"/>
            <wp:positionH relativeFrom="margin">
              <wp:posOffset>196850</wp:posOffset>
            </wp:positionH>
            <wp:positionV relativeFrom="paragraph">
              <wp:posOffset>0</wp:posOffset>
            </wp:positionV>
            <wp:extent cx="2553335" cy="1541780"/>
            <wp:effectExtent l="0" t="0" r="0" b="1270"/>
            <wp:wrapSquare wrapText="bothSides"/>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pic:cNvPicPr/>
                  </pic:nvPicPr>
                  <pic:blipFill dpi="0">
                    <a:blip xmlns:r="http://schemas.openxmlformats.org/officeDocument/2006/relationships" r:embed="Relimage20"/>
                    <a:srcRect/>
                    <a:stretch>
                      <a:fillRect/>
                    </a:stretch>
                  </pic:blipFill>
                  <pic:spPr>
                    <a:xfrm>
                      <a:off x="0" y="0"/>
                      <a:ext cx="2553335" cy="1541780"/>
                    </a:xfrm>
                    <a:prstGeom prst="rect"/>
                  </pic:spPr>
                </pic:pic>
              </a:graphicData>
            </a:graphic>
          </wp:anchor>
        </w:drawing>
      </w:r>
    </w:p>
    <w:p>
      <w:pPr>
        <w:pStyle w:val="P33"/>
        <w:spacing w:lineRule="auto" w:line="240" w:before="120" w:after="360" w:beforeAutospacing="0" w:afterAutospacing="0"/>
        <w:ind w:firstLine="425"/>
        <w:rPr>
          <w:sz w:val="16"/>
        </w:rPr>
      </w:pPr>
    </w:p>
    <w:p>
      <w:pPr>
        <w:pStyle w:val="P33"/>
        <w:spacing w:lineRule="auto" w:line="240" w:before="120" w:after="360" w:beforeAutospacing="0" w:afterAutospacing="0"/>
        <w:ind w:firstLine="425"/>
        <w:rPr>
          <w:sz w:val="16"/>
        </w:rPr>
      </w:pPr>
    </w:p>
    <w:p>
      <w:pPr>
        <w:pStyle w:val="P33"/>
        <w:spacing w:lineRule="auto" w:line="240" w:before="120" w:after="360" w:beforeAutospacing="0" w:afterAutospacing="0"/>
        <w:ind w:firstLine="425"/>
        <w:rPr>
          <w:sz w:val="16"/>
        </w:rPr>
      </w:pPr>
    </w:p>
    <w:p>
      <w:pPr>
        <w:pStyle w:val="P33"/>
        <w:spacing w:lineRule="auto" w:line="240" w:before="120" w:after="360" w:beforeAutospacing="0" w:afterAutospacing="0"/>
        <w:rPr>
          <w:sz w:val="16"/>
        </w:rPr>
      </w:pPr>
      <w:r>
        <w:rPr>
          <w:sz w:val="16"/>
        </w:rPr>
        <w:t>Karta över kollektivtrafiken.</w:t>
      </w:r>
    </w:p>
    <w:p>
      <w:pPr>
        <w:pStyle w:val="P20"/>
      </w:pPr>
      <w:bookmarkEnd w:id="110"/>
      <w:bookmarkStart w:id="111" w:name="_Toc90561211"/>
      <w:bookmarkStart w:id="112" w:name="_Toc176419199"/>
      <w:r>
        <w:t>R</w:t>
      </w:r>
      <w:bookmarkEnd w:id="111"/>
      <w:r>
        <w:t>ADON</w:t>
      </w:r>
      <w:bookmarkEnd w:id="112"/>
    </w:p>
    <w:p>
      <w:r>
        <w:t>Radon är en osynlig och luktfri ädelgas. Riktvärdet för radon i inomhusmiljö är fastställt av Socialstyrelsen som anger att inomhusmiljön i bostäder och allmänna lokaler eller dricksvattnet inte ska ha radonhalter som överstiger 200 Bq/m</w:t>
      </w:r>
      <w:r>
        <w:rPr>
          <w:vertAlign w:val="superscript"/>
        </w:rPr>
        <w:t>3</w:t>
      </w:r>
      <w:r>
        <w:t xml:space="preserve">. Radon kommer från marken och mängden radon varierar mellan olika platser. Det är möjligt att konstruera byggnader på ett sätt så att radongaserna inte kommer in i byggnaden. </w:t>
      </w:r>
    </w:p>
    <w:p>
      <w:r>
        <w:t>I Unnaryd förekommer generellt ingen markradon som överskrider gällande riktvärden.</w:t>
      </w:r>
    </w:p>
    <w:p>
      <w:pPr>
        <w:pStyle w:val="P19"/>
      </w:pPr>
      <w:bookmarkStart w:id="113" w:name="_Toc89446057"/>
      <w:bookmarkStart w:id="114" w:name="_Toc176419200"/>
      <w:r>
        <w:t>PLANERINGSUNDERLAG</w:t>
      </w:r>
      <w:bookmarkEnd w:id="113"/>
      <w:bookmarkEnd w:id="114"/>
    </w:p>
    <w:p>
      <w:r>
        <w:t>Underlagen finns i sin helhet att ta del av på Samhällsbyggnadsförvaltningen, nedan följer en sammanfattning ifrån underlagen.</w:t>
      </w:r>
    </w:p>
    <w:p>
      <w:pPr>
        <w:pStyle w:val="P20"/>
      </w:pPr>
      <w:bookmarkStart w:id="115" w:name="_Toc176419201"/>
      <w:r>
        <w:t>KOMMUNALT FRAMTAGNA UNDERLAG</w:t>
      </w:r>
      <w:bookmarkEnd w:id="115"/>
    </w:p>
    <w:p>
      <w:pPr>
        <w:pStyle w:val="P21"/>
        <w:numPr>
          <w:ilvl w:val="2"/>
          <w:numId w:val="7"/>
        </w:numPr>
      </w:pPr>
      <w:bookmarkStart w:id="116" w:name="_Toc89446063"/>
      <w:bookmarkStart w:id="117" w:name="_Toc176419202"/>
      <w:r>
        <w:t>UNDERSÖKNING ENLIGT 6 KAP. 6§ PLAN- OCH BYGGLAGEN (2010:900)</w:t>
      </w:r>
      <w:bookmarkEnd w:id="116"/>
      <w:bookmarkEnd w:id="117"/>
    </w:p>
    <w:p>
      <w:bookmarkStart w:id="118" w:name="_Toc89446064"/>
      <w:r>
        <w:t xml:space="preserve">Enligt 4 kap. 34 § Plan- och bygglagen och 6 kap. 3 § Miljöbalken ska en kommun som upprättar eller ändrar en plan eller ett program göra en strategisk miljöbedömning om genomförandet av planen, programmet eller ändringen kan antas medföra en betydande miljöpåverkan. Kommunen genomför därför en undersökning om betydande miljöpåverkan för alla detaljplaner och planprogram. Om undersökningen visar på en betydande miljöpåverkan ska en strategisk miljöbedömning upprättas i samband med detaljplanearbetet. </w:t>
      </w:r>
    </w:p>
    <w:p>
      <w:r>
        <w:t>Kommunens undersökning gjordes den 29/2 2024 och kom fram till att planförslaget inte kan antas bidra till en betydande miljöpåverkan. Kommunen har bland annat undersökt om detaljplanen förväntas påverka kringliggande natura 2000 områden, naturvärden, rödlistade arter, övriga planer och program i kommunen, kommunens arbete gällande hållbar utveckling mm. Detaljplanen anses inte påverka detta. Undersökningen lyfter fram att ett miljöproblem som skulle kunna vara relevant för detaljplanen är lukt i form av matos och trafikökning, det bedöms dock som små förändringar.</w:t>
      </w:r>
    </w:p>
    <w:p>
      <w:pPr>
        <w:pStyle w:val="P20"/>
      </w:pPr>
      <w:bookmarkEnd w:id="118"/>
      <w:bookmarkStart w:id="119" w:name="_Toc89446066"/>
      <w:bookmarkStart w:id="120" w:name="_Toc176419203"/>
      <w:r>
        <w:rPr>
          <w:caps w:val="0"/>
        </w:rPr>
        <w:t>UTREDNINGAR</w:t>
      </w:r>
      <w:bookmarkEnd w:id="119"/>
      <w:bookmarkEnd w:id="120"/>
    </w:p>
    <w:p>
      <w:r>
        <w:t>Detaljplanen är redan exploaterad och innefattar befintlig bebyggelse. Bebyggelsen har funnits länge på platsen och kommunen känner inte till några risker i området. Detaljplanen ändrar användningen på fastigheten vilket inte anses vara problematiskt för området.</w:t>
      </w:r>
    </w:p>
    <w:p>
      <w:pPr>
        <w:pStyle w:val="P19"/>
      </w:pPr>
      <w:bookmarkStart w:id="121" w:name="_Toc89446079"/>
      <w:bookmarkStart w:id="122" w:name="_Toc176419204"/>
      <w:r>
        <w:t>KONSEKVENSER</w:t>
      </w:r>
      <w:bookmarkEnd w:id="121"/>
      <w:bookmarkEnd w:id="122"/>
    </w:p>
    <w:p>
      <w:pPr>
        <w:pStyle w:val="P20"/>
      </w:pPr>
      <w:bookmarkStart w:id="123" w:name="_Toc89446080"/>
      <w:bookmarkStart w:id="124" w:name="_Toc176419205"/>
      <w:bookmarkStart w:id="125" w:name="_Hlk158885398"/>
      <w:bookmarkStart w:id="126" w:name="ko_fastigheterochrättigheter01"/>
      <w:r>
        <w:rPr>
          <w:caps w:val="0"/>
        </w:rPr>
        <w:t>FASTIGHETER OCH RÄTTIGHETER</w:t>
      </w:r>
      <w:bookmarkEnd w:id="123"/>
      <w:bookmarkEnd w:id="124"/>
      <w:r>
        <w:rPr>
          <w:caps w:val="0"/>
        </w:rPr>
        <w:t xml:space="preserve"> </w:t>
      </w:r>
    </w:p>
    <w:p>
      <w:bookmarkStart w:id="127" w:name="_Toc89446081"/>
      <w:r>
        <w:t>Fastigheter i anslutning till planområdet, och andra sakägare enligt fastighetsförteckningen, bedöms bli berörda på följande sätt av planförslaget:</w:t>
      </w:r>
    </w:p>
    <w:tbl>
      <w:tblPr>
        <w:tblStyle w:val="T3"/>
        <w:tblW w:w="0" w:type="auto"/>
        <w:tblLook w:val="04A0"/>
      </w:tblPr>
      <w:tblGrid/>
      <w:tr>
        <w:trPr>
          <w:trHeight w:hRule="atLeast" w:val="567"/>
        </w:trPr>
        <w:tc>
          <w:tcPr>
            <w:tcW w:w="2268" w:type="dxa"/>
          </w:tcPr>
          <w:p>
            <w:pPr>
              <w:rPr>
                <w:color w:val="auto"/>
              </w:rPr>
            </w:pPr>
            <w:r>
              <w:rPr>
                <w:color w:val="auto"/>
              </w:rPr>
              <w:t>Sakägare</w:t>
            </w:r>
          </w:p>
        </w:tc>
        <w:tc>
          <w:tcPr>
            <w:tcW w:w="6709" w:type="dxa"/>
          </w:tcPr>
          <w:p>
            <w:pPr>
              <w:rPr>
                <w:color w:val="auto"/>
              </w:rPr>
            </w:pPr>
            <w:r>
              <w:rPr>
                <w:color w:val="auto"/>
              </w:rPr>
              <w:t>Konsekvenser</w:t>
            </w:r>
          </w:p>
        </w:tc>
      </w:tr>
      <w:tr>
        <w:trPr>
          <w:trHeight w:hRule="atLeast" w:val="567"/>
        </w:trPr>
        <w:tc>
          <w:tcPr>
            <w:tcW w:w="2268" w:type="dxa"/>
          </w:tcPr>
          <w:p>
            <w:pPr>
              <w:rPr>
                <w:sz w:val="20"/>
              </w:rPr>
            </w:pPr>
            <w:r>
              <w:rPr>
                <w:sz w:val="20"/>
              </w:rPr>
              <w:t>Unnaryd 2:48</w:t>
            </w:r>
          </w:p>
        </w:tc>
        <w:tc>
          <w:tcPr>
            <w:tcW w:w="6709" w:type="dxa"/>
          </w:tcPr>
          <w:p>
            <w:pPr>
              <w:rPr>
                <w:sz w:val="20"/>
              </w:rPr>
            </w:pPr>
            <w:r>
              <w:rPr>
                <w:sz w:val="20"/>
              </w:rPr>
              <w:t>Fastigheten ligger inom planområdet och ägs privat. Fastighetsägaren bekostar detaljplanen.</w:t>
            </w:r>
          </w:p>
          <w:p>
            <w:pPr>
              <w:rPr>
                <w:sz w:val="20"/>
              </w:rPr>
            </w:pPr>
            <w:r>
              <w:rPr>
                <w:sz w:val="20"/>
              </w:rPr>
              <w:t>Fastigheten kommer kunna användas till bostadsändamål, tillfällig vistelse och centrumverksamheter i och med den nya detaljplanen.</w:t>
            </w:r>
          </w:p>
          <w:p>
            <w:pPr>
              <w:rPr>
                <w:sz w:val="20"/>
                <w:highlight w:val="yellow"/>
              </w:rPr>
            </w:pPr>
            <w:r>
              <w:rPr>
                <w:sz w:val="20"/>
              </w:rPr>
              <w:t>Befintligt servitut som finns inom fastigheten med aktnr 13-SÖD-289.1 avseende avloppsledning till förmån för Unnaryd 2:41 kommer inte påverkas.</w:t>
            </w:r>
          </w:p>
        </w:tc>
      </w:tr>
      <w:tr>
        <w:trPr>
          <w:trHeight w:hRule="atLeast" w:val="567"/>
        </w:trPr>
        <w:tc>
          <w:tcPr>
            <w:tcW w:w="2268" w:type="dxa"/>
          </w:tcPr>
          <w:p>
            <w:pPr>
              <w:rPr>
                <w:sz w:val="20"/>
              </w:rPr>
            </w:pPr>
            <w:r>
              <w:rPr>
                <w:sz w:val="20"/>
              </w:rPr>
              <w:t>Unnaryd 2:41</w:t>
            </w:r>
          </w:p>
        </w:tc>
        <w:tc>
          <w:tcPr>
            <w:tcW w:w="6709" w:type="dxa"/>
          </w:tcPr>
          <w:p>
            <w:pPr>
              <w:rPr>
                <w:sz w:val="20"/>
              </w:rPr>
            </w:pPr>
            <w:r>
              <w:rPr>
                <w:sz w:val="20"/>
              </w:rPr>
              <w:t>Fastigheten ligger väster om planområdet och bedöms påverkas marginellt då en ökning av aktivitet i området skulle kunna ske.</w:t>
            </w:r>
          </w:p>
        </w:tc>
      </w:tr>
      <w:tr>
        <w:trPr>
          <w:trHeight w:hRule="atLeast" w:val="567"/>
        </w:trPr>
        <w:tc>
          <w:tcPr>
            <w:tcW w:w="2268" w:type="dxa"/>
          </w:tcPr>
          <w:p>
            <w:pPr>
              <w:rPr>
                <w:sz w:val="20"/>
              </w:rPr>
            </w:pPr>
            <w:bookmarkEnd w:id="125"/>
            <w:r>
              <w:rPr>
                <w:sz w:val="20"/>
              </w:rPr>
              <w:t>Unnaryd 4:57</w:t>
            </w:r>
          </w:p>
        </w:tc>
        <w:tc>
          <w:tcPr>
            <w:tcW w:w="6709" w:type="dxa"/>
          </w:tcPr>
          <w:p>
            <w:pPr>
              <w:rPr>
                <w:sz w:val="20"/>
              </w:rPr>
            </w:pPr>
            <w:r>
              <w:rPr>
                <w:sz w:val="20"/>
              </w:rPr>
              <w:t xml:space="preserve">Fastigheten ägs av kommunen och är placerad runt om planområdet och förväntas inte påverkas. </w:t>
            </w:r>
          </w:p>
          <w:p>
            <w:pPr>
              <w:rPr>
                <w:sz w:val="20"/>
              </w:rPr>
            </w:pPr>
            <w:r>
              <w:rPr>
                <w:sz w:val="20"/>
              </w:rPr>
              <w:t>Inom fastigheten finns en ledningsrätt 1315-2019/26.1 för elektronisk kommunikation. Till förmån för Unnaryds Fiber Ekonomisk Förening. Ledningsrätten kommer inte att påverkas.</w:t>
            </w:r>
          </w:p>
        </w:tc>
      </w:tr>
      <w:tr>
        <w:trPr>
          <w:trHeight w:hRule="atLeast" w:val="567"/>
        </w:trPr>
        <w:tc>
          <w:tcPr>
            <w:tcW w:w="2268" w:type="dxa"/>
          </w:tcPr>
          <w:p>
            <w:pPr>
              <w:rPr>
                <w:sz w:val="20"/>
              </w:rPr>
            </w:pPr>
            <w:r>
              <w:rPr>
                <w:sz w:val="20"/>
              </w:rPr>
              <w:t>Unnaryd 2:90</w:t>
            </w:r>
          </w:p>
        </w:tc>
        <w:tc>
          <w:tcPr>
            <w:tcW w:w="6709" w:type="dxa"/>
          </w:tcPr>
          <w:p>
            <w:pPr>
              <w:rPr>
                <w:sz w:val="20"/>
              </w:rPr>
            </w:pPr>
            <w:r>
              <w:rPr>
                <w:sz w:val="20"/>
              </w:rPr>
              <w:t>Fastigheten ligger väster om planområdet och bedöms påverkas marginellt då en ökning av aktivitet i området skulle kunna ske.</w:t>
            </w:r>
          </w:p>
        </w:tc>
      </w:tr>
      <w:tr>
        <w:trPr>
          <w:trHeight w:hRule="atLeast" w:val="567"/>
        </w:trPr>
        <w:tc>
          <w:tcPr>
            <w:tcW w:w="2268" w:type="dxa"/>
          </w:tcPr>
          <w:p>
            <w:pPr>
              <w:rPr>
                <w:sz w:val="20"/>
              </w:rPr>
            </w:pPr>
            <w:bookmarkStart w:id="128" w:name="_Hlk160627950" w:colFirst="0" w:colLast="1"/>
            <w:r>
              <w:rPr>
                <w:sz w:val="20"/>
              </w:rPr>
              <w:t>Unnaryd s:7</w:t>
            </w:r>
          </w:p>
        </w:tc>
        <w:tc>
          <w:tcPr>
            <w:tcW w:w="6709" w:type="dxa"/>
          </w:tcPr>
          <w:p>
            <w:pPr>
              <w:rPr>
                <w:sz w:val="20"/>
              </w:rPr>
            </w:pPr>
            <w:r>
              <w:rPr>
                <w:sz w:val="20"/>
              </w:rPr>
              <w:t>Marksamfällighet utanför planområdet och bedöms inte påverkas av planförslaget</w:t>
            </w:r>
          </w:p>
        </w:tc>
      </w:tr>
      <w:tr>
        <w:trPr>
          <w:trHeight w:hRule="atLeast" w:val="567"/>
        </w:trPr>
        <w:tc>
          <w:tcPr>
            <w:tcW w:w="2268" w:type="dxa"/>
          </w:tcPr>
          <w:p>
            <w:pPr>
              <w:rPr>
                <w:sz w:val="20"/>
              </w:rPr>
            </w:pPr>
            <w:bookmarkEnd w:id="128"/>
            <w:r>
              <w:rPr>
                <w:sz w:val="20"/>
              </w:rPr>
              <w:t>Unnaryd s:8</w:t>
            </w:r>
          </w:p>
        </w:tc>
        <w:tc>
          <w:tcPr>
            <w:tcW w:w="6709" w:type="dxa"/>
          </w:tcPr>
          <w:p>
            <w:pPr>
              <w:rPr>
                <w:sz w:val="20"/>
              </w:rPr>
            </w:pPr>
            <w:r>
              <w:rPr>
                <w:sz w:val="20"/>
              </w:rPr>
              <w:t>Marksamfällighet utanför planområdet och bedöms inte påverkas av planförslaget</w:t>
            </w:r>
          </w:p>
        </w:tc>
      </w:tr>
    </w:tbl>
    <w:p>
      <w:pPr>
        <w:pStyle w:val="P20"/>
      </w:pPr>
      <w:bookmarkEnd w:id="126"/>
      <w:bookmarkStart w:id="129" w:name="_Toc176419206"/>
      <w:r>
        <w:rPr>
          <w:caps w:val="0"/>
        </w:rPr>
        <w:t>NATUR</w:t>
      </w:r>
      <w:bookmarkEnd w:id="127"/>
      <w:bookmarkEnd w:id="129"/>
      <w:bookmarkStart w:id="130" w:name="_Toc89446085"/>
    </w:p>
    <w:p>
      <w:bookmarkStart w:id="131" w:name="_Hlk158889817"/>
      <w:r>
        <w:t xml:space="preserve">Någon värdefull natur eller växtlighet kommer inte att påverkas då området saknar höga naturvärden. </w:t>
      </w:r>
    </w:p>
    <w:p>
      <w:pPr>
        <w:pStyle w:val="P20"/>
      </w:pPr>
      <w:bookmarkEnd w:id="131"/>
      <w:bookmarkStart w:id="132" w:name="_Toc176419207"/>
      <w:r>
        <w:rPr>
          <w:caps w:val="0"/>
        </w:rPr>
        <w:t>MILJÖ</w:t>
      </w:r>
      <w:bookmarkEnd w:id="130"/>
      <w:bookmarkEnd w:id="132"/>
    </w:p>
    <w:p>
      <w:pPr>
        <w:pStyle w:val="P21"/>
        <w:numPr>
          <w:ilvl w:val="2"/>
          <w:numId w:val="7"/>
        </w:numPr>
      </w:pPr>
      <w:bookmarkStart w:id="133" w:name="_Toc89446087"/>
      <w:bookmarkStart w:id="134" w:name="_Toc176419208"/>
      <w:r>
        <w:t>MILJÖBEDÖMNING</w:t>
      </w:r>
      <w:bookmarkEnd w:id="133"/>
      <w:bookmarkEnd w:id="134"/>
    </w:p>
    <w:p>
      <w:pPr>
        <w:rPr>
          <w:color w:val="auto"/>
        </w:rPr>
      </w:pPr>
      <w:bookmarkStart w:id="135" w:name="_Hlk158889879"/>
      <w:r>
        <w:t xml:space="preserve">Enligt 4 kap. 34 § plan- och bygglagen och 6 kap. 3 § Miljöbalken ska en kommun som upprättar eller ändrar en plan eller ett program göra en strategisk miljöbedömning om genomförandet av planen, programmet eller ändringen kan antas medföra en betydande miljöpåverkan. Kommunen genomför därför en undersökning om betydande miljöpåverkan för alla detaljplaner och planprogram. Om undersökningen visar på en betydande miljöpåverkan ska en strategisk miljöbedömning upprättas i samband med detaljplanearbetet. En undersökning för </w:t>
      </w:r>
      <w:r>
        <w:rPr>
          <w:color w:val="auto"/>
        </w:rPr>
        <w:t>aktuellt planförslag har tagits fram.</w:t>
      </w:r>
    </w:p>
    <w:p>
      <w:pPr>
        <w:rPr>
          <w:color w:val="auto"/>
        </w:rPr>
      </w:pPr>
      <w:r>
        <w:rPr>
          <w:color w:val="auto"/>
        </w:rPr>
        <w:t>Planförslaget bedöms inte innebära en sådan betydande miljöpåverkan som enligt miljöbalken 6 kap. kräver att en särskild miljöbedömning ska genomföras. Det anses därmed att ingen betydande miljöpåverkan kommer ske därav ses ingen större konsekvens gällande miljön.</w:t>
      </w:r>
    </w:p>
    <w:p>
      <w:pPr>
        <w:pStyle w:val="P21"/>
        <w:numPr>
          <w:ilvl w:val="2"/>
          <w:numId w:val="7"/>
        </w:numPr>
      </w:pPr>
      <w:bookmarkEnd w:id="135"/>
      <w:bookmarkStart w:id="136" w:name="_Toc89446090"/>
      <w:bookmarkStart w:id="137" w:name="_Toc176419209"/>
      <w:r>
        <w:rPr>
          <w:caps w:val="0"/>
        </w:rPr>
        <w:t>DAGVATTEN</w:t>
      </w:r>
      <w:bookmarkEnd w:id="136"/>
      <w:bookmarkEnd w:id="137"/>
    </w:p>
    <w:p>
      <w:bookmarkStart w:id="138" w:name="_Hlk158890889"/>
      <w:bookmarkStart w:id="139" w:name="_Toc94695499"/>
      <w:bookmarkStart w:id="140" w:name="_Toc89446092"/>
      <w:r>
        <w:t>Planens genomförande ger ingen negativ påverkan på dagvattennätet. Dagvatten från kvartersmark ska omhändertas inom den egna fastigheten.</w:t>
      </w:r>
      <w:bookmarkStart w:id="141" w:name="ko_miljökvalitetsnormer01"/>
    </w:p>
    <w:p>
      <w:pPr>
        <w:pStyle w:val="P20"/>
        <w:numPr>
          <w:ilvl w:val="1"/>
          <w:numId w:val="7"/>
        </w:numPr>
      </w:pPr>
      <w:bookmarkEnd w:id="138"/>
      <w:bookmarkStart w:id="142" w:name="_Toc176419210"/>
      <w:r>
        <w:rPr>
          <w:caps w:val="0"/>
        </w:rPr>
        <w:t>MILJÖKVALITETSNORMER</w:t>
      </w:r>
      <w:bookmarkEnd w:id="139"/>
      <w:bookmarkEnd w:id="142"/>
    </w:p>
    <w:p>
      <w:bookmarkStart w:id="143" w:name="_Hlk158890937"/>
      <w:r>
        <w:t>Miljökvalitetsnormer (MKN) har funnits som styrmedel i svensk lagstiftning sedan år 1999 då föreskrifter om miljökvalitetsnormer skrevs in i miljöbalkens femte kapitel. Det övergripande syftet med normerna är att skydda människors hälsa och naturmiljön.</w:t>
      </w:r>
    </w:p>
    <w:p>
      <w:r>
        <w:t>Planförslaget bedöms inte innebära någon försämring av miljökvalitetsnormerna vatten, luft eller buller.</w:t>
      </w:r>
    </w:p>
    <w:p>
      <w:pPr>
        <w:pStyle w:val="P20"/>
      </w:pPr>
      <w:bookmarkEnd w:id="140"/>
      <w:bookmarkEnd w:id="141"/>
      <w:bookmarkEnd w:id="143"/>
      <w:bookmarkStart w:id="144" w:name="_Toc89446095"/>
      <w:bookmarkStart w:id="145" w:name="_Toc176419211"/>
      <w:r>
        <w:rPr>
          <w:caps w:val="0"/>
        </w:rPr>
        <w:t>HÄLSA, SÄKERHET</w:t>
      </w:r>
      <w:bookmarkEnd w:id="144"/>
      <w:r>
        <w:rPr>
          <w:caps w:val="0"/>
        </w:rPr>
        <w:t xml:space="preserve"> OCH SAMHÄLLE</w:t>
      </w:r>
      <w:bookmarkEnd w:id="145"/>
    </w:p>
    <w:p>
      <w:bookmarkStart w:id="146" w:name="_Hlk158896106"/>
      <w:r>
        <w:rPr>
          <w:shd w:val="clear" w:color="auto" w:fill="FFFFFF"/>
        </w:rPr>
        <w:t xml:space="preserve">Detaljplanen bedöms inte påverka människors hälsa eller säkerhet negativt. </w:t>
      </w:r>
      <w:r>
        <w:t xml:space="preserve">Ett genomförande av planen möjliggör för en ökad turism och fler attraktiva boenden i samhället vilket kan gynna samhällsutvecklingen. </w:t>
      </w:r>
    </w:p>
    <w:p>
      <w:pPr>
        <w:pStyle w:val="P20"/>
      </w:pPr>
      <w:bookmarkEnd w:id="146"/>
      <w:bookmarkStart w:id="147" w:name="_Toc89446105"/>
      <w:bookmarkStart w:id="148" w:name="_Toc176419212"/>
      <w:r>
        <w:rPr>
          <w:caps w:val="0"/>
        </w:rPr>
        <w:t>RIKSINTRESSE</w:t>
      </w:r>
      <w:bookmarkEnd w:id="147"/>
      <w:bookmarkEnd w:id="148"/>
    </w:p>
    <w:p>
      <w:bookmarkStart w:id="149" w:name="_Hlk158896430"/>
      <w:r>
        <w:t>Planförslaget bedöms inte påverka nuvarande riksintressen negativt.</w:t>
      </w:r>
    </w:p>
    <w:p>
      <w:pPr>
        <w:pStyle w:val="P20"/>
      </w:pPr>
      <w:bookmarkStart w:id="150" w:name="_Toc176419213"/>
      <w:r>
        <w:t>KULTURMILJÖ</w:t>
      </w:r>
      <w:bookmarkEnd w:id="150"/>
    </w:p>
    <w:p>
      <w:bookmarkEnd w:id="149"/>
      <w:r>
        <w:t xml:space="preserve">Planförslagets konsekvenser på kulturmiljön bedöms som små då dagens regleringar i form av planbestämmelser och lagstiftning anses liknande med planförslaget. </w:t>
      </w:r>
    </w:p>
    <w:p>
      <w:pPr>
        <w:pStyle w:val="P19"/>
      </w:pPr>
      <w:bookmarkStart w:id="151" w:name="_Toc89446138"/>
      <w:bookmarkStart w:id="152" w:name="_Toc176419214"/>
      <w:r>
        <w:t>GENOMFÖRANDEFRÅGOR</w:t>
      </w:r>
      <w:bookmarkEnd w:id="151"/>
      <w:bookmarkEnd w:id="152"/>
    </w:p>
    <w:p>
      <w:bookmarkStart w:id="153" w:name="_Hlk158896730"/>
      <w:r>
        <w:t>Här förtydligas genomförandefrågorna för att detaljplanen skall kunna genomföras på bästa sätt.</w:t>
      </w:r>
    </w:p>
    <w:p>
      <w:pPr>
        <w:pStyle w:val="P20"/>
      </w:pPr>
      <w:bookmarkEnd w:id="153"/>
      <w:bookmarkStart w:id="154" w:name="_Toc89446139"/>
      <w:bookmarkStart w:id="155" w:name="_Toc176419215"/>
      <w:r>
        <w:t>MARK- OCH UTRYMMEFÖRVÄRV</w:t>
      </w:r>
      <w:bookmarkEnd w:id="154"/>
      <w:bookmarkEnd w:id="155"/>
    </w:p>
    <w:p>
      <w:bookmarkStart w:id="156" w:name="_Toc89446140"/>
      <w:r>
        <w:t>Nuvarande markägoförhållandena inom planområdet beskrivs under rubriken Hela detaljplanen; Markägoförhållanden. Mark eller utrymme förvärv är ej aktuellt.</w:t>
      </w:r>
    </w:p>
    <w:p>
      <w:pPr>
        <w:pStyle w:val="P20"/>
      </w:pPr>
      <w:bookmarkEnd w:id="156"/>
      <w:bookmarkStart w:id="157" w:name="_Toc89446144"/>
      <w:bookmarkStart w:id="158" w:name="_Toc176419216"/>
      <w:r>
        <w:t>FASTIGHETSRÄTTSLIGA FRÅGOR</w:t>
      </w:r>
      <w:bookmarkEnd w:id="157"/>
      <w:bookmarkEnd w:id="158"/>
    </w:p>
    <w:p>
      <w:pPr>
        <w:pStyle w:val="P21"/>
        <w:numPr>
          <w:ilvl w:val="2"/>
          <w:numId w:val="7"/>
        </w:numPr>
      </w:pPr>
      <w:bookmarkStart w:id="159" w:name="_Toc89446147"/>
      <w:bookmarkStart w:id="160" w:name="_Toc176419217"/>
      <w:r>
        <w:t>RÄTTIGHETER</w:t>
      </w:r>
      <w:bookmarkEnd w:id="159"/>
      <w:bookmarkEnd w:id="160"/>
    </w:p>
    <w:p>
      <w:r>
        <w:t>Idag återfinns ett befintligt servitut som inom fastigheten Unnaryd 2:48 med aktnr 13-SÖD-289.1 avseende avloppsledning till förmån för Unnaryd 2:41. Detta kommer inte påverkas.</w:t>
      </w:r>
    </w:p>
    <w:p>
      <w:r>
        <w:t>Det återfinns även en ledningsrätt 1315-2019/26.1 mellan planområdet och Bolmenvägen på fastigheten Unnaryd 4:57. Ledningsrätten är till förmån för Unnaryds Fiber Ekonomisk Förening och är till för elektronisk kommunikation. För att se till, underhålla och reparera ledningen har det upplåtits ett 4 meter brett område med ledningen huvudsakligen i mitten som bibehålls. Detaljplanen medger inga byggrätter inom detta område och ledningsrätten bedöms inte påverkas.</w:t>
      </w:r>
    </w:p>
    <w:p>
      <w:pPr>
        <w:pStyle w:val="P20"/>
      </w:pPr>
      <w:bookmarkStart w:id="161" w:name="_Toc89446148"/>
      <w:bookmarkStart w:id="162" w:name="_Toc176419218"/>
      <w:r>
        <w:t>TEKNISKA FRÅGOR</w:t>
      </w:r>
      <w:bookmarkEnd w:id="161"/>
      <w:bookmarkEnd w:id="162"/>
    </w:p>
    <w:p>
      <w:pPr>
        <w:pStyle w:val="P21"/>
        <w:numPr>
          <w:ilvl w:val="2"/>
          <w:numId w:val="7"/>
        </w:numPr>
      </w:pPr>
      <w:bookmarkStart w:id="163" w:name="_Toc89446150"/>
      <w:bookmarkStart w:id="164" w:name="_Toc176419219"/>
      <w:r>
        <w:t>UTBYGGNAD PÅ ALLMÄN PLATS</w:t>
      </w:r>
      <w:bookmarkEnd w:id="163"/>
      <w:bookmarkEnd w:id="164"/>
    </w:p>
    <w:p>
      <w:bookmarkStart w:id="165" w:name="_Hlk158896901"/>
      <w:bookmarkStart w:id="166" w:name="_Toc89446151"/>
      <w:r>
        <w:t>Är inte aktuellt.</w:t>
      </w:r>
    </w:p>
    <w:p>
      <w:pPr>
        <w:pStyle w:val="P21"/>
        <w:numPr>
          <w:ilvl w:val="2"/>
          <w:numId w:val="7"/>
        </w:numPr>
      </w:pPr>
      <w:bookmarkEnd w:id="165"/>
      <w:bookmarkStart w:id="167" w:name="_Toc176419220"/>
      <w:r>
        <w:t>UTBYGGNAD VATTEN OCH AVLOPP</w:t>
      </w:r>
      <w:bookmarkEnd w:id="166"/>
      <w:bookmarkEnd w:id="167"/>
    </w:p>
    <w:p>
      <w:bookmarkStart w:id="168" w:name="_Hlk158896956"/>
      <w:r>
        <w:t>Är inte aktuellt.</w:t>
      </w:r>
    </w:p>
    <w:p>
      <w:pPr>
        <w:pStyle w:val="P20"/>
      </w:pPr>
      <w:bookmarkEnd w:id="168"/>
      <w:bookmarkStart w:id="169" w:name="_Toc89446152"/>
      <w:bookmarkStart w:id="170" w:name="_Toc176419221"/>
      <w:r>
        <w:t>EKONOMISKA FRÅGOR</w:t>
      </w:r>
      <w:bookmarkEnd w:id="169"/>
      <w:bookmarkEnd w:id="170"/>
    </w:p>
    <w:p>
      <w:pPr>
        <w:rPr>
          <w:b w:val="1"/>
        </w:rPr>
      </w:pPr>
      <w:r>
        <w:rPr>
          <w:b w:val="1"/>
        </w:rPr>
        <w:t xml:space="preserve">Kostnader för åtgärder på kvartersmark </w:t>
      </w:r>
    </w:p>
    <w:p>
      <w:bookmarkStart w:id="171" w:name="_Hlk158897064"/>
      <w:r>
        <w:t>De kostnader som uppstår i samband med exploatering av kvartersmark bekostas av exploatören.</w:t>
      </w:r>
    </w:p>
    <w:p>
      <w:pPr>
        <w:rPr>
          <w:b w:val="1"/>
        </w:rPr>
      </w:pPr>
      <w:r>
        <w:rPr>
          <w:b w:val="1"/>
        </w:rPr>
        <w:t>Kostnader för servitut, ledningsrätt, gemensamhetsanläggning och nyttjanderätt</w:t>
      </w:r>
    </w:p>
    <w:p>
      <w:r>
        <w:t xml:space="preserve">Kostnader som är förknippade med att skapa rätt för anläggning på annans mark, såsom servitut, ledningsrätt, gemensamhetsanläggning och/eller annan nyttjanderätt, bekostas av ägare till anläggningen/rättigheten. </w:t>
      </w:r>
    </w:p>
    <w:p>
      <w:r>
        <w:t xml:space="preserve">Kostnader för eventuella flyttningar eller ombyggnad av underjordiska ledningar är beroende av den rätt som ledningen ligger i marken med, eller kan regleras i överenskommelse mellan ledningshavare och markägare. </w:t>
      </w:r>
    </w:p>
    <w:p>
      <w:pPr>
        <w:rPr>
          <w:b w:val="1"/>
        </w:rPr>
      </w:pPr>
      <w:r>
        <w:rPr>
          <w:b w:val="1"/>
        </w:rPr>
        <w:t xml:space="preserve">Kostnader för VA, dagvatten, fjärrvärme och el </w:t>
      </w:r>
    </w:p>
    <w:p>
      <w:r>
        <w:t>Fastigheten är redan ansluten till kommunalt vatten och avlopp och fastighetsägaren bekostar driften för detta.</w:t>
      </w:r>
    </w:p>
    <w:p>
      <w:r>
        <w:t xml:space="preserve">Dagvattenanläggning och -drift inom kvartersmark bekostas av berörd fastighetsägare. </w:t>
      </w:r>
    </w:p>
    <w:p>
      <w:r>
        <w:t xml:space="preserve">Vid eventuell anslutning av fjärrvärme kommer en avgift tas ut. </w:t>
      </w:r>
    </w:p>
    <w:p>
      <w:r>
        <w:t>Elanslutningsavgifter tas ut i enlighet med gällande taxa.</w:t>
      </w:r>
    </w:p>
    <w:p>
      <w:pPr>
        <w:rPr>
          <w:rFonts w:ascii="Times New Roman" w:hAnsi="Times New Roman" w:cs="Times New Roman" w:eastAsia="Times New Roman"/>
          <w:color w:val="auto"/>
          <w:sz w:val="22"/>
        </w:rPr>
      </w:pPr>
      <w:r>
        <w:t>Eventuella kostnader i samband med planens genomförande så som flyttningar eller ändringar av E.ONs befintliga anläggningar bekostas av exploatören.</w:t>
      </w:r>
    </w:p>
    <w:p>
      <w:pPr>
        <w:pStyle w:val="P21"/>
        <w:numPr>
          <w:ilvl w:val="2"/>
          <w:numId w:val="7"/>
        </w:numPr>
      </w:pPr>
      <w:bookmarkStart w:id="172" w:name="_Toc89446154"/>
      <w:bookmarkStart w:id="173" w:name="_Toc176419222"/>
      <w:r>
        <w:t>P</w:t>
      </w:r>
      <w:bookmarkEnd w:id="172"/>
      <w:r>
        <w:t>LANAVGIFT</w:t>
      </w:r>
      <w:bookmarkEnd w:id="173"/>
    </w:p>
    <w:p>
      <w:bookmarkStart w:id="174" w:name="_Toc89446155"/>
      <w:r>
        <w:t xml:space="preserve">Detaljplanen bekostas av exploatören. </w:t>
      </w:r>
      <w:bookmarkEnd w:id="174"/>
      <w:r>
        <w:t>Planavgift kommer ej tas ut i samband med bygglov.</w:t>
      </w:r>
    </w:p>
    <w:p>
      <w:pPr>
        <w:pStyle w:val="P20"/>
      </w:pPr>
      <w:bookmarkEnd w:id="171"/>
      <w:bookmarkStart w:id="175" w:name="_Toc89446161"/>
      <w:bookmarkStart w:id="176" w:name="_Toc176419223"/>
      <w:r>
        <w:t>ORGANISATORISKA FRÅGOR</w:t>
      </w:r>
      <w:bookmarkEnd w:id="175"/>
      <w:bookmarkEnd w:id="176"/>
    </w:p>
    <w:p>
      <w:bookmarkStart w:id="177" w:name="_Toc89446165"/>
      <w:bookmarkStart w:id="178" w:name="_Hlk158897381"/>
      <w:r>
        <w:rPr>
          <w:shd w:val="clear" w:color="auto" w:fill="FFFFFF"/>
        </w:rPr>
        <w:t>Tidsplan å</w:t>
      </w:r>
      <w:r>
        <w:t>terfinns under ärendeinformation. Genomförandetid återfinns under genomförandetid.</w:t>
      </w:r>
      <w:bookmarkEnd w:id="177"/>
    </w:p>
    <w:p>
      <w:pPr>
        <w:rPr>
          <w:color w:val="auto"/>
        </w:rPr>
      </w:pPr>
      <w:bookmarkEnd w:id="178"/>
    </w:p>
    <w:p>
      <w:pPr>
        <w:rPr>
          <w:color w:val="auto"/>
        </w:rPr>
      </w:pPr>
    </w:p>
    <w:p>
      <w:pPr>
        <w:ind w:left="0"/>
        <w:rPr>
          <w:color w:val="auto"/>
        </w:rPr>
      </w:pPr>
    </w:p>
    <w:p>
      <w:pPr>
        <w:spacing w:after="55" w:beforeAutospacing="0" w:afterAutospacing="0"/>
        <w:ind w:left="0" w:right="7"/>
        <w:jc w:val="center"/>
        <w:rPr>
          <w:color w:val="auto"/>
        </w:rPr>
      </w:pPr>
      <w:r>
        <w:rPr>
          <w:color w:val="auto"/>
        </w:rPr>
        <w:t>SAMHÄLLSBYGGNADSFÖRVALTNINGEN</w:t>
      </w:r>
    </w:p>
    <w:p>
      <w:pPr>
        <w:spacing w:after="0" w:beforeAutospacing="0" w:afterAutospacing="0"/>
        <w:ind w:left="0"/>
        <w:jc w:val="center"/>
        <w:rPr>
          <w:color w:val="auto"/>
        </w:rPr>
      </w:pPr>
      <w:r>
        <w:rPr>
          <w:color w:val="auto"/>
          <w:sz w:val="18"/>
        </w:rPr>
        <w:t xml:space="preserve">POSTADRESS </w:t>
      </w:r>
      <w:r>
        <w:rPr>
          <w:color w:val="auto"/>
          <w:sz w:val="20"/>
        </w:rPr>
        <w:t>Hylte Kommun, 314 80 Hyltebruk</w:t>
      </w:r>
    </w:p>
    <w:p>
      <w:pPr>
        <w:spacing w:after="0" w:beforeAutospacing="0" w:afterAutospacing="0"/>
        <w:ind w:left="0"/>
        <w:jc w:val="center"/>
        <w:rPr>
          <w:color w:val="auto"/>
        </w:rPr>
      </w:pPr>
      <w:r>
        <w:rPr>
          <w:color w:val="auto"/>
          <w:sz w:val="18"/>
        </w:rPr>
        <w:t xml:space="preserve">BESÖKSADRESS </w:t>
      </w:r>
      <w:r>
        <w:rPr>
          <w:color w:val="auto"/>
          <w:sz w:val="20"/>
        </w:rPr>
        <w:t xml:space="preserve">Storgatan 8 </w:t>
      </w:r>
      <w:r>
        <w:rPr>
          <w:color w:val="auto"/>
          <w:sz w:val="18"/>
        </w:rPr>
        <w:t>TFN</w:t>
      </w:r>
      <w:r>
        <w:rPr>
          <w:color w:val="auto"/>
          <w:sz w:val="20"/>
        </w:rPr>
        <w:t xml:space="preserve"> 0345 18 000</w:t>
      </w:r>
    </w:p>
    <w:p>
      <w:pPr>
        <w:spacing w:after="0" w:beforeAutospacing="0" w:afterAutospacing="0"/>
        <w:ind w:left="0"/>
        <w:jc w:val="center"/>
        <w:rPr>
          <w:color w:val="auto"/>
        </w:rPr>
      </w:pPr>
      <w:r>
        <w:rPr>
          <w:color w:val="auto"/>
          <w:sz w:val="18"/>
        </w:rPr>
        <w:t>E-POST</w:t>
      </w:r>
      <w:r>
        <w:rPr>
          <w:color w:val="auto"/>
          <w:sz w:val="20"/>
        </w:rPr>
        <w:t xml:space="preserve"> kommunen@hylte.se </w:t>
      </w:r>
      <w:r>
        <w:rPr>
          <w:color w:val="auto"/>
          <w:sz w:val="18"/>
        </w:rPr>
        <w:t>WEBBPLATS</w:t>
      </w:r>
      <w:r>
        <w:rPr>
          <w:color w:val="auto"/>
          <w:sz w:val="20"/>
        </w:rPr>
        <w:t xml:space="preserve"> Hylte.se</w:t>
      </w:r>
    </w:p>
    <w:p>
      <w:pPr>
        <w:spacing w:after="1150" w:beforeAutospacing="0" w:afterAutospacing="0"/>
        <w:ind w:left="2025"/>
      </w:pPr>
      <w:r>
        <w:rPr>
          <w:rFonts w:ascii="Frutiger 45 Light" w:hAnsi="Frutiger 45 Light"/>
          <w:bCs w:val="1"/>
          <w:noProof w:val="1"/>
          <w:sz w:val="20"/>
        </w:rPr>
        <w:drawing>
          <wp:anchor xmlns:wp="http://schemas.openxmlformats.org/drawingml/2006/wordprocessingDrawing" distT="0" distB="0" distL="114300" distR="114300" simplePos="0" relativeHeight="4" behindDoc="0" locked="0" layoutInCell="1" allowOverlap="1">
            <wp:simplePos x="0" y="0"/>
            <wp:positionH relativeFrom="margin">
              <wp:align>center</wp:align>
            </wp:positionH>
            <wp:positionV relativeFrom="paragraph">
              <wp:posOffset>174625</wp:posOffset>
            </wp:positionV>
            <wp:extent cx="1343025" cy="571500"/>
            <wp:effectExtent l="0" t="0" r="9525" b="0"/>
            <wp:wrapSquare wrapText="bothSides"/>
            <wp:docPr id="3" name="Bild 87" descr="https://www.hylte.se/images/v2_hylte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hylte.se/images/v2_hyltelogo.gif"/>
                    <pic:cNvPicPr>
                      <a:picLocks noChangeAspect="1" noChangeArrowheads="1"/>
                    </pic:cNvPicPr>
                  </pic:nvPicPr>
                  <pic:blipFill dpi="0">
                    <a:blip xmlns:r="http://schemas.openxmlformats.org/officeDocument/2006/relationships" r:embed="Relimage1"/>
                    <a:srcRect b="15492"/>
                    <a:stretch>
                      <a:fillRect/>
                    </a:stretch>
                  </pic:blipFill>
                  <pic:spPr bwMode="auto">
                    <a:xfrm>
                      <a:off x="0" y="0"/>
                      <a:ext cx="1343025" cy="571500"/>
                    </a:xfrm>
                    <a:prstGeom prst="rect"/>
                    <a:noFill/>
                    <a:ln>
                      <a:noFill/>
                    </a:ln>
                  </pic:spPr>
                </pic:pic>
              </a:graphicData>
            </a:graphic>
          </wp:anchor>
        </w:drawing>
      </w:r>
    </w:p>
    <w:sectPr>
      <w:footnotePr/>
      <w:endnotePr/>
      <w:type w:val="nextPage"/>
      <w:pgSz w:w="11906" w:h="16838" w:code="0"/>
      <w:pgMar w:left="1440" w:right="1440" w:top="1440" w:bottom="1440" w:header="720" w:footer="72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p/>
  </w:footnote>
</w:footnotes>
</file>

<file path=word/numbering.xml><?xml version="1.0" encoding="utf-8"?>
<w:numbering xmlns:w="http://schemas.openxmlformats.org/wordprocessingml/2006/main">
  <w:abstractNum w:abstractNumId="0">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1">
    <w:nsid w:val="06615F1F"/>
    <w:multiLevelType w:val="multilevel"/>
    <w:lvl w:ilvl="0">
      <w:start w:val="1"/>
      <w:numFmt w:val="decimal"/>
      <w:pStyle w:val="P19"/>
      <w:suff w:val="tab"/>
      <w:lvlText w:val="%1"/>
      <w:lvlJc w:val="left"/>
      <w:pPr>
        <w:ind w:hanging="432" w:left="432"/>
      </w:pPr>
      <w:rPr>
        <w:rFonts w:hint="default"/>
      </w:rPr>
    </w:lvl>
    <w:lvl w:ilvl="1">
      <w:start w:val="1"/>
      <w:numFmt w:val="decimal"/>
      <w:pStyle w:val="P20"/>
      <w:suff w:val="space"/>
      <w:lvlText w:val="%1.%2"/>
      <w:lvlJc w:val="left"/>
      <w:pPr>
        <w:ind w:hanging="463" w:left="576"/>
      </w:pPr>
      <w:rPr>
        <w:rFonts w:hint="default"/>
      </w:rPr>
    </w:lvl>
    <w:lvl w:ilvl="2">
      <w:start w:val="1"/>
      <w:numFmt w:val="decimal"/>
      <w:pStyle w:val="P21"/>
      <w:suff w:val="space"/>
      <w:lvlText w:val="%1.%2.%3"/>
      <w:lvlJc w:val="left"/>
      <w:pPr>
        <w:ind w:hanging="380" w:left="522"/>
      </w:pPr>
      <w:rPr>
        <w:rFonts w:hint="default"/>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2">
    <w:nsid w:val="10E72C06"/>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3">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4">
    <w:nsid w:val="235479E8"/>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5">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6">
    <w:nsid w:val="2A4D7ED0"/>
    <w:multiLevelType w:val="multilevel"/>
    <w:lvl w:ilvl="0">
      <w:start w:val="1"/>
      <w:numFmt w:val="decimal"/>
      <w:suff w:val="tab"/>
      <w:lvlText w:val="%1."/>
      <w:lvlJc w:val="left"/>
      <w:pPr>
        <w:ind w:hanging="360" w:left="720"/>
        <w:tabs>
          <w:tab w:val="num" w:pos="720" w:leader="none"/>
        </w:tabs>
      </w:pPr>
      <w:rPr/>
    </w:lvl>
    <w:lvl w:ilvl="1">
      <w:start w:val="1"/>
      <w:numFmt w:val="decimal"/>
      <w:suff w:val="tab"/>
      <w:lvlText w:val="%2."/>
      <w:lvlJc w:val="left"/>
      <w:pPr>
        <w:ind w:hanging="360" w:left="1440"/>
        <w:tabs>
          <w:tab w:val="num" w:pos="1440" w:leader="none"/>
        </w:tabs>
      </w:pPr>
      <w:rPr/>
    </w:lvl>
    <w:lvl w:ilvl="2">
      <w:start w:val="1"/>
      <w:numFmt w:val="decimal"/>
      <w:suff w:val="tab"/>
      <w:lvlText w:val="%3."/>
      <w:lvlJc w:val="left"/>
      <w:pPr>
        <w:ind w:hanging="360" w:left="2160"/>
        <w:tabs>
          <w:tab w:val="num" w:pos="2160" w:leader="none"/>
        </w:tabs>
      </w:pPr>
      <w:rPr/>
    </w:lvl>
    <w:lvl w:ilvl="3">
      <w:start w:val="1"/>
      <w:numFmt w:val="decimal"/>
      <w:suff w:val="tab"/>
      <w:lvlText w:val="%4."/>
      <w:lvlJc w:val="left"/>
      <w:pPr>
        <w:ind w:hanging="360" w:left="2880"/>
        <w:tabs>
          <w:tab w:val="num" w:pos="2880" w:leader="none"/>
        </w:tabs>
      </w:pPr>
      <w:rPr/>
    </w:lvl>
    <w:lvl w:ilvl="4">
      <w:start w:val="1"/>
      <w:numFmt w:val="decimal"/>
      <w:suff w:val="tab"/>
      <w:lvlText w:val="%5."/>
      <w:lvlJc w:val="left"/>
      <w:pPr>
        <w:ind w:hanging="360" w:left="3600"/>
        <w:tabs>
          <w:tab w:val="num" w:pos="3600" w:leader="none"/>
        </w:tabs>
      </w:pPr>
      <w:rPr/>
    </w:lvl>
    <w:lvl w:ilvl="5">
      <w:start w:val="1"/>
      <w:numFmt w:val="decimal"/>
      <w:suff w:val="tab"/>
      <w:lvlText w:val="%6."/>
      <w:lvlJc w:val="left"/>
      <w:pPr>
        <w:ind w:hanging="360" w:left="4320"/>
        <w:tabs>
          <w:tab w:val="num" w:pos="4320" w:leader="none"/>
        </w:tabs>
      </w:pPr>
      <w:rPr/>
    </w:lvl>
    <w:lvl w:ilvl="6">
      <w:start w:val="1"/>
      <w:numFmt w:val="decimal"/>
      <w:suff w:val="tab"/>
      <w:lvlText w:val="%7."/>
      <w:lvlJc w:val="left"/>
      <w:pPr>
        <w:ind w:hanging="360" w:left="5040"/>
        <w:tabs>
          <w:tab w:val="num" w:pos="5040" w:leader="none"/>
        </w:tabs>
      </w:pPr>
      <w:rPr/>
    </w:lvl>
    <w:lvl w:ilvl="7">
      <w:start w:val="1"/>
      <w:numFmt w:val="decimal"/>
      <w:suff w:val="tab"/>
      <w:lvlText w:val="%8."/>
      <w:lvlJc w:val="left"/>
      <w:pPr>
        <w:ind w:hanging="360" w:left="5760"/>
        <w:tabs>
          <w:tab w:val="num" w:pos="5760" w:leader="none"/>
        </w:tabs>
      </w:pPr>
      <w:rPr/>
    </w:lvl>
    <w:lvl w:ilvl="8">
      <w:start w:val="1"/>
      <w:numFmt w:val="decimal"/>
      <w:suff w:val="tab"/>
      <w:lvlText w:val="%9."/>
      <w:lvlJc w:val="left"/>
      <w:pPr>
        <w:ind w:hanging="360" w:left="6480"/>
        <w:tabs>
          <w:tab w:val="num" w:pos="6480" w:leader="none"/>
        </w:tabs>
      </w:pPr>
      <w:rPr/>
    </w:lvl>
  </w:abstractNum>
  <w:abstractNum w:abstractNumId="7">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8">
    <w:nsid w:val="30850C12"/>
    <w:multiLevelType w:val="hybridMultilevel"/>
    <w:lvl w:ilvl="0" w:tplc="E988B950">
      <w:start w:val="1"/>
      <w:numFmt w:val="bullet"/>
      <w:suff w:val="tab"/>
      <w:lvlText w:val="•"/>
      <w:lvlJc w:val="left"/>
      <w:pPr>
        <w:ind w:hanging="360" w:left="1145"/>
      </w:pPr>
      <w:rPr>
        <w:rFonts w:ascii="Arial" w:hAnsi="Aria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9">
    <w:nsid w:val="36E52450"/>
    <w:multiLevelType w:val="hybridMultilevel"/>
    <w:lvl w:ilvl="0" w:tplc="E988B950">
      <w:start w:val="1"/>
      <w:numFmt w:val="bullet"/>
      <w:suff w:val="tab"/>
      <w:lvlText w:val="•"/>
      <w:lvlJc w:val="left"/>
      <w:pPr>
        <w:ind w:hanging="360" w:left="1145"/>
      </w:pPr>
      <w:rPr>
        <w:rFonts w:ascii="Arial" w:hAnsi="Aria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0">
    <w:nsid w:val="46B545F0"/>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1">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12">
    <w:nsid w:val="5B6B6E00"/>
    <w:multiLevelType w:val="hybridMultilevel"/>
    <w:lvl w:ilvl="0" w:tplc="041D0001">
      <w:start w:val="0"/>
      <w:numFmt w:val="bullet"/>
      <w:suff w:val="tab"/>
      <w:lvlText w:val=""/>
      <w:lvlJc w:val="left"/>
      <w:pPr>
        <w:ind w:hanging="360" w:left="720"/>
      </w:pPr>
      <w:rPr>
        <w:rFonts w:ascii="Symbol" w:hAnsi="Symbol"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63795AD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4">
    <w:nsid w:val="69191FD3"/>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5">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abstractNum w:abstractNumId="16">
    <w:nsid w:val="759A6363"/>
    <w:multiLevelType w:val="hybridMultilevel"/>
    <w:lvl w:ilvl="0" w:tplc="E988B950">
      <w:start w:val="1"/>
      <w:numFmt w:val="bullet"/>
      <w:suff w:val="tab"/>
      <w:lvlText w:val="•"/>
      <w:lvlJc w:val="left"/>
      <w:pPr>
        <w:ind w:hanging="360" w:left="720"/>
        <w:tabs>
          <w:tab w:val="num" w:pos="720" w:leader="none"/>
        </w:tabs>
      </w:pPr>
      <w:rPr>
        <w:rFonts w:ascii="Arial" w:hAnsi="Arial" w:hint="default"/>
      </w:rPr>
    </w:lvl>
    <w:lvl w:ilvl="1" w:tplc="C06450A2">
      <w:start w:val="1"/>
      <w:numFmt w:val="bullet"/>
      <w:suff w:val="tab"/>
      <w:lvlText w:val="•"/>
      <w:lvlJc w:val="left"/>
      <w:pPr>
        <w:ind w:hanging="360" w:left="1440"/>
        <w:tabs>
          <w:tab w:val="num" w:pos="1440" w:leader="none"/>
        </w:tabs>
      </w:pPr>
      <w:rPr>
        <w:rFonts w:ascii="Arial" w:hAnsi="Arial" w:hint="default"/>
      </w:rPr>
    </w:lvl>
    <w:lvl w:ilvl="2" w:tplc="A628D880">
      <w:start w:val="1"/>
      <w:numFmt w:val="bullet"/>
      <w:suff w:val="tab"/>
      <w:lvlText w:val="•"/>
      <w:lvlJc w:val="left"/>
      <w:pPr>
        <w:ind w:hanging="360" w:left="2160"/>
        <w:tabs>
          <w:tab w:val="num" w:pos="2160" w:leader="none"/>
        </w:tabs>
      </w:pPr>
      <w:rPr>
        <w:rFonts w:ascii="Arial" w:hAnsi="Arial" w:hint="default"/>
      </w:rPr>
    </w:lvl>
    <w:lvl w:ilvl="3" w:tplc="1F5EBB14">
      <w:start w:val="1"/>
      <w:numFmt w:val="bullet"/>
      <w:suff w:val="tab"/>
      <w:lvlText w:val="•"/>
      <w:lvlJc w:val="left"/>
      <w:pPr>
        <w:ind w:hanging="360" w:left="2880"/>
        <w:tabs>
          <w:tab w:val="num" w:pos="2880" w:leader="none"/>
        </w:tabs>
      </w:pPr>
      <w:rPr>
        <w:rFonts w:ascii="Arial" w:hAnsi="Arial" w:hint="default"/>
      </w:rPr>
    </w:lvl>
    <w:lvl w:ilvl="4" w:tplc="85E2B878">
      <w:start w:val="1"/>
      <w:numFmt w:val="bullet"/>
      <w:suff w:val="tab"/>
      <w:lvlText w:val="•"/>
      <w:lvlJc w:val="left"/>
      <w:pPr>
        <w:ind w:hanging="360" w:left="3600"/>
        <w:tabs>
          <w:tab w:val="num" w:pos="3600" w:leader="none"/>
        </w:tabs>
      </w:pPr>
      <w:rPr>
        <w:rFonts w:ascii="Arial" w:hAnsi="Arial" w:hint="default"/>
      </w:rPr>
    </w:lvl>
    <w:lvl w:ilvl="5" w:tplc="55BC6950">
      <w:start w:val="1"/>
      <w:numFmt w:val="bullet"/>
      <w:suff w:val="tab"/>
      <w:lvlText w:val="•"/>
      <w:lvlJc w:val="left"/>
      <w:pPr>
        <w:ind w:hanging="360" w:left="4320"/>
        <w:tabs>
          <w:tab w:val="num" w:pos="4320" w:leader="none"/>
        </w:tabs>
      </w:pPr>
      <w:rPr>
        <w:rFonts w:ascii="Arial" w:hAnsi="Arial" w:hint="default"/>
      </w:rPr>
    </w:lvl>
    <w:lvl w:ilvl="6" w:tplc="803E7050">
      <w:start w:val="1"/>
      <w:numFmt w:val="bullet"/>
      <w:suff w:val="tab"/>
      <w:lvlText w:val="•"/>
      <w:lvlJc w:val="left"/>
      <w:pPr>
        <w:ind w:hanging="360" w:left="5040"/>
        <w:tabs>
          <w:tab w:val="num" w:pos="5040" w:leader="none"/>
        </w:tabs>
      </w:pPr>
      <w:rPr>
        <w:rFonts w:ascii="Arial" w:hAnsi="Arial" w:hint="default"/>
      </w:rPr>
    </w:lvl>
    <w:lvl w:ilvl="7" w:tplc="4C364386">
      <w:start w:val="1"/>
      <w:numFmt w:val="bullet"/>
      <w:suff w:val="tab"/>
      <w:lvlText w:val="•"/>
      <w:lvlJc w:val="left"/>
      <w:pPr>
        <w:ind w:hanging="360" w:left="5760"/>
        <w:tabs>
          <w:tab w:val="num" w:pos="5760" w:leader="none"/>
        </w:tabs>
      </w:pPr>
      <w:rPr>
        <w:rFonts w:ascii="Arial" w:hAnsi="Arial" w:hint="default"/>
      </w:rPr>
    </w:lvl>
    <w:lvl w:ilvl="8" w:tplc="007E4AFA">
      <w:start w:val="1"/>
      <w:numFmt w:val="bullet"/>
      <w:suff w:val="tab"/>
      <w:lvlText w:val="•"/>
      <w:lvlJc w:val="left"/>
      <w:pPr>
        <w:ind w:hanging="360" w:left="6480"/>
        <w:tabs>
          <w:tab w:val="num" w:pos="6480" w:leader="none"/>
        </w:tabs>
      </w:pPr>
      <w:rPr>
        <w:rFonts w:ascii="Arial" w:hAnsi="Arial" w:hint="default"/>
      </w:rPr>
    </w:lvl>
  </w:abstractNum>
  <w:abstractNum w:abstractNumId="17">
    <w:nsid w:val="7B036843"/>
    <w:multiLevelType w:val="hybridMultilevel"/>
    <w:lvl w:ilvl="0" w:tplc="D092F554">
      <w:start w:val="2"/>
      <w:numFmt w:val="bullet"/>
      <w:suff w:val="tab"/>
      <w:lvlText w:val="-"/>
      <w:lvlJc w:val="left"/>
      <w:pPr>
        <w:ind w:hanging="360" w:left="720"/>
        <w:tabs>
          <w:tab w:val="num" w:pos="720" w:leader="none"/>
        </w:tabs>
      </w:pPr>
      <w:rPr>
        <w:rFonts w:ascii="Sabon" w:hAnsi="Sabon" w:cs="Times New Roman" w:eastAsia="Times New Roman"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num w:numId="1">
    <w:abstractNumId w:val="0"/>
  </w:num>
  <w:num w:numId="2">
    <w:abstractNumId w:val="7"/>
  </w:num>
  <w:num w:numId="3">
    <w:abstractNumId w:val="3"/>
  </w:num>
  <w:num w:numId="4">
    <w:abstractNumId w:val="11"/>
  </w:num>
  <w:num w:numId="5">
    <w:abstractNumId w:val="15"/>
  </w:num>
  <w:num w:numId="6">
    <w:abstractNumId w:val="5"/>
  </w:num>
  <w:num w:numId="7">
    <w:abstractNumId w:val="1"/>
  </w:num>
  <w:num w:numId="8">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1"/>
  </w:num>
  <w:num w:numId="12">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17"/>
  </w:num>
  <w:num w:numId="15">
    <w:abstractNumId w:val="12"/>
  </w:num>
  <w:num w:numId="16">
    <w:abstractNumId w:val="1"/>
  </w:num>
  <w:num w:numId="17">
    <w:abstractNumId w:val="6"/>
  </w:num>
  <w:num w:numId="18">
    <w:abstractNumId w:val="10"/>
  </w:num>
  <w:num w:numId="19">
    <w:abstractNumId w:val="14"/>
  </w:num>
  <w:num w:numId="20">
    <w:abstractNumId w:val="2"/>
  </w:num>
  <w:num w:numId="21">
    <w:abstractNumId w:val="4"/>
  </w:num>
  <w:num w:numId="22">
    <w:abstractNumId w:val="13"/>
  </w:num>
  <w:num w:numId="23">
    <w:abstractNumId w:val="16"/>
  </w:num>
  <w:num w:numId="24">
    <w:abstractNumId w:val="8"/>
  </w:num>
  <w:num w:numId="25">
    <w:abstractNumId w:val="9"/>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257" w:beforeAutospacing="0" w:afterAutospacing="0"/>
      <w:ind w:left="425"/>
    </w:pPr>
    <w:rPr>
      <w:rFonts w:ascii="Arial" w:hAnsi="Arial" w:cs="Arial" w:eastAsia="Arial"/>
      <w:color w:val="000000"/>
      <w:sz w:val="24"/>
    </w:rPr>
  </w:style>
  <w:style w:type="paragraph" w:styleId="P1">
    <w:name w:val="Heading 1"/>
    <w:next w:val="P0"/>
    <w:link w:val="C5"/>
    <w:qFormat/>
    <w:pPr>
      <w:keepNext w:val="1"/>
      <w:keepLines w:val="1"/>
      <w:spacing w:before="200" w:after="51" w:beforeAutospacing="0" w:afterAutospacing="0"/>
      <w:ind w:hanging="11" w:left="317"/>
      <w:outlineLvl w:val="0"/>
    </w:pPr>
    <w:rPr>
      <w:rFonts w:ascii="Arial" w:hAnsi="Arial" w:cs="Arial" w:eastAsia="Arial"/>
      <w:color w:val="000000"/>
      <w:sz w:val="40"/>
    </w:rPr>
  </w:style>
  <w:style w:type="paragraph" w:styleId="P2">
    <w:name w:val="Heading 2"/>
    <w:next w:val="P0"/>
    <w:link w:val="C6"/>
    <w:qFormat/>
    <w:pPr>
      <w:keepNext w:val="1"/>
      <w:keepLines w:val="1"/>
      <w:spacing w:after="51" w:beforeAutospacing="0" w:afterAutospacing="0"/>
      <w:ind w:hanging="10" w:left="316"/>
      <w:outlineLvl w:val="1"/>
    </w:pPr>
    <w:rPr>
      <w:rFonts w:ascii="Arial" w:hAnsi="Arial" w:cs="Arial" w:eastAsia="Arial"/>
      <w:color w:val="000000"/>
      <w:sz w:val="40"/>
    </w:rPr>
  </w:style>
  <w:style w:type="paragraph" w:styleId="P3">
    <w:name w:val="Heading 3"/>
    <w:next w:val="P0"/>
    <w:link w:val="C7"/>
    <w:qFormat/>
    <w:pPr>
      <w:keepNext w:val="1"/>
      <w:keepLines w:val="1"/>
      <w:spacing w:after="3" w:beforeAutospacing="0" w:afterAutospacing="0"/>
      <w:ind w:hanging="10" w:left="316"/>
      <w:outlineLvl w:val="2"/>
    </w:pPr>
    <w:rPr>
      <w:rFonts w:ascii="Arial" w:hAnsi="Arial" w:cs="Arial" w:eastAsia="Arial"/>
      <w:color w:val="000000"/>
      <w:sz w:val="32"/>
    </w:rPr>
  </w:style>
  <w:style w:type="paragraph" w:styleId="P4">
    <w:name w:val="Heading 4"/>
    <w:next w:val="P0"/>
    <w:link w:val="C8"/>
    <w:qFormat/>
    <w:pPr>
      <w:keepNext w:val="1"/>
      <w:keepLines w:val="1"/>
      <w:numPr>
        <w:ilvl w:val="3"/>
        <w:numId w:val="11"/>
      </w:numPr>
      <w:spacing w:after="3" w:beforeAutospacing="0" w:afterAutospacing="0"/>
      <w:outlineLvl w:val="3"/>
    </w:pPr>
    <w:rPr>
      <w:rFonts w:ascii="Arial" w:hAnsi="Arial" w:cs="Arial" w:eastAsia="Arial"/>
      <w:color w:val="000000"/>
      <w:sz w:val="32"/>
    </w:rPr>
  </w:style>
  <w:style w:type="paragraph" w:styleId="P5">
    <w:name w:val="Heading 5"/>
    <w:next w:val="P0"/>
    <w:link w:val="C9"/>
    <w:qFormat/>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3"/>
    <w:qFormat/>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4"/>
    <w:qFormat/>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9"/>
    <w:semiHidden/>
    <w:qFormat/>
    <w:pPr>
      <w:keepNext w:val="1"/>
      <w:keepLines w:val="1"/>
      <w:numPr>
        <w:ilvl w:val="7"/>
        <w:numId w:val="11"/>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20"/>
    <w:semiHidden/>
    <w:qFormat/>
    <w:pPr>
      <w:keepNext w:val="1"/>
      <w:keepLines w:val="1"/>
      <w:numPr>
        <w:ilvl w:val="8"/>
        <w:numId w:val="1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hidden/>
    <w:pPr>
      <w:spacing w:before="120" w:after="120" w:beforeAutospacing="0" w:afterAutospacing="0"/>
      <w:ind w:hanging="10"/>
    </w:pPr>
    <w:rPr>
      <w:rFonts w:cstheme="minorHAnsi" w:eastAsia="Arial"/>
      <w:b w:val="1"/>
      <w:bCs w:val="1"/>
      <w:caps w:val="1"/>
      <w:color w:val="000000"/>
      <w:sz w:val="20"/>
      <w:szCs w:val="20"/>
    </w:rPr>
  </w:style>
  <w:style w:type="paragraph" w:styleId="P11">
    <w:name w:val="TOC 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4"/>
    <w:hidden/>
    <w:pPr>
      <w:spacing w:after="0" w:beforeAutospacing="0" w:afterAutospacing="0"/>
      <w:ind w:hanging="10" w:left="660"/>
    </w:pPr>
    <w:rPr>
      <w:rFonts w:cstheme="minorHAnsi" w:eastAsia="Arial"/>
      <w:color w:val="000000"/>
      <w:sz w:val="18"/>
      <w:szCs w:val="18"/>
    </w:rPr>
  </w:style>
  <w:style w:type="paragraph" w:styleId="P14">
    <w:name w:val="TOC 5"/>
    <w:hidden/>
    <w:pPr>
      <w:spacing w:after="0" w:beforeAutospacing="0" w:afterAutospacing="0"/>
      <w:ind w:hanging="10" w:left="880"/>
    </w:pPr>
    <w:rPr>
      <w:rFonts w:cstheme="minorHAnsi" w:eastAsia="Arial"/>
      <w:color w:val="000000"/>
      <w:sz w:val="18"/>
      <w:szCs w:val="18"/>
    </w:rPr>
  </w:style>
  <w:style w:type="paragraph" w:styleId="P15">
    <w:name w:val="Footnote Text"/>
    <w:link w:val="C11"/>
    <w:semiHidden/>
    <w:pPr>
      <w:spacing w:lineRule="auto" w:line="240" w:after="0" w:beforeAutospacing="0" w:afterAutospacing="0"/>
    </w:pPr>
    <w:rPr>
      <w:sz w:val="20"/>
      <w:szCs w:val="20"/>
    </w:rPr>
  </w:style>
  <w:style w:type="paragraph" w:styleId="P16">
    <w:name w:val="Endnote Text"/>
    <w:link w:val="C13"/>
    <w:semiHidden/>
    <w:pPr>
      <w:spacing w:lineRule="auto" w:line="240" w:after="0" w:beforeAutospacing="0" w:afterAutospacing="0"/>
    </w:pPr>
    <w:rPr>
      <w:sz w:val="20"/>
      <w:szCs w:val="20"/>
    </w:rPr>
  </w:style>
  <w:style w:type="paragraph" w:styleId="P17">
    <w:name w:val="Header"/>
    <w:basedOn w:val="P0"/>
    <w:link w:val="C14"/>
    <w:pPr>
      <w:tabs>
        <w:tab w:val="center" w:pos="4536" w:leader="none"/>
        <w:tab w:val="right" w:pos="9072" w:leader="none"/>
      </w:tabs>
      <w:spacing w:lineRule="auto" w:line="240" w:after="0" w:beforeAutospacing="0" w:afterAutospacing="0"/>
    </w:pPr>
    <w:rPr/>
  </w:style>
  <w:style w:type="paragraph" w:styleId="P18">
    <w:name w:val="Footer"/>
    <w:basedOn w:val="P0"/>
    <w:link w:val="C15"/>
    <w:pPr>
      <w:tabs>
        <w:tab w:val="center" w:pos="4536" w:leader="none"/>
        <w:tab w:val="right" w:pos="9072" w:leader="none"/>
      </w:tabs>
      <w:spacing w:lineRule="auto" w:line="240" w:after="0" w:beforeAutospacing="0" w:afterAutospacing="0"/>
    </w:pPr>
    <w:rPr/>
  </w:style>
  <w:style w:type="paragraph" w:styleId="P19">
    <w:name w:val="Tema"/>
    <w:basedOn w:val="P1"/>
    <w:qFormat/>
    <w:pPr>
      <w:numPr>
        <w:numId w:val="11"/>
      </w:numPr>
      <w:spacing w:before="360" w:after="367" w:beforeAutospacing="0" w:afterAutospacing="0"/>
      <w:ind w:hanging="431" w:left="431"/>
    </w:pPr>
    <w:rPr>
      <w:caps w:val="1"/>
      <w:u w:val="single"/>
    </w:rPr>
  </w:style>
  <w:style w:type="paragraph" w:styleId="P20">
    <w:name w:val="Grupp"/>
    <w:basedOn w:val="P2"/>
    <w:qFormat/>
    <w:pPr>
      <w:numPr>
        <w:ilvl w:val="1"/>
        <w:numId w:val="11"/>
      </w:numPr>
    </w:pPr>
    <w:rPr>
      <w:b w:val="1"/>
      <w:bCs w:val="1"/>
      <w:caps w:val="1"/>
      <w:sz w:val="36"/>
      <w:szCs w:val="20"/>
    </w:rPr>
  </w:style>
  <w:style w:type="paragraph" w:styleId="P21">
    <w:name w:val="Undergrupp"/>
    <w:basedOn w:val="P3"/>
    <w:qFormat/>
    <w:pPr>
      <w:keepNext w:val="0"/>
      <w:keepLines w:val="0"/>
      <w:numPr>
        <w:ilvl w:val="2"/>
        <w:numId w:val="11"/>
      </w:numPr>
      <w:spacing w:after="60" w:beforeAutospacing="0" w:afterAutospacing="0"/>
      <w:ind w:left="720"/>
    </w:pPr>
    <w:rPr>
      <w:caps w:val="1"/>
      <w:sz w:val="28"/>
    </w:rPr>
  </w:style>
  <w:style w:type="paragraph" w:styleId="P22">
    <w:name w:val="TOC 6"/>
    <w:basedOn w:val="P0"/>
    <w:next w:val="P0"/>
    <w:pPr>
      <w:spacing w:after="0" w:beforeAutospacing="0" w:afterAutospacing="0"/>
      <w:ind w:left="1100"/>
    </w:pPr>
    <w:rPr>
      <w:rFonts w:asciiTheme="minorHAnsi" w:hAnsiTheme="minorHAnsi" w:cstheme="minorHAnsi"/>
      <w:sz w:val="18"/>
      <w:szCs w:val="18"/>
    </w:rPr>
  </w:style>
  <w:style w:type="paragraph" w:styleId="P23">
    <w:name w:val="TOC 7"/>
    <w:basedOn w:val="P0"/>
    <w:next w:val="P0"/>
    <w:pPr>
      <w:spacing w:after="0" w:beforeAutospacing="0" w:afterAutospacing="0"/>
      <w:ind w:left="1320"/>
    </w:pPr>
    <w:rPr>
      <w:rFonts w:asciiTheme="minorHAnsi" w:hAnsiTheme="minorHAnsi" w:cstheme="minorHAnsi"/>
      <w:sz w:val="18"/>
      <w:szCs w:val="18"/>
    </w:rPr>
  </w:style>
  <w:style w:type="paragraph" w:styleId="P24">
    <w:name w:val="TOC 8"/>
    <w:basedOn w:val="P0"/>
    <w:next w:val="P0"/>
    <w:pPr>
      <w:spacing w:after="0" w:beforeAutospacing="0" w:afterAutospacing="0"/>
      <w:ind w:left="1540"/>
    </w:pPr>
    <w:rPr>
      <w:rFonts w:asciiTheme="minorHAnsi" w:hAnsiTheme="minorHAnsi" w:cstheme="minorHAnsi"/>
      <w:sz w:val="18"/>
      <w:szCs w:val="18"/>
    </w:rPr>
  </w:style>
  <w:style w:type="paragraph" w:styleId="P25">
    <w:name w:val="TOC 9"/>
    <w:basedOn w:val="P0"/>
    <w:next w:val="P0"/>
    <w:pPr>
      <w:spacing w:after="0" w:beforeAutospacing="0" w:afterAutospacing="0"/>
      <w:ind w:left="1760"/>
    </w:pPr>
    <w:rPr>
      <w:rFonts w:asciiTheme="minorHAnsi" w:hAnsiTheme="minorHAnsi" w:cstheme="minorHAnsi"/>
      <w:sz w:val="18"/>
      <w:szCs w:val="18"/>
    </w:rPr>
  </w:style>
  <w:style w:type="paragraph" w:styleId="P26">
    <w:name w:val="List Paragraph"/>
    <w:basedOn w:val="P0"/>
    <w:qFormat/>
    <w:pPr>
      <w:ind w:left="720"/>
      <w:contextualSpacing w:val="1"/>
    </w:pPr>
    <w:rPr/>
  </w:style>
  <w:style w:type="paragraph" w:styleId="P27">
    <w:name w:val="TOC Heading"/>
    <w:basedOn w:val="P1"/>
    <w:next w:val="P0"/>
    <w:qFormat/>
    <w:pPr>
      <w:spacing w:before="240" w:after="0" w:beforeAutospacing="0" w:afterAutospacing="0"/>
      <w:ind w:firstLine="0" w:left="0"/>
      <w:outlineLvl w:val="9"/>
    </w:pPr>
    <w:rPr>
      <w:rFonts w:asciiTheme="majorHAnsi" w:hAnsiTheme="majorHAnsi" w:cstheme="majorBidi" w:eastAsiaTheme="majorEastAsia"/>
      <w:color w:val="2F5496" w:themeColor="accent1" w:themeShade="BF"/>
      <w:sz w:val="32"/>
      <w:szCs w:val="32"/>
    </w:rPr>
  </w:style>
  <w:style w:type="paragraph" w:styleId="P28">
    <w:name w:val="Annan text"/>
    <w:basedOn w:val="P0"/>
    <w:link w:val="C21"/>
    <w:qFormat/>
    <w:pPr>
      <w:framePr w:wrap="around" w:vAnchor="text" w:hAnchor="page" w:x="8401" w:y="-642"/>
      <w:spacing w:lineRule="auto" w:line="240" w:after="0" w:beforeAutospacing="0" w:afterAutospacing="0"/>
    </w:pPr>
    <w:rPr>
      <w:sz w:val="16"/>
    </w:rPr>
  </w:style>
  <w:style w:type="paragraph" w:styleId="P29">
    <w:name w:val="annotation text"/>
    <w:basedOn w:val="P0"/>
    <w:link w:val="C23"/>
    <w:semiHidden/>
    <w:pPr>
      <w:spacing w:lineRule="auto" w:line="240" w:beforeAutospacing="0" w:afterAutospacing="0"/>
    </w:pPr>
    <w:rPr>
      <w:sz w:val="20"/>
      <w:szCs w:val="20"/>
    </w:rPr>
  </w:style>
  <w:style w:type="paragraph" w:styleId="P30">
    <w:name w:val="annotation subject"/>
    <w:basedOn w:val="P29"/>
    <w:next w:val="P29"/>
    <w:link w:val="C24"/>
    <w:semiHidden/>
    <w:pPr/>
    <w:rPr>
      <w:b w:val="1"/>
      <w:bCs w:val="1"/>
    </w:rPr>
  </w:style>
  <w:style w:type="paragraph" w:styleId="P31">
    <w:name w:val="Balloon Text"/>
    <w:basedOn w:val="P0"/>
    <w:link w:val="C25"/>
    <w:semiHidden/>
    <w:pPr>
      <w:spacing w:lineRule="auto" w:line="240" w:after="0" w:beforeAutospacing="0" w:afterAutospacing="0"/>
    </w:pPr>
    <w:rPr>
      <w:rFonts w:ascii="Segoe UI" w:hAnsi="Segoe UI" w:cs="Segoe UI"/>
      <w:sz w:val="18"/>
      <w:szCs w:val="18"/>
    </w:rPr>
  </w:style>
  <w:style w:type="paragraph" w:styleId="P32">
    <w:name w:val="Body Text"/>
    <w:basedOn w:val="P0"/>
    <w:link w:val="C26"/>
    <w:pPr>
      <w:spacing w:lineRule="auto" w:line="240" w:before="120" w:after="0" w:beforeAutospacing="0" w:afterAutospacing="0"/>
      <w:ind w:left="0"/>
    </w:pPr>
    <w:rPr>
      <w:rFonts w:ascii="Sabon" w:hAnsi="Sabon" w:cs="Times New Roman" w:eastAsia="Times New Roman"/>
      <w:color w:val="auto"/>
      <w:sz w:val="22"/>
      <w:szCs w:val="24"/>
    </w:rPr>
  </w:style>
  <w:style w:type="paragraph" w:styleId="P33">
    <w:name w:val="Bildtext PB"/>
    <w:basedOn w:val="P0"/>
    <w:pPr>
      <w:spacing w:lineRule="auto" w:line="288" w:after="240" w:beforeAutospacing="0" w:afterAutospacing="0"/>
      <w:ind w:left="0"/>
    </w:pPr>
    <w:rPr>
      <w:rFonts w:eastAsia="Times New Roman"/>
      <w:sz w:val="18"/>
      <w:szCs w:val="18"/>
    </w:rPr>
  </w:style>
  <w:style w:type="paragraph" w:styleId="P34">
    <w:name w:val="Caption"/>
    <w:basedOn w:val="P0"/>
    <w:next w:val="P0"/>
    <w:qFormat/>
    <w:pPr>
      <w:spacing w:lineRule="auto" w:line="240" w:after="200" w:beforeAutospacing="0" w:afterAutospacing="0"/>
      <w:ind w:left="0"/>
    </w:pPr>
    <w:rPr>
      <w:rFonts w:ascii="Times New Roman" w:hAnsi="Times New Roman" w:cs="Times New Roman" w:eastAsia="Times New Roman"/>
      <w:i w:val="1"/>
      <w:iCs w:val="1"/>
      <w:color w:val="44546A" w:themeColor="text2"/>
      <w:sz w:val="18"/>
      <w:szCs w:val="18"/>
    </w:rPr>
  </w:style>
  <w:style w:type="paragraph" w:styleId="P35">
    <w:name w:val="Formatmall Brödtext + Kursiv"/>
    <w:basedOn w:val="P32"/>
    <w:link w:val="C27"/>
    <w:pPr>
      <w:keepNext w:val="1"/>
    </w:pPr>
    <w:rPr>
      <w:i w:val="1"/>
      <w:iCs w:val="1"/>
    </w:rPr>
  </w:style>
  <w:style w:type="paragraph" w:styleId="P36">
    <w:name w:val="Löpande text"/>
    <w:basedOn w:val="P32"/>
    <w:qFormat/>
    <w:pPr/>
    <w:rPr>
      <w:rFonts w:ascii="Times New Roman" w:hAnsi="Times New Roman"/>
      <w:sz w:val="24"/>
    </w:rPr>
  </w:style>
  <w:style w:type="paragraph" w:styleId="P37">
    <w:name w:val="Ingress"/>
    <w:basedOn w:val="P36"/>
    <w:qFormat/>
    <w:pPr/>
    <w:rPr>
      <w:i w:val="1"/>
    </w:rPr>
  </w:style>
  <w:style w:type="paragraph" w:styleId="P38">
    <w:name w:val="No Spacing"/>
    <w:qFormat/>
    <w:pPr>
      <w:spacing w:lineRule="auto" w:line="240" w:after="0" w:beforeAutospacing="0" w:afterAutospacing="0"/>
      <w:ind w:left="425"/>
    </w:pPr>
    <w:rPr>
      <w:rFonts w:ascii="Arial" w:hAnsi="Arial" w:cs="Arial" w:eastAsia="Arial"/>
      <w:color w:val="000000"/>
      <w:sz w:val="24"/>
    </w:rPr>
  </w:style>
  <w:style w:type="paragraph" w:styleId="P39">
    <w:name w:val="Normal (Web)"/>
    <w:basedOn w:val="P0"/>
    <w:semiHidden/>
    <w:pPr>
      <w:spacing w:lineRule="auto" w:line="240" w:before="100" w:after="100" w:beforeAutospacing="1" w:afterAutospacing="1"/>
      <w:ind w:left="0"/>
    </w:pPr>
    <w:rPr>
      <w:rFonts w:ascii="Times New Roman" w:hAnsi="Times New Roman" w:cs="Times New Roman" w:eastAsia="Times New Roman"/>
      <w:color w:val="auto"/>
      <w:szCs w:val="24"/>
    </w:rPr>
  </w:style>
  <w:style w:type="paragraph" w:styleId="P40">
    <w:name w:val="Quote"/>
    <w:basedOn w:val="P0"/>
    <w:next w:val="P0"/>
    <w:link w:val="C30"/>
    <w:qFormat/>
    <w:pPr>
      <w:spacing w:before="200" w:after="160" w:beforeAutospacing="0" w:afterAutospacing="0"/>
      <w:ind w:left="864" w:right="864"/>
      <w:jc w:val="center"/>
    </w:pPr>
    <w:rPr>
      <w:i w:val="1"/>
      <w:iCs w:val="1"/>
      <w:color w:val="404040" w:themeColor="text1" w:themeTint="BF"/>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6 Char"/>
    <w:link w:val="P6"/>
    <w:rPr>
      <w:rFonts w:ascii="Arial" w:hAnsi="Arial" w:cs="Arial" w:eastAsia="Arial"/>
      <w:color w:val="000000"/>
      <w:sz w:val="28"/>
    </w:rPr>
  </w:style>
  <w:style w:type="character" w:styleId="C4">
    <w:name w:val="Rubrik 7 Char"/>
    <w:link w:val="P7"/>
    <w:rPr>
      <w:rFonts w:ascii="Arial" w:hAnsi="Arial" w:cs="Arial" w:eastAsia="Arial"/>
      <w:color w:val="000000"/>
      <w:sz w:val="24"/>
    </w:rPr>
  </w:style>
  <w:style w:type="character" w:styleId="C5">
    <w:name w:val="Rubrik 1 Char"/>
    <w:link w:val="P1"/>
    <w:rPr>
      <w:rFonts w:ascii="Arial" w:hAnsi="Arial" w:cs="Arial" w:eastAsia="Arial"/>
      <w:color w:val="000000"/>
      <w:sz w:val="40"/>
    </w:rPr>
  </w:style>
  <w:style w:type="character" w:styleId="C6">
    <w:name w:val="Rubrik 2 Char"/>
    <w:link w:val="P2"/>
    <w:rPr>
      <w:rFonts w:ascii="Arial" w:hAnsi="Arial" w:cs="Arial" w:eastAsia="Arial"/>
      <w:color w:val="000000"/>
      <w:sz w:val="40"/>
    </w:rPr>
  </w:style>
  <w:style w:type="character" w:styleId="C7">
    <w:name w:val="Rubrik 3 Char"/>
    <w:link w:val="P3"/>
    <w:rPr>
      <w:rFonts w:ascii="Arial" w:hAnsi="Arial" w:cs="Arial" w:eastAsia="Arial"/>
      <w:color w:val="000000"/>
      <w:sz w:val="32"/>
    </w:rPr>
  </w:style>
  <w:style w:type="character" w:styleId="C8">
    <w:name w:val="Rubrik 4 Char"/>
    <w:link w:val="P4"/>
    <w:rPr>
      <w:rFonts w:ascii="Arial" w:hAnsi="Arial" w:cs="Arial" w:eastAsia="Arial"/>
      <w:color w:val="000000"/>
      <w:sz w:val="32"/>
    </w:rPr>
  </w:style>
  <w:style w:type="character" w:styleId="C9">
    <w:name w:val="Rubrik 5 Char"/>
    <w:link w:val="P5"/>
    <w:rPr>
      <w:rFonts w:ascii="Arial" w:hAnsi="Arial" w:cs="Arial" w:eastAsia="Arial"/>
      <w:color w:val="000000"/>
      <w:sz w:val="28"/>
    </w:rPr>
  </w:style>
  <w:style w:type="character" w:styleId="C10">
    <w:name w:val="Footnote Reference"/>
    <w:semiHidden/>
    <w:rPr>
      <w:vertAlign w:val="superscript"/>
    </w:rPr>
  </w:style>
  <w:style w:type="character" w:styleId="C11">
    <w:name w:val="Fotnotstext Char"/>
    <w:link w:val="P15"/>
    <w:semiHidden/>
    <w:rPr>
      <w:sz w:val="20"/>
      <w:szCs w:val="20"/>
    </w:rPr>
  </w:style>
  <w:style w:type="character" w:styleId="C12">
    <w:name w:val="Endnote Reference"/>
    <w:semiHidden/>
    <w:rPr>
      <w:vertAlign w:val="superscript"/>
    </w:rPr>
  </w:style>
  <w:style w:type="character" w:styleId="C13">
    <w:name w:val="Slutnotstext Char"/>
    <w:link w:val="P16"/>
    <w:semiHidden/>
    <w:rPr>
      <w:sz w:val="20"/>
      <w:szCs w:val="20"/>
    </w:rPr>
  </w:style>
  <w:style w:type="character" w:styleId="C14">
    <w:name w:val="Sidhuvud Char"/>
    <w:basedOn w:val="C0"/>
    <w:link w:val="P17"/>
    <w:rPr>
      <w:rFonts w:ascii="Arial" w:hAnsi="Arial" w:cs="Arial" w:eastAsia="Arial"/>
      <w:color w:val="000000"/>
    </w:rPr>
  </w:style>
  <w:style w:type="character" w:styleId="C15">
    <w:name w:val="Sidfot Char"/>
    <w:basedOn w:val="C0"/>
    <w:link w:val="P18"/>
    <w:rPr>
      <w:rFonts w:ascii="Arial" w:hAnsi="Arial" w:cs="Arial" w:eastAsia="Arial"/>
      <w:color w:val="000000"/>
    </w:rPr>
  </w:style>
  <w:style w:type="character" w:styleId="C16">
    <w:name w:val="normaltextrun"/>
    <w:basedOn w:val="C0"/>
    <w:rPr/>
  </w:style>
  <w:style w:type="character" w:styleId="C17">
    <w:name w:val="scxw123887595"/>
    <w:basedOn w:val="C0"/>
    <w:rPr/>
  </w:style>
  <w:style w:type="character" w:styleId="C18">
    <w:name w:val="Unresolved Mention1"/>
    <w:basedOn w:val="C0"/>
    <w:semiHidden/>
    <w:rPr>
      <w:color w:val="605E5C"/>
      <w:shd w:val="clear" w:color="auto" w:fill="E1DFDD"/>
    </w:rPr>
  </w:style>
  <w:style w:type="character" w:styleId="C19">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20">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1">
    <w:name w:val="Annan text Char"/>
    <w:basedOn w:val="C0"/>
    <w:link w:val="P28"/>
    <w:rPr>
      <w:rFonts w:ascii="Arial" w:hAnsi="Arial" w:cs="Arial" w:eastAsia="Arial"/>
      <w:color w:val="000000"/>
      <w:sz w:val="16"/>
    </w:rPr>
  </w:style>
  <w:style w:type="character" w:styleId="C22">
    <w:name w:val="annotation reference"/>
    <w:basedOn w:val="C0"/>
    <w:semiHidden/>
    <w:rPr>
      <w:sz w:val="16"/>
      <w:szCs w:val="16"/>
    </w:rPr>
  </w:style>
  <w:style w:type="character" w:styleId="C23">
    <w:name w:val="Kommentarer Char"/>
    <w:basedOn w:val="C0"/>
    <w:link w:val="P29"/>
    <w:semiHidden/>
    <w:rPr>
      <w:rFonts w:ascii="Arial" w:hAnsi="Arial" w:cs="Arial" w:eastAsia="Arial"/>
      <w:color w:val="000000"/>
      <w:sz w:val="20"/>
      <w:szCs w:val="20"/>
    </w:rPr>
  </w:style>
  <w:style w:type="character" w:styleId="C24">
    <w:name w:val="Kommentarsämne Char"/>
    <w:basedOn w:val="C23"/>
    <w:link w:val="P30"/>
    <w:semiHidden/>
    <w:rPr>
      <w:rFonts w:ascii="Arial" w:hAnsi="Arial" w:cs="Arial" w:eastAsia="Arial"/>
      <w:b w:val="1"/>
      <w:bCs w:val="1"/>
      <w:color w:val="000000"/>
      <w:sz w:val="20"/>
      <w:szCs w:val="20"/>
    </w:rPr>
  </w:style>
  <w:style w:type="character" w:styleId="C25">
    <w:name w:val="Ballongtext Char"/>
    <w:basedOn w:val="C0"/>
    <w:link w:val="P31"/>
    <w:semiHidden/>
    <w:rPr>
      <w:rFonts w:ascii="Segoe UI" w:hAnsi="Segoe UI" w:cs="Segoe UI" w:eastAsia="Arial"/>
      <w:color w:val="000000"/>
      <w:sz w:val="18"/>
      <w:szCs w:val="18"/>
    </w:rPr>
  </w:style>
  <w:style w:type="character" w:styleId="C26">
    <w:name w:val="Brödtext Char"/>
    <w:basedOn w:val="C0"/>
    <w:link w:val="P32"/>
    <w:rPr>
      <w:rFonts w:ascii="Sabon" w:hAnsi="Sabon" w:cs="Times New Roman" w:eastAsia="Times New Roman"/>
      <w:szCs w:val="24"/>
    </w:rPr>
  </w:style>
  <w:style w:type="character" w:styleId="C27">
    <w:name w:val="Formatmall Brödtext + Kursiv Char"/>
    <w:link w:val="P35"/>
    <w:rPr>
      <w:rFonts w:ascii="Sabon" w:hAnsi="Sabon" w:cs="Times New Roman" w:eastAsia="Times New Roman"/>
      <w:i w:val="1"/>
      <w:iCs w:val="1"/>
      <w:szCs w:val="24"/>
    </w:rPr>
  </w:style>
  <w:style w:type="character" w:styleId="C28">
    <w:name w:val="Emphasis"/>
    <w:basedOn w:val="C0"/>
    <w:qFormat/>
    <w:rPr>
      <w:i w:val="1"/>
      <w:iCs w:val="1"/>
    </w:rPr>
  </w:style>
  <w:style w:type="character" w:styleId="C29">
    <w:name w:val="Strong"/>
    <w:basedOn w:val="C0"/>
    <w:qFormat/>
    <w:rPr>
      <w:b w:val="1"/>
      <w:bCs w:val="1"/>
    </w:rPr>
  </w:style>
  <w:style w:type="character" w:styleId="C30">
    <w:name w:val="Citat Char"/>
    <w:basedOn w:val="C0"/>
    <w:link w:val="P40"/>
    <w:rPr>
      <w:rFonts w:ascii="Arial" w:hAnsi="Arial" w:cs="Arial" w:eastAsia="Arial"/>
      <w:i w:val="1"/>
      <w:iCs w:val="1"/>
      <w:color w:val="404040" w:themeColor="text1" w:themeTint="BF"/>
      <w:sz w:val="24"/>
    </w:rPr>
  </w:style>
  <w:style w:type="character" w:styleId="C31">
    <w:name w:val="ui-provider"/>
    <w:basedOn w:val="C0"/>
    <w:rPr/>
  </w:style>
  <w:style w:type="character" w:styleId="C32">
    <w:name w:val="Footnote Text Char"/>
    <w:semiHidden/>
    <w:rPr>
      <w:sz w:val="20"/>
      <w:szCs w:val="20"/>
    </w:rPr>
  </w:style>
  <w:style w:type="character" w:styleId="C33">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table" w:styleId="T3">
    <w:name w:val="Table List 3"/>
    <w:basedOn w:val="T0"/>
    <w:pPr>
      <w:spacing w:lineRule="auto" w:line="240" w:after="0" w:beforeAutospacing="0" w:afterAutospacing="0"/>
    </w:pPr>
    <w:rPr>
      <w:rFonts w:ascii="Times New Roman" w:hAnsi="Times New Roman" w:cs="Times New Roman" w:eastAsia="Times New Roman"/>
      <w:sz w:val="20"/>
      <w:szCs w:val="20"/>
    </w:rPr>
    <w:tblPr>
      <w:tblBorders>
        <w:top w:val="single" w:sz="12" w:space="0" w:shadow="0" w:frame="0" w:color="000000"/>
        <w:bottom w:val="single" w:sz="12" w:space="0" w:shadow="0" w:frame="0" w:color="000000"/>
        <w:insideH w:val="single" w:sz="6" w:space="0" w:shadow="0" w:frame="0" w:color="000000"/>
      </w:tblBorders>
    </w:tblPr>
    <w:trPr/>
    <w:tcPr>
      <w:shd w:val="clear" w:color="auto" w:fill="auto"/>
    </w:tcPr>
    <w:tblStylePr w:type="swCell">
      <w:rPr>
        <w:i w:val="1"/>
        <w:iCs w:val="1"/>
        <w:color w:val="000080"/>
      </w:rPr>
      <w:tblPr/>
      <w:trPr/>
      <w:tcPr/>
    </w:tblStylePr>
    <w:tblStylePr w:type="lastRow">
      <w:tblPr/>
      <w:trPr/>
      <w:tcPr>
        <w:tcBorders>
          <w:top w:val="single" w:sz="12" w:space="0" w:shadow="0" w:frame="0" w:color="000000"/>
        </w:tcBorders>
      </w:tcPr>
    </w:tblStylePr>
    <w:tblStylePr w:type="firstRow">
      <w:rPr>
        <w:b w:val="1"/>
        <w:bCs w:val="1"/>
        <w:color w:val="000080"/>
      </w:rPr>
      <w:tblPr/>
      <w:trPr/>
      <w:tcPr>
        <w:tcBorders>
          <w:bottom w:val="single" w:sz="12" w:space="0" w:shadow="0" w:frame="0" w:color="000000"/>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emf"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jpg" /><Relationship Id="Relimage18" Type="http://schemas.openxmlformats.org/officeDocument/2006/relationships/image" Target="/media/image18.jpg" /><Relationship Id="Relimage19" Type="http://schemas.openxmlformats.org/officeDocument/2006/relationships/image" Target="/media/image19.png" /><Relationship Id="Relimage20" Type="http://schemas.openxmlformats.org/officeDocument/2006/relationships/image" Target="/media/image20.png" /><Relationship Id="R2" Type="http://schemas.openxmlformats.org/officeDocument/2006/relationships/hyperlink" Target="https://lagen.nu/2010:900" TargetMode="Externa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documentManagement>
</p:properties>
</file>

<file path=customXml/item2.xml><?xml version="1.0" encoding="utf-8"?>
<Planbeskrivning xmlns:lmg="http://namespace.lantmateriet.se/distribution/geometri/v1" xmlns:gml="http://www.opengis.net/gml/3.2" xmlns="http://namespace.lantmateriet.se/distribution/geodatakatalog/NN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2" ma:contentTypeDescription="Skapa ett nytt dokument." ma:contentTypeScope="" ma:versionID="459b31b7e9ab79823945060a7fdb3a49">
  <xsd:schema xmlns:xsd="http://www.w3.org/2001/XMLSchema" xmlns:xs="http://www.w3.org/2001/XMLSchema" xmlns:p="http://schemas.microsoft.com/office/2006/metadata/properties" xmlns:ns2="63d52ff1-2895-408e-86c9-6934ca34b155" xmlns:ns3="24b66568-ed0b-4077-902f-93d50dc001bd" targetNamespace="http://schemas.microsoft.com/office/2006/metadata/properties" ma:root="true" ma:fieldsID="9da904e6a654963908b34f67b2f9d619" ns2:_="" ns3:_="">
    <xsd:import namespace="63d52ff1-2895-408e-86c9-6934ca34b155"/>
    <xsd:import namespace="24b66568-ed0b-4077-902f-93d50dc001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be_genomförandetid01</identitet>
    <Indelning>
      <tema>Beskrivning av detaljplanen</tema>
      <grupp>Genomförandetid</grupp>
    </Indelning>
  </Omfattning>
  <Omfattning>
    <identitet>be_ärendeinformation01</identitet>
    <Indelning>
      <tema>Beskrivning av detaljplanen</tema>
      <grupp>Ärendeinformation</grupp>
    </Indelning>
  </Omfattning>
  <Omfattning>
    <identitet>pf_kommunala01</identitet>
    <Indelning>
      <tema>Planeringsförutsättningar</tema>
      <grupp>Kommunala</grupp>
    </Indelning>
  </Omfattning>
  <Omfattning>
    <identitet>pf_miljökvalitetsnormer01</identitet>
    <Indelning>
      <tema>Planeringsförutsättningar</tema>
      <grupp>Miljökvalitetsnormer</grupp>
    </Indelning>
  </Omfattning>
  <Omfattning>
    <identitet>ko_fastigheterochrättigheter01</identitet>
    <Indelning>
      <tema>Konsekvenser</tema>
      <grupp>Fastigheter och rättigheter</grupp>
    </Indelning>
  </Omfattning>
  <Omfattning>
    <identitet>ko_miljökvalitetsnormer01</identitet>
    <Indelning>
      <tema>Konsekvenser</tema>
      <grupp>Miljökvalitetsnormer</grupp>
    </Indelning>
  </Omfattning>
</Planbeskrivning>
</file>

<file path=customXml/itemProps1.xml><?xml version="1.0" encoding="utf-8"?>
<ds:datastoreItem xmlns:ds="http://schemas.openxmlformats.org/officeDocument/2006/customXml" ds:itemID="{679c15a0-a74f-495b-b2a0-bf1cb69defab}">
  <ds:schemaRefs>
    <ds:schemaRef ds:uri="http://schemas.microsoft.com/vsto/samples"/>
  </ds:schemaRefs>
</ds:datastoreItem>
</file>

<file path=customXml/itemProps2.xml><?xml version="1.0" encoding="utf-8"?>
<ds:datastoreItem xmlns:ds="http://schemas.openxmlformats.org/officeDocument/2006/customXml" ds:itemID="{aac14aaa-5a86-4806-a68b-d791982ede4d}">
  <ds:schemaRefs>
    <ds:schemaRef ds:uri="http://schemas.microsoft.com/vsto/samples"/>
  </ds:schemaRefs>
</ds:datastoreItem>
</file>

<file path=customXml/itemProps3.xml><?xml version="1.0" encoding="utf-8"?>
<ds:datastoreItem xmlns:ds="http://schemas.openxmlformats.org/officeDocument/2006/customXml" ds:itemID="{a631acbd-47d7-4660-a34b-89322b3337b0}">
  <ds:schemaRefs>
    <ds:schemaRef ds:uri="http://schemas.microsoft.com/vsto/samples"/>
  </ds:schemaRefs>
</ds:datastoreItem>
</file>

<file path=customXml/itemProps4.xml><?xml version="1.0" encoding="utf-8"?>
<ds:datastoreItem xmlns:ds="http://schemas.openxmlformats.org/officeDocument/2006/customXml" ds:itemID="{08b346c2-f843-409b-99fc-d814bfab5efe}">
  <ds:schemaRefs>
    <ds:schemaRef ds:uri="http://schemas.microsoft.com/vsto/samples"/>
  </ds:schemaRefs>
</ds:datastoreItem>
</file>

<file path=customXml/itemProps5.xml><?xml version="1.0" encoding="utf-8"?>
<ds:datastoreItem xmlns:ds="http://schemas.openxmlformats.org/officeDocument/2006/customXml" ds:itemID="{102db2fa-9ed9-45a5-97bd-fa18a81c632c}">
  <ds:schemaRefs>
    <ds:schemaRef ds:uri="http://schemas.microsoft.com/vsto/samples"/>
  </ds:schemaRefs>
</ds:datastoreItem>
</file>

<file path=customXml/itemProps6.xml><?xml version="1.0" encoding="utf-8"?>
<ds:datastoreItem xmlns:ds="http://schemas.openxmlformats.org/officeDocument/2006/customXml" ds:itemID="9492cd3b-42f8-41f8-b20c-1d9b8b70df5d">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Max Nilsson</dc:creator>
  <dcterms:created xsi:type="dcterms:W3CDTF">2023-06-14T10:45:00Z</dcterms:created>
  <cp:lastModifiedBy>Emma Eriksson</cp:lastModifiedBy>
  <cp:lastPrinted>2024-10-21T05:18:00Z</cp:lastPrinted>
  <dcterms:modified xsi:type="dcterms:W3CDTF">2024-10-21T09:18:35Z</dcterms:modified>
  <cp:revision>22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