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48"/>
      </w:pPr>
      <w:bookmarkStart w:id="0" w:name="Position"/>
      <w:bookmarkEnd w:id="0"/>
      <w:r>
        <w:rPr>
          <w:rFonts w:asciiTheme="minorHAnsi" w:hAnsiTheme="minorHAnsi"/>
          <w:noProof w:val="1"/>
          <w:color w:val="auto"/>
          <w:sz w:val="22"/>
          <w:szCs w:val="22"/>
        </w:rPr>
        <mc:AlternateContent>
          <mc:Choice Requires="wps">
            <w:drawing>
              <wp:anchor xmlns:wp="http://schemas.openxmlformats.org/drawingml/2006/wordprocessingDrawing" distT="45720" distB="45720" distL="114300" distR="114300" simplePos="0" relativeHeight="1" behindDoc="0" locked="0" layoutInCell="1" allowOverlap="1">
                <wp:simplePos x="0" y="0"/>
                <wp:positionH relativeFrom="page">
                  <wp:posOffset>5175885</wp:posOffset>
                </wp:positionH>
                <wp:positionV relativeFrom="paragraph">
                  <wp:posOffset>-1492885</wp:posOffset>
                </wp:positionV>
                <wp:extent cx="2076450" cy="1052830"/>
                <wp:effectExtent l="0" t="0" r="0" b="0"/>
                <wp:wrapNone/>
                <wp:docPr id="217" name="Textruta 2"/>
                <wp:cNvGraphicFramePr/>
                <a:graphic xmlns:a="http://schemas.openxmlformats.org/drawingml/2006/main">
                  <a:graphicData uri="http://schemas.microsoft.com/office/word/2010/wordprocessingShape">
                    <wps:wsp>
                      <wps:cNvSpPr txBox="1">
                        <a:spLocks noChangeArrowheads="1"/>
                      </wps:cNvSpPr>
                      <wps:spPr bwMode="auto">
                        <a:xfrm>
                          <a:off x="0" y="0"/>
                          <a:ext cx="2076506" cy="1053198"/>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after="0" w:beforeAutospacing="0" w:afterAutospacing="0"/>
                              <w:rPr>
                                <w:color w:val="FFFFFF" w:themeColor="background1"/>
                              </w:rPr>
                            </w:pPr>
                            <w:r>
                              <w:rPr>
                                <w:color w:val="FFFFFF" w:themeColor="background1"/>
                              </w:rPr>
                              <w:t>Laga krafthandling</w:t>
                            </w:r>
                          </w:p>
                          <w:p>
                            <w:pPr>
                              <w:spacing w:after="0" w:beforeAutospacing="0" w:afterAutospacing="0"/>
                              <w:rPr>
                                <w:color w:val="FFFFFF" w:themeColor="background1"/>
                              </w:rPr>
                            </w:pPr>
                            <w:r>
                              <w:rPr>
                                <w:color w:val="FFFFFF" w:themeColor="background1"/>
                              </w:rPr>
                              <w:t>2025-05-23</w:t>
                            </w:r>
                          </w:p>
                          <w:p>
                            <w:pPr>
                              <w:spacing w:after="0" w:beforeAutospacing="0" w:afterAutospacing="0"/>
                              <w:rPr>
                                <w:color w:val="FFFFFF" w:themeColor="background1"/>
                              </w:rPr>
                            </w:pPr>
                            <w:r>
                              <w:rPr>
                                <w:color w:val="FFFFFF" w:themeColor="background1"/>
                              </w:rPr>
                              <w:t>Diarienummer KS 2024-337</w:t>
                            </w:r>
                          </w:p>
                          <w:p/>
                        </w:txbxContent>
                      </wps:txbx>
                      <wps:bodyPr rot="0" vert="horz" wrap="square" lIns="91440" tIns="45720" rIns="91440" bIns="45720" anchor="t" anchorCtr="0">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 o:spid="_x0000_s1026" style="position:absolute;width:163.5pt;height:82.9pt;z-index:1;mso-wrap-distance-left:9pt;mso-wrap-distance-top:3.6pt;mso-wrap-distance-right:9pt;mso-wrap-distance-bottom:3.6pt;margin-left:407.55pt;margin-top:-117.55pt;mso-position-horizontal:absolute;mso-position-horizontal-relative:page;mso-position-vertical:absolute;mso-position-vertical-relative:text" o:allowincell="t" filled="f" strokeweight="0.75pt" stroked="f">
                <v:textbox inset="3mm,1mm,3mm,1mm">
                  <w:txbxContent>
                    <w:p>
                      <w:pPr>
                        <w:spacing w:after="0" w:beforeAutospacing="0" w:afterAutospacing="0"/>
                        <w:rPr>
                          <w:color w:val="FFFFFF" w:themeColor="background1"/>
                        </w:rPr>
                      </w:pPr>
                      <w:r>
                        <w:rPr>
                          <w:color w:val="FFFFFF" w:themeColor="background1"/>
                        </w:rPr>
                        <w:t>Laga krafthandling</w:t>
                      </w:r>
                    </w:p>
                    <w:p>
                      <w:pPr>
                        <w:spacing w:after="0" w:beforeAutospacing="0" w:afterAutospacing="0"/>
                        <w:rPr>
                          <w:color w:val="FFFFFF" w:themeColor="background1"/>
                        </w:rPr>
                      </w:pPr>
                      <w:r>
                        <w:rPr>
                          <w:color w:val="FFFFFF" w:themeColor="background1"/>
                        </w:rPr>
                        <w:t>2025-05-23</w:t>
                      </w:r>
                    </w:p>
                    <w:p>
                      <w:pPr>
                        <w:spacing w:after="0" w:beforeAutospacing="0" w:afterAutospacing="0"/>
                        <w:rPr>
                          <w:color w:val="FFFFFF" w:themeColor="background1"/>
                        </w:rPr>
                      </w:pPr>
                      <w:r>
                        <w:rPr>
                          <w:color w:val="FFFFFF" w:themeColor="background1"/>
                        </w:rPr>
                        <w:t>Diarienummer KS 2024-337</w:t>
                      </w:r>
                    </w:p>
                    <w:p/>
                  </w:txbxContent>
                </v:textbox>
              </v:shape>
            </w:pict>
          </mc:Fallback>
        </mc:AlternateContent>
      </w:r>
      <w:bookmarkStart w:id="1" w:name="be_ärendeinformation01"/>
      <w:r>
        <w:t>Planbeskrivning</w:t>
      </w:r>
    </w:p>
    <w:p>
      <w:pPr>
        <w:spacing w:after="0" w:beforeAutospacing="0" w:afterAutospacing="0"/>
        <w:rPr>
          <w:rFonts w:asciiTheme="majorHAnsi" w:hAnsiTheme="majorHAnsi" w:cstheme="majorHAnsi"/>
          <w:sz w:val="32"/>
          <w:szCs w:val="32"/>
        </w:rPr>
      </w:pPr>
      <w:r>
        <w:rPr>
          <w:rFonts w:asciiTheme="majorHAnsi" w:hAnsiTheme="majorHAnsi" w:cstheme="majorHAnsi"/>
          <w:sz w:val="32"/>
          <w:szCs w:val="32"/>
        </w:rPr>
        <w:t>Detaljplan för fastigheten Boden 57:67 i centrala Boden, Bodens kommun</w:t>
      </w:r>
    </w:p>
    <w:p>
      <w:pPr>
        <w:spacing w:after="0" w:beforeAutospacing="0" w:afterAutospacing="0"/>
        <w:rPr>
          <w:rFonts w:asciiTheme="majorHAnsi" w:hAnsiTheme="majorHAnsi" w:cstheme="majorHAnsi"/>
          <w:sz w:val="28"/>
          <w:szCs w:val="28"/>
        </w:rPr>
      </w:pPr>
      <w:bookmarkEnd w:id="1"/>
    </w:p>
    <w:p>
      <w:pPr>
        <w:pStyle w:val="P49"/>
      </w:pPr>
    </w:p>
    <w:p/>
    <w:p/>
    <w:p>
      <w:r>
        <w:br w:type="page"/>
      </w:r>
    </w:p>
    <w:p>
      <w:pPr>
        <w:pStyle w:val="P41"/>
        <w:numPr>
          <w:ilvl w:val="0"/>
          <w:numId w:val="0"/>
        </w:numPr>
        <w:ind w:hanging="432" w:left="432"/>
        <w:rPr>
          <w:lang w:val="sv-SE"/>
        </w:rPr>
      </w:pPr>
      <w:bookmarkStart w:id="2" w:name="XXToc"/>
      <w:r>
        <w:rPr>
          <w:lang w:val="sv-SE"/>
        </w:rPr>
        <w:t>Innehåll</w:t>
      </w:r>
    </w:p>
    <w:p>
      <w:pPr>
        <w:pStyle w:val="P12"/>
        <w:rPr>
          <w:rFonts w:asciiTheme="minorHAnsi" w:hAnsiTheme="minorHAnsi" w:cstheme="minorBidi" w:eastAsiaTheme="minorEastAsia"/>
          <w:noProof w:val="1"/>
          <w:sz w:val="22"/>
          <w:kern w:val="2"/>
          <w:lang w:eastAsia="sv-SE"/>
        </w:rPr>
      </w:pPr>
      <w:r>
        <w:fldChar w:fldCharType="begin"/>
      </w:r>
      <w:r>
        <w:instrText xml:space="preserve"> TOC \o "1-1" \h \z \u </w:instrText>
      </w:r>
      <w:r>
        <w:fldChar w:fldCharType="separate"/>
      </w:r>
      <w:hyperlink w:anchor="_Toc178064909">
        <w:r>
          <w:rPr>
            <w:rStyle w:val="C2"/>
            <w:noProof w:val="1"/>
          </w:rPr>
          <w:t>1</w:t>
        </w:r>
        <w:r>
          <w:rPr>
            <w:rFonts w:asciiTheme="minorHAnsi" w:hAnsiTheme="minorHAnsi" w:cstheme="minorBidi" w:eastAsiaTheme="minorEastAsia"/>
            <w:noProof w:val="1"/>
            <w:sz w:val="22"/>
            <w:kern w:val="2"/>
            <w:lang w:eastAsia="sv-SE"/>
          </w:rPr>
          <w:tab/>
        </w:r>
        <w:r>
          <w:rPr>
            <w:rStyle w:val="C2"/>
            <w:noProof w:val="1"/>
          </w:rPr>
          <w:t>Handlingar</w:t>
        </w:r>
        <w:r>
          <w:rPr>
            <w:noProof w:val="1"/>
          </w:rPr>
          <w:tab/>
        </w:r>
        <w:r>
          <w:rPr>
            <w:noProof w:val="1"/>
          </w:rPr>
          <w:fldChar w:fldCharType="begin"/>
        </w:r>
        <w:r>
          <w:rPr>
            <w:noProof w:val="1"/>
          </w:rPr>
          <w:instrText xml:space="preserve"> PAGEREF _Toc178064909 \h </w:instrText>
        </w:r>
        <w:r>
          <w:rPr>
            <w:noProof w:val="1"/>
          </w:rPr>
          <w:fldChar w:fldCharType="separate"/>
        </w:r>
        <w:r>
          <w:rPr>
            <w:noProof w:val="1"/>
          </w:rPr>
          <w:t>3</w:t>
        </w:r>
        <w:r>
          <w:rPr>
            <w:noProof w:val="1"/>
          </w:rPr>
          <w:fldChar w:fldCharType="end"/>
        </w:r>
      </w:hyperlink>
    </w:p>
    <w:p>
      <w:pPr>
        <w:pStyle w:val="P12"/>
        <w:rPr>
          <w:rFonts w:asciiTheme="minorHAnsi" w:hAnsiTheme="minorHAnsi" w:cstheme="minorBidi" w:eastAsiaTheme="minorEastAsia"/>
          <w:noProof w:val="1"/>
          <w:sz w:val="22"/>
          <w:kern w:val="2"/>
          <w:lang w:eastAsia="sv-SE"/>
        </w:rPr>
      </w:pPr>
      <w:hyperlink w:anchor="_Toc178064910">
        <w:r>
          <w:rPr>
            <w:rStyle w:val="C2"/>
            <w:noProof w:val="1"/>
          </w:rPr>
          <w:t>2</w:t>
        </w:r>
        <w:r>
          <w:rPr>
            <w:rFonts w:asciiTheme="minorHAnsi" w:hAnsiTheme="minorHAnsi" w:cstheme="minorBidi" w:eastAsiaTheme="minorEastAsia"/>
            <w:noProof w:val="1"/>
            <w:sz w:val="22"/>
            <w:kern w:val="2"/>
            <w:lang w:eastAsia="sv-SE"/>
          </w:rPr>
          <w:tab/>
        </w:r>
        <w:r>
          <w:rPr>
            <w:rStyle w:val="C2"/>
            <w:noProof w:val="1"/>
          </w:rPr>
          <w:t>Kommunala beslut</w:t>
        </w:r>
        <w:r>
          <w:rPr>
            <w:noProof w:val="1"/>
          </w:rPr>
          <w:tab/>
        </w:r>
        <w:r>
          <w:rPr>
            <w:noProof w:val="1"/>
          </w:rPr>
          <w:fldChar w:fldCharType="begin"/>
        </w:r>
        <w:r>
          <w:rPr>
            <w:noProof w:val="1"/>
          </w:rPr>
          <w:instrText xml:space="preserve"> PAGEREF _Toc178064910 \h </w:instrText>
        </w:r>
        <w:r>
          <w:rPr>
            <w:noProof w:val="1"/>
          </w:rPr>
          <w:fldChar w:fldCharType="separate"/>
        </w:r>
        <w:r>
          <w:rPr>
            <w:noProof w:val="1"/>
          </w:rPr>
          <w:t>3</w:t>
        </w:r>
        <w:r>
          <w:rPr>
            <w:noProof w:val="1"/>
          </w:rPr>
          <w:fldChar w:fldCharType="end"/>
        </w:r>
      </w:hyperlink>
    </w:p>
    <w:p>
      <w:pPr>
        <w:pStyle w:val="P12"/>
        <w:rPr>
          <w:rFonts w:asciiTheme="minorHAnsi" w:hAnsiTheme="minorHAnsi" w:cstheme="minorBidi" w:eastAsiaTheme="minorEastAsia"/>
          <w:noProof w:val="1"/>
          <w:sz w:val="22"/>
          <w:kern w:val="2"/>
          <w:lang w:eastAsia="sv-SE"/>
        </w:rPr>
      </w:pPr>
      <w:hyperlink w:anchor="_Toc178064911">
        <w:r>
          <w:rPr>
            <w:rStyle w:val="C2"/>
            <w:noProof w:val="1"/>
          </w:rPr>
          <w:t>3</w:t>
        </w:r>
        <w:r>
          <w:rPr>
            <w:rFonts w:asciiTheme="minorHAnsi" w:hAnsiTheme="minorHAnsi" w:cstheme="minorBidi" w:eastAsiaTheme="minorEastAsia"/>
            <w:noProof w:val="1"/>
            <w:sz w:val="22"/>
            <w:kern w:val="2"/>
            <w:lang w:eastAsia="sv-SE"/>
          </w:rPr>
          <w:tab/>
        </w:r>
        <w:r>
          <w:rPr>
            <w:rStyle w:val="C2"/>
            <w:noProof w:val="1"/>
          </w:rPr>
          <w:t>Planprocessen</w:t>
        </w:r>
        <w:r>
          <w:rPr>
            <w:noProof w:val="1"/>
          </w:rPr>
          <w:tab/>
        </w:r>
        <w:r>
          <w:rPr>
            <w:noProof w:val="1"/>
          </w:rPr>
          <w:fldChar w:fldCharType="begin"/>
        </w:r>
        <w:r>
          <w:rPr>
            <w:noProof w:val="1"/>
          </w:rPr>
          <w:instrText xml:space="preserve"> PAGEREF _Toc178064911 \h </w:instrText>
        </w:r>
        <w:r>
          <w:rPr>
            <w:noProof w:val="1"/>
          </w:rPr>
          <w:fldChar w:fldCharType="separate"/>
        </w:r>
        <w:r>
          <w:rPr>
            <w:noProof w:val="1"/>
          </w:rPr>
          <w:t>4</w:t>
        </w:r>
        <w:r>
          <w:rPr>
            <w:noProof w:val="1"/>
          </w:rPr>
          <w:fldChar w:fldCharType="end"/>
        </w:r>
      </w:hyperlink>
    </w:p>
    <w:p>
      <w:pPr>
        <w:pStyle w:val="P12"/>
        <w:rPr>
          <w:rFonts w:asciiTheme="minorHAnsi" w:hAnsiTheme="minorHAnsi" w:cstheme="minorBidi" w:eastAsiaTheme="minorEastAsia"/>
          <w:noProof w:val="1"/>
          <w:sz w:val="22"/>
          <w:kern w:val="2"/>
          <w:lang w:eastAsia="sv-SE"/>
        </w:rPr>
      </w:pPr>
      <w:hyperlink w:anchor="_Toc178064912">
        <w:r>
          <w:rPr>
            <w:rStyle w:val="C2"/>
            <w:noProof w:val="1"/>
          </w:rPr>
          <w:t>4</w:t>
        </w:r>
        <w:r>
          <w:rPr>
            <w:rFonts w:asciiTheme="minorHAnsi" w:hAnsiTheme="minorHAnsi" w:cstheme="minorBidi" w:eastAsiaTheme="minorEastAsia"/>
            <w:noProof w:val="1"/>
            <w:sz w:val="22"/>
            <w:kern w:val="2"/>
            <w:lang w:eastAsia="sv-SE"/>
          </w:rPr>
          <w:tab/>
        </w:r>
        <w:r>
          <w:rPr>
            <w:rStyle w:val="C2"/>
            <w:noProof w:val="1"/>
          </w:rPr>
          <w:t>Detaljplanens bakgrund och syfte</w:t>
        </w:r>
        <w:r>
          <w:rPr>
            <w:noProof w:val="1"/>
          </w:rPr>
          <w:tab/>
        </w:r>
        <w:r>
          <w:rPr>
            <w:noProof w:val="1"/>
          </w:rPr>
          <w:fldChar w:fldCharType="begin"/>
        </w:r>
        <w:r>
          <w:rPr>
            <w:noProof w:val="1"/>
          </w:rPr>
          <w:instrText xml:space="preserve"> PAGEREF _Toc178064912 \h </w:instrText>
        </w:r>
        <w:r>
          <w:rPr>
            <w:noProof w:val="1"/>
          </w:rPr>
          <w:fldChar w:fldCharType="separate"/>
        </w:r>
        <w:r>
          <w:rPr>
            <w:noProof w:val="1"/>
          </w:rPr>
          <w:t>4</w:t>
        </w:r>
        <w:r>
          <w:rPr>
            <w:noProof w:val="1"/>
          </w:rPr>
          <w:fldChar w:fldCharType="end"/>
        </w:r>
      </w:hyperlink>
    </w:p>
    <w:p>
      <w:pPr>
        <w:pStyle w:val="P12"/>
        <w:rPr>
          <w:rFonts w:asciiTheme="minorHAnsi" w:hAnsiTheme="minorHAnsi" w:cstheme="minorBidi" w:eastAsiaTheme="minorEastAsia"/>
          <w:noProof w:val="1"/>
          <w:sz w:val="22"/>
          <w:kern w:val="2"/>
          <w:lang w:eastAsia="sv-SE"/>
        </w:rPr>
      </w:pPr>
      <w:hyperlink w:anchor="_Toc178064913">
        <w:r>
          <w:rPr>
            <w:rStyle w:val="C2"/>
            <w:noProof w:val="1"/>
          </w:rPr>
          <w:t>5</w:t>
        </w:r>
        <w:r>
          <w:rPr>
            <w:rFonts w:asciiTheme="minorHAnsi" w:hAnsiTheme="minorHAnsi" w:cstheme="minorBidi" w:eastAsiaTheme="minorEastAsia"/>
            <w:noProof w:val="1"/>
            <w:sz w:val="22"/>
            <w:kern w:val="2"/>
            <w:lang w:eastAsia="sv-SE"/>
          </w:rPr>
          <w:tab/>
        </w:r>
        <w:r>
          <w:rPr>
            <w:rStyle w:val="C2"/>
            <w:noProof w:val="1"/>
          </w:rPr>
          <w:t>Beskrivning av detaljplanen</w:t>
        </w:r>
        <w:r>
          <w:rPr>
            <w:noProof w:val="1"/>
          </w:rPr>
          <w:tab/>
        </w:r>
        <w:r>
          <w:rPr>
            <w:noProof w:val="1"/>
          </w:rPr>
          <w:fldChar w:fldCharType="begin"/>
        </w:r>
        <w:r>
          <w:rPr>
            <w:noProof w:val="1"/>
          </w:rPr>
          <w:instrText xml:space="preserve"> PAGEREF _Toc178064913 \h </w:instrText>
        </w:r>
        <w:r>
          <w:rPr>
            <w:noProof w:val="1"/>
          </w:rPr>
          <w:fldChar w:fldCharType="separate"/>
        </w:r>
        <w:r>
          <w:rPr>
            <w:noProof w:val="1"/>
          </w:rPr>
          <w:t>6</w:t>
        </w:r>
        <w:r>
          <w:rPr>
            <w:noProof w:val="1"/>
          </w:rPr>
          <w:fldChar w:fldCharType="end"/>
        </w:r>
      </w:hyperlink>
    </w:p>
    <w:p>
      <w:pPr>
        <w:pStyle w:val="P12"/>
        <w:rPr>
          <w:rFonts w:asciiTheme="minorHAnsi" w:hAnsiTheme="minorHAnsi" w:cstheme="minorBidi" w:eastAsiaTheme="minorEastAsia"/>
          <w:noProof w:val="1"/>
          <w:sz w:val="22"/>
          <w:kern w:val="2"/>
          <w:lang w:eastAsia="sv-SE"/>
        </w:rPr>
      </w:pPr>
      <w:hyperlink w:anchor="_Toc178064914">
        <w:r>
          <w:rPr>
            <w:rStyle w:val="C2"/>
            <w:noProof w:val="1"/>
          </w:rPr>
          <w:t>6</w:t>
        </w:r>
        <w:r>
          <w:rPr>
            <w:rFonts w:asciiTheme="minorHAnsi" w:hAnsiTheme="minorHAnsi" w:cstheme="minorBidi" w:eastAsiaTheme="minorEastAsia"/>
            <w:noProof w:val="1"/>
            <w:sz w:val="22"/>
            <w:kern w:val="2"/>
            <w:lang w:eastAsia="sv-SE"/>
          </w:rPr>
          <w:tab/>
        </w:r>
        <w:r>
          <w:rPr>
            <w:rStyle w:val="C2"/>
            <w:noProof w:val="1"/>
          </w:rPr>
          <w:t>Motiv till detaljplanens regleringar</w:t>
        </w:r>
        <w:r>
          <w:rPr>
            <w:noProof w:val="1"/>
          </w:rPr>
          <w:tab/>
        </w:r>
        <w:r>
          <w:rPr>
            <w:noProof w:val="1"/>
          </w:rPr>
          <w:fldChar w:fldCharType="begin"/>
        </w:r>
        <w:r>
          <w:rPr>
            <w:noProof w:val="1"/>
          </w:rPr>
          <w:instrText xml:space="preserve"> PAGEREF _Toc178064914 \h </w:instrText>
        </w:r>
        <w:r>
          <w:rPr>
            <w:noProof w:val="1"/>
          </w:rPr>
          <w:fldChar w:fldCharType="separate"/>
        </w:r>
        <w:r>
          <w:rPr>
            <w:noProof w:val="1"/>
          </w:rPr>
          <w:t>10</w:t>
        </w:r>
        <w:r>
          <w:rPr>
            <w:noProof w:val="1"/>
          </w:rPr>
          <w:fldChar w:fldCharType="end"/>
        </w:r>
      </w:hyperlink>
    </w:p>
    <w:p>
      <w:pPr>
        <w:pStyle w:val="P12"/>
        <w:rPr>
          <w:rFonts w:asciiTheme="minorHAnsi" w:hAnsiTheme="minorHAnsi" w:cstheme="minorBidi" w:eastAsiaTheme="minorEastAsia"/>
          <w:noProof w:val="1"/>
          <w:sz w:val="22"/>
          <w:kern w:val="2"/>
          <w:lang w:eastAsia="sv-SE"/>
        </w:rPr>
      </w:pPr>
      <w:hyperlink w:anchor="_Toc178064915">
        <w:r>
          <w:rPr>
            <w:rStyle w:val="C2"/>
            <w:noProof w:val="1"/>
          </w:rPr>
          <w:t>7</w:t>
        </w:r>
        <w:r>
          <w:rPr>
            <w:rFonts w:asciiTheme="minorHAnsi" w:hAnsiTheme="minorHAnsi" w:cstheme="minorBidi" w:eastAsiaTheme="minorEastAsia"/>
            <w:noProof w:val="1"/>
            <w:sz w:val="22"/>
            <w:kern w:val="2"/>
            <w:lang w:eastAsia="sv-SE"/>
          </w:rPr>
          <w:tab/>
        </w:r>
        <w:r>
          <w:rPr>
            <w:rStyle w:val="C2"/>
            <w:noProof w:val="1"/>
          </w:rPr>
          <w:t>Planeringsförutsättningar</w:t>
        </w:r>
        <w:r>
          <w:rPr>
            <w:noProof w:val="1"/>
          </w:rPr>
          <w:tab/>
        </w:r>
        <w:r>
          <w:rPr>
            <w:noProof w:val="1"/>
          </w:rPr>
          <w:fldChar w:fldCharType="begin"/>
        </w:r>
        <w:r>
          <w:rPr>
            <w:noProof w:val="1"/>
          </w:rPr>
          <w:instrText xml:space="preserve"> PAGEREF _Toc178064915 \h </w:instrText>
        </w:r>
        <w:r>
          <w:rPr>
            <w:noProof w:val="1"/>
          </w:rPr>
          <w:fldChar w:fldCharType="separate"/>
        </w:r>
        <w:r>
          <w:rPr>
            <w:noProof w:val="1"/>
          </w:rPr>
          <w:t>14</w:t>
        </w:r>
        <w:r>
          <w:rPr>
            <w:noProof w:val="1"/>
          </w:rPr>
          <w:fldChar w:fldCharType="end"/>
        </w:r>
      </w:hyperlink>
    </w:p>
    <w:p>
      <w:pPr>
        <w:pStyle w:val="P12"/>
        <w:rPr>
          <w:rFonts w:asciiTheme="minorHAnsi" w:hAnsiTheme="minorHAnsi" w:cstheme="minorBidi" w:eastAsiaTheme="minorEastAsia"/>
          <w:noProof w:val="1"/>
          <w:sz w:val="22"/>
          <w:kern w:val="2"/>
          <w:lang w:eastAsia="sv-SE"/>
        </w:rPr>
      </w:pPr>
      <w:hyperlink w:anchor="_Toc178064916">
        <w:r>
          <w:rPr>
            <w:rStyle w:val="C2"/>
            <w:noProof w:val="1"/>
          </w:rPr>
          <w:t>8</w:t>
        </w:r>
        <w:r>
          <w:rPr>
            <w:rFonts w:asciiTheme="minorHAnsi" w:hAnsiTheme="minorHAnsi" w:cstheme="minorBidi" w:eastAsiaTheme="minorEastAsia"/>
            <w:noProof w:val="1"/>
            <w:sz w:val="22"/>
            <w:kern w:val="2"/>
            <w:lang w:eastAsia="sv-SE"/>
          </w:rPr>
          <w:tab/>
        </w:r>
        <w:r>
          <w:rPr>
            <w:rStyle w:val="C2"/>
            <w:noProof w:val="1"/>
          </w:rPr>
          <w:t>Planeringsunderlag</w:t>
        </w:r>
        <w:r>
          <w:rPr>
            <w:noProof w:val="1"/>
          </w:rPr>
          <w:tab/>
        </w:r>
        <w:r>
          <w:rPr>
            <w:noProof w:val="1"/>
          </w:rPr>
          <w:fldChar w:fldCharType="begin"/>
        </w:r>
        <w:r>
          <w:rPr>
            <w:noProof w:val="1"/>
          </w:rPr>
          <w:instrText xml:space="preserve"> PAGEREF _Toc178064916 \h </w:instrText>
        </w:r>
        <w:r>
          <w:rPr>
            <w:noProof w:val="1"/>
          </w:rPr>
          <w:fldChar w:fldCharType="separate"/>
        </w:r>
        <w:r>
          <w:rPr>
            <w:noProof w:val="1"/>
          </w:rPr>
          <w:t>30</w:t>
        </w:r>
        <w:r>
          <w:rPr>
            <w:noProof w:val="1"/>
          </w:rPr>
          <w:fldChar w:fldCharType="end"/>
        </w:r>
      </w:hyperlink>
    </w:p>
    <w:p>
      <w:pPr>
        <w:pStyle w:val="P12"/>
        <w:rPr>
          <w:rFonts w:asciiTheme="minorHAnsi" w:hAnsiTheme="minorHAnsi" w:cstheme="minorBidi" w:eastAsiaTheme="minorEastAsia"/>
          <w:noProof w:val="1"/>
          <w:sz w:val="22"/>
          <w:kern w:val="2"/>
          <w:lang w:eastAsia="sv-SE"/>
        </w:rPr>
      </w:pPr>
      <w:hyperlink w:anchor="_Toc178064917">
        <w:r>
          <w:rPr>
            <w:rStyle w:val="C2"/>
            <w:noProof w:val="1"/>
          </w:rPr>
          <w:t>9</w:t>
        </w:r>
        <w:r>
          <w:rPr>
            <w:rFonts w:asciiTheme="minorHAnsi" w:hAnsiTheme="minorHAnsi" w:cstheme="minorBidi" w:eastAsiaTheme="minorEastAsia"/>
            <w:noProof w:val="1"/>
            <w:sz w:val="22"/>
            <w:kern w:val="2"/>
            <w:lang w:eastAsia="sv-SE"/>
          </w:rPr>
          <w:tab/>
        </w:r>
        <w:r>
          <w:rPr>
            <w:rStyle w:val="C2"/>
            <w:noProof w:val="1"/>
          </w:rPr>
          <w:t>Detaljplanens genomförande</w:t>
        </w:r>
        <w:r>
          <w:rPr>
            <w:noProof w:val="1"/>
          </w:rPr>
          <w:tab/>
        </w:r>
        <w:r>
          <w:rPr>
            <w:noProof w:val="1"/>
          </w:rPr>
          <w:fldChar w:fldCharType="begin"/>
        </w:r>
        <w:r>
          <w:rPr>
            <w:noProof w:val="1"/>
          </w:rPr>
          <w:instrText xml:space="preserve"> PAGEREF _Toc178064917 \h </w:instrText>
        </w:r>
        <w:r>
          <w:rPr>
            <w:noProof w:val="1"/>
          </w:rPr>
          <w:fldChar w:fldCharType="separate"/>
        </w:r>
        <w:r>
          <w:rPr>
            <w:noProof w:val="1"/>
          </w:rPr>
          <w:t>37</w:t>
        </w:r>
        <w:r>
          <w:rPr>
            <w:noProof w:val="1"/>
          </w:rPr>
          <w:fldChar w:fldCharType="end"/>
        </w:r>
      </w:hyperlink>
    </w:p>
    <w:p>
      <w:pPr>
        <w:pStyle w:val="P12"/>
        <w:rPr>
          <w:rFonts w:asciiTheme="minorHAnsi" w:hAnsiTheme="minorHAnsi" w:cstheme="minorBidi" w:eastAsiaTheme="minorEastAsia"/>
          <w:noProof w:val="1"/>
          <w:sz w:val="22"/>
          <w:kern w:val="2"/>
          <w:lang w:eastAsia="sv-SE"/>
        </w:rPr>
      </w:pPr>
      <w:hyperlink w:anchor="_Toc178064918">
        <w:r>
          <w:rPr>
            <w:rStyle w:val="C2"/>
            <w:noProof w:val="1"/>
          </w:rPr>
          <w:t>10</w:t>
        </w:r>
        <w:r>
          <w:rPr>
            <w:rFonts w:asciiTheme="minorHAnsi" w:hAnsiTheme="minorHAnsi" w:cstheme="minorBidi" w:eastAsiaTheme="minorEastAsia"/>
            <w:noProof w:val="1"/>
            <w:sz w:val="22"/>
            <w:kern w:val="2"/>
            <w:lang w:eastAsia="sv-SE"/>
          </w:rPr>
          <w:tab/>
        </w:r>
        <w:r>
          <w:rPr>
            <w:rStyle w:val="C2"/>
            <w:noProof w:val="1"/>
          </w:rPr>
          <w:t>Konsekvenser</w:t>
        </w:r>
        <w:r>
          <w:rPr>
            <w:noProof w:val="1"/>
          </w:rPr>
          <w:tab/>
        </w:r>
        <w:r>
          <w:rPr>
            <w:noProof w:val="1"/>
          </w:rPr>
          <w:fldChar w:fldCharType="begin"/>
        </w:r>
        <w:r>
          <w:rPr>
            <w:noProof w:val="1"/>
          </w:rPr>
          <w:instrText xml:space="preserve"> PAGEREF _Toc178064918 \h </w:instrText>
        </w:r>
        <w:r>
          <w:rPr>
            <w:noProof w:val="1"/>
          </w:rPr>
          <w:fldChar w:fldCharType="separate"/>
        </w:r>
        <w:r>
          <w:rPr>
            <w:noProof w:val="1"/>
          </w:rPr>
          <w:t>41</w:t>
        </w:r>
        <w:r>
          <w:rPr>
            <w:noProof w:val="1"/>
          </w:rPr>
          <w:fldChar w:fldCharType="end"/>
        </w:r>
      </w:hyperlink>
    </w:p>
    <w:p>
      <w:pPr>
        <w:pStyle w:val="P12"/>
        <w:rPr>
          <w:rFonts w:asciiTheme="minorHAnsi" w:hAnsiTheme="minorHAnsi" w:cstheme="minorBidi" w:eastAsiaTheme="minorEastAsia"/>
          <w:noProof w:val="1"/>
          <w:sz w:val="22"/>
          <w:kern w:val="2"/>
          <w:lang w:eastAsia="sv-SE"/>
        </w:rPr>
      </w:pPr>
      <w:hyperlink w:anchor="_Toc178064919">
        <w:r>
          <w:rPr>
            <w:rStyle w:val="C2"/>
            <w:noProof w:val="1"/>
          </w:rPr>
          <w:t>11</w:t>
        </w:r>
        <w:r>
          <w:rPr>
            <w:rFonts w:asciiTheme="minorHAnsi" w:hAnsiTheme="minorHAnsi" w:cstheme="minorBidi" w:eastAsiaTheme="minorEastAsia"/>
            <w:noProof w:val="1"/>
            <w:sz w:val="22"/>
            <w:kern w:val="2"/>
            <w:lang w:eastAsia="sv-SE"/>
          </w:rPr>
          <w:tab/>
        </w:r>
        <w:r>
          <w:rPr>
            <w:rStyle w:val="C2"/>
            <w:noProof w:val="1"/>
          </w:rPr>
          <w:t>Medverkande</w:t>
        </w:r>
        <w:r>
          <w:rPr>
            <w:noProof w:val="1"/>
          </w:rPr>
          <w:tab/>
        </w:r>
        <w:r>
          <w:rPr>
            <w:noProof w:val="1"/>
          </w:rPr>
          <w:fldChar w:fldCharType="begin"/>
        </w:r>
        <w:r>
          <w:rPr>
            <w:noProof w:val="1"/>
          </w:rPr>
          <w:instrText xml:space="preserve"> PAGEREF _Toc178064919 \h </w:instrText>
        </w:r>
        <w:r>
          <w:rPr>
            <w:noProof w:val="1"/>
          </w:rPr>
          <w:fldChar w:fldCharType="separate"/>
        </w:r>
        <w:r>
          <w:rPr>
            <w:noProof w:val="1"/>
          </w:rPr>
          <w:t>50</w:t>
        </w:r>
        <w:r>
          <w:rPr>
            <w:noProof w:val="1"/>
          </w:rPr>
          <w:fldChar w:fldCharType="end"/>
        </w:r>
      </w:hyperlink>
    </w:p>
    <w:p>
      <w:r>
        <w:rPr>
          <w:rFonts w:asciiTheme="majorHAnsi" w:hAnsiTheme="majorHAnsi"/>
        </w:rPr>
        <w:fldChar w:fldCharType="end"/>
      </w:r>
    </w:p>
    <w:p>
      <w:r>
        <w:br w:type="page"/>
      </w:r>
    </w:p>
    <w:p>
      <w:pPr>
        <w:pStyle w:val="P1"/>
        <w:numPr>
          <w:ilvl w:val="0"/>
          <w:numId w:val="15"/>
        </w:numPr>
      </w:pPr>
      <w:bookmarkEnd w:id="2"/>
      <w:bookmarkStart w:id="3" w:name="_Toc178064909"/>
      <w:r>
        <w:t>Handlingar</w:t>
      </w:r>
      <w:bookmarkEnd w:id="3"/>
    </w:p>
    <w:p>
      <w:bookmarkStart w:id="4" w:name="pu_annat01"/>
      <w:r>
        <w:t xml:space="preserve">Följande handlingar utgör förslaget: </w:t>
      </w:r>
    </w:p>
    <w:p>
      <w:pPr>
        <w:pStyle w:val="P16"/>
        <w:numPr>
          <w:ilvl w:val="0"/>
          <w:numId w:val="16"/>
        </w:numPr>
      </w:pPr>
      <w:r>
        <w:t>Plankarta i skala 1:1 000 med planbestämmelser</w:t>
      </w:r>
    </w:p>
    <w:p>
      <w:pPr>
        <w:pStyle w:val="P16"/>
        <w:numPr>
          <w:ilvl w:val="0"/>
          <w:numId w:val="16"/>
        </w:numPr>
      </w:pPr>
      <w:r>
        <w:t xml:space="preserve">Planbeskrivning (denna handling) </w:t>
      </w:r>
    </w:p>
    <w:p/>
    <w:p>
      <w:r>
        <w:t>Följande handlingar tillhör förslaget:</w:t>
      </w:r>
    </w:p>
    <w:p>
      <w:pPr>
        <w:pStyle w:val="P16"/>
        <w:numPr>
          <w:ilvl w:val="0"/>
          <w:numId w:val="16"/>
        </w:numPr>
      </w:pPr>
      <w:r>
        <w:t>Fastighetsförteckning</w:t>
      </w:r>
    </w:p>
    <w:p>
      <w:pPr>
        <w:pStyle w:val="P16"/>
        <w:numPr>
          <w:ilvl w:val="0"/>
          <w:numId w:val="16"/>
        </w:numPr>
      </w:pPr>
      <w:r>
        <w:t>Grundkarta i skala 1:1 000</w:t>
      </w:r>
    </w:p>
    <w:p>
      <w:pPr>
        <w:pStyle w:val="P16"/>
        <w:numPr>
          <w:ilvl w:val="0"/>
          <w:numId w:val="16"/>
        </w:numPr>
      </w:pPr>
      <w:bookmarkEnd w:id="4"/>
    </w:p>
    <w:p>
      <w:r>
        <w:t>Utredningar som legat till grund för förslaget:</w:t>
      </w:r>
    </w:p>
    <w:p>
      <w:pPr>
        <w:pStyle w:val="P16"/>
        <w:numPr>
          <w:ilvl w:val="0"/>
          <w:numId w:val="16"/>
        </w:numPr>
      </w:pPr>
      <w:bookmarkStart w:id="5" w:name="pu_bullerutredning01"/>
      <w:r>
        <w:t>Bullerutredning (Ramböll, 2024-04-24)</w:t>
      </w:r>
    </w:p>
    <w:p>
      <w:pPr>
        <w:pStyle w:val="P16"/>
        <w:numPr>
          <w:ilvl w:val="0"/>
          <w:numId w:val="16"/>
        </w:numPr>
      </w:pPr>
      <w:bookmarkEnd w:id="5"/>
      <w:bookmarkStart w:id="6" w:name="pu_lokaliseringsutredning01"/>
      <w:r>
        <w:t>PM Strandskydd (Svefa, 2024-04-30)</w:t>
      </w:r>
    </w:p>
    <w:p>
      <w:pPr>
        <w:pStyle w:val="P16"/>
        <w:numPr>
          <w:ilvl w:val="0"/>
          <w:numId w:val="16"/>
        </w:numPr>
      </w:pPr>
      <w:bookmarkEnd w:id="6"/>
      <w:bookmarkStart w:id="7" w:name="pu_dagvattenutredning01"/>
      <w:r>
        <w:t>Dagvattenutredning (Sweco, 2024-08-29)</w:t>
      </w:r>
    </w:p>
    <w:p>
      <w:pPr>
        <w:pStyle w:val="P16"/>
        <w:numPr>
          <w:ilvl w:val="0"/>
          <w:numId w:val="16"/>
        </w:numPr>
      </w:pPr>
      <w:bookmarkEnd w:id="7"/>
      <w:bookmarkStart w:id="8" w:name="pu_kulturmiljöutredning01"/>
      <w:r>
        <w:t>Kulturmiljöutredning (Norrbottens museum, 2024)</w:t>
      </w:r>
    </w:p>
    <w:p>
      <w:pPr>
        <w:pStyle w:val="P16"/>
        <w:numPr>
          <w:ilvl w:val="0"/>
          <w:numId w:val="16"/>
        </w:numPr>
      </w:pPr>
      <w:bookmarkEnd w:id="8"/>
      <w:bookmarkStart w:id="9" w:name="pu_geotekniskutredning01"/>
      <w:r>
        <w:t>Markteknisk undersökningsrapport, MUR (Sweco, 2024-05-31)</w:t>
      </w:r>
    </w:p>
    <w:p>
      <w:pPr>
        <w:pStyle w:val="P16"/>
        <w:numPr>
          <w:ilvl w:val="0"/>
          <w:numId w:val="16"/>
        </w:numPr>
      </w:pPr>
      <w:r>
        <w:t>Geoteknisk utredning (Sweco, 2024-05-31)</w:t>
      </w:r>
    </w:p>
    <w:p>
      <w:bookmarkEnd w:id="9"/>
    </w:p>
    <w:p>
      <w:pPr>
        <w:pStyle w:val="P16"/>
      </w:pPr>
    </w:p>
    <w:p>
      <w:pPr>
        <w:pStyle w:val="P1"/>
      </w:pPr>
      <w:bookmarkStart w:id="10" w:name="_Toc178064910"/>
      <w:r>
        <w:t>Kommunala beslut</w:t>
      </w:r>
      <w:bookmarkEnd w:id="10"/>
    </w:p>
    <w:p>
      <w:pPr>
        <w:pStyle w:val="P2"/>
      </w:pPr>
      <w:bookmarkStart w:id="11" w:name="pf_planuppdrag01"/>
      <w:r>
        <w:t>Planuppdrag</w:t>
      </w:r>
    </w:p>
    <w:p>
      <w:r>
        <w:t>Kommunstyrelsens ordförande har genom sin delegation 2024-02-26 gett Samhällsbyggnadsförvaltningen, enheten fysisk planering, i uppdrag att upprätta detaljplan för aktuellt planområde.</w:t>
      </w:r>
    </w:p>
    <w:p>
      <w:pPr>
        <w:pStyle w:val="P2"/>
        <w:rPr>
          <w:color w:val="222222"/>
        </w:rPr>
      </w:pPr>
      <w:bookmarkEnd w:id="11"/>
      <w:bookmarkStart w:id="12" w:name="Beslut_i_frågan_om_miljöpåverkan_"/>
      <w:bookmarkStart w:id="13" w:name="pu_särskiltbeslutombetydandemiljöpåver01"/>
      <w:r>
        <w:t>Beslut i frågan om miljöpåverkan</w:t>
      </w:r>
      <w:bookmarkEnd w:id="12"/>
      <w:r>
        <w:t xml:space="preserve"> 6 kap. 7 § Miljöbalken</w:t>
      </w:r>
    </w:p>
    <w:p>
      <w:pPr>
        <w:rPr>
          <w:color w:val="000000"/>
          <w:szCs w:val="24"/>
        </w:rPr>
      </w:pPr>
      <w:r>
        <w:rPr>
          <w:color w:val="000000"/>
          <w:szCs w:val="24"/>
        </w:rPr>
        <w:t>Med utgångspunkt från miljöbedömningsförordningen (2017:966) har kommunen 2024-09-12 tagit ett särskilt beslut om att genomförandet av den föreslagna detaljplanen inte riskerar att medföra betydande miljöpåverkan. Det innebär att fortsatt strategisk miljöbedömning inte anses nödvändig och att en</w:t>
      </w:r>
      <w:r>
        <w:rPr>
          <w:rStyle w:val="C23"/>
        </w:rPr>
        <w:t xml:space="preserve"> </w:t>
      </w:r>
      <w:r>
        <w:rPr>
          <w:color w:val="000000"/>
          <w:szCs w:val="24"/>
        </w:rPr>
        <w:t>miljökonsekvensbeskrivning inte behöver upprättas.</w:t>
      </w:r>
    </w:p>
    <w:p>
      <w:pPr>
        <w:pStyle w:val="P1"/>
      </w:pPr>
      <w:bookmarkEnd w:id="13"/>
      <w:bookmarkStart w:id="14" w:name="_Toc178064911"/>
      <w:bookmarkStart w:id="15" w:name="be_ärendeinformation02"/>
      <w:r>
        <w:t>Planprocessen</w:t>
      </w:r>
      <w:bookmarkEnd w:id="14"/>
    </w:p>
    <w:p>
      <w:pPr>
        <w:rPr>
          <w:i w:val="1"/>
          <w:bCs w:val="1"/>
        </w:rPr>
      </w:pPr>
      <w:r>
        <w:t xml:space="preserve">Detaljplanen handläggs med utökat förfarande enligt PBL (2010:900). Förfarandet har valts med hänsyn till att planförslaget kan vara av betydande intresse för allmänheten. </w:t>
      </w:r>
    </w:p>
    <w:p>
      <w:r>
        <w:t xml:space="preserve">Planarbetet sker i en process där berörda får möjlighet att lämna synpunkter på planförslaget. Figuren nedan illustrerar planprocessen och i vilket skede planarbetet är just nu. </w:t>
      </w:r>
    </w:p>
    <w:p>
      <w:r>
        <w:rPr>
          <w:noProof w:val="1"/>
        </w:rPr>
        <w:drawing>
          <wp:inline xmlns:wp="http://schemas.openxmlformats.org/drawingml/2006/wordprocessingDrawing" distT="0" distB="0" distL="0" distR="0">
            <wp:extent cx="5362575" cy="495300"/>
            <wp:effectExtent l="0" t="0" r="9525" b="0"/>
            <wp:docPr id="61854595"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54595" name="Bildobjekt 7"/>
                    <pic:cNvPicPr/>
                  </pic:nvPicPr>
                  <pic:blipFill dpi="0">
                    <a:blip xmlns:r="http://schemas.openxmlformats.org/officeDocument/2006/relationships" r:embed="Relimage1"/>
                    <a:srcRect l="-1824" t="30121" r="-876" b="-24094"/>
                    <a:stretch>
                      <a:fillRect/>
                    </a:stretch>
                  </pic:blipFill>
                  <pic:spPr bwMode="auto">
                    <a:xfrm>
                      <a:off x="0" y="0"/>
                      <a:ext cx="5362575" cy="495300"/>
                    </a:xfrm>
                    <a:prstGeom prst="rect"/>
                    <a:ln>
                      <a:noFill/>
                    </a:ln>
                  </pic:spPr>
                </pic:pic>
              </a:graphicData>
            </a:graphic>
          </wp:inline>
        </w:drawing>
      </w:r>
    </w:p>
    <w:p>
      <w:r>
        <w:t>Till samråd visas ett preliminärt planförslag, efter samråd sammanställs inkomna synpunkter i en samrådsredogörelse och planhandlingarna och plankartan revideras vid behov. Till granskningen visas ett slutligt förslag och inkomna synpunkter sammanställs i ett granskningsutlåtande. Detaljplanen blir sedan gällande tre veckor efter att antagandet kungjorts om inte beslutet att anta detaljplanen överklagas.</w:t>
      </w:r>
    </w:p>
    <w:p>
      <w:bookmarkEnd w:id="15"/>
    </w:p>
    <w:p>
      <w:pPr>
        <w:pStyle w:val="P1"/>
      </w:pPr>
      <w:bookmarkStart w:id="16" w:name="_Toc178064912"/>
      <w:bookmarkStart w:id="17" w:name="sy_detaljplanensbakgrund01"/>
      <w:bookmarkStart w:id="18" w:name="sy_detaljplanenslokalisering01"/>
      <w:r>
        <w:t>Detaljplanens bakgrund och syfte</w:t>
      </w:r>
      <w:bookmarkEnd w:id="16"/>
      <w:r>
        <w:t xml:space="preserve"> </w:t>
      </w:r>
    </w:p>
    <w:p>
      <w:pPr>
        <w:spacing w:lineRule="auto" w:line="240" w:after="0" w:beforeAutospacing="0" w:afterAutospacing="0"/>
      </w:pPr>
      <w:r>
        <w:t xml:space="preserve">Bodens kommun står inför en stor samhällsomvandling där tillgång till bostäder i attraktiva lägen är en viktig del i kommunens arbete med att få människor att vilja bo, arbeta och leva i kommunen. Samhällsbyggnadsförvaltningen, enheten fysisk planering har därför fått i uppdrag att pröva lämpligheten i att planlägga aktuellt område för bostadsändamål, kontor, verksamheter och centrumändamål. </w:t>
      </w:r>
    </w:p>
    <w:p>
      <w:pPr>
        <w:spacing w:lineRule="auto" w:line="240" w:after="0" w:beforeAutospacing="0" w:afterAutospacing="0"/>
      </w:pPr>
    </w:p>
    <w:p>
      <w:pPr>
        <w:spacing w:lineRule="auto" w:line="240" w:after="0" w:beforeAutospacing="0" w:afterAutospacing="0"/>
      </w:pPr>
      <w:r>
        <w:t xml:space="preserve">Bodens kommun har en målsättning att till år 2030 öka befolkningen till 33 000 invånare. För att uppnå detta mål krävs bland annat att nya byggrätter för bostadsändamål i centrumnära lägen tillskapas. Bostadsförsörjningsprogrammet tydliggör att det kommer att behövas byggas 2700 bostäder fram till 2030. Orsaken till detta är att Stegra, tidigare H2 Green Steel, under 2021 meddelade sina planer om att bygga en fabrik för storskalig produktion av fossilfritt stål i Boden. I dagsläget är det planerat att fabriken färdigställs i slutet av 2025 och produktionen startar under 2026. Etableringen är en av de största industriella projekt i Sverige hittills och beräknas tillföra ca. 4 500 nya arbetstillfällen i Boden fram till 2030, därav ca 2 000 i fabriken. För att möta de stora industrisatsningarnas behov av arbetskraft kommer befolkningen behöva växa med ca. 18% till 2030 från dagens nivå. Detta kommer skapa stora behov för nya bostäder och service i kommunen. Attraktiva bostäder och boendemiljöer utgör en avgörande faktor för att locka människor att bosätta sig i och förbli i en kommun. De spelar också en viktig roll i att locka företag att etablera sig och växa. Attraktiva bostäder bidrar till ökad potential för tillväxt och välbefinnande, vilket är av yttersta betydelse för företagens förmåga att tillgodose sin kompetensförsörjning samt för kommunernas övergripande välmående. Således är skapandet av attraktiva bostäder en strategisk utvecklingsfråga med regional påverkan. </w:t>
      </w:r>
      <w:bookmarkStart w:id="19" w:name="sy_syfte01"/>
      <w:r>
        <w:t>Detaljplanen syftar till att möjliggöra byggnation av bostäder på fastigheten Boden 57:67 samt möjliggöra utökad användning av befintlig kanslibyggnad.</w:t>
      </w:r>
      <w:bookmarkEnd w:id="19"/>
      <w:r>
        <w:t xml:space="preserve"> Fastigheten ligger längs med Sveavägen och Bodån i det sydvästra området av Bodens centrala delar.</w:t>
      </w:r>
    </w:p>
    <w:p>
      <w:pPr>
        <w:spacing w:lineRule="auto" w:line="240" w:after="0" w:beforeAutospacing="0" w:afterAutospacing="0"/>
        <w:rPr>
          <w:i w:val="1"/>
          <w:iCs w:val="1"/>
        </w:rPr>
      </w:pPr>
      <w:r>
        <w:rPr>
          <w:i w:val="1"/>
          <w:iCs w:val="1"/>
          <w:noProof w:val="1"/>
        </w:rPr>
        <w:drawing>
          <wp:anchor xmlns:wp="http://schemas.openxmlformats.org/drawingml/2006/wordprocessingDrawing" distT="0" distB="0" distL="114300" distR="114300" simplePos="0" relativeHeight="2" behindDoc="0" locked="0" layoutInCell="1" allowOverlap="1">
            <wp:simplePos x="0" y="0"/>
            <wp:positionH relativeFrom="column">
              <wp:posOffset>0</wp:posOffset>
            </wp:positionH>
            <wp:positionV relativeFrom="paragraph">
              <wp:posOffset>172085</wp:posOffset>
            </wp:positionV>
            <wp:extent cx="5221605" cy="3970655"/>
            <wp:effectExtent l="0" t="0" r="0" b="0"/>
            <wp:wrapTopAndBottom/>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8"/>
                    <pic:cNvPicPr/>
                  </pic:nvPicPr>
                  <pic:blipFill dpi="0">
                    <a:blip xmlns:r="http://schemas.openxmlformats.org/officeDocument/2006/relationships" r:embed="Relimage2"/>
                    <a:srcRect/>
                    <a:stretch>
                      <a:fillRect/>
                    </a:stretch>
                  </pic:blipFill>
                  <pic:spPr>
                    <a:xfrm>
                      <a:off x="0" y="0"/>
                      <a:ext cx="5221605" cy="3970655"/>
                    </a:xfrm>
                    <a:prstGeom prst="rect"/>
                  </pic:spPr>
                </pic:pic>
              </a:graphicData>
            </a:graphic>
          </wp:anchor>
        </w:drawing>
      </w:r>
      <w:r>
        <w:rPr>
          <w:i w:val="1"/>
          <w:iCs w:val="1"/>
        </w:rPr>
        <w:t>Översiktskarta över centrala delar av Boden med planområdet inringat i rött.</w:t>
      </w:r>
    </w:p>
    <w:p>
      <w:pPr>
        <w:spacing w:lineRule="auto" w:line="240" w:after="0" w:beforeAutospacing="0" w:afterAutospacing="0"/>
      </w:pPr>
    </w:p>
    <w:p>
      <w:pPr>
        <w:spacing w:lineRule="auto" w:line="240" w:after="0" w:beforeAutospacing="0" w:afterAutospacing="0"/>
      </w:pPr>
      <w:r>
        <w:t>Möjlig framtida användning kan vara bostäder, kontor, verksamheter och centrumverksamheter. Det övergripande syftet med detaljplanen är således att tillgodose behovet av ytterligare bostäder och tätortsutveckling inom kommunen</w:t>
      </w:r>
    </w:p>
    <w:p>
      <w:pPr>
        <w:spacing w:lineRule="exact" w:line="276" w:before="200" w:beforeAutospacing="0" w:afterAutospacing="0"/>
      </w:pPr>
      <w:r>
        <w:t>Förslaget är förenligt med kommunens översiktsplan samt den fördjupade översiktsplanen för Boden och Sävast.</w:t>
      </w:r>
    </w:p>
    <w:p>
      <w:pPr>
        <w:rPr>
          <w:rFonts w:ascii="Times New Roman" w:hAnsi="Times New Roman"/>
          <w:b w:val="1"/>
          <w:szCs w:val="24"/>
        </w:rPr>
      </w:pPr>
      <w:r>
        <w:t>Eftersom planförslaget bedöms vara av betydande intresse för allmänheten föreslås detaljplanen handläggas med utökat förfarande enligt plan- och bygglag (2010:900).</w:t>
      </w:r>
    </w:p>
    <w:p>
      <w:pPr>
        <w:pStyle w:val="P1"/>
      </w:pPr>
      <w:bookmarkEnd w:id="17"/>
      <w:bookmarkEnd w:id="18"/>
      <w:bookmarkStart w:id="20" w:name="_Toc178064913"/>
      <w:bookmarkStart w:id="21" w:name="be_ärendeinformation03"/>
      <w:r>
        <w:t>Beskrivning av detaljplanen</w:t>
      </w:r>
      <w:bookmarkEnd w:id="20"/>
    </w:p>
    <w:p>
      <w:r>
        <w:t xml:space="preserve">Detaljplanen är upprättad efter Boverkets föreskrifter och allmänna råd BFS 2020:5, 2020:6 samt 2020:8. </w:t>
      </w:r>
    </w:p>
    <w:p>
      <w:pPr>
        <w:pStyle w:val="P2"/>
      </w:pPr>
      <w:bookmarkEnd w:id="21"/>
      <w:bookmarkStart w:id="22" w:name="be_befintligt01"/>
      <w:r>
        <w:t>Detaljplanens läge, areal och markägoförhållanden</w:t>
      </w:r>
    </w:p>
    <w:p>
      <w:pPr>
        <w:rPr>
          <w:rFonts w:ascii="Times New Roman" w:hAnsi="Times New Roman"/>
          <w:szCs w:val="24"/>
        </w:rPr>
      </w:pPr>
      <w:r>
        <w:rPr>
          <w:rFonts w:ascii="Times New Roman" w:hAnsi="Times New Roman"/>
          <w:szCs w:val="24"/>
        </w:rPr>
        <w:t>Planområdet är beläget i de södra delarna av centrala Boden i närhet till det gamla garnisonsområdet. Aktuellt planområde omfattas av fastigheten Boden 57:67 som idag ägs av Pionjären Fastighets AB och omfattar ca. 2,4 hektar. På området finns idag en före detta kanslibyggnad som idag används som kontor. Öster om planområdet rinner Bodån och i norr avgränsas området av Sveavägen. Väster om området sträcker sig en upptrampad stig.</w:t>
      </w:r>
    </w:p>
    <w:p>
      <w:r>
        <w:rPr>
          <w:noProof w:val="1"/>
        </w:rPr>
        <w:drawing>
          <wp:inline xmlns:wp="http://schemas.openxmlformats.org/drawingml/2006/wordprocessingDrawing" distT="0" distB="0" distL="0" distR="0">
            <wp:extent cx="4215765" cy="4362450"/>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2"/>
                    <pic:cNvPicPr/>
                  </pic:nvPicPr>
                  <pic:blipFill dpi="0">
                    <a:blip xmlns:r="http://schemas.openxmlformats.org/officeDocument/2006/relationships" r:embed="Relimage3"/>
                    <a:srcRect/>
                    <a:stretch>
                      <a:fillRect/>
                    </a:stretch>
                  </pic:blipFill>
                  <pic:spPr>
                    <a:xfrm>
                      <a:off x="0" y="0"/>
                      <a:ext cx="4225801" cy="4372775"/>
                    </a:xfrm>
                    <a:prstGeom prst="rect"/>
                  </pic:spPr>
                </pic:pic>
              </a:graphicData>
            </a:graphic>
          </wp:inline>
        </w:drawing>
      </w:r>
    </w:p>
    <w:p>
      <w:pPr>
        <w:pStyle w:val="P50"/>
        <w:ind w:left="0"/>
        <w:jc w:val="both"/>
        <w:rPr>
          <w:rFonts w:asciiTheme="majorHAnsi" w:hAnsiTheme="majorHAnsi" w:cstheme="majorHAnsi"/>
          <w:b w:val="0"/>
          <w:i w:val="1"/>
          <w:bCs w:val="0"/>
          <w:iCs w:val="1"/>
          <w:color w:val="auto"/>
          <w:sz w:val="20"/>
          <w:szCs w:val="20"/>
        </w:rPr>
      </w:pPr>
      <w:r>
        <w:rPr>
          <w:rFonts w:asciiTheme="majorHAnsi" w:hAnsiTheme="majorHAnsi" w:cstheme="majorHAnsi"/>
          <w:b w:val="0"/>
          <w:i w:val="1"/>
          <w:bCs w:val="0"/>
          <w:iCs w:val="1"/>
          <w:color w:val="auto"/>
          <w:sz w:val="20"/>
          <w:szCs w:val="20"/>
        </w:rPr>
        <w:t xml:space="preserve">Figur </w:t>
      </w:r>
      <w:r>
        <w:rPr>
          <w:rFonts w:asciiTheme="majorHAnsi" w:hAnsiTheme="majorHAnsi" w:cstheme="majorHAnsi"/>
          <w:b w:val="0"/>
          <w:i w:val="1"/>
          <w:bCs w:val="0"/>
          <w:iCs w:val="1"/>
          <w:color w:val="auto"/>
          <w:sz w:val="20"/>
          <w:szCs w:val="20"/>
        </w:rPr>
        <w:fldChar w:fldCharType="begin"/>
      </w:r>
      <w:r>
        <w:rPr>
          <w:rFonts w:asciiTheme="majorHAnsi" w:hAnsiTheme="majorHAnsi" w:cstheme="majorHAnsi"/>
          <w:b w:val="0"/>
          <w:i w:val="1"/>
          <w:bCs w:val="0"/>
          <w:iCs w:val="1"/>
          <w:color w:val="auto"/>
          <w:sz w:val="20"/>
          <w:szCs w:val="20"/>
        </w:rPr>
        <w:instrText xml:space="preserve"> SEQ Figur \* ARABIC </w:instrText>
      </w:r>
      <w:r>
        <w:rPr>
          <w:rFonts w:asciiTheme="majorHAnsi" w:hAnsiTheme="majorHAnsi" w:cstheme="majorHAnsi"/>
          <w:b w:val="0"/>
          <w:i w:val="1"/>
          <w:bCs w:val="0"/>
          <w:iCs w:val="1"/>
          <w:color w:val="auto"/>
          <w:sz w:val="20"/>
          <w:szCs w:val="20"/>
        </w:rPr>
        <w:fldChar w:fldCharType="separate"/>
      </w:r>
      <w:r>
        <w:rPr>
          <w:rFonts w:asciiTheme="majorHAnsi" w:hAnsiTheme="majorHAnsi" w:cstheme="majorHAnsi"/>
          <w:b w:val="0"/>
          <w:i w:val="1"/>
          <w:bCs w:val="0"/>
          <w:iCs w:val="1"/>
          <w:noProof w:val="1"/>
          <w:color w:val="auto"/>
          <w:sz w:val="20"/>
          <w:szCs w:val="20"/>
        </w:rPr>
        <w:t>1</w:t>
      </w:r>
      <w:r>
        <w:rPr>
          <w:rFonts w:asciiTheme="majorHAnsi" w:hAnsiTheme="majorHAnsi" w:cstheme="majorHAnsi"/>
          <w:b w:val="0"/>
          <w:i w:val="1"/>
          <w:bCs w:val="0"/>
          <w:iCs w:val="1"/>
          <w:color w:val="auto"/>
          <w:sz w:val="20"/>
          <w:szCs w:val="20"/>
        </w:rPr>
        <w:fldChar w:fldCharType="end"/>
      </w:r>
      <w:r>
        <w:rPr>
          <w:rFonts w:asciiTheme="majorHAnsi" w:hAnsiTheme="majorHAnsi" w:cstheme="majorHAnsi"/>
          <w:b w:val="0"/>
          <w:i w:val="1"/>
          <w:bCs w:val="0"/>
          <w:iCs w:val="1"/>
          <w:color w:val="auto"/>
          <w:sz w:val="20"/>
          <w:szCs w:val="20"/>
        </w:rPr>
        <w:t xml:space="preserve">. Översiktskarta med aktuellt planområde markerat rött. </w:t>
      </w:r>
    </w:p>
    <w:p>
      <w:pPr>
        <w:rPr>
          <w:rFonts w:ascii="Times New Roman" w:hAnsi="Times New Roman"/>
          <w:szCs w:val="24"/>
        </w:rPr>
      </w:pPr>
      <w:r>
        <w:rPr>
          <w:rFonts w:ascii="Times New Roman" w:hAnsi="Times New Roman"/>
          <w:szCs w:val="24"/>
        </w:rPr>
        <w:t xml:space="preserve">Norr om planområdet, på andra sidan Sveavägen, ligger ett område som kallas för Tjärnbacken som vars detaljplan vann laga kraft 2024-12-13. Tjärnbacken ska också utvecklas till ett område för bostäder. </w:t>
      </w:r>
    </w:p>
    <w:p>
      <w:pPr>
        <w:rPr>
          <w:rFonts w:ascii="Times New Roman" w:hAnsi="Times New Roman"/>
          <w:szCs w:val="24"/>
        </w:rPr>
      </w:pPr>
      <w:r>
        <w:rPr>
          <w:rFonts w:ascii="Times New Roman" w:hAnsi="Times New Roman"/>
          <w:szCs w:val="24"/>
        </w:rPr>
        <w:t>På andra sidan av Bodån och Åbergsleden/Hermelinsgatan ligger före detta garnisonsområdet som idag används för kontor, handel, industri samt försvarsmuseum.</w:t>
      </w:r>
    </w:p>
    <w:p>
      <w:pPr>
        <w:pStyle w:val="P2"/>
      </w:pPr>
      <w:r>
        <w:t>Befintliga förhållanden</w:t>
      </w:r>
    </w:p>
    <w:p>
      <w:pPr>
        <w:rPr>
          <w:rFonts w:ascii="Times New Roman" w:hAnsi="Times New Roman"/>
          <w:szCs w:val="24"/>
        </w:rPr>
      </w:pPr>
      <w:r>
        <w:rPr>
          <w:rFonts w:ascii="Times New Roman" w:hAnsi="Times New Roman"/>
          <w:szCs w:val="24"/>
        </w:rPr>
        <w:t>Idag används den före detta kanslibyggnaden som kontor. Övriga delar av fastigheteten består av blandskog ned mot Bodån. Eftersom planområdet avgränsas av Sveavägen i norr samt har närhet till Åbergsleden/Hermelinsgatan finns det risk för visst trafikbuller på planområdet.</w:t>
      </w:r>
    </w:p>
    <w:p>
      <w:pPr>
        <w:pStyle w:val="P3"/>
      </w:pPr>
      <w:bookmarkEnd w:id="22"/>
      <w:bookmarkStart w:id="23" w:name="_Toc163738133"/>
      <w:bookmarkStart w:id="24" w:name="pf_teknik01"/>
      <w:r>
        <w:t>Planens styrande egenskaper</w:t>
      </w:r>
      <w:bookmarkEnd w:id="23"/>
    </w:p>
    <w:p>
      <w:pPr>
        <w:rPr>
          <w:rFonts w:ascii="Times New Roman" w:hAnsi="Times New Roman"/>
          <w:szCs w:val="24"/>
        </w:rPr>
      </w:pPr>
      <w:r>
        <w:rPr>
          <w:rFonts w:ascii="Times New Roman" w:hAnsi="Times New Roman"/>
          <w:szCs w:val="24"/>
        </w:rPr>
        <w:t>Planområdet ingår i kommunens verksamhetsområde för vatten och avlopp. Befintlig infrastruktur kan nyttjas i stor utsträckning och det finns möjlighet för ny bebyggelse att ansluta till fjärrvärme och el.</w:t>
      </w:r>
    </w:p>
    <w:p>
      <w:pPr>
        <w:pStyle w:val="P2"/>
      </w:pPr>
      <w:bookmarkEnd w:id="24"/>
      <w:bookmarkStart w:id="25" w:name="be_allmänplats01"/>
      <w:r>
        <w:t>Allmän plats</w:t>
      </w:r>
    </w:p>
    <w:p>
      <w:bookmarkStart w:id="26" w:name="be_natur01"/>
      <w:r>
        <w:t xml:space="preserve">Detaljplanen reglerar allmän plats i form av </w:t>
      </w:r>
      <w:r>
        <w:rPr>
          <w:b w:val="1"/>
          <w:bCs w:val="1"/>
        </w:rPr>
        <w:t>[NATUR]</w:t>
      </w:r>
      <w:r>
        <w:t>. I detta område ska det vara möjligt för kommunen att bygga gång- och cykelväg med kommunal standard.</w:t>
      </w:r>
      <w:bookmarkStart w:id="27" w:name="be_huvudmannaskap01"/>
    </w:p>
    <w:p>
      <w:pPr>
        <w:pStyle w:val="P3"/>
      </w:pPr>
      <w:bookmarkEnd w:id="26"/>
      <w:r>
        <w:t>Huvudmannaskap</w:t>
      </w:r>
    </w:p>
    <w:p>
      <w:r>
        <w:t xml:space="preserve">Bodens kommun är huvudman för all allmän platsmark som i detta detaljplaneförslag omfattar </w:t>
      </w:r>
      <w:r>
        <w:rPr>
          <w:b w:val="1"/>
          <w:bCs w:val="1"/>
        </w:rPr>
        <w:t>[NATUR].</w:t>
      </w:r>
    </w:p>
    <w:p>
      <w:pPr>
        <w:pStyle w:val="P2"/>
      </w:pPr>
      <w:bookmarkEnd w:id="25"/>
      <w:bookmarkEnd w:id="27"/>
      <w:bookmarkStart w:id="28" w:name="be_kvartersmark01"/>
      <w:r>
        <w:t>Kvartersmark</w:t>
      </w:r>
    </w:p>
    <w:p>
      <w:bookmarkStart w:id="29" w:name="be_bostäder01"/>
      <w:r>
        <w:t xml:space="preserve">Planförslaget möjliggör för nya byggrätter för radhus-, kedjehus-, parhus-, småhus-, eller flerbostadshusbebyggelse. Nya bostäder får inte skymma siktlinjer från Sveavägen mot fd kanslibyggnad varför de inte ska byggas närmare Sveavägen än ca. 20 meter.  Risker avseende transporter av farligt gods bedöms således som låga.  </w:t>
      </w:r>
    </w:p>
    <w:p>
      <w:r>
        <w:t xml:space="preserve">Nya byggnader ska inte på något vis likna fd kanslibyggnad varför utformningsbestämmelser införs enligt tabell nedan. </w:t>
      </w:r>
    </w:p>
    <w:p>
      <w:bookmarkEnd w:id="29"/>
      <w:r>
        <w:t>Eftersom det allmänna strandskyddet gäller vid Bodån behöver strandskyddet upphävas för ny bebyggelse.</w:t>
      </w:r>
    </w:p>
    <w:p>
      <w:bookmarkStart w:id="30" w:name="be_verksamheter01"/>
      <w:bookmarkStart w:id="31" w:name="be_bostäder02"/>
      <w:r>
        <w:t>Fd. kanslibyggnad ska vara möjlig att använda för centrum- bostads- och kontorsändamål. Det ska också vara möjligt att bedriva verksamheter i byggnaden. Byggnaden har höga kulturhistoriska värden varför varsamhetsbestämmelser införs samt rivningsförbud.</w:t>
      </w:r>
      <w:bookmarkEnd w:id="30"/>
      <w:bookmarkEnd w:id="31"/>
      <w:r>
        <w:t xml:space="preserve"> Ingen ny bebyggelse ska kunna uppföras 40-50 meter från fd kanslibyggnad. </w:t>
      </w:r>
    </w:p>
    <w:p>
      <w:r>
        <w:rPr>
          <w:noProof w:val="1"/>
        </w:rPr>
        <w:drawing>
          <wp:inline xmlns:wp="http://schemas.openxmlformats.org/drawingml/2006/wordprocessingDrawing" distT="0" distB="0" distL="0" distR="0">
            <wp:extent cx="4869180" cy="6791325"/>
            <wp:effectExtent l="0" t="0" r="7620" b="0"/>
            <wp:docPr id="127167722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77224" name="Picture 23"/>
                    <pic:cNvPicPr/>
                  </pic:nvPicPr>
                  <pic:blipFill dpi="0">
                    <a:blip xmlns:r="http://schemas.openxmlformats.org/officeDocument/2006/relationships" r:embed="Relimage4"/>
                    <a:srcRect/>
                    <a:stretch>
                      <a:fillRect/>
                    </a:stretch>
                  </pic:blipFill>
                  <pic:spPr>
                    <a:xfrm>
                      <a:off x="0" y="0"/>
                      <a:ext cx="4873164" cy="6796291"/>
                    </a:xfrm>
                    <a:prstGeom prst="rect"/>
                  </pic:spPr>
                </pic:pic>
              </a:graphicData>
            </a:graphic>
          </wp:inline>
        </w:drawing>
      </w:r>
    </w:p>
    <w:p>
      <w:r>
        <w:rPr>
          <w:i w:val="1"/>
          <w:iCs w:val="1"/>
          <w:sz w:val="20"/>
          <w:szCs w:val="20"/>
        </w:rPr>
        <w:t>Illustrationsplan över möjlig bebyggelse utifrån planförslaget</w:t>
      </w:r>
    </w:p>
    <w:p>
      <w:pPr>
        <w:pStyle w:val="P1"/>
      </w:pPr>
      <w:bookmarkEnd w:id="28"/>
      <w:bookmarkStart w:id="32" w:name="_Toc84918473"/>
      <w:bookmarkStart w:id="33" w:name="_Toc178064914"/>
      <w:bookmarkStart w:id="34" w:name="_Toc84919526"/>
      <w:r>
        <w:t>Motiv till detaljplanens regleringar</w:t>
      </w:r>
      <w:bookmarkEnd w:id="32"/>
      <w:bookmarkEnd w:id="33"/>
      <w:bookmarkEnd w:id="34"/>
    </w:p>
    <w:p>
      <w:pPr>
        <w:pStyle w:val="P2"/>
      </w:pPr>
      <w:r>
        <w:t>Motiv till reglering</w:t>
      </w:r>
    </w:p>
    <w:p>
      <w:r>
        <w:rPr>
          <w:noProof w:val="1"/>
        </w:rPr>
        <w:drawing>
          <wp:inline xmlns:wp="http://schemas.openxmlformats.org/drawingml/2006/wordprocessingDrawing" distT="0" distB="0" distL="0" distR="0">
            <wp:extent cx="4476750" cy="6010275"/>
            <wp:effectExtent l="0" t="0" r="0" b="0"/>
            <wp:docPr id="58450842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08426" name="Picture 24"/>
                    <pic:cNvPicPr/>
                  </pic:nvPicPr>
                  <pic:blipFill dpi="0">
                    <a:blip xmlns:r="http://schemas.openxmlformats.org/officeDocument/2006/relationships" r:embed="Relimage5"/>
                    <a:srcRect/>
                    <a:stretch>
                      <a:fillRect/>
                    </a:stretch>
                  </pic:blipFill>
                  <pic:spPr>
                    <a:xfrm>
                      <a:off x="0" y="0"/>
                      <a:ext cx="4482125" cy="6016859"/>
                    </a:xfrm>
                    <a:prstGeom prst="rect"/>
                  </pic:spPr>
                </pic:pic>
              </a:graphicData>
            </a:graphic>
          </wp:inline>
        </w:drawing>
      </w:r>
    </w:p>
    <w:p>
      <w:pPr>
        <w:rPr>
          <w:i w:val="1"/>
          <w:iCs w:val="1"/>
        </w:rPr>
      </w:pPr>
      <w:r>
        <w:rPr>
          <w:i w:val="1"/>
          <w:iCs w:val="1"/>
        </w:rPr>
        <w:t>Utklipp från plankarta</w:t>
      </w:r>
    </w:p>
    <w:p>
      <w:pPr>
        <w:pStyle w:val="P3"/>
      </w:pPr>
      <w:r>
        <w:t>Användning av allmän platsmark</w:t>
      </w:r>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3114" w:type="dxa"/>
          </w:tcPr>
          <w:p>
            <w:pPr>
              <w:rPr>
                <w:color w:val="C00000"/>
              </w:rPr>
            </w:pPr>
            <w:r>
              <w:rPr>
                <w:noProof w:val="1"/>
                <w:color w:val="C00000"/>
              </w:rPr>
              <w:drawing>
                <wp:inline xmlns:wp="http://schemas.openxmlformats.org/drawingml/2006/wordprocessingDrawing" distT="0" distB="0" distL="0" distR="0">
                  <wp:extent cx="1733550" cy="390525"/>
                  <wp:effectExtent l="0" t="0" r="0" b="9525"/>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9"/>
                          <pic:cNvPicPr/>
                        </pic:nvPicPr>
                        <pic:blipFill dpi="0">
                          <a:blip xmlns:r="http://schemas.openxmlformats.org/officeDocument/2006/relationships" r:embed="Relimage6"/>
                          <a:srcRect t="82404"/>
                          <a:stretch>
                            <a:fillRect/>
                          </a:stretch>
                        </pic:blipFill>
                        <pic:spPr bwMode="auto">
                          <a:xfrm>
                            <a:off x="0" y="0"/>
                            <a:ext cx="1733793" cy="390580"/>
                          </a:xfrm>
                          <a:prstGeom prst="rect"/>
                          <a:ln>
                            <a:noFill/>
                          </a:ln>
                        </pic:spPr>
                      </pic:pic>
                    </a:graphicData>
                  </a:graphic>
                </wp:inline>
              </w:drawing>
            </w:r>
          </w:p>
        </w:tc>
        <w:tc>
          <w:tcPr>
            <w:tcW w:w="5099" w:type="dxa"/>
          </w:tcPr>
          <w:p>
            <w:pPr>
              <w:rPr>
                <w:rFonts w:asciiTheme="majorHAnsi" w:hAnsiTheme="majorHAnsi" w:cstheme="majorHAnsi"/>
              </w:rPr>
            </w:pPr>
            <w:r>
              <w:rPr>
                <w:rFonts w:asciiTheme="majorHAnsi" w:hAnsiTheme="majorHAnsi" w:cstheme="majorHAnsi"/>
              </w:rPr>
              <w:t>Natur</w:t>
            </w:r>
          </w:p>
          <w:p>
            <w:bookmarkStart w:id="35" w:name="mo_motivtillreglering01"/>
            <w:r>
              <w:t>Längs med Bodån läggs användningen NATUR med kommunalt huvudmannaskap. Användningen gör det möjligt för kommunen att bygga gång- och cykelväg längs med Bodån med kommunal standard. Området kommer skötas av kommunen och förblir tillgängligt för allmänheten.</w:t>
            </w:r>
            <w:bookmarkEnd w:id="35"/>
          </w:p>
        </w:tc>
      </w:tr>
    </w:tbl>
    <w:p>
      <w:pPr>
        <w:rPr>
          <w:color w:val="C00000"/>
        </w:rPr>
      </w:pPr>
    </w:p>
    <w:p>
      <w:pPr>
        <w:pStyle w:val="P3"/>
      </w:pPr>
      <w:r>
        <w:t>Användning av kvartersmark</w:t>
      </w:r>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3114" w:type="dxa"/>
          </w:tcPr>
          <w:p>
            <w:pPr>
              <w:rPr>
                <w:color w:val="C00000"/>
              </w:rPr>
            </w:pPr>
            <w:r>
              <w:rPr>
                <w:noProof w:val="1"/>
                <w:color w:val="C00000"/>
              </w:rPr>
              <w:drawing>
                <wp:inline xmlns:wp="http://schemas.openxmlformats.org/drawingml/2006/wordprocessingDrawing" distT="0" distB="0" distL="0" distR="0">
                  <wp:extent cx="1733550" cy="390525"/>
                  <wp:effectExtent l="0" t="0" r="0" b="9525"/>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2"/>
                          <pic:cNvPicPr/>
                        </pic:nvPicPr>
                        <pic:blipFill dpi="0">
                          <a:blip xmlns:r="http://schemas.openxmlformats.org/officeDocument/2006/relationships" r:embed="Relimage6"/>
                          <a:srcRect b="82403"/>
                          <a:stretch>
                            <a:fillRect/>
                          </a:stretch>
                        </pic:blipFill>
                        <pic:spPr bwMode="auto">
                          <a:xfrm>
                            <a:off x="0" y="0"/>
                            <a:ext cx="1733793" cy="390580"/>
                          </a:xfrm>
                          <a:prstGeom prst="rect"/>
                          <a:ln>
                            <a:noFill/>
                          </a:ln>
                        </pic:spPr>
                      </pic:pic>
                    </a:graphicData>
                  </a:graphic>
                </wp:inline>
              </w:drawing>
            </w:r>
          </w:p>
        </w:tc>
        <w:tc>
          <w:tcPr>
            <w:tcW w:w="5099" w:type="dxa"/>
          </w:tcPr>
          <w:p>
            <w:pPr>
              <w:rPr>
                <w:rFonts w:asciiTheme="majorHAnsi" w:hAnsiTheme="majorHAnsi" w:cstheme="majorHAnsi"/>
              </w:rPr>
            </w:pPr>
            <w:r>
              <w:rPr>
                <w:rFonts w:asciiTheme="majorHAnsi" w:hAnsiTheme="majorHAnsi" w:cstheme="majorHAnsi"/>
              </w:rPr>
              <w:t>Bostäder</w:t>
            </w:r>
          </w:p>
          <w:p>
            <w:pPr>
              <w:rPr>
                <w:color w:val="C00000"/>
              </w:rPr>
            </w:pPr>
            <w:bookmarkStart w:id="36" w:name="mo_motivtillreglering02"/>
            <w:r>
              <w:t xml:space="preserve">Bestämmelsen </w:t>
            </w:r>
            <w:r>
              <w:rPr>
                <w:i w:val="1"/>
                <w:iCs w:val="1"/>
              </w:rPr>
              <w:t>Bostäder</w:t>
            </w:r>
            <w:r>
              <w:t xml:space="preserve"> syftar till att möjliggöra bostadsbyggnation och genom detta utöka bostadsutbudet i centrumnära läge i Boden. Användningen möjliggör för cirka 30 bostäder.</w:t>
            </w:r>
            <w:bookmarkEnd w:id="36"/>
          </w:p>
        </w:tc>
      </w:tr>
      <w:tr>
        <w:tc>
          <w:tcPr>
            <w:tcW w:w="3114" w:type="dxa"/>
          </w:tcPr>
          <w:p>
            <w:pPr>
              <w:rPr>
                <w:color w:val="C00000"/>
              </w:rPr>
            </w:pPr>
            <w:r>
              <w:rPr>
                <w:noProof w:val="1"/>
                <w:color w:val="C00000"/>
              </w:rPr>
              <w:drawing>
                <wp:inline xmlns:wp="http://schemas.openxmlformats.org/drawingml/2006/wordprocessingDrawing" distT="0" distB="0" distL="0" distR="0">
                  <wp:extent cx="1733550" cy="381000"/>
                  <wp:effectExtent l="0" t="0" r="0" b="0"/>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3"/>
                          <pic:cNvPicPr/>
                        </pic:nvPicPr>
                        <pic:blipFill dpi="0">
                          <a:blip xmlns:r="http://schemas.openxmlformats.org/officeDocument/2006/relationships" r:embed="Relimage6"/>
                          <a:srcRect t="17168" b="65665"/>
                          <a:stretch>
                            <a:fillRect/>
                          </a:stretch>
                        </pic:blipFill>
                        <pic:spPr bwMode="auto">
                          <a:xfrm>
                            <a:off x="0" y="0"/>
                            <a:ext cx="1733793" cy="381053"/>
                          </a:xfrm>
                          <a:prstGeom prst="rect"/>
                          <a:ln>
                            <a:noFill/>
                          </a:ln>
                        </pic:spPr>
                      </pic:pic>
                    </a:graphicData>
                  </a:graphic>
                </wp:inline>
              </w:drawing>
            </w:r>
          </w:p>
        </w:tc>
        <w:tc>
          <w:tcPr>
            <w:tcW w:w="5099" w:type="dxa"/>
          </w:tcPr>
          <w:p>
            <w:pPr>
              <w:rPr>
                <w:rFonts w:asciiTheme="majorHAnsi" w:hAnsiTheme="majorHAnsi" w:cstheme="majorHAnsi"/>
              </w:rPr>
            </w:pPr>
            <w:r>
              <w:rPr>
                <w:rFonts w:asciiTheme="majorHAnsi" w:hAnsiTheme="majorHAnsi" w:cstheme="majorHAnsi"/>
              </w:rPr>
              <w:t>Centrum</w:t>
            </w:r>
          </w:p>
          <w:p>
            <w:pPr>
              <w:rPr>
                <w:color w:val="C00000"/>
              </w:rPr>
            </w:pPr>
            <w:bookmarkStart w:id="37" w:name="mo_motivtillreglering03"/>
            <w:r>
              <w:t xml:space="preserve">Bestämmelsen </w:t>
            </w:r>
            <w:r>
              <w:rPr>
                <w:i w:val="1"/>
                <w:iCs w:val="1"/>
              </w:rPr>
              <w:t>Centrum</w:t>
            </w:r>
            <w:r>
              <w:t xml:space="preserve"> syftar till att möjliggöra en flexibel användning för fd kanslibyggnad.  I </w:t>
            </w:r>
            <w:r>
              <w:rPr>
                <w:i w:val="1"/>
                <w:iCs w:val="1"/>
              </w:rPr>
              <w:t>Centrum</w:t>
            </w:r>
            <w:r>
              <w:t xml:space="preserve"> ingår en rad olika verksamheter som också kan återfinnas i andra användningar. Där ingår till exempel butiker, restauranger, kontor, gym, biografer, bibliotek, teatrar, museum, banker, apotek, smådjursklinik, hantverk och annan service. I användningen ingår även byggnader för religiösa ändamål, föreningslokaler, samlingslokaler, vuxenutbildning, hotell, vandrarhem och lättare former av vård och hälsovård som vårdcentral, fot- eller hudvård.</w:t>
            </w:r>
            <w:bookmarkEnd w:id="37"/>
          </w:p>
        </w:tc>
      </w:tr>
      <w:tr>
        <w:tc>
          <w:tcPr>
            <w:tcW w:w="3114" w:type="dxa"/>
          </w:tcPr>
          <w:p>
            <w:pPr>
              <w:rPr>
                <w:color w:val="C00000"/>
              </w:rPr>
            </w:pPr>
            <w:r>
              <w:rPr>
                <w:noProof w:val="1"/>
                <w:color w:val="C00000"/>
              </w:rPr>
              <w:drawing>
                <wp:inline xmlns:wp="http://schemas.openxmlformats.org/drawingml/2006/wordprocessingDrawing" distT="0" distB="0" distL="0" distR="0">
                  <wp:extent cx="1733550" cy="361950"/>
                  <wp:effectExtent l="0" t="0" r="0" b="0"/>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4"/>
                          <pic:cNvPicPr/>
                        </pic:nvPicPr>
                        <pic:blipFill dpi="0">
                          <a:blip xmlns:r="http://schemas.openxmlformats.org/officeDocument/2006/relationships" r:embed="Relimage6"/>
                          <a:srcRect t="33907" b="49784"/>
                          <a:stretch>
                            <a:fillRect/>
                          </a:stretch>
                        </pic:blipFill>
                        <pic:spPr bwMode="auto">
                          <a:xfrm>
                            <a:off x="0" y="0"/>
                            <a:ext cx="1733793" cy="362003"/>
                          </a:xfrm>
                          <a:prstGeom prst="rect"/>
                          <a:ln>
                            <a:noFill/>
                          </a:ln>
                        </pic:spPr>
                      </pic:pic>
                    </a:graphicData>
                  </a:graphic>
                </wp:inline>
              </w:drawing>
            </w:r>
          </w:p>
        </w:tc>
        <w:tc>
          <w:tcPr>
            <w:tcW w:w="5099" w:type="dxa"/>
          </w:tcPr>
          <w:p>
            <w:pPr>
              <w:rPr>
                <w:rFonts w:asciiTheme="majorHAnsi" w:hAnsiTheme="majorHAnsi" w:cstheme="majorHAnsi"/>
              </w:rPr>
            </w:pPr>
            <w:r>
              <w:rPr>
                <w:rFonts w:asciiTheme="majorHAnsi" w:hAnsiTheme="majorHAnsi" w:cstheme="majorHAnsi"/>
              </w:rPr>
              <w:t>Kontor</w:t>
            </w:r>
          </w:p>
          <w:p>
            <w:pPr>
              <w:rPr>
                <w:rFonts w:asciiTheme="majorHAnsi" w:hAnsiTheme="majorHAnsi" w:cstheme="majorHAnsi"/>
              </w:rPr>
            </w:pPr>
            <w:bookmarkStart w:id="38" w:name="mo_motivtillreglering04"/>
            <w:r>
              <w:t xml:space="preserve">Bestämmelsen </w:t>
            </w:r>
            <w:r>
              <w:rPr>
                <w:i w:val="1"/>
                <w:iCs w:val="1"/>
              </w:rPr>
              <w:t xml:space="preserve">Kontor </w:t>
            </w:r>
            <w:r>
              <w:t xml:space="preserve">syftar, likt </w:t>
            </w:r>
            <w:r>
              <w:rPr>
                <w:i w:val="1"/>
                <w:iCs w:val="1"/>
              </w:rPr>
              <w:t>Centrum</w:t>
            </w:r>
            <w:r>
              <w:t xml:space="preserve">, till att möjliggöra en flexibel användning för fd kanslibyggnad. </w:t>
            </w:r>
            <w:bookmarkEnd w:id="38"/>
            <w:r>
              <w:t> </w:t>
            </w:r>
          </w:p>
          <w:p>
            <w:pPr>
              <w:rPr>
                <w:color w:val="C00000"/>
              </w:rPr>
            </w:pPr>
          </w:p>
        </w:tc>
      </w:tr>
      <w:tr>
        <w:tc>
          <w:tcPr>
            <w:tcW w:w="3114" w:type="dxa"/>
          </w:tcPr>
          <w:p>
            <w:pPr>
              <w:rPr>
                <w:color w:val="C00000"/>
              </w:rPr>
            </w:pPr>
            <w:r>
              <w:rPr>
                <w:noProof w:val="1"/>
                <w:color w:val="C00000"/>
              </w:rPr>
              <w:drawing>
                <wp:inline xmlns:wp="http://schemas.openxmlformats.org/drawingml/2006/wordprocessingDrawing" distT="0" distB="0" distL="0" distR="0">
                  <wp:extent cx="1733550" cy="428625"/>
                  <wp:effectExtent l="0" t="0" r="0" b="9525"/>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5"/>
                          <pic:cNvPicPr/>
                        </pic:nvPicPr>
                        <pic:blipFill dpi="0">
                          <a:blip xmlns:r="http://schemas.openxmlformats.org/officeDocument/2006/relationships" r:embed="Relimage6"/>
                          <a:srcRect t="48928" b="31759"/>
                          <a:stretch>
                            <a:fillRect/>
                          </a:stretch>
                        </pic:blipFill>
                        <pic:spPr bwMode="auto">
                          <a:xfrm>
                            <a:off x="0" y="0"/>
                            <a:ext cx="1733793" cy="428685"/>
                          </a:xfrm>
                          <a:prstGeom prst="rect"/>
                          <a:ln>
                            <a:noFill/>
                          </a:ln>
                        </pic:spPr>
                      </pic:pic>
                    </a:graphicData>
                  </a:graphic>
                </wp:inline>
              </w:drawing>
            </w:r>
          </w:p>
        </w:tc>
        <w:tc>
          <w:tcPr>
            <w:tcW w:w="5099" w:type="dxa"/>
          </w:tcPr>
          <w:p>
            <w:pPr>
              <w:rPr>
                <w:rFonts w:asciiTheme="majorHAnsi" w:hAnsiTheme="majorHAnsi" w:cstheme="majorHAnsi"/>
              </w:rPr>
            </w:pPr>
            <w:r>
              <w:rPr>
                <w:rFonts w:asciiTheme="majorHAnsi" w:hAnsiTheme="majorHAnsi" w:cstheme="majorHAnsi"/>
              </w:rPr>
              <w:t>Verksamheter</w:t>
            </w:r>
          </w:p>
          <w:p>
            <w:pPr>
              <w:rPr>
                <w:color w:val="C00000"/>
              </w:rPr>
            </w:pPr>
            <w:bookmarkStart w:id="39" w:name="mo_motivtillreglering05"/>
            <w:r>
              <w:t xml:space="preserve">Bestämmelsen </w:t>
            </w:r>
            <w:r>
              <w:rPr>
                <w:i w:val="1"/>
                <w:iCs w:val="1"/>
              </w:rPr>
              <w:t xml:space="preserve">Verksamheter </w:t>
            </w:r>
            <w:r>
              <w:t xml:space="preserve">syftar, likt </w:t>
            </w:r>
            <w:r>
              <w:rPr>
                <w:i w:val="1"/>
                <w:iCs w:val="1"/>
              </w:rPr>
              <w:t xml:space="preserve">Centrum </w:t>
            </w:r>
            <w:r>
              <w:t>och</w:t>
            </w:r>
            <w:r>
              <w:rPr>
                <w:i w:val="1"/>
                <w:iCs w:val="1"/>
              </w:rPr>
              <w:t xml:space="preserve"> Kontor</w:t>
            </w:r>
            <w:r>
              <w:t>, till att möjliggöra en flexibel användning för fd kanslibyggnad.</w:t>
            </w:r>
            <w:bookmarkEnd w:id="39"/>
          </w:p>
        </w:tc>
      </w:tr>
      <w:tr>
        <w:tc>
          <w:tcPr>
            <w:tcW w:w="3114" w:type="dxa"/>
          </w:tcPr>
          <w:p>
            <w:pPr>
              <w:rPr>
                <w:noProof w:val="1"/>
                <w:color w:val="C00000"/>
              </w:rPr>
            </w:pPr>
            <w:r>
              <w:rPr>
                <w:noProof w:val="1"/>
                <w:color w:val="C00000"/>
              </w:rPr>
              <w:drawing>
                <wp:inline xmlns:wp="http://schemas.openxmlformats.org/drawingml/2006/wordprocessingDrawing" distT="0" distB="0" distL="0" distR="0">
                  <wp:extent cx="1771650" cy="401320"/>
                  <wp:effectExtent l="0" t="0" r="0" b="0"/>
                  <wp:docPr id="75931249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312491" name="Picture 36"/>
                          <pic:cNvPicPr/>
                        </pic:nvPicPr>
                        <pic:blipFill dpi="0">
                          <a:blip xmlns:r="http://schemas.openxmlformats.org/officeDocument/2006/relationships" r:embed="Relimage7"/>
                          <a:srcRect/>
                          <a:stretch>
                            <a:fillRect/>
                          </a:stretch>
                        </pic:blipFill>
                        <pic:spPr>
                          <a:xfrm>
                            <a:off x="0" y="0"/>
                            <a:ext cx="1804102" cy="408933"/>
                          </a:xfrm>
                          <a:prstGeom prst="rect"/>
                        </pic:spPr>
                      </pic:pic>
                    </a:graphicData>
                  </a:graphic>
                </wp:inline>
              </w:drawing>
            </w:r>
          </w:p>
        </w:tc>
        <w:tc>
          <w:tcPr>
            <w:tcW w:w="5099" w:type="dxa"/>
          </w:tcPr>
          <w:p>
            <w:pPr>
              <w:rPr>
                <w:rFonts w:asciiTheme="majorHAnsi" w:hAnsiTheme="majorHAnsi" w:cstheme="majorHAnsi"/>
              </w:rPr>
            </w:pPr>
            <w:r>
              <w:rPr>
                <w:rFonts w:asciiTheme="majorHAnsi" w:hAnsiTheme="majorHAnsi" w:cstheme="majorHAnsi"/>
              </w:rPr>
              <w:t>Transformatorstation</w:t>
            </w:r>
          </w:p>
          <w:p>
            <w:pPr>
              <w:rPr>
                <w:rFonts w:asciiTheme="majorHAnsi" w:hAnsiTheme="majorHAnsi" w:cstheme="majorHAnsi"/>
              </w:rPr>
            </w:pPr>
            <w:bookmarkStart w:id="40" w:name="mo_motivtillreglering06" w:colFirst="1" w:colLast="1"/>
            <w:r>
              <w:t>Om det krävs för elförsörjning för området avsätts om område om 5x5 meter för transformatorstation.</w:t>
            </w:r>
          </w:p>
        </w:tc>
      </w:tr>
    </w:tbl>
    <w:p>
      <w:pPr>
        <w:rPr>
          <w:color w:val="C00000"/>
        </w:rPr>
      </w:pPr>
      <w:bookmarkEnd w:id="40"/>
    </w:p>
    <w:p>
      <w:pPr>
        <w:pStyle w:val="P3"/>
      </w:pPr>
      <w:r>
        <w:t>Egenskapsbestämmelser för kvartersmark</w:t>
      </w:r>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3114" w:type="dxa"/>
          </w:tcPr>
          <w:p>
            <w:pPr>
              <w:rPr>
                <w:color w:val="C00000"/>
              </w:rPr>
            </w:pPr>
            <w:r>
              <w:rPr>
                <w:noProof w:val="1"/>
                <w:color w:val="C00000"/>
              </w:rPr>
              <w:drawing>
                <wp:inline xmlns:wp="http://schemas.openxmlformats.org/drawingml/2006/wordprocessingDrawing" distT="0" distB="0" distL="0" distR="0">
                  <wp:extent cx="1771650" cy="476250"/>
                  <wp:effectExtent l="0" t="0" r="0" b="0"/>
                  <wp:docPr id="39" name="Bildobjek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7"/>
                          <pic:cNvPicPr/>
                        </pic:nvPicPr>
                        <pic:blipFill dpi="0">
                          <a:blip xmlns:r="http://schemas.openxmlformats.org/officeDocument/2006/relationships" r:embed="Relimage8"/>
                          <a:srcRect/>
                          <a:stretch>
                            <a:fillRect/>
                          </a:stretch>
                        </pic:blipFill>
                        <pic:spPr>
                          <a:xfrm>
                            <a:off x="0" y="0"/>
                            <a:ext cx="1771897" cy="476319"/>
                          </a:xfrm>
                          <a:prstGeom prst="rect"/>
                        </pic:spPr>
                      </pic:pic>
                    </a:graphicData>
                  </a:graphic>
                </wp:inline>
              </w:drawing>
            </w:r>
          </w:p>
        </w:tc>
        <w:tc>
          <w:tcPr>
            <w:tcW w:w="5099" w:type="dxa"/>
          </w:tcPr>
          <w:p>
            <w:pPr>
              <w:rPr>
                <w:rFonts w:asciiTheme="majorHAnsi" w:hAnsiTheme="majorHAnsi" w:cstheme="majorHAnsi"/>
              </w:rPr>
            </w:pPr>
            <w:r>
              <w:rPr>
                <w:rFonts w:asciiTheme="majorHAnsi" w:hAnsiTheme="majorHAnsi" w:cstheme="majorHAnsi"/>
              </w:rPr>
              <w:t xml:space="preserve">Marken får inte förses med byggnad </w:t>
            </w:r>
          </w:p>
          <w:p>
            <w:pPr>
              <w:rPr>
                <w:rFonts w:asciiTheme="majorHAnsi" w:hAnsiTheme="majorHAnsi" w:cstheme="majorHAnsi"/>
              </w:rPr>
            </w:pPr>
            <w:bookmarkStart w:id="41" w:name="mo_motivtillreglering07"/>
            <w:r>
              <w:t>Inom delar av planområdet finns bestämmelse om att marken inte får förses med byggnad. Det för att hålla ett avstånd för ny bebyggelse till den fd kanslibyggnaden. Bestämmelsen fungerar också för att reglera hur nära Sveavägen det ska vara möjligt att uppföra nya byggnader utifrån att minimera risker för buller och farligt gods. Vid släntkrön mot Bodån finns prickmark</w:t>
            </w:r>
            <w:r>
              <w:rPr>
                <w:strike w:val="1"/>
              </w:rPr>
              <w:t xml:space="preserve"> </w:t>
            </w:r>
            <w:r>
              <w:t>för att säkerställa att tyngre laster som byggnader inte ska riskera ras eller skred.</w:t>
            </w:r>
            <w:r>
              <w:rPr>
                <w:rFonts w:asciiTheme="majorHAnsi" w:hAnsiTheme="majorHAnsi" w:cstheme="majorHAnsi"/>
              </w:rPr>
              <w:t xml:space="preserve"> </w:t>
            </w:r>
            <w:bookmarkEnd w:id="41"/>
            <w:r>
              <w:rPr>
                <w:rFonts w:asciiTheme="majorHAnsi" w:hAnsiTheme="majorHAnsi" w:cstheme="majorHAnsi"/>
              </w:rPr>
              <w:t xml:space="preserve"> </w:t>
            </w:r>
          </w:p>
        </w:tc>
      </w:tr>
      <w:tr>
        <w:tc>
          <w:tcPr>
            <w:tcW w:w="3114" w:type="dxa"/>
          </w:tcPr>
          <w:p>
            <w:pPr>
              <w:rPr>
                <w:noProof w:val="1"/>
                <w:color w:val="C00000"/>
              </w:rPr>
            </w:pPr>
            <w:r>
              <w:rPr>
                <w:noProof w:val="1"/>
                <w:color w:val="C00000"/>
              </w:rPr>
              <w:drawing>
                <wp:inline xmlns:wp="http://schemas.openxmlformats.org/drawingml/2006/wordprocessingDrawing" distT="0" distB="0" distL="0" distR="0">
                  <wp:extent cx="1899920" cy="443865"/>
                  <wp:effectExtent l="0" t="0" r="5080" b="0"/>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8"/>
                          <pic:cNvPicPr/>
                        </pic:nvPicPr>
                        <pic:blipFill dpi="0">
                          <a:blip xmlns:r="http://schemas.openxmlformats.org/officeDocument/2006/relationships" r:embed="Relimage9"/>
                          <a:srcRect/>
                          <a:stretch>
                            <a:fillRect/>
                          </a:stretch>
                        </pic:blipFill>
                        <pic:spPr>
                          <a:xfrm>
                            <a:off x="0" y="0"/>
                            <a:ext cx="1937037" cy="452527"/>
                          </a:xfrm>
                          <a:prstGeom prst="rect"/>
                        </pic:spPr>
                      </pic:pic>
                    </a:graphicData>
                  </a:graphic>
                </wp:inline>
              </w:drawing>
            </w:r>
          </w:p>
        </w:tc>
        <w:tc>
          <w:tcPr>
            <w:tcW w:w="5099" w:type="dxa"/>
          </w:tcPr>
          <w:p>
            <w:pPr>
              <w:rPr>
                <w:rFonts w:asciiTheme="majorHAnsi" w:hAnsiTheme="majorHAnsi" w:cstheme="majorHAnsi"/>
              </w:rPr>
            </w:pPr>
            <w:r>
              <w:rPr>
                <w:rFonts w:asciiTheme="majorHAnsi" w:hAnsiTheme="majorHAnsi" w:cstheme="majorHAnsi"/>
              </w:rPr>
              <w:t>Endast komplementbyggnad får uppföras</w:t>
            </w:r>
          </w:p>
          <w:p>
            <w:pPr>
              <w:rPr>
                <w:rFonts w:asciiTheme="majorHAnsi" w:hAnsiTheme="majorHAnsi" w:cstheme="majorHAnsi"/>
              </w:rPr>
            </w:pPr>
            <w:bookmarkStart w:id="42" w:name="mo_motivtillreglering08"/>
            <w:r>
              <w:t>Vid fd kanslibyggnad kan det uppstå behov för komplementbyggnad exempelvis för sophantering om bostäder inrättas i huvudbyggnad.</w:t>
            </w:r>
            <w:bookmarkEnd w:id="42"/>
          </w:p>
        </w:tc>
      </w:tr>
      <w:tr>
        <w:tc>
          <w:tcPr>
            <w:tcW w:w="3114" w:type="dxa"/>
          </w:tcPr>
          <w:p>
            <w:pPr>
              <w:jc w:val="center"/>
              <w:rPr>
                <w:rFonts w:ascii="Arial Narrow" w:hAnsi="Arial Narrow" w:cstheme="majorHAnsi"/>
                <w:b w:val="1"/>
                <w:bCs w:val="1"/>
                <w:color w:val="C00000"/>
                <w:sz w:val="32"/>
                <w:szCs w:val="32"/>
              </w:rPr>
            </w:pPr>
            <w:r>
              <w:rPr>
                <w:rFonts w:ascii="Arial Narrow" w:hAnsi="Arial Narrow" w:cstheme="majorHAnsi"/>
                <w:b w:val="1"/>
                <w:bCs w:val="1"/>
                <w:sz w:val="32"/>
                <w:szCs w:val="32"/>
              </w:rPr>
              <w:t>h</w:t>
            </w:r>
            <w:r>
              <w:rPr>
                <w:rFonts w:ascii="Arial Narrow" w:hAnsi="Arial Narrow" w:cstheme="majorHAnsi"/>
                <w:b w:val="1"/>
                <w:bCs w:val="1"/>
                <w:sz w:val="32"/>
                <w:szCs w:val="32"/>
                <w:vertAlign w:val="subscript"/>
              </w:rPr>
              <w:t>1</w:t>
            </w:r>
          </w:p>
        </w:tc>
        <w:tc>
          <w:tcPr>
            <w:tcW w:w="5099" w:type="dxa"/>
          </w:tcPr>
          <w:p>
            <w:pPr>
              <w:rPr>
                <w:color w:val="C00000"/>
              </w:rPr>
            </w:pPr>
            <w:r>
              <w:rPr>
                <w:rFonts w:asciiTheme="majorHAnsi" w:hAnsiTheme="majorHAnsi" w:cstheme="majorHAnsi"/>
              </w:rPr>
              <w:t>Största totalhöjd om 9 meter</w:t>
            </w:r>
            <w:r>
              <w:rPr>
                <w:color w:val="C00000"/>
              </w:rPr>
              <w:t xml:space="preserve"> </w:t>
            </w:r>
          </w:p>
          <w:p>
            <w:bookmarkStart w:id="43" w:name="mo_motivtillreglering09"/>
            <w:r>
              <w:t>Ny bostadsbebyggelse får inte ha en högre totalhöjd än 9 meter. Detta för att säkerställa att kulturmiljövärden av den fd kanslibyggnaden bibehålls.</w:t>
            </w:r>
          </w:p>
          <w:p>
            <w:pPr>
              <w:rPr>
                <w:color w:val="C00000"/>
              </w:rPr>
            </w:pPr>
            <w:bookmarkEnd w:id="43"/>
          </w:p>
        </w:tc>
      </w:tr>
      <w:tr>
        <w:tc>
          <w:tcPr>
            <w:tcW w:w="3114" w:type="dxa"/>
          </w:tcPr>
          <w:p>
            <w:pPr>
              <w:jc w:val="center"/>
              <w:rPr>
                <w:rFonts w:ascii="Arial Narrow" w:hAnsi="Arial Narrow" w:cstheme="majorHAnsi"/>
                <w:b w:val="1"/>
                <w:bCs w:val="1"/>
                <w:sz w:val="32"/>
                <w:szCs w:val="32"/>
              </w:rPr>
            </w:pPr>
            <w:r>
              <w:rPr>
                <w:rFonts w:ascii="Arial Narrow" w:hAnsi="Arial Narrow" w:cstheme="majorHAnsi"/>
                <w:b w:val="1"/>
                <w:bCs w:val="1"/>
                <w:sz w:val="32"/>
                <w:szCs w:val="32"/>
              </w:rPr>
              <w:t>p</w:t>
            </w:r>
            <w:r>
              <w:rPr>
                <w:rFonts w:ascii="Arial Narrow" w:hAnsi="Arial Narrow" w:cstheme="majorHAnsi"/>
                <w:b w:val="1"/>
                <w:bCs w:val="1"/>
                <w:sz w:val="32"/>
                <w:szCs w:val="32"/>
                <w:vertAlign w:val="subscript"/>
              </w:rPr>
              <w:t>1</w:t>
            </w:r>
          </w:p>
        </w:tc>
        <w:tc>
          <w:tcPr>
            <w:tcW w:w="5099" w:type="dxa"/>
          </w:tcPr>
          <w:p>
            <w:pPr>
              <w:rPr>
                <w:rFonts w:asciiTheme="majorHAnsi" w:hAnsiTheme="majorHAnsi" w:cstheme="majorHAnsi"/>
              </w:rPr>
            </w:pPr>
            <w:r>
              <w:rPr>
                <w:rFonts w:asciiTheme="majorHAnsi" w:hAnsiTheme="majorHAnsi" w:cstheme="majorHAnsi"/>
              </w:rPr>
              <w:t>Byggnad ska placeras minst 4 meter från fastighetsgräns. Sammanbyggda småhus får placeras mot gemensam fastighetsgräns.</w:t>
            </w:r>
          </w:p>
          <w:p>
            <w:pPr>
              <w:rPr>
                <w:rFonts w:asciiTheme="majorHAnsi" w:hAnsiTheme="majorHAnsi" w:cstheme="majorHAnsi"/>
              </w:rPr>
            </w:pPr>
            <w:bookmarkStart w:id="44" w:name="mo_motivtillreglering10"/>
            <w:r>
              <w:t>Om området byggs med småhus ska byggnad inte placeras för nära grannfastighet. Bebyggs området med sammanbyggda bostäder är det möjligt att bygga mot fastighetsgräns.</w:t>
            </w:r>
            <w:bookmarkEnd w:id="44"/>
          </w:p>
        </w:tc>
      </w:tr>
      <w:tr>
        <w:tc>
          <w:tcPr>
            <w:tcW w:w="3114" w:type="dxa"/>
          </w:tcPr>
          <w:p>
            <w:pPr>
              <w:jc w:val="center"/>
              <w:rPr>
                <w:color w:val="C00000"/>
              </w:rPr>
            </w:pPr>
            <w:r>
              <w:rPr>
                <w:rFonts w:ascii="Arial Narrow" w:hAnsi="Arial Narrow" w:cstheme="majorHAnsi"/>
                <w:b w:val="1"/>
                <w:bCs w:val="1"/>
                <w:sz w:val="32"/>
                <w:szCs w:val="32"/>
              </w:rPr>
              <w:t>e</w:t>
            </w:r>
            <w:r>
              <w:rPr>
                <w:rFonts w:ascii="Arial Narrow" w:hAnsi="Arial Narrow" w:cstheme="majorHAnsi"/>
                <w:b w:val="1"/>
                <w:bCs w:val="1"/>
                <w:sz w:val="32"/>
                <w:szCs w:val="32"/>
                <w:vertAlign w:val="subscript"/>
              </w:rPr>
              <w:t>1</w:t>
            </w:r>
          </w:p>
        </w:tc>
        <w:tc>
          <w:tcPr>
            <w:tcW w:w="5099" w:type="dxa"/>
          </w:tcPr>
          <w:p>
            <w:pPr>
              <w:rPr>
                <w:rFonts w:asciiTheme="majorHAnsi" w:hAnsiTheme="majorHAnsi" w:cstheme="majorHAnsi"/>
              </w:rPr>
            </w:pPr>
            <w:r>
              <w:rPr>
                <w:rFonts w:asciiTheme="majorHAnsi" w:hAnsiTheme="majorHAnsi" w:cstheme="majorHAnsi"/>
              </w:rPr>
              <w:t>Största total byggnadsarea är 2 700 m². Största byggnadsarea är 150 m² per sammanbyggt småhus, 200 m² per fristående småhus och 500 m² per flerbostadshus</w:t>
            </w:r>
          </w:p>
          <w:p>
            <w:bookmarkStart w:id="45" w:name="mo_motivtillreglering16" w:colFirst="1" w:colLast="1"/>
            <w:r>
              <w:t xml:space="preserve">Ny bostadsbebyggelse regleras genom bestämmelser ovan för att säkerställa att nya fastigheter får liknande exploateringsmöjligheter. </w:t>
            </w:r>
          </w:p>
        </w:tc>
      </w:tr>
      <w:tr>
        <w:tc>
          <w:tcPr>
            <w:tcW w:w="3114" w:type="dxa"/>
          </w:tcPr>
          <w:p>
            <w:pPr>
              <w:jc w:val="center"/>
              <w:rPr>
                <w:rFonts w:ascii="Arial Narrow" w:hAnsi="Arial Narrow" w:cstheme="majorHAnsi"/>
                <w:b w:val="1"/>
                <w:bCs w:val="1"/>
                <w:sz w:val="32"/>
                <w:szCs w:val="32"/>
              </w:rPr>
            </w:pPr>
            <w:bookmarkEnd w:id="45"/>
            <w:r>
              <w:rPr>
                <w:rFonts w:ascii="Arial Narrow" w:hAnsi="Arial Narrow" w:cstheme="majorHAnsi"/>
                <w:b w:val="1"/>
                <w:bCs w:val="1"/>
                <w:sz w:val="32"/>
                <w:szCs w:val="32"/>
              </w:rPr>
              <w:t>e</w:t>
            </w:r>
            <w:r>
              <w:rPr>
                <w:rFonts w:ascii="Arial Narrow" w:hAnsi="Arial Narrow" w:cstheme="majorHAnsi"/>
                <w:b w:val="1"/>
                <w:bCs w:val="1"/>
                <w:sz w:val="32"/>
                <w:szCs w:val="32"/>
                <w:vertAlign w:val="subscript"/>
              </w:rPr>
              <w:t>2</w:t>
            </w:r>
          </w:p>
        </w:tc>
        <w:tc>
          <w:tcPr>
            <w:tcW w:w="5099" w:type="dxa"/>
          </w:tcPr>
          <w:p>
            <w:pPr>
              <w:rPr>
                <w:rFonts w:asciiTheme="majorHAnsi" w:hAnsiTheme="majorHAnsi" w:cstheme="majorHAnsi"/>
              </w:rPr>
            </w:pPr>
            <w:r>
              <w:rPr>
                <w:rFonts w:asciiTheme="majorHAnsi" w:hAnsiTheme="majorHAnsi" w:cstheme="majorHAnsi"/>
              </w:rPr>
              <w:t>Största total byggnadsarea är 500 m². Största byggnadsarea är 150 m² per sammanbyggt småhus, 200 m² per fristående småhus och 500 m² per flerbostadshus</w:t>
            </w:r>
          </w:p>
          <w:p>
            <w:pPr>
              <w:rPr>
                <w:rFonts w:asciiTheme="majorHAnsi" w:hAnsiTheme="majorHAnsi" w:cstheme="majorHAnsi"/>
              </w:rPr>
            </w:pPr>
            <w:bookmarkStart w:id="46" w:name="mo_motivtillreglering11" w:colFirst="1" w:colLast="1"/>
            <w:r>
              <w:t>Ny bostadsbebyggelse regleras genom bestämmelser ovan för att säkerställa att nya fastigheter får liknande exploateringsmöjligheter.</w:t>
            </w:r>
          </w:p>
        </w:tc>
      </w:tr>
      <w:tr>
        <w:tc>
          <w:tcPr>
            <w:tcW w:w="3114" w:type="dxa"/>
          </w:tcPr>
          <w:p>
            <w:pPr>
              <w:jc w:val="center"/>
              <w:rPr>
                <w:rFonts w:ascii="Arial Narrow" w:hAnsi="Arial Narrow" w:cstheme="majorHAnsi"/>
                <w:b w:val="1"/>
                <w:bCs w:val="1"/>
                <w:sz w:val="32"/>
                <w:szCs w:val="32"/>
                <w:vertAlign w:val="subscript"/>
              </w:rPr>
            </w:pPr>
            <w:bookmarkEnd w:id="46"/>
            <w:r>
              <w:rPr>
                <w:rFonts w:ascii="Arial Narrow" w:hAnsi="Arial Narrow" w:cstheme="majorHAnsi"/>
                <w:b w:val="1"/>
                <w:bCs w:val="1"/>
                <w:sz w:val="32"/>
                <w:szCs w:val="32"/>
              </w:rPr>
              <w:t>f</w:t>
            </w:r>
            <w:r>
              <w:rPr>
                <w:rFonts w:ascii="Arial Narrow" w:hAnsi="Arial Narrow" w:cstheme="majorHAnsi"/>
                <w:b w:val="1"/>
                <w:bCs w:val="1"/>
                <w:sz w:val="32"/>
                <w:szCs w:val="32"/>
                <w:vertAlign w:val="subscript"/>
              </w:rPr>
              <w:t>1</w:t>
            </w:r>
          </w:p>
          <w:p>
            <w:pPr>
              <w:rPr>
                <w:color w:val="C00000"/>
              </w:rPr>
            </w:pPr>
          </w:p>
        </w:tc>
        <w:tc>
          <w:tcPr>
            <w:tcW w:w="5099" w:type="dxa"/>
          </w:tcPr>
          <w:p>
            <w:pPr>
              <w:rPr>
                <w:rFonts w:asciiTheme="majorHAnsi" w:hAnsiTheme="majorHAnsi" w:cstheme="majorHAnsi"/>
              </w:rPr>
            </w:pPr>
            <w:r>
              <w:rPr>
                <w:rFonts w:asciiTheme="majorHAnsi" w:hAnsiTheme="majorHAnsi" w:cstheme="majorHAnsi"/>
              </w:rPr>
              <w:t>Bostadsbebyggelse får inte uppföras med mansardtak eller putsade gula fasader</w:t>
            </w:r>
          </w:p>
          <w:p>
            <w:bookmarkStart w:id="47" w:name="mo_motivtillreglering13"/>
            <w:r>
              <w:t>Ny bostadsbebyggelse ska inte på något vis likna fd kanslibyggnad i takform, färg eller material på fasader.</w:t>
            </w:r>
          </w:p>
          <w:p>
            <w:pPr>
              <w:rPr>
                <w:rFonts w:asciiTheme="majorHAnsi" w:hAnsiTheme="majorHAnsi" w:cstheme="majorHAnsi"/>
              </w:rPr>
            </w:pPr>
            <w:bookmarkEnd w:id="47"/>
          </w:p>
        </w:tc>
      </w:tr>
      <w:tr>
        <w:tc>
          <w:tcPr>
            <w:tcW w:w="3114" w:type="dxa"/>
          </w:tcPr>
          <w:p>
            <w:pPr>
              <w:jc w:val="center"/>
              <w:rPr>
                <w:rFonts w:ascii="Arial Narrow" w:hAnsi="Arial Narrow" w:cstheme="majorHAnsi"/>
                <w:b w:val="1"/>
                <w:bCs w:val="1"/>
                <w:sz w:val="32"/>
                <w:szCs w:val="32"/>
                <w:vertAlign w:val="subscript"/>
              </w:rPr>
            </w:pPr>
            <w:r>
              <w:rPr>
                <w:rFonts w:ascii="Arial Narrow" w:hAnsi="Arial Narrow" w:cstheme="majorHAnsi"/>
                <w:b w:val="1"/>
                <w:bCs w:val="1"/>
                <w:sz w:val="32"/>
                <w:szCs w:val="32"/>
              </w:rPr>
              <w:t>r</w:t>
            </w:r>
            <w:r>
              <w:rPr>
                <w:rFonts w:ascii="Arial Narrow" w:hAnsi="Arial Narrow" w:cstheme="majorHAnsi"/>
                <w:b w:val="1"/>
                <w:bCs w:val="1"/>
                <w:sz w:val="32"/>
                <w:szCs w:val="32"/>
                <w:vertAlign w:val="subscript"/>
              </w:rPr>
              <w:t>1</w:t>
            </w:r>
          </w:p>
          <w:p>
            <w:pPr>
              <w:jc w:val="center"/>
              <w:rPr>
                <w:rFonts w:ascii="Arial Narrow" w:hAnsi="Arial Narrow" w:cstheme="majorHAnsi"/>
                <w:b w:val="1"/>
                <w:bCs w:val="1"/>
                <w:sz w:val="32"/>
                <w:szCs w:val="32"/>
              </w:rPr>
            </w:pPr>
          </w:p>
        </w:tc>
        <w:tc>
          <w:tcPr>
            <w:tcW w:w="5099" w:type="dxa"/>
          </w:tcPr>
          <w:p>
            <w:pPr>
              <w:rPr>
                <w:rFonts w:asciiTheme="majorHAnsi" w:hAnsiTheme="majorHAnsi" w:cstheme="majorHAnsi"/>
              </w:rPr>
            </w:pPr>
            <w:r>
              <w:rPr>
                <w:rFonts w:asciiTheme="majorHAnsi" w:hAnsiTheme="majorHAnsi" w:cstheme="majorHAnsi"/>
              </w:rPr>
              <w:t>Byggnad får inte rivas</w:t>
            </w:r>
          </w:p>
          <w:p>
            <w:bookmarkStart w:id="48" w:name="mo_motivtillreglering14"/>
            <w:r>
              <w:t>Fd kanslibyggnad har starka kulturhistoriska värden. Därför får den inte rivas.</w:t>
            </w:r>
          </w:p>
          <w:p>
            <w:pPr>
              <w:rPr>
                <w:rFonts w:asciiTheme="majorHAnsi" w:hAnsiTheme="majorHAnsi" w:cstheme="majorHAnsi"/>
              </w:rPr>
            </w:pPr>
            <w:bookmarkEnd w:id="48"/>
          </w:p>
        </w:tc>
      </w:tr>
      <w:tr>
        <w:tc>
          <w:tcPr>
            <w:tcW w:w="3114" w:type="dxa"/>
          </w:tcPr>
          <w:p>
            <w:pPr>
              <w:jc w:val="center"/>
              <w:rPr>
                <w:rFonts w:ascii="Arial Narrow" w:hAnsi="Arial Narrow" w:cstheme="majorHAnsi"/>
                <w:b w:val="1"/>
                <w:bCs w:val="1"/>
                <w:sz w:val="32"/>
                <w:szCs w:val="32"/>
                <w:vertAlign w:val="subscript"/>
              </w:rPr>
            </w:pPr>
            <w:r>
              <w:rPr>
                <w:rFonts w:ascii="Arial Narrow" w:hAnsi="Arial Narrow" w:cstheme="majorHAnsi"/>
                <w:b w:val="1"/>
                <w:bCs w:val="1"/>
                <w:sz w:val="32"/>
                <w:szCs w:val="32"/>
              </w:rPr>
              <w:t>k</w:t>
            </w:r>
            <w:r>
              <w:rPr>
                <w:rFonts w:ascii="Arial Narrow" w:hAnsi="Arial Narrow" w:cstheme="majorHAnsi"/>
                <w:b w:val="1"/>
                <w:bCs w:val="1"/>
                <w:sz w:val="32"/>
                <w:szCs w:val="32"/>
                <w:vertAlign w:val="subscript"/>
              </w:rPr>
              <w:t>1</w:t>
            </w:r>
          </w:p>
          <w:p>
            <w:pPr>
              <w:jc w:val="center"/>
              <w:rPr>
                <w:rFonts w:ascii="Arial Narrow" w:hAnsi="Arial Narrow" w:cstheme="majorHAnsi"/>
                <w:b w:val="1"/>
                <w:bCs w:val="1"/>
                <w:sz w:val="32"/>
                <w:szCs w:val="32"/>
              </w:rPr>
            </w:pPr>
          </w:p>
        </w:tc>
        <w:tc>
          <w:tcPr>
            <w:tcW w:w="5099" w:type="dxa"/>
          </w:tcPr>
          <w:p>
            <w:pPr>
              <w:rPr>
                <w:rFonts w:asciiTheme="majorHAnsi" w:hAnsiTheme="majorHAnsi" w:cstheme="majorHAnsi"/>
              </w:rPr>
            </w:pPr>
            <w:r>
              <w:rPr>
                <w:rFonts w:asciiTheme="majorHAnsi" w:hAnsiTheme="majorHAnsi" w:cstheme="majorHAnsi"/>
              </w:rPr>
              <w:t>Fasadmaterial, fasadens gula färgsättning, byggnadens nockhöjd och takform, taktäckning och fönstersättning ska bevaras</w:t>
            </w:r>
          </w:p>
          <w:p>
            <w:bookmarkStart w:id="49" w:name="mo_motivtillreglering15"/>
            <w:r>
              <w:t>Det finns starka kulturhistoriska värden i material, färg, form och fönstersättning hos den fd kanslibyggnad. Dessa ska bevaras.</w:t>
            </w:r>
          </w:p>
          <w:p>
            <w:pPr>
              <w:rPr>
                <w:rFonts w:asciiTheme="majorHAnsi" w:hAnsiTheme="majorHAnsi" w:cstheme="majorHAnsi"/>
              </w:rPr>
            </w:pPr>
            <w:bookmarkEnd w:id="49"/>
          </w:p>
        </w:tc>
      </w:tr>
      <w:tr>
        <w:tc>
          <w:tcPr>
            <w:tcW w:w="3114" w:type="dxa"/>
          </w:tcPr>
          <w:p>
            <w:pPr>
              <w:jc w:val="center"/>
              <w:rPr>
                <w:rFonts w:ascii="Arial Narrow" w:hAnsi="Arial Narrow" w:cstheme="majorHAnsi"/>
                <w:b w:val="1"/>
                <w:bCs w:val="1"/>
                <w:sz w:val="32"/>
                <w:szCs w:val="32"/>
                <w:vertAlign w:val="subscript"/>
              </w:rPr>
            </w:pPr>
            <w:r>
              <w:rPr>
                <w:rFonts w:ascii="Arial Narrow" w:hAnsi="Arial Narrow" w:cstheme="majorHAnsi"/>
                <w:b w:val="1"/>
                <w:bCs w:val="1"/>
                <w:sz w:val="32"/>
                <w:szCs w:val="32"/>
              </w:rPr>
              <w:t>a</w:t>
            </w:r>
            <w:r>
              <w:rPr>
                <w:rFonts w:ascii="Arial Narrow" w:hAnsi="Arial Narrow" w:cstheme="majorHAnsi"/>
                <w:b w:val="1"/>
                <w:bCs w:val="1"/>
                <w:sz w:val="32"/>
                <w:szCs w:val="32"/>
                <w:vertAlign w:val="subscript"/>
              </w:rPr>
              <w:t>1</w:t>
            </w:r>
          </w:p>
          <w:p>
            <w:pPr>
              <w:jc w:val="center"/>
              <w:rPr>
                <w:rFonts w:ascii="Arial Narrow" w:hAnsi="Arial Narrow" w:cstheme="majorHAnsi"/>
                <w:b w:val="1"/>
                <w:bCs w:val="1"/>
                <w:sz w:val="32"/>
                <w:szCs w:val="32"/>
              </w:rPr>
            </w:pPr>
          </w:p>
        </w:tc>
        <w:tc>
          <w:tcPr>
            <w:tcW w:w="5099" w:type="dxa"/>
          </w:tcPr>
          <w:p>
            <w:pPr>
              <w:rPr>
                <w:rFonts w:asciiTheme="majorHAnsi" w:hAnsiTheme="majorHAnsi" w:cstheme="majorHAnsi"/>
              </w:rPr>
            </w:pPr>
            <w:r>
              <w:rPr>
                <w:rFonts w:asciiTheme="majorHAnsi" w:hAnsiTheme="majorHAnsi" w:cstheme="majorHAnsi"/>
              </w:rPr>
              <w:t>Strandskyddet är upphävt, avgränsas av sekundär egenskapsgräns</w:t>
            </w:r>
          </w:p>
          <w:p>
            <w:pPr>
              <w:rPr>
                <w:rFonts w:asciiTheme="majorHAnsi" w:hAnsiTheme="majorHAnsi" w:cstheme="majorHAnsi"/>
              </w:rPr>
            </w:pPr>
            <w:bookmarkStart w:id="50" w:name="mo_motivtillreglering12" w:colFirst="1" w:colLast="1"/>
            <w:r>
              <w:t>Det allmänna strandskyddet upphävs inom område för bostadsbebyggelse.</w:t>
            </w:r>
          </w:p>
        </w:tc>
      </w:tr>
    </w:tbl>
    <w:p>
      <w:pPr>
        <w:pStyle w:val="P1"/>
      </w:pPr>
      <w:bookmarkEnd w:id="50"/>
      <w:bookmarkStart w:id="51" w:name="_Toc178064915"/>
      <w:r>
        <w:t>Planeringsförutsättningar</w:t>
      </w:r>
      <w:bookmarkEnd w:id="51"/>
    </w:p>
    <w:p>
      <w:pPr>
        <w:pStyle w:val="P2"/>
      </w:pPr>
      <w:r>
        <w:t>Kommunala</w:t>
      </w:r>
    </w:p>
    <w:p>
      <w:pPr>
        <w:pStyle w:val="P3"/>
      </w:pPr>
      <w:bookmarkStart w:id="52" w:name="_Toc163738136"/>
      <w:bookmarkStart w:id="53" w:name="pf_översiktsplan01"/>
      <w:r>
        <w:t>Översiktsplan</w:t>
      </w:r>
      <w:bookmarkEnd w:id="52"/>
    </w:p>
    <w:p>
      <w:r>
        <w:t xml:space="preserve">Planområdet omfattas av det område som i Boden Översiktsplan 2025 definieras som BFK3. BFK står för förtätning- och kompletteringsområde. Rekommendationerna för BFK3 är: </w:t>
      </w:r>
    </w:p>
    <w:p>
      <w:pPr>
        <w:rPr>
          <w:i w:val="1"/>
          <w:iCs w:val="1"/>
        </w:rPr>
      </w:pPr>
      <w:r>
        <w:rPr>
          <w:i w:val="1"/>
          <w:iCs w:val="1"/>
        </w:rPr>
        <w:t>På några håll behöver gällande stads- och detaljplaner ses över och ersättas med nya, mer ändamålsenliga detaljplaner. Planering och byggande ska anpassas till de olika stadsdelarnas karaktärsdrag, förutsättningar och behov. Generellt gäller att skapa förutsättningar för ett effektivt markutnyttjande samt möjligheten att nyttja goda kollektivtrafiklägen. Lämplig lokalisering av bostäder ska beakta och ta hänsyn till rekreationsmöjligheter.</w:t>
      </w:r>
    </w:p>
    <w:p>
      <w:r>
        <w:t xml:space="preserve">Kommunen gör bedömning att föreliggande plan överensstämmer med översiktsplanens beskrivning. </w:t>
      </w:r>
    </w:p>
    <w:p>
      <w:pPr>
        <w:rPr>
          <w:rFonts w:ascii="Times New Roman" w:hAnsi="Times New Roman"/>
          <w:szCs w:val="24"/>
        </w:rPr>
      </w:pPr>
      <w:r>
        <w:rPr>
          <w:noProof w:val="1"/>
        </w:rPr>
        <w:drawing>
          <wp:inline xmlns:wp="http://schemas.openxmlformats.org/drawingml/2006/wordprocessingDrawing" distT="0" distB="0" distL="0" distR="0">
            <wp:extent cx="4721860" cy="6677025"/>
            <wp:effectExtent l="0" t="0" r="254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1"/>
                    <pic:cNvPicPr/>
                  </pic:nvPicPr>
                  <pic:blipFill dpi="0">
                    <a:blip xmlns:r="http://schemas.openxmlformats.org/officeDocument/2006/relationships" r:embed="Relimage10"/>
                    <a:srcRect/>
                    <a:stretch>
                      <a:fillRect/>
                    </a:stretch>
                  </pic:blipFill>
                  <pic:spPr>
                    <a:xfrm>
                      <a:off x="0" y="0"/>
                      <a:ext cx="4726683" cy="6683214"/>
                    </a:xfrm>
                    <a:prstGeom prst="rect"/>
                  </pic:spPr>
                </pic:pic>
              </a:graphicData>
            </a:graphic>
          </wp:inline>
        </w:drawing>
      </w:r>
    </w:p>
    <w:p>
      <w:pPr>
        <w:rPr>
          <w:i w:val="1"/>
          <w:iCs w:val="1"/>
        </w:rPr>
      </w:pPr>
      <w:r>
        <w:rPr>
          <w:i w:val="1"/>
          <w:iCs w:val="1"/>
        </w:rPr>
        <w:t>Bild från ÖP. Föreliggande planområde markerat i rött.</w:t>
      </w:r>
    </w:p>
    <w:p>
      <w:pPr>
        <w:pStyle w:val="P3"/>
      </w:pPr>
      <w:bookmarkEnd w:id="53"/>
      <w:bookmarkStart w:id="54" w:name="pf_fördjupadöversiktsplan01"/>
      <w:r>
        <w:t>Fördjupad översiktsplan Boden Sävast</w:t>
      </w:r>
    </w:p>
    <w:p>
      <w:r>
        <w:t>I den fördjupade översiktsplanen för Boden Sävast pekas föreliggande planområdet ut som förtätningszon 3. Militärbebyggelse. Rekommendationer för detta område sammanfattas i punktlista enligt nedan:</w:t>
      </w:r>
    </w:p>
    <w:p>
      <w:pPr>
        <w:pStyle w:val="P16"/>
        <w:numPr>
          <w:ilvl w:val="0"/>
          <w:numId w:val="28"/>
        </w:numPr>
      </w:pPr>
      <w:r>
        <w:t>Kaserner och kansli ska vara de dominerande byggnaderna med bibehållande av symmetrisk struktur och arkitektoniskt uttryck.</w:t>
      </w:r>
    </w:p>
    <w:p>
      <w:pPr>
        <w:pStyle w:val="P16"/>
        <w:numPr>
          <w:ilvl w:val="0"/>
          <w:numId w:val="28"/>
        </w:numPr>
      </w:pPr>
      <w:r>
        <w:t>Exercisplatser ska hållas öppna, utan att marken hårdgörs, och siktlinjer bibehålls.</w:t>
      </w:r>
    </w:p>
    <w:p>
      <w:pPr>
        <w:pStyle w:val="P16"/>
        <w:numPr>
          <w:ilvl w:val="0"/>
          <w:numId w:val="28"/>
        </w:numPr>
      </w:pPr>
      <w:r>
        <w:t>Befintliga byggnader – tillkomna under 1900-talet för Försvarsmaktens behov – ska bevaras och underhållas så att det kulturhistoriska värdet inte minskar.</w:t>
      </w:r>
    </w:p>
    <w:p>
      <w:pPr>
        <w:pStyle w:val="P16"/>
        <w:numPr>
          <w:ilvl w:val="0"/>
          <w:numId w:val="28"/>
        </w:numPr>
      </w:pPr>
      <w:r>
        <w:t>Nya tillägg i form av mindre byggnader/magasin bör anpassas till omgivning i skala, takform, byggnadsmaterial och kulör. De bör inpassas i miljön med bibehållande av siktlinjer och hierarkisk struktur.</w:t>
      </w:r>
    </w:p>
    <w:p>
      <w:pPr>
        <w:pStyle w:val="P16"/>
        <w:numPr>
          <w:ilvl w:val="0"/>
          <w:numId w:val="28"/>
        </w:numPr>
      </w:pPr>
      <w:r>
        <w:t>Trädgårdar, planteringar, staket, murar och vägar bevaras och vårdas så att deras betydelse i helhetsplaneringen kan utläsas.</w:t>
      </w:r>
    </w:p>
    <w:p>
      <w:pPr>
        <w:pStyle w:val="P16"/>
        <w:numPr>
          <w:ilvl w:val="0"/>
          <w:numId w:val="28"/>
        </w:numPr>
      </w:pPr>
      <w:r>
        <w:t>Militärarkitekturen med den slutna och till material, form och färg samordnade bebyggelsen ska även fortsättningsvis framträda som egenartad och skilja sig från vad som i övrigt byggts och byggs.</w:t>
      </w:r>
    </w:p>
    <w:p>
      <w:pPr>
        <w:pStyle w:val="P16"/>
        <w:numPr>
          <w:ilvl w:val="0"/>
          <w:numId w:val="28"/>
        </w:numPr>
      </w:pPr>
      <w:r>
        <w:t>Kasernområdena med de äldsta militära anläggningarna ska hållas separerad från annan bebyggelse så att de tydligt upplevs som egna miljöer.</w:t>
      </w:r>
    </w:p>
    <w:p>
      <w:pPr>
        <w:pStyle w:val="P16"/>
        <w:numPr>
          <w:ilvl w:val="0"/>
          <w:numId w:val="28"/>
        </w:numPr>
      </w:pPr>
      <w:r>
        <w:t>Sveavägen, utformad som en esplanad, med dubbla rader av björkar på ömse sidor, ska bevaras.</w:t>
      </w:r>
    </w:p>
    <w:p>
      <w:pPr>
        <w:pStyle w:val="P16"/>
        <w:numPr>
          <w:ilvl w:val="0"/>
          <w:numId w:val="28"/>
        </w:numPr>
      </w:pPr>
      <w:r>
        <w:t>Områdets närhet till vattnet är en stor tillgång som bör lyftas fram och vidareutvecklas.</w:t>
      </w:r>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4106" w:type="dxa"/>
          </w:tcPr>
          <w:p>
            <w:r>
              <w:rPr>
                <w:noProof w:val="1"/>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column">
                        <wp:posOffset>1784985</wp:posOffset>
                      </wp:positionH>
                      <wp:positionV relativeFrom="paragraph">
                        <wp:posOffset>1565275</wp:posOffset>
                      </wp:positionV>
                      <wp:extent cx="230505" cy="309880"/>
                      <wp:effectExtent l="0" t="0" r="17145" b="13970"/>
                      <wp:wrapNone/>
                      <wp:docPr id="9" name="Ellips 9"/>
                      <wp:cNvGraphicFramePr/>
                      <a:graphic xmlns:a="http://schemas.openxmlformats.org/drawingml/2006/main">
                        <a:graphicData uri="http://schemas.microsoft.com/office/word/2010/wordprocessingShape">
                          <wps:wsp>
                            <wps:cNvSpPr/>
                            <wps:spPr>
                              <a:xfrm>
                                <a:off x="0" y="0"/>
                                <a:ext cx="230588" cy="310101"/>
                              </a:xfrm>
                              <a:prstGeom prst="ellipse"/>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9" o:spid="_x0000_s1027" style="position:absolute;width:18.15pt;height:24.4pt;z-index:6;mso-wrap-distance-left:9pt;mso-wrap-distance-top:0pt;mso-wrap-distance-right:9pt;mso-wrap-distance-bottom:0pt;margin-left:140.55pt;margin-top:123.25pt;mso-position-horizontal:absolute;mso-position-horizontal-relative:text;mso-position-vertical:absolute;mso-position-vertical-relative:text;v-text-anchor:middle" o:allowincell="t" filled="f" strokecolor="#000000" strokeweight="2pt" stroked="t">
                      <v:textbox inset="3mm,1mm,3mm,1mm">
                        <w:txbxContent>
                          <w:p/>
                        </w:txbxContent>
                      </v:textbox>
                    </v:oval>
                  </w:pict>
                </mc:Fallback>
              </mc:AlternateContent>
            </w:r>
            <w:r>
              <w:rPr>
                <w:noProof w:val="1"/>
              </w:rPr>
              <w:drawing>
                <wp:inline xmlns:wp="http://schemas.openxmlformats.org/drawingml/2006/wordprocessingDrawing" distT="0" distB="0" distL="0" distR="0">
                  <wp:extent cx="3536950" cy="2098675"/>
                  <wp:effectExtent l="0" t="0" r="6350" b="0"/>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3"/>
                          <pic:cNvPicPr/>
                        </pic:nvPicPr>
                        <pic:blipFill dpi="0">
                          <a:blip xmlns:r="http://schemas.openxmlformats.org/officeDocument/2006/relationships" r:embed="Relimage11"/>
                          <a:srcRect/>
                          <a:stretch>
                            <a:fillRect/>
                          </a:stretch>
                        </pic:blipFill>
                        <pic:spPr>
                          <a:xfrm>
                            <a:off x="0" y="0"/>
                            <a:ext cx="3549127" cy="2106256"/>
                          </a:xfrm>
                          <a:prstGeom prst="rect"/>
                        </pic:spPr>
                      </pic:pic>
                    </a:graphicData>
                  </a:graphic>
                </wp:inline>
              </w:drawing>
            </w:r>
          </w:p>
        </w:tc>
        <w:tc>
          <w:tcPr>
            <w:tcW w:w="4107" w:type="dxa"/>
          </w:tcPr>
          <w:p>
            <w:pPr>
              <w:rPr>
                <w:i w:val="1"/>
                <w:iCs w:val="1"/>
              </w:rPr>
            </w:pPr>
            <w:r>
              <w:rPr>
                <w:i w:val="1"/>
                <w:iCs w:val="1"/>
              </w:rPr>
              <w:t>Utklipp från FÖR Boden Sävast. Planområdet ligger inringat i svart inom förtätningszon 3.</w:t>
            </w:r>
          </w:p>
        </w:tc>
      </w:tr>
    </w:tbl>
    <w:p>
      <w:pPr>
        <w:pStyle w:val="P3"/>
      </w:pPr>
      <w:bookmarkEnd w:id="54"/>
      <w:bookmarkStart w:id="55" w:name="_Toc163738137"/>
      <w:bookmarkStart w:id="56" w:name="pf_detaljplan01"/>
      <w:r>
        <w:t>Detaljplan</w:t>
      </w:r>
      <w:bookmarkEnd w:id="55"/>
    </w:p>
    <w:p>
      <w:pPr>
        <w:rPr>
          <w:b w:val="1"/>
          <w:i w:val="1"/>
          <w:bCs w:val="1"/>
          <w:iCs w:val="1"/>
        </w:rPr>
      </w:pPr>
      <w:r>
        <w:t xml:space="preserve">Planområdet omfattas av stadsplan Bodens stad Förslag till ändring av stadsplanen för den västra stadsdelen, upprättad 1960. Planområdet omfattas här av </w:t>
      </w:r>
      <w:r>
        <w:rPr>
          <w:b w:val="1"/>
          <w:i w:val="1"/>
          <w:bCs w:val="1"/>
          <w:iCs w:val="1"/>
        </w:rPr>
        <w:t>M - Område för militärt ändamål.</w:t>
      </w:r>
    </w:p>
    <w:p>
      <w:r>
        <w:t>Området används idag inte för militärt ändamål varför en ny detaljplan måste upprättas.</w:t>
      </w:r>
    </w:p>
    <w:p>
      <w:r>
        <w:t>Föreliggande planförslag ersätter befintlig stadsplans bestämmelser.</w:t>
      </w:r>
    </w:p>
    <w:p>
      <w:r>
        <w:rPr>
          <w:noProof w:val="1"/>
        </w:rPr>
        <w:drawing>
          <wp:inline xmlns:wp="http://schemas.openxmlformats.org/drawingml/2006/wordprocessingDrawing" distT="0" distB="0" distL="0" distR="0">
            <wp:extent cx="2381250" cy="5001260"/>
            <wp:effectExtent l="0" t="0" r="0" b="889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4"/>
                    <pic:cNvPicPr/>
                  </pic:nvPicPr>
                  <pic:blipFill dpi="0">
                    <a:blip xmlns:r="http://schemas.openxmlformats.org/officeDocument/2006/relationships" r:embed="Relimage12"/>
                    <a:srcRect/>
                    <a:stretch>
                      <a:fillRect/>
                    </a:stretch>
                  </pic:blipFill>
                  <pic:spPr>
                    <a:xfrm>
                      <a:off x="0" y="0"/>
                      <a:ext cx="2393400" cy="5026891"/>
                    </a:xfrm>
                    <a:prstGeom prst="rect"/>
                  </pic:spPr>
                </pic:pic>
              </a:graphicData>
            </a:graphic>
          </wp:inline>
        </w:drawing>
      </w:r>
    </w:p>
    <w:p>
      <w:pPr>
        <w:rPr>
          <w:i w:val="1"/>
          <w:iCs w:val="1"/>
        </w:rPr>
      </w:pPr>
      <w:r>
        <w:rPr>
          <w:i w:val="1"/>
          <w:iCs w:val="1"/>
        </w:rPr>
        <w:t>Bild gällande DP. Bilden är beskuren då planområdet delas av två sidor i befintlig plankarta. Föreliggande planområde markerat i rött.</w:t>
      </w:r>
    </w:p>
    <w:p>
      <w:pPr>
        <w:pStyle w:val="P3"/>
      </w:pPr>
      <w:bookmarkEnd w:id="56"/>
      <w:bookmarkStart w:id="57" w:name="pu_undersökningenl6kap6_mb01"/>
      <w:r>
        <w:t>Undersökning av betydande miljöpåverkan</w:t>
      </w:r>
    </w:p>
    <w:p>
      <w:r>
        <w:t xml:space="preserve">I enlighet med bestämmelserna i plan- och bygglagen, miljöbalken och förordningen om miljökonsekvensbeskrivningar ska planer och program som kan antas leda till en betydande miljöpåverkan miljöbedömas. För detaljplaner ska behovet av en miljöbedömning utredas i det enskilda fallet. </w:t>
      </w:r>
    </w:p>
    <w:p>
      <w:r>
        <w:t>Med utgångspunkt från miljöbedömningsförordningen (2017:966) gör kommunen den sammanvägda bedömningen att genomförande av den föreslagna detaljplanen inte riskerar att medföra betydande miljöpåverkan. Det innebär att fortsatt miljöbedömning inte anses nödvändig och en miljökonsekvensbeskrivning inte behöver upprättas.</w:t>
      </w:r>
    </w:p>
    <w:p>
      <w:r>
        <w:t xml:space="preserve">I särskilt samrådsyttrande gällande undersökning av betydande miljöpåverkan meddelande Länsstyrelsen 2024-06-05 att de delar kommunens bedömning om att en särskild miljökonsekvensbeskrivning (MKB) för detaljplanen inte behöver upprättas. </w:t>
      </w:r>
    </w:p>
    <w:p>
      <w:pPr>
        <w:pStyle w:val="P2"/>
      </w:pPr>
      <w:bookmarkEnd w:id="57"/>
      <w:bookmarkStart w:id="58" w:name="pf_allmännaochenskildaintressen01"/>
      <w:r>
        <w:t xml:space="preserve">Allmänna och enskilda intressen </w:t>
      </w:r>
    </w:p>
    <w:p>
      <w:r>
        <w:t xml:space="preserve">En ökad befolkning inom området stärker långsiktigt underlag för befintliga servicefunktioner samtidigt som förutsättningarna för utveckling av den kommersiella servicen ökar. En förtätning av Bodens centrala delar bidrar till goda möjligheter att skapa närhet och tillgänglighet till arbetsplatser, förskola, skola, vård, handel och annan service. Varsamhetsbestämmelser på fd kanslibyggnad bedöms säkra arkitektoniska värden och bevara känslan av historisk kontinuitet i bebyggelsen utan att påverka deras framtida användning till det sämre. Kommunen anser att aktuellt planområde och dess föreslagna exploatering har förutsättningarna för ändamålsmässig markanvändning enligt 2. kap 2§ plan- och bygglagen, PBL. </w:t>
      </w:r>
    </w:p>
    <w:p>
      <w:pPr>
        <w:pStyle w:val="P2"/>
      </w:pPr>
      <w:bookmarkEnd w:id="58"/>
      <w:bookmarkStart w:id="59" w:name="pf_landskapsbild01"/>
      <w:r>
        <w:t xml:space="preserve">Stadsbild </w:t>
      </w:r>
    </w:p>
    <w:p>
      <w:r>
        <w:t>Stadsbilden för planområdet domineras av den fd kanslibyggnaden och den park som ligger mellan byggnad och Sveavägen. På andra sidan Sveavägen ligger det bakom viss vegetation gamla baracker för militärt ändamål. På andra sidan Bodån ligger det gamla regementsområdet.</w:t>
      </w:r>
    </w:p>
    <w:p>
      <w:pPr>
        <w:pStyle w:val="P2"/>
      </w:pPr>
      <w:bookmarkEnd w:id="59"/>
      <w:r>
        <w:t xml:space="preserve">Förenlighet med 3, 4 och 5 kap. Miljöbalken </w:t>
      </w:r>
    </w:p>
    <w:p>
      <w:pPr>
        <w:pStyle w:val="P3"/>
        <w:numPr>
          <w:ilvl w:val="0"/>
          <w:numId w:val="0"/>
        </w:numPr>
        <w:ind w:hanging="720" w:left="720"/>
      </w:pPr>
      <w:bookmarkStart w:id="60" w:name="_Toc31357350"/>
      <w:bookmarkStart w:id="61" w:name="pf_riksintressen01"/>
      <w:r>
        <w:t xml:space="preserve">Riksintressen </w:t>
      </w:r>
    </w:p>
    <w:p>
      <w:pPr>
        <w:pStyle w:val="P3"/>
      </w:pPr>
      <w:bookmarkEnd w:id="60"/>
      <w:bookmarkStart w:id="62" w:name="pf_kulturmiljövård01"/>
      <w:bookmarkStart w:id="63" w:name="_Toc31144619"/>
      <w:bookmarkStart w:id="64" w:name="_Toc31357351"/>
      <w:r>
        <w:t>Riksintresse kulturmiljövård</w:t>
      </w:r>
    </w:p>
    <w:p>
      <w:pPr>
        <w:rPr>
          <w:rFonts w:ascii="Times New Roman" w:hAnsi="Times New Roman"/>
          <w:szCs w:val="24"/>
        </w:rPr>
      </w:pPr>
      <w:r>
        <w:rPr>
          <w:rFonts w:ascii="Times New Roman" w:hAnsi="Times New Roman"/>
          <w:szCs w:val="24"/>
        </w:rPr>
        <w:t xml:space="preserve">Planområdet ligger inom riksintresse för kulturmiljövården </w:t>
      </w:r>
      <w:r>
        <w:rPr>
          <w:rFonts w:ascii="Times New Roman" w:hAnsi="Times New Roman"/>
          <w:b w:val="1"/>
          <w:i w:val="1"/>
          <w:bCs w:val="1"/>
          <w:iCs w:val="1"/>
          <w:szCs w:val="24"/>
        </w:rPr>
        <w:t xml:space="preserve">Boden BD74 (K47a kasernområden) </w:t>
      </w:r>
      <w:r>
        <w:rPr>
          <w:rFonts w:ascii="Times New Roman" w:hAnsi="Times New Roman"/>
          <w:szCs w:val="24"/>
        </w:rPr>
        <w:t>och ingår i Norrbottens kulturmiljöprogram. I samband med framtagande av den fördjupade översiktsplanen för Boden och Sävast lämnade länsstyrelsen ett yttrande om att den skogsmarken som skiljer den södra delen av garnisonsområdet från den norra bör fredas från bebyggelse. ”Ingentingskogen” mellan före detta S3 och A8 bör utvecklas med stor försiktighet.</w:t>
      </w:r>
    </w:p>
    <w:p>
      <w:pPr>
        <w:rPr>
          <w:rFonts w:ascii="Times New Roman" w:hAnsi="Times New Roman"/>
          <w:szCs w:val="24"/>
        </w:rPr>
      </w:pPr>
      <w:r>
        <w:rPr>
          <w:rFonts w:ascii="Times New Roman" w:hAnsi="Times New Roman"/>
          <w:szCs w:val="24"/>
        </w:rPr>
        <w:t xml:space="preserve">För att säkerställa att dessa kulturmiljövärden bevaras tas en särskild kulturmiljöutredning fram i samband med planarbetet. Denna utredning kommer ge stöd till om skydds- och varsamhetsbestämmelser som behöver reglera utformning av såväl befintlig byggnad som kommande byggnader. </w:t>
      </w:r>
    </w:p>
    <w:p>
      <w:pPr>
        <w:pStyle w:val="P3"/>
      </w:pPr>
      <w:bookmarkEnd w:id="62"/>
      <w:r>
        <w:t>Riksintresse totalförsvaret</w:t>
      </w:r>
    </w:p>
    <w:p>
      <w:pPr>
        <w:rPr>
          <w:rFonts w:ascii="Times New Roman" w:hAnsi="Times New Roman"/>
          <w:szCs w:val="24"/>
        </w:rPr>
      </w:pPr>
      <w:bookmarkStart w:id="65" w:name="pf_totalförsvar01"/>
      <w:r>
        <w:rPr>
          <w:rFonts w:ascii="Times New Roman" w:hAnsi="Times New Roman"/>
          <w:szCs w:val="24"/>
        </w:rPr>
        <w:t>Planområdet ligger inom riksintresse för totalförsvarets delar; stoppområde för höga objekt, område med särskilt behov av hinderfrihet, MSA-ytan för Luleå flygplats och påverkansområde väderradar. Kommunen gör bedömningen att riksintressens syften avseende höga objekt, särskilt behov av hinderfrihet, MSA-yta för Luleå flygplats och påverkansområde för väderradar, inte riskerar att påverkas negativt av föreslagen exploatering.</w:t>
      </w:r>
    </w:p>
    <w:p>
      <w:pPr>
        <w:rPr>
          <w:rFonts w:ascii="Times New Roman" w:hAnsi="Times New Roman"/>
          <w:szCs w:val="24"/>
        </w:rPr>
      </w:pPr>
      <w:r>
        <w:rPr>
          <w:rFonts w:ascii="Times New Roman" w:hAnsi="Times New Roman"/>
          <w:szCs w:val="24"/>
        </w:rPr>
        <w:t>Planområdet tangerar också i väst riksintresse på land och påverkansområde för buller eller annan risk. Kommunen gör bedömningen att planen inte riskerar att påverka riksintresset.</w:t>
      </w:r>
    </w:p>
    <w:p>
      <w:pPr>
        <w:pStyle w:val="P3"/>
      </w:pPr>
      <w:bookmarkEnd w:id="61"/>
      <w:bookmarkEnd w:id="65"/>
      <w:bookmarkStart w:id="66" w:name="pf_områdenförgeologisklagringavkoldiox01"/>
      <w:r>
        <w:t>Kapitel 4, miljöbalken</w:t>
      </w:r>
      <w:bookmarkEnd w:id="63"/>
      <w:bookmarkEnd w:id="64"/>
    </w:p>
    <w:p>
      <w:r>
        <w:t>4 kap. miljöbalken innehåller särskilda bestämmelser för hushållning med mark och vatten för vissa områden. Kapitlet delas upp i områden som i sin helhet är av riksintresse, områden för geologisk lagring av koldioxid samt havsområden. Aktuell detaljplan omfattar inga av dessa områden.</w:t>
      </w:r>
    </w:p>
    <w:p>
      <w:pPr>
        <w:pStyle w:val="P3"/>
      </w:pPr>
      <w:bookmarkEnd w:id="66"/>
      <w:bookmarkStart w:id="67" w:name="_Toc31144620"/>
      <w:bookmarkStart w:id="68" w:name="_Toc31357352"/>
      <w:bookmarkStart w:id="69" w:name="ko_vatten01"/>
      <w:r>
        <w:t>Kapitel 5, miljöbalken</w:t>
      </w:r>
      <w:bookmarkEnd w:id="67"/>
      <w:bookmarkEnd w:id="68"/>
    </w:p>
    <w:p>
      <w:pPr>
        <w:pStyle w:val="P3"/>
        <w:numPr>
          <w:ilvl w:val="0"/>
          <w:numId w:val="0"/>
        </w:numPr>
        <w:ind w:firstLine="0" w:left="0"/>
      </w:pPr>
      <w:bookmarkStart w:id="70" w:name="_Toc31357353"/>
      <w:r>
        <w:t>Miljökvalitetsnormer</w:t>
      </w:r>
      <w:bookmarkEnd w:id="70"/>
    </w:p>
    <w:p>
      <w:r>
        <w:t xml:space="preserve">Miljökvalitetsnormer regleras i 5 kap. miljöbalken. Regeringen får för vissa områden eller för hela landet meddela föreskrifter om kvaliteten på mark, vatten, luft eller miljön i övrigt, om det behövs för att varaktigt skydda människors hälsa eller miljön eller för att avhjälpa skador på eller olägenheter för människors hälsa eller miljön (miljökvalitetsnormer). Myndigheter och kommuner ska ansvara för att miljökvalitetsnormer följs. </w:t>
      </w:r>
    </w:p>
    <w:p>
      <w:pPr>
        <w:pStyle w:val="P16"/>
        <w:numPr>
          <w:ilvl w:val="0"/>
          <w:numId w:val="16"/>
        </w:numPr>
      </w:pPr>
      <w:r>
        <w:t>Luft</w:t>
      </w:r>
    </w:p>
    <w:p>
      <w:pPr>
        <w:pStyle w:val="P16"/>
        <w:numPr>
          <w:ilvl w:val="0"/>
          <w:numId w:val="16"/>
        </w:numPr>
      </w:pPr>
      <w:r>
        <w:t>Vatten</w:t>
      </w:r>
    </w:p>
    <w:p>
      <w:pPr>
        <w:pStyle w:val="P16"/>
        <w:numPr>
          <w:ilvl w:val="0"/>
          <w:numId w:val="16"/>
        </w:numPr>
      </w:pPr>
      <w:r>
        <w:t>Buller</w:t>
      </w:r>
    </w:p>
    <w:p>
      <w:pPr>
        <w:pStyle w:val="P3"/>
        <w:numPr>
          <w:ilvl w:val="0"/>
          <w:numId w:val="0"/>
        </w:numPr>
        <w:ind w:firstLine="0" w:left="0"/>
        <w:rPr>
          <w:rFonts w:asciiTheme="minorHAnsi" w:hAnsiTheme="minorHAnsi" w:eastAsia="Times New Roman"/>
          <w:bCs w:val="0"/>
        </w:rPr>
      </w:pPr>
      <w:r>
        <w:rPr>
          <w:rFonts w:asciiTheme="minorHAnsi" w:hAnsiTheme="minorHAnsi" w:eastAsia="Times New Roman"/>
          <w:bCs w:val="0"/>
        </w:rPr>
        <w:t>För planen har en särskild dagvattenutredning som inkluderar miljökvalitetsnormer (Dagvattenutredning, Sweco, 2024-08-29) tagits fram. Denna dagvattenutredning grundar sig i kommunens dagvattenstrategi. I den sammanfattas information om miljökvalitetsnormer för vatten enligt nedan:</w:t>
      </w:r>
    </w:p>
    <w:p>
      <w:r>
        <w:t>Mottagande recipient för dagvatten från planområdet på Boden 57:67 är Bodån. Bodån är ett ca 2 km långt vattendrag som rinner genom centrala Boden för att sedan passerar öster om utredningsområdet innan den går via en kulvert till Luleälven (figur 9). Bodåns avrinningsområde är markanvändningen 86% bebyggelse (varav 17% industri), 11% skogsmark och 3% ängsmark.</w:t>
      </w:r>
    </w:p>
    <w:p>
      <w:r>
        <w:t>Enligt Vatteninformationsystem Sverige (VISS) klassificeras Bodån (WA21289972) som en ytvattenförekomst och omfattas därför av miljökvalitetsnormer. Eftersom mer än 10% av Bodåns avrinningsområde redan täcks av markklasserna ”tät infrastruktur” och/ eller ”handel, industri, och militära områden” så kan man anta att vattenförekomsten har en betydande påverkan från dagvatten.</w:t>
      </w:r>
    </w:p>
    <w:p>
      <w:r>
        <w:t>Recipienten har problem med överskridande totalfosfor och därmed problem med övergödning. Vattendraget har naturlig härkomst men är starkt påverkad av tidigare flottning och vandringshinder förekommer i vattensystemet både nedströms och uppströms. Detta leder till att vattendragets hydromorfologiska status är klassad som dålig.</w:t>
      </w:r>
    </w:p>
    <w:p>
      <w:r>
        <w:t>Bodån/Lillavan har måttlig ekologisk status (tabell 1) med avseende på fysikalisk-kemiska kvalitetsfaktorer då förhöjda halter näringsämnen lett till övergödning och syrefattiga förhållanden. Bodån/Lillavan uppnår ej heller god kemisk status då punktkällor uppströms i avrinningsområdet bidragit med förhöjda halter arsenik och PAH i vattendraget. Det finns även kända områden med PFOS i avrinningsområdet som belastar vattendraget och provtagning 2019 påvisade förhöjda halter. Vidare anser VISS att Bodån har en betydande påverkan av dagvatten och det är främst förhöjda halter PAH:er och metaller som koppar, zink, bly och kadmium i dagvatten som kan riskera att miljökvalitetsnormerna i Bodån inte följs.</w:t>
      </w:r>
    </w:p>
    <w:p>
      <w:r>
        <w:t>Gällande miljökvalitetsnorm anger att kvalitetskravet är att Bodån ska ha god ekologisk status år 2033 samt ha god kemisk ytvattenstatus.</w:t>
      </w:r>
    </w:p>
    <w:p>
      <w:r>
        <w:t>Enligt tidigare provtagningar riskerar Bodån att inte klara miljökvalitetsnormerna för god status avseende näringsämnen, metaller och PAH:er (VISS 2024) och åtgärder måste vidtas för att inte nytt tillskott av dagvatten till Bodån från avrinningsområdet försämrar Bodåns status. Med föreslagna åtgärder blir utsläppen av näringsämnen från fastigheten Boden 57:67 likvärdiga med de före exploatering och utsläpp av metaller och PAH:er blir likvärdiga med dagsläget eller lägre. Om föreslagna åtgärder vidtas så är risken låg att Bodåns kemisk-fysikaliska status ytterligare försämras till följd av exploateringen, även sammantaget med ackumulerande effekter i avrinningsområdet.</w:t>
      </w:r>
    </w:p>
    <w:p>
      <w:pPr>
        <w:pStyle w:val="P2"/>
      </w:pPr>
      <w:bookmarkEnd w:id="69"/>
      <w:r>
        <w:t>Hälsa och säkerhet</w:t>
      </w:r>
    </w:p>
    <w:p>
      <w:pPr>
        <w:pStyle w:val="P3"/>
      </w:pPr>
      <w:bookmarkStart w:id="71" w:name="pf_omgivningsbuller01"/>
      <w:bookmarkStart w:id="72" w:name="pf_hälsaochsäkerhet01"/>
      <w:r>
        <w:t>Omgivningsbuller</w:t>
      </w:r>
    </w:p>
    <w:p>
      <w:r>
        <w:t xml:space="preserve">I 4 kap. 33 a §, PBL regleras att en detaljplan som avser bostadsbebyggelse ska  innehålla en redovisning av beräknade värden för omgivningsbuller vid  bostadsbyggnadens fasad och vid dess uteplats om en sådan ska anordnas till byggnaden. Beräknade värden för omgivningsbuller ska redovisas om det anses behövligt med hänsyn till bullersituationen. </w:t>
      </w:r>
    </w:p>
    <w:p>
      <w:r>
        <w:t xml:space="preserve">Förordning om trafikbuller vid bostadsbyggnader (2015:216) innehåller bestämmelser om riktvärden för trafikbuller utomhus vid bostadsbyggnader. Från </w:t>
      </w:r>
    </w:p>
    <w:p>
      <w:r>
        <w:t xml:space="preserve">2017-07-01 gäller följande riktvärden: </w:t>
      </w:r>
    </w:p>
    <w:p>
      <w:pPr>
        <w:pStyle w:val="P16"/>
        <w:numPr>
          <w:ilvl w:val="0"/>
          <w:numId w:val="30"/>
        </w:numPr>
      </w:pPr>
      <w:r>
        <w:t xml:space="preserve">60 dBA ekvivalent ljudnivå vid en bostadsbyggnads fasad, och </w:t>
      </w:r>
    </w:p>
    <w:p>
      <w:pPr>
        <w:pStyle w:val="P16"/>
        <w:numPr>
          <w:ilvl w:val="0"/>
          <w:numId w:val="30"/>
        </w:numPr>
      </w:pPr>
      <w:r>
        <w:t xml:space="preserve">50 dBA ekvivalent ljudnivå samt 70 dBA maximal ljudnivå vid en uteplats om en sådan ska anordnas i anslutning till bygganden. </w:t>
      </w:r>
    </w:p>
    <w:p>
      <w:r>
        <w:t xml:space="preserve">För en bostad om högst 35 kvadratmeter gäller i stället: </w:t>
      </w:r>
    </w:p>
    <w:p>
      <w:pPr>
        <w:pStyle w:val="P16"/>
        <w:numPr>
          <w:ilvl w:val="0"/>
          <w:numId w:val="29"/>
        </w:numPr>
      </w:pPr>
      <w:r>
        <w:t>65 dBA ekvivalent ljudnivå vid bostadsbyggnadens fasad.</w:t>
      </w:r>
    </w:p>
    <w:p>
      <w:r>
        <w:t>För planen har en särskild bullerutredning (Bullerutredning Boden 57:67, Ramböll, 2024-04-24) tagits fram. I den sammanfattas risk för buller enligt nedan:</w:t>
      </w:r>
    </w:p>
    <w:p>
      <w:r>
        <w:t xml:space="preserve">Riktvärdet 60 dBA ekvivalent ljudnivå överskrids bara inom en begränsad del av planområdet. Så länge ny bebyggelse inte placeras inom ca 20 meter från Sveavägen kommer bebyggelsen inte behöva bulleranpassas (med genomgående lägenheter mot tystare sida). För första radens bebyggelse kommer dock en uteplats i de flesta fall behöva placeras i skydd bakom byggnaden. Med en uteplats i ett bullerskyddat läge kan sedan ytterligare uteplatser placeras i mer bullerutsatta lägen. För radhus närmast Sveavägen kan någon form av lokal avskärmning behövas för att skapa en bullerskyddad yta för uteplats någonstans inom fastigheten. Det kan vara en kortare bullerskärm eller att någon form av komplementbyggnad placeras mot väg.     </w:t>
      </w:r>
    </w:p>
    <w:p>
      <w:r>
        <w:t>Den äldre befintliga byggnaden ligger nära Sveavägen och riktvärdet 60 dBA överskrids på första och andra våningsplan på gavel mot Sveavägen. På grund av något för höga ljudnivåer på byggnadens långsidor bedöms det svårt att planera genomgående lägenheter som uppfyller trafikbullerförordningens krav om att bostadsrum ska lokaliseras mot en tystare sida. Om denna del av byggnaden är tänk att omvandlas till bostäder kan därför lägenheter behöva utformas som 35 m2 eller mindre.</w:t>
      </w:r>
    </w:p>
    <w:tbl>
      <w:tblPr>
        <w:tblStyle w:val="T2"/>
        <w:tblW w:w="0" w:type="auto"/>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ook w:val="04A0"/>
      </w:tblPr>
      <w:tblGrid/>
      <w:tr>
        <w:tc>
          <w:tcPr>
            <w:tcW w:w="4037" w:type="dxa"/>
          </w:tcPr>
          <w:p>
            <w:pPr>
              <w:rPr>
                <w:noProof w:val="1"/>
              </w:rPr>
            </w:pPr>
            <w:r>
              <w:rPr>
                <w:noProof w:val="1"/>
              </w:rPr>
              <w:drawing>
                <wp:inline xmlns:wp="http://schemas.openxmlformats.org/drawingml/2006/wordprocessingDrawing" distT="0" distB="0" distL="0" distR="0">
                  <wp:extent cx="2409190" cy="2513965"/>
                  <wp:effectExtent l="0" t="0" r="0" b="635"/>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5"/>
                          <pic:cNvPicPr/>
                        </pic:nvPicPr>
                        <pic:blipFill dpi="0">
                          <a:blip xmlns:r="http://schemas.openxmlformats.org/officeDocument/2006/relationships" r:embed="Relimage13"/>
                          <a:srcRect/>
                          <a:stretch>
                            <a:fillRect/>
                          </a:stretch>
                        </pic:blipFill>
                        <pic:spPr>
                          <a:xfrm>
                            <a:off x="0" y="0"/>
                            <a:ext cx="2427042" cy="2532984"/>
                          </a:xfrm>
                          <a:prstGeom prst="rect"/>
                        </pic:spPr>
                      </pic:pic>
                    </a:graphicData>
                  </a:graphic>
                </wp:inline>
              </w:drawing>
            </w:r>
          </w:p>
        </w:tc>
        <w:tc>
          <w:tcPr>
            <w:tcW w:w="4176" w:type="dxa"/>
          </w:tcPr>
          <w:p>
            <w:pPr>
              <w:rPr>
                <w:noProof w:val="1"/>
              </w:rPr>
            </w:pPr>
            <w:r>
              <w:rPr>
                <w:noProof w:val="1"/>
              </w:rPr>
              <w:drawing>
                <wp:inline xmlns:wp="http://schemas.openxmlformats.org/drawingml/2006/wordprocessingDrawing" distT="0" distB="0" distL="0" distR="0">
                  <wp:extent cx="2507615" cy="2513965"/>
                  <wp:effectExtent l="0" t="0" r="6985" b="635"/>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6"/>
                          <pic:cNvPicPr/>
                        </pic:nvPicPr>
                        <pic:blipFill dpi="0">
                          <a:blip xmlns:r="http://schemas.openxmlformats.org/officeDocument/2006/relationships" r:embed="Relimage14"/>
                          <a:srcRect b="6136"/>
                          <a:stretch>
                            <a:fillRect/>
                          </a:stretch>
                        </pic:blipFill>
                        <pic:spPr bwMode="auto">
                          <a:xfrm>
                            <a:off x="0" y="0"/>
                            <a:ext cx="2527549" cy="2533912"/>
                          </a:xfrm>
                          <a:prstGeom prst="rect"/>
                          <a:ln>
                            <a:noFill/>
                          </a:ln>
                        </pic:spPr>
                      </pic:pic>
                    </a:graphicData>
                  </a:graphic>
                </wp:inline>
              </w:drawing>
            </w:r>
          </w:p>
        </w:tc>
      </w:tr>
      <w:tr>
        <w:tc>
          <w:tcPr>
            <w:tcW w:w="8213" w:type="dxa"/>
            <w:gridSpan w:val="2"/>
          </w:tcPr>
          <w:p>
            <w:pPr>
              <w:rPr>
                <w:i w:val="1"/>
                <w:iCs w:val="1"/>
                <w:noProof w:val="1"/>
              </w:rPr>
            </w:pPr>
            <w:r>
              <w:rPr>
                <w:i w:val="1"/>
                <w:iCs w:val="1"/>
                <w:noProof w:val="1"/>
              </w:rPr>
              <w:t xml:space="preserve">Utklipp från bullerutredning 1,5 meter över marknivå. Ekvivalent ljudnivå till vänster och maximal ljudnivå till höger. Orange färg markerar 60 dBA för ekvivalent ljudnivå och 75 dBA för maximal ljudnivå. </w:t>
            </w:r>
          </w:p>
        </w:tc>
      </w:tr>
    </w:tbl>
    <w:p>
      <w:bookmarkEnd w:id="71"/>
      <w:r>
        <w:t xml:space="preserve">  </w:t>
      </w:r>
    </w:p>
    <w:p>
      <w:pPr>
        <w:pStyle w:val="P3"/>
      </w:pPr>
      <w:bookmarkStart w:id="73" w:name="pf_riskförolyckor01"/>
      <w:r>
        <w:t>Risk för olyckor</w:t>
      </w:r>
    </w:p>
    <w:p>
      <w:r>
        <w:t xml:space="preserve">Transporter med farligt gods rekommenderas av länsstyrelsen till vissa vägar, Sveavägen är en sådan. I enlighet med trafikmätning utförd i september 2022 går det nuläget ungefär 5 100 fordon per dygn på vägen varav 8,2 % av dessa utgörs av tung trafik, det vill säga ungefär 420 stycken. </w:t>
      </w:r>
    </w:p>
    <w:p>
      <w:r>
        <w:t xml:space="preserve">I den regionala </w:t>
      </w:r>
      <w:r>
        <w:rPr>
          <w:i w:val="1"/>
          <w:iCs w:val="1"/>
        </w:rPr>
        <w:t>Riktlinjer farligt gods i Norr- och Västerbotten</w:t>
      </w:r>
      <w:r>
        <w:t xml:space="preserve"> anges att rekommenderat skyddsavstånd för ny bebyggelse till </w:t>
      </w:r>
      <w:r>
        <w:rPr>
          <w:i w:val="1"/>
          <w:iCs w:val="1"/>
        </w:rPr>
        <w:t>Farligt gods på väg</w:t>
      </w:r>
      <w:r>
        <w:t xml:space="preserve"> är 55 meter. I riktlinjerna beskrivs att småhusbebyggelse, kontor och centrumverksamhet ingår i en kategori om </w:t>
      </w:r>
      <w:r>
        <w:rPr>
          <w:i w:val="1"/>
          <w:iCs w:val="1"/>
        </w:rPr>
        <w:t xml:space="preserve">Normalkänslig verksamhet. </w:t>
      </w:r>
      <w:r>
        <w:t>För denna kategori, med en hastighetsbegränsning på väg med farligt gods, och med för Sveavägen gällande ÅDT för lastbilar, gäller inget särskilt skyddsavstånd.</w:t>
      </w:r>
    </w:p>
    <w:p>
      <w:r>
        <w:t xml:space="preserve">Ny bostadsbebyggelse skulle kunna byggas så nära som 30 meter från Sveavägen. Risker avseende transporter av farligt gods bedöms enligt gällande riktlinjer som låga och inget skyddsavstånd eller skyddsåtgärder erfordras.  </w:t>
      </w:r>
    </w:p>
    <w:p>
      <w:pPr>
        <w:pStyle w:val="P3"/>
      </w:pPr>
      <w:bookmarkEnd w:id="73"/>
      <w:bookmarkStart w:id="74" w:name="pf_riskföröversvämning01"/>
      <w:r>
        <w:t>Risk för översvämning</w:t>
      </w:r>
    </w:p>
    <w:p>
      <w:r>
        <w:t>För planen har en särskild dagvattenutredning (Dagvattenutredning, Sweco, 2024-08-29) tagits fram. I den sammanfattas risk för översvämning enligt nedan:</w:t>
      </w:r>
    </w:p>
    <w:p>
      <w:r>
        <w:t>Inga skyfallsstråk bedöms gå genom fastigheten men några mindre befintliga rinnvägar finns i området där radhus planeras. Dessa rinnvägar föreslås huvudsakligen avvattnas mot parkytan i norr, men bräddning av dagvattensystemet via diken mellan byggnaderna direkt över slänt bör också säkerställas för att skydda dessa från översvämning vid större regntillfällen och skyfall.</w:t>
      </w:r>
    </w:p>
    <w:p>
      <w:r>
        <w:rPr>
          <w:noProof w:val="1"/>
        </w:rPr>
        <w:drawing>
          <wp:inline xmlns:wp="http://schemas.openxmlformats.org/drawingml/2006/wordprocessingDrawing" distT="0" distB="0" distL="0" distR="0">
            <wp:extent cx="5221605" cy="3680460"/>
            <wp:effectExtent l="0" t="0" r="0" b="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7"/>
                    <pic:cNvPicPr/>
                  </pic:nvPicPr>
                  <pic:blipFill dpi="0">
                    <a:blip xmlns:r="http://schemas.openxmlformats.org/officeDocument/2006/relationships" r:embed="Relimage15"/>
                    <a:srcRect/>
                    <a:stretch>
                      <a:fillRect/>
                    </a:stretch>
                  </pic:blipFill>
                  <pic:spPr>
                    <a:xfrm>
                      <a:off x="0" y="0"/>
                      <a:ext cx="5221605" cy="3680460"/>
                    </a:xfrm>
                    <a:prstGeom prst="rect"/>
                  </pic:spPr>
                </pic:pic>
              </a:graphicData>
            </a:graphic>
          </wp:inline>
        </w:drawing>
      </w:r>
    </w:p>
    <w:p>
      <w:pPr>
        <w:rPr>
          <w:i w:val="1"/>
          <w:iCs w:val="1"/>
        </w:rPr>
      </w:pPr>
      <w:r>
        <w:rPr>
          <w:i w:val="1"/>
          <w:iCs w:val="1"/>
        </w:rPr>
        <w:t xml:space="preserve">Utklipp av skyfallskartering från dagvattenutredning. </w:t>
      </w:r>
    </w:p>
    <w:p>
      <w:r>
        <w:t>Enligt beräkningar ökar dagvattenflöden vid dimensionerande regn efter exploateringen, och ett maxflödes fördröjningsbehov på 70 l/s uppstår vid ett 10-årsregn. För att hantera dessa ökade flöden föreslås ett dagvattensystem som består av trögavvattnande diken i söder-norrgående riktning längs med vägen till en torr damm i parkområdet i den norra delen av fastigheten. En torr damm med ett totalt yt-anspråk på ca 200 m</w:t>
      </w:r>
      <w:r>
        <w:rPr>
          <w:vertAlign w:val="superscript"/>
        </w:rPr>
        <w:t>2</w:t>
      </w:r>
      <w:r>
        <w:t>, ett djup på 0,3 m och en volym på minst 28 m</w:t>
      </w:r>
      <w:r>
        <w:rPr>
          <w:vertAlign w:val="superscript"/>
        </w:rPr>
        <w:t>3</w:t>
      </w:r>
      <w:r>
        <w:t xml:space="preserve"> kan fördröja de ökade volymer dagvatten som uppstår efter exploateringen vid ett 10-årsregn.</w:t>
      </w:r>
    </w:p>
    <w:p>
      <w:pPr>
        <w:pStyle w:val="P3"/>
      </w:pPr>
      <w:bookmarkEnd w:id="74"/>
      <w:bookmarkStart w:id="75" w:name="pf_riskförerosion01"/>
      <w:bookmarkStart w:id="76" w:name="pf_riskförskred01"/>
      <w:bookmarkStart w:id="77" w:name="pf_riskförras01"/>
      <w:r>
        <w:t>Risk för erosion, skred och ras</w:t>
      </w:r>
    </w:p>
    <w:p>
      <w:r>
        <w:t xml:space="preserve">En stabilitetsutredning har tagits fram för planområdet, se PM Geoteknik (Sweco, 2024-05-31) och Markteknisk undersökningsrapport (Sweco, 2024-05-31). För sammanfattning se </w:t>
      </w:r>
      <w:r>
        <w:rPr>
          <w:i w:val="1"/>
          <w:iCs w:val="1"/>
        </w:rPr>
        <w:t>kapitel 8.2 Geoteknik</w:t>
      </w:r>
    </w:p>
    <w:p>
      <w:r>
        <w:t>Längs med Bodån finns en strandskoning av stenblock anlagd. Strandskoningen bedöms ha en god funktion där mindre skador har noterats. Erosionsaktiviteten bedöms variera från ringa till obefintlig.</w:t>
      </w:r>
    </w:p>
    <w:p>
      <w:r>
        <w:rPr>
          <w:noProof w:val="1"/>
        </w:rPr>
        <w:drawing>
          <wp:inline xmlns:wp="http://schemas.openxmlformats.org/drawingml/2006/wordprocessingDrawing" distT="0" distB="0" distL="0" distR="0">
            <wp:extent cx="5221605" cy="2345055"/>
            <wp:effectExtent l="0" t="0" r="0" b="0"/>
            <wp:docPr id="4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8"/>
                    <pic:cNvPicPr/>
                  </pic:nvPicPr>
                  <pic:blipFill dpi="0">
                    <a:blip xmlns:r="http://schemas.openxmlformats.org/officeDocument/2006/relationships" r:embed="Relimage16"/>
                    <a:srcRect/>
                    <a:stretch>
                      <a:fillRect/>
                    </a:stretch>
                  </pic:blipFill>
                  <pic:spPr>
                    <a:xfrm>
                      <a:off x="0" y="0"/>
                      <a:ext cx="5221605" cy="2345055"/>
                    </a:xfrm>
                    <a:prstGeom prst="rect"/>
                  </pic:spPr>
                </pic:pic>
              </a:graphicData>
            </a:graphic>
          </wp:inline>
        </w:drawing>
      </w:r>
    </w:p>
    <w:p>
      <w:pPr>
        <w:rPr>
          <w:i w:val="1"/>
          <w:iCs w:val="1"/>
        </w:rPr>
      </w:pPr>
      <w:r>
        <w:rPr>
          <w:i w:val="1"/>
          <w:iCs w:val="1"/>
        </w:rPr>
        <w:t>Bild på strandskoningen</w:t>
      </w:r>
    </w:p>
    <w:p>
      <w:pPr>
        <w:pStyle w:val="P2"/>
      </w:pPr>
      <w:bookmarkEnd w:id="72"/>
      <w:bookmarkEnd w:id="75"/>
      <w:bookmarkEnd w:id="76"/>
      <w:bookmarkEnd w:id="77"/>
      <w:r>
        <w:t>Natur</w:t>
      </w:r>
    </w:p>
    <w:p>
      <w:pPr>
        <w:pStyle w:val="P3"/>
      </w:pPr>
      <w:bookmarkStart w:id="78" w:name="pf_markvegetationochtopografi01"/>
      <w:r>
        <w:t>Mark, vegetation och topografi</w:t>
      </w:r>
    </w:p>
    <w:p>
      <w:r>
        <w:t>Området utgörs av skog och växtlighet. Genom fastigheten går en slänt som korsar området. Släntens lutning varierar där vissa partier är branta (lutningar brantare än 1:1,5 förekommer) och andra partier är flacka. Träd och växtlighet förekommer både ovanför och nedanför slänten. Nedanför slänten är marken plan mot Bodån.</w:t>
      </w:r>
    </w:p>
    <w:p>
      <w:r>
        <w:rPr>
          <w:noProof w:val="1"/>
        </w:rPr>
        <w:drawing>
          <wp:inline xmlns:wp="http://schemas.openxmlformats.org/drawingml/2006/wordprocessingDrawing" distT="0" distB="0" distL="0" distR="0">
            <wp:extent cx="5221605" cy="4080510"/>
            <wp:effectExtent l="0" t="0" r="0"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9"/>
                    <pic:cNvPicPr/>
                  </pic:nvPicPr>
                  <pic:blipFill dpi="0">
                    <a:blip xmlns:r="http://schemas.openxmlformats.org/officeDocument/2006/relationships" r:embed="Relimage17"/>
                    <a:srcRect/>
                    <a:stretch>
                      <a:fillRect/>
                    </a:stretch>
                  </pic:blipFill>
                  <pic:spPr>
                    <a:xfrm>
                      <a:off x="0" y="0"/>
                      <a:ext cx="5221605" cy="4080510"/>
                    </a:xfrm>
                    <a:prstGeom prst="rect"/>
                  </pic:spPr>
                </pic:pic>
              </a:graphicData>
            </a:graphic>
          </wp:inline>
        </w:drawing>
      </w:r>
      <w:r>
        <w:t xml:space="preserve"> </w:t>
      </w:r>
    </w:p>
    <w:p>
      <w:pPr>
        <w:rPr>
          <w:i w:val="1"/>
          <w:iCs w:val="1"/>
        </w:rPr>
      </w:pPr>
      <w:r>
        <w:rPr>
          <w:i w:val="1"/>
          <w:iCs w:val="1"/>
        </w:rPr>
        <w:t>Terrängskuggning för planområdet. Planområdet markerat i rött.</w:t>
      </w:r>
    </w:p>
    <w:p>
      <w:pPr>
        <w:rPr>
          <w:i w:val="1"/>
          <w:iCs w:val="1"/>
        </w:rPr>
      </w:pPr>
    </w:p>
    <w:p>
      <w:pPr>
        <w:rPr>
          <w:rFonts w:ascii="Times New Roman" w:hAnsi="Times New Roman"/>
          <w:szCs w:val="24"/>
        </w:rPr>
      </w:pPr>
      <w:r>
        <w:rPr>
          <w:rFonts w:ascii="Times New Roman" w:hAnsi="Times New Roman"/>
          <w:szCs w:val="24"/>
        </w:rPr>
        <w:t>Slänten som korsar området ligger inte i direkt anslutning till Bodån. Detta har sannolikt att göra med omdragningen av Bodån som utfördes någon gång mellan 1960 – 1975.</w:t>
      </w:r>
    </w:p>
    <w:p>
      <w:pPr>
        <w:pStyle w:val="P3"/>
      </w:pPr>
      <w:bookmarkEnd w:id="78"/>
      <w:bookmarkStart w:id="79" w:name="pf_geotekniskaförhållanden01"/>
      <w:r>
        <w:t xml:space="preserve">Geotekniska förhållanden </w:t>
      </w:r>
    </w:p>
    <w:p>
      <w:r>
        <w:t xml:space="preserve">En stabilitetsutredning har tagits fram för planområdet, se PM Geoteknik (Sweco, 2024-05-31) och Markteknisk undersökningsrapport (Sweco, 2024-05-31). </w:t>
      </w:r>
    </w:p>
    <w:p>
      <w:r>
        <w:t xml:space="preserve">De geotekniska förhållandena för fastighetsområdet utgörs från befintlig markyta av cirka 4,0 – 6,0 meter sand, siltig sand och silt med en lös till medelfast lagringstäthet. </w:t>
      </w:r>
    </w:p>
    <w:p>
      <w:r>
        <w:t>Siltskikten som påträffas visar, enligt utförda CPT-sonderingar, ett dränerat beteende. Därefter påträffas ett 1,5 – 5,0 meter skikt av mycket lös sulfidhaltig silt och lera. Under det mycket lösa skiktet påträffas en fast till mycket fast lagrad sandig siltmorän. Grundvattenytan för området varierar från cirka +10,2 till +11,7 enligt avläsningar från grundvattenrör.</w:t>
      </w:r>
    </w:p>
    <w:p>
      <w:pPr>
        <w:pStyle w:val="P3"/>
      </w:pPr>
      <w:bookmarkEnd w:id="79"/>
      <w:bookmarkStart w:id="80" w:name="pf_strandskydd01"/>
      <w:r>
        <w:t>Strandskydd</w:t>
      </w:r>
    </w:p>
    <w:p>
      <w:pPr>
        <w:rPr>
          <w:rFonts w:ascii="Times New Roman" w:hAnsi="Times New Roman"/>
          <w:szCs w:val="24"/>
        </w:rPr>
      </w:pPr>
      <w:r>
        <w:rPr>
          <w:rFonts w:ascii="Times New Roman" w:hAnsi="Times New Roman"/>
          <w:szCs w:val="24"/>
        </w:rPr>
        <w:t>Stora delar av fastigheten berörs av strandskydd från Bodån. Planen ämnar upphäva strandskyddet för att möjliggöra bostadsbebyggelse. En särskild lokaliseringsutredning för strandskydd (PM Strandskydd, Svefa, 2024-04-30) har tagits fram för att utreda om det är möjligt att upphäva strandskyddet enligt de särskilda skäl som finns angivna i miljöbalken 7 kap. paragraf 18c.</w:t>
      </w:r>
    </w:p>
    <w:p>
      <w:pPr>
        <w:rPr>
          <w:rFonts w:ascii="Times New Roman" w:hAnsi="Times New Roman"/>
          <w:szCs w:val="24"/>
        </w:rPr>
      </w:pPr>
      <w:r>
        <w:rPr>
          <w:rFonts w:ascii="Times New Roman" w:hAnsi="Times New Roman"/>
          <w:noProof w:val="1"/>
          <w:szCs w:val="24"/>
        </w:rPr>
        <w:drawing>
          <wp:inline xmlns:wp="http://schemas.openxmlformats.org/drawingml/2006/wordprocessingDrawing" distT="0" distB="0" distL="0" distR="0">
            <wp:extent cx="2460625" cy="3057525"/>
            <wp:effectExtent l="0" t="0" r="0" b="0"/>
            <wp:docPr id="165875040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750407" name="Picture 50"/>
                    <pic:cNvPicPr/>
                  </pic:nvPicPr>
                  <pic:blipFill dpi="0">
                    <a:blip xmlns:r="http://schemas.openxmlformats.org/officeDocument/2006/relationships" r:embed="Relimage18"/>
                    <a:srcRect/>
                    <a:stretch>
                      <a:fillRect/>
                    </a:stretch>
                  </pic:blipFill>
                  <pic:spPr>
                    <a:xfrm>
                      <a:off x="0" y="0"/>
                      <a:ext cx="2464738" cy="3062423"/>
                    </a:xfrm>
                    <a:prstGeom prst="rect"/>
                  </pic:spPr>
                </pic:pic>
              </a:graphicData>
            </a:graphic>
          </wp:inline>
        </w:drawing>
      </w:r>
    </w:p>
    <w:p>
      <w:pPr>
        <w:rPr>
          <w:rFonts w:ascii="Times New Roman" w:hAnsi="Times New Roman"/>
          <w:szCs w:val="24"/>
        </w:rPr>
      </w:pPr>
      <w:r>
        <w:rPr>
          <w:i w:val="1"/>
          <w:iCs w:val="1"/>
        </w:rPr>
        <w:t>Område som omfattas av strandskydd inom planområdet.</w:t>
      </w:r>
    </w:p>
    <w:p>
      <w:pPr>
        <w:rPr>
          <w:rFonts w:ascii="Times New Roman" w:hAnsi="Times New Roman"/>
          <w:szCs w:val="24"/>
        </w:rPr>
      </w:pPr>
      <w:r>
        <w:rPr>
          <w:rFonts w:ascii="Times New Roman" w:hAnsi="Times New Roman"/>
          <w:szCs w:val="24"/>
        </w:rPr>
        <w:t xml:space="preserve">Utredningens bedömning baseras på det förslag till utveckling som finns framtaget samt kommunalt planeringsunderlag som visar att särskilda skäl enligt </w:t>
      </w:r>
      <w:r>
        <w:rPr>
          <w:rFonts w:ascii="Times New Roman" w:hAnsi="Times New Roman"/>
          <w:b w:val="1"/>
          <w:bCs w:val="1"/>
          <w:szCs w:val="24"/>
        </w:rPr>
        <w:t>7 kap. 18 c MB</w:t>
      </w:r>
      <w:r>
        <w:rPr>
          <w:rFonts w:ascii="Times New Roman" w:hAnsi="Times New Roman"/>
          <w:szCs w:val="24"/>
        </w:rPr>
        <w:t xml:space="preserve"> föreligger. I första hand kan det </w:t>
      </w:r>
      <w:r>
        <w:rPr>
          <w:rFonts w:ascii="Times New Roman" w:hAnsi="Times New Roman"/>
          <w:b w:val="1"/>
          <w:bCs w:val="1"/>
          <w:szCs w:val="24"/>
        </w:rPr>
        <w:t>femte särskilda skälet</w:t>
      </w:r>
      <w:r>
        <w:rPr>
          <w:rFonts w:ascii="Times New Roman" w:hAnsi="Times New Roman"/>
          <w:szCs w:val="24"/>
        </w:rPr>
        <w:t xml:space="preserve"> åberopas; att fastigheten behöver tas i anspråk för att tillgodose ett angeläget allmänt intresse som inte kan tillgodoses utanför området. Att kunna bostadsförsörja en av Sveriges största industrisatsningar kan anses vara av inte bara kommunal, utan även av regional betydelse och anses vara ett angeläget allmänt intresse. Utförd lokaliseringsutredning visar även på svårigheterna att tillgodose behovet utanför området. </w:t>
      </w:r>
    </w:p>
    <w:p>
      <w:pPr>
        <w:pStyle w:val="P2"/>
      </w:pPr>
      <w:bookmarkEnd w:id="80"/>
      <w:bookmarkStart w:id="81" w:name="pf_kulturmiljö01"/>
      <w:r>
        <w:t>Kulturmiljö</w:t>
      </w:r>
    </w:p>
    <w:p>
      <w:pPr>
        <w:pStyle w:val="P3"/>
      </w:pPr>
      <w:r>
        <w:t>Kulturhistoriska byggnader</w:t>
      </w:r>
    </w:p>
    <w:p>
      <w:pPr>
        <w:rPr>
          <w:rFonts w:ascii="Times New Roman" w:hAnsi="Times New Roman"/>
          <w:szCs w:val="24"/>
        </w:rPr>
      </w:pPr>
      <w:r>
        <w:rPr>
          <w:rFonts w:ascii="Times New Roman" w:hAnsi="Times New Roman"/>
          <w:szCs w:val="24"/>
        </w:rPr>
        <w:t>Idag används den före detta kanslibyggnaden som kontor. Byggnaden har kulturhistoriska värden varför en kulturmiljöutredning (Kulturmiljöutredning, Norrbottens museum, 2024), som fastställer dessa värden är framtagen. I utredningen sammanfattas att p</w:t>
      </w:r>
      <w:r>
        <w:t>lanområdets befintliga byggnad med dess gula, putsade fasader, valmade mansardtak och putsrustik uppfyller de kännetecken som är karaktäristiska för mer prestigefyllda byggnaderna inom Bodens garnison. Byggnaden på planområdet har fått en påkostad och statusfylld utformning, framför allt i relation till mindre representativa byggnader som exempelvis olika serviceanläggningar, förråd och dylikt. Det är också av vikt att nya byggnadskroppar delas upp i fler än en fristående del samt att kanslibyggnad får behålla sin kontakt med regementsområdet.</w:t>
      </w:r>
    </w:p>
    <w:p>
      <w:pPr>
        <w:pStyle w:val="P2"/>
      </w:pPr>
      <w:bookmarkEnd w:id="81"/>
      <w:bookmarkStart w:id="82" w:name="pf_trafik01"/>
      <w:r>
        <w:t>Gator och trafik</w:t>
      </w:r>
    </w:p>
    <w:p>
      <w:pPr>
        <w:pStyle w:val="P3"/>
      </w:pPr>
      <w:bookmarkStart w:id="83" w:name="pf_kollektivtrafik01"/>
      <w:r>
        <w:t>Kollektivtrafik</w:t>
      </w:r>
    </w:p>
    <w:p>
      <w:pPr>
        <w:rPr>
          <w:rFonts w:ascii="Times New Roman" w:hAnsi="Times New Roman"/>
          <w:szCs w:val="24"/>
        </w:rPr>
      </w:pPr>
      <w:r>
        <w:rPr>
          <w:rFonts w:ascii="Times New Roman" w:hAnsi="Times New Roman"/>
          <w:szCs w:val="24"/>
        </w:rPr>
        <w:t>Det finns god tillgänglighet till kollektivtrafik från området med en busshållplats utanför den före detta kanslibyggnaden på Sveavägen.</w:t>
      </w:r>
    </w:p>
    <w:p/>
    <w:p>
      <w:r>
        <w:rPr>
          <w:noProof w:val="1"/>
        </w:rPr>
        <w:drawing>
          <wp:inline xmlns:wp="http://schemas.openxmlformats.org/drawingml/2006/wordprocessingDrawing" distT="0" distB="0" distL="0" distR="0">
            <wp:extent cx="3383915" cy="3800475"/>
            <wp:effectExtent l="0" t="0" r="6985"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1"/>
                    <pic:cNvPicPr/>
                  </pic:nvPicPr>
                  <pic:blipFill dpi="0">
                    <a:blip xmlns:r="http://schemas.openxmlformats.org/officeDocument/2006/relationships" r:embed="Relimage19"/>
                    <a:srcRect/>
                    <a:stretch>
                      <a:fillRect/>
                    </a:stretch>
                  </pic:blipFill>
                  <pic:spPr>
                    <a:xfrm>
                      <a:off x="0" y="0"/>
                      <a:ext cx="3386980" cy="3803602"/>
                    </a:xfrm>
                    <a:prstGeom prst="rect"/>
                  </pic:spPr>
                </pic:pic>
              </a:graphicData>
            </a:graphic>
          </wp:inline>
        </w:drawing>
      </w:r>
    </w:p>
    <w:p>
      <w:pPr>
        <w:rPr>
          <w:i w:val="1"/>
          <w:iCs w:val="1"/>
          <w:sz w:val="20"/>
          <w:szCs w:val="20"/>
        </w:rPr>
      </w:pPr>
      <w:r>
        <w:rPr>
          <w:i w:val="1"/>
          <w:iCs w:val="1"/>
          <w:sz w:val="20"/>
          <w:szCs w:val="20"/>
        </w:rPr>
        <w:t>Bild från Boden kommuns lokaltrafik-karta.</w:t>
      </w:r>
    </w:p>
    <w:p>
      <w:bookmarkEnd w:id="83"/>
    </w:p>
    <w:p>
      <w:pPr>
        <w:pStyle w:val="P3"/>
      </w:pPr>
      <w:bookmarkStart w:id="84" w:name="pf_biltrafik01"/>
      <w:r>
        <w:t>Biltrafik</w:t>
      </w:r>
    </w:p>
    <w:p>
      <w:r>
        <w:t>Infart till planområdet sker sker på fastigheten Boden 53:5.</w:t>
      </w:r>
    </w:p>
    <w:p>
      <w:pPr>
        <w:pStyle w:val="P3"/>
      </w:pPr>
      <w:bookmarkEnd w:id="84"/>
      <w:bookmarkStart w:id="85" w:name="pf_gångochcykeltrafik01"/>
      <w:r>
        <w:t>Gång- och cykeltrafik</w:t>
      </w:r>
    </w:p>
    <w:p>
      <w:r>
        <w:t>På andra sidan Sveavägen går ett gång- och cykelstråk som det är möjligt för ny gång- och cykelväg att kopplas samman med.</w:t>
      </w:r>
    </w:p>
    <w:p>
      <w:pPr>
        <w:pStyle w:val="P3"/>
      </w:pPr>
      <w:bookmarkEnd w:id="85"/>
      <w:bookmarkStart w:id="86" w:name="pf_parkeringochutfarter01"/>
      <w:r>
        <w:t>Parkering och utfarter</w:t>
      </w:r>
    </w:p>
    <w:p>
      <w:r>
        <w:t>Infart till planområdet sker sker på fastigheten Boden 53:5. Infart till fd kanslibyggnad sker via denna gata. Denna infart till fd kanslibyggnad hör ihop med kulturhistoriska värden och ska således bevaras. Ny väg inne på nytt bostadsområde ska utformas med vändplan så att sopbil samt budbil med längd 12 m kan vända utan att backa. Radien ska vara 9 meter + friyta runtomkring på 1,5 m. Vägytan beläggs med 5,5-5 m. Skaftet in 5,5 m och vägen mellan radhusen 5 meter.</w:t>
      </w:r>
    </w:p>
    <w:p>
      <w:pPr>
        <w:pStyle w:val="P3"/>
      </w:pPr>
      <w:bookmarkEnd w:id="86"/>
      <w:bookmarkStart w:id="87" w:name="pf_varutransporter01"/>
      <w:r>
        <w:t>Varutransporter</w:t>
      </w:r>
    </w:p>
    <w:p>
      <w:r>
        <w:t>Eventuella varutransport kommer ske via befintliga infarter.</w:t>
      </w:r>
    </w:p>
    <w:p>
      <w:pPr>
        <w:pStyle w:val="P2"/>
      </w:pPr>
      <w:bookmarkEnd w:id="82"/>
      <w:bookmarkEnd w:id="87"/>
      <w:r>
        <w:t>Bebyggelseområden</w:t>
      </w:r>
    </w:p>
    <w:p>
      <w:pPr>
        <w:pStyle w:val="P3"/>
      </w:pPr>
      <w:bookmarkStart w:id="88" w:name="pf_bostäder01"/>
      <w:r>
        <w:t>Bostäder</w:t>
      </w:r>
    </w:p>
    <w:p>
      <w:r>
        <w:t>Det finns flerbostadshus öster om planområdet längs med Sveavägen.</w:t>
      </w:r>
    </w:p>
    <w:p>
      <w:pPr>
        <w:pStyle w:val="P3"/>
      </w:pPr>
      <w:bookmarkEnd w:id="88"/>
      <w:bookmarkStart w:id="89" w:name="pf_offentligochkommersiellservice01"/>
      <w:r>
        <w:t>Offentlig och kommersiell service</w:t>
      </w:r>
    </w:p>
    <w:p>
      <w:pPr>
        <w:rPr>
          <w:rFonts w:ascii="Times New Roman" w:hAnsi="Times New Roman"/>
          <w:szCs w:val="24"/>
        </w:rPr>
      </w:pPr>
      <w:r>
        <w:rPr>
          <w:rFonts w:ascii="Times New Roman" w:hAnsi="Times New Roman"/>
          <w:szCs w:val="24"/>
        </w:rPr>
        <w:t>Det finns viss handel på andra sidan Bodån på gamla garnisonsområdet. Närmsta livsmedelsbutik ligger inom ca. 10 min gång. Förskola finns inom ca. 7 min gång. Skola för F-6 finns inom ca. 25 min gång och detsamma gäller för skola för årskurs 7-9. Det finns ett flertal lekplatser i närhet till området. Rekreation kan också ske i ”Ingentingskogen” eller längs med det gång-stråk som går i närhet till planområdet.</w:t>
      </w:r>
    </w:p>
    <w:p>
      <w:pPr>
        <w:pStyle w:val="P3"/>
      </w:pPr>
      <w:bookmarkEnd w:id="89"/>
      <w:bookmarkStart w:id="90" w:name="pf_tillgänglighet01"/>
      <w:r>
        <w:t>Tillgänglighet</w:t>
      </w:r>
    </w:p>
    <w:p>
      <w:r>
        <w:t>Marken inom planområdet är mestadels flack, vilket ger goda förutsättningar för en tillfredställande tillgänglighet inom planområdets offentliga delar. Vid iordningsställande av marken vid bostadsbebyggelsen ska tillgänglighetskraven tillämpas. Tillgängligheten ska betraktas som en helhetslösning för hela området så att samtliga funktioner är tillgängliga även för de med nedsatta fysiska- och/eller psykiska funktioner. När gång- och cykelväg byggs ska den hålla god kommunal standard.</w:t>
      </w:r>
    </w:p>
    <w:p>
      <w:r>
        <w:t>Boverkets byggregler (BBR) gäller för att säkerställa att en god tillgänglighet uppnås, både för omgivande mark och inom byggnaden. Tillgänglighetskraven regleras inte i detaljplanebestämmelserna utan följs upp i kommande bygglovsskede.</w:t>
      </w:r>
    </w:p>
    <w:p>
      <w:pPr>
        <w:pStyle w:val="P2"/>
      </w:pPr>
      <w:bookmarkEnd w:id="90"/>
      <w:bookmarkStart w:id="91" w:name="pf_teknik02"/>
      <w:r>
        <w:t>Teknisk försörjning</w:t>
      </w:r>
    </w:p>
    <w:p>
      <w:pPr>
        <w:pStyle w:val="P3"/>
      </w:pPr>
      <w:r>
        <w:t>Vatten och avlopp</w:t>
      </w:r>
    </w:p>
    <w:p>
      <w:r>
        <w:t>Det är möjligt för planområdet att kopplas på till kommunalt vatten- och avlopp utan särskilda pumpstationer.</w:t>
      </w:r>
    </w:p>
    <w:p>
      <w:pPr>
        <w:pStyle w:val="P3"/>
      </w:pPr>
      <w:r>
        <w:t>Snö- och dagvattenhantering</w:t>
      </w:r>
    </w:p>
    <w:p>
      <w:pPr>
        <w:pStyle w:val="P3"/>
        <w:numPr>
          <w:ilvl w:val="0"/>
          <w:numId w:val="0"/>
        </w:numPr>
        <w:ind w:firstLine="0" w:left="0"/>
        <w:rPr>
          <w:rFonts w:asciiTheme="minorHAnsi" w:hAnsiTheme="minorHAnsi" w:eastAsia="Times New Roman"/>
          <w:bCs w:val="0"/>
        </w:rPr>
      </w:pPr>
      <w:r>
        <w:rPr>
          <w:rFonts w:asciiTheme="minorHAnsi" w:hAnsiTheme="minorHAnsi" w:eastAsia="Times New Roman"/>
          <w:bCs w:val="0"/>
        </w:rPr>
        <w:t>För planen har en särskild dagvattenutredning (Dagvattenutredning, Sweco, 2024-08-29) tagits fram. Se kapitel 8.3 Dagvatten för möjlig lösning.</w:t>
      </w:r>
    </w:p>
    <w:p>
      <w:pPr>
        <w:pStyle w:val="P3"/>
      </w:pPr>
      <w:r>
        <w:t>El och värme</w:t>
      </w:r>
    </w:p>
    <w:p>
      <w:r>
        <w:t>Det är möjligt för planområdet att kopplas på till kommunala el-nätet och fjärrvärme.</w:t>
      </w:r>
    </w:p>
    <w:p>
      <w:pPr>
        <w:pStyle w:val="P3"/>
      </w:pPr>
      <w:r>
        <w:t>Fiber</w:t>
      </w:r>
    </w:p>
    <w:p>
      <w:r>
        <w:t>Det är möjligt för planområdet att kopplas på befintligt fibernät.</w:t>
      </w:r>
    </w:p>
    <w:p>
      <w:pPr>
        <w:pStyle w:val="P3"/>
      </w:pPr>
      <w:r>
        <w:t>Avfall</w:t>
      </w:r>
    </w:p>
    <w:p>
      <w:r>
        <w:t>Avfall ska hanteras enligt Bodens kommuns lokala renhållningsordning.</w:t>
      </w:r>
    </w:p>
    <w:p>
      <w:pPr>
        <w:pStyle w:val="P1"/>
      </w:pPr>
      <w:bookmarkEnd w:id="91"/>
      <w:bookmarkStart w:id="92" w:name="_Toc178064916"/>
      <w:bookmarkStart w:id="93" w:name="pu_utredningar01"/>
      <w:r>
        <w:t>Planeringsunderlag</w:t>
      </w:r>
      <w:bookmarkEnd w:id="92"/>
    </w:p>
    <w:p>
      <w:pPr>
        <w:pStyle w:val="P2"/>
      </w:pPr>
      <w:bookmarkStart w:id="94" w:name="pu_geotekniskutredning02"/>
      <w:r>
        <w:t>Geoteknik</w:t>
      </w:r>
    </w:p>
    <w:p>
      <w:r>
        <w:t>En stabilitetsutredning har tagits fram för planområdet, se PM Geoteknik (Sweco, 2024-05-31) och Markteknisk undersökningsrapport (Sweco, 2024-05-31). Beräkningarna är utförda med 10 spetstrycksonderinger och två hejarsonderingar.</w:t>
      </w:r>
    </w:p>
    <w:p>
      <w:r>
        <w:t>Den geotekniska utredningen är utförd på en detaljerad nivå enligt SIG Vägledning 8.</w:t>
      </w:r>
    </w:p>
    <w:p>
      <w:r>
        <w:t>Utförda beräkningar med kombinerad och odränerad analys visar att risken för ett jordskred är låg. Utöver det är inga åtgärder som leder till att träd och vegetation i direkt anslutning till släntkrönet försvinner planerade. Skulle vegetationen tas bort, exempelvis om man vill fylla ut slänten på vissa ställen, ska ny vegetation sås in.</w:t>
      </w:r>
    </w:p>
    <w:p>
      <w:r>
        <w:t>Ytliga ras, som begränsades i föreliggande beräkningar, motverkas huvudsakligen av trädrötter, sly och buskar som binder det översta jordlagret och både verkar armerande och erosionsskyddande. Om den befintliga växligheten i slänten tas bort skulle risken för ras öka. Vid okulärbesiktning av slänterna fanns inga tecken på att ras hade inträffat vilket också styrker beräkningsresultatet och den utförda begränsningen av glidytan.</w:t>
      </w:r>
    </w:p>
    <w:p>
      <w:r>
        <w:t>Baserat på utförda beräkningar rekommenderas följande begränsningar:</w:t>
      </w:r>
    </w:p>
    <w:p>
      <w:pPr>
        <w:pStyle w:val="P16"/>
        <w:numPr>
          <w:ilvl w:val="0"/>
          <w:numId w:val="24"/>
        </w:numPr>
      </w:pPr>
      <w:r>
        <w:t>Byggnader (eller motsvarande last på 30 kPa) placeras minst ca 5 – 13 meter från släntkrönet enligt skissad begränsningslinje.</w:t>
      </w:r>
    </w:p>
    <w:p>
      <w:pPr>
        <w:pStyle w:val="P16"/>
        <w:numPr>
          <w:ilvl w:val="0"/>
          <w:numId w:val="24"/>
        </w:numPr>
      </w:pPr>
      <w:r>
        <w:t>En höjning av markytan med 1 meter (eller motsvarande last på 20 kPa) utanför planerade byggnader placeras minst ca 0 till 8 meter bakom släntkrönet enligt skissad begränsningslinje.</w:t>
      </w:r>
    </w:p>
    <w:p>
      <w:pPr>
        <w:pStyle w:val="P16"/>
        <w:numPr>
          <w:ilvl w:val="0"/>
          <w:numId w:val="24"/>
        </w:numPr>
      </w:pPr>
      <w:r>
        <w:t>GC-väg placeras minst 5 meter från strandskoningen.</w:t>
      </w:r>
    </w:p>
    <w:p>
      <w:r>
        <w:rPr>
          <w:noProof w:val="1"/>
        </w:rPr>
        <w:drawing>
          <wp:inline xmlns:wp="http://schemas.openxmlformats.org/drawingml/2006/wordprocessingDrawing" distT="0" distB="0" distL="0" distR="0">
            <wp:extent cx="5221605" cy="4810760"/>
            <wp:effectExtent l="0" t="0" r="0" b="889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2"/>
                    <pic:cNvPicPr/>
                  </pic:nvPicPr>
                  <pic:blipFill dpi="0">
                    <a:blip xmlns:r="http://schemas.openxmlformats.org/officeDocument/2006/relationships" r:embed="Relimage20"/>
                    <a:srcRect/>
                    <a:stretch>
                      <a:fillRect/>
                    </a:stretch>
                  </pic:blipFill>
                  <pic:spPr>
                    <a:xfrm>
                      <a:off x="0" y="0"/>
                      <a:ext cx="5221605" cy="4810760"/>
                    </a:xfrm>
                    <a:prstGeom prst="rect"/>
                  </pic:spPr>
                </pic:pic>
              </a:graphicData>
            </a:graphic>
          </wp:inline>
        </w:drawing>
      </w:r>
    </w:p>
    <w:p>
      <w:pPr>
        <w:rPr>
          <w:i w:val="1"/>
          <w:iCs w:val="1"/>
        </w:rPr>
      </w:pPr>
      <w:r>
        <w:rPr>
          <w:i w:val="1"/>
          <w:iCs w:val="1"/>
        </w:rPr>
        <w:t>Skissade begränsningslinjer, baserade utifrån utförda stabilitetsberäkningar. Färganalysen redovisar områdets höjdsättning</w:t>
      </w:r>
    </w:p>
    <w:p>
      <w:r>
        <w:t>Med hänsyn till beräknade sättningar för respektive lastfall bör sättningsreducerande åtgärder vidtas innan planerade byggnader grundläggs. Föreliggande geoteknisk utredning har även säkerställt att omkringliggande områdens geotekniska förutsättningar inte påverkar byggbarheten för planområdet. Se PM Geoteknik för exempel på möjliga sättningsreducerade åtgärder.</w:t>
      </w:r>
    </w:p>
    <w:p>
      <w:pPr>
        <w:pStyle w:val="P3"/>
      </w:pPr>
      <w:r>
        <w:t>Erosion</w:t>
      </w:r>
    </w:p>
    <w:p>
      <w:r>
        <w:t>Vatten från dräneringar, dagvatten eller spillvatten får inte okontrollerat eller koncentrerat ledas ut över slänten utan att erforderliga erosionsskyddande åtgärder vidtas. För utlopp mot Bodån ska det tillses att strandskoningen inte skadas eller att dess funktion påverkas. En ny gång- och cykelväg bör inte byggas närmare strandskoningen än fem meter.</w:t>
      </w:r>
    </w:p>
    <w:p>
      <w:pPr>
        <w:pStyle w:val="P3"/>
      </w:pPr>
      <w:r>
        <w:t>Grundläggning</w:t>
      </w:r>
    </w:p>
    <w:p>
      <w:r>
        <w:t>Eftersom lösjordens mäktighet är relativt homogen för respektive hus kommer sättningarna bli relativt jämna. Grundläggning av byggnader kan utföras med platta på mark om sättningsreducerande åtgärd vidtas. Detta förutsatt att ovan nämnda sättningar kan accepteras.</w:t>
      </w:r>
    </w:p>
    <w:p>
      <w:r>
        <w:t>Om beräknade sättningar ej kan accepteras eller om sättningsreducerande åtgärder ej kan tillämpas bör en pålgrundläggning utföras. Byggnader kan i detta fall grundläggas genom att betongpålar stoppslås i friktionsjord. Stoppslagning av pålar bedöms kunna ske mellan nivåer +7,5 till +4,5 (motsvarande 10,7 till 12,9 meter under markytan). Andra påltyper kan användas men det bör noteras att djup till berg är okänt. Slagning av betongpålar bör ej utföras närmare slänten än den skissade begränsningslinjen för byggnader. Detta gäller även för uppställning av pålkran. Eventuell pålslagning kommer att påverka den befintliga släntens stabilitet. Vid pålslagning ska erforderlig släntstabilitet kontrolleras.</w:t>
      </w:r>
    </w:p>
    <w:p>
      <w:r>
        <w:t>Anslutningar mellan ledningar och byggnader föreslås utföras så att skador ej uppkommer till följd av sättningar. Detta måste beaktas vid projektering. Byggnader kan skyddas mot tjäle genom att markisolering, exempelvis av typ XPS, förläggs under och runt om byggnaderna.</w:t>
      </w:r>
    </w:p>
    <w:p>
      <w:pPr>
        <w:pStyle w:val="P3"/>
      </w:pPr>
      <w:r>
        <w:t>Schakt och fyllning</w:t>
      </w:r>
    </w:p>
    <w:p>
      <w:r>
        <w:t>Förekommande sediment av sand och silt är flytbenägna och erosionskänsliga när de är vattenmättade vilket måste beaktas vid schaktarbeten under nederbörds- och snösmältningsperioder samt vid schakt under grundvattenytan. Grundläggning får ej utföras på tjälad jord. Om grundläggning utförs på vintertid skall alla massor vara otjälade och schaktbotten ska skyddas mot nedträngande tjäle.</w:t>
      </w:r>
    </w:p>
    <w:p>
      <w:r>
        <w:t>Fyllnadsmaterial får inte vara tjälat och ska vara fritt från is och snö, växtrester, rötter och annat otjänligt material. På grund av den låga densiteten ska skumglas ej förläggas under grundvattenytan. Nederbörds- och snösmältningsperioder ska även beaktas vid fyllning med skumglas eller motsvarande lätta fyllnadsmaterial</w:t>
      </w:r>
    </w:p>
    <w:p>
      <w:pPr>
        <w:pStyle w:val="P2"/>
      </w:pPr>
      <w:bookmarkEnd w:id="94"/>
      <w:r>
        <w:t>Dagvatten</w:t>
      </w:r>
    </w:p>
    <w:p>
      <w:r>
        <w:t>För planen har en särskild dagvattenutredning (Dagvattenutredning, Sweco, 2024-08-29) tagits fram. I den sammanfattas risk för översvämning enligt nedan:</w:t>
      </w:r>
    </w:p>
    <w:p>
      <w:r>
        <w:t>Inga skyfallsstråk bedöms gå genom fastigheten men några mindre befintliga rinnvägar finns i området där radhus planeras. Dessa rinnvägar föreslås huvudsakligen avvattnas mot parkytan i norr, men bräddning av dagvattensystemet via diken mellan byggnaderna direkt över slänt bör också säkerställas för att skydda dessa från översvämning vid större regntillfällen och skyfall.</w:t>
      </w:r>
    </w:p>
    <w:p>
      <w:r>
        <w:rPr>
          <w:noProof w:val="1"/>
        </w:rPr>
        <w:drawing>
          <wp:inline xmlns:wp="http://schemas.openxmlformats.org/drawingml/2006/wordprocessingDrawing" distT="0" distB="0" distL="0" distR="0">
            <wp:extent cx="3505200" cy="4926965"/>
            <wp:effectExtent l="0" t="0" r="0" b="6985"/>
            <wp:docPr id="40"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3"/>
                    <pic:cNvPicPr/>
                  </pic:nvPicPr>
                  <pic:blipFill dpi="0">
                    <a:blip xmlns:r="http://schemas.openxmlformats.org/officeDocument/2006/relationships" r:embed="Relimage21"/>
                    <a:srcRect/>
                    <a:stretch>
                      <a:fillRect/>
                    </a:stretch>
                  </pic:blipFill>
                  <pic:spPr>
                    <a:xfrm>
                      <a:off x="0" y="0"/>
                      <a:ext cx="3516214" cy="4942970"/>
                    </a:xfrm>
                    <a:prstGeom prst="rect"/>
                  </pic:spPr>
                </pic:pic>
              </a:graphicData>
            </a:graphic>
          </wp:inline>
        </w:drawing>
      </w:r>
    </w:p>
    <w:p>
      <w:pPr>
        <w:rPr>
          <w:i w:val="1"/>
          <w:iCs w:val="1"/>
        </w:rPr>
      </w:pPr>
      <w:r>
        <w:rPr>
          <w:i w:val="1"/>
          <w:iCs w:val="1"/>
        </w:rPr>
        <w:t>Utklipp från dagvattenutredning med möjlig bebyggelse.</w:t>
      </w:r>
    </w:p>
    <w:p>
      <w:r>
        <w:t>Enligt beräkningar ökar dagvattenflöden vid dimensionerande regn efter exploateringen, och ett maxflödes fördröjningsbehov på 70 l/s uppstår vid ett 10-årsregn. För att hantera dessa ökade flöden föreslås ett dagvattensystem som består av trögavvattnande diken i söder-norrgående riktning längs med vägen till en torr damm i parkområdet i den norra delen av fastigheten. En torr damm med ett totalt yt-anspråk på ca 200 m</w:t>
      </w:r>
      <w:r>
        <w:rPr>
          <w:vertAlign w:val="superscript"/>
        </w:rPr>
        <w:t>2</w:t>
      </w:r>
      <w:r>
        <w:t xml:space="preserve"> , ett djup på 0,3 m och en volym på minst 28 m</w:t>
      </w:r>
      <w:r>
        <w:rPr>
          <w:vertAlign w:val="superscript"/>
        </w:rPr>
        <w:t>3</w:t>
      </w:r>
      <w:r>
        <w:t xml:space="preserve"> kan fördröja de ökade volymer dagvatten som uppstår efter exploateringen vid ett 10-årsregn.</w:t>
      </w:r>
    </w:p>
    <w:p>
      <w:pPr>
        <w:pStyle w:val="P2"/>
      </w:pPr>
      <w:bookmarkStart w:id="95" w:name="pu_bullerutredning02"/>
      <w:r>
        <w:t>Bullerutredning</w:t>
      </w:r>
    </w:p>
    <w:p>
      <w:r>
        <w:t>För planen har en särskild bullerutredning (Bullerutredning Boden 57:67, Ramböll, 2024-04-24) tagits fram. I den sammanfattas risk för buller enligt nedan:</w:t>
      </w:r>
    </w:p>
    <w:p>
      <w:r>
        <w:t xml:space="preserve">Riktvärdet 60 dBA ekvivalent ljudnivå överskrids bara inom en begränsad del av planområdet. Så länge ny bebyggelse inte placeras inom ca 20 meter från Sveavägen kommer bebyggelsen inte behöva bulleranpassas (med genomgående lägenheter mot tystare sida). För första radens bebyggelse kommer dock en uteplats i de flesta fall behöva placeras i skydd bakom byggnaden. Med en uteplats i ett bullerskyddat läge kan sedan ytterligare uteplatser placeras i mer bullerutsatta lägen. För radhus närmast Sveavägen kan någon form av lokal avskärmning behövas för att skapa en bullerskyddad yta för uteplats någonstans inom fastigheten. Det kan vara en kortare bullerskärm eller att någon form av komplementbyggnad placeras mot väg.     </w:t>
      </w:r>
    </w:p>
    <w:p>
      <w:r>
        <w:t>Den äldre befintliga byggnaden ligger nära Sveavägen och riktvärdet 60 dBA överskrids på första och andra våningsplan på gavel mot Sveavägen. På grund av något för höga ljudnivåer på byggnadens långsidor bedöms det svårt att planera genomgående lägenheter som uppfyller trafikbullerförordningens krav om att bostadsrum ska lokaliseras mot en tystare sida om inte lägenheterna görs mindre än 35 m2.</w:t>
      </w:r>
    </w:p>
    <w:p>
      <w:pPr>
        <w:pStyle w:val="P2"/>
      </w:pPr>
      <w:bookmarkEnd w:id="95"/>
      <w:bookmarkStart w:id="96" w:name="pu_kulturmiljöutredning02"/>
      <w:r>
        <w:t>Kulturmiljöutredning</w:t>
      </w:r>
    </w:p>
    <w:p>
      <w:r>
        <w:rPr>
          <w:rFonts w:ascii="Times New Roman" w:hAnsi="Times New Roman"/>
          <w:szCs w:val="24"/>
        </w:rPr>
        <w:t>Idag används den före detta kanslibyggnaden som kontor. Byggnaden har kulturhistoriska värden varför en kulturmiljöutredning (Kulturmiljöutredning, Norrbottens museum), som fastställer dessa värden är framtagen. I utredningen sammanfattas att p</w:t>
      </w:r>
      <w:r>
        <w:t>lanområdets befintliga byggnad med dess gula, putsade fasader, valmade mansardtak och putsrustik uppfyller de kännetecken som är karaktäristiska för mer prestigefyllda byggnaderna inom Bodens garnison. Byggnaden på planområdet har fått en påkostad och statusfylld utformning, framför allt i relation till mindre representativa byggnader som exempelvis olika serviceanläggningar, förråd och dylikt.</w:t>
      </w:r>
    </w:p>
    <w:p>
      <w:pPr>
        <w:pStyle w:val="P3"/>
      </w:pPr>
      <w:r>
        <w:t xml:space="preserve">Siktlinjer </w:t>
      </w:r>
    </w:p>
    <w:p>
      <w:pPr>
        <w:rPr>
          <w:rFonts w:ascii="Times New Roman" w:hAnsi="Times New Roman"/>
          <w:szCs w:val="24"/>
        </w:rPr>
      </w:pPr>
      <w:r>
        <w:rPr>
          <w:rFonts w:ascii="Times New Roman" w:hAnsi="Times New Roman"/>
          <w:szCs w:val="24"/>
        </w:rPr>
        <w:t xml:space="preserve">För att inte påverka riksintresset negativt behöver hänsyn tas till siktlinjerna mot planområdet, vilka inte bör förändras så att ny bebyggelse konkurrerar om blickfånget med den befintliga byggnaden på fastigheten. Ny bebyggelse bör inte heller utformas eller placeras på ett sådant sätt att sikten från Sveavägen och/eller Hermelinsgatan/Åbergsleden mot byggnaden skyms eller på annat vis får negativ inverkan på upplevelsen av byggnaden. Av den anledningen rekommenderas att planområdets ytor öst, norr och väst om byggnaden hålls fria från nybyggnation.  </w:t>
      </w:r>
    </w:p>
    <w:p>
      <w:pPr>
        <w:rPr>
          <w:rFonts w:ascii="Times New Roman" w:hAnsi="Times New Roman"/>
          <w:szCs w:val="24"/>
        </w:rPr>
      </w:pPr>
      <w:r>
        <w:rPr>
          <w:rFonts w:ascii="Times New Roman" w:hAnsi="Times New Roman"/>
          <w:szCs w:val="24"/>
        </w:rPr>
        <w:t xml:space="preserve">Det är viktigt att beakta faktumet att grönstrukturer på området kan komma att förändras i framtiden. Vid valet av placering av ny bebyggelse behöver hänsyn därför tas till att vissa delar av fastigheten som idag är skymda av träd eller buskar kan komma att bli öppna ytor i ett senare skede. Av den anledningen är det viktigt att ny bebyggelse inte placeras för nära den befintliga byggnaden så att denna delvis skyms eller viktiga siktlinjer störs.  </w:t>
      </w:r>
    </w:p>
    <w:p>
      <w:pPr>
        <w:rPr>
          <w:rFonts w:ascii="Times New Roman" w:hAnsi="Times New Roman"/>
          <w:szCs w:val="24"/>
        </w:rPr>
      </w:pPr>
      <w:r>
        <w:rPr>
          <w:rFonts w:ascii="Times New Roman" w:hAnsi="Times New Roman"/>
          <w:szCs w:val="24"/>
        </w:rPr>
        <w:t xml:space="preserve">Ny planläggning av fastigheten bör ske på ett sätt som innebär att siktlinjerna mot närliggande regementsbyggnader på motsatt sida om Bodån inte försvagas eller på annat sätt påverkas negativt. Det ställer krav på placeringen av nya byggnader. Området framför den befintliga byggnadens östra fasad bör hållas fritt från nybyggnation för att inte påverka sikten mot Bodån, Sveabron och de militära byggnaderna vid Hermelinsgatan/Åbergsleden.  </w:t>
      </w:r>
    </w:p>
    <w:p>
      <w:pPr>
        <w:rPr>
          <w:rFonts w:ascii="Times New Roman" w:hAnsi="Times New Roman"/>
          <w:szCs w:val="24"/>
        </w:rPr>
      </w:pPr>
      <w:r>
        <w:rPr>
          <w:rFonts w:ascii="Times New Roman" w:hAnsi="Times New Roman"/>
          <w:szCs w:val="24"/>
        </w:rPr>
        <w:t>För att inte negativt påverka siktlinjerna längs med Sveavägens sträckning är det viktigt att en buffertzon närmast Sveavägen lämnas fri från nybyggnation. Planområdet närmast fastighetsgränsen mot Sveavägen bör istället utgöras av grönytor och enstaka träd.</w:t>
      </w:r>
    </w:p>
    <w:p>
      <w:pPr>
        <w:pStyle w:val="P3"/>
      </w:pPr>
      <w:r>
        <w:t xml:space="preserve">Befintlig bebyggelse, grönområden och rörelsestråk </w:t>
      </w:r>
    </w:p>
    <w:p>
      <w:pPr>
        <w:rPr>
          <w:rFonts w:ascii="Times New Roman" w:hAnsi="Times New Roman"/>
          <w:szCs w:val="24"/>
        </w:rPr>
      </w:pPr>
      <w:r>
        <w:rPr>
          <w:rFonts w:ascii="Times New Roman" w:hAnsi="Times New Roman"/>
          <w:szCs w:val="24"/>
        </w:rPr>
        <w:t xml:space="preserve">Den befintlig byggnad på fastigheten bör bevaras och exteriören skyddas mot förvanskning genom planbestämmelser i detaljplan. Värdebärare som är betydelsefulla för byggnadens karaktär är dess fasadmaterial och gula färgsättning, byggnadens takform och taktäckning, samt fönstersättningen och fönsternas karaktär. Rivningsförbud bör införas för byggnaden.  </w:t>
      </w:r>
    </w:p>
    <w:p>
      <w:pPr>
        <w:rPr>
          <w:rFonts w:ascii="Times New Roman" w:hAnsi="Times New Roman"/>
          <w:szCs w:val="24"/>
        </w:rPr>
      </w:pPr>
      <w:r>
        <w:rPr>
          <w:rFonts w:ascii="Times New Roman" w:hAnsi="Times New Roman"/>
          <w:szCs w:val="24"/>
        </w:rPr>
        <w:t xml:space="preserve">Den befintliga bygganden bör inte tillföras ytterligare tillbyggnader som bidrar till att förändra byggnadens karaktär, framför allt inte på de delar av fasaden som är tydligt synbara från Sveavägen, Sveabron och Hermelinsgatan/Åbergsleden.  </w:t>
      </w:r>
    </w:p>
    <w:p>
      <w:pPr>
        <w:rPr>
          <w:rFonts w:ascii="Times New Roman" w:hAnsi="Times New Roman"/>
          <w:szCs w:val="24"/>
        </w:rPr>
      </w:pPr>
      <w:r>
        <w:rPr>
          <w:rFonts w:ascii="Times New Roman" w:hAnsi="Times New Roman"/>
          <w:szCs w:val="24"/>
        </w:rPr>
        <w:t xml:space="preserve">Den anlagda grönytan med parkkaraktär framför den befintliga byggnadens östra fasad bidrar till områdets militära karaktär, samt till att framhäva byggnaden och dess status. Parkytans militära prägel speglas av förekomsten av symmetri och ordning i den estetiska gestaltningen, samt av buskhäcken i norr och björkraden i öst. Det är betydelsefullt för upplevelsen av planområdet att denna yta även fortsättningsvis får en bevarad funktion som grönområde och förblir obebyggd. </w:t>
      </w:r>
    </w:p>
    <w:p>
      <w:pPr>
        <w:rPr>
          <w:rFonts w:ascii="Times New Roman" w:hAnsi="Times New Roman"/>
          <w:szCs w:val="24"/>
        </w:rPr>
      </w:pPr>
      <w:r>
        <w:rPr>
          <w:rFonts w:ascii="Times New Roman" w:hAnsi="Times New Roman"/>
          <w:szCs w:val="24"/>
        </w:rPr>
        <w:t xml:space="preserve">I dagsläget består planområdet till stor del av skog. För att nybyggnation ska vara möjligt behöver gallring av träd ske. Ett urval av utspridda träd och mindre skogspartier bör dock kvarstå för att återkoppla till områdets tidigare skogs- och parkliknande karaktär. Träd och parkytor bör dessutom nyttjas för att åtskilja den befintliga byggnaden från ny bebyggelse. Vid bevarande eller nyplantering av träd bör trädslag som framför allt har varit vanliga inom Bodens garnison, samt på planområdet mer specifikt, premieras. Det innebär framför allt björk, asp och tall.  </w:t>
      </w:r>
    </w:p>
    <w:p>
      <w:pPr>
        <w:rPr>
          <w:rFonts w:ascii="Times New Roman" w:hAnsi="Times New Roman"/>
          <w:szCs w:val="24"/>
        </w:rPr>
      </w:pPr>
      <w:r>
        <w:rPr>
          <w:rFonts w:ascii="Times New Roman" w:hAnsi="Times New Roman"/>
          <w:szCs w:val="24"/>
        </w:rPr>
        <w:t xml:space="preserve">Befintliga vägar på planområdet skapar ett naturligt rörelsestråk till- och från byggnaden, samt bidrar till siktlinjer som framhäver byggnadens placering och ställning. Vägarna kan med fördel bevaras som rörelsestråk på planområdet vid ny planläggning av området.  </w:t>
      </w:r>
    </w:p>
    <w:p>
      <w:pPr>
        <w:pStyle w:val="P3"/>
      </w:pPr>
      <w:r>
        <w:t xml:space="preserve">Nya byggnaders utformning och placering </w:t>
      </w:r>
    </w:p>
    <w:p>
      <w:r>
        <w:t xml:space="preserve">Vid utformningen av ny bostadsbebyggelse på området behöver platsens karaktär och förutsättningar beaktas. Detta för att inte medföra påtaglig skada på riksintresset för kulturmiljövården. Nya byggnader bör utformas på ett sätt som tar hänsyn till och harmoniserar med planområdets befintliga byggnad, samt med de omkringliggande militära byggnaderna i närheten av fastigheten. Med det sagt är det dock viktigt att nya byggnader inte efterliknar de militära i stil, framför allt inte de mer arkitektoniskt påkostade byggnaderna. Det bör förekomma en tydlig distinktion mellan civil bostadsbebyggelse och byggnader som ingår i Bodens garnison. Militärarkitekturens till form, material och färg samordnade bebyggelse behöver även fortsättningsvis särskilja sig och framträda som egenartad från det som i övrigt byggs. Ny bebyggelse bör därför till exempel inte tillföras mansardtak eller putsade, gula fasader.  </w:t>
      </w:r>
    </w:p>
    <w:p>
      <w:r>
        <w:t xml:space="preserve">Viktigt vid nybyggnation är att nya byggnader inte konkurrerar om blickfånget med den befintliga byggnaden på fastigheten. Av den anledningen bör nya byggnaders högsta punkt vara markant lägre än den befintliga byggnadens högsta punkt. Till detta kan skillnader i marknivå på planområdet räknas in och nyttjas. För att underordna sig de militära karaktärsbyggnaderna i området bör nya byggnader även tillföras ett enklare formspråk, till exempel genom sadeltak, pulpettak eller träpanelsklädda fasader.  </w:t>
      </w:r>
    </w:p>
    <w:p>
      <w:r>
        <w:t>För att ny bebyggelse inte ska inverka negativt på upplevelsen av den befintliga byggnaden och på viktiga siktlinjer behöver nya byggnader placeras på ett säkert avstånd från både den befintliga byggnaden och från Sveavägen. Nya byggnader bör därför inte uppföras framför den befintliga byggnadens östra, norra och västra fasad. Rekommenderad placering av nya byggnader är sydost om den befintliga byggnaden, på ett minsta avstånd på 50 meter från byggnadens södra, östra och norra sidor. In mot planområdet kan dock ett absolut minsta avstånd på 40 meter vara möjligt under förutsättningen att växtlighet i form av träd eller buskar bevaras eller planteras mellan den befintlig byggnaden och ny bebyggelse för avskärmande effekt.</w:t>
      </w:r>
    </w:p>
    <w:p>
      <w:pPr>
        <w:pStyle w:val="P60"/>
      </w:pPr>
      <w:r>
        <w:rPr>
          <w:rFonts w:asciiTheme="minorHAnsi" w:hAnsiTheme="minorHAnsi"/>
          <w:szCs w:val="22"/>
          <w:lang w:eastAsia="en-US"/>
        </w:rPr>
        <w:t xml:space="preserve">Nytillkommen bebyggelse bör inordna sig och ta hänsyn till platsens karaktär för att inte störa sambandet. De bör gestaltas på ett sätt som harmoniserar väl med befintliga byggnader, inom planområdet och med omkringliggande bebyggelse. </w:t>
      </w:r>
    </w:p>
    <w:p>
      <w:pPr>
        <w:pStyle w:val="P1"/>
      </w:pPr>
      <w:bookmarkEnd w:id="93"/>
      <w:bookmarkEnd w:id="96"/>
      <w:bookmarkStart w:id="97" w:name="_Toc178064917"/>
      <w:r>
        <w:t>Detaljplanens genomförande</w:t>
      </w:r>
      <w:bookmarkEnd w:id="97"/>
    </w:p>
    <w:p>
      <w:pPr>
        <w:pStyle w:val="P2"/>
      </w:pPr>
      <w:bookmarkStart w:id="98" w:name="gf_förändradfastighetsindelning01"/>
      <w:r>
        <w:t>Markförvärv och inlösen</w:t>
      </w:r>
    </w:p>
    <w:p>
      <w:r>
        <w:t>Fastigheten Boden 57:67 ägs idag av Pionjären Fastighets AB. De allmänna platserna i planen, NATUR-område, ska överlåtas till Bodens kommun för att göra det möjligt att bygga gång- och cykelväg.</w:t>
      </w:r>
    </w:p>
    <w:p>
      <w:pPr>
        <w:pStyle w:val="P2"/>
      </w:pPr>
      <w:bookmarkEnd w:id="98"/>
      <w:r>
        <w:t>Fastighetsrättsliga frågor</w:t>
      </w:r>
    </w:p>
    <w:p>
      <w:pPr>
        <w:pStyle w:val="P3"/>
      </w:pPr>
      <w:bookmarkStart w:id="99" w:name="gf_fastighetsindelningsbestämmelser01"/>
      <w:r>
        <w:t>Fastighetsindelningsbestämmelser</w:t>
      </w:r>
    </w:p>
    <w:p>
      <w:r>
        <w:t>Planområdet kan komma att delas in i nya fastigheter, beroende på vilken typ av byggnation och ägandeform den nya bostadsbebyggelsen får. Befintlig kanslibyggnad ska styckas av till en egen fastighet. Fastighetsägaren kommer ansöka om lantmäteriförrättning</w:t>
      </w:r>
    </w:p>
    <w:p>
      <w:r>
        <w:br w:type="page"/>
      </w:r>
    </w:p>
    <w:p>
      <w:pPr>
        <w:pStyle w:val="P3"/>
      </w:pPr>
      <w:bookmarkEnd w:id="99"/>
      <w:bookmarkStart w:id="100" w:name="gf_rättigheter01"/>
      <w:r>
        <w:t>Rättigheter</w:t>
      </w:r>
    </w:p>
    <w:p>
      <w:r>
        <w:t>Över planområdet går följande servitut och ledningsrätter:</w:t>
      </w:r>
    </w:p>
    <w:tbl>
      <w:tblPr>
        <w:tblStyle w:val="T2"/>
        <w:tblW w:w="0" w:type="auto"/>
        <w:tblLook w:val="04A0"/>
      </w:tblPr>
      <w:tblGrid/>
      <w:tr>
        <w:tc>
          <w:tcPr>
            <w:tcW w:w="2972" w:type="dxa"/>
            <w:shd w:val="clear" w:color="auto" w:fill="CBF2CB" w:themeFill="accent5" w:themeFillTint="30"/>
          </w:tcPr>
          <w:p>
            <w:bookmarkStart w:id="101" w:name="_Hlk184905564" w:colFirst="0" w:colLast="1"/>
            <w:r>
              <w:t>Beskrivning</w:t>
            </w:r>
          </w:p>
        </w:tc>
        <w:tc>
          <w:tcPr>
            <w:tcW w:w="2503" w:type="dxa"/>
            <w:shd w:val="clear" w:color="auto" w:fill="CBF2CB" w:themeFill="accent5" w:themeFillTint="30"/>
          </w:tcPr>
          <w:p>
            <w:r>
              <w:t>Ledningsrätt/servitut</w:t>
            </w:r>
          </w:p>
        </w:tc>
      </w:tr>
      <w:tr>
        <w:tc>
          <w:tcPr>
            <w:tcW w:w="2972" w:type="dxa"/>
          </w:tcPr>
          <w:p>
            <w:r>
              <w:t>Ledningsrätt Starkström</w:t>
            </w:r>
          </w:p>
          <w:p>
            <w:r>
              <w:t>2024-04-16</w:t>
            </w:r>
          </w:p>
        </w:tc>
        <w:tc>
          <w:tcPr>
            <w:tcW w:w="2503" w:type="dxa"/>
          </w:tcPr>
          <w:p>
            <w:r>
              <w:t>Aktnr: 25-F1982-821.1</w:t>
            </w:r>
          </w:p>
        </w:tc>
      </w:tr>
      <w:tr>
        <w:tc>
          <w:tcPr>
            <w:tcW w:w="2972" w:type="dxa"/>
          </w:tcPr>
          <w:p>
            <w:r>
              <w:t>Ledningsrätt</w:t>
            </w:r>
          </w:p>
          <w:p>
            <w:r>
              <w:t>2012-08-21</w:t>
            </w:r>
          </w:p>
        </w:tc>
        <w:tc>
          <w:tcPr>
            <w:tcW w:w="2503" w:type="dxa"/>
          </w:tcPr>
          <w:p>
            <w:r>
              <w:t>2582-09/20.2</w:t>
            </w:r>
          </w:p>
        </w:tc>
      </w:tr>
      <w:tr>
        <w:tc>
          <w:tcPr>
            <w:tcW w:w="2972" w:type="dxa"/>
          </w:tcPr>
          <w:p>
            <w:r>
              <w:t>Servitut</w:t>
            </w:r>
          </w:p>
          <w:p>
            <w:r>
              <w:t>2019-04-25</w:t>
            </w:r>
          </w:p>
        </w:tc>
        <w:tc>
          <w:tcPr>
            <w:tcW w:w="2503" w:type="dxa"/>
          </w:tcPr>
          <w:p>
            <w:r>
              <w:t>25-F1994-283.5</w:t>
            </w:r>
          </w:p>
        </w:tc>
      </w:tr>
      <w:tr>
        <w:tc>
          <w:tcPr>
            <w:tcW w:w="2972" w:type="dxa"/>
          </w:tcPr>
          <w:p>
            <w:r>
              <w:t>Avtalsservitut</w:t>
            </w:r>
          </w:p>
          <w:p>
            <w:r>
              <w:t>2021-03-30</w:t>
            </w:r>
          </w:p>
          <w:p>
            <w:r>
              <w:t>Placering okänd</w:t>
            </w:r>
          </w:p>
        </w:tc>
        <w:tc>
          <w:tcPr>
            <w:tcW w:w="2503" w:type="dxa"/>
          </w:tcPr>
          <w:p>
            <w:r>
              <w:t>25-IM5-46/1524.1</w:t>
            </w:r>
          </w:p>
        </w:tc>
      </w:tr>
      <w:tr>
        <w:tc>
          <w:tcPr>
            <w:tcW w:w="2972" w:type="dxa"/>
          </w:tcPr>
          <w:p>
            <w:r>
              <w:t>Avtalsservitut</w:t>
            </w:r>
          </w:p>
          <w:p>
            <w:r>
              <w:t>2021-03-30</w:t>
            </w:r>
          </w:p>
          <w:p>
            <w:r>
              <w:t>Ledning mm</w:t>
            </w:r>
          </w:p>
          <w:p>
            <w:r>
              <w:t>Placering okänd</w:t>
            </w:r>
          </w:p>
        </w:tc>
        <w:tc>
          <w:tcPr>
            <w:tcW w:w="2503" w:type="dxa"/>
          </w:tcPr>
          <w:p>
            <w:r>
              <w:t>25-IM5-70/175.1</w:t>
            </w:r>
          </w:p>
        </w:tc>
      </w:tr>
      <w:tr>
        <w:tc>
          <w:tcPr>
            <w:tcW w:w="2972" w:type="dxa"/>
          </w:tcPr>
          <w:p>
            <w:r>
              <w:t>Avtalsservitut</w:t>
            </w:r>
          </w:p>
          <w:p>
            <w:r>
              <w:t>2017-09-14</w:t>
            </w:r>
          </w:p>
          <w:p>
            <w:r>
              <w:t>Kraftledning</w:t>
            </w:r>
          </w:p>
        </w:tc>
        <w:tc>
          <w:tcPr>
            <w:tcW w:w="2503" w:type="dxa"/>
          </w:tcPr>
          <w:p>
            <w:r>
              <w:t>D201700476660:1.1</w:t>
            </w:r>
          </w:p>
        </w:tc>
      </w:tr>
    </w:tbl>
    <w:p>
      <w:pPr>
        <w:rPr>
          <w:highlight w:val="yellow"/>
        </w:rPr>
      </w:pPr>
      <w:bookmarkEnd w:id="101"/>
    </w:p>
    <w:p>
      <w:r>
        <w:t>Ledning för starkström med tillhörande ledningsrätt med aktnr: 25-F1982-821.1 behöver läggas om för genomförande av planen. Befintlig ledningsrätt behöver upphävas eller justeras för att området ska kunna exploateras enligt föreliggande plan.</w:t>
      </w:r>
    </w:p>
    <w:p>
      <w:pPr>
        <w:pStyle w:val="P2"/>
      </w:pPr>
      <w:bookmarkEnd w:id="100"/>
      <w:bookmarkStart w:id="102" w:name="gf_tekniskafrågor01"/>
      <w:r>
        <w:t>Tekniska frågor</w:t>
      </w:r>
    </w:p>
    <w:p>
      <w:r>
        <w:t>För tekniska undersökningar och andra åtgärder som kan komma att erfordras vid en eventuell exploatering ansvarar fastighetsägare för.</w:t>
      </w:r>
    </w:p>
    <w:p>
      <w:r>
        <w:t>Fastighetsägaren/exploatören ansvarar för åtgärder inom kvartersmark och genomförande av detaljplanen.</w:t>
      </w:r>
    </w:p>
    <w:p>
      <w:r>
        <w:t>För tekniska undersökningar och andra åtgärder som kan komma att erfordras vid en eventuell exploatering ansvarar fastighetsägare för.</w:t>
      </w:r>
    </w:p>
    <w:p>
      <w:pPr>
        <w:pStyle w:val="P3"/>
      </w:pPr>
      <w:r>
        <w:t>Tekniska åtgärder</w:t>
      </w:r>
    </w:p>
    <w:p>
      <w:pPr>
        <w:pStyle w:val="P3"/>
      </w:pPr>
      <w:bookmarkStart w:id="103" w:name="gf_utbyggnadallmänplats01"/>
      <w:r>
        <w:t>Utbyggnad allmän plats</w:t>
      </w:r>
    </w:p>
    <w:p>
      <w:r>
        <w:t>Planen gör det möjlighet för Bodens kommun att bygga gång- och cykelväg på allmän plats. Fastighetsägaren till Boden 57:67 är ansvarig för att säkerställa att dagvatten når Bodån på ett kontrollerat och säkert sätt utan att påverka allmän plats negativt. Det är således fastighetsägaren som ansvarar för byggnation av dagvattenanläggningar som kan behöva finnas på allmän plats för att hantera kvartersmark dagvattenhantering.</w:t>
      </w:r>
    </w:p>
    <w:p>
      <w:pPr>
        <w:pStyle w:val="P3"/>
      </w:pPr>
      <w:bookmarkEnd w:id="103"/>
      <w:bookmarkStart w:id="104" w:name="gf_utbyggnadvattenochavlopp01"/>
      <w:r>
        <w:t>Utbyggnad vatten och avlopp</w:t>
      </w:r>
    </w:p>
    <w:p>
      <w:r>
        <w:t xml:space="preserve">Fastighetsägaren till Boden 57:67  ansvarar och bekostar utbyggnad inom planområdet och anslutning till kommunalt nät.</w:t>
      </w:r>
    </w:p>
    <w:p>
      <w:pPr>
        <w:pStyle w:val="P3"/>
      </w:pPr>
      <w:bookmarkEnd w:id="104"/>
      <w:bookmarkStart w:id="105" w:name="gf_elochvärme01"/>
      <w:r>
        <w:t>Utbyggnad el-nät</w:t>
      </w:r>
    </w:p>
    <w:p>
      <w:r>
        <w:t>Om transformatorstation krävs för elförsörjning av området upplåts mark inom E-område för denna anläggning till Boden Energi AB. Fastighetsägaren ansvarar och bekostar utbyggnad inom planområdet och anslutning till transformatorstation.</w:t>
      </w:r>
    </w:p>
    <w:p>
      <w:bookmarkEnd w:id="102"/>
      <w:bookmarkEnd w:id="105"/>
    </w:p>
    <w:p/>
    <w:p>
      <w:pPr>
        <w:rPr>
          <w:rFonts w:asciiTheme="majorHAnsi" w:hAnsiTheme="majorHAnsi" w:eastAsiaTheme="majorEastAsia"/>
          <w:bCs w:val="1"/>
          <w:sz w:val="28"/>
          <w:szCs w:val="26"/>
        </w:rPr>
      </w:pPr>
      <w:r>
        <w:br w:type="page"/>
      </w:r>
    </w:p>
    <w:p>
      <w:pPr>
        <w:pStyle w:val="P2"/>
      </w:pPr>
      <w:bookmarkStart w:id="106" w:name="gf_ekonomiskafrågor01"/>
      <w:r>
        <w:t>Ekonomiska frågor</w:t>
      </w:r>
    </w:p>
    <w:p>
      <w:r>
        <w:t>Pionjären Fastighets AB ansvarar och står för upprättandet av detaljplanen.</w:t>
      </w:r>
    </w:p>
    <w:p>
      <w:pPr>
        <w:pStyle w:val="P3"/>
      </w:pPr>
      <w:bookmarkStart w:id="107" w:name="gf_planekonomiskbedömning01"/>
      <w:r>
        <w:t>Planekonomisk bedömning.</w:t>
      </w:r>
    </w:p>
    <w:p>
      <w:pPr>
        <w:pStyle w:val="P3"/>
        <w:numPr>
          <w:ilvl w:val="0"/>
          <w:numId w:val="0"/>
        </w:numPr>
        <w:ind w:firstLine="0" w:left="720"/>
        <w:rPr>
          <w:rFonts w:asciiTheme="minorHAnsi" w:hAnsiTheme="minorHAnsi" w:eastAsia="Times New Roman"/>
          <w:bCs w:val="0"/>
        </w:rPr>
      </w:pPr>
      <w:r>
        <w:rPr>
          <w:rFonts w:asciiTheme="minorHAnsi" w:hAnsiTheme="minorHAnsi" w:eastAsia="Times New Roman"/>
          <w:bCs w:val="0"/>
        </w:rPr>
        <w:t>• Avgifter för anslutning till el, tele- och fibernät bekostas fastighetsägaren till Boden 57:67.</w:t>
      </w:r>
    </w:p>
    <w:p>
      <w:pPr>
        <w:pStyle w:val="P3"/>
        <w:numPr>
          <w:ilvl w:val="0"/>
          <w:numId w:val="0"/>
        </w:numPr>
        <w:ind w:firstLine="0" w:left="720"/>
      </w:pPr>
      <w:r>
        <w:rPr>
          <w:rFonts w:asciiTheme="minorHAnsi" w:hAnsiTheme="minorHAnsi" w:eastAsia="Times New Roman"/>
          <w:bCs w:val="0"/>
        </w:rPr>
        <w:t xml:space="preserve">• Ansökan om elnätsanslutning behöver skickas minst ett år innan idrifttagning.  </w:t>
      </w:r>
    </w:p>
    <w:p>
      <w:pPr>
        <w:pStyle w:val="P3"/>
        <w:numPr>
          <w:ilvl w:val="0"/>
          <w:numId w:val="0"/>
        </w:numPr>
        <w:ind w:firstLine="0" w:left="720"/>
        <w:rPr>
          <w:rFonts w:asciiTheme="minorHAnsi" w:hAnsiTheme="minorHAnsi" w:eastAsia="Times New Roman"/>
          <w:bCs w:val="0"/>
        </w:rPr>
      </w:pPr>
      <w:r>
        <w:rPr>
          <w:rFonts w:asciiTheme="minorHAnsi" w:hAnsiTheme="minorHAnsi" w:eastAsia="Times New Roman"/>
          <w:bCs w:val="0"/>
        </w:rPr>
        <w:t xml:space="preserve">• Samtliga kostnader för projektering, byggnation och anläggningsarbeten på respektive fastighet betalas av fastighetsägaren till Boden 57:67. </w:t>
      </w:r>
    </w:p>
    <w:p>
      <w:pPr>
        <w:pStyle w:val="P3"/>
        <w:numPr>
          <w:ilvl w:val="0"/>
          <w:numId w:val="0"/>
        </w:numPr>
        <w:ind w:firstLine="0" w:left="720"/>
        <w:rPr>
          <w:rFonts w:asciiTheme="minorHAnsi" w:hAnsiTheme="minorHAnsi" w:eastAsia="Times New Roman"/>
          <w:bCs w:val="0"/>
        </w:rPr>
      </w:pPr>
      <w:r>
        <w:rPr>
          <w:rFonts w:asciiTheme="minorHAnsi" w:hAnsiTheme="minorHAnsi" w:eastAsia="Times New Roman"/>
          <w:bCs w:val="0"/>
        </w:rPr>
        <w:t xml:space="preserve">• Fastighetsägaren till Boden 57:67 bekostar behövlig lantmäteriförrättning. </w:t>
      </w:r>
    </w:p>
    <w:p>
      <w:pPr>
        <w:pStyle w:val="P3"/>
        <w:numPr>
          <w:ilvl w:val="0"/>
          <w:numId w:val="0"/>
        </w:numPr>
        <w:ind w:firstLine="0" w:left="720"/>
        <w:rPr>
          <w:rFonts w:asciiTheme="minorHAnsi" w:hAnsiTheme="minorHAnsi" w:eastAsia="Times New Roman"/>
          <w:bCs w:val="0"/>
        </w:rPr>
      </w:pPr>
      <w:r>
        <w:rPr>
          <w:rFonts w:asciiTheme="minorHAnsi" w:hAnsiTheme="minorHAnsi" w:eastAsia="Times New Roman"/>
          <w:bCs w:val="0"/>
        </w:rPr>
        <w:t xml:space="preserve">• Fastighetsägaren till Boden 57:67 bekostar eventuella kompletterande utredningar till bygglovsskedet. </w:t>
      </w:r>
    </w:p>
    <w:p>
      <w:pPr>
        <w:pStyle w:val="P3"/>
        <w:numPr>
          <w:ilvl w:val="0"/>
          <w:numId w:val="0"/>
        </w:numPr>
        <w:ind w:firstLine="0" w:left="720"/>
        <w:rPr>
          <w:rFonts w:asciiTheme="minorHAnsi" w:hAnsiTheme="minorHAnsi" w:eastAsia="Times New Roman"/>
          <w:bCs w:val="0"/>
        </w:rPr>
      </w:pPr>
      <w:r>
        <w:rPr>
          <w:rFonts w:asciiTheme="minorHAnsi" w:hAnsiTheme="minorHAnsi" w:eastAsia="Times New Roman"/>
          <w:bCs w:val="0"/>
        </w:rPr>
        <w:t xml:space="preserve">• För eventuella stabilitetshöjande åtgärder inom kvartersmarken ansvarar fastighetsägaren till Boden 57:67. </w:t>
      </w:r>
    </w:p>
    <w:p>
      <w:pPr>
        <w:pStyle w:val="P3"/>
        <w:numPr>
          <w:ilvl w:val="0"/>
          <w:numId w:val="0"/>
        </w:numPr>
        <w:ind w:firstLine="0" w:left="720"/>
        <w:rPr>
          <w:rFonts w:asciiTheme="minorHAnsi" w:hAnsiTheme="minorHAnsi" w:eastAsia="Times New Roman"/>
          <w:bCs w:val="0"/>
        </w:rPr>
      </w:pPr>
      <w:r>
        <w:rPr>
          <w:rFonts w:asciiTheme="minorHAnsi" w:hAnsiTheme="minorHAnsi" w:eastAsia="Times New Roman"/>
          <w:bCs w:val="0"/>
        </w:rPr>
        <w:t>• Eventuell sulfidjord, (vilken inte är klassad som markförorening) inom kvartersmark hanteras av fastighetsägaren. Det är upp till fastighetsägaren till Boden 57:67 att ha en handlingsplan redo om sulfidjord påträffas vid byggnation.</w:t>
      </w:r>
    </w:p>
    <w:p>
      <w:pPr>
        <w:pStyle w:val="P2"/>
      </w:pPr>
      <w:bookmarkEnd w:id="106"/>
      <w:bookmarkEnd w:id="107"/>
      <w:bookmarkStart w:id="108" w:name="gf_planavgift01"/>
      <w:r>
        <w:t>Planavgift/planavtal</w:t>
      </w:r>
    </w:p>
    <w:p>
      <w:r>
        <w:t>Pionjären Fastighets AB och Bodens kommun har planavtal.</w:t>
      </w:r>
    </w:p>
    <w:p>
      <w:pPr>
        <w:pStyle w:val="P3"/>
      </w:pPr>
      <w:bookmarkStart w:id="109" w:name="gf_gemensamhetsanläggningar01"/>
      <w:r>
        <w:t>Gemensamhetsanläggningar</w:t>
      </w:r>
    </w:p>
    <w:p>
      <w:r>
        <w:t>Det kan finnas behov att inrätta gemensamhetsanläggningar för gemensamma delar inom planområdet för kommande fastighetsägare.</w:t>
      </w:r>
    </w:p>
    <w:p>
      <w:pPr>
        <w:pStyle w:val="P3"/>
      </w:pPr>
      <w:bookmarkEnd w:id="109"/>
      <w:bookmarkStart w:id="110" w:name="gf_driftallmänplats01"/>
      <w:r>
        <w:t>Drift allmän plats</w:t>
      </w:r>
    </w:p>
    <w:p>
      <w:r>
        <w:t>Kommunen ansvarar för drift och underhåll av NATUR-mark.</w:t>
      </w:r>
    </w:p>
    <w:p>
      <w:pPr>
        <w:pStyle w:val="P3"/>
      </w:pPr>
      <w:bookmarkEnd w:id="110"/>
      <w:bookmarkStart w:id="111" w:name="gf_driftvattenochavlopp01"/>
      <w:r>
        <w:t>Drift vatten och avlopp</w:t>
      </w:r>
    </w:p>
    <w:p>
      <w:r>
        <w:t>Fastighetsägaren ansvarar för byggnation av ledningsnät inom kvartersmark. Anläggning överlåts sedan till kommunen som då ansvarar för all drift och underhåll avseende vatten och avlopp.</w:t>
      </w:r>
    </w:p>
    <w:p>
      <w:pPr>
        <w:pStyle w:val="P2"/>
      </w:pPr>
      <w:bookmarkEnd w:id="108"/>
      <w:bookmarkEnd w:id="111"/>
      <w:r>
        <w:t>Organisatoriska frågor</w:t>
      </w:r>
    </w:p>
    <w:p>
      <w:pPr>
        <w:pStyle w:val="P3"/>
      </w:pPr>
      <w:bookmarkStart w:id="112" w:name="gf_tidplan01"/>
      <w:r>
        <w:t>Tidplan</w:t>
      </w:r>
    </w:p>
    <w:p>
      <w:r>
        <w:t>Detaljplanen handläggs med utökat förfarande enligt Plan- och bygglagen. PBL och planeras antas av kommunfullmäktige under första kvartalet 2025.</w:t>
      </w:r>
    </w:p>
    <w:p>
      <w:pPr>
        <w:pStyle w:val="P3"/>
      </w:pPr>
      <w:bookmarkEnd w:id="112"/>
      <w:r>
        <w:t>Genomförandetid</w:t>
      </w:r>
    </w:p>
    <w:p>
      <w:r>
        <w:t>Genomförandetiden är den tidsrymd inom vilken en detaljplan är tänkt att genomföras. En detaljplan fortsätter att gälla, även efter genomförandetidens slut, fram till den dag kommunen gör en ny plan eller till dess att planen ändras eller upphävs. Ändring av detaljplanen får ske under genomförandetiden för att införa fastighetsindelningsbestämmelser.</w:t>
      </w:r>
    </w:p>
    <w:p>
      <w:bookmarkStart w:id="113" w:name="gf_genomförandetid01"/>
      <w:r>
        <w:t xml:space="preserve">Genomförandetiden är 5 år från den dag planen vinner laga kraft. </w:t>
      </w:r>
    </w:p>
    <w:p>
      <w:pPr>
        <w:pStyle w:val="P1"/>
      </w:pPr>
      <w:bookmarkEnd w:id="113"/>
      <w:bookmarkStart w:id="114" w:name="_Toc178064918"/>
      <w:r>
        <w:t>Konsekvenser</w:t>
      </w:r>
      <w:bookmarkEnd w:id="114"/>
    </w:p>
    <w:p>
      <w:pPr>
        <w:pStyle w:val="P2"/>
      </w:pPr>
      <w:r>
        <w:t>Hälsa och säkerhet</w:t>
      </w:r>
    </w:p>
    <w:p>
      <w:pPr>
        <w:pStyle w:val="P3"/>
      </w:pPr>
      <w:bookmarkStart w:id="115" w:name="ko_olyckor01"/>
      <w:r>
        <w:t>Farligt gods</w:t>
      </w:r>
    </w:p>
    <w:p>
      <w:r>
        <w:t xml:space="preserve">I den regionala </w:t>
      </w:r>
      <w:r>
        <w:rPr>
          <w:i w:val="1"/>
          <w:iCs w:val="1"/>
        </w:rPr>
        <w:t>Riktlinjer farligt gods i Norr- och Västerbotten</w:t>
      </w:r>
      <w:r>
        <w:t xml:space="preserve"> anges att rekommenderat skyddsavstånd för ny bebyggelse till </w:t>
      </w:r>
      <w:r>
        <w:rPr>
          <w:i w:val="1"/>
          <w:iCs w:val="1"/>
        </w:rPr>
        <w:t>Farligt gods på väg</w:t>
      </w:r>
      <w:r>
        <w:t xml:space="preserve"> är 55 meter. I riktlinjerna beskrivs att småhusbebyggelse, kontor och centrumverksamhet ingår i en kategori om </w:t>
      </w:r>
      <w:r>
        <w:rPr>
          <w:i w:val="1"/>
          <w:iCs w:val="1"/>
        </w:rPr>
        <w:t xml:space="preserve">Normalkänslig verksamhet. </w:t>
      </w:r>
      <w:r>
        <w:t>För denna kategori, med en hastighetsbegränsning på väg med farligt gods, och med för Sveavägen gällande ÅDT för lastbilar, gäller inget särskilt skyddsavstånd.</w:t>
      </w:r>
    </w:p>
    <w:p>
      <w:r>
        <w:t xml:space="preserve">Ny bostadsbebyggelse skulle kunna byggas så nära som 30 meter från Sveavägen. Risker avseende transporter av farligt gods bedöms enligt gällande riktlinjer som låga och inget skyddsavstånd eller skyddsåtgärder erfordras.  </w:t>
      </w:r>
    </w:p>
    <w:p>
      <w:pPr>
        <w:pStyle w:val="P3"/>
      </w:pPr>
      <w:bookmarkEnd w:id="115"/>
      <w:bookmarkStart w:id="116" w:name="ko_erosion01"/>
      <w:bookmarkStart w:id="117" w:name="ko_skred01"/>
      <w:bookmarkStart w:id="118" w:name="ko_ras01"/>
      <w:r>
        <w:t>Risk för erosion, skred och ras</w:t>
      </w:r>
    </w:p>
    <w:p>
      <w:r>
        <w:t xml:space="preserve">I genomförd utredning anges en begränsningslinje för utfyllnad av tomter, cirka 30 meter från Bodån, och för nya byggnader ca. 35 meter. Genom att planförslaget följer utredningens rekommendation om skyddsavstånd anses risk för ras, erosion och skred vara hanterad. </w:t>
      </w:r>
    </w:p>
    <w:p>
      <w:r>
        <w:t>Avgränsningen av byggrätten gällande höjd och placering samt de erosionsskydd som planförslaget kräver bedöms vara tillräckliga åtgärder ur ett stabilitetsperspektiv.</w:t>
      </w:r>
    </w:p>
    <w:p>
      <w:pPr>
        <w:pStyle w:val="P3"/>
      </w:pPr>
      <w:bookmarkEnd w:id="116"/>
      <w:bookmarkEnd w:id="117"/>
      <w:bookmarkEnd w:id="118"/>
      <w:bookmarkStart w:id="119" w:name="ko_beräkningavomgivningsbuller01"/>
      <w:r>
        <w:t>Buller</w:t>
      </w:r>
    </w:p>
    <w:p>
      <w:r>
        <w:t>Planområdet ligger längs Sveavägen. Planförslaget har god närhet till kollektivtrafik och gång- och cykelinfrastruktur, och bedöms inte bidra betydande till trafikmängderna på vägen. Någon risk för överskridande av gällande riktvärden för buller föreligger ej.</w:t>
      </w:r>
    </w:p>
    <w:p>
      <w:r>
        <w:t>Trafikbuller från främst Sveavägen påverkar befintlig kanslibyggnad avseende möjligheten att bygga om delar av den till bostäder. Om byggnaden ska byggas om för bostäder är det enligt gällande bullerförordning nödvändigt att bostäderna är mindre än 35 m</w:t>
      </w:r>
      <w:r>
        <w:rPr>
          <w:vertAlign w:val="superscript"/>
        </w:rPr>
        <w:t>2</w:t>
      </w:r>
      <w:r>
        <w:t xml:space="preserve">. Samtliga våningsplan av kanslibyggnad är möjliga att bygga om till mindre bostäder. </w:t>
      </w:r>
    </w:p>
    <w:p>
      <w:r>
        <w:rPr>
          <w:noProof w:val="1"/>
        </w:rPr>
        <w:drawing>
          <wp:inline xmlns:wp="http://schemas.openxmlformats.org/drawingml/2006/wordprocessingDrawing" distT="0" distB="0" distL="0" distR="0">
            <wp:extent cx="5221605" cy="2169160"/>
            <wp:effectExtent l="0" t="0" r="0" b="2540"/>
            <wp:docPr id="200562638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626383" name="Picture 54"/>
                    <pic:cNvPicPr/>
                  </pic:nvPicPr>
                  <pic:blipFill dpi="0">
                    <a:blip xmlns:r="http://schemas.openxmlformats.org/officeDocument/2006/relationships" r:embed="Relimage22"/>
                    <a:srcRect/>
                    <a:stretch>
                      <a:fillRect/>
                    </a:stretch>
                  </pic:blipFill>
                  <pic:spPr>
                    <a:xfrm>
                      <a:off x="0" y="0"/>
                      <a:ext cx="5221605" cy="2169160"/>
                    </a:xfrm>
                    <a:prstGeom prst="rect"/>
                  </pic:spPr>
                </pic:pic>
              </a:graphicData>
            </a:graphic>
          </wp:inline>
        </w:drawing>
      </w:r>
    </w:p>
    <w:p>
      <w:pPr>
        <w:rPr>
          <w:i w:val="1"/>
          <w:iCs w:val="1"/>
        </w:rPr>
      </w:pPr>
      <w:r>
        <w:rPr>
          <w:i w:val="1"/>
          <w:iCs w:val="1"/>
        </w:rPr>
        <w:t>Exempel på möjlig lägenhetsindelning för bottenplan på fd kanslibyggnad</w:t>
      </w:r>
    </w:p>
    <w:p>
      <w:r>
        <w:rPr>
          <w:noProof w:val="1"/>
        </w:rPr>
        <w:drawing>
          <wp:inline xmlns:wp="http://schemas.openxmlformats.org/drawingml/2006/wordprocessingDrawing" distT="0" distB="0" distL="0" distR="0">
            <wp:extent cx="5221605" cy="2207260"/>
            <wp:effectExtent l="0" t="0" r="0" b="2540"/>
            <wp:docPr id="141733737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37375" name="Picture 55"/>
                    <pic:cNvPicPr/>
                  </pic:nvPicPr>
                  <pic:blipFill dpi="0">
                    <a:blip xmlns:r="http://schemas.openxmlformats.org/officeDocument/2006/relationships" r:embed="Relimage23"/>
                    <a:srcRect/>
                    <a:stretch>
                      <a:fillRect/>
                    </a:stretch>
                  </pic:blipFill>
                  <pic:spPr>
                    <a:xfrm>
                      <a:off x="0" y="0"/>
                      <a:ext cx="5221605" cy="2207260"/>
                    </a:xfrm>
                    <a:prstGeom prst="rect"/>
                  </pic:spPr>
                </pic:pic>
              </a:graphicData>
            </a:graphic>
          </wp:inline>
        </w:drawing>
      </w:r>
    </w:p>
    <w:p>
      <w:pPr>
        <w:rPr>
          <w:i w:val="1"/>
          <w:iCs w:val="1"/>
        </w:rPr>
      </w:pPr>
      <w:r>
        <w:rPr>
          <w:i w:val="1"/>
          <w:iCs w:val="1"/>
        </w:rPr>
        <w:t>Exempel på möjlig lägenhetsindelning för våning 1 på fd kanslibyggnad</w:t>
      </w:r>
    </w:p>
    <w:p>
      <w:pPr>
        <w:rPr>
          <w:i w:val="1"/>
          <w:iCs w:val="1"/>
        </w:rPr>
      </w:pPr>
      <w:r>
        <w:rPr>
          <w:i w:val="1"/>
          <w:iCs w:val="1"/>
          <w:noProof w:val="1"/>
        </w:rPr>
        <w:drawing>
          <wp:inline xmlns:wp="http://schemas.openxmlformats.org/drawingml/2006/wordprocessingDrawing" distT="0" distB="0" distL="0" distR="0">
            <wp:extent cx="5221605" cy="2237740"/>
            <wp:effectExtent l="0" t="0" r="0" b="0"/>
            <wp:docPr id="162772551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725510" name="Picture 56"/>
                    <pic:cNvPicPr/>
                  </pic:nvPicPr>
                  <pic:blipFill dpi="0">
                    <a:blip xmlns:r="http://schemas.openxmlformats.org/officeDocument/2006/relationships" r:embed="Relimage24"/>
                    <a:srcRect/>
                    <a:stretch>
                      <a:fillRect/>
                    </a:stretch>
                  </pic:blipFill>
                  <pic:spPr>
                    <a:xfrm>
                      <a:off x="0" y="0"/>
                      <a:ext cx="5221605" cy="2237740"/>
                    </a:xfrm>
                    <a:prstGeom prst="rect"/>
                  </pic:spPr>
                </pic:pic>
              </a:graphicData>
            </a:graphic>
          </wp:inline>
        </w:drawing>
      </w:r>
    </w:p>
    <w:p>
      <w:pPr>
        <w:rPr>
          <w:i w:val="1"/>
          <w:iCs w:val="1"/>
        </w:rPr>
      </w:pPr>
      <w:r>
        <w:rPr>
          <w:i w:val="1"/>
          <w:iCs w:val="1"/>
        </w:rPr>
        <w:t>Exempel på möjlig lägenhetsindelning för våning 2 på fd kanslibyggnad</w:t>
      </w:r>
    </w:p>
    <w:p>
      <w:bookmarkEnd w:id="119"/>
    </w:p>
    <w:p>
      <w:pPr>
        <w:pStyle w:val="P2"/>
      </w:pPr>
      <w:r>
        <w:t>Natur</w:t>
      </w:r>
    </w:p>
    <w:p>
      <w:pPr>
        <w:pStyle w:val="P3"/>
      </w:pPr>
      <w:bookmarkStart w:id="120" w:name="ko_geoteknik01"/>
      <w:r>
        <w:t>Geoteknik</w:t>
      </w:r>
    </w:p>
    <w:p>
      <w:r>
        <w:t>Genom föreslagna åtgärder beroende på byggnadstyp bedöms risken för sättningar vara godtagbar. På delar av området kommer sättningsreducerande åtgärder i form av kompensationsgrundläggning och/eller förbelastning krävas. Vatten från dräneringar, dagvatten och spillvatten får inte okontrollerat eller koncentrerat ledas ut över slänter utan att erforderliga erosionsskyddande åtgärder har vidtagits för att säkra markstabiliteten. Kompletterande undersökningar utifrån vald layout och typ av byggnader bör utföras inför detaljprojektering av grundläggning för att möjliggöra optimering sättningsreducerande åtgärder.</w:t>
      </w:r>
    </w:p>
    <w:p>
      <w:pPr>
        <w:pStyle w:val="P3"/>
      </w:pPr>
      <w:bookmarkEnd w:id="120"/>
      <w:bookmarkStart w:id="121" w:name="ko_strandskydd01"/>
      <w:r>
        <w:t>Strandskydd</w:t>
      </w:r>
    </w:p>
    <w:p>
      <w:r>
        <w:t xml:space="preserve">Strandskyddet syftar långsiktigt till att trygga förutsättningar för allemansrättslig tillgång till strandområden och bevara goda livsvillkor för djur- och växtlivet på land och i vatten. I samband med detaljplanens genomförande upphävs strandskyddet med hänvisning till 7 kap. 18 c </w:t>
      </w:r>
      <w:r>
        <w:rPr>
          <w:i w:val="1"/>
          <w:iCs w:val="1"/>
        </w:rPr>
        <w:t>punkt 5. området behöver tas i anspråk för att tillgodose ett angeläget allmänt intresse som inte kan tillgodoses utanför området.</w:t>
      </w:r>
      <w:r>
        <w:t xml:space="preserve">   Strandskyddet behöver bara upphävas för del av kvartersmark. </w:t>
      </w:r>
    </w:p>
    <w:p>
      <w:r>
        <w:t xml:space="preserve">I kommunens fördjupade översiktsplan för Boden och Sävast (2020) har kommunen kommit fram till att området behövs som ett led i att klara bostadsförsörjningen för nuvarande och framtida kommuninvånare. Sammantaget bedöms det vara ett angeläget allmänt intresse att bygga fler bostäder i Boden och planområdet har stora fördelar för en hållbar samhällsutveckling genom att det kan erbjuda centrumnära bostäder i en attraktiv boendemiljö där det finns tillgänglig kollektivtrafik. </w:t>
      </w:r>
    </w:p>
    <w:p>
      <w:r>
        <w:t xml:space="preserve">Planförslaget bidrar på så vis till en effektiv markanvändning och till miljömålet en god bebyggd miljö.  Området har sedan 1960-talet varit planlagt för militärt ändamål vilket i dagsläget innebär att naturvärden inte är skyddade. Området har samtidigt inte varit tillgängligt för allmänheten.</w:t>
      </w:r>
    </w:p>
    <w:p>
      <w:r>
        <w:t>Uttag ur artdataportalen finner följande observationer inom planområdet på 2000-talet; Ringduva, Gärdsmyg, Nötväcka Koltrast, Bofink, Stenknäck, Steglits. Ingen av nämnda arter är i dagsläget rödlistade (nära hotade).</w:t>
      </w:r>
    </w:p>
    <w:p>
      <w:pPr>
        <w:rPr>
          <w:highlight w:val="yellow"/>
        </w:rPr>
      </w:pPr>
    </w:p>
    <w:tbl>
      <w:tblPr>
        <w:tblStyle w:val="T2"/>
        <w:tblW w:w="0" w:type="auto"/>
        <w:tblLook w:val="04A0"/>
      </w:tblPr>
      <w:tblGrid/>
      <w:tr>
        <w:tc>
          <w:tcPr>
            <w:tcW w:w="4088" w:type="dxa"/>
          </w:tcPr>
          <w:p>
            <w:pPr>
              <w:rPr>
                <w:highlight w:val="yellow"/>
              </w:rPr>
            </w:pPr>
            <w:r>
              <w:rPr>
                <w:noProof w:val="1"/>
                <w:highlight w:val="yellow"/>
              </w:rPr>
              <w:drawing>
                <wp:inline xmlns:wp="http://schemas.openxmlformats.org/drawingml/2006/wordprocessingDrawing" distT="0" distB="0" distL="0" distR="0">
                  <wp:extent cx="2467610" cy="2847975"/>
                  <wp:effectExtent l="0" t="0" r="8890" b="0"/>
                  <wp:docPr id="125811769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117690" name="Picture 57"/>
                          <pic:cNvPicPr/>
                        </pic:nvPicPr>
                        <pic:blipFill dpi="0">
                          <a:blip xmlns:r="http://schemas.openxmlformats.org/officeDocument/2006/relationships" r:embed="Relimage25"/>
                          <a:srcRect t="-1" b="611"/>
                          <a:stretch>
                            <a:fillRect/>
                          </a:stretch>
                        </pic:blipFill>
                        <pic:spPr bwMode="auto">
                          <a:xfrm>
                            <a:off x="0" y="0"/>
                            <a:ext cx="2481869" cy="2864397"/>
                          </a:xfrm>
                          <a:prstGeom prst="rect"/>
                          <a:ln>
                            <a:noFill/>
                          </a:ln>
                        </pic:spPr>
                      </pic:pic>
                    </a:graphicData>
                  </a:graphic>
                </wp:inline>
              </w:drawing>
            </w:r>
          </w:p>
        </w:tc>
        <w:tc>
          <w:tcPr>
            <w:tcW w:w="4125" w:type="dxa"/>
          </w:tcPr>
          <w:p>
            <w:pPr>
              <w:rPr>
                <w:highlight w:val="yellow"/>
              </w:rPr>
            </w:pPr>
            <w:r>
              <w:rPr>
                <w:noProof w:val="1"/>
                <w:highlight w:val="yellow"/>
              </w:rPr>
              <w:drawing>
                <wp:inline xmlns:wp="http://schemas.openxmlformats.org/drawingml/2006/wordprocessingDrawing" distT="0" distB="0" distL="0" distR="0">
                  <wp:extent cx="2499995" cy="2847975"/>
                  <wp:effectExtent l="0" t="0" r="0" b="0"/>
                  <wp:docPr id="36464638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646389" name="Picture 58"/>
                          <pic:cNvPicPr/>
                        </pic:nvPicPr>
                        <pic:blipFill dpi="0">
                          <a:blip xmlns:r="http://schemas.openxmlformats.org/officeDocument/2006/relationships" r:embed="Relimage26"/>
                          <a:srcRect/>
                          <a:stretch>
                            <a:fillRect/>
                          </a:stretch>
                        </pic:blipFill>
                        <pic:spPr>
                          <a:xfrm>
                            <a:off x="0" y="0"/>
                            <a:ext cx="2508652" cy="2857821"/>
                          </a:xfrm>
                          <a:prstGeom prst="rect"/>
                        </pic:spPr>
                      </pic:pic>
                    </a:graphicData>
                  </a:graphic>
                </wp:inline>
              </w:drawing>
            </w:r>
          </w:p>
        </w:tc>
      </w:tr>
    </w:tbl>
    <w:p>
      <w:pPr>
        <w:rPr>
          <w:i w:val="1"/>
          <w:iCs w:val="1"/>
        </w:rPr>
      </w:pPr>
      <w:r>
        <w:rPr>
          <w:i w:val="1"/>
          <w:iCs w:val="1"/>
        </w:rPr>
        <w:t>Jämförelse av vegetation mellan 1975 och idag för det område där strandskyddet upphävs.</w:t>
      </w:r>
    </w:p>
    <w:p>
      <w:r>
        <w:t>De flesta äldre träden, som är något viktigare och svårare att ersätta för biologisk mångfald, står på det som i planen planläggs som NATUR-område närmast Bodån. Detta har kunnat fastställas genom att titta på flygfoton från 1975 och jämföra med idag.</w:t>
      </w:r>
    </w:p>
    <w:p/>
    <w:p/>
    <w:p>
      <w:r>
        <w:rPr>
          <w:noProof w:val="1"/>
        </w:rPr>
        <w:drawing>
          <wp:inline xmlns:wp="http://schemas.openxmlformats.org/drawingml/2006/wordprocessingDrawing" distT="0" distB="0" distL="0" distR="0">
            <wp:extent cx="3600450" cy="3830955"/>
            <wp:effectExtent l="0" t="0" r="0" b="0"/>
            <wp:docPr id="157330316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03163" name="Picture 59"/>
                    <pic:cNvPicPr/>
                  </pic:nvPicPr>
                  <pic:blipFill dpi="0">
                    <a:blip xmlns:r="http://schemas.openxmlformats.org/officeDocument/2006/relationships" r:embed="Relimage27"/>
                    <a:srcRect/>
                    <a:stretch>
                      <a:fillRect/>
                    </a:stretch>
                  </pic:blipFill>
                  <pic:spPr>
                    <a:xfrm>
                      <a:off x="0" y="0"/>
                      <a:ext cx="3605017" cy="3836004"/>
                    </a:xfrm>
                    <a:prstGeom prst="rect"/>
                  </pic:spPr>
                </pic:pic>
              </a:graphicData>
            </a:graphic>
          </wp:inline>
        </w:drawing>
      </w:r>
    </w:p>
    <w:p>
      <w:pPr>
        <w:rPr>
          <w:i w:val="1"/>
          <w:iCs w:val="1"/>
        </w:rPr>
      </w:pPr>
      <w:r>
        <w:rPr>
          <w:i w:val="1"/>
          <w:iCs w:val="1"/>
        </w:rPr>
        <w:t>Område som inom planområde där strandskyddet upphävs</w:t>
      </w:r>
    </w:p>
    <w:p>
      <w:r>
        <w:t>Kommunen anser att planförslaget innebär att möjligheten för allmänheten att röra sig till Bodån ökar vid byggande av gång- och cykelväg. Eftersom området idag är planlagt som militärt ändamål stärks skyddet för växt- och djurliv genom att strandskyddet för NATUR-område närmast Bodån inte upphävs. En särskild naturvärdesinventering bedöms samtidigt inte vara av väsentlig vikt. Eftersom området där strandskyddet upphävs är väl skiljt från strandkanten, både i längd och höjdled, förändras inte några särskilt väsentliga förhållanden för växt- och djurliv.</w:t>
      </w:r>
    </w:p>
    <w:p>
      <w:r>
        <w:t>Kommunen anser att området behöver tas i anspråk för att tillgodose ett angeläget allmänt intresse gällande bostadsförsörjning som inte kan tillgodoses utanför området samt att planförslagets påverkan på strandskyddets syften är ringa. Kommunen avser därför att upphäva strandskyddet med hänvisning till det femte skälet i 7 kap. 18 c § miljöbalken.</w:t>
      </w:r>
    </w:p>
    <w:p>
      <w:r>
        <w:t>I kommunens bostadsförsörjningsprogram från 2023 ska Boden kommun säkerställa att det finns detaljplaner som möjliggör byggnation av totalt 2 700 bostäder fram till 2030. Det står i samma plan att det är särskilt viktigt att möjliggöra fler bostäder i centrumnära och attraktiva lägen. Av dessa skäl väger behovet av fler bostäder tyngre än strandskyddet för en viss del av området.</w:t>
      </w:r>
    </w:p>
    <w:p>
      <w:pPr>
        <w:pStyle w:val="P2"/>
      </w:pPr>
      <w:bookmarkEnd w:id="121"/>
      <w:bookmarkStart w:id="122" w:name="ko_kulturmiljöochgestaltning01"/>
      <w:r>
        <w:t>Kulturmiljö och stadsbild</w:t>
      </w:r>
    </w:p>
    <w:p>
      <w:pPr>
        <w:rPr>
          <w:rFonts w:ascii="Times New Roman" w:hAnsi="Times New Roman"/>
          <w:szCs w:val="24"/>
        </w:rPr>
      </w:pPr>
      <w:r>
        <w:rPr>
          <w:rFonts w:ascii="Times New Roman" w:hAnsi="Times New Roman"/>
          <w:szCs w:val="24"/>
        </w:rPr>
        <w:t>Idag används den före detta kanslibyggnaden som kontor. Byggnaden har kulturhistoriska värden varför en kulturmiljöutredning (Kulturmiljöutredning, Norrbottens museum), som fastställer dessa värden är framtagen. I utredningen sammanfattas att byggnadens arkitektoniska värden ska bevaras samt övergripande närliggande omgivning. Den anlagda grönytan med parkkaraktär framför den befintliga byggnadens östra fasad bidrar till områdets militära karaktär, samt till att framhäva byggnaden och dess status. Parkytans militära prägel speglas av förekomsten av symmetri och ordning i den estetiska gestaltningen, samt av buskhäcken i norr och björkraden i öst. Det är betydelsefullt för upplevelsen av planområdet att denna yta även fortsättningsvis får en bevarad funktion som grönområde och förblir obebyggd. Viktigt är också att siktlinjer till byggnaden bevaras.</w:t>
      </w:r>
    </w:p>
    <w:p>
      <w:pPr>
        <w:rPr>
          <w:rFonts w:ascii="Times New Roman" w:hAnsi="Times New Roman"/>
          <w:szCs w:val="24"/>
        </w:rPr>
      </w:pPr>
      <w:r>
        <w:rPr>
          <w:rFonts w:ascii="Times New Roman" w:hAnsi="Times New Roman"/>
          <w:szCs w:val="24"/>
        </w:rPr>
        <w:t xml:space="preserve">Ny planläggning av fastigheten bör också ske på ett sätt som innebär att siktlinjerna mot närliggande regementsbyggnader på motsatt sida om Bodån inte försvagas eller på annat sätt påverkas negativt. </w:t>
      </w:r>
    </w:p>
    <w:p>
      <w:pPr>
        <w:rPr>
          <w:rFonts w:ascii="Times New Roman" w:hAnsi="Times New Roman"/>
          <w:szCs w:val="24"/>
        </w:rPr>
      </w:pPr>
      <w:r>
        <w:rPr>
          <w:rFonts w:ascii="Times New Roman" w:hAnsi="Times New Roman"/>
          <w:szCs w:val="24"/>
        </w:rPr>
        <w:t xml:space="preserve">Befintliga vägar på planområdet skapar ett naturligt rörelsestråk till- och från byggnaden, samt bidrar till siktlinjer som framhäver byggnadens placering och ställning. Vägarna kan med fördel bevaras som rörelsestråk på planområdet vid ny planläggning av området.  </w:t>
      </w:r>
    </w:p>
    <w:p>
      <w:r>
        <w:t>För att ny bebyggelse inte ska inverka negativt på upplevelsen av den befintliga byggnaden och på viktiga siktlinjer behöver nya byggnader placeras på ett säkert avstånd från både den befintliga byggnaden och från Sveavägen. Nya byggnader bör därför inte uppföras framför den befintliga byggnadens östra, norra och västra fasad. Rekommenderad placering av nya byggnader är sydost om den befintliga byggnaden, på ett minsta avstånd på 50 meter från byggnadens södra, östra och norra sidor. In mot planområdet kan dock ett absolut minsta avstånd på 40 meter vara möjligt under förutsättningen att växtlighet i form av träd eller buskar bevaras eller planteras mellan den befintlig byggnaden och ny bebyggelse för avskärmande effekt.</w:t>
      </w:r>
    </w:p>
    <w:p>
      <w:r>
        <w:t xml:space="preserve">De konsekvenser som detaljplanens genomförande bedöms innebära för kulturmiljön och stadsbilden anses godtagbara. Fd kanslibyggnad med omkringliggande miljö skyddas genom att inte möjliggöra nya byggnader som kan påverka upplevelsen av dessa värden. Byggnadens arkitektoniska värden skyddas med varsamhetsbestämmelser och rivningsförbud samtidigt som ny bebyggelse inte ska kunna uppföras i liknande material, färg eller form. </w:t>
      </w:r>
    </w:p>
    <w:p>
      <w:r>
        <w:t xml:space="preserve">Detaljplanen innebär ny bostadsbebyggelse på ett område som i nuläget till största delen är naturmark, vilket innebär att stadsbilden lokalt kommer att förändras vid ett genomförande av detaljplanen.  </w:t>
      </w:r>
    </w:p>
    <w:p>
      <w:pPr>
        <w:pStyle w:val="P2"/>
      </w:pPr>
      <w:bookmarkEnd w:id="122"/>
      <w:bookmarkStart w:id="123" w:name="ko_sociala01"/>
      <w:r>
        <w:t>Sociala aspekter</w:t>
      </w:r>
    </w:p>
    <w:p>
      <w:r>
        <w:t xml:space="preserve">Planförslaget innebär att delar av det naturområde som finns inom planområdet idag ändras till ett bostadsområde. </w:t>
      </w:r>
    </w:p>
    <w:p>
      <w:r>
        <w:t xml:space="preserve">Det finns potential att skapa spännande mötesplatser med plats för olika aktiviteter i närhet till kommande gång- och cykelväg vid Bodån. Detta uppmuntrar till ett hållbart transportsätt samtidigt som det skapar liv och rörelse inom området. </w:t>
      </w:r>
    </w:p>
    <w:p>
      <w:r>
        <w:t>Möjligheten till olika hustyper kan bidra till varierade upplåtelseformer och en långsiktig social hållbarhet.</w:t>
      </w:r>
    </w:p>
    <w:p>
      <w:pPr>
        <w:pStyle w:val="P2"/>
      </w:pPr>
      <w:bookmarkEnd w:id="123"/>
      <w:bookmarkStart w:id="124" w:name="ko_barn01"/>
      <w:r>
        <w:t>Barnkonventionen</w:t>
      </w:r>
    </w:p>
    <w:p>
      <w:r>
        <w:t>Inom en stad eller en tätort behöver ytor som riktar sig mot barn finnas. Bilfria ytor såsom en park eller naturmark är ett sådant exempel som kan uppmuntra till lek eller rekreation.</w:t>
      </w:r>
    </w:p>
    <w:p>
      <w:r>
        <w:t xml:space="preserve">Bostadsområdet har direkt koppling till omkringliggande naturområden, vilket innebär att barn kan röra sig mellan hemmet och dessa områden utan att korsa trafikerade vägar.  </w:t>
      </w:r>
    </w:p>
    <w:p>
      <w:r>
        <w:t>Planområdet ligger relativt centrumnära. Att tillskapa bostäder i centrala lägen minskar dessutom bilberoende för boende när avståndet mellan olika målpunkter minskar. Det innebär att barn och ungdomar i större utsträckning ges möjligheten att självständigt förflytta sig mellan exempelvis bostad och skola eller fritidsaktiviteter.</w:t>
      </w:r>
    </w:p>
    <w:p>
      <w:pPr>
        <w:pStyle w:val="P2"/>
      </w:pPr>
      <w:bookmarkEnd w:id="124"/>
      <w:bookmarkStart w:id="125" w:name="ko_jämlikhet01"/>
      <w:r>
        <w:t>Jämlikhet och jämställdhet</w:t>
      </w:r>
    </w:p>
    <w:p>
      <w:r>
        <w:t>Detaljplanen främjar jämlika och goda levnadsförhållanden, för alla individer, då dess genomförande möjliggör olika sorters boende i ett centrumnära läge med tillgång till kollektivtrafik.</w:t>
      </w:r>
    </w:p>
    <w:p>
      <w:pPr>
        <w:pStyle w:val="P2"/>
      </w:pPr>
      <w:bookmarkEnd w:id="125"/>
      <w:bookmarkStart w:id="126" w:name="ko_trafik01"/>
      <w:r>
        <w:t>Gator och trafik</w:t>
      </w:r>
    </w:p>
    <w:p>
      <w:r>
        <w:t>I den trafikrapport som sammanställts av Bodens kommun uppgår dygnstrafiken på Sveavägen till 5097 passager med en medelhastighet på 47 km/h. Skyltad hastighet för sträckan är 50 km/h. Tillfart till det nya bostadsområdet kommer att ske från Sveavägen. Bodens kommuns bedömning är att den ökning av trafik som exploateringen medför inte ger några betydande olägenheter för omkringliggande bostäder eller verksamheter. Parkeringsbehovet uppskattas kunna lösas inom den egna fastigheten och vid behov av en samlad parkering inrättas en gemensamhetsanläggning som en samfällighetsförening för drifta.</w:t>
      </w:r>
    </w:p>
    <w:p>
      <w:pPr>
        <w:pStyle w:val="P2"/>
      </w:pPr>
      <w:bookmarkEnd w:id="126"/>
      <w:bookmarkStart w:id="127" w:name="ko_annat01"/>
      <w:r>
        <w:t>Teknisk försörjning</w:t>
      </w:r>
    </w:p>
    <w:p>
      <w:pPr>
        <w:pStyle w:val="P3"/>
      </w:pPr>
      <w:r>
        <w:t>Avfallshantering</w:t>
      </w:r>
    </w:p>
    <w:p>
      <w:r>
        <w:t>Vägar inom planområdet utformas för att klara fastighetsnära avfallshantering. Vägar ska klara 12 meter långa sop- och budbilar. Dessa ska klara att vända utan att backa vilket innebär att vändplatser behöver en radie om 9 meter med en friyta om ca. 1,5 meter runt om. Vägen inom området behöver hålla en minsta bredd om 5 meter samtidigt som skaften in till vändplatser behöver vara minst 5,5 meter.</w:t>
      </w:r>
    </w:p>
    <w:p>
      <w:r>
        <w:t xml:space="preserve">Det är också möjligt att inom planområdet bygga återvinningsstation för sortering av annat avfall. </w:t>
      </w:r>
    </w:p>
    <w:p>
      <w:pPr>
        <w:pStyle w:val="P3"/>
      </w:pPr>
      <w:r>
        <w:t>Snö-, dagvatten- och skyfallshantering</w:t>
      </w:r>
    </w:p>
    <w:p>
      <w:r>
        <w:t>I detaljplaneförslaget har finns det goda möjligheter för fördröjning av dagvatten via en torrdamm samt möjligheter för breddning av diken. Ytorna för dagvatten samt den mängd vatten de ska kunna fördröja bedöms tillräcklig för att hantera och rena det dagvatten som påverkar detaljplaneområdet. Därav bedöms inga negativa konsekvenser kopplade till dagvattenhanteringen uppstå på grund av detaljplaneförslaget.</w:t>
      </w:r>
      <w:bookmarkEnd w:id="127"/>
      <w:r>
        <w:t xml:space="preserve">  </w:t>
      </w:r>
    </w:p>
    <w:p>
      <w:pPr>
        <w:pStyle w:val="P2"/>
      </w:pPr>
      <w:bookmarkStart w:id="128" w:name="ko_fastigheterochrättigheter01"/>
      <w:r>
        <w:t>Ekonomi</w:t>
      </w:r>
    </w:p>
    <w:p>
      <w:r>
        <w:t>Ett genomförande av detaljplanen kommer bland annat innebära fastighetsrättsliga kostnader samt åtaganden och kostnader för fastighetsägaren avseende röjning och deponering av snö inom kvartersmark.</w:t>
      </w:r>
    </w:p>
    <w:p>
      <w:pPr>
        <w:pStyle w:val="P1"/>
      </w:pPr>
      <w:bookmarkEnd w:id="128"/>
      <w:bookmarkStart w:id="129" w:name="_Toc178064919"/>
      <w:bookmarkStart w:id="130" w:name="be_ärendeinformation04"/>
      <w:r>
        <w:t>Medverkande</w:t>
      </w:r>
      <w:bookmarkEnd w:id="129"/>
    </w:p>
    <w:p>
      <w:r>
        <w:t xml:space="preserve">Handlingarna är upprättade av Fredrik Spjut, planarkitekt, Spjut &amp; Rogander Plan och Arkitektur. </w:t>
      </w:r>
    </w:p>
    <w:p>
      <w:r>
        <w:t>I planarbetet har Malin Eriksson, planarkitekt, Ellinor Isaksson Larsson, Plan- och exploateringschef, Bodens kommun, medverkat.</w:t>
      </w:r>
    </w:p>
    <w:p/>
    <w:p>
      <w:r>
        <w:t>Antagen av Kommunfullmäktige 2025-04-23</w:t>
      </w:r>
    </w:p>
    <w:p>
      <w:r>
        <w:t>Laga kraft 2025-05-23</w:t>
      </w:r>
    </w:p>
    <w:p/>
    <w:p>
      <w:r>
        <w:t>Bestyrktes på tjänstens vägnar;</w:t>
      </w:r>
    </w:p>
    <w:p/>
    <w:p>
      <w:r>
        <w:t>Monika Karlsson</w:t>
      </w:r>
    </w:p>
    <w:p>
      <w:r>
        <w:t>Mark- och planhandläggare</w:t>
      </w:r>
    </w:p>
    <w:p/>
    <w:p>
      <w:r>
        <w:t>Boden 2025-05-23</w:t>
      </w:r>
    </w:p>
    <w:p>
      <w:r>
        <w:t>Samhällsbyggnadsförvaltningen, fysisk planering</w:t>
      </w:r>
    </w:p>
    <w:p/>
    <w:p/>
    <w:p>
      <w:r>
        <w:t>Ellinor Isaksson Larsson</w:t>
        <w:tab/>
      </w:r>
      <w:bookmarkStart w:id="131" w:name="be_planarkitekt01"/>
      <w:r>
        <w:t>Malin Eriksson</w:t>
        <w:tab/>
        <w:t>Fredrik Spjut</w:t>
      </w:r>
      <w:bookmarkEnd w:id="131"/>
    </w:p>
    <w:p>
      <w:r>
        <w:t>Plan- och exploateringschef</w:t>
        <w:tab/>
        <w:t>Planarkitekt</w:t>
        <w:tab/>
        <w:tab/>
        <w:t>Planarkitekt (konsult)</w:t>
      </w:r>
    </w:p>
    <w:p>
      <w:bookmarkEnd w:id="130"/>
    </w:p>
    <w:p>
      <w:pPr>
        <w:rPr>
          <w:highlight w:val="yellow"/>
        </w:rPr>
      </w:pPr>
    </w:p>
    <w:p/>
    <w:p/>
    <w:p/>
    <w:p/>
    <w:p/>
    <w:p/>
    <w:p/>
    <w:p>
      <w:pPr>
        <w:rPr>
          <w:highlight w:val="yellow"/>
        </w:rPr>
      </w:pPr>
    </w:p>
    <w:p>
      <w:pPr>
        <w:rPr>
          <w:highlight w:val="yellow"/>
        </w:rPr>
      </w:pPr>
    </w:p>
    <w:p>
      <w:pPr>
        <w:rPr>
          <w:highlight w:val="yellow"/>
        </w:rPr>
      </w:pPr>
    </w:p>
    <w:p>
      <w:pPr>
        <w:rPr>
          <w:highlight w:val="yellow"/>
        </w:rPr>
      </w:pPr>
    </w:p>
    <w:p>
      <w:pPr>
        <w:rPr>
          <w:highlight w:val="yellow"/>
        </w:rPr>
      </w:pPr>
    </w:p>
    <w:p>
      <w:pPr>
        <w:rPr>
          <w:highlight w:val="yellow"/>
        </w:rPr>
      </w:pPr>
    </w:p>
    <w:p>
      <w:pPr>
        <w:rPr>
          <w:highlight w:val="yellow"/>
        </w:rPr>
      </w:pPr>
    </w:p>
    <w:p>
      <w:pPr>
        <w:jc w:val="center"/>
      </w:pPr>
      <w:r>
        <w:rPr>
          <w:noProof w:val="1"/>
          <w:lang w:eastAsia="sv-SE"/>
        </w:rPr>
        <w:drawing>
          <wp:inline xmlns:wp="http://schemas.openxmlformats.org/drawingml/2006/wordprocessingDrawing" distT="0" distB="0" distL="0" distR="0">
            <wp:extent cx="821055" cy="1184275"/>
            <wp:effectExtent l="0" t="0" r="0" b="0"/>
            <wp:docPr id="7" name="Bildobjekt 7"/>
            <wp:cNvGraphicFramePr/>
            <a:graphic xmlns:a="http://schemas.openxmlformats.org/drawingml/2006/main">
              <a:graphicData uri="http://schemas.openxmlformats.org/drawingml/2006/picture">
                <pic:pic xmlns:pic="http://schemas.openxmlformats.org/drawingml/2006/picture">
                  <pic:nvPicPr>
                    <pic:cNvPr id="5" name="Picture 60"/>
                    <pic:cNvPicPr/>
                  </pic:nvPicPr>
                  <pic:blipFill dpi="0">
                    <a:blip xmlns:r="http://schemas.openxmlformats.org/officeDocument/2006/relationships" r:embed="Relimage28"/>
                    <a:srcRect/>
                    <a:stretch>
                      <a:fillRect/>
                    </a:stretch>
                  </pic:blipFill>
                  <pic:spPr>
                    <a:xfrm>
                      <a:off x="0" y="0"/>
                      <a:ext cx="821055" cy="1184275"/>
                    </a:xfrm>
                    <a:prstGeom prst="rect"/>
                  </pic:spPr>
                </pic:pic>
              </a:graphicData>
            </a:graphic>
          </wp:inline>
        </w:drawing>
      </w:r>
    </w:p>
    <w:p>
      <w:pPr>
        <w:pStyle w:val="P11"/>
        <w:jc w:val="center"/>
        <w:rPr>
          <w:rFonts w:ascii="Arial" w:hAnsi="Arial" w:cs="Arial"/>
          <w:b w:val="1"/>
          <w:szCs w:val="20"/>
        </w:rPr>
      </w:pPr>
      <w:r>
        <w:rPr>
          <w:rFonts w:ascii="Arial" w:hAnsi="Arial" w:cs="Arial"/>
          <w:b w:val="1"/>
          <w:szCs w:val="20"/>
        </w:rPr>
        <w:t>Samhällsbyggnadsförvaltningen</w:t>
      </w:r>
    </w:p>
    <w:p>
      <w:pPr>
        <w:pStyle w:val="P11"/>
        <w:jc w:val="center"/>
        <w:rPr>
          <w:rFonts w:ascii="Arial" w:hAnsi="Arial" w:cs="Arial"/>
          <w:bCs w:val="1"/>
          <w:szCs w:val="20"/>
        </w:rPr>
      </w:pPr>
      <w:r>
        <w:rPr>
          <w:rFonts w:ascii="Arial" w:hAnsi="Arial" w:cs="Arial"/>
          <w:bCs w:val="1"/>
          <w:szCs w:val="20"/>
        </w:rPr>
        <w:t>Fysisk planering</w:t>
      </w:r>
    </w:p>
    <w:p>
      <w:pPr>
        <w:pStyle w:val="P11"/>
        <w:spacing w:before="240" w:beforeAutospacing="0" w:afterAutospacing="0"/>
        <w:jc w:val="center"/>
        <w:rPr>
          <w:rFonts w:ascii="Arial" w:hAnsi="Arial" w:cs="Arial"/>
          <w:szCs w:val="20"/>
        </w:rPr>
      </w:pPr>
      <w:r>
        <w:rPr>
          <w:rFonts w:ascii="Arial" w:hAnsi="Arial" w:cs="Arial"/>
          <w:szCs w:val="20"/>
        </w:rPr>
        <w:t>2025 juni</w:t>
      </w:r>
    </w:p>
    <w:p>
      <w:pPr>
        <w:jc w:val="center"/>
      </w:pPr>
      <w:r>
        <w:rPr>
          <w:noProof w:val="1"/>
          <w:lang w:eastAsia="sv-SE"/>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5339715</wp:posOffset>
                </wp:positionH>
                <wp:positionV relativeFrom="paragraph">
                  <wp:posOffset>1044575</wp:posOffset>
                </wp:positionV>
                <wp:extent cx="1200150" cy="828675"/>
                <wp:effectExtent l="0" t="0" r="0" b="9525"/>
                <wp:wrapNone/>
                <wp:docPr id="27" name="Rektangel 27"/>
                <wp:cNvGraphicFramePr/>
                <a:graphic xmlns:a="http://schemas.openxmlformats.org/drawingml/2006/main">
                  <a:graphicData uri="http://schemas.microsoft.com/office/word/2010/wordprocessingShape">
                    <wps:wsp>
                      <wps:cNvSpPr/>
                      <wps:spPr>
                        <a:xfrm>
                          <a:off x="0" y="0"/>
                          <a:ext cx="1200150" cy="828675"/>
                        </a:xfrm>
                        <a:prstGeom prst="rect"/>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27" o:spid="_x0000_s1028" style="position:absolute;width:94.5pt;height:65.25pt;z-index:5;mso-wrap-distance-left:9pt;mso-wrap-distance-top:0pt;mso-wrap-distance-right:9pt;mso-wrap-distance-bottom:0pt;margin-left:420.45pt;margin-top:82.25pt;mso-position-horizontal:absolute;mso-position-horizontal-relative:text;mso-position-vertical:absolute;mso-position-vertical-relative:text;v-text-anchor:middle" o:allowincell="t" fillcolor="#FFFFFF" strokeweight="2pt" stroked="f">
                <v:textbox inset="3mm,1mm,3mm,1mm">
                  <w:txbxContent>
                    <w:p/>
                  </w:txbxContent>
                </v:textbox>
              </v:rect>
            </w:pict>
          </mc:Fallback>
        </mc:AlternateContent>
      </w:r>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9" w:h="16834" w:code="0"/>
      <w:pgMar w:left="1701" w:right="1985" w:top="3119" w:bottom="2552" w:header="737" w:footer="851" w:gutter="0"/>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pStyle w:val="P3"/>
        <w:rPr>
          <w:rFonts w:ascii="Times New Roman" w:hAnsi="Times New Roman" w:eastAsia="Times New Roman"/>
        </w:rPr>
      </w:pPr>
      <w:r>
        <w:separator/>
      </w:r>
    </w:p>
  </w:endnote>
  <w:endnote w:type="continuationSeparator" w:id="0">
    <w:p>
      <w:pPr>
        <w:pStyle w:val="P3"/>
        <w:rPr>
          <w:rFonts w:ascii="Times New Roman" w:hAnsi="Times New Roman" w:eastAsia="Times New Roman"/>
        </w:rPr>
      </w:pPr>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tbl>
    <w:tblPr>
      <w:tblStyle w:val="T2"/>
      <w:tblW w:w="3497" w:type="dxa"/>
      <w:tblInd w:w="-851"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left w:w="0" w:type="dxa"/>
        <w:right w:w="0" w:type="dxa"/>
      </w:tblCellMar>
      <w:tblLook w:val="04A0"/>
    </w:tblPr>
    <w:tblGrid/>
    <w:tr>
      <w:trPr>
        <w:trHeight w:hRule="atLeast" w:val="1417"/>
      </w:trPr>
      <w:tc>
        <w:tcPr>
          <w:tcW w:w="3497" w:type="dxa"/>
          <w:vAlign w:val="bottom"/>
        </w:tcPr>
        <w:p>
          <w:pPr>
            <w:pStyle w:val="P11"/>
          </w:pPr>
          <w:r>
            <w:t>Samhällsbyggnadsförvaltningen</w:t>
          </w:r>
        </w:p>
        <w:p>
          <w:pPr>
            <w:pStyle w:val="P11"/>
          </w:pPr>
          <w:r>
            <w:t>Fysisk planering</w:t>
          </w:r>
        </w:p>
        <w:p>
          <w:pPr>
            <w:pStyle w:val="P11"/>
          </w:pPr>
          <w:r>
            <w:t>Malin Eriksson, Planarkitekt</w:t>
          </w:r>
        </w:p>
        <w:p>
          <w:pPr>
            <w:pStyle w:val="P11"/>
            <w:rPr>
              <w:lang w:val="en-US"/>
            </w:rPr>
          </w:pPr>
          <w:r>
            <w:rPr>
              <w:lang w:val="en-US"/>
            </w:rPr>
            <w:t>tel. 0921-625 71</w:t>
          </w:r>
        </w:p>
        <w:p>
          <w:pPr>
            <w:pStyle w:val="P11"/>
            <w:rPr>
              <w:lang w:val="en-US"/>
            </w:rPr>
          </w:pPr>
          <w:r>
            <w:rPr>
              <w:lang w:val="en-US"/>
            </w:rPr>
            <w:t>malin.eriksson@boden.se</w:t>
          </w:r>
        </w:p>
      </w:tc>
    </w:tr>
  </w:tbl>
  <w:p>
    <w:pPr>
      <w:pStyle w:val="P21"/>
    </w:pPr>
    <w:r>
      <w:rPr>
        <w:noProof w:val="1"/>
        <w:lang w:eastAsia="sv-SE"/>
      </w:rPr>
      <mc:AlternateContent>
        <mc:Choice Requires="wps">
          <w:drawing>
            <wp:anchor xmlns:wp="http://schemas.openxmlformats.org/drawingml/2006/wordprocessingDrawing" distT="0" distB="0" distL="114300" distR="114300" simplePos="0" relativeHeight="251654139" behindDoc="1" locked="0" layoutInCell="1" allowOverlap="1">
              <wp:simplePos x="0" y="0"/>
              <wp:positionH relativeFrom="page">
                <wp:posOffset>6238240</wp:posOffset>
              </wp:positionH>
              <wp:positionV relativeFrom="page">
                <wp:posOffset>8991600</wp:posOffset>
              </wp:positionV>
              <wp:extent cx="827405" cy="1259840"/>
              <wp:effectExtent l="0" t="0" r="10795" b="0"/>
              <wp:wrapNone/>
              <wp:docPr id="1" name="Logotype 1"/>
              <wp:cNvGraphicFramePr/>
              <a:graphic xmlns:a="http://schemas.openxmlformats.org/drawingml/2006/main">
                <a:graphicData uri="http://schemas.microsoft.com/office/word/2010/wordprocessingShape">
                  <wps:wsp>
                    <wps:cNvSpPr txBox="1"/>
                    <wps:spPr>
                      <a:xfrm>
                        <a:off x="0" y="0"/>
                        <a:ext cx="828005" cy="1260000"/>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rPr>
                              <w:noProof w:val="1"/>
                              <w:lang w:eastAsia="sv-SE"/>
                            </w:rPr>
                            <w:drawing>
                              <wp:inline distT="0" distB="0" distL="0" distR="0">
                                <wp:extent cx="821055" cy="1184275"/>
                                <wp:effectExtent l="0" t="0" r="0" b="0"/>
                                <wp:docPr id="25" name="Bildobjekt 25"/>
                                <wp:cNvGraphicFramePr/>
                                <a:graphic>
                                  <a:graphicData uri="http://schemas.openxmlformats.org/drawingml/2006/picture">
                                    <pic:pic xmlns:pic="http://schemas.openxmlformats.org/drawingml/2006/picture">
                                      <pic:nvPicPr>
                                        <pic:cNvPr id="5" name="Picture 61"/>
                                        <pic:cNvPicPr/>
                                      </pic:nvPicPr>
                                      <pic:blipFill dpi="0">
                                        <a:blip xmlns:r="http://schemas.openxmlformats.org/officeDocument/2006/relationships" r:embed="Relimage31"/>
                                        <a:srcRect/>
                                        <a:stretch>
                                          <a:fillRect/>
                                        </a:stretch>
                                      </pic:blipFill>
                                      <pic:spPr>
                                        <a:xfrm>
                                          <a:off x="0" y="0"/>
                                          <a:ext cx="821055" cy="1184275"/>
                                        </a:xfrm>
                                        <a:prstGeom prst="rec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Logotype 1" o:spid="_x0000_s1031" style="position:absolute;width:65.15pt;height:99.2pt;z-index:251654139;mso-wrap-distance-left:9pt;mso-wrap-distance-top:0pt;mso-wrap-distance-right:9pt;mso-wrap-distance-bottom:0pt;margin-left:491.2pt;margin-top:708pt;mso-position-horizontal:absolute;mso-position-horizontal-relative:page;mso-position-vertical:absolute;mso-position-vertical-relative:page" o:allowincell="t" filled="f" strokeweight="0.5pt" stroked="f">
              <v:textbox inset="0mm,0mm,0mm,0mm">
                <w:txbxContent>
                  <w:p>
                    <w:r>
                      <w:rPr>
                        <w:noProof w:val="1"/>
                        <w:lang w:eastAsia="sv-SE"/>
                      </w:rPr>
                      <w:drawing>
                        <wp:inline xmlns:wp="http://schemas.openxmlformats.org/drawingml/2006/wordprocessingDrawing" distT="0" distB="0" distL="0" distR="0">
                          <wp:extent cx="821055" cy="1184275"/>
                          <wp:effectExtent l="0" t="0" r="0" b="0"/>
                          <wp:docPr id="25" name="Bildobjekt 25"/>
                          <wp:cNvGraphicFramePr/>
                          <a:graphic xmlns:a="http://schemas.openxmlformats.org/drawingml/2006/main">
                            <a:graphicData uri="http://schemas.openxmlformats.org/drawingml/2006/picture">
                              <pic:pic xmlns:pic="http://schemas.openxmlformats.org/drawingml/2006/picture">
                                <pic:nvPicPr>
                                  <pic:cNvPr id="5" name="Picture 61"/>
                                  <pic:cNvPicPr/>
                                </pic:nvPicPr>
                                <pic:blipFill dpi="0">
                                  <a:blip xmlns:r="http://schemas.openxmlformats.org/officeDocument/2006/relationships" r:embed="Relimage31"/>
                                  <a:srcRect/>
                                  <a:stretch>
                                    <a:fillRect/>
                                  </a:stretch>
                                </pic:blipFill>
                                <pic:spPr>
                                  <a:xfrm>
                                    <a:off x="0" y="0"/>
                                    <a:ext cx="821055" cy="1184275"/>
                                  </a:xfrm>
                                  <a:prstGeom prst="rect"/>
                                </pic:spPr>
                              </pic:pic>
                            </a:graphicData>
                          </a:graphic>
                        </wp:inline>
                      </w:drawing>
                    </w:r>
                  </w:p>
                </w:txbxContent>
              </v:textbox>
            </v:shape>
          </w:pict>
        </mc:Fallback>
      </mc:AlternateContent>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W w:w="9379" w:type="dxa"/>
      <w:tblInd w:w="-23"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left w:w="0" w:type="dxa"/>
        <w:right w:w="0" w:type="dxa"/>
      </w:tblCellMar>
      <w:tblLook w:val="04A0"/>
    </w:tblPr>
    <w:tblGrid/>
    <w:tr>
      <w:trPr>
        <w:trHeight w:hRule="atLeast" w:val="283"/>
      </w:trPr>
      <w:tc>
        <w:tcPr>
          <w:tcW w:w="9072" w:type="dxa"/>
          <w:shd w:val="clear" w:color="auto" w:fill="auto"/>
          <w:vAlign w:val="bottom"/>
        </w:tcPr>
        <w:p>
          <w:pPr>
            <w:pStyle w:val="P10"/>
          </w:pPr>
        </w:p>
      </w:tc>
      <w:tc>
        <w:tcPr>
          <w:tcW w:w="307" w:type="dxa"/>
          <w:tcBorders>
            <w:left w:val="single" w:sz="18" w:space="0" w:shadow="0" w:frame="0" w:color="75B325" w:themeColor="accent1"/>
          </w:tcBorders>
          <w:shd w:val="clear" w:color="auto" w:fill="auto"/>
          <w:vAlign w:val="bottom"/>
        </w:tcPr>
        <w:p>
          <w:pPr>
            <w:pStyle w:val="P10"/>
            <w:jc w:val="right"/>
          </w:pPr>
          <w:r>
            <w:fldChar w:fldCharType="begin"/>
          </w:r>
          <w:r>
            <w:instrText xml:space="preserve"> PAGE   \* MERGEFORMAT </w:instrText>
          </w:r>
          <w:r>
            <w:fldChar w:fldCharType="separate"/>
          </w:r>
          <w:r>
            <w:rPr>
              <w:noProof w:val="1"/>
            </w:rPr>
            <w:t>#</w:t>
          </w:r>
          <w:r>
            <w:fldChar w:fldCharType="end"/>
          </w:r>
        </w:p>
      </w:tc>
    </w:tr>
  </w:tbl>
  <w:p>
    <w:pPr>
      <w:pStyle w:val="P21"/>
    </w:pPr>
  </w:p>
  <w:p/>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pStyle w:val="P3"/>
        <w:rPr>
          <w:rFonts w:ascii="Times New Roman" w:hAnsi="Times New Roman" w:eastAsia="Times New Roman"/>
        </w:rPr>
      </w:pPr>
      <w:r>
        <w:separator/>
      </w:r>
    </w:p>
  </w:footnote>
  <w:footnote w:type="continuationSeparator" w:id="0">
    <w:p>
      <w:pPr>
        <w:pStyle w:val="P3"/>
        <w:rPr>
          <w:rFonts w:ascii="Times New Roman" w:hAnsi="Times New Roman" w:eastAsia="Times New Roman"/>
        </w:rPr>
      </w:pPr>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tabs>
        <w:tab w:val="clear" w:pos="4536" w:leader="none"/>
        <w:tab w:val="right" w:pos="8507" w:leader="none"/>
        <w:tab w:val="clear" w:pos="9072" w:leader="none"/>
      </w:tabs>
      <w:spacing w:after="9900" w:beforeAutospacing="0" w:afterAutospacing="0"/>
    </w:pPr>
    <w:r>
      <w:rPr>
        <w:noProof w:val="1"/>
        <w:lang w:eastAsia="sv-SE"/>
      </w:rPr>
      <w:drawing>
        <wp:anchor xmlns:wp="http://schemas.openxmlformats.org/drawingml/2006/wordprocessingDrawing" distT="0" distB="0" distL="114300" distR="114300" simplePos="0" relativeHeight="3" behindDoc="0" locked="0" layoutInCell="1" allowOverlap="1">
          <wp:simplePos x="0" y="0"/>
          <wp:positionH relativeFrom="margin">
            <wp:posOffset>-1133475</wp:posOffset>
          </wp:positionH>
          <wp:positionV relativeFrom="paragraph">
            <wp:posOffset>-560070</wp:posOffset>
          </wp:positionV>
          <wp:extent cx="6301740" cy="6279515"/>
          <wp:effectExtent l="0" t="0" r="0" b="6985"/>
          <wp:wrapNone/>
          <wp:docPr id="12" name="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skt element_outline_vit.png"/>
                  <pic:cNvPicPr/>
                </pic:nvPicPr>
                <pic:blipFill dpi="0">
                  <a:blip xmlns:r="http://schemas.openxmlformats.org/officeDocument/2006/relationships" r:embed="Relimage29"/>
                  <a:srcRect/>
                  <a:stretch>
                    <a:fillRect/>
                  </a:stretch>
                </pic:blipFill>
                <pic:spPr>
                  <a:xfrm>
                    <a:off x="0" y="0"/>
                    <a:ext cx="6301740" cy="6279515"/>
                  </a:xfrm>
                  <a:prstGeom prst="rect"/>
                </pic:spPr>
              </pic:pic>
            </a:graphicData>
          </a:graphic>
        </wp:anchor>
      </w:drawing>
    </w:r>
    <w:r>
      <w:rPr>
        <w:noProof w:val="1"/>
        <w:lang w:eastAsia="sv-SE"/>
      </w:rPr>
      <mc:AlternateContent>
        <mc:Choice Requires="wps">
          <w:drawing>
            <wp:anchor xmlns:wp="http://schemas.openxmlformats.org/drawingml/2006/wordprocessingDrawing" distT="0" distB="0" distL="114300" distR="114300" simplePos="0" relativeHeight="251654138" behindDoc="1" locked="0" layoutInCell="1" allowOverlap="1">
              <wp:simplePos x="0" y="0"/>
              <wp:positionH relativeFrom="page">
                <wp:align>left</wp:align>
              </wp:positionH>
              <wp:positionV relativeFrom="page">
                <wp:align>top</wp:align>
              </wp:positionV>
              <wp:extent cx="7563485" cy="6125210"/>
              <wp:effectExtent l="0" t="0" r="0" b="0"/>
              <wp:wrapNone/>
              <wp:docPr id="3" name="Image" hidden="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563933" cy="6125210"/>
                      </a:xfrm>
                      <a:prstGeom prst="rect"/>
                      <a:solidFill>
                        <a:schemeClr val="bg1">
                          <a:lumMod val="95000"/>
                        </a:schemeClr>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Image" o:spid="_x0000_s1029" style="position:absolute;width:595.55pt;height:482.3pt;z-index:251654138;mso-wrap-distance-left:9pt;mso-wrap-distance-top:0pt;mso-wrap-distance-right:9pt;mso-wrap-distance-bottom:0pt;margin-left:0pt;margin-top:0pt;mso-position-horizontal:left;mso-position-horizontal-relative:page;mso-position-vertical:top;mso-position-vertical-relative:page" o:allowincell="t" fillcolor="#F2F2F2" strokeweight="0.5pt" stroked="f">
              <v:textbox inset="0mm,0mm,0mm,0mm">
                <w:txbxContent>
                  <w:p/>
                </w:txbxContent>
              </v:textbox>
              <o:lock aspectratio="t"/>
              <o:lock aspectratio="t"/>
            </v:shape>
          </w:pict>
        </mc:Fallback>
      </mc:AlternateContent>
    </w:r>
    <w:r>
      <w:rPr>
        <w:noProof w:val="1"/>
        <w:lang w:eastAsia="sv-SE"/>
      </w:rPr>
      <mc:AlternateContent>
        <mc:Choice Requires="wps">
          <w:drawing>
            <wp:anchor xmlns:wp="http://schemas.openxmlformats.org/drawingml/2006/wordprocessingDrawing" distT="0" distB="0" distL="114300" distR="114300" simplePos="0" relativeHeight="251654137" behindDoc="1" locked="0" layoutInCell="1" allowOverlap="1">
              <wp:simplePos x="0" y="0"/>
              <wp:positionH relativeFrom="page">
                <wp:align>left</wp:align>
              </wp:positionH>
              <wp:positionV relativeFrom="paragraph">
                <wp:posOffset>-472440</wp:posOffset>
              </wp:positionV>
              <wp:extent cx="7576185" cy="6139180"/>
              <wp:effectExtent l="0" t="0" r="5715" b="0"/>
              <wp:wrapNone/>
              <wp:docPr id="2" name="Box"/>
              <wp:cNvGraphicFramePr/>
              <a:graphic xmlns:a="http://schemas.openxmlformats.org/drawingml/2006/main">
                <a:graphicData uri="http://schemas.microsoft.com/office/word/2010/wordprocessingShape">
                  <wps:wsp>
                    <wps:cNvSpPr/>
                    <wps:spPr>
                      <a:xfrm>
                        <a:off x="0" y="0"/>
                        <a:ext cx="7576458" cy="6139543"/>
                      </a:xfrm>
                      <a:prstGeom prst="rect"/>
                      <a:solidFill>
                        <a:srgbClr val="75B32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Box" o:spid="_x0000_s1030" style="position:absolute;width:596.55pt;height:483.4pt;z-index:251654137;mso-wrap-distance-left:9pt;mso-wrap-distance-top:0pt;mso-wrap-distance-right:9pt;mso-wrap-distance-bottom:0pt;margin-left:0pt;margin-top:-37.2pt;mso-position-horizontal:left;mso-position-horizontal-relative:page;mso-position-vertical:absolute;mso-position-vertical-relative:text;v-text-anchor:middle" o:allowincell="t" fillcolor="#75B325" strokeweight="2pt" stroked="f">
              <v:textbox inset="3mm,1mm,3mm,1mm">
                <w:txbxContent>
                  <w:p/>
                </w:txbxContent>
              </v:textbox>
            </v:rect>
          </w:pict>
        </mc:Fallback>
      </mc:AlternateContent>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pPr>
    <w:r>
      <w:rPr>
        <w:noProof w:val="1"/>
        <w:lang w:eastAsia="sv-SE"/>
      </w:rPr>
      <w:drawing>
        <wp:anchor xmlns:wp="http://schemas.openxmlformats.org/drawingml/2006/wordprocessingDrawing" distT="0" distB="0" distL="114300" distR="114300" simplePos="0" relativeHeight="4" behindDoc="0" locked="0" layoutInCell="1" allowOverlap="1">
          <wp:simplePos x="0" y="0"/>
          <wp:positionH relativeFrom="column">
            <wp:posOffset>-518160</wp:posOffset>
          </wp:positionH>
          <wp:positionV relativeFrom="paragraph">
            <wp:posOffset>-2540</wp:posOffset>
          </wp:positionV>
          <wp:extent cx="6472555" cy="362585"/>
          <wp:effectExtent l="0" t="0" r="0" b="0"/>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opp_rapportmall.jpg"/>
                  <pic:cNvPicPr/>
                </pic:nvPicPr>
                <pic:blipFill dpi="0">
                  <a:blip xmlns:r="http://schemas.openxmlformats.org/officeDocument/2006/relationships" r:embed="Relimage30"/>
                  <a:srcRect/>
                  <a:stretch>
                    <a:fillRect/>
                  </a:stretch>
                </pic:blipFill>
                <pic:spPr>
                  <a:xfrm>
                    <a:off x="0" y="0"/>
                    <a:ext cx="6472800" cy="362991"/>
                  </a:xfrm>
                  <a:prstGeom prst="rect"/>
                </pic:spPr>
              </pic:pic>
            </a:graphicData>
          </a:graphic>
        </wp:anchor>
      </w:drawing>
    </w:r>
  </w:p>
  <w:p/>
  <w:p/>
</w:hdr>
</file>

<file path=word/numbering.xml><?xml version="1.0" encoding="utf-8"?>
<w:numbering xmlns:w="http://schemas.openxmlformats.org/wordprocessingml/2006/main">
  <w:abstractNum w:abstractNumId="0">
    <w:nsid w:val="02E839EA"/>
    <w:multiLevelType w:val="hybridMultilevel"/>
    <w:lvl w:ilvl="0" w:tplc="26144CB6">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
    <w:nsid w:val="030341EB"/>
    <w:multiLevelType w:val="multilevel"/>
    <w:lvl w:ilvl="0">
      <w:start w:val="3"/>
      <w:numFmt w:val="decimal"/>
      <w:suff w:val="tab"/>
      <w:lvlText w:val="%1"/>
      <w:lvlJc w:val="left"/>
      <w:pPr>
        <w:ind w:hanging="405" w:left="405"/>
      </w:pPr>
      <w:rPr>
        <w:rFonts w:hint="default"/>
      </w:rPr>
    </w:lvl>
    <w:lvl w:ilvl="1">
      <w:start w:val="1"/>
      <w:numFmt w:val="decimal"/>
      <w:suff w:val="tab"/>
      <w:lvlText w:val="%1.%2"/>
      <w:lvlJc w:val="left"/>
      <w:pPr>
        <w:ind w:hanging="720" w:left="1080"/>
      </w:pPr>
      <w:rPr>
        <w:rFonts w:hint="default"/>
      </w:rPr>
    </w:lvl>
    <w:lvl w:ilvl="2">
      <w:start w:val="1"/>
      <w:numFmt w:val="decimal"/>
      <w:suff w:val="tab"/>
      <w:lvlText w:val="%1.%2.%3"/>
      <w:lvlJc w:val="left"/>
      <w:pPr>
        <w:ind w:hanging="720" w:left="1440"/>
      </w:pPr>
      <w:rPr>
        <w:rFonts w:hint="default"/>
      </w:rPr>
    </w:lvl>
    <w:lvl w:ilvl="3">
      <w:start w:val="1"/>
      <w:numFmt w:val="decimal"/>
      <w:suff w:val="tab"/>
      <w:lvlText w:val="%1.%2.%3.%4"/>
      <w:lvlJc w:val="left"/>
      <w:pPr>
        <w:ind w:hanging="1080" w:left="2160"/>
      </w:pPr>
      <w:rPr>
        <w:rFonts w:hint="default"/>
      </w:rPr>
    </w:lvl>
    <w:lvl w:ilvl="4">
      <w:start w:val="1"/>
      <w:numFmt w:val="decimal"/>
      <w:suff w:val="tab"/>
      <w:lvlText w:val="%1.%2.%3.%4.%5"/>
      <w:lvlJc w:val="left"/>
      <w:pPr>
        <w:ind w:hanging="1440" w:left="2880"/>
      </w:pPr>
      <w:rPr>
        <w:rFonts w:hint="default"/>
      </w:rPr>
    </w:lvl>
    <w:lvl w:ilvl="5">
      <w:start w:val="1"/>
      <w:numFmt w:val="decimal"/>
      <w:suff w:val="tab"/>
      <w:lvlText w:val="%1.%2.%3.%4.%5.%6"/>
      <w:lvlJc w:val="left"/>
      <w:pPr>
        <w:ind w:hanging="1440" w:left="3240"/>
      </w:pPr>
      <w:rPr>
        <w:rFonts w:hint="default"/>
      </w:rPr>
    </w:lvl>
    <w:lvl w:ilvl="6">
      <w:start w:val="1"/>
      <w:numFmt w:val="decimal"/>
      <w:suff w:val="tab"/>
      <w:lvlText w:val="%1.%2.%3.%4.%5.%6.%7"/>
      <w:lvlJc w:val="left"/>
      <w:pPr>
        <w:ind w:hanging="1800" w:left="3960"/>
      </w:pPr>
      <w:rPr>
        <w:rFonts w:hint="default"/>
      </w:rPr>
    </w:lvl>
    <w:lvl w:ilvl="7">
      <w:start w:val="1"/>
      <w:numFmt w:val="decimal"/>
      <w:suff w:val="tab"/>
      <w:lvlText w:val="%1.%2.%3.%4.%5.%6.%7.%8"/>
      <w:lvlJc w:val="left"/>
      <w:pPr>
        <w:ind w:hanging="1800" w:left="4320"/>
      </w:pPr>
      <w:rPr>
        <w:rFonts w:hint="default"/>
      </w:rPr>
    </w:lvl>
    <w:lvl w:ilvl="8">
      <w:start w:val="1"/>
      <w:numFmt w:val="decimal"/>
      <w:suff w:val="tab"/>
      <w:lvlText w:val="%1.%2.%3.%4.%5.%6.%7.%8.%9"/>
      <w:lvlJc w:val="left"/>
      <w:pPr>
        <w:ind w:hanging="2160" w:left="5040"/>
      </w:pPr>
      <w:rPr>
        <w:rFonts w:hint="default"/>
      </w:rPr>
    </w:lvl>
  </w:abstractNum>
  <w:abstractNum w:abstractNumId="2">
    <w:nsid w:val="063430B8"/>
    <w:multiLevelType w:val="hybridMultilevel"/>
    <w:lvl w:ilvl="0" w:tplc="041D000F">
      <w:start w:val="1"/>
      <w:numFmt w:val="decimal"/>
      <w:suff w:val="tab"/>
      <w:lvlText w:val="%1."/>
      <w:lvlJc w:val="left"/>
      <w:pPr>
        <w:ind w:hanging="360" w:left="720"/>
      </w:pPr>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3">
    <w:nsid w:val="06E05E95"/>
    <w:multiLevelType w:val="multilevel"/>
    <w:lvl w:ilvl="0">
      <w:start w:val="1"/>
      <w:numFmt w:val="bullet"/>
      <w:suff w:val="tab"/>
      <w:lvlText w:val=""/>
      <w:lvlJc w:val="left"/>
      <w:pPr>
        <w:ind w:hanging="340" w:left="680"/>
        <w:tabs>
          <w:tab w:val="num" w:pos="680" w:leader="none"/>
        </w:tabs>
      </w:pPr>
      <w:rPr>
        <w:rFonts w:ascii="Symbol" w:hAnsi="Symbol" w:hint="default"/>
        <w:sz w:val="18"/>
      </w:rPr>
    </w:lvl>
    <w:lvl w:ilvl="1">
      <w:start w:val="1"/>
      <w:numFmt w:val="lowerLetter"/>
      <w:suff w:val="tab"/>
      <w:lvlText w:val="◦"/>
      <w:lvlJc w:val="left"/>
      <w:pPr>
        <w:ind w:hanging="340" w:left="1020"/>
        <w:tabs>
          <w:tab w:val="num" w:pos="1020" w:leader="none"/>
        </w:tabs>
      </w:pPr>
      <w:rPr>
        <w:rFonts w:ascii="Arial" w:hAnsi="Arial" w:cs="Arial" w:hint="default"/>
        <w:sz w:val="18"/>
      </w:rPr>
    </w:lvl>
    <w:lvl w:ilvl="2">
      <w:start w:val="1"/>
      <w:numFmt w:val="lowerRoman"/>
      <w:suff w:val="tab"/>
      <w:lvlText w:val="-"/>
      <w:lvlJc w:val="left"/>
      <w:pPr>
        <w:ind w:hanging="340" w:left="1360"/>
        <w:tabs>
          <w:tab w:val="num" w:pos="1360" w:leader="none"/>
        </w:tabs>
      </w:pPr>
      <w:rPr>
        <w:rFonts w:ascii="Times New Roman" w:hAnsi="Times New Roman" w:cs="Times New Roman" w:hint="default"/>
      </w:rPr>
    </w:lvl>
    <w:lvl w:ilvl="3">
      <w:start w:val="1"/>
      <w:numFmt w:val="bullet"/>
      <w:suff w:val="tab"/>
      <w:lvlText w:val="-"/>
      <w:lvlJc w:val="left"/>
      <w:pPr>
        <w:ind w:hanging="340" w:left="1700"/>
        <w:tabs>
          <w:tab w:val="num" w:pos="1700" w:leader="none"/>
        </w:tabs>
      </w:pPr>
      <w:rPr>
        <w:rFonts w:ascii="Times New Roman" w:hAnsi="Times New Roman" w:cs="Times New Roman" w:hint="default"/>
      </w:rPr>
    </w:lvl>
    <w:lvl w:ilvl="4">
      <w:start w:val="1"/>
      <w:numFmt w:val="lowerLetter"/>
      <w:suff w:val="tab"/>
      <w:lvlText w:val="(%5)"/>
      <w:lvlJc w:val="left"/>
      <w:pPr>
        <w:ind w:hanging="340" w:left="2040"/>
        <w:tabs>
          <w:tab w:val="num" w:pos="2040" w:leader="none"/>
        </w:tabs>
      </w:pPr>
      <w:rPr>
        <w:rFonts w:hint="default"/>
      </w:rPr>
    </w:lvl>
    <w:lvl w:ilvl="5">
      <w:start w:val="1"/>
      <w:numFmt w:val="lowerRoman"/>
      <w:suff w:val="tab"/>
      <w:lvlText w:val="(%6)"/>
      <w:lvlJc w:val="left"/>
      <w:pPr>
        <w:ind w:hanging="340" w:left="2380"/>
        <w:tabs>
          <w:tab w:val="num" w:pos="2380" w:leader="none"/>
        </w:tabs>
      </w:pPr>
      <w:rPr>
        <w:rFonts w:hint="default"/>
      </w:rPr>
    </w:lvl>
    <w:lvl w:ilvl="6">
      <w:start w:val="1"/>
      <w:numFmt w:val="decimal"/>
      <w:suff w:val="tab"/>
      <w:lvlText w:val="%7."/>
      <w:lvlJc w:val="left"/>
      <w:pPr>
        <w:ind w:hanging="340" w:left="2720"/>
        <w:tabs>
          <w:tab w:val="num" w:pos="2720" w:leader="none"/>
        </w:tabs>
      </w:pPr>
      <w:rPr>
        <w:rFonts w:hint="default"/>
      </w:rPr>
    </w:lvl>
    <w:lvl w:ilvl="7">
      <w:start w:val="1"/>
      <w:numFmt w:val="lowerLetter"/>
      <w:suff w:val="tab"/>
      <w:lvlText w:val="%8."/>
      <w:lvlJc w:val="left"/>
      <w:pPr>
        <w:ind w:hanging="340" w:left="3060"/>
        <w:tabs>
          <w:tab w:val="num" w:pos="3060" w:leader="none"/>
        </w:tabs>
      </w:pPr>
      <w:rPr>
        <w:rFonts w:hint="default"/>
      </w:rPr>
    </w:lvl>
    <w:lvl w:ilvl="8">
      <w:start w:val="1"/>
      <w:numFmt w:val="lowerRoman"/>
      <w:suff w:val="tab"/>
      <w:lvlText w:val="%9."/>
      <w:lvlJc w:val="left"/>
      <w:pPr>
        <w:ind w:hanging="340" w:left="3400"/>
        <w:tabs>
          <w:tab w:val="num" w:pos="3400" w:leader="none"/>
        </w:tabs>
      </w:pPr>
      <w:rPr>
        <w:rFonts w:hint="default"/>
      </w:rPr>
    </w:lvl>
  </w:abstractNum>
  <w:abstractNum w:abstractNumId="4">
    <w:nsid w:val="0D245F12"/>
    <w:multiLevelType w:val="multilevel"/>
    <w:lvl w:ilvl="0">
      <w:start w:val="2"/>
      <w:numFmt w:val="decimal"/>
      <w:pStyle w:val="P1"/>
      <w:suff w:val="tab"/>
      <w:lvlText w:val="%1"/>
      <w:lvlJc w:val="left"/>
      <w:pPr>
        <w:ind w:hanging="432" w:left="432"/>
      </w:pPr>
      <w:rPr>
        <w:rFonts w:hint="default"/>
      </w:rPr>
    </w:lvl>
    <w:lvl w:ilvl="1">
      <w:start w:val="1"/>
      <w:numFmt w:val="decimal"/>
      <w:pStyle w:val="P2"/>
      <w:suff w:val="tab"/>
      <w:lvlText w:val="%1.%2"/>
      <w:lvlJc w:val="left"/>
      <w:pPr>
        <w:ind w:hanging="576" w:left="576"/>
      </w:pPr>
      <w:rPr>
        <w:rFonts w:hint="default"/>
      </w:rPr>
    </w:lvl>
    <w:lvl w:ilvl="2">
      <w:start w:val="1"/>
      <w:numFmt w:val="decimal"/>
      <w:pStyle w:val="P3"/>
      <w:suff w:val="tab"/>
      <w:lvlText w:val="%1.%2.%3"/>
      <w:lvlJc w:val="left"/>
      <w:pPr>
        <w:ind w:hanging="720" w:left="720"/>
      </w:pPr>
      <w:rPr>
        <w:rFonts w:hint="default"/>
        <w:sz w:val="24"/>
        <w:szCs w:val="24"/>
      </w:rPr>
    </w:lvl>
    <w:lvl w:ilvl="3">
      <w:start w:val="1"/>
      <w:numFmt w:val="decimal"/>
      <w:pStyle w:val="P4"/>
      <w:suff w:val="tab"/>
      <w:lvlText w:val="%1.%2.%3.%4"/>
      <w:lvlJc w:val="left"/>
      <w:pPr>
        <w:ind w:hanging="864" w:left="864"/>
      </w:pPr>
      <w:rPr>
        <w:rFonts w:hint="default"/>
      </w:rPr>
    </w:lvl>
    <w:lvl w:ilvl="4">
      <w:start w:val="1"/>
      <w:numFmt w:val="decimal"/>
      <w:pStyle w:val="P5"/>
      <w:suff w:val="tab"/>
      <w:lvlText w:val="%1.%2.%3.%4.%5"/>
      <w:lvlJc w:val="left"/>
      <w:pPr>
        <w:ind w:hanging="1008" w:left="1008"/>
      </w:pPr>
      <w:rPr>
        <w:rFonts w:hint="default"/>
      </w:rPr>
    </w:lvl>
    <w:lvl w:ilvl="5">
      <w:start w:val="1"/>
      <w:numFmt w:val="decimal"/>
      <w:pStyle w:val="P6"/>
      <w:suff w:val="tab"/>
      <w:lvlText w:val="%1.%2.%3.%4.%5.%6"/>
      <w:lvlJc w:val="left"/>
      <w:pPr>
        <w:ind w:hanging="1152" w:left="1152"/>
      </w:pPr>
      <w:rPr>
        <w:rFonts w:hint="default"/>
      </w:rPr>
    </w:lvl>
    <w:lvl w:ilvl="6">
      <w:start w:val="1"/>
      <w:numFmt w:val="decimal"/>
      <w:pStyle w:val="P7"/>
      <w:suff w:val="tab"/>
      <w:lvlText w:val="%1.%2.%3.%4.%5.%6.%7"/>
      <w:lvlJc w:val="left"/>
      <w:pPr>
        <w:ind w:hanging="1296" w:left="1296"/>
      </w:pPr>
      <w:rPr>
        <w:rFonts w:hint="default"/>
      </w:rPr>
    </w:lvl>
    <w:lvl w:ilvl="7">
      <w:start w:val="1"/>
      <w:numFmt w:val="decimal"/>
      <w:pStyle w:val="P8"/>
      <w:suff w:val="tab"/>
      <w:lvlText w:val="%1.%2.%3.%4.%5.%6.%7.%8"/>
      <w:lvlJc w:val="left"/>
      <w:pPr>
        <w:ind w:hanging="1440" w:left="1440"/>
      </w:pPr>
      <w:rPr>
        <w:rFonts w:hint="default"/>
      </w:rPr>
    </w:lvl>
    <w:lvl w:ilvl="8">
      <w:start w:val="1"/>
      <w:numFmt w:val="decimal"/>
      <w:pStyle w:val="P9"/>
      <w:suff w:val="tab"/>
      <w:lvlText w:val="%1.%2.%3.%4.%5.%6.%7.%8.%9"/>
      <w:lvlJc w:val="left"/>
      <w:pPr>
        <w:ind w:hanging="1584" w:left="1584"/>
      </w:pPr>
      <w:rPr>
        <w:rFonts w:hint="default"/>
      </w:rPr>
    </w:lvl>
  </w:abstractNum>
  <w:abstractNum w:abstractNumId="5">
    <w:nsid w:val="0EAF00E7"/>
    <w:multiLevelType w:val="multilevel"/>
    <w:lvl w:ilvl="0">
      <w:start w:val="5"/>
      <w:numFmt w:val="decimal"/>
      <w:suff w:val="tab"/>
      <w:lvlText w:val="%1"/>
      <w:lvlJc w:val="left"/>
      <w:pPr>
        <w:ind w:hanging="405" w:left="405"/>
      </w:pPr>
      <w:rPr>
        <w:rFonts w:hint="default"/>
      </w:rPr>
    </w:lvl>
    <w:lvl w:ilvl="1">
      <w:start w:val="1"/>
      <w:numFmt w:val="decimal"/>
      <w:suff w:val="tab"/>
      <w:lvlText w:val="%1.%2"/>
      <w:lvlJc w:val="left"/>
      <w:pPr>
        <w:ind w:hanging="720" w:left="720"/>
      </w:pPr>
      <w:rPr>
        <w:rFonts w:hint="default"/>
      </w:rPr>
    </w:lvl>
    <w:lvl w:ilvl="2">
      <w:start w:val="1"/>
      <w:numFmt w:val="decimal"/>
      <w:suff w:val="tab"/>
      <w:lvlText w:val="%1.%2.%3"/>
      <w:lvlJc w:val="left"/>
      <w:pPr>
        <w:ind w:hanging="720" w:left="720"/>
      </w:pPr>
      <w:rPr>
        <w:rFonts w:hint="default"/>
      </w:rPr>
    </w:lvl>
    <w:lvl w:ilvl="3">
      <w:start w:val="1"/>
      <w:numFmt w:val="decimal"/>
      <w:suff w:val="tab"/>
      <w:lvlText w:val="%1.%2.%3.%4"/>
      <w:lvlJc w:val="left"/>
      <w:pPr>
        <w:ind w:hanging="1080" w:left="1080"/>
      </w:pPr>
      <w:rPr>
        <w:rFonts w:hint="default"/>
      </w:rPr>
    </w:lvl>
    <w:lvl w:ilvl="4">
      <w:start w:val="1"/>
      <w:numFmt w:val="decimal"/>
      <w:suff w:val="tab"/>
      <w:lvlText w:val="%1.%2.%3.%4.%5"/>
      <w:lvlJc w:val="left"/>
      <w:pPr>
        <w:ind w:hanging="1440" w:left="1440"/>
      </w:pPr>
      <w:rPr>
        <w:rFonts w:hint="default"/>
      </w:rPr>
    </w:lvl>
    <w:lvl w:ilvl="5">
      <w:start w:val="1"/>
      <w:numFmt w:val="decimal"/>
      <w:suff w:val="tab"/>
      <w:lvlText w:val="%1.%2.%3.%4.%5.%6"/>
      <w:lvlJc w:val="left"/>
      <w:pPr>
        <w:ind w:hanging="1440" w:left="1440"/>
      </w:pPr>
      <w:rPr>
        <w:rFonts w:hint="default"/>
      </w:rPr>
    </w:lvl>
    <w:lvl w:ilvl="6">
      <w:start w:val="1"/>
      <w:numFmt w:val="decimal"/>
      <w:suff w:val="tab"/>
      <w:lvlText w:val="%1.%2.%3.%4.%5.%6.%7"/>
      <w:lvlJc w:val="left"/>
      <w:pPr>
        <w:ind w:hanging="1800" w:left="1800"/>
      </w:pPr>
      <w:rPr>
        <w:rFonts w:hint="default"/>
      </w:rPr>
    </w:lvl>
    <w:lvl w:ilvl="7">
      <w:start w:val="1"/>
      <w:numFmt w:val="decimal"/>
      <w:suff w:val="tab"/>
      <w:lvlText w:val="%1.%2.%3.%4.%5.%6.%7.%8"/>
      <w:lvlJc w:val="left"/>
      <w:pPr>
        <w:ind w:hanging="1800" w:left="1800"/>
      </w:pPr>
      <w:rPr>
        <w:rFonts w:hint="default"/>
      </w:rPr>
    </w:lvl>
    <w:lvl w:ilvl="8">
      <w:start w:val="1"/>
      <w:numFmt w:val="decimal"/>
      <w:suff w:val="tab"/>
      <w:lvlText w:val="%1.%2.%3.%4.%5.%6.%7.%8.%9"/>
      <w:lvlJc w:val="left"/>
      <w:pPr>
        <w:ind w:hanging="2160" w:left="2160"/>
      </w:pPr>
      <w:rPr>
        <w:rFonts w:hint="default"/>
      </w:rPr>
    </w:lvl>
  </w:abstractNum>
  <w:abstractNum w:abstractNumId="6">
    <w:nsid w:val="0FA31BD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7">
    <w:nsid w:val="13EA1CE3"/>
    <w:multiLevelType w:val="hybridMultilevel"/>
    <w:lvl w:ilvl="0" w:tplc="9A785904">
      <w:start w:val="1"/>
      <w:numFmt w:val="decimal"/>
      <w:suff w:val="tab"/>
      <w:lvlText w:val="%1."/>
      <w:lvlJc w:val="left"/>
      <w:pPr>
        <w:ind w:hanging="360" w:left="1080"/>
      </w:pPr>
      <w:rPr>
        <w:rFonts w:hint="default"/>
        <w:color w:val="C00000"/>
      </w:rPr>
    </w:lvl>
    <w:lvl w:ilvl="1" w:tplc="041D0019">
      <w:start w:val="1"/>
      <w:numFmt w:val="lowerLetter"/>
      <w:suff w:val="tab"/>
      <w:lvlText w:val="%2."/>
      <w:lvlJc w:val="left"/>
      <w:pPr>
        <w:ind w:hanging="360" w:left="1800"/>
      </w:pPr>
      <w:rPr/>
    </w:lvl>
    <w:lvl w:ilvl="2" w:tplc="041D001B">
      <w:start w:val="1"/>
      <w:numFmt w:val="lowerRoman"/>
      <w:suff w:val="tab"/>
      <w:lvlText w:val="%3."/>
      <w:lvlJc w:val="right"/>
      <w:pPr>
        <w:ind w:hanging="180" w:left="2520"/>
      </w:pPr>
      <w:rPr/>
    </w:lvl>
    <w:lvl w:ilvl="3" w:tplc="041D000F">
      <w:start w:val="1"/>
      <w:numFmt w:val="decimal"/>
      <w:suff w:val="tab"/>
      <w:lvlText w:val="%4."/>
      <w:lvlJc w:val="left"/>
      <w:pPr>
        <w:ind w:hanging="360" w:left="3240"/>
      </w:pPr>
      <w:rPr/>
    </w:lvl>
    <w:lvl w:ilvl="4" w:tplc="041D0019">
      <w:start w:val="1"/>
      <w:numFmt w:val="lowerLetter"/>
      <w:suff w:val="tab"/>
      <w:lvlText w:val="%5."/>
      <w:lvlJc w:val="left"/>
      <w:pPr>
        <w:ind w:hanging="360" w:left="3960"/>
      </w:pPr>
      <w:rPr/>
    </w:lvl>
    <w:lvl w:ilvl="5" w:tplc="041D001B">
      <w:start w:val="1"/>
      <w:numFmt w:val="lowerRoman"/>
      <w:suff w:val="tab"/>
      <w:lvlText w:val="%6."/>
      <w:lvlJc w:val="right"/>
      <w:pPr>
        <w:ind w:hanging="180" w:left="4680"/>
      </w:pPr>
      <w:rPr/>
    </w:lvl>
    <w:lvl w:ilvl="6" w:tplc="041D000F">
      <w:start w:val="1"/>
      <w:numFmt w:val="decimal"/>
      <w:suff w:val="tab"/>
      <w:lvlText w:val="%7."/>
      <w:lvlJc w:val="left"/>
      <w:pPr>
        <w:ind w:hanging="360" w:left="5400"/>
      </w:pPr>
      <w:rPr/>
    </w:lvl>
    <w:lvl w:ilvl="7" w:tplc="041D0019">
      <w:start w:val="1"/>
      <w:numFmt w:val="lowerLetter"/>
      <w:suff w:val="tab"/>
      <w:lvlText w:val="%8."/>
      <w:lvlJc w:val="left"/>
      <w:pPr>
        <w:ind w:hanging="360" w:left="6120"/>
      </w:pPr>
      <w:rPr/>
    </w:lvl>
    <w:lvl w:ilvl="8" w:tplc="041D001B">
      <w:start w:val="1"/>
      <w:numFmt w:val="lowerRoman"/>
      <w:suff w:val="tab"/>
      <w:lvlText w:val="%9."/>
      <w:lvlJc w:val="right"/>
      <w:pPr>
        <w:ind w:hanging="180" w:left="6840"/>
      </w:pPr>
      <w:rPr/>
    </w:lvl>
  </w:abstractNum>
  <w:abstractNum w:abstractNumId="8">
    <w:nsid w:val="1D370787"/>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9">
    <w:nsid w:val="1E696BDC"/>
    <w:multiLevelType w:val="hybridMultilevel"/>
    <w:lvl w:ilvl="0" w:tplc="9DECF51A">
      <w:start w:val="1"/>
      <w:numFmt w:val="bullet"/>
      <w:suff w:val="tab"/>
      <w:lvlText w:val=""/>
      <w:lvlJc w:val="left"/>
      <w:pPr>
        <w:ind w:hanging="295" w:left="1077"/>
        <w:tabs>
          <w:tab w:val="num" w:pos="1077" w:leader="none"/>
        </w:tabs>
      </w:pPr>
      <w:rPr>
        <w:rFonts w:ascii="Symbol" w:hAnsi="Symbol" w:hint="default"/>
      </w:rPr>
    </w:lvl>
    <w:lvl w:ilvl="1" w:tplc="041D0003">
      <w:start w:val="1"/>
      <w:numFmt w:val="bullet"/>
      <w:suff w:val="tab"/>
      <w:lvlText w:val="o"/>
      <w:lvlJc w:val="left"/>
      <w:pPr>
        <w:ind w:hanging="360" w:left="2222"/>
        <w:tabs>
          <w:tab w:val="num" w:pos="2222" w:leader="none"/>
        </w:tabs>
      </w:pPr>
      <w:rPr>
        <w:rFonts w:ascii="Courier New" w:hAnsi="Courier New" w:cs="Courier New" w:hint="default"/>
      </w:rPr>
    </w:lvl>
    <w:lvl w:ilvl="2" w:tplc="041D0005">
      <w:start w:val="1"/>
      <w:numFmt w:val="bullet"/>
      <w:suff w:val="tab"/>
      <w:lvlText w:val=""/>
      <w:lvlJc w:val="left"/>
      <w:pPr>
        <w:ind w:hanging="360" w:left="2942"/>
        <w:tabs>
          <w:tab w:val="num" w:pos="2942" w:leader="none"/>
        </w:tabs>
      </w:pPr>
      <w:rPr>
        <w:rFonts w:ascii="Wingdings" w:hAnsi="Wingdings" w:hint="default"/>
      </w:rPr>
    </w:lvl>
    <w:lvl w:ilvl="3" w:tplc="041D0001">
      <w:start w:val="1"/>
      <w:numFmt w:val="bullet"/>
      <w:suff w:val="tab"/>
      <w:lvlText w:val=""/>
      <w:lvlJc w:val="left"/>
      <w:pPr>
        <w:ind w:hanging="360" w:left="3662"/>
        <w:tabs>
          <w:tab w:val="num" w:pos="3662" w:leader="none"/>
        </w:tabs>
      </w:pPr>
      <w:rPr>
        <w:rFonts w:ascii="Symbol" w:hAnsi="Symbol" w:hint="default"/>
      </w:rPr>
    </w:lvl>
    <w:lvl w:ilvl="4" w:tplc="041D0003">
      <w:start w:val="1"/>
      <w:numFmt w:val="bullet"/>
      <w:suff w:val="tab"/>
      <w:lvlText w:val="o"/>
      <w:lvlJc w:val="left"/>
      <w:pPr>
        <w:ind w:hanging="360" w:left="4382"/>
        <w:tabs>
          <w:tab w:val="num" w:pos="4382" w:leader="none"/>
        </w:tabs>
      </w:pPr>
      <w:rPr>
        <w:rFonts w:ascii="Courier New" w:hAnsi="Courier New" w:cs="Courier New" w:hint="default"/>
      </w:rPr>
    </w:lvl>
    <w:lvl w:ilvl="5" w:tplc="041D0005">
      <w:start w:val="1"/>
      <w:numFmt w:val="bullet"/>
      <w:suff w:val="tab"/>
      <w:lvlText w:val=""/>
      <w:lvlJc w:val="left"/>
      <w:pPr>
        <w:ind w:hanging="360" w:left="5102"/>
        <w:tabs>
          <w:tab w:val="num" w:pos="5102" w:leader="none"/>
        </w:tabs>
      </w:pPr>
      <w:rPr>
        <w:rFonts w:ascii="Wingdings" w:hAnsi="Wingdings" w:hint="default"/>
      </w:rPr>
    </w:lvl>
    <w:lvl w:ilvl="6" w:tplc="041D0001">
      <w:start w:val="1"/>
      <w:numFmt w:val="bullet"/>
      <w:suff w:val="tab"/>
      <w:lvlText w:val=""/>
      <w:lvlJc w:val="left"/>
      <w:pPr>
        <w:ind w:hanging="360" w:left="5822"/>
        <w:tabs>
          <w:tab w:val="num" w:pos="5822" w:leader="none"/>
        </w:tabs>
      </w:pPr>
      <w:rPr>
        <w:rFonts w:ascii="Symbol" w:hAnsi="Symbol" w:hint="default"/>
      </w:rPr>
    </w:lvl>
    <w:lvl w:ilvl="7" w:tplc="041D0003">
      <w:start w:val="1"/>
      <w:numFmt w:val="bullet"/>
      <w:suff w:val="tab"/>
      <w:lvlText w:val="o"/>
      <w:lvlJc w:val="left"/>
      <w:pPr>
        <w:ind w:hanging="360" w:left="6542"/>
        <w:tabs>
          <w:tab w:val="num" w:pos="6542" w:leader="none"/>
        </w:tabs>
      </w:pPr>
      <w:rPr>
        <w:rFonts w:ascii="Courier New" w:hAnsi="Courier New" w:cs="Courier New" w:hint="default"/>
      </w:rPr>
    </w:lvl>
    <w:lvl w:ilvl="8" w:tplc="041D0005">
      <w:start w:val="1"/>
      <w:numFmt w:val="bullet"/>
      <w:suff w:val="tab"/>
      <w:lvlText w:val=""/>
      <w:lvlJc w:val="left"/>
      <w:pPr>
        <w:ind w:hanging="360" w:left="7262"/>
        <w:tabs>
          <w:tab w:val="num" w:pos="7262" w:leader="none"/>
        </w:tabs>
      </w:pPr>
      <w:rPr>
        <w:rFonts w:ascii="Wingdings" w:hAnsi="Wingdings" w:hint="default"/>
      </w:rPr>
    </w:lvl>
  </w:abstractNum>
  <w:abstractNum w:abstractNumId="10">
    <w:nsid w:val="29486421"/>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1">
    <w:nsid w:val="34B834BF"/>
    <w:multiLevelType w:val="multilevel"/>
    <w:lvl w:ilvl="0">
      <w:start w:val="1"/>
      <w:numFmt w:val="decimal"/>
      <w:suff w:val="tab"/>
      <w:lvlText w:val="%1."/>
      <w:lvlJc w:val="left"/>
      <w:pPr>
        <w:ind w:hanging="340" w:left="340"/>
        <w:tabs>
          <w:tab w:val="num" w:pos="340" w:leader="none"/>
        </w:tabs>
      </w:pPr>
      <w:rPr/>
    </w:lvl>
    <w:lvl w:ilvl="1">
      <w:start w:val="1"/>
      <w:numFmt w:val="lowerLetter"/>
      <w:suff w:val="tab"/>
      <w:lvlText w:val="%2)"/>
      <w:lvlJc w:val="left"/>
      <w:pPr>
        <w:ind w:hanging="340" w:left="680"/>
        <w:tabs>
          <w:tab w:val="num" w:pos="680" w:leader="none"/>
        </w:tabs>
      </w:pPr>
      <w:rPr/>
    </w:lvl>
    <w:lvl w:ilvl="2">
      <w:start w:val="1"/>
      <w:numFmt w:val="lowerRoman"/>
      <w:suff w:val="tab"/>
      <w:lvlText w:val="%3)"/>
      <w:lvlJc w:val="left"/>
      <w:pPr>
        <w:ind w:hanging="340" w:left="1020"/>
        <w:tabs>
          <w:tab w:val="num" w:pos="1020" w:leader="none"/>
        </w:tabs>
      </w:pPr>
      <w:rPr/>
    </w:lvl>
    <w:lvl w:ilvl="3">
      <w:start w:val="1"/>
      <w:numFmt w:val="decimal"/>
      <w:suff w:val="tab"/>
      <w:lvlText w:val="%4"/>
      <w:lvlJc w:val="left"/>
      <w:pPr>
        <w:ind w:hanging="340" w:left="1360"/>
        <w:tabs>
          <w:tab w:val="num" w:pos="1360" w:leader="none"/>
        </w:tabs>
      </w:pPr>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12">
    <w:nsid w:val="38240E7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3">
    <w:nsid w:val="3BD81B03"/>
    <w:multiLevelType w:val="multilevel"/>
    <w:lvl w:ilvl="0">
      <w:start w:val="1"/>
      <w:numFmt w:val="decimal"/>
      <w:pStyle w:val="P25"/>
      <w:suff w:val="tab"/>
      <w:lvlText w:val="%1."/>
      <w:lvlJc w:val="left"/>
      <w:pPr>
        <w:ind w:hanging="680" w:left="680"/>
      </w:pPr>
      <w:rPr>
        <w:rFonts w:hint="default"/>
      </w:rPr>
    </w:lvl>
    <w:lvl w:ilvl="1">
      <w:start w:val="1"/>
      <w:numFmt w:val="decimal"/>
      <w:pStyle w:val="P26"/>
      <w:suff w:val="tab"/>
      <w:lvlText w:val="%1.%2"/>
      <w:lvlJc w:val="left"/>
      <w:pPr>
        <w:ind w:hanging="680" w:left="680"/>
      </w:pPr>
      <w:rPr>
        <w:rFonts w:hint="default"/>
      </w:rPr>
    </w:lvl>
    <w:lvl w:ilvl="2">
      <w:start w:val="1"/>
      <w:numFmt w:val="decimal"/>
      <w:pStyle w:val="P27"/>
      <w:suff w:val="tab"/>
      <w:lvlText w:val="%1.%2.%3"/>
      <w:lvlJc w:val="left"/>
      <w:pPr>
        <w:ind w:hanging="680" w:left="680"/>
      </w:pPr>
      <w:rPr>
        <w:rFonts w:hint="default"/>
      </w:rPr>
    </w:lvl>
    <w:lvl w:ilvl="3">
      <w:start w:val="1"/>
      <w:numFmt w:val="decimal"/>
      <w:pStyle w:val="P28"/>
      <w:suff w:val="tab"/>
      <w:lvlText w:val="%1.%2.%3.%4"/>
      <w:lvlJc w:val="left"/>
      <w:pPr>
        <w:ind w:hanging="680" w:left="680"/>
        <w:tabs>
          <w:tab w:val="num" w:pos="567" w:leader="none"/>
        </w:tabs>
      </w:pPr>
      <w:rPr>
        <w:rFonts w:hint="default"/>
      </w:rPr>
    </w:lvl>
    <w:lvl w:ilvl="4">
      <w:start w:val="1"/>
      <w:numFmt w:val="decimal"/>
      <w:lvlRestart w:val="3"/>
      <w:pStyle w:val="P29"/>
      <w:suff w:val="tab"/>
      <w:lvlText w:val="%1.%2.%3.%4.%5"/>
      <w:lvlJc w:val="left"/>
      <w:pPr>
        <w:ind w:hanging="680" w:left="680"/>
        <w:tabs>
          <w:tab w:val="num" w:pos="567" w:leader="none"/>
        </w:tabs>
      </w:pPr>
      <w:rPr>
        <w:rFonts w:hint="default"/>
      </w:rPr>
    </w:lvl>
    <w:lvl w:ilvl="5">
      <w:start w:val="1"/>
      <w:numFmt w:val="decimal"/>
      <w:suff w:val="tab"/>
      <w:lvlText w:val="%1.%2.%3.%4.%5.%6"/>
      <w:lvlJc w:val="left"/>
      <w:pPr>
        <w:ind w:hanging="680" w:left="680"/>
        <w:tabs>
          <w:tab w:val="num" w:pos="567" w:leader="none"/>
        </w:tabs>
      </w:pPr>
      <w:rPr>
        <w:rFonts w:hint="default"/>
      </w:rPr>
    </w:lvl>
    <w:lvl w:ilvl="6">
      <w:start w:val="1"/>
      <w:numFmt w:val="decimal"/>
      <w:suff w:val="tab"/>
      <w:lvlText w:val="%1.%2.%3.%4.%5.%6.%7"/>
      <w:lvlJc w:val="left"/>
      <w:pPr>
        <w:ind w:hanging="680" w:left="680"/>
        <w:tabs>
          <w:tab w:val="num" w:pos="567" w:leader="none"/>
        </w:tabs>
      </w:pPr>
      <w:rPr>
        <w:rFonts w:hint="default"/>
      </w:rPr>
    </w:lvl>
    <w:lvl w:ilvl="7">
      <w:start w:val="1"/>
      <w:numFmt w:val="decimal"/>
      <w:suff w:val="tab"/>
      <w:lvlText w:val="%1.%2.%3.%4.%5.%6.%7.%8"/>
      <w:lvlJc w:val="left"/>
      <w:pPr>
        <w:ind w:hanging="680" w:left="680"/>
        <w:tabs>
          <w:tab w:val="num" w:pos="567" w:leader="none"/>
        </w:tabs>
      </w:pPr>
      <w:rPr>
        <w:rFonts w:hint="default"/>
      </w:rPr>
    </w:lvl>
    <w:lvl w:ilvl="8">
      <w:start w:val="1"/>
      <w:numFmt w:val="decimal"/>
      <w:suff w:val="tab"/>
      <w:lvlText w:val="%1.%2.%3.%4.%5.%6.%7.%8.%9"/>
      <w:lvlJc w:val="left"/>
      <w:pPr>
        <w:ind w:hanging="680" w:left="680"/>
        <w:tabs>
          <w:tab w:val="num" w:pos="567" w:leader="none"/>
        </w:tabs>
      </w:pPr>
      <w:rPr>
        <w:rFonts w:hint="default"/>
      </w:rPr>
    </w:lvl>
  </w:abstractNum>
  <w:abstractNum w:abstractNumId="14">
    <w:nsid w:val="3EA5030C"/>
    <w:multiLevelType w:val="multilevel"/>
    <w:lvl w:ilvl="0">
      <w:start w:val="3"/>
      <w:numFmt w:val="decimal"/>
      <w:suff w:val="tab"/>
      <w:lvlText w:val="%1"/>
      <w:lvlJc w:val="left"/>
      <w:pPr>
        <w:ind w:hanging="360" w:left="360"/>
      </w:pPr>
      <w:rPr>
        <w:rFonts w:hint="default"/>
      </w:rPr>
    </w:lvl>
    <w:lvl w:ilvl="1">
      <w:start w:val="1"/>
      <w:numFmt w:val="decimal"/>
      <w:suff w:val="tab"/>
      <w:lvlText w:val="%1.%2"/>
      <w:lvlJc w:val="left"/>
      <w:pPr>
        <w:ind w:hanging="360" w:left="720"/>
      </w:pPr>
      <w:rPr>
        <w:rFonts w:hint="default"/>
      </w:rPr>
    </w:lvl>
    <w:lvl w:ilvl="2">
      <w:start w:val="1"/>
      <w:numFmt w:val="decimal"/>
      <w:suff w:val="tab"/>
      <w:lvlText w:val="%1.%2.%3"/>
      <w:lvlJc w:val="left"/>
      <w:pPr>
        <w:ind w:hanging="720" w:left="1440"/>
      </w:pPr>
      <w:rPr>
        <w:rFonts w:hint="default"/>
      </w:rPr>
    </w:lvl>
    <w:lvl w:ilvl="3">
      <w:start w:val="1"/>
      <w:numFmt w:val="decimal"/>
      <w:suff w:val="tab"/>
      <w:lvlText w:val="%1.%2.%3.%4"/>
      <w:lvlJc w:val="left"/>
      <w:pPr>
        <w:ind w:hanging="1080" w:left="2160"/>
      </w:pPr>
      <w:rPr>
        <w:rFonts w:hint="default"/>
      </w:rPr>
    </w:lvl>
    <w:lvl w:ilvl="4">
      <w:start w:val="1"/>
      <w:numFmt w:val="decimal"/>
      <w:suff w:val="tab"/>
      <w:lvlText w:val="%1.%2.%3.%4.%5"/>
      <w:lvlJc w:val="left"/>
      <w:pPr>
        <w:ind w:hanging="1080" w:left="2520"/>
      </w:pPr>
      <w:rPr>
        <w:rFonts w:hint="default"/>
      </w:rPr>
    </w:lvl>
    <w:lvl w:ilvl="5">
      <w:start w:val="1"/>
      <w:numFmt w:val="decimal"/>
      <w:suff w:val="tab"/>
      <w:lvlText w:val="%1.%2.%3.%4.%5.%6"/>
      <w:lvlJc w:val="left"/>
      <w:pPr>
        <w:ind w:hanging="1440" w:left="3240"/>
      </w:pPr>
      <w:rPr>
        <w:rFonts w:hint="default"/>
      </w:rPr>
    </w:lvl>
    <w:lvl w:ilvl="6">
      <w:start w:val="1"/>
      <w:numFmt w:val="decimal"/>
      <w:suff w:val="tab"/>
      <w:lvlText w:val="%1.%2.%3.%4.%5.%6.%7"/>
      <w:lvlJc w:val="left"/>
      <w:pPr>
        <w:ind w:hanging="1440" w:left="3600"/>
      </w:pPr>
      <w:rPr>
        <w:rFonts w:hint="default"/>
      </w:rPr>
    </w:lvl>
    <w:lvl w:ilvl="7">
      <w:start w:val="1"/>
      <w:numFmt w:val="decimal"/>
      <w:suff w:val="tab"/>
      <w:lvlText w:val="%1.%2.%3.%4.%5.%6.%7.%8"/>
      <w:lvlJc w:val="left"/>
      <w:pPr>
        <w:ind w:hanging="1800" w:left="4320"/>
      </w:pPr>
      <w:rPr>
        <w:rFonts w:hint="default"/>
      </w:rPr>
    </w:lvl>
    <w:lvl w:ilvl="8">
      <w:start w:val="1"/>
      <w:numFmt w:val="decimal"/>
      <w:suff w:val="tab"/>
      <w:lvlText w:val="%1.%2.%3.%4.%5.%6.%7.%8.%9"/>
      <w:lvlJc w:val="left"/>
      <w:pPr>
        <w:ind w:hanging="1800" w:left="4680"/>
      </w:pPr>
      <w:rPr>
        <w:rFonts w:hint="default"/>
      </w:rPr>
    </w:lvl>
  </w:abstractNum>
  <w:abstractNum w:abstractNumId="15">
    <w:nsid w:val="4A3D3C37"/>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6">
    <w:nsid w:val="4A9577CB"/>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7">
    <w:nsid w:val="4BFB2864"/>
    <w:multiLevelType w:val="hybridMultilevel"/>
    <w:lvl w:ilvl="0" w:tplc="041D000F">
      <w:start w:val="1"/>
      <w:numFmt w:val="decimal"/>
      <w:suff w:val="tab"/>
      <w:lvlText w:val="%1."/>
      <w:lvlJc w:val="left"/>
      <w:pPr>
        <w:ind w:hanging="360" w:left="720"/>
      </w:pPr>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8">
    <w:nsid w:val="534C60CC"/>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9">
    <w:nsid w:val="5CC238E1"/>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0">
    <w:nsid w:val="5E2A32C7"/>
    <w:multiLevelType w:val="hybridMultilevel"/>
    <w:lvl w:ilvl="0" w:tplc="1CB835FA">
      <w:start w:val="12"/>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1">
    <w:nsid w:val="6CD572B8"/>
    <w:multiLevelType w:val="multilevel"/>
    <w:lvl w:ilvl="0">
      <w:start w:val="1"/>
      <w:numFmt w:val="decimal"/>
      <w:suff w:val="tab"/>
      <w:lvlText w:val="%1"/>
      <w:lvlJc w:val="left"/>
      <w:pPr>
        <w:ind w:hanging="432" w:left="432"/>
      </w:pPr>
      <w:rPr>
        <w:rFonts w:hint="default"/>
        <w:color w:val="auto"/>
      </w:rPr>
    </w:lvl>
    <w:lvl w:ilvl="1">
      <w:start w:val="1"/>
      <w:numFmt w:val="decimal"/>
      <w:suff w:val="tab"/>
      <w:lvlText w:val="%1.%2"/>
      <w:lvlJc w:val="left"/>
      <w:pPr>
        <w:ind w:hanging="576" w:left="576"/>
      </w:pPr>
      <w:rPr>
        <w:rFonts w:hint="default"/>
      </w:rPr>
    </w:lvl>
    <w:lvl w:ilvl="2">
      <w:start w:val="1"/>
      <w:numFmt w:val="decimal"/>
      <w:suff w:val="tab"/>
      <w:lvlText w:val="%1.%2.%3"/>
      <w:lvlJc w:val="left"/>
      <w:pPr>
        <w:ind w:hanging="720" w:left="720"/>
      </w:pPr>
      <w:rPr>
        <w:rFonts w:hint="default"/>
        <w:sz w:val="24"/>
        <w:szCs w:val="24"/>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22">
    <w:nsid w:val="6E1A2E51"/>
    <w:multiLevelType w:val="multilevel"/>
    <w:tmpl w:val="0409001D"/>
    <w:styleLink w:val="N1"/>
    <w:lvl w:ilvl="0">
      <w:start w:val="1"/>
      <w:numFmt w:val="decimal"/>
      <w:suff w:val="tab"/>
      <w:lvlText w:val="%1."/>
      <w:lvlJc w:val="left"/>
      <w:pPr>
        <w:ind w:hanging="340" w:left="340"/>
        <w:tabs>
          <w:tab w:val="num" w:pos="340" w:leader="none"/>
        </w:tabs>
      </w:pPr>
      <w:rPr/>
    </w:lvl>
    <w:lvl w:ilvl="1">
      <w:start w:val="1"/>
      <w:numFmt w:val="lowerLetter"/>
      <w:suff w:val="tab"/>
      <w:lvlText w:val="%2)"/>
      <w:lvlJc w:val="left"/>
      <w:pPr>
        <w:ind w:hanging="340" w:left="680"/>
        <w:tabs>
          <w:tab w:val="num" w:pos="680" w:leader="none"/>
        </w:tabs>
      </w:pPr>
      <w:rPr/>
    </w:lvl>
    <w:lvl w:ilvl="2">
      <w:start w:val="1"/>
      <w:numFmt w:val="lowerRoman"/>
      <w:suff w:val="tab"/>
      <w:lvlText w:val="%3)"/>
      <w:lvlJc w:val="left"/>
      <w:pPr>
        <w:ind w:hanging="340" w:left="1020"/>
        <w:tabs>
          <w:tab w:val="num" w:pos="1020" w:leader="none"/>
        </w:tabs>
      </w:pPr>
      <w:rPr/>
    </w:lvl>
    <w:lvl w:ilvl="3">
      <w:start w:val="1"/>
      <w:numFmt w:val="decimal"/>
      <w:suff w:val="tab"/>
      <w:lvlText w:val="%4"/>
      <w:lvlJc w:val="left"/>
      <w:pPr>
        <w:ind w:hanging="340" w:left="1360"/>
        <w:tabs>
          <w:tab w:val="num" w:pos="1360" w:leader="none"/>
        </w:tabs>
      </w:pPr>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23">
    <w:nsid w:val="6E586D49"/>
    <w:multiLevelType w:val="multilevel"/>
    <w:lvl w:ilvl="0">
      <w:start w:val="1"/>
      <w:numFmt w:val="decimal"/>
      <w:pStyle w:val="P32"/>
      <w:suff w:val="tab"/>
      <w:lvlText w:val="%1"/>
      <w:lvlJc w:val="left"/>
      <w:pPr>
        <w:ind w:hanging="432" w:left="432"/>
      </w:pPr>
      <w:rPr/>
    </w:lvl>
    <w:lvl w:ilvl="1">
      <w:start w:val="1"/>
      <w:numFmt w:val="decimal"/>
      <w:pStyle w:val="P33"/>
      <w:suff w:val="tab"/>
      <w:lvlText w:val="%1.%2"/>
      <w:lvlJc w:val="left"/>
      <w:pPr>
        <w:ind w:hanging="576" w:left="576"/>
      </w:pPr>
      <w:rPr/>
    </w:lvl>
    <w:lvl w:ilvl="2">
      <w:start w:val="1"/>
      <w:numFmt w:val="decimal"/>
      <w:pStyle w:val="P34"/>
      <w:suff w:val="tab"/>
      <w:lvlText w:val="%1.%2.%3"/>
      <w:lvlJc w:val="left"/>
      <w:pPr>
        <w:ind w:hanging="720" w:left="720"/>
      </w:pPr>
      <w:rPr/>
    </w:lvl>
    <w:lvl w:ilvl="3">
      <w:start w:val="1"/>
      <w:numFmt w:val="decimal"/>
      <w:pStyle w:val="P35"/>
      <w:suff w:val="tab"/>
      <w:lvlText w:val="%1.%2.%3.%4"/>
      <w:lvlJc w:val="left"/>
      <w:pPr>
        <w:ind w:hanging="864" w:left="864"/>
      </w:pPr>
      <w:rPr/>
    </w:lvl>
    <w:lvl w:ilvl="4">
      <w:start w:val="1"/>
      <w:numFmt w:val="decimal"/>
      <w:pStyle w:val="P36"/>
      <w:suff w:val="tab"/>
      <w:lvlText w:val="%1.%2.%3.%4.%5"/>
      <w:lvlJc w:val="left"/>
      <w:pPr>
        <w:ind w:hanging="1008" w:left="1008"/>
      </w:pPr>
      <w:rPr/>
    </w:lvl>
    <w:lvl w:ilvl="5">
      <w:start w:val="1"/>
      <w:numFmt w:val="decimal"/>
      <w:pStyle w:val="P37"/>
      <w:suff w:val="tab"/>
      <w:lvlText w:val="%1.%2.%3.%4.%5.%6"/>
      <w:lvlJc w:val="left"/>
      <w:pPr>
        <w:ind w:hanging="1152" w:left="1152"/>
      </w:pPr>
      <w:rPr/>
    </w:lvl>
    <w:lvl w:ilvl="6">
      <w:start w:val="1"/>
      <w:numFmt w:val="decimal"/>
      <w:pStyle w:val="P38"/>
      <w:suff w:val="tab"/>
      <w:lvlText w:val="%1.%2.%3.%4.%5.%6.%7"/>
      <w:lvlJc w:val="left"/>
      <w:pPr>
        <w:ind w:hanging="1296" w:left="1296"/>
      </w:pPr>
      <w:rPr/>
    </w:lvl>
    <w:lvl w:ilvl="7">
      <w:start w:val="1"/>
      <w:numFmt w:val="decimal"/>
      <w:pStyle w:val="P39"/>
      <w:suff w:val="tab"/>
      <w:lvlText w:val="%1.%2.%3.%4.%5.%6.%7.%8"/>
      <w:lvlJc w:val="left"/>
      <w:pPr>
        <w:ind w:hanging="1440" w:left="1440"/>
      </w:pPr>
      <w:rPr/>
    </w:lvl>
    <w:lvl w:ilvl="8">
      <w:start w:val="1"/>
      <w:numFmt w:val="decimal"/>
      <w:pStyle w:val="P40"/>
      <w:suff w:val="tab"/>
      <w:lvlText w:val="%1.%2.%3.%4.%5.%6.%7.%8.%9"/>
      <w:lvlJc w:val="left"/>
      <w:pPr>
        <w:ind w:hanging="1584" w:left="1584"/>
      </w:pPr>
      <w:rPr/>
    </w:lvl>
  </w:abstractNum>
  <w:abstractNum w:abstractNumId="24">
    <w:nsid w:val="70332C64"/>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5">
    <w:nsid w:val="710947D9"/>
    <w:multiLevelType w:val="multilevel"/>
    <w:tmpl w:val="0409001D"/>
    <w:styleLink w:val="N2"/>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
      <w:lvlJc w:val="left"/>
      <w:pPr>
        <w:ind w:hanging="340" w:left="680"/>
        <w:tabs>
          <w:tab w:val="num" w:pos="680" w:leader="none"/>
        </w:tabs>
      </w:pPr>
      <w:rPr>
        <w:rFonts w:ascii="Arial" w:hAnsi="Arial" w:cs="Arial" w:hint="default"/>
        <w:sz w:val="22"/>
      </w:rPr>
    </w:lvl>
    <w:lvl w:ilvl="2">
      <w:start w:val="1"/>
      <w:numFmt w:val="lowerRoman"/>
      <w:suff w:val="tab"/>
      <w:lvlText w:val="-"/>
      <w:lvlJc w:val="left"/>
      <w:pPr>
        <w:ind w:hanging="340" w:left="1020"/>
        <w:tabs>
          <w:tab w:val="num" w:pos="1020" w:leader="none"/>
        </w:tabs>
      </w:pPr>
      <w:rPr>
        <w:rFonts w:ascii="Arial" w:hAnsi="Arial" w:cs="Arial" w:hint="default"/>
      </w:rPr>
    </w:lvl>
    <w:lvl w:ilvl="3">
      <w:start w:val="1"/>
      <w:numFmt w:val="bullet"/>
      <w:suff w:val="tab"/>
      <w:lvlText w:val="-"/>
      <w:lvlJc w:val="left"/>
      <w:pPr>
        <w:ind w:hanging="340" w:left="1360"/>
        <w:tabs>
          <w:tab w:val="num" w:pos="1360" w:leader="none"/>
        </w:tabs>
      </w:pPr>
      <w:rPr>
        <w:rFonts w:ascii="Arial" w:hAnsi="Arial" w:cs="Arial" w:hint="default"/>
      </w:rPr>
    </w:lvl>
    <w:lvl w:ilvl="4">
      <w:start w:val="1"/>
      <w:numFmt w:val="bullet"/>
      <w:lvlRestart w:val="3"/>
      <w:suff w:val="tab"/>
      <w:lvlText w:val="-"/>
      <w:lvlJc w:val="left"/>
      <w:pPr>
        <w:ind w:hanging="340" w:left="1700"/>
        <w:tabs>
          <w:tab w:val="num" w:pos="1700" w:leader="none"/>
        </w:tabs>
      </w:pPr>
      <w:rPr>
        <w:rFonts w:ascii="Arial" w:hAnsi="Arial" w:cs="Arial" w:hint="default"/>
      </w:rPr>
    </w:lvl>
    <w:lvl w:ilvl="5">
      <w:start w:val="1"/>
      <w:numFmt w:val="lowerRoman"/>
      <w:suff w:val="tab"/>
      <w:lvlText w:val="(%6)"/>
      <w:lvlJc w:val="left"/>
      <w:pPr>
        <w:ind w:hanging="340" w:left="2040"/>
        <w:tabs>
          <w:tab w:val="num" w:pos="2040" w:leader="none"/>
        </w:tabs>
      </w:pPr>
      <w:rPr>
        <w:rFonts w:hint="default"/>
      </w:rPr>
    </w:lvl>
    <w:lvl w:ilvl="6">
      <w:start w:val="1"/>
      <w:numFmt w:val="decimal"/>
      <w:suff w:val="tab"/>
      <w:lvlText w:val="%7."/>
      <w:lvlJc w:val="left"/>
      <w:pPr>
        <w:ind w:hanging="340" w:left="2380"/>
        <w:tabs>
          <w:tab w:val="num" w:pos="2380" w:leader="none"/>
        </w:tabs>
      </w:pPr>
      <w:rPr>
        <w:rFonts w:hint="default"/>
      </w:rPr>
    </w:lvl>
    <w:lvl w:ilvl="7">
      <w:start w:val="1"/>
      <w:numFmt w:val="lowerLetter"/>
      <w:suff w:val="tab"/>
      <w:lvlText w:val="%8."/>
      <w:lvlJc w:val="left"/>
      <w:pPr>
        <w:ind w:hanging="340" w:left="2720"/>
        <w:tabs>
          <w:tab w:val="num" w:pos="2720" w:leader="none"/>
        </w:tabs>
      </w:pPr>
      <w:rPr>
        <w:rFonts w:hint="default"/>
      </w:rPr>
    </w:lvl>
    <w:lvl w:ilvl="8">
      <w:start w:val="1"/>
      <w:numFmt w:val="lowerRoman"/>
      <w:suff w:val="tab"/>
      <w:lvlText w:val="%9."/>
      <w:lvlJc w:val="left"/>
      <w:pPr>
        <w:ind w:hanging="340" w:left="3060"/>
        <w:tabs>
          <w:tab w:val="num" w:pos="3060" w:leader="none"/>
        </w:tabs>
      </w:pPr>
      <w:rPr>
        <w:rFonts w:hint="default"/>
      </w:rPr>
    </w:lvl>
  </w:abstractNum>
  <w:num w:numId="1">
    <w:abstractNumId w:val="23"/>
  </w:num>
  <w:num w:numId="2">
    <w:abstractNumId w:val="13"/>
  </w:num>
  <w:num w:numId="3">
    <w:abstractNumId w:val="25"/>
  </w:num>
  <w:num w:numId="4">
    <w:abstractNumId w:val="22"/>
  </w:num>
  <w:num w:numId="5">
    <w:abstractNumId w:val="9"/>
  </w:num>
  <w:num w:numId="6">
    <w:abstractNumId w:val="7"/>
  </w:num>
  <w:num w:numId="7">
    <w:abstractNumId w:val="0"/>
  </w:num>
  <w:num w:numId="8">
    <w:abstractNumId w:val="11"/>
  </w:num>
  <w:num w:numId="9">
    <w:abstractNumId w:val="2"/>
  </w:num>
  <w:num w:numId="10">
    <w:abstractNumId w:val="14"/>
  </w:num>
  <w:num w:numId="11">
    <w:abstractNumId w:val="17"/>
  </w:num>
  <w:num w:numId="12">
    <w:abstractNumId w:val="1"/>
  </w:num>
  <w:num w:numId="13">
    <w:abstractNumId w:val="5"/>
  </w:num>
  <w:num w:numId="14">
    <w:abstractNumId w:val="21"/>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4"/>
  </w:num>
  <w:num w:numId="18">
    <w:abstractNumId w:val="18"/>
  </w:num>
  <w:num w:numId="19">
    <w:abstractNumId w:val="6"/>
  </w:num>
  <w:num w:numId="20">
    <w:abstractNumId w:val="10"/>
  </w:num>
  <w:num w:numId="21">
    <w:abstractNumId w:val="24"/>
  </w:num>
  <w:num w:numId="22">
    <w:abstractNumId w:val="3"/>
  </w:num>
  <w:num w:numId="23">
    <w:abstractNumId w:val="12"/>
  </w:num>
  <w:num w:numId="24">
    <w:abstractNumId w:val="15"/>
  </w:num>
  <w:num w:numId="25">
    <w:abstractNumId w:val="4"/>
  </w:num>
  <w:num w:numId="26">
    <w:abstractNumId w:val="4"/>
  </w:num>
  <w:num w:numId="27">
    <w:abstractNumId w:val="4"/>
  </w:num>
  <w:num w:numId="28">
    <w:abstractNumId w:val="19"/>
  </w:num>
  <w:num w:numId="29">
    <w:abstractNumId w:val="16"/>
  </w:num>
  <w:num w:numId="30">
    <w:abstractNumId w:val="8"/>
  </w:num>
</w:numbering>
</file>

<file path=word/settings.xml><?xml version="1.0" encoding="utf-8"?>
<w:settings xmlns:w="http://schemas.openxmlformats.org/wordprocessingml/2006/main">
  <w:displayBackgroundShape w:val="0"/>
  <w:defaultTabStop w:val="720"/>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arDocumentPathInserted" w:val="No"/>
    <w:docVar w:name="DVarLanguage" w:val="Sv"/>
    <w:docVar w:name="DVarLogotype" w:val="Yes"/>
    <w:docVar w:name="DVarNumbering" w:val="-1"/>
    <w:docVar w:name="DVarPageNumberInserted" w:val="No"/>
    <w:docVar w:name="DVarToc" w:val="Innehållsförteckning"/>
  </w:docVars>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imes New Roman" w:eastAsia="Times New Roman"/>
        <w:sz w:val="22"/>
        <w:szCs w:val="22"/>
        <w:lang w:val="en-US" w:bidi="ar-SA" w:eastAsia="en-US"/>
      </w:rPr>
    </w:rPrDefault>
    <w:pPrDefault>
      <w:pPr>
        <w:keepNext w:val="0"/>
        <w:keepLines w:val="0"/>
        <w:pageBreakBefore w:val="0"/>
        <w:widowControl w:val="1"/>
        <w:suppressLineNumbers w:val="0"/>
        <w:shd w:val="clear" w:fill="auto"/>
        <w:suppressAutoHyphens w:val="0"/>
        <w:spacing w:lineRule="atLeast" w:line="264" w:before="0" w:after="120" w:beforeAutospacing="0" w:afterAutospacing="0"/>
        <w:ind w:firstLine="0" w:left="0" w:right="0"/>
        <w:contextualSpacing w:val="0"/>
        <w:bidi w:val="0"/>
        <w:jc w:val="left"/>
        <w:outlineLvl w:val="9"/>
      </w:pPr>
    </w:pPrDefault>
  </w:docDefaults>
  <w:style w:type="paragraph" w:styleId="P0" w:default="1">
    <w:name w:val="Normal"/>
    <w:qFormat/>
    <w:pPr/>
    <w:rPr>
      <w:sz w:val="24"/>
      <w:lang w:val="sv-SE"/>
    </w:rPr>
  </w:style>
  <w:style w:type="paragraph" w:styleId="P1">
    <w:name w:val="Heading 1"/>
    <w:basedOn w:val="P0"/>
    <w:next w:val="P0"/>
    <w:link w:val="C3"/>
    <w:qFormat/>
    <w:pPr>
      <w:keepNext w:val="1"/>
      <w:numPr>
        <w:numId w:val="17"/>
      </w:numPr>
      <w:spacing w:lineRule="atLeast" w:line="384" w:before="360" w:beforeAutospacing="0" w:afterAutospacing="0"/>
      <w:outlineLvl w:val="0"/>
    </w:pPr>
    <w:rPr>
      <w:rFonts w:asciiTheme="majorHAnsi" w:hAnsiTheme="majorHAnsi" w:eastAsiaTheme="majorEastAsia"/>
      <w:bCs w:val="1"/>
      <w:sz w:val="32"/>
      <w:szCs w:val="28"/>
    </w:rPr>
  </w:style>
  <w:style w:type="paragraph" w:styleId="P2">
    <w:name w:val="Heading 2"/>
    <w:basedOn w:val="P0"/>
    <w:next w:val="P0"/>
    <w:link w:val="C4"/>
    <w:qFormat/>
    <w:pPr>
      <w:keepNext w:val="1"/>
      <w:numPr>
        <w:ilvl w:val="1"/>
        <w:numId w:val="17"/>
      </w:numPr>
      <w:spacing w:lineRule="atLeast" w:line="336" w:before="360" w:beforeAutospacing="0" w:afterAutospacing="0"/>
      <w:outlineLvl w:val="1"/>
    </w:pPr>
    <w:rPr>
      <w:rFonts w:asciiTheme="majorHAnsi" w:hAnsiTheme="majorHAnsi" w:eastAsiaTheme="majorEastAsia"/>
      <w:bCs w:val="1"/>
      <w:sz w:val="28"/>
      <w:szCs w:val="26"/>
    </w:rPr>
  </w:style>
  <w:style w:type="paragraph" w:styleId="P3">
    <w:name w:val="Heading 3"/>
    <w:basedOn w:val="P0"/>
    <w:next w:val="P0"/>
    <w:link w:val="C5"/>
    <w:qFormat/>
    <w:pPr>
      <w:keepNext w:val="1"/>
      <w:numPr>
        <w:ilvl w:val="2"/>
        <w:numId w:val="17"/>
      </w:numPr>
      <w:spacing w:lineRule="atLeast" w:line="288" w:before="240" w:beforeAutospacing="0" w:afterAutospacing="0"/>
      <w:outlineLvl w:val="2"/>
    </w:pPr>
    <w:rPr>
      <w:rFonts w:asciiTheme="majorHAnsi" w:hAnsiTheme="majorHAnsi" w:eastAsiaTheme="majorEastAsia"/>
      <w:bCs w:val="1"/>
    </w:rPr>
  </w:style>
  <w:style w:type="paragraph" w:styleId="P4">
    <w:name w:val="Heading 4"/>
    <w:basedOn w:val="P0"/>
    <w:next w:val="P0"/>
    <w:link w:val="C6"/>
    <w:semiHidden/>
    <w:pPr>
      <w:keepNext w:val="1"/>
      <w:numPr>
        <w:ilvl w:val="3"/>
        <w:numId w:val="17"/>
      </w:numPr>
      <w:spacing w:lineRule="atLeast" w:line="300" w:before="120" w:after="0" w:beforeAutospacing="0" w:afterAutospacing="0"/>
      <w:outlineLvl w:val="3"/>
    </w:pPr>
    <w:rPr>
      <w:bCs w:val="1"/>
      <w:iCs w:val="1"/>
    </w:rPr>
  </w:style>
  <w:style w:type="paragraph" w:styleId="P5">
    <w:name w:val="Heading 5"/>
    <w:basedOn w:val="P0"/>
    <w:next w:val="P0"/>
    <w:link w:val="C7"/>
    <w:semiHidden/>
    <w:pPr>
      <w:keepNext w:val="1"/>
      <w:numPr>
        <w:ilvl w:val="4"/>
        <w:numId w:val="17"/>
      </w:numPr>
      <w:spacing w:lineRule="atLeast" w:line="300" w:before="120" w:after="0" w:beforeAutospacing="0" w:afterAutospacing="0"/>
      <w:outlineLvl w:val="4"/>
    </w:pPr>
    <w:rPr/>
  </w:style>
  <w:style w:type="paragraph" w:styleId="P6">
    <w:name w:val="Heading 6"/>
    <w:basedOn w:val="P0"/>
    <w:next w:val="P0"/>
    <w:link w:val="C8"/>
    <w:semiHidden/>
    <w:pPr>
      <w:keepNext w:val="1"/>
      <w:numPr>
        <w:ilvl w:val="5"/>
        <w:numId w:val="17"/>
      </w:numPr>
      <w:spacing w:lineRule="atLeast" w:line="300" w:before="120" w:after="0" w:beforeAutospacing="0" w:afterAutospacing="0"/>
      <w:outlineLvl w:val="5"/>
    </w:pPr>
    <w:rPr>
      <w:iCs w:val="1"/>
    </w:rPr>
  </w:style>
  <w:style w:type="paragraph" w:styleId="P7">
    <w:name w:val="Heading 7"/>
    <w:basedOn w:val="P0"/>
    <w:next w:val="P0"/>
    <w:link w:val="C11"/>
    <w:semiHidden/>
    <w:pPr>
      <w:keepNext w:val="1"/>
      <w:numPr>
        <w:ilvl w:val="6"/>
        <w:numId w:val="17"/>
      </w:numPr>
      <w:spacing w:lineRule="atLeast" w:line="300" w:before="120" w:after="0" w:beforeAutospacing="0" w:afterAutospacing="0"/>
      <w:outlineLvl w:val="6"/>
    </w:pPr>
    <w:rPr>
      <w:rFonts w:eastAsiaTheme="majorEastAsia"/>
      <w:iCs w:val="1"/>
    </w:rPr>
  </w:style>
  <w:style w:type="paragraph" w:styleId="P8">
    <w:name w:val="Heading 8"/>
    <w:basedOn w:val="P0"/>
    <w:next w:val="P0"/>
    <w:link w:val="C12"/>
    <w:semiHidden/>
    <w:qFormat/>
    <w:pPr>
      <w:keepNext w:val="1"/>
      <w:keepLines w:val="1"/>
      <w:numPr>
        <w:ilvl w:val="7"/>
        <w:numId w:val="17"/>
      </w:numPr>
      <w:spacing w:before="200" w:after="0" w:beforeAutospacing="0" w:afterAutospacing="0"/>
      <w:outlineLvl w:val="7"/>
    </w:pPr>
    <w:rPr>
      <w:rFonts w:asciiTheme="majorHAnsi" w:hAnsiTheme="majorHAnsi" w:cstheme="majorBidi" w:eastAsiaTheme="majorEastAsia"/>
      <w:color w:val="404040" w:themeColor="text1" w:themeTint="BF"/>
    </w:rPr>
  </w:style>
  <w:style w:type="paragraph" w:styleId="P9">
    <w:name w:val="Heading 9"/>
    <w:basedOn w:val="P0"/>
    <w:next w:val="P0"/>
    <w:link w:val="C19"/>
    <w:semiHidden/>
    <w:qFormat/>
    <w:pPr>
      <w:keepNext w:val="1"/>
      <w:keepLines w:val="1"/>
      <w:numPr>
        <w:ilvl w:val="8"/>
        <w:numId w:val="17"/>
      </w:numPr>
      <w:spacing w:before="4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Header"/>
    <w:basedOn w:val="P0"/>
    <w:link w:val="C9"/>
    <w:pPr>
      <w:tabs>
        <w:tab w:val="center" w:pos="4536" w:leader="none"/>
        <w:tab w:val="right" w:pos="9072" w:leader="none"/>
      </w:tabs>
      <w:spacing w:lineRule="atLeast" w:line="192" w:after="0" w:beforeAutospacing="0" w:afterAutospacing="0"/>
    </w:pPr>
    <w:rPr>
      <w:rFonts w:asciiTheme="majorHAnsi" w:hAnsiTheme="majorHAnsi"/>
      <w:sz w:val="16"/>
    </w:rPr>
  </w:style>
  <w:style w:type="paragraph" w:styleId="P11">
    <w:name w:val="Footer"/>
    <w:basedOn w:val="P0"/>
    <w:link w:val="C10"/>
    <w:pPr>
      <w:tabs>
        <w:tab w:val="center" w:pos="4536" w:leader="none"/>
        <w:tab w:val="right" w:pos="9072" w:leader="none"/>
      </w:tabs>
      <w:spacing w:lineRule="atLeast" w:line="192" w:after="0" w:beforeAutospacing="0" w:afterAutospacing="0"/>
    </w:pPr>
    <w:rPr>
      <w:rFonts w:asciiTheme="majorHAnsi" w:hAnsiTheme="majorHAnsi"/>
      <w:sz w:val="20"/>
      <w:szCs w:val="28"/>
    </w:rPr>
  </w:style>
  <w:style w:type="paragraph" w:styleId="P12">
    <w:name w:val="TOC 1"/>
    <w:basedOn w:val="P0"/>
    <w:next w:val="P0"/>
    <w:pPr>
      <w:tabs>
        <w:tab w:val="left" w:pos="680" w:leader="none"/>
        <w:tab w:val="right" w:pos="9071" w:leader="none"/>
      </w:tabs>
      <w:spacing w:lineRule="atLeast" w:line="280" w:after="0" w:beforeAutospacing="0" w:afterAutospacing="0"/>
    </w:pPr>
    <w:rPr>
      <w:rFonts w:asciiTheme="majorHAnsi" w:hAnsiTheme="majorHAnsi"/>
    </w:rPr>
  </w:style>
  <w:style w:type="paragraph" w:styleId="P13">
    <w:name w:val="TOC 2"/>
    <w:basedOn w:val="P0"/>
    <w:next w:val="P0"/>
    <w:pPr>
      <w:tabs>
        <w:tab w:val="left" w:pos="680" w:leader="none"/>
        <w:tab w:val="right" w:pos="9071" w:leader="none"/>
      </w:tabs>
      <w:spacing w:lineRule="atLeast" w:line="280" w:after="0" w:beforeAutospacing="0" w:afterAutospacing="0"/>
    </w:pPr>
    <w:rPr>
      <w:rFonts w:asciiTheme="majorHAnsi" w:hAnsiTheme="majorHAnsi"/>
    </w:rPr>
  </w:style>
  <w:style w:type="paragraph" w:styleId="P14">
    <w:name w:val="TOC 3"/>
    <w:basedOn w:val="P0"/>
    <w:next w:val="P0"/>
    <w:pPr>
      <w:tabs>
        <w:tab w:val="left" w:pos="680" w:leader="none"/>
        <w:tab w:val="right" w:pos="9071" w:leader="none"/>
      </w:tabs>
      <w:spacing w:lineRule="atLeast" w:line="280" w:after="0" w:beforeAutospacing="0" w:afterAutospacing="0"/>
    </w:pPr>
    <w:rPr>
      <w:rFonts w:asciiTheme="majorHAnsi" w:hAnsiTheme="majorHAnsi"/>
    </w:rPr>
  </w:style>
  <w:style w:type="paragraph" w:styleId="P15">
    <w:name w:val="TOC 4"/>
    <w:basedOn w:val="P0"/>
    <w:next w:val="P0"/>
    <w:pPr>
      <w:spacing w:after="0" w:beforeAutospacing="0" w:afterAutospacing="0"/>
      <w:ind w:left="660"/>
    </w:pPr>
    <w:rPr/>
  </w:style>
  <w:style w:type="paragraph" w:styleId="P16">
    <w:name w:val="List Paragraph"/>
    <w:basedOn w:val="P0"/>
    <w:qFormat/>
    <w:pPr>
      <w:ind w:left="720"/>
      <w:contextualSpacing w:val="1"/>
    </w:pPr>
    <w:rPr/>
  </w:style>
  <w:style w:type="paragraph" w:styleId="P17">
    <w:name w:val="Profile"/>
    <w:basedOn w:val="P0"/>
    <w:semiHidden/>
    <w:pPr>
      <w:spacing w:after="0" w:beforeAutospacing="0" w:afterAutospacing="0"/>
    </w:pPr>
    <w:rPr/>
  </w:style>
  <w:style w:type="paragraph" w:styleId="P18">
    <w:name w:val="Tillägg"/>
    <w:basedOn w:val="P11"/>
    <w:semiHidden/>
    <w:pPr/>
    <w:rPr/>
  </w:style>
  <w:style w:type="paragraph" w:styleId="P19">
    <w:name w:val="Normal utan avstånd"/>
    <w:basedOn w:val="P0"/>
    <w:semiHidden/>
    <w:pPr>
      <w:spacing w:after="0" w:beforeAutospacing="0" w:afterAutospacing="0"/>
    </w:pPr>
    <w:rPr/>
  </w:style>
  <w:style w:type="paragraph" w:styleId="P20">
    <w:name w:val="Sidhuvud förstasida"/>
    <w:basedOn w:val="P10"/>
    <w:semiHidden/>
    <w:pPr/>
    <w:rPr/>
  </w:style>
  <w:style w:type="paragraph" w:styleId="P21">
    <w:name w:val="Dold rad"/>
    <w:basedOn w:val="P20"/>
    <w:pPr>
      <w:spacing w:lineRule="auto" w:line="240" w:beforeAutospacing="0" w:afterAutospacing="0"/>
    </w:pPr>
    <w:rPr>
      <w:sz w:val="2"/>
    </w:rPr>
  </w:style>
  <w:style w:type="paragraph" w:styleId="P22">
    <w:name w:val="Dokumentinfo huvud"/>
    <w:basedOn w:val="P0"/>
    <w:semiHidden/>
    <w:pPr>
      <w:spacing w:lineRule="atLeast" w:line="190" w:beforeAutospacing="0" w:afterAutospacing="0"/>
      <w:ind w:left="-765"/>
    </w:pPr>
    <w:rPr>
      <w:rFonts w:ascii="Verdana" w:hAnsi="Verdana"/>
      <w:sz w:val="12"/>
    </w:rPr>
  </w:style>
  <w:style w:type="paragraph" w:styleId="P23">
    <w:name w:val="Balloon Text"/>
    <w:basedOn w:val="P0"/>
    <w:link w:val="C13"/>
    <w:semiHidden/>
    <w:pPr/>
    <w:rPr>
      <w:rFonts w:ascii="Tahoma" w:hAnsi="Tahoma" w:cs="Tahoma"/>
      <w:sz w:val="16"/>
      <w:szCs w:val="16"/>
    </w:rPr>
  </w:style>
  <w:style w:type="paragraph" w:styleId="P24">
    <w:name w:val="Default"/>
    <w:semiHidden/>
    <w:pPr/>
    <w:rPr>
      <w:rFonts w:cs="Arial"/>
      <w:color w:val="000000"/>
      <w:sz w:val="24"/>
      <w:szCs w:val="24"/>
      <w:lang w:val="sv-SE"/>
    </w:rPr>
  </w:style>
  <w:style w:type="paragraph" w:styleId="P25">
    <w:name w:val="Heading_1 No"/>
    <w:basedOn w:val="P0"/>
    <w:next w:val="P0"/>
    <w:link w:val="C14"/>
    <w:pPr>
      <w:keepNext w:val="1"/>
      <w:numPr>
        <w:numId w:val="2"/>
      </w:numPr>
      <w:spacing w:lineRule="atLeast" w:line="384" w:before="360" w:beforeAutospacing="0" w:afterAutospacing="0"/>
      <w:outlineLvl w:val="0"/>
    </w:pPr>
    <w:rPr>
      <w:rFonts w:asciiTheme="majorHAnsi" w:hAnsiTheme="majorHAnsi" w:cs="Arial"/>
      <w:sz w:val="32"/>
      <w:szCs w:val="36"/>
    </w:rPr>
  </w:style>
  <w:style w:type="paragraph" w:styleId="P26">
    <w:name w:val="Heading_2 No"/>
    <w:basedOn w:val="P0"/>
    <w:next w:val="P0"/>
    <w:link w:val="C15"/>
    <w:pPr>
      <w:keepNext w:val="1"/>
      <w:numPr>
        <w:ilvl w:val="1"/>
        <w:numId w:val="2"/>
      </w:numPr>
      <w:spacing w:lineRule="atLeast" w:line="336" w:before="360" w:after="100" w:beforeAutospacing="0" w:afterAutospacing="0"/>
      <w:outlineLvl w:val="1"/>
    </w:pPr>
    <w:rPr>
      <w:rFonts w:asciiTheme="majorHAnsi" w:hAnsiTheme="majorHAnsi" w:cs="Arial"/>
      <w:sz w:val="28"/>
      <w:szCs w:val="26"/>
    </w:rPr>
  </w:style>
  <w:style w:type="paragraph" w:styleId="P27">
    <w:name w:val="Heading_3 No"/>
    <w:basedOn w:val="P3"/>
    <w:next w:val="P0"/>
    <w:link w:val="C16"/>
    <w:pPr>
      <w:numPr>
        <w:numId w:val="2"/>
      </w:numPr>
    </w:pPr>
    <w:rPr/>
  </w:style>
  <w:style w:type="paragraph" w:styleId="P28">
    <w:name w:val="Heading_4 No"/>
    <w:basedOn w:val="P0"/>
    <w:next w:val="P0"/>
    <w:link w:val="C17"/>
    <w:semiHidden/>
    <w:pPr>
      <w:keepNext w:val="1"/>
      <w:numPr>
        <w:ilvl w:val="3"/>
        <w:numId w:val="2"/>
      </w:numPr>
      <w:spacing w:before="360" w:beforeAutospacing="0" w:afterAutospacing="0"/>
      <w:outlineLvl w:val="3"/>
    </w:pPr>
    <w:rPr>
      <w:b w:val="1"/>
    </w:rPr>
  </w:style>
  <w:style w:type="paragraph" w:styleId="P29">
    <w:name w:val="Heading_5 No"/>
    <w:basedOn w:val="P0"/>
    <w:next w:val="P0"/>
    <w:link w:val="C18"/>
    <w:semiHidden/>
    <w:pPr>
      <w:keepNext w:val="1"/>
      <w:numPr>
        <w:ilvl w:val="4"/>
        <w:numId w:val="2"/>
      </w:numPr>
      <w:spacing w:before="360" w:beforeAutospacing="0" w:afterAutospacing="0"/>
      <w:outlineLvl w:val="4"/>
    </w:pPr>
    <w:rPr>
      <w:i w:val="1"/>
      <w:lang w:val="en-GB"/>
    </w:rPr>
  </w:style>
  <w:style w:type="paragraph" w:styleId="P30">
    <w:name w:val="Etikett"/>
    <w:semiHidden/>
    <w:pPr>
      <w:spacing w:lineRule="atLeast" w:line="168" w:after="0" w:beforeAutospacing="0" w:afterAutospacing="0"/>
    </w:pPr>
    <w:rPr>
      <w:rFonts w:asciiTheme="majorHAnsi" w:hAnsiTheme="majorHAnsi"/>
      <w:sz w:val="14"/>
      <w:lang w:val="sv-SE"/>
    </w:rPr>
  </w:style>
  <w:style w:type="paragraph" w:styleId="P31">
    <w:name w:val="Logotyp"/>
    <w:semiHidden/>
    <w:pPr/>
    <w:rPr/>
  </w:style>
  <w:style w:type="paragraph" w:styleId="P32">
    <w:name w:val="Rubrik 11"/>
    <w:basedOn w:val="P0"/>
    <w:semiHidden/>
    <w:pPr>
      <w:numPr>
        <w:numId w:val="1"/>
      </w:numPr>
    </w:pPr>
    <w:rPr/>
  </w:style>
  <w:style w:type="paragraph" w:styleId="P33">
    <w:name w:val="Rubrik 21"/>
    <w:basedOn w:val="P0"/>
    <w:semiHidden/>
    <w:pPr>
      <w:numPr>
        <w:ilvl w:val="1"/>
        <w:numId w:val="1"/>
      </w:numPr>
    </w:pPr>
    <w:rPr/>
  </w:style>
  <w:style w:type="paragraph" w:styleId="P34">
    <w:name w:val="Rubrik 31"/>
    <w:basedOn w:val="P0"/>
    <w:semiHidden/>
    <w:pPr>
      <w:numPr>
        <w:ilvl w:val="2"/>
        <w:numId w:val="1"/>
      </w:numPr>
    </w:pPr>
    <w:rPr/>
  </w:style>
  <w:style w:type="paragraph" w:styleId="P35">
    <w:name w:val="Rubrik 41"/>
    <w:basedOn w:val="P0"/>
    <w:semiHidden/>
    <w:pPr>
      <w:numPr>
        <w:ilvl w:val="3"/>
        <w:numId w:val="1"/>
      </w:numPr>
    </w:pPr>
    <w:rPr/>
  </w:style>
  <w:style w:type="paragraph" w:styleId="P36">
    <w:name w:val="Rubrik 51"/>
    <w:basedOn w:val="P0"/>
    <w:semiHidden/>
    <w:pPr>
      <w:numPr>
        <w:ilvl w:val="4"/>
        <w:numId w:val="1"/>
      </w:numPr>
    </w:pPr>
    <w:rPr/>
  </w:style>
  <w:style w:type="paragraph" w:styleId="P37">
    <w:name w:val="Rubrik 61"/>
    <w:basedOn w:val="P0"/>
    <w:semiHidden/>
    <w:pPr>
      <w:numPr>
        <w:ilvl w:val="5"/>
        <w:numId w:val="1"/>
      </w:numPr>
    </w:pPr>
    <w:rPr/>
  </w:style>
  <w:style w:type="paragraph" w:styleId="P38">
    <w:name w:val="Rubrik 71"/>
    <w:basedOn w:val="P0"/>
    <w:semiHidden/>
    <w:pPr>
      <w:numPr>
        <w:ilvl w:val="6"/>
        <w:numId w:val="1"/>
      </w:numPr>
    </w:pPr>
    <w:rPr/>
  </w:style>
  <w:style w:type="paragraph" w:styleId="P39">
    <w:name w:val="Rubrik 81"/>
    <w:basedOn w:val="P0"/>
    <w:semiHidden/>
    <w:pPr>
      <w:numPr>
        <w:ilvl w:val="7"/>
        <w:numId w:val="1"/>
      </w:numPr>
    </w:pPr>
    <w:rPr/>
  </w:style>
  <w:style w:type="paragraph" w:styleId="P40">
    <w:name w:val="Rubrik 91"/>
    <w:basedOn w:val="P0"/>
    <w:semiHidden/>
    <w:pPr>
      <w:numPr>
        <w:ilvl w:val="8"/>
        <w:numId w:val="1"/>
      </w:numPr>
    </w:pPr>
    <w:rPr/>
  </w:style>
  <w:style w:type="paragraph" w:styleId="P41">
    <w:name w:val="TOC Heading"/>
    <w:basedOn w:val="P1"/>
    <w:next w:val="P0"/>
    <w:qFormat/>
    <w:pPr>
      <w:keepLines w:val="1"/>
      <w:spacing w:after="360" w:beforeAutospacing="0" w:afterAutospacing="0"/>
      <w:outlineLvl w:val="9"/>
    </w:pPr>
    <w:rPr>
      <w:rFonts w:cstheme="majorBidi"/>
      <w:sz w:val="36"/>
      <w:szCs w:val="32"/>
      <w:lang w:val="en-GB" w:eastAsia="ja-JP"/>
    </w:rPr>
  </w:style>
  <w:style w:type="paragraph" w:styleId="P42">
    <w:name w:val="Label"/>
    <w:basedOn w:val="P10"/>
    <w:semiHidden/>
    <w:pPr/>
    <w:rPr>
      <w:color w:val="000000" w:themeColor="text1"/>
    </w:rPr>
  </w:style>
  <w:style w:type="paragraph" w:styleId="P43">
    <w:name w:val="Dokumenthuvud"/>
    <w:basedOn w:val="P0"/>
    <w:semiHidden/>
    <w:pPr>
      <w:tabs>
        <w:tab w:val="left" w:pos="4253" w:leader="none"/>
      </w:tabs>
      <w:spacing w:lineRule="atLeast" w:line="216" w:after="0" w:beforeAutospacing="0" w:afterAutospacing="0"/>
    </w:pPr>
    <w:rPr>
      <w:rFonts w:asciiTheme="majorHAnsi" w:hAnsiTheme="majorHAnsi"/>
      <w:sz w:val="18"/>
    </w:rPr>
  </w:style>
  <w:style w:type="paragraph" w:styleId="P44">
    <w:name w:val="Datering"/>
    <w:basedOn w:val="P0"/>
    <w:next w:val="P0"/>
    <w:semiHidden/>
    <w:pPr>
      <w:spacing w:lineRule="atLeast" w:line="192" w:after="1080" w:beforeAutospacing="0" w:afterAutospacing="0"/>
    </w:pPr>
    <w:rPr>
      <w:rFonts w:asciiTheme="majorHAnsi" w:hAnsiTheme="majorHAnsi"/>
      <w:sz w:val="16"/>
    </w:rPr>
  </w:style>
  <w:style w:type="paragraph" w:styleId="P45">
    <w:name w:val="Dokumenttyp"/>
    <w:basedOn w:val="P43"/>
    <w:next w:val="P43"/>
    <w:semiHidden/>
    <w:pPr>
      <w:spacing w:lineRule="atLeast" w:line="260" w:beforeAutospacing="0" w:afterAutospacing="0"/>
    </w:pPr>
    <w:rPr>
      <w:b w:val="1"/>
      <w:sz w:val="20"/>
    </w:rPr>
  </w:style>
  <w:style w:type="paragraph" w:styleId="P46">
    <w:name w:val="Hjälptext"/>
    <w:basedOn w:val="P0"/>
    <w:semiHidden/>
    <w:pPr/>
    <w:rPr>
      <w:color w:val="F8CB00" w:themeColor="accent4"/>
    </w:rPr>
  </w:style>
  <w:style w:type="paragraph" w:styleId="P47">
    <w:name w:val="TOC 5"/>
    <w:basedOn w:val="P0"/>
    <w:next w:val="P0"/>
    <w:pPr>
      <w:spacing w:after="100" w:beforeAutospacing="0" w:afterAutospacing="0"/>
      <w:ind w:left="800"/>
    </w:pPr>
    <w:rPr/>
  </w:style>
  <w:style w:type="paragraph" w:styleId="P48">
    <w:name w:val="Framsida - Huvudrubrik"/>
    <w:basedOn w:val="P42"/>
    <w:next w:val="P49"/>
    <w:qFormat/>
    <w:pPr>
      <w:spacing w:after="120" w:beforeAutospacing="0" w:afterAutospacing="0"/>
    </w:pPr>
    <w:rPr>
      <w:sz w:val="48"/>
      <w:szCs w:val="72"/>
    </w:rPr>
  </w:style>
  <w:style w:type="paragraph" w:styleId="P49">
    <w:name w:val="Framsida - Underrubrik"/>
    <w:basedOn w:val="P42"/>
    <w:next w:val="P0"/>
    <w:qFormat/>
    <w:pPr/>
    <w:rPr>
      <w:sz w:val="28"/>
      <w:szCs w:val="40"/>
    </w:rPr>
  </w:style>
  <w:style w:type="paragraph" w:styleId="P50">
    <w:name w:val="Caption"/>
    <w:basedOn w:val="P0"/>
    <w:next w:val="P0"/>
    <w:qFormat/>
    <w:pPr>
      <w:spacing w:lineRule="auto" w:line="240" w:after="200" w:beforeAutospacing="0" w:afterAutospacing="0"/>
      <w:ind w:left="782"/>
    </w:pPr>
    <w:rPr>
      <w:rFonts w:ascii="Times New Roman" w:hAnsi="Times New Roman"/>
      <w:b w:val="1"/>
      <w:bCs w:val="1"/>
      <w:color w:val="75B325" w:themeColor="accent1"/>
      <w:sz w:val="18"/>
      <w:szCs w:val="18"/>
      <w:lang w:eastAsia="sv-SE"/>
    </w:rPr>
  </w:style>
  <w:style w:type="paragraph" w:styleId="P51">
    <w:name w:val="Body Text"/>
    <w:basedOn w:val="P0"/>
    <w:link w:val="C21"/>
    <w:pPr>
      <w:spacing w:lineRule="auto" w:line="240" w:after="240" w:beforeAutospacing="0" w:afterAutospacing="0"/>
    </w:pPr>
    <w:rPr>
      <w:rFonts w:ascii="Times New Roman" w:hAnsi="Times New Roman"/>
      <w:szCs w:val="20"/>
      <w:lang w:eastAsia="sv-SE"/>
    </w:rPr>
  </w:style>
  <w:style w:type="paragraph" w:styleId="P52">
    <w:name w:val="annotation text"/>
    <w:basedOn w:val="P0"/>
    <w:link w:val="C24"/>
    <w:pPr>
      <w:spacing w:lineRule="auto" w:line="240" w:beforeAutospacing="0" w:afterAutospacing="0"/>
    </w:pPr>
    <w:rPr>
      <w:sz w:val="20"/>
      <w:szCs w:val="20"/>
    </w:rPr>
  </w:style>
  <w:style w:type="paragraph" w:styleId="P53">
    <w:name w:val="annotation subject"/>
    <w:basedOn w:val="P52"/>
    <w:next w:val="P52"/>
    <w:link w:val="C25"/>
    <w:semiHidden/>
    <w:pPr/>
    <w:rPr>
      <w:b w:val="1"/>
      <w:bCs w:val="1"/>
    </w:rPr>
  </w:style>
  <w:style w:type="paragraph" w:styleId="P54">
    <w:name w:val="paragraph"/>
    <w:basedOn w:val="P0"/>
    <w:pPr>
      <w:spacing w:lineRule="auto" w:line="240" w:before="100" w:after="100" w:beforeAutospacing="1" w:afterAutospacing="1"/>
    </w:pPr>
    <w:rPr>
      <w:rFonts w:ascii="Times New Roman" w:hAnsi="Times New Roman"/>
      <w:szCs w:val="24"/>
      <w:lang w:eastAsia="sv-SE"/>
    </w:rPr>
  </w:style>
  <w:style w:type="paragraph" w:styleId="P55">
    <w:name w:val="TOC 6"/>
    <w:basedOn w:val="P0"/>
    <w:next w:val="P0"/>
    <w:pPr>
      <w:spacing w:lineRule="auto" w:line="259" w:after="100" w:beforeAutospacing="0" w:afterAutospacing="0"/>
      <w:ind w:left="1100"/>
    </w:pPr>
    <w:rPr>
      <w:rFonts w:cstheme="minorBidi" w:eastAsiaTheme="minorEastAsia"/>
      <w:sz w:val="22"/>
      <w:lang w:eastAsia="sv-SE"/>
    </w:rPr>
  </w:style>
  <w:style w:type="paragraph" w:styleId="P56">
    <w:name w:val="TOC 7"/>
    <w:basedOn w:val="P0"/>
    <w:next w:val="P0"/>
    <w:pPr>
      <w:spacing w:lineRule="auto" w:line="259" w:after="100" w:beforeAutospacing="0" w:afterAutospacing="0"/>
      <w:ind w:left="1320"/>
    </w:pPr>
    <w:rPr>
      <w:rFonts w:cstheme="minorBidi" w:eastAsiaTheme="minorEastAsia"/>
      <w:sz w:val="22"/>
      <w:lang w:eastAsia="sv-SE"/>
    </w:rPr>
  </w:style>
  <w:style w:type="paragraph" w:styleId="P57">
    <w:name w:val="TOC 8"/>
    <w:basedOn w:val="P0"/>
    <w:next w:val="P0"/>
    <w:pPr>
      <w:spacing w:lineRule="auto" w:line="259" w:after="100" w:beforeAutospacing="0" w:afterAutospacing="0"/>
      <w:ind w:left="1540"/>
    </w:pPr>
    <w:rPr>
      <w:rFonts w:cstheme="minorBidi" w:eastAsiaTheme="minorEastAsia"/>
      <w:sz w:val="22"/>
      <w:lang w:eastAsia="sv-SE"/>
    </w:rPr>
  </w:style>
  <w:style w:type="paragraph" w:styleId="P58">
    <w:name w:val="TOC 9"/>
    <w:basedOn w:val="P0"/>
    <w:next w:val="P0"/>
    <w:pPr>
      <w:spacing w:lineRule="auto" w:line="259" w:after="100" w:beforeAutospacing="0" w:afterAutospacing="0"/>
      <w:ind w:left="1760"/>
    </w:pPr>
    <w:rPr>
      <w:rFonts w:cstheme="minorBidi" w:eastAsiaTheme="minorEastAsia"/>
      <w:sz w:val="22"/>
      <w:lang w:eastAsia="sv-SE"/>
    </w:rPr>
  </w:style>
  <w:style w:type="paragraph" w:styleId="P59">
    <w:name w:val="Revision"/>
    <w:hidden/>
    <w:semiHidden/>
    <w:pPr>
      <w:spacing w:lineRule="auto" w:line="240" w:after="0" w:beforeAutospacing="0" w:afterAutospacing="0"/>
    </w:pPr>
    <w:rPr>
      <w:sz w:val="24"/>
      <w:lang w:val="sv-SE"/>
    </w:rPr>
  </w:style>
  <w:style w:type="paragraph" w:styleId="P60">
    <w:name w:val="pf0"/>
    <w:basedOn w:val="P0"/>
    <w:pPr>
      <w:spacing w:lineRule="auto" w:line="240" w:before="100" w:after="100" w:beforeAutospacing="1" w:afterAutospacing="1"/>
    </w:pPr>
    <w:rPr>
      <w:rFonts w:ascii="Times New Roman" w:hAnsi="Times New Roman"/>
      <w:szCs w:val="24"/>
      <w:lang w:eastAsia="sv-SE"/>
    </w:rPr>
  </w:style>
  <w:style w:type="paragraph" w:styleId="P61">
    <w:name w:val="Footnote Text"/>
    <w:link w:val="C31"/>
    <w:semiHidden/>
    <w:pPr>
      <w:spacing w:lineRule="auto" w:line="240" w:after="0" w:beforeAutospacing="0" w:afterAutospacing="0"/>
    </w:pPr>
    <w:rPr>
      <w:sz w:val="20"/>
      <w:szCs w:val="20"/>
    </w:rPr>
  </w:style>
  <w:style w:type="paragraph" w:styleId="P62">
    <w:name w:val="Endnote Text"/>
    <w:link w:val="C33"/>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0000" w:themeColor="hyperlink"/>
      <w:u w:val="single"/>
    </w:rPr>
  </w:style>
  <w:style w:type="character" w:styleId="C3">
    <w:name w:val="Rubrik 1 Char"/>
    <w:link w:val="P1"/>
    <w:rPr>
      <w:rFonts w:asciiTheme="majorHAnsi" w:hAnsiTheme="majorHAnsi" w:eastAsiaTheme="majorEastAsia"/>
      <w:bCs w:val="1"/>
      <w:sz w:val="32"/>
      <w:szCs w:val="28"/>
      <w:lang w:val="sv-SE"/>
    </w:rPr>
  </w:style>
  <w:style w:type="character" w:styleId="C4">
    <w:name w:val="Rubrik 2 Char"/>
    <w:link w:val="P2"/>
    <w:rPr>
      <w:rFonts w:asciiTheme="majorHAnsi" w:hAnsiTheme="majorHAnsi" w:eastAsiaTheme="majorEastAsia"/>
      <w:bCs w:val="1"/>
      <w:sz w:val="28"/>
      <w:szCs w:val="26"/>
      <w:lang w:val="sv-SE"/>
    </w:rPr>
  </w:style>
  <w:style w:type="character" w:styleId="C5">
    <w:name w:val="Rubrik 3 Char"/>
    <w:link w:val="P3"/>
    <w:rPr>
      <w:rFonts w:asciiTheme="majorHAnsi" w:hAnsiTheme="majorHAnsi" w:eastAsiaTheme="majorEastAsia"/>
      <w:bCs w:val="1"/>
      <w:sz w:val="24"/>
      <w:lang w:val="sv-SE"/>
    </w:rPr>
  </w:style>
  <w:style w:type="character" w:styleId="C6">
    <w:name w:val="Rubrik 4 Char"/>
    <w:link w:val="P4"/>
    <w:semiHidden/>
    <w:rPr>
      <w:bCs w:val="1"/>
      <w:iCs w:val="1"/>
      <w:lang w:val="sv-SE"/>
    </w:rPr>
  </w:style>
  <w:style w:type="character" w:styleId="C7">
    <w:name w:val="Rubrik 5 Char"/>
    <w:link w:val="P5"/>
    <w:semiHidden/>
    <w:rPr>
      <w:lang w:val="sv-SE"/>
    </w:rPr>
  </w:style>
  <w:style w:type="character" w:styleId="C8">
    <w:name w:val="Rubrik 6 Char"/>
    <w:link w:val="P6"/>
    <w:semiHidden/>
    <w:rPr>
      <w:iCs w:val="1"/>
      <w:lang w:val="sv-SE"/>
    </w:rPr>
  </w:style>
  <w:style w:type="character" w:styleId="C9">
    <w:name w:val="Sidhuvud Char"/>
    <w:link w:val="P10"/>
    <w:rPr>
      <w:rFonts w:asciiTheme="majorHAnsi" w:hAnsiTheme="majorHAnsi"/>
      <w:sz w:val="16"/>
      <w:lang w:val="sv-SE"/>
    </w:rPr>
  </w:style>
  <w:style w:type="character" w:styleId="C10">
    <w:name w:val="Sidfot Char"/>
    <w:link w:val="P11"/>
    <w:rPr>
      <w:rFonts w:asciiTheme="majorHAnsi" w:hAnsiTheme="majorHAnsi"/>
      <w:sz w:val="20"/>
      <w:szCs w:val="28"/>
      <w:lang w:val="sv-SE"/>
    </w:rPr>
  </w:style>
  <w:style w:type="character" w:styleId="C11">
    <w:name w:val="Rubrik 7 Char"/>
    <w:basedOn w:val="C0"/>
    <w:link w:val="P7"/>
    <w:semiHidden/>
    <w:rPr>
      <w:rFonts w:eastAsiaTheme="majorEastAsia"/>
      <w:iCs w:val="1"/>
      <w:lang w:val="sv-SE"/>
    </w:rPr>
  </w:style>
  <w:style w:type="character" w:styleId="C12">
    <w:name w:val="Rubrik 8 Char"/>
    <w:basedOn w:val="C0"/>
    <w:link w:val="P8"/>
    <w:semiHidden/>
    <w:rPr>
      <w:rFonts w:asciiTheme="majorHAnsi" w:hAnsiTheme="majorHAnsi" w:cstheme="majorBidi" w:eastAsiaTheme="majorEastAsia"/>
      <w:color w:val="404040" w:themeColor="text1" w:themeTint="BF"/>
      <w:lang w:val="sv-SE"/>
    </w:rPr>
  </w:style>
  <w:style w:type="character" w:styleId="C13">
    <w:name w:val="Ballongtext Char"/>
    <w:basedOn w:val="C0"/>
    <w:link w:val="P23"/>
    <w:semiHidden/>
    <w:rPr>
      <w:rFonts w:ascii="Tahoma" w:hAnsi="Tahoma" w:cs="Tahoma"/>
      <w:sz w:val="16"/>
      <w:szCs w:val="16"/>
    </w:rPr>
  </w:style>
  <w:style w:type="character" w:styleId="C14">
    <w:name w:val="Heading_1 No Char"/>
    <w:basedOn w:val="C0"/>
    <w:link w:val="P25"/>
    <w:rPr>
      <w:rFonts w:asciiTheme="majorHAnsi" w:hAnsiTheme="majorHAnsi" w:cs="Arial"/>
      <w:sz w:val="32"/>
      <w:szCs w:val="36"/>
      <w:lang w:val="sv-SE"/>
    </w:rPr>
  </w:style>
  <w:style w:type="character" w:styleId="C15">
    <w:name w:val="Heading_2 No Char"/>
    <w:basedOn w:val="C0"/>
    <w:link w:val="P26"/>
    <w:rPr>
      <w:rFonts w:asciiTheme="majorHAnsi" w:hAnsiTheme="majorHAnsi" w:cs="Arial"/>
      <w:sz w:val="28"/>
      <w:szCs w:val="26"/>
      <w:lang w:val="sv-SE"/>
    </w:rPr>
  </w:style>
  <w:style w:type="character" w:styleId="C16">
    <w:name w:val="Heading_3 No Char"/>
    <w:basedOn w:val="C0"/>
    <w:link w:val="P27"/>
    <w:rPr>
      <w:rFonts w:asciiTheme="majorHAnsi" w:hAnsiTheme="majorHAnsi" w:eastAsiaTheme="majorEastAsia"/>
      <w:bCs w:val="1"/>
      <w:sz w:val="24"/>
      <w:lang w:val="sv-SE"/>
    </w:rPr>
  </w:style>
  <w:style w:type="character" w:styleId="C17">
    <w:name w:val="Heading_4 No Char"/>
    <w:basedOn w:val="C0"/>
    <w:link w:val="P28"/>
    <w:semiHidden/>
    <w:rPr>
      <w:b w:val="1"/>
      <w:sz w:val="24"/>
      <w:lang w:val="sv-SE"/>
    </w:rPr>
  </w:style>
  <w:style w:type="character" w:styleId="C18">
    <w:name w:val="Heading_5 No Char"/>
    <w:basedOn w:val="C0"/>
    <w:link w:val="P29"/>
    <w:semiHidden/>
    <w:rPr>
      <w:i w:val="1"/>
      <w:sz w:val="24"/>
      <w:lang w:val="en-GB"/>
    </w:rPr>
  </w:style>
  <w:style w:type="character" w:styleId="C19">
    <w:name w:val="Rubrik 9 Char"/>
    <w:basedOn w:val="C0"/>
    <w:link w:val="P9"/>
    <w:semiHidden/>
    <w:rPr>
      <w:rFonts w:asciiTheme="majorHAnsi" w:hAnsiTheme="majorHAnsi" w:cstheme="majorBidi" w:eastAsiaTheme="majorEastAsia"/>
      <w:i w:val="1"/>
      <w:iCs w:val="1"/>
      <w:color w:val="272727" w:themeColor="text1" w:themeTint="D8"/>
      <w:sz w:val="21"/>
      <w:szCs w:val="21"/>
      <w:lang w:val="sv-SE"/>
    </w:rPr>
  </w:style>
  <w:style w:type="character" w:styleId="C20">
    <w:name w:val="A1"/>
    <w:rPr>
      <w:color w:val="000000"/>
      <w:sz w:val="22"/>
      <w:szCs w:val="22"/>
    </w:rPr>
  </w:style>
  <w:style w:type="character" w:styleId="C21">
    <w:name w:val="Brödtext Char"/>
    <w:basedOn w:val="C0"/>
    <w:link w:val="P51"/>
    <w:rPr>
      <w:rFonts w:ascii="Times New Roman" w:hAnsi="Times New Roman"/>
      <w:sz w:val="24"/>
      <w:szCs w:val="20"/>
      <w:lang w:val="sv-SE" w:eastAsia="sv-SE"/>
    </w:rPr>
  </w:style>
  <w:style w:type="character" w:styleId="C22">
    <w:name w:val="A6"/>
    <w:rPr>
      <w:rFonts w:cs="Adobe Caslon Pro"/>
      <w:color w:val="000000"/>
      <w:sz w:val="22"/>
      <w:szCs w:val="22"/>
    </w:rPr>
  </w:style>
  <w:style w:type="character" w:styleId="C23">
    <w:name w:val="annotation reference"/>
    <w:basedOn w:val="C0"/>
    <w:semiHidden/>
    <w:rPr>
      <w:sz w:val="16"/>
      <w:szCs w:val="16"/>
    </w:rPr>
  </w:style>
  <w:style w:type="character" w:styleId="C24">
    <w:name w:val="Kommentarer Char"/>
    <w:basedOn w:val="C0"/>
    <w:link w:val="P52"/>
    <w:rPr>
      <w:sz w:val="20"/>
      <w:szCs w:val="20"/>
      <w:lang w:val="sv-SE"/>
    </w:rPr>
  </w:style>
  <w:style w:type="character" w:styleId="C25">
    <w:name w:val="Kommentarsämne Char"/>
    <w:basedOn w:val="C24"/>
    <w:link w:val="P53"/>
    <w:semiHidden/>
    <w:rPr>
      <w:b w:val="1"/>
      <w:bCs w:val="1"/>
      <w:sz w:val="20"/>
      <w:szCs w:val="20"/>
      <w:lang w:val="sv-SE"/>
    </w:rPr>
  </w:style>
  <w:style w:type="character" w:styleId="C26">
    <w:name w:val="normaltextrun"/>
    <w:basedOn w:val="C0"/>
    <w:rPr/>
  </w:style>
  <w:style w:type="character" w:styleId="C27">
    <w:name w:val="eop"/>
    <w:basedOn w:val="C0"/>
    <w:rPr/>
  </w:style>
  <w:style w:type="character" w:styleId="C28">
    <w:name w:val="Unresolved Mention1"/>
    <w:basedOn w:val="C0"/>
    <w:semiHidden/>
    <w:rPr>
      <w:color w:val="605E5C"/>
      <w:shd w:val="clear" w:color="auto" w:fill="E1DFDD"/>
    </w:rPr>
  </w:style>
  <w:style w:type="character" w:styleId="C29">
    <w:name w:val="cf01"/>
    <w:basedOn w:val="C0"/>
    <w:rPr>
      <w:rFonts w:ascii="Segoe UI" w:hAnsi="Segoe UI" w:cs="Segoe UI" w:hint="default"/>
      <w:sz w:val="18"/>
      <w:szCs w:val="18"/>
    </w:rPr>
  </w:style>
  <w:style w:type="character" w:styleId="C30">
    <w:name w:val="Footnote Reference"/>
    <w:semiHidden/>
    <w:rPr>
      <w:vertAlign w:val="superscript"/>
    </w:rPr>
  </w:style>
  <w:style w:type="character" w:styleId="C31">
    <w:name w:val="Footnote Text Char"/>
    <w:link w:val="P61"/>
    <w:semiHidden/>
    <w:rPr>
      <w:sz w:val="20"/>
      <w:szCs w:val="20"/>
    </w:rPr>
  </w:style>
  <w:style w:type="character" w:styleId="C32">
    <w:name w:val="Endnote Reference"/>
    <w:semiHidden/>
    <w:rPr>
      <w:vertAlign w:val="superscript"/>
    </w:rPr>
  </w:style>
  <w:style w:type="character" w:styleId="C33">
    <w:name w:val="Endnote Text Char"/>
    <w:link w:val="P62"/>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000000" w:themeColor="text1"/>
        <w:left w:val="single" w:sz="4" w:space="0" w:shadow="0" w:frame="0" w:color="000000" w:themeColor="text1"/>
        <w:bottom w:val="single" w:sz="4" w:space="0" w:shadow="0" w:frame="0" w:color="000000" w:themeColor="text1"/>
        <w:right w:val="single" w:sz="4" w:space="0" w:shadow="0" w:frame="0" w:color="000000" w:themeColor="text1"/>
        <w:insideH w:val="single" w:sz="4" w:space="0" w:shadow="0" w:frame="0" w:color="000000" w:themeColor="text1"/>
        <w:insideV w:val="single" w:sz="4" w:space="0" w:shadow="0" w:frame="0" w:color="000000" w:themeColor="text1"/>
      </w:tblBorders>
    </w:tblPr>
    <w:trPr/>
    <w:tcPr/>
  </w:style>
  <w:style w:type="table" w:styleId="T3">
    <w:name w:val="Boden 1"/>
    <w:basedOn w:val="T0"/>
    <w:pPr>
      <w:spacing w:before="40" w:after="40" w:beforeAutospacing="0" w:afterAutospacing="0"/>
    </w:pPr>
    <w:rPr>
      <w:rFonts w:asciiTheme="majorHAnsi" w:hAnsiTheme="majorHAnsi"/>
      <w:sz w:val="18"/>
    </w:rPr>
    <w:tblPr>
      <w:tblStyleRowBandSize w:val="1"/>
      <w:tblBorders>
        <w:top w:val="single" w:sz="4" w:space="0" w:shadow="0" w:frame="0" w:color="75B325" w:themeColor="accent1"/>
        <w:left w:val="single" w:sz="4" w:space="0" w:shadow="0" w:frame="0" w:color="75B325" w:themeColor="accent1"/>
        <w:bottom w:val="single" w:sz="4" w:space="0" w:shadow="0" w:frame="0" w:color="75B325" w:themeColor="accent1"/>
        <w:right w:val="single" w:sz="4" w:space="0" w:shadow="0" w:frame="0" w:color="75B325" w:themeColor="accent1"/>
        <w:insideH w:val="single" w:sz="4" w:space="0" w:shadow="0" w:frame="0" w:color="75B325" w:themeColor="accent1"/>
        <w:insideV w:val="single" w:sz="4" w:space="0" w:shadow="0" w:frame="0" w:color="75B325" w:themeColor="accent1"/>
      </w:tblBorders>
    </w:tblPr>
    <w:trPr/>
    <w:tcPr/>
    <w:tblStylePr w:type="band1Horz">
      <w:tblPr/>
      <w:trPr/>
      <w:tcPr>
        <w:shd w:val="clear" w:color="auto" w:fill="E6F6D1" w:themeFill="accent1" w:themeFillTint="30"/>
      </w:tcPr>
    </w:tblStylePr>
    <w:tblStylePr w:type="firstRow">
      <w:pPr>
        <w:spacing w:beforeAutospacing="0" w:afterAutospacing="0"/>
      </w:pPr>
      <w:rPr>
        <w:b w:val="1"/>
        <w:caps w:val="1"/>
        <w:smallCaps w:val="0"/>
      </w:rPr>
      <w:tblPr/>
      <w:trPr/>
      <w:tcPr>
        <w:shd w:val="clear" w:color="auto" w:fill="75B325" w:themeFill="accent1"/>
      </w:tcPr>
    </w:tblStylePr>
  </w:style>
  <w:style w:type="table" w:styleId="T4">
    <w:name w:val="Boden 2"/>
    <w:basedOn w:val="T0"/>
    <w:pPr>
      <w:spacing w:before="40" w:after="40" w:beforeAutospacing="0" w:afterAutospacing="0"/>
    </w:pPr>
    <w:rPr>
      <w:rFonts w:asciiTheme="majorHAnsi" w:hAnsiTheme="majorHAnsi"/>
      <w:sz w:val="18"/>
    </w:rPr>
    <w:tblPr>
      <w:tblStyleRowBandSize w:val="1"/>
      <w:tblBorders>
        <w:top w:val="single" w:sz="4" w:space="0" w:shadow="0" w:frame="0" w:color="75B325" w:themeColor="accent1"/>
        <w:left w:val="single" w:sz="4" w:space="0" w:shadow="0" w:frame="0" w:color="75B325" w:themeColor="accent1"/>
        <w:bottom w:val="single" w:sz="4" w:space="0" w:shadow="0" w:frame="0" w:color="75B325" w:themeColor="accent1"/>
        <w:right w:val="single" w:sz="4" w:space="0" w:shadow="0" w:frame="0" w:color="75B325" w:themeColor="accent1"/>
        <w:insideH w:val="single" w:sz="4" w:space="0" w:shadow="0" w:frame="0" w:color="75B325" w:themeColor="accent1"/>
        <w:insideV w:val="single" w:sz="4" w:space="0" w:shadow="0" w:frame="0" w:color="75B325" w:themeColor="accent1"/>
      </w:tblBorders>
    </w:tblPr>
    <w:trPr/>
    <w:tcPr/>
    <w:tblStylePr w:type="band1Horz">
      <w:tblPr/>
      <w:trPr/>
      <w:tcPr>
        <w:shd w:val="clear" w:color="auto" w:fill="E6F6D1" w:themeFill="accent1" w:themeFillTint="30"/>
      </w:tcPr>
    </w:tblStylePr>
    <w:tblStylePr w:type="firstRow">
      <w:pPr>
        <w:spacing w:beforeAutospacing="0" w:afterAutospacing="0"/>
      </w:pPr>
      <w:rPr>
        <w:b w:val="1"/>
        <w:caps w:val="1"/>
        <w:smallCaps w:val="0"/>
        <w:color w:val="75B325" w:themeColor="accent1"/>
      </w:rPr>
      <w:tblPr/>
      <w:trPr/>
      <w:tcPr>
        <w:tcBorders>
          <w:top w:val="nil"/>
          <w:left w:val="nil"/>
          <w:bottom w:val="single" w:sz="12" w:space="0" w:shadow="0" w:frame="0" w:color="75B325" w:themeColor="accent1"/>
          <w:right w:val="nil"/>
          <w:insideH w:val="nil"/>
          <w:insideV w:val="nil"/>
          <w:tl2br w:val="nil"/>
          <w:tr2bl w:val="nil"/>
        </w:tcBorders>
      </w:tcPr>
    </w:tblStylePr>
  </w:style>
  <w:style w:type="table" w:styleId="T5">
    <w:name w:val="Boden 3"/>
    <w:basedOn w:val="T0"/>
    <w:pPr>
      <w:spacing w:before="40" w:after="40" w:beforeAutospacing="0" w:afterAutospacing="0"/>
    </w:pPr>
    <w:rPr>
      <w:rFonts w:asciiTheme="majorHAnsi" w:hAnsiTheme="majorHAnsi"/>
      <w:sz w:val="18"/>
    </w:rPr>
    <w:tblPr>
      <w:tblStyleRowBandSize w:val="1"/>
      <w:tblBorders>
        <w:top w:val="single" w:sz="4" w:space="0" w:shadow="0" w:frame="0" w:color="75B325" w:themeColor="accent1"/>
        <w:left w:val="single" w:sz="4" w:space="0" w:shadow="0" w:frame="0" w:color="75B325" w:themeColor="accent1"/>
        <w:bottom w:val="single" w:sz="4" w:space="0" w:shadow="0" w:frame="0" w:color="75B325" w:themeColor="accent1"/>
        <w:right w:val="single" w:sz="4" w:space="0" w:shadow="0" w:frame="0" w:color="75B325" w:themeColor="accent1"/>
        <w:insideH w:val="single" w:sz="4" w:space="0" w:shadow="0" w:frame="0" w:color="75B325" w:themeColor="accent1"/>
        <w:insideV w:val="single" w:sz="4" w:space="0" w:shadow="0" w:frame="0" w:color="75B325" w:themeColor="accent1"/>
      </w:tblBorders>
    </w:tblPr>
    <w:trPr/>
    <w:tcPr/>
    <w:tblStylePr w:type="firstRow">
      <w:pPr>
        <w:spacing w:beforeAutospacing="0" w:afterAutospacing="0"/>
      </w:pPr>
      <w:rPr>
        <w:b w:val="1"/>
        <w:caps w:val="1"/>
        <w:smallCaps w:val="0"/>
        <w:color w:val="auto"/>
      </w:rPr>
      <w:tblPr/>
      <w:trPr/>
      <w:tcPr>
        <w:tcBorders>
          <w:top w:val="single" w:sz="4" w:space="0" w:shadow="0" w:frame="0" w:color="75B325" w:themeColor="accent1"/>
          <w:left w:val="single" w:sz="4" w:space="0" w:shadow="0" w:frame="0" w:color="75B325" w:themeColor="accent1"/>
          <w:bottom w:val="single" w:sz="12" w:space="0" w:shadow="0" w:frame="0" w:color="75B325" w:themeColor="accent1"/>
          <w:right w:val="single" w:sz="4" w:space="0" w:shadow="0" w:frame="0" w:color="75B325" w:themeColor="accent1"/>
          <w:insideH w:val="single" w:sz="4" w:space="0" w:shadow="0" w:frame="0" w:color="75B325" w:themeColor="accent1"/>
          <w:insideV w:val="single" w:sz="4" w:space="0" w:shadow="0" w:frame="0" w:color="75B325" w:themeColor="accent1"/>
          <w:tl2br w:val="nil"/>
          <w:tr2bl w:val="nil"/>
        </w:tcBorders>
      </w:tcPr>
    </w:tblStylePr>
  </w:style>
  <w:style w:type="numbering" w:styleId="N0">
    <w:name w:val="No List"/>
  </w:style>
  <w:style w:type="numbering" w:styleId="N1">
    <w:name w:val="Company_List"/>
    <w:pPr>
      <w:numPr>
        <w:numId w:val="4"/>
      </w:numPr>
    </w:pPr>
  </w:style>
  <w:style w:type="numbering" w:styleId="N2">
    <w:name w:val="Company_ListBullet"/>
    <w:pPr>
      <w:numPr>
        <w:numId w:val="3"/>
      </w:numPr>
    </w:pPr>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png" /><Relationship Id="Relimage14" Type="http://schemas.openxmlformats.org/officeDocument/2006/relationships/image" Target="/media/image14.pn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png" /><Relationship Id="Relimage22" Type="http://schemas.openxmlformats.org/officeDocument/2006/relationships/image" Target="/media/image22.pn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image27" Type="http://schemas.openxmlformats.org/officeDocument/2006/relationships/image" Target="/media/image27.png" /><Relationship Id="Relimage28" Type="http://schemas.openxmlformats.org/officeDocument/2006/relationships/image" Target="/media/image28.jp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elimage31" Type="http://schemas.openxmlformats.org/officeDocument/2006/relationships/image" Target="/media/image31.jpg" /></Relationships>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29" Type="http://schemas.openxmlformats.org/officeDocument/2006/relationships/image" Target="/media/image29.png" /></Relationships>
</file>

<file path=word/_rels/header2.xml.rels>&#65279;<?xml version="1.0" encoding="utf-8"?><Relationships xmlns="http://schemas.openxmlformats.org/package/2006/relationships"><Relationship Id="Relimage30" Type="http://schemas.openxmlformats.org/officeDocument/2006/relationships/image" Target="/media/image30.jpg" /></Relationships>
</file>

<file path=word/theme/theme1.xml><?xml version="1.0" encoding="utf-8"?>
<a:theme xmlns:a="http://schemas.openxmlformats.org/drawingml/2006/main" name="Office-tema">
  <a:themeElements>
    <a:clrScheme name="Bodens kommun">
      <a:dk1>
        <a:sysClr val="windowText" lastClr="000000"/>
      </a:dk1>
      <a:lt1>
        <a:sysClr val="window" lastClr="FFFFFF"/>
      </a:lt1>
      <a:dk2>
        <a:srgbClr val="005C69"/>
      </a:dk2>
      <a:lt2>
        <a:srgbClr val="C1C6C8"/>
      </a:lt2>
      <a:accent1>
        <a:srgbClr val="75B325"/>
      </a:accent1>
      <a:accent2>
        <a:srgbClr val="009DC8"/>
      </a:accent2>
      <a:accent3>
        <a:srgbClr val="AD2579"/>
      </a:accent3>
      <a:accent4>
        <a:srgbClr val="F8CB00"/>
      </a:accent4>
      <a:accent5>
        <a:srgbClr val="208322"/>
      </a:accent5>
      <a:accent6>
        <a:srgbClr val="F49500"/>
      </a:accent6>
      <a:hlink>
        <a:srgbClr val="000000"/>
      </a:hlink>
      <a:folHlink>
        <a:srgbClr val="000000"/>
      </a:folHlink>
    </a:clrScheme>
    <a:fontScheme name="Bodens kommun">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lanbeskrivning xmlns:lmg="http://namespace.lantmateriet.se/distribution/geometri/v2" xmlns:gml="http://www.opengis.net/gml/3.2" xmlns="http://namespace.lantmateriet.se/distribution/geodatakatalog/planbeskrivning/v2">
  <versionGiltigFran>2026-01-09T10:19:32.0725032+01:00</versionGiltigFran>
  <detaljplansreferens>08195db9-0871-4121-a4c7-409a96f3f6d8</detaljplansreferens>
  <Objektmetadata>
    <programvara>GEOSECMA</programvara>
    <programvaruversion>20.6</programvaruversion>
  </Objektmetadata>
  <Omfattning>
    <identitet>be_allmänplats01</identitet>
    <Lage>
      <planomrade>true</planomrade>
    </Lage>
    <Indelning>
      <tema>Beskrivning av detaljplanen</tema>
      <grupp>Allmän plats</grupp>
    </Indelning>
  </Omfattning>
  <Omfattning>
    <identitet>be_natur01</identitet>
    <Lage>
      <planomrade>true</planomrade>
    </Lage>
    <Indelning>
      <tema>Beskrivning av detaljplanen</tema>
      <grupp>Allmän plats</grupp>
      <undergrupp>Natur</undergrupp>
    </Indelning>
  </Omfattning>
  <Omfattning>
    <identitet>be_huvudmannaskap01</identitet>
    <Lage>
      <planomrade>true</planomrade>
    </Lage>
    <Indelning>
      <tema>Beskrivning av detaljplanen</tema>
      <grupp>Allmän plats</grupp>
      <undergrupp>Huvudmannaskap</undergrupp>
    </Indelning>
  </Omfattning>
  <Omfattning>
    <identitet>be_ärendeinformation01</identitet>
    <Lage>
      <planomrade>true</planomrade>
    </Lage>
    <Indelning>
      <tema>Beskrivning av detaljplanen</tema>
      <grupp>Ärendeinformation</grupp>
    </Indelning>
  </Omfattning>
  <Omfattning>
    <identitet>be_planarkitekt01</identitet>
    <Lage>
      <planomrade>true</planomrade>
    </Lage>
    <Indelning>
      <tema>Beskrivning av detaljplanen</tema>
      <grupp>Ärendeinformation</grupp>
      <undergrupp>Planarkitekt</undergrupp>
    </Indelning>
  </Omfattning>
  <Omfattning>
    <identitet>pu_annat01</identitet>
    <Lage>
      <planomrade>true</planomrade>
    </Lage>
    <Indelning>
      <tema>Planeringsunderlag</tema>
      <grupp>Annat</grupp>
    </Indelning>
  </Omfattning>
  <Omfattning>
    <identitet>pu_bullerutredning01</identitet>
    <Lage>
      <planomrade>true</planomrade>
    </Lage>
    <Indelning>
      <tema>Planeringsunderlag</tema>
      <grupp>Utredningar</grupp>
      <undergrupp>Bullerutredning</undergrupp>
    </Indelning>
  </Omfattning>
  <Omfattning>
    <identitet>pu_lokaliseringsutredning01</identitet>
    <Lage>
      <planomrade>true</planomrade>
    </Lage>
    <Indelning>
      <tema>Planeringsunderlag</tema>
      <grupp>Utredningar</grupp>
      <undergrupp>Lokaliseringsutredning</undergrupp>
    </Indelning>
  </Omfattning>
  <Omfattning>
    <identitet>pu_dagvattenutredning01</identitet>
    <Lage>
      <planomrade>true</planomrade>
    </Lage>
    <Indelning>
      <tema>Planeringsunderlag</tema>
      <grupp>Utredningar</grupp>
      <undergrupp>Dagvattenutredning</undergrupp>
    </Indelning>
  </Omfattning>
  <Omfattning>
    <identitet>pu_kulturmiljöutredning01</identitet>
    <Lage>
      <planomrade>true</planomrade>
    </Lage>
    <Indelning>
      <tema>Planeringsunderlag</tema>
      <grupp>Utredningar</grupp>
      <undergrupp>Kulturmiljöutredning</undergrupp>
    </Indelning>
  </Omfattning>
  <Omfattning>
    <identitet>pu_geotekniskutredning01</identitet>
    <Lage>
      <planomrade>true</planomrade>
    </Lage>
    <Indelning>
      <tema>Planeringsunderlag</tema>
      <grupp>Utredningar</grupp>
      <undergrupp>Geoteknisk utredning</undergrupp>
    </Indelning>
  </Omfattning>
  <Omfattning>
    <identitet>pf_planuppdrag01</identitet>
    <Lage>
      <planomrade>true</planomrade>
    </Lage>
    <Indelning>
      <tema>Planeringsförutsättningar</tema>
      <grupp>Kommunala</grupp>
      <undergrupp>Planuppdrag</undergrupp>
    </Indelning>
  </Omfattning>
  <Omfattning>
    <identitet>pu_särskiltbeslutombetydandemiljöpåver01</identitet>
    <Lage>
      <planomrade>true</planomrade>
    </Lage>
    <Indelning>
      <tema>Planeringsunderlag</tema>
      <grupp>Kommunala</grupp>
      <undergrupp>Särskilt beslut om betydande miljöpåverkan</undergrupp>
    </Indelning>
  </Omfattning>
  <Omfattning>
    <identitet>be_ärendeinformation02</identitet>
    <Lage>
      <planomrade>true</planomrade>
    </Lage>
    <Indelning>
      <tema>Beskrivning av detaljplanen</tema>
      <grupp>Ärendeinformation</grupp>
    </Indelning>
  </Omfattning>
  <Omfattning>
    <identitet>be_ärendeinformation03</identitet>
    <Lage>
      <planomrade>true</planomrade>
    </Lage>
    <Indelning>
      <tema>Beskrivning av detaljplanen</tema>
      <grupp>Ärendeinformation</grupp>
    </Indelning>
  </Omfattning>
  <Omfattning>
    <identitet>be_befintligt01</identitet>
    <Lage>
      <planomrade>true</planomrade>
    </Lage>
    <Indelning>
      <tema>Beskrivning av detaljplanen</tema>
      <grupp>Befintligt</grupp>
    </Indelning>
  </Omfattning>
  <Omfattning>
    <identitet>pf_teknik01</identitet>
    <Lage>
      <planomrade>true</planomrade>
    </Lage>
    <Indelning>
      <tema>Planeringsförutsättningar</tema>
      <grupp>Teknik</grupp>
    </Indelning>
  </Omfattning>
  <Omfattning>
    <identitet>be_kvartersmark01</identitet>
    <Lage>
      <planomrade>true</planomrade>
    </Lage>
    <Indelning>
      <tema>Beskrivning av detaljplanen</tema>
      <grupp>Kvartersmark</grupp>
    </Indelning>
  </Omfattning>
  <Omfattning>
    <identitet>be_bostäder01</identitet>
    <Lage>
      <planomrade>true</planomrade>
    </Lage>
    <Indelning>
      <tema>Beskrivning av detaljplanen</tema>
      <grupp>Kvartersmark</grupp>
      <undergrupp>Bostäder</undergrupp>
    </Indelning>
  </Omfattning>
  <Omfattning>
    <identitet>be_verksamheter01</identitet>
    <Lage>
      <planomrade>true</planomrade>
    </Lage>
    <Indelning>
      <tema>Beskrivning av detaljplanen</tema>
      <grupp>Kvartersmark</grupp>
      <undergrupp>Verksamheter</undergrupp>
    </Indelning>
  </Omfattning>
  <Omfattning>
    <identitet>be_bostäder02</identitet>
    <Lage>
      <planomrade>true</planomrade>
    </Lage>
    <Indelning>
      <tema>Beskrivning av detaljplanen</tema>
      <grupp>Kvartersmark</grupp>
      <undergrupp>Bostäder</undergrupp>
    </Indelning>
  </Omfattning>
  <Omfattning>
    <identitet>mo_motivtillreglering04</identitet>
    <Lage>
      <lmg:Yta>
        <lmg:absolutLagesosakerhetPlan>0</lmg:absolutLagesosakerhetPlan>
        <lmg:absolutLagesosakerhetHojd>0</lmg:absolutLagesosakerhetHojd>
        <lmg:hojdsystem>RH 2000</lmg:hojdsystem>
        <gml:Polygon gml:id="ID_debd9cef-ef4e-41c4-b0f5-e38783d87b97" srsName="EPSG:3017" srsDimension="2">
          <gml:exterior>
            <gml:LinearRing gml:id="ID_cd150408-8cc2-4034-a368-f8d05fc59cab">
              <gml:posList>7302120.655 146617.944 7302106.685 146591.911 7302113.248 146574.577 7302114.959 146570.057 7302117.68 146562.872 7302117.722 146562.691 7302117.745 146562.7 7302119.386 146558.366 7302116.893 146542.064 7302119.399 146541.362 7302124.215 146540.003 7302128.678 146538.494 7302133.043 146537.8 7302141.555 146534.276 7302155.487 146530.447 7302157.437 146530.258 7302160.339 146529.955 7302163.539 146529.657 7302167.439 146529.145 7302169.749 146529.045 7302172.641 146529.04 7302175.941 146529.239 7302178.146 146529.43 7302180.651 146529.829 7302183.455 146530.324 7302186.149 146530.922 7302188.156 146531.419 7302192.061 146532.518 7302195.058 146533.511 7302197.568 146534.307 7302200.162 146535.508 7302202.471 146536.4 7302204.769 146537.699 7302206.782 146538.697 7302208.973 146540.192 7302210.488 146541.39 7302211.987 146542.49 7302213.586 146543.769 7302179.637 146583.442 7302156.654 146610.301 7302144.379 146623.632 7302130.189 146635.708 7302120.655 146617.944</gml:posList>
            </gml:LinearRing>
          </gml:exterior>
        </gml:Polygon>
      </lmg:Yta>
      <planbestammelsereferens>4da86738-79f8-46df-a965-aa0cd085317c</planbestammelsereferens>
    </Lage>
    <Indelning>
      <tema>Motiv till detaljplanens regleringar</tema>
      <grupp>Motiv till reglering</grupp>
    </Indelning>
  </Omfattning>
  <Omfattning>
    <identitet>mo_motivtillreglering07</identitet>
    <Lage>
      <lmg:Yta>
        <lmg:absolutLagesosakerhetPlan>0.1</lmg:absolutLagesosakerhetPlan>
        <lmg:absolutLagesosakerhetHojd>0</lmg:absolutLagesosakerhetHojd>
        <lmg:hojdsystem>RH 2000</lmg:hojdsystem>
        <gml:Polygon gml:id="ID_0adc3ea7-c029-4f33-8ce0-0f7db9f60833" srsName="EPSG:3017" srsDimension="2">
          <gml:exterior>
            <gml:LinearRing gml:id="ID_433ca167-02a9-46cd-9782-b75fb5cbbd49">
              <gml:posList>7302125.69 146639.536 7302112.233 146650.988 7302075.028 146637.551 7302033.132 146599.942 7301997.772 146585.556 7301990.398 146576.833 7301975.606 146556.979 7301963.554 146535.024 7301966.149 146535.337 7301970.843 146535.149 7301979.926 146552.177 7302003.679 146578.194 7302030.659 146594.543 7302053.792 146610.816 7302060.976 146617.511 7302061.545 146614.666 7302079.197 146583.138 7302092.085 146560.954 7302093.862 146557.894 7302093.895 146557.838 7302095.425 146555.204 7302097.895 146551.002 7302099.941 146544.186 7302106.916 146544.303 7302111.182 146543.661 7302116.893 146542.064 7302119.386 146558.366 7302117.745 146562.7 7302117.722 146562.691 7302117.68 146562.872 7302114.959 146570.057 7302113.248 146574.577 7302106.685 146591.911 7302120.655 146617.944 7302130.189 146635.708 7302125.69 146639.536</gml:posList>
            </gml:LinearRing>
          </gml:exterior>
          <gml:interior>
            <gml:LinearRing gml:id="ID_9b0f1ea3-ff98-4cfb-95bd-eee540231bde">
              <gml:posList>7302115 146633.259 7302087.305 146616.991 7302085.233 146592.827 7302071.007 146618.236 7302069.953 146624.067 7302070.326 146626.414 7302074 146629.734 7302101.646 146640.465 7302109.052 146643.298 7302115 146633.259</gml:posList>
            </gml:LinearRing>
          </gml:interior>
        </gml:Polygon>
      </lmg:Yta>
      <planbestammelsereferens>fa67cac2-703a-4a7d-9751-167c69b20178</planbestammelsereferens>
    </Lage>
    <Lage>
      <lmg:Yta>
        <lmg:absolutLagesosakerhetPlan>0.1</lmg:absolutLagesosakerhetPlan>
        <lmg:absolutLagesosakerhetHojd>0</lmg:absolutLagesosakerhetHojd>
        <lmg:hojdsystem>RH 2000</lmg:hojdsystem>
        <gml:Polygon gml:id="ID_8bddf61c-6c0b-49a5-a5d6-453fc1c6b257" srsName="EPSG:3017" srsDimension="2">
          <gml:exterior>
            <gml:LinearRing gml:id="ID_2fc5b087-aaf8-453c-ae87-68dd16d1e3ea">
              <gml:posList>7302106.685 146591.911 7302113.248 146574.577 7302114.959 146570.057 7302123.844 146574.008 7302126.844 146566.47 7302117.745 146562.7 7302119.386 146558.366 7302116.893 146542.064 7302119.399 146541.362 7302124.215 146540.003 7302128.678 146538.494 7302133.043 146537.8 7302141.555 146534.276 7302155.487 146530.447 7302157.437 146530.258 7302160.339 146529.955 7302163.539 146529.657 7302167.439 146529.145 7302169.749 146529.045 7302172.641 146529.04 7302175.941 146529.239 7302178.146 146529.43 7302180.651 146529.829 7302183.455 146530.324 7302186.149 146530.922 7302188.156 146531.419 7302192.061 146532.518 7302195.058 146533.511 7302197.568 146534.307 7302200.162 146535.508 7302202.471 146536.4 7302204.769 146537.699 7302206.782 146538.697 7302208.973 146540.192 7302210.488 146541.39 7302211.987 146542.49 7302213.586 146543.769 7302179.637 146583.442 7302156.654 146610.301 7302144.379 146623.632 7302130.189 146635.708 7302120.655 146617.944 7302106.685 146591.911</gml:posList>
            </gml:LinearRing>
          </gml:exterior>
          <gml:interior>
            <gml:LinearRing gml:id="ID_850527b8-2cd0-46af-9cbf-f83229b0c9c7">
              <gml:posList>7302123.898 146586.644 7302132.005 146589.539 7302132.483 146588.2 7302154.939 146596.313 7302154.49 146597.571 7302162.031 146600.265 7302167.553 146584.801 7302160.012 146582.107 7302158.838 146581.495 7302157.779 146579.458 7302155.88 146580.728 7302154.808 146578.464 7302151.063 146580.172 7302137.147 146575.145 7302137.528 146574.076 7302129.422 146571.18 7302123.898 146586.644</gml:posList>
            </gml:LinearRing>
          </gml:interior>
          <gml:interior>
            <gml:LinearRing gml:id="ID_07fb6573-6bcb-49a2-8d6c-71a35ca2828a">
              <gml:posList>7302118.951 146585.494 7302123.52 146574.518 7302121.511 146573.682 7302116.942 146584.658 7302118.951 146585.494</gml:posList>
            </gml:LinearRing>
          </gml:interior>
        </gml:Polygon>
      </lmg:Yta>
      <planbestammelsereferens>5daf49c7-b315-42f0-ad7f-2d494d783bdc</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b14d3382-729d-430f-9862-af3c3fa5a457" srsName="EPSG:3017" srsDimension="2">
          <gml:exterior>
            <gml:LinearRing gml:id="ID_beb02deb-65eb-47dd-b81c-1f68c2fc8c9e">
              <gml:posList>7302115 146633.259 7302109.052 146643.298 7302101.646 146640.465 7302074 146629.734 7302070.326 146626.414 7302069.953 146624.067 7302071.007 146618.236 7302085.233 146592.827 7302087.305 146616.991 7302115 146633.259</gml:posList>
            </gml:LinearRing>
          </gml:exterior>
        </gml:Polygon>
      </lmg:Yta>
      <planbestammelsereferens>b12bfe13-d59c-49fa-9ce9-d56529847818</planbestammelsereferens>
    </Lage>
    <Lage>
      <lmg:Yta>
        <lmg:absolutLagesosakerhetPlan>0</lmg:absolutLagesosakerhetPlan>
        <lmg:absolutLagesosakerhetHojd>0</lmg:absolutLagesosakerhetHojd>
        <lmg:hojdsystem>RH 2000</lmg:hojdsystem>
        <gml:Polygon gml:id="ID_46d05dbd-831a-403d-9de0-2558dcf1ae86" srsName="EPSG:3017" srsDimension="2">
          <gml:exterior>
            <gml:LinearRing gml:id="ID_a733c868-ff12-4340-bc44-40a02ff2daaf">
              <gml:posList>7302060.976 146617.511 7302053.792 146610.816 7302030.659 146594.543 7302003.679 146578.194 7301979.926 146552.177 7301970.843 146535.149 7301972.348 146535.088 7301978.195 146535.097 7301983.732 146534.7 7301991.098 146534.188 7301997.647 146533.123 7302004.458 146532.921 7302009.184 146532.99 7302014.568 146532.289 7302019.806 146532.811 7302026.156 146532.205 7302032.458 146532.211 7302039.84 146533.533 7302044.506 146534.033 7302046.504 146534.247 7302049.612 146535.193 7302052.151 146534.97 7302054.289 146535.362 7302059.439 146537.312 7302065.184 146537.677 7302071.702 146539.109 7302076.793 146540.14 7302087.131 146542.714 7302092.529 146543.899 7302098.376 146544.16 7302099.941 146544.186 7302097.895 146551.002 7302093.648 146548.364 7302091.091 146552.656 7302092.755 146553.634 7302093.376 146553.999 7302095.425 146555.204 7302093.895 146557.838 7302093.862 146557.894 7302092.085 146560.954 7302079.197 146583.138 7302061.545 146614.666 7302060.976 146617.511</gml:posList>
            </gml:LinearRing>
          </gml:exterior>
        </gml:Polygon>
      </lmg:Yta>
      <planbestammelsereferens>a1978ae6-65ba-43fe-af1e-02030ce0eae9</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8b02068f-9261-47a7-b5f0-f0d0dfe31bba" srsName="EPSG:3017" srsDimension="2">
          <gml:exterior>
            <gml:LinearRing gml:id="ID_45c6902f-4e5e-4735-b67f-b435c8bb6af2">
              <gml:posList>7302115 146633.259 7302109.052 146643.298 7302101.646 146640.465 7302074 146629.734 7302070.326 146626.414 7302069.953 146624.067 7302071.007 146618.236 7302085.233 146592.827 7302087.305 146616.991 7302115 146633.259</gml:posList>
            </gml:LinearRing>
          </gml:exterior>
        </gml:Polygon>
      </lmg:Yta>
      <planbestammelsereferens>3d01622d-c500-4067-aec3-d741f6ee5f97</planbestammelsereferens>
    </Lage>
    <Lage>
      <lmg:Yta>
        <lmg:absolutLagesosakerhetPlan>0</lmg:absolutLagesosakerhetPlan>
        <lmg:absolutLagesosakerhetHojd>0</lmg:absolutLagesosakerhetHojd>
        <lmg:hojdsystem>RH 2000</lmg:hojdsystem>
        <gml:Polygon gml:id="ID_c7304a4c-55c3-4876-b8b8-13af17a498a6" srsName="EPSG:3017" srsDimension="2">
          <gml:exterior>
            <gml:LinearRing gml:id="ID_05a5b319-cca7-4561-833c-0d72c66cf1ad">
              <gml:posList>7302060.976 146617.511 7302053.792 146610.816 7302030.659 146594.543 7302003.679 146578.194 7301979.926 146552.177 7301970.843 146535.149 7301972.348 146535.088 7301978.195 146535.097 7301983.732 146534.7 7301991.098 146534.188 7301997.647 146533.123 7302004.458 146532.921 7302009.184 146532.99 7302014.568 146532.289 7302019.806 146532.811 7302026.156 146532.205 7302032.458 146532.211 7302039.84 146533.533 7302044.506 146534.033 7302046.504 146534.247 7302049.612 146535.193 7302052.151 146534.97 7302054.289 146535.362 7302059.439 146537.312 7302065.184 146537.677 7302071.702 146539.109 7302076.793 146540.14 7302087.131 146542.714 7302092.529 146543.899 7302098.376 146544.16 7302099.941 146544.186 7302097.895 146551.002 7302093.648 146548.364 7302091.091 146552.656 7302092.755 146553.634 7302093.376 146553.999 7302095.425 146555.204 7302093.895 146557.838 7302093.862 146557.894 7302092.085 146560.954 7302079.197 146583.138 7302061.545 146614.666 7302060.976 146617.511</gml:posList>
            </gml:LinearRing>
          </gml:exterior>
        </gml:Polygon>
      </lmg:Yta>
      <planbestammelsereferens>4d93d94b-35bd-436a-bbfc-5f815151226f</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ab022f6b-25ef-493c-baec-cc2e9c1f38e3" srsName="EPSG:3017" srsDimension="2">
          <gml:exterior>
            <gml:LinearRing gml:id="ID_2709516f-80c0-447a-986f-3571f07ceb0e">
              <gml:posList>7302167.553 146584.801 7302162.031 146600.265 7302154.49 146597.571 7302154.939 146596.313 7302132.483 146588.2 7302132.005 146589.539 7302123.898 146586.644 7302129.422 146571.18 7302137.528 146574.076 7302137.147 146575.145 7302151.063 146580.172 7302154.808 146578.464 7302155.88 146580.728 7302157.779 146579.458 7302158.838 146581.495 7302160.012 146582.107 7302167.553 146584.801</gml:posList>
            </gml:LinearRing>
          </gml:exterior>
        </gml:Polygon>
      </lmg:Yta>
      <planbestammelsereferens>1f0490ae-0f6c-4d55-acbe-0cbb4d13d199</planbestammelsereferens>
    </Lage>
    <Indelning>
      <tema>Motiv till detaljplanens regleringar</tema>
      <grupp>Motiv till reglering</grupp>
    </Indelning>
  </Omfattning>
  <Omfattning>
    <identitet>mo_motivtillreglering15</identitet>
    <Lage>
      <lmg:Yta>
        <lmg:absolutLagesosakerhetPlan>0</lmg:absolutLagesosakerhetPlan>
        <lmg:absolutLagesosakerhetHojd>0</lmg:absolutLagesosakerhetHojd>
        <lmg:hojdsystem>RH 2000</lmg:hojdsystem>
        <gml:Polygon gml:id="ID_c069d290-f672-4bc2-bfba-03883d203a79" srsName="EPSG:3017" srsDimension="2">
          <gml:exterior>
            <gml:LinearRing gml:id="ID_40eecd0b-0fdf-40ee-a2e5-83e19bd519d4">
              <gml:posList>7302167.553 146584.801 7302162.031 146600.265 7302154.49 146597.571 7302154.939 146596.313 7302132.483 146588.2 7302132.005 146589.539 7302123.898 146586.644 7302129.422 146571.18 7302137.528 146574.076 7302137.147 146575.145 7302151.063 146580.172 7302154.808 146578.464 7302155.88 146580.728 7302157.779 146579.458 7302158.838 146581.495 7302160.012 146582.107 7302167.553 146584.801</gml:posList>
            </gml:LinearRing>
          </gml:exterior>
        </gml:Polygon>
      </lmg:Yta>
      <planbestammelsereferens>bdcc5b56-384c-418d-ad88-61f64ce75e59</planbestammelsereferens>
    </Lage>
    <Indelning>
      <tema>Motiv till detaljplanens regleringar</tema>
      <grupp>Motiv till reglering</grupp>
    </Indelning>
  </Omfattning>
  <Omfattning>
    <identitet>pf_översiktsplan01</identitet>
    <Lage>
      <planomrade>true</planomrade>
    </Lage>
    <Indelning>
      <tema>Planeringsförutsättningar</tema>
      <grupp>Kommunala</grupp>
      <undergrupp>Översiktsplan</undergrupp>
    </Indelning>
  </Omfattning>
  <Omfattning>
    <identitet>pf_fördjupadöversiktsplan01</identitet>
    <Lage>
      <planomrade>true</planomrade>
    </Lage>
    <Indelning>
      <tema>Planeringsförutsättningar</tema>
      <grupp>Kommunala</grupp>
      <undergrupp>Fördjupad översiktsplan</undergrupp>
    </Indelning>
  </Omfattning>
  <Omfattning>
    <identitet>pf_detaljplan01</identitet>
    <Lage>
      <planomrade>true</planomrade>
    </Lage>
    <Indelning>
      <tema>Planeringsförutsättningar</tema>
      <grupp>Kommunala</grupp>
      <undergrupp>Detaljplan</under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pf_allmännaochenskildaintressen01</identitet>
    <Lage>
      <planomrade>true</planomrade>
    </Lage>
    <Indelning>
      <tema>Planeringsförutsättningar</tema>
      <grupp>Annat</grupp>
      <undergrupp>Allmänna och enskilda intressen</undergrupp>
    </Indelning>
  </Omfattning>
  <Omfattning>
    <identitet>pf_landskapsbild01</identitet>
    <Lage>
      <planomrade>true</planomrade>
    </Lage>
    <Indelning>
      <tema>Planeringsförutsättningar</tema>
      <grupp>Fysisk miljö</grupp>
      <undergrupp>Landskapsbild</undergrupp>
    </Indelning>
  </Omfattning>
  <Omfattning>
    <identitet>pf_kulturmiljövård01</identitet>
    <Lage>
      <planomrade>true</planomrade>
    </Lage>
    <Indelning>
      <tema>Planeringsförutsättningar</tema>
      <grupp>Riksintressen</grupp>
      <undergrupp>Kulturmiljövård</undergrupp>
    </Indelning>
  </Omfattning>
  <Omfattning>
    <identitet>mo_motivtillreglering02</identitet>
    <Lage>
      <lmg:Yta>
        <lmg:absolutLagesosakerhetPlan>0</lmg:absolutLagesosakerhetPlan>
        <lmg:absolutLagesosakerhetHojd>0</lmg:absolutLagesosakerhetHojd>
        <lmg:hojdsystem>RH 2000</lmg:hojdsystem>
        <gml:Polygon gml:id="ID_87089733-b419-48d9-b81e-308d9c8896a5" srsName="EPSG:3017" srsDimension="2">
          <gml:exterior>
            <gml:LinearRing gml:id="ID_c5d2d75a-195e-4f0f-bc19-1be73fe5b556">
              <gml:posList>7302120.655 146617.944 7302106.685 146591.911 7302113.248 146574.577 7302114.959 146570.057 7302117.68 146562.872 7302117.722 146562.691 7302117.745 146562.7 7302119.386 146558.366 7302116.893 146542.064 7302119.399 146541.362 7302124.215 146540.003 7302128.678 146538.494 7302133.043 146537.8 7302141.555 146534.276 7302155.487 146530.447 7302157.437 146530.258 7302160.339 146529.955 7302163.539 146529.657 7302167.439 146529.145 7302169.749 146529.045 7302172.641 146529.04 7302175.941 146529.239 7302178.146 146529.43 7302180.651 146529.829 7302183.455 146530.324 7302186.149 146530.922 7302188.156 146531.419 7302192.061 146532.518 7302195.058 146533.511 7302197.568 146534.307 7302200.162 146535.508 7302202.471 146536.4 7302204.769 146537.699 7302206.782 146538.697 7302208.973 146540.192 7302210.488 146541.39 7302211.987 146542.49 7302213.586 146543.769 7302179.637 146583.442 7302156.654 146610.301 7302144.379 146623.632 7302130.189 146635.708 7302120.655 146617.944</gml:posList>
            </gml:LinearRing>
          </gml:exterior>
        </gml:Polygon>
      </lmg:Yta>
      <planbestammelsereferens>fff48f14-fa78-4e72-a7f6-c681effa1cf3</planbestammelsereferens>
    </Lage>
    <Lage>
      <lmg:Yta>
        <lmg:absolutLagesosakerhetPlan>0</lmg:absolutLagesosakerhetPlan>
        <lmg:absolutLagesosakerhetHojd>0</lmg:absolutLagesosakerhetHojd>
        <lmg:hojdsystem>RH 2000</lmg:hojdsystem>
        <gml:Polygon gml:id="ID_21bba4df-843d-45ba-ad70-58cde7ee7f4e" srsName="EPSG:3017" srsDimension="2">
          <gml:exterior>
            <gml:LinearRing gml:id="ID_58800c05-675f-4dad-adf7-119e9c13649d">
              <gml:posList>7302112.233 146650.988 7302075.028 146637.551 7302033.132 146599.942 7301997.772 146585.556 7301990.398 146576.833 7301975.606 146556.979 7301963.554 146535.024 7301966.149 146535.337 7301970.843 146535.149 7301972.348 146535.088 7301978.195 146535.097 7301983.732 146534.7 7301991.098 146534.188 7301997.647 146533.123 7302004.458 146532.921 7302009.184 146532.99 7302014.568 146532.289 7302019.806 146532.811 7302026.156 146532.205 7302032.458 146532.211 7302039.84 146533.533 7302044.506 146534.033 7302046.504 146534.247 7302049.612 146535.193 7302052.151 146534.97 7302054.289 146535.362 7302059.439 146537.312 7302065.184 146537.677 7302071.702 146539.109 7302076.793 146540.14 7302087.131 146542.714 7302092.529 146543.899 7302098.376 146544.16 7302099.941 146544.186 7302106.916 146544.303 7302111.182 146543.661 7302116.893 146542.064 7302119.386 146558.366 7302117.745 146562.7 7302117.722 146562.691 7302117.68 146562.872 7302114.959 146570.057 7302113.248 146574.577 7302106.685 146591.911 7302120.655 146617.944 7302130.189 146635.708 7302125.69 146639.536 7302112.233 146650.988</gml:posList>
            </gml:LinearRing>
          </gml:exterior>
          <gml:interior>
            <gml:LinearRing gml:id="ID_a7aff696-07eb-437f-84ef-dcce77fc45b5">
              <gml:posList>7302093.648 146548.364 7302091.091 146552.656 7302092.755 146553.634 7302093.376 146553.999 7302095.425 146555.204 7302097.895 146551.002 7302093.648 146548.364</gml:posList>
            </gml:LinearRing>
          </gml:interior>
        </gml:Polygon>
      </lmg:Yta>
      <planbestammelsereferens>cf18b945-ca8a-44d3-bd44-eb1cc8c0d34f</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3c65df59-f460-4535-9c3d-6d801c947d91" srsName="EPSG:3017" srsDimension="2">
          <gml:exterior>
            <gml:LinearRing gml:id="ID_9e9dae33-0bd3-4ae8-8358-0c8d5cfb054a">
              <gml:posList>7302120.655 146617.944 7302106.685 146591.911 7302113.248 146574.577 7302114.959 146570.057 7302117.68 146562.872 7302117.722 146562.691 7302117.745 146562.7 7302119.386 146558.366 7302116.893 146542.064 7302119.399 146541.362 7302124.215 146540.003 7302128.678 146538.494 7302133.043 146537.8 7302141.555 146534.276 7302155.487 146530.447 7302157.437 146530.258 7302160.339 146529.955 7302163.539 146529.657 7302167.439 146529.145 7302169.749 146529.045 7302172.641 146529.04 7302175.941 146529.239 7302178.146 146529.43 7302180.651 146529.829 7302183.455 146530.324 7302186.149 146530.922 7302188.156 146531.419 7302192.061 146532.518 7302195.058 146533.511 7302197.568 146534.307 7302200.162 146535.508 7302202.471 146536.4 7302204.769 146537.699 7302206.782 146538.697 7302208.973 146540.192 7302210.488 146541.39 7302211.987 146542.49 7302213.586 146543.769 7302179.637 146583.442 7302156.654 146610.301 7302144.379 146623.632 7302130.189 146635.708 7302120.655 146617.944</gml:posList>
            </gml:LinearRing>
          </gml:exterior>
        </gml:Polygon>
      </lmg:Yta>
      <planbestammelsereferens>54857439-8de6-4896-864e-f9de050f9633</planbestammelsereferens>
    </Lage>
    <Indelning>
      <tema>Motiv till detaljplanens regleringar</tema>
      <grupp>Motiv till reglering</grupp>
    </Indelning>
  </Omfattning>
  <Omfattning>
    <identitet>mo_motivtillreglering01</identitet>
    <Lage>
      <lmg:Yta>
        <lmg:absolutLagesosakerhetPlan>0</lmg:absolutLagesosakerhetPlan>
        <lmg:absolutLagesosakerhetHojd>0</lmg:absolutLagesosakerhetHojd>
        <lmg:hojdsystem>RH 2000</lmg:hojdsystem>
        <gml:Polygon gml:id="ID_9e4f74b2-1eae-4cdb-a686-b5abf91031b7" srsName="EPSG:3017" srsDimension="2">
          <gml:exterior>
            <gml:LinearRing gml:id="ID_57c71bfd-c23c-4261-8d6e-24644f588fc8">
              <gml:posList>7302112.233 146650.988 7302086.806 146672.628 7302086.788 146672.614 7302086.776 146672.605 7302069.066 146659.362 7302053.751 146650.867 7302039.187 146640.481 7302024.364 146629.793 7302015.573 146623.339 7302006.949 146618.869 7302003.988 146616.7 7301995.243 146610.295 7301987.332 146606.024 7301978.718 146603.182 7301977.69 146601.611 7301974.922 146598.627 7301972.111 146596.559 7301969.182 146592.455 7301967.167 146588.242 7301964.429 146582.457 7301961.442 146577.539 7301958.002 146573.029 7301953.432 146567.004 7301951.285 146565.542 7301947.338 146561.139 7301942.286 146558.376 7301937.082 146556.07 7301930.852 146552.347 7301925.494 146549.582 7301920.236 146546.718 7301914.985 146544.77 7301909.277 146542.674 7301902.494 146539.666 7301897.079 146536.19 7301893.851 146532.903 7301887.963 146527.497 7301881.574 146522.807 7301879.82 146519.56 7301876.736 146515.051 7301873.158 146506.062 7301879.343 146503.776 7301880.561 146503.512 7301883.714 146503.643 7301887.469 146502.801 7301890.066 146503.444 7301893.738 146504.996 7301898.516 146505.013 7301901.831 146506.618 7301904.653 146509.909 7301908.895 146512.782 7301914.511 146516.101 7301918.453 146519.841 7301922.086 146522.871 7301925.861 146524.829 7301929.082 146527.099 7301934.589 146529.503 7301939.789 146531.452 7301943.509 146532.596 7301947.383 146534.047 7301950.943 146534.275 7301954.302 146534.862 7301957.812 146535.194 7301960.96 146534.711 7301963.554 146535.024 7301975.606 146556.979 7301990.398 146576.833 7301997.772 146585.556 7302033.132 146599.942 7302075.028 146637.551 7302112.233 146650.988</gml:posList>
            </gml:LinearRing>
          </gml:exterior>
        </gml:Polygon>
      </lmg:Yta>
      <planbestammelsereferens>33d28dde-45d8-45d2-a8cb-0e9fab1cd3f5</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8f0476ff-d0d5-4336-8c61-9688c26930db" srsName="EPSG:3017" srsDimension="2">
          <gml:exterior>
            <gml:LinearRing gml:id="ID_70c5d978-b964-4728-bb47-b854d6322297">
              <gml:posList>7302120.655 146617.944 7302106.685 146591.911 7302113.248 146574.577 7302114.959 146570.057 7302117.68 146562.872 7302117.722 146562.691 7302117.745 146562.7 7302119.386 146558.366 7302116.893 146542.064 7302119.399 146541.362 7302124.215 146540.003 7302128.678 146538.494 7302133.043 146537.8 7302141.555 146534.276 7302155.487 146530.447 7302157.437 146530.258 7302160.339 146529.955 7302163.539 146529.657 7302167.439 146529.145 7302169.749 146529.045 7302172.641 146529.04 7302175.941 146529.239 7302178.146 146529.43 7302180.651 146529.829 7302183.455 146530.324 7302186.149 146530.922 7302188.156 146531.419 7302192.061 146532.518 7302195.058 146533.511 7302197.568 146534.307 7302200.162 146535.508 7302202.471 146536.4 7302204.769 146537.699 7302206.782 146538.697 7302208.973 146540.192 7302210.488 146541.39 7302211.987 146542.49 7302213.586 146543.769 7302179.637 146583.442 7302156.654 146610.301 7302144.379 146623.632 7302130.189 146635.708 7302120.655 146617.944</gml:posList>
            </gml:LinearRing>
          </gml:exterior>
        </gml:Polygon>
      </lmg:Yta>
      <planbestammelsereferens>34314b5d-c538-42ee-ad93-342195a71ecf</planbestammelsereferens>
    </Lage>
    <Indelning>
      <tema>Motiv till detaljplanens regleringar</tema>
      <grupp>Motiv till reglering</grupp>
    </Indelning>
  </Omfattning>
  <Omfattning>
    <identitet>mo_motivtillreglering08</identitet>
    <Lage>
      <lmg:Yta>
        <lmg:absolutLagesosakerhetPlan>0.1</lmg:absolutLagesosakerhetPlan>
        <lmg:absolutLagesosakerhetHojd>0</lmg:absolutLagesosakerhetHojd>
        <lmg:hojdsystem>RH 2000</lmg:hojdsystem>
        <gml:Polygon gml:id="ID_c9c1a3ad-8f16-428a-a2bb-16c204083036" srsName="EPSG:3017" srsDimension="2">
          <gml:exterior>
            <gml:LinearRing gml:id="ID_8e20bf69-bdea-40ad-8867-b791d6df29cf">
              <gml:posList>7302126.844 146566.47 7302123.844 146574.008 7302114.959 146570.057 7302117.68 146562.872 7302117.745 146562.7 7302126.844 146566.47</gml:posList>
            </gml:LinearRing>
          </gml:exterior>
        </gml:Polygon>
      </lmg:Yta>
      <planbestammelsereferens>88749b8a-c22b-451b-a67b-6996dce0cab1</planbestammelsereferens>
    </Lage>
    <Indelning>
      <tema>Motiv till detaljplanens regleringar</tema>
      <grupp>Motiv till reglering</grupp>
    </Indelning>
  </Omfattning>
  <Omfattning>
    <identitet>pf_totalförsvar01</identitet>
    <Lage>
      <planomrade>true</planomrade>
    </Lage>
    <Indelning>
      <tema>Planeringsförutsättningar</tema>
      <grupp>Riksintressen</grupp>
      <undergrupp>Totalförsvar</undergrupp>
    </Indelning>
  </Omfattning>
  <Omfattning>
    <identitet>ko_vatten01</identitet>
    <Lage>
      <planomrade>true</planomrade>
    </Lage>
    <Indelning>
      <tema>Konsekvenser</tema>
      <grupp>Miljökvalitetsnormer</grupp>
      <undergrupp>Vatten</undergrupp>
    </Indelning>
  </Omfattning>
  <Omfattning>
    <identitet>pf_områdenförgeologisklagringavkoldiox01</identitet>
    <Lage>
      <planomrade>true</planomrade>
    </Lage>
    <Indelning>
      <tema>Planeringsförutsättningar</tema>
      <grupp>Riksintressen</grupp>
      <undergrupp>Områden för geologisk lagring av koldioxid</undergrupp>
    </Indelning>
  </Omfattning>
  <Omfattning>
    <identitet>pf_omgivningsbuller01</identitet>
    <Lage>
      <planomrade>true</planomrade>
    </Lage>
    <Indelning>
      <tema>Planeringsförutsättningar</tema>
      <grupp>Hälsa och säkerhet</grupp>
      <undergrupp>Omgivningsbuller</undergrupp>
    </Indelning>
  </Omfattning>
  <Omfattning>
    <identitet>pf_riskförolyckor01</identitet>
    <Lage>
      <planomrade>true</planomrade>
    </Lage>
    <Indelning>
      <tema>Planeringsförutsättningar</tema>
      <grupp>Hälsa och säkerhet</grupp>
      <undergrupp>Risk för olyckor</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pf_riskförerosion01</identitet>
    <Lage>
      <planomrade>true</planomrade>
    </Lage>
    <Indelning>
      <tema>Planeringsförutsättningar</tema>
      <grupp>Hälsa och säkerhet</grupp>
      <undergrupp>Risk för erosion</undergrupp>
    </Indelning>
  </Omfattning>
  <Omfattning>
    <identitet>pf_riskförras01</identitet>
    <Lage>
      <planomrade>true</planomrade>
    </Lage>
    <Indelning>
      <tema>Planeringsförutsättningar</tema>
      <grupp>Hälsa och säkerhet</grupp>
      <undergrupp>Risk för ras</undergrupp>
    </Indelning>
  </Omfattning>
  <Omfattning>
    <identitet>pf_riskförskred01</identitet>
    <Lage>
      <planomrade>true</planomrade>
    </Lage>
    <Indelning>
      <tema>Planeringsförutsättningar</tema>
      <grupp>Hälsa och säkerhet</grupp>
      <undergrupp>Risk för skred</undergrupp>
    </Indelning>
  </Omfattning>
  <Omfattning>
    <identitet>pf_geotekniskaförhållanden01</identitet>
    <Lage>
      <planomrade>true</planomrade>
    </Lage>
    <Indelning>
      <tema>Planeringsförutsättningar</tema>
      <grupp>Geotekniska förhållanden</grupp>
    </Indelning>
  </Omfattning>
  <Omfattning>
    <identitet>pf_markvegetationochtopografi01</identitet>
    <Lage>
      <planomrade>true</planomrade>
    </Lage>
    <Indelning>
      <tema>Planeringsförutsättningar</tema>
      <grupp>Miljö</grupp>
      <undergrupp>Mark, vegetation och topografi</undergrupp>
    </Indelning>
  </Omfattning>
  <Omfattning>
    <identitet>pf_strandskydd01</identitet>
    <Lage>
      <planomrade>true</planomrade>
    </Lage>
    <Indelning>
      <tema>Planeringsförutsättningar</tema>
      <grupp>Miljö</grupp>
      <undergrupp>Strandskydd</undergrupp>
    </Indelning>
  </Omfattning>
  <Omfattning>
    <identitet>pf_kulturmiljö01</identitet>
    <Lage>
      <planomrade>true</planomrade>
    </Lage>
    <Indelning>
      <tema>Planeringsförutsättningar</tema>
      <grupp>Kulturmiljö</grupp>
    </Indelning>
  </Omfattning>
  <Omfattning>
    <identitet>pf_trafik01</identitet>
    <Lage>
      <planomrade>true</planomrade>
    </Lage>
    <Indelning>
      <tema>Planeringsförutsättningar</tema>
      <grupp>Trafik</grupp>
    </Indelning>
  </Omfattning>
  <Omfattning>
    <identitet>pf_kollektivtrafik01</identitet>
    <Lage>
      <planomrade>true</planomrade>
    </Lage>
    <Indelning>
      <tema>Planeringsförutsättningar</tema>
      <grupp>Trafik</grupp>
      <undergrupp>Kollektivtrafik</undergrupp>
    </Indelning>
  </Omfattning>
  <Omfattning>
    <identitet>pf_biltrafik01</identitet>
    <Lage>
      <planomrade>true</planomrade>
    </Lage>
    <Indelning>
      <tema>Planeringsförutsättningar</tema>
      <grupp>Trafik</grupp>
      <undergrupp>Biltrafik</undergrupp>
    </Indelning>
  </Omfattning>
  <Omfattning>
    <identitet>pf_gångochcykeltrafik01</identitet>
    <Lage>
      <planomrade>true</planomrade>
    </Lage>
    <Indelning>
      <tema>Planeringsförutsättningar</tema>
      <grupp>Trafik</grupp>
      <undergrupp>Gång- och cykeltrafik</undergrupp>
    </Indelning>
  </Omfattning>
  <Omfattning>
    <identitet>pf_parkeringochutfarter01</identitet>
    <Lage>
      <planomrade>true</planomrade>
    </Lage>
    <Indelning>
      <tema>Planeringsförutsättningar</tema>
      <grupp>Trafik</grupp>
      <undergrupp>Parkering och utfarter</undergrupp>
    </Indelning>
  </Omfattning>
  <Omfattning>
    <identitet>pf_varutransporter01</identitet>
    <Lage>
      <planomrade>true</planomrade>
    </Lage>
    <Indelning>
      <tema>Planeringsförutsättningar</tema>
      <grupp>Trafik</grupp>
      <undergrupp>Varutransporter</undergrupp>
    </Indelning>
  </Omfattning>
  <Omfattning>
    <identitet>pf_riksintressen01</identitet>
    <Lage>
      <planomrade>true</planomrade>
    </Lage>
    <Indelning>
      <tema>Planeringsförutsättningar</tema>
      <grupp>Riksintressen</grupp>
    </Indelning>
  </Omfattning>
  <Omfattning>
    <identitet>pf_hälsaochsäkerhet01</identitet>
    <Lage>
      <planomrade>true</planomrade>
    </Lage>
    <Indelning>
      <tema>Planeringsförutsättningar</tema>
      <grupp>Hälsa och säkerhet</grupp>
    </Indelning>
  </Omfattning>
  <Omfattning>
    <identitet>pf_offentligochkommersiellservice01</identitet>
    <Lage>
      <planomrade>true</planomrade>
    </Lage>
    <Indelning>
      <tema>Planeringsförutsättningar</tema>
      <grupp>Fysisk miljö</grupp>
      <undergrupp>Offentlig och kommersiell service</undergrupp>
    </Indelning>
  </Omfattning>
  <Omfattning>
    <identitet>pf_bostäder01</identitet>
    <Lage>
      <planomrade>true</planomrade>
    </Lage>
    <Indelning>
      <tema>Planeringsförutsättningar</tema>
      <grupp>Fysisk miljö</grupp>
      <undergrupp>Bostäder</undergrupp>
    </Indelning>
  </Omfattning>
  <Omfattning>
    <identitet>pf_tillgänglighet01</identitet>
    <Lage>
      <planomrade>true</planomrade>
    </Lage>
    <Indelning>
      <tema>Planeringsförutsättningar</tema>
      <grupp>Fysisk miljö</grupp>
      <undergrupp>Tillgänglighet</undergrupp>
    </Indelning>
  </Omfattning>
  <Omfattning>
    <identitet>pf_teknik02</identitet>
    <Lage>
      <planomrade>true</planomrade>
    </Lage>
    <Indelning>
      <tema>Planeringsförutsättningar</tema>
      <grupp>Teknik</grupp>
    </Indelning>
  </Omfattning>
  <Omfattning>
    <identitet>pu_utredningar01</identitet>
    <Lage>
      <planomrade>true</planomrade>
    </Lage>
    <Indelning>
      <tema>Planeringsunderlag</tema>
      <grupp>Utredningar</grupp>
    </Indelning>
  </Omfattning>
  <Omfattning>
    <identitet>pu_geotekniskutredning02</identitet>
    <Lage>
      <planomrade>true</planomrade>
    </Lage>
    <Indelning>
      <tema>Planeringsunderlag</tema>
      <grupp>Utredningar</grupp>
      <undergrupp>Geoteknisk utredning</undergrupp>
    </Indelning>
  </Omfattning>
  <Omfattning>
    <identitet>pu_bullerutredning02</identitet>
    <Lage>
      <planomrade>true</planomrade>
    </Lage>
    <Indelning>
      <tema>Planeringsunderlag</tema>
      <grupp>Utredningar</grupp>
      <undergrupp>Bullerutredning</undergrupp>
    </Indelning>
  </Omfattning>
  <Omfattning>
    <identitet>pu_kulturmiljöutredning02</identitet>
    <Lage>
      <planomrade>true</planomrade>
    </Lage>
    <Indelning>
      <tema>Planeringsunderlag</tema>
      <grupp>Utredningar</grupp>
      <undergrupp>Kulturmiljöutredning</undergrupp>
    </Indelning>
  </Omfattning>
  <Omfattning>
    <identitet>gf_fastighetsindelningsbestämmelser01</identitet>
    <Lage>
      <planomrade>true</planomrade>
    </Lage>
    <Indelning>
      <tema>Genomförandefrågor</tema>
      <grupp>Fastighetsrättsliga frågor</grupp>
      <undergrupp>Fastighetsindelningsbestämmelser</unde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gf_rättigheter01</identitet>
    <Lage>
      <planomrade>true</planomrade>
    </Lage>
    <Indelning>
      <tema>Genomförandefrågor</tema>
      <grupp>Fastighetsrättsliga frågor</grupp>
      <undergrupp>Rättigheter</undergrupp>
    </Indelning>
  </Omfattning>
  <Omfattning>
    <identitet>gf_tekniskafrågor01</identitet>
    <Lage>
      <planomrade>true</planomrade>
    </Lage>
    <Indelning>
      <tema>Genomförandefrågor</tema>
      <grupp>Tekniska frågor</grupp>
    </Indelning>
  </Omfattning>
  <Omfattning>
    <identitet>gf_utbyggnadallmänplats01</identitet>
    <Lage>
      <planomrade>true</planomrade>
    </Lage>
    <Indelning>
      <tema>Genomförandefrågor</tema>
      <grupp>Tekniska frågor</grupp>
      <undergrupp>Utbyggnad allmän plats</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gf_elochvärme01</identitet>
    <Lage>
      <planomrade>true</planomrade>
    </Lage>
    <Indelning>
      <tema>Genomförandefrågor</tema>
      <grupp>Tekniska frågor</grupp>
      <undergrupp>El och värme</undergrupp>
    </Indelning>
  </Omfattning>
  <Omfattning>
    <identitet>gf_ekonomiskafrågor01</identitet>
    <Lage>
      <planomrade>true</planomrade>
    </Lage>
    <Indelning>
      <tema>Genomförandefrågor</tema>
      <grupp>Ekonomiska frågor</grupp>
    </Indelning>
  </Omfattning>
  <Omfattning>
    <identitet>gf_planekonomiskbedömning01</identitet>
    <Lage>
      <planomrade>true</planomrade>
    </Lage>
    <Indelning>
      <tema>Genomförandefrågor</tema>
      <grupp>Ekonomiska frågor</grupp>
      <undergrupp>Planekonomisk bedömning</undergrupp>
    </Indelning>
  </Omfattning>
  <Omfattning>
    <identitet>gf_planavgift01</identitet>
    <Lage>
      <planomrade>true</planomrade>
    </Lage>
    <Indelning>
      <tema>Genomförandefrågor</tema>
      <grupp>Ekonomiska frågor</grupp>
      <undergrupp>Planavgift</undergrupp>
    </Indelning>
  </Omfattning>
  <Omfattning>
    <identitet>gf_driftallmänplats01</identitet>
    <Lage>
      <planomrade>true</planomrade>
    </Lage>
    <Indelning>
      <tema>Genomförandefrågor</tema>
      <grupp>Ekonomiska frågor</grupp>
      <undergrupp>Drift allmän plats</undergrupp>
    </Indelning>
  </Omfattning>
  <Omfattning>
    <identitet>gf_driftvattenochavlopp01</identitet>
    <Lage>
      <planomrade>true</planomrade>
    </Lage>
    <Indelning>
      <tema>Genomförandefrågor</tema>
      <grupp>Ekonomiska frågor</grupp>
      <undergrupp>Drift vatten och avlopp</undergrupp>
    </Indelning>
  </Omfattning>
  <Omfattning>
    <identitet>gf_gemensamhetsanläggningar01</identitet>
    <Lage>
      <planomrade>true</planomrade>
    </Lage>
    <Indelning>
      <tema>Genomförandefrågor</tema>
      <grupp>Ekonomiska frågor</grupp>
      <undergrupp>Gemensamhetsanläggningar</undergrupp>
    </Indelning>
  </Omfattning>
  <Omfattning>
    <identitet>gf_tidplan01</identitet>
    <Lage>
      <planomrade>true</planomrade>
    </Lage>
    <Indelning>
      <tema>Genomförandefrågor</tema>
      <grupp>Organisatoriska frågor</grupp>
      <undergrupp>Tidplan</undergrupp>
    </Indelning>
  </Omfattning>
  <Omfattning>
    <identitet>gf_genomförandetid01</identitet>
    <Lage>
      <planomrade>true</planomrade>
    </Lage>
    <Indelning>
      <tema>Genomförandefrågor</tema>
      <grupp>Organisatoriska frågor</grupp>
      <undergrupp>Genomförandetid</undergrupp>
    </Indelning>
  </Omfattning>
  <Omfattning>
    <identitet>ko_olyckor01</identitet>
    <Lage>
      <planomrade>true</planomrade>
    </Lage>
    <Indelning>
      <tema>Konsekvenser</tema>
      <grupp>Hälsa och säkerhet</grupp>
      <undergrupp>Olyckor</undergrupp>
    </Indelning>
  </Omfattning>
  <Omfattning>
    <identitet>ko_erosion01</identitet>
    <Lage>
      <planomrade>true</planomrade>
    </Lage>
    <Indelning>
      <tema>Konsekvenser</tema>
      <grupp>Hälsa och säkerhet</grupp>
      <undergrupp>Erosion</undergrupp>
    </Indelning>
  </Omfattning>
  <Omfattning>
    <identitet>ko_ras01</identitet>
    <Lage>
      <planomrade>true</planomrade>
    </Lage>
    <Indelning>
      <tema>Konsekvenser</tema>
      <grupp>Hälsa och säkerhet</grupp>
      <undergrupp>Ras</undergrupp>
    </Indelning>
  </Omfattning>
  <Omfattning>
    <identitet>ko_skred01</identitet>
    <Lage>
      <planomrade>true</planomrade>
    </Lage>
    <Indelning>
      <tema>Konsekvenser</tema>
      <grupp>Hälsa och säkerhet</grupp>
      <undergrupp>Skred</undergrupp>
    </Indelning>
  </Omfattning>
  <Omfattning>
    <identitet>ko_beräkningavomgivningsbuller01</identitet>
    <Lage>
      <planomrade>true</planomrade>
    </Lage>
    <Indelning>
      <tema>Konsekvenser</tema>
      <grupp>Hälsa och säkerhet</grupp>
      <undergrupp>Beräkning av omgivningsbuller</undergrupp>
    </Indelning>
  </Omfattning>
  <Omfattning>
    <identitet>ko_geoteknik01</identitet>
    <Lage>
      <planomrade>true</planomrade>
    </Lage>
    <Indelning>
      <tema>Konsekvenser</tema>
      <grupp>Miljö</grupp>
      <undergrupp>Geoteknik</undergrupp>
    </Indelning>
  </Omfattning>
  <Omfattning>
    <identitet>ko_strandskydd01</identitet>
    <Lage>
      <planomrade>true</planomrade>
    </Lage>
    <Indelning>
      <tema>Konsekvenser</tema>
      <grupp>Miljö</grupp>
      <undergrupp>Strandskydd</undergrupp>
    </Indelning>
  </Omfattning>
  <Omfattning>
    <identitet>ko_kulturmiljöochgestaltning01</identitet>
    <Lage>
      <planomrade>true</planomrade>
    </Lage>
    <Indelning>
      <tema>Konsekvenser</tema>
      <grupp>Miljö</grupp>
      <undergrupp>Kulturmiljö och gestaltning</undergrupp>
    </Indelning>
  </Omfattning>
  <Omfattning>
    <identitet>ko_sociala01</identitet>
    <Lage>
      <planomrade>true</planomrade>
    </Lage>
    <Indelning>
      <tema>Konsekvenser</tema>
      <grupp>Sociala</grupp>
    </Indelning>
  </Omfattning>
  <Omfattning>
    <identitet>ko_barn01</identitet>
    <Lage>
      <planomrade>true</planomrade>
    </Lage>
    <Indelning>
      <tema>Konsekvenser</tema>
      <grupp>Sociala</grupp>
      <undergrupp>Barn</undergrupp>
    </Indelning>
  </Omfattning>
  <Omfattning>
    <identitet>ko_jämlikhet01</identitet>
    <Lage>
      <planomrade>true</planomrade>
    </Lage>
    <Indelning>
      <tema>Konsekvenser</tema>
      <grupp>Sociala</grupp>
      <undergrupp>Jämlikhet</undergrupp>
    </Indelning>
  </Omfattning>
  <Omfattning>
    <identitet>ko_trafik01</identitet>
    <Lage>
      <planomrade>true</planomrade>
    </Lage>
    <Indelning>
      <tema>Konsekvenser</tema>
      <grupp>Trafik</grupp>
    </Indelning>
  </Omfattning>
  <Omfattning>
    <identitet>ko_fastigheterochrättigheter01</identitet>
    <Lage>
      <planomrade>true</planomrade>
    </Lage>
    <Indelning>
      <tema>Konsekvenser</tema>
      <grupp>Fastigheter och rättigheter</grupp>
    </Indelning>
  </Omfattning>
  <Omfattning>
    <identitet>ko_annat01</identitet>
    <Lage>
      <planomrade>true</planomrade>
    </Lage>
    <Indelning>
      <tema>Konsekvenser</tema>
      <grupp>Annat</grupp>
    </Indelning>
  </Omfattning>
  <Omfattning>
    <identitet>be_ärendeinformation04</identitet>
    <Lage>
      <planomrade>true</planomrade>
    </Lage>
    <Indelning>
      <tema>Beskrivning av detaljplanen</tema>
      <grupp>Ärendeinformation</grupp>
    </Indelning>
  </Omfattning>
  <Omfattning>
    <identitet>sy_syfte01</identitet>
    <Lage>
      <planomrade>true</planomrade>
    </Lage>
    <Indelning>
      <tema>Detaljplanens syfte</tema>
      <grupp>Syfte</grupp>
    </Indelning>
  </Omfattning>
  <Omfattning>
    <identitet>sy_detaljplanensbakgrund01</identitet>
    <Lage>
      <planomrade>true</planomrade>
    </Lage>
    <Indelning>
      <tema>Detaljplanens syfte</tema>
      <grupp>Syfte</grupp>
      <undergrupp>Detaljplanens bakgrund</undergrupp>
    </Indelning>
  </Omfattning>
  <Omfattning>
    <identitet>sy_detaljplanenslokalisering01</identitet>
    <Lage>
      <planomrade>true</planomrade>
    </Lage>
    <Indelning>
      <tema>Detaljplanens syfte</tema>
      <grupp>Syfte</grupp>
      <undergrupp>Detaljplanens lokalisering</undergrupp>
    </Indelning>
  </Omfattning>
  <Omfattning>
    <identitet>mo_motivtillreglering10</identitet>
    <Lage>
      <lmg:Yta>
        <lmg:absolutLagesosakerhetPlan>0</lmg:absolutLagesosakerhetPlan>
        <lmg:absolutLagesosakerhetHojd>0</lmg:absolutLagesosakerhetHojd>
        <lmg:hojdsystem>RH 2000</lmg:hojdsystem>
        <gml:Polygon gml:id="ID_4cfbf8db-143b-4eb5-9c88-88ff623d6835" srsName="EPSG:3017" srsDimension="2">
          <gml:exterior>
            <gml:LinearRing gml:id="ID_dce7e052-165a-442a-a8eb-67cecde90130">
              <gml:posList>7302115 146633.259 7302109.052 146643.298 7302101.646 146640.465 7302074 146629.734 7302070.326 146626.414 7302069.953 146624.067 7302071.007 146618.236 7302085.233 146592.827 7302087.305 146616.991 7302115 146633.259</gml:posList>
            </gml:LinearRing>
          </gml:exterior>
        </gml:Polygon>
      </lmg:Yta>
      <planbestammelsereferens>30a4783d-6d97-4caf-8aa9-179a30a57e04</planbestammelsereferens>
    </Lage>
    <Lage>
      <lmg:Yta>
        <lmg:absolutLagesosakerhetPlan>0</lmg:absolutLagesosakerhetPlan>
        <lmg:absolutLagesosakerhetHojd>0</lmg:absolutLagesosakerhetHojd>
        <lmg:hojdsystem>RH 2000</lmg:hojdsystem>
        <gml:Polygon gml:id="ID_2b7d4eb8-70de-4853-ba6e-26209b0f9eb5" srsName="EPSG:3017" srsDimension="2">
          <gml:exterior>
            <gml:LinearRing gml:id="ID_edc00ab0-8637-4500-995c-6b7cf1dc49c5">
              <gml:posList>7302060.976 146617.511 7302053.792 146610.816 7302030.659 146594.543 7302003.679 146578.194 7301979.926 146552.177 7301970.843 146535.149 7301972.348 146535.088 7301978.195 146535.097 7301983.732 146534.7 7301991.098 146534.188 7301997.647 146533.123 7302004.458 146532.921 7302009.184 146532.99 7302014.568 146532.289 7302019.806 146532.811 7302026.156 146532.205 7302032.458 146532.211 7302039.84 146533.533 7302044.506 146534.033 7302046.504 146534.247 7302049.612 146535.193 7302052.151 146534.97 7302054.289 146535.362 7302059.439 146537.312 7302065.184 146537.677 7302071.702 146539.109 7302076.793 146540.14 7302087.131 146542.714 7302092.529 146543.899 7302098.376 146544.16 7302099.941 146544.186 7302097.895 146551.002 7302093.648 146548.364 7302091.091 146552.656 7302092.755 146553.634 7302093.376 146553.999 7302095.425 146555.204 7302093.895 146557.838 7302093.862 146557.894 7302092.085 146560.954 7302079.197 146583.138 7302061.545 146614.666 7302060.976 146617.511</gml:posList>
            </gml:LinearRing>
          </gml:exterior>
        </gml:Polygon>
      </lmg:Yta>
      <planbestammelsereferens>b93a73e7-762f-4bb3-8224-42766a56a842</planbestammelsereferens>
    </Lage>
    <Indelning>
      <tema>Motiv till detaljplanens regleringar</tema>
      <grupp>Motiv till reglering</grupp>
    </Indelning>
  </Omfattning>
  <Omfattning>
    <identitet>mo_motivtillreglering16</identitet>
    <Lage>
      <lmg:Yta>
        <lmg:absolutLagesosakerhetPlan>0</lmg:absolutLagesosakerhetPlan>
        <lmg:absolutLagesosakerhetHojd>0</lmg:absolutLagesosakerhetHojd>
        <lmg:hojdsystem>RH 2000</lmg:hojdsystem>
        <gml:Polygon gml:id="ID_02f3457f-5280-46ad-a824-ecd488d60193" srsName="EPSG:3017" srsDimension="2">
          <gml:exterior>
            <gml:LinearRing gml:id="ID_4943d960-bd77-46a8-902c-3da7bba22e2b">
              <gml:posList>7302060.976 146617.511 7302053.792 146610.816 7302030.659 146594.543 7302003.679 146578.194 7301979.926 146552.177 7301970.843 146535.149 7301972.348 146535.088 7301978.195 146535.097 7301983.732 146534.7 7301991.098 146534.188 7301997.647 146533.123 7302004.458 146532.921 7302009.184 146532.99 7302014.568 146532.289 7302019.806 146532.811 7302026.156 146532.205 7302032.458 146532.211 7302039.84 146533.533 7302044.506 146534.033 7302046.504 146534.247 7302049.612 146535.193 7302052.151 146534.97 7302054.289 146535.362 7302059.439 146537.312 7302065.184 146537.677 7302071.702 146539.109 7302076.793 146540.14 7302087.131 146542.714 7302092.529 146543.899 7302098.376 146544.16 7302099.941 146544.186 7302097.895 146551.002 7302093.648 146548.364 7302091.091 146552.656 7302092.755 146553.634 7302093.376 146553.999 7302095.425 146555.204 7302093.895 146557.838 7302093.862 146557.894 7302092.085 146560.954 7302079.197 146583.138 7302061.545 146614.666 7302060.976 146617.511</gml:posList>
            </gml:LinearRing>
          </gml:exterior>
        </gml:Polygon>
      </lmg:Yta>
      <planbestammelsereferens>24c139f4-9615-42f3-a5c0-3199f00cd412</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58f9b824-eaa4-45eb-8456-44263a2fe9dd" srsName="EPSG:3017" srsDimension="2">
          <gml:exterior>
            <gml:LinearRing gml:id="ID_051c096e-9c67-4f33-85b4-df326066a144">
              <gml:posList>7302115 146633.259 7302109.052 146643.298 7302101.646 146640.465 7302074 146629.734 7302070.326 146626.414 7302069.953 146624.067 7302071.007 146618.236 7302085.233 146592.827 7302087.305 146616.991 7302115 146633.259</gml:posList>
            </gml:LinearRing>
          </gml:exterior>
        </gml:Polygon>
      </lmg:Yta>
      <planbestammelsereferens>be375aaf-5de2-4403-83ac-c0d7f6d2a6cf</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3eb3bda9-8efa-49b7-8b21-6d04392faf69" srsName="EPSG:3017" srsDimension="2">
          <gml:exterior>
            <gml:LinearRing gml:id="ID_05351e49-a371-4f0e-b2cb-f884e2211628">
              <gml:posList>7302130.189 146635.708 7302125.69 146639.536 7302112.233 146650.988 7302075.028 146637.551 7302033.132 146599.942 7301997.772 146585.556 7301990.398 146576.833 7301975.606 146556.979 7301963.554 146535.024 7301966.149 146535.337 7301970.843 146535.149 7301972.348 146535.088 7301978.195 146535.097 7301983.732 146534.7 7301991.098 146534.188 7301997.647 146533.123 7302004.458 146532.921 7302009.184 146532.99 7302014.568 146532.289 7302019.806 146532.811 7302026.156 146532.205 7302032.458 146532.211 7302039.84 146533.533 7302044.506 146534.033 7302056.469 146539.53 7302083.625 146555.508 7302092.085 146560.954 7302113.248 146574.577 7302106.685 146591.911 7302120.655 146617.944 7302130.189 146635.708</gml:posList>
            </gml:LinearRing>
          </gml:exterior>
        </gml:Polygon>
      </lmg:Yta>
      <planbestammelsereferens>144a8f22-5d6c-44c4-9a5a-4a402997fd34</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c274ed88-5c50-41c9-b2be-d261898be6fb" srsName="EPSG:3017" srsDimension="2">
          <gml:exterior>
            <gml:LinearRing gml:id="ID_0262f044-fd29-4f55-8a5f-bac2cbc59b05">
              <gml:posList>7302097.895 146551.002 7302095.425 146555.204 7302093.376 146553.999 7302092.755 146553.634 7302091.091 146552.656 7302093.648 146548.364 7302097.895 146551.002</gml:posList>
            </gml:LinearRing>
          </gml:exterior>
        </gml:Polygon>
      </lmg:Yta>
      <planbestammelsereferens>ba0a0ec5-014a-43cf-a568-06a7d7f600f3</planbestammelsereferens>
    </Lage>
    <Indelning>
      <tema>Motiv till detaljplanens regleringar</tema>
      <grupp>Motiv till reglering</grupp>
    </Indelning>
  </Omfattning>
</Planbeskrivning>
</file>

<file path=customXml/itemProps1.xml><?xml version="1.0" encoding="utf-8"?>
<ds:datastoreItem xmlns:ds="http://schemas.openxmlformats.org/officeDocument/2006/customXml" ds:itemID="{35546b4a-2fc8-4aea-b82f-5cc113104221}">
  <ds:schemaRefs>
    <ds:schemaRef ds:uri="http://schemas.microsoft.com/vsto/samples"/>
  </ds:schemaRefs>
</ds:datastoreItem>
</file>

<file path=customXml/itemProps2.xml><?xml version="1.0" encoding="utf-8"?>
<ds:datastoreItem xmlns:ds="http://schemas.openxmlformats.org/officeDocument/2006/customXml" ds:itemID="be7ea267-a61d-404f-a3dc-315bc4bf51a9">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Rapport</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Fredrik Spjut</dc:creator>
  <dcterms:created xsi:type="dcterms:W3CDTF">2025-02-28T08:21:00Z</dcterms:created>
  <cp:lastModifiedBy>Malin Eriksson</cp:lastModifiedBy>
  <cp:lastPrinted>2025-06-04T10:31:00Z</cp:lastPrinted>
  <dcterms:modified xsi:type="dcterms:W3CDTF">2026-01-09T09:20:38Z</dcterms:modified>
  <cp:revision>59</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43f08ec5-d6d9-4227-8387-ccbfcb3632c4_Enabled">
    <vt:lpwstr>true</vt:lpwstr>
  </property>
  <property fmtid="{D5CDD505-2E9C-101B-9397-08002B2CF9AE}" pid="3" name="MSIP_Label_43f08ec5-d6d9-4227-8387-ccbfcb3632c4_SetDate">
    <vt:lpwstr>2024-09-06T11:43:02Z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1660cde1-e0dd-4ecc-86d0-37dd544e8d56</vt:lpwstr>
  </property>
  <property fmtid="{D5CDD505-2E9C-101B-9397-08002B2CF9AE}" pid="8" name="MSIP_Label_43f08ec5-d6d9-4227-8387-ccbfcb3632c4_ContentBits">
    <vt:lpwstr>0</vt:lpwstr>
  </property>
</Properties>
</file>